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D3875E8" w14:textId="77777777" w:rsidR="00640EBD" w:rsidRPr="00640EBD" w:rsidRDefault="00640EBD" w:rsidP="002E7ADD">
      <w:pPr>
        <w:pStyle w:val="TOC9"/>
      </w:pPr>
      <w:bookmarkStart w:id="0" w:name="_GoBack"/>
      <w:bookmarkEnd w:id="0"/>
    </w:p>
    <w:p w14:paraId="4A0FEEDE" w14:textId="77777777" w:rsidR="00494F03" w:rsidRPr="00E3331A" w:rsidRDefault="008E71F2" w:rsidP="008B5F23">
      <w:pPr>
        <w:pStyle w:val="PublicationTitle"/>
        <w:tabs>
          <w:tab w:val="right" w:pos="9072"/>
        </w:tabs>
        <w:spacing w:after="1320"/>
        <w:ind w:right="-45"/>
        <w:jc w:val="both"/>
        <w:rPr>
          <w:szCs w:val="44"/>
        </w:rPr>
      </w:pPr>
      <w:r>
        <w:rPr>
          <w:szCs w:val="44"/>
        </w:rPr>
        <w:t>Immunoglobulin for c</w:t>
      </w:r>
      <w:r w:rsidR="00487CA6" w:rsidRPr="00E3331A">
        <w:rPr>
          <w:szCs w:val="44"/>
        </w:rPr>
        <w:t>hronic Inflammatory Demy</w:t>
      </w:r>
      <w:r w:rsidR="00032F99" w:rsidRPr="00E3331A">
        <w:rPr>
          <w:szCs w:val="44"/>
        </w:rPr>
        <w:t>e</w:t>
      </w:r>
      <w:r w:rsidR="00487CA6" w:rsidRPr="00E3331A">
        <w:rPr>
          <w:szCs w:val="44"/>
        </w:rPr>
        <w:t>linating Polyne</w:t>
      </w:r>
      <w:r w:rsidR="00984858" w:rsidRPr="00E3331A">
        <w:rPr>
          <w:szCs w:val="44"/>
        </w:rPr>
        <w:t>uropathy</w:t>
      </w:r>
    </w:p>
    <w:p w14:paraId="604B8D38" w14:textId="77777777" w:rsidR="00494F03" w:rsidRDefault="00A96228" w:rsidP="008B5F23">
      <w:pPr>
        <w:pStyle w:val="Date"/>
        <w:tabs>
          <w:tab w:val="right" w:pos="9027"/>
        </w:tabs>
        <w:ind w:right="-45"/>
        <w:rPr>
          <w:rFonts w:cs="Arial"/>
          <w:szCs w:val="36"/>
        </w:rPr>
      </w:pPr>
      <w:r>
        <w:rPr>
          <w:rFonts w:cs="Arial"/>
          <w:szCs w:val="36"/>
        </w:rPr>
        <w:t>April</w:t>
      </w:r>
      <w:r w:rsidR="00F02B78" w:rsidRPr="008B5F23">
        <w:rPr>
          <w:rFonts w:cs="Arial"/>
          <w:szCs w:val="36"/>
        </w:rPr>
        <w:t xml:space="preserve"> </w:t>
      </w:r>
      <w:r w:rsidR="004F3579">
        <w:rPr>
          <w:rFonts w:cs="Arial"/>
          <w:szCs w:val="36"/>
        </w:rPr>
        <w:t>202</w:t>
      </w:r>
      <w:r>
        <w:rPr>
          <w:rFonts w:cs="Arial"/>
          <w:szCs w:val="36"/>
        </w:rPr>
        <w:t>1</w:t>
      </w:r>
    </w:p>
    <w:p w14:paraId="4D757DA0" w14:textId="6D37CD13" w:rsidR="00640EBD" w:rsidRPr="008B5F23" w:rsidRDefault="00640EBD" w:rsidP="008B5F23">
      <w:pPr>
        <w:pStyle w:val="Date"/>
        <w:tabs>
          <w:tab w:val="right" w:pos="9027"/>
        </w:tabs>
        <w:ind w:right="-45"/>
        <w:rPr>
          <w:rFonts w:cs="Arial"/>
          <w:szCs w:val="36"/>
        </w:rPr>
      </w:pPr>
      <w:r w:rsidRPr="008B5F23">
        <w:rPr>
          <w:rFonts w:cs="Arial"/>
          <w:szCs w:val="36"/>
        </w:rPr>
        <w:t xml:space="preserve">MSAC application no. </w:t>
      </w:r>
      <w:r w:rsidR="00487CA6" w:rsidRPr="008B5F23">
        <w:rPr>
          <w:rFonts w:cs="Arial"/>
          <w:szCs w:val="36"/>
        </w:rPr>
        <w:t>1564</w:t>
      </w:r>
    </w:p>
    <w:p w14:paraId="2F614CA0" w14:textId="77777777" w:rsidR="00640EBD" w:rsidRPr="00E3331A" w:rsidRDefault="00640EBD" w:rsidP="00DF343F">
      <w:pPr>
        <w:pStyle w:val="Sub-title"/>
        <w:jc w:val="both"/>
      </w:pPr>
    </w:p>
    <w:p w14:paraId="42C56660" w14:textId="77777777" w:rsidR="00640EBD" w:rsidRPr="00E3331A" w:rsidRDefault="001C011D" w:rsidP="001C011D">
      <w:pPr>
        <w:pStyle w:val="Sub-title"/>
        <w:tabs>
          <w:tab w:val="right" w:pos="9027"/>
        </w:tabs>
        <w:ind w:right="-45"/>
        <w:jc w:val="both"/>
        <w:rPr>
          <w:szCs w:val="32"/>
        </w:rPr>
      </w:pPr>
      <w:r w:rsidRPr="00E3331A">
        <w:tab/>
      </w:r>
      <w:r w:rsidR="006824B3" w:rsidRPr="006824B3">
        <w:t xml:space="preserve">Re-submission </w:t>
      </w:r>
      <w:r w:rsidR="006824B3">
        <w:t>a</w:t>
      </w:r>
      <w:r w:rsidR="00640EBD" w:rsidRPr="00E3331A">
        <w:t>ssessment report</w:t>
      </w:r>
    </w:p>
    <w:p w14:paraId="29F538F5" w14:textId="77777777" w:rsidR="003A7C8F" w:rsidRPr="00E3331A" w:rsidRDefault="003A7C8F" w:rsidP="00DF343F">
      <w:pPr>
        <w:spacing w:after="0" w:line="240" w:lineRule="auto"/>
        <w:jc w:val="both"/>
      </w:pPr>
      <w:r w:rsidRPr="00E3331A">
        <w:br w:type="page"/>
      </w:r>
    </w:p>
    <w:p w14:paraId="3F96DECE" w14:textId="77777777" w:rsidR="004C6CA6" w:rsidRPr="00E3331A" w:rsidRDefault="004C6CA6" w:rsidP="00DF343F">
      <w:pPr>
        <w:autoSpaceDE w:val="0"/>
        <w:autoSpaceDN w:val="0"/>
        <w:adjustRightInd w:val="0"/>
        <w:spacing w:after="0"/>
        <w:jc w:val="both"/>
        <w:rPr>
          <w:b/>
          <w:bCs/>
          <w:color w:val="000000"/>
          <w:sz w:val="20"/>
          <w:szCs w:val="20"/>
          <w:lang w:eastAsia="zh-TW"/>
        </w:rPr>
      </w:pPr>
      <w:bookmarkStart w:id="1" w:name="_Toc192054741"/>
      <w:bookmarkStart w:id="2" w:name="_Toc206489930"/>
      <w:bookmarkStart w:id="3" w:name="_Toc206494639"/>
      <w:bookmarkStart w:id="4" w:name="_Toc214339152"/>
      <w:bookmarkStart w:id="5" w:name="_Toc237759553"/>
      <w:bookmarkStart w:id="6" w:name="_Toc356462688"/>
      <w:bookmarkStart w:id="7" w:name="_Toc356462742"/>
      <w:bookmarkStart w:id="8" w:name="_Toc356462997"/>
      <w:bookmarkStart w:id="9" w:name="_Ref360694627"/>
      <w:bookmarkStart w:id="10" w:name="_Toc379117342"/>
      <w:bookmarkStart w:id="11" w:name="_Toc379118055"/>
      <w:bookmarkStart w:id="12" w:name="_Toc379118243"/>
      <w:bookmarkStart w:id="13" w:name="_Toc381796424"/>
    </w:p>
    <w:p w14:paraId="19EE4979" w14:textId="77777777" w:rsidR="00EB4DCD" w:rsidRPr="00E3331A" w:rsidRDefault="00EB4DCD" w:rsidP="00EB4DCD">
      <w:pPr>
        <w:autoSpaceDE w:val="0"/>
        <w:autoSpaceDN w:val="0"/>
        <w:adjustRightInd w:val="0"/>
        <w:spacing w:after="0"/>
        <w:rPr>
          <w:b/>
          <w:bCs/>
          <w:color w:val="000000"/>
          <w:sz w:val="20"/>
          <w:szCs w:val="20"/>
          <w:lang w:eastAsia="zh-TW"/>
        </w:rPr>
      </w:pPr>
      <w:r w:rsidRPr="00E3331A">
        <w:rPr>
          <w:b/>
          <w:bCs/>
          <w:color w:val="000000"/>
          <w:sz w:val="20"/>
          <w:szCs w:val="20"/>
          <w:lang w:eastAsia="zh-TW"/>
        </w:rPr>
        <w:t>© Commonwealth of Australia 20</w:t>
      </w:r>
      <w:r w:rsidR="006824B3">
        <w:rPr>
          <w:b/>
          <w:bCs/>
          <w:color w:val="000000"/>
          <w:sz w:val="20"/>
          <w:szCs w:val="20"/>
          <w:lang w:eastAsia="zh-TW"/>
        </w:rPr>
        <w:t>21</w:t>
      </w:r>
    </w:p>
    <w:p w14:paraId="6585691E" w14:textId="77777777" w:rsidR="00EB4DCD" w:rsidRPr="00E3331A" w:rsidRDefault="00EB4DCD" w:rsidP="00EB4DCD">
      <w:pPr>
        <w:autoSpaceDE w:val="0"/>
        <w:autoSpaceDN w:val="0"/>
        <w:adjustRightInd w:val="0"/>
        <w:spacing w:after="0" w:line="240" w:lineRule="auto"/>
        <w:rPr>
          <w:b/>
          <w:bCs/>
          <w:color w:val="000000"/>
          <w:sz w:val="20"/>
          <w:szCs w:val="20"/>
          <w:lang w:eastAsia="zh-TW"/>
        </w:rPr>
      </w:pPr>
    </w:p>
    <w:p w14:paraId="4A1E8CA6" w14:textId="77777777" w:rsidR="00EB4DCD" w:rsidRPr="00E3331A" w:rsidRDefault="00EB4DCD" w:rsidP="00EB4DCD">
      <w:pPr>
        <w:autoSpaceDE w:val="0"/>
        <w:autoSpaceDN w:val="0"/>
        <w:adjustRightInd w:val="0"/>
        <w:spacing w:after="0" w:line="240" w:lineRule="auto"/>
        <w:rPr>
          <w:b/>
          <w:bCs/>
          <w:color w:val="000000"/>
          <w:sz w:val="20"/>
          <w:szCs w:val="20"/>
          <w:lang w:eastAsia="zh-TW"/>
        </w:rPr>
      </w:pPr>
      <w:r w:rsidRPr="00E3331A">
        <w:rPr>
          <w:b/>
          <w:bCs/>
          <w:color w:val="000000"/>
          <w:sz w:val="20"/>
          <w:szCs w:val="20"/>
          <w:lang w:eastAsia="zh-TW"/>
        </w:rPr>
        <w:t>ISSN (Online) 1443-7139</w:t>
      </w:r>
    </w:p>
    <w:p w14:paraId="11069399" w14:textId="77777777" w:rsidR="00EB4DCD" w:rsidRPr="00E3331A" w:rsidRDefault="00EB4DCD" w:rsidP="00EB4DCD">
      <w:pPr>
        <w:autoSpaceDE w:val="0"/>
        <w:autoSpaceDN w:val="0"/>
        <w:adjustRightInd w:val="0"/>
        <w:spacing w:after="0" w:line="240" w:lineRule="auto"/>
        <w:rPr>
          <w:b/>
          <w:bCs/>
          <w:color w:val="000000"/>
          <w:sz w:val="20"/>
          <w:szCs w:val="20"/>
          <w:lang w:eastAsia="zh-TW"/>
        </w:rPr>
      </w:pPr>
    </w:p>
    <w:p w14:paraId="44591F83" w14:textId="5E518D78" w:rsidR="00EB4DCD" w:rsidRPr="00E3331A" w:rsidRDefault="00EB4DCD" w:rsidP="00EB4DCD">
      <w:pPr>
        <w:autoSpaceDE w:val="0"/>
        <w:autoSpaceDN w:val="0"/>
        <w:adjustRightInd w:val="0"/>
        <w:spacing w:after="0" w:line="240" w:lineRule="auto"/>
        <w:rPr>
          <w:b/>
          <w:bCs/>
          <w:color w:val="000000"/>
          <w:sz w:val="20"/>
          <w:szCs w:val="20"/>
          <w:lang w:eastAsia="zh-TW"/>
        </w:rPr>
      </w:pPr>
      <w:r w:rsidRPr="00E3331A">
        <w:rPr>
          <w:b/>
          <w:bCs/>
          <w:color w:val="000000"/>
          <w:sz w:val="20"/>
          <w:szCs w:val="20"/>
          <w:lang w:eastAsia="zh-TW"/>
        </w:rPr>
        <w:t xml:space="preserve">Internet site </w:t>
      </w:r>
      <w:hyperlink r:id="rId8" w:tooltip="Link to the Medical Services Advisory Committee website." w:history="1">
        <w:r w:rsidRPr="00E3331A">
          <w:rPr>
            <w:color w:val="0000FF"/>
            <w:sz w:val="20"/>
            <w:szCs w:val="20"/>
            <w:u w:val="single"/>
            <w:lang w:eastAsia="zh-TW"/>
          </w:rPr>
          <w:t>http://www.msac.gov.au/</w:t>
        </w:r>
      </w:hyperlink>
    </w:p>
    <w:p w14:paraId="2A1AB0A5" w14:textId="77777777" w:rsidR="00EB4DCD" w:rsidRPr="00E3331A" w:rsidRDefault="00EB4DCD" w:rsidP="00EB4DCD">
      <w:pPr>
        <w:autoSpaceDE w:val="0"/>
        <w:autoSpaceDN w:val="0"/>
        <w:adjustRightInd w:val="0"/>
        <w:spacing w:after="0" w:line="240" w:lineRule="auto"/>
        <w:rPr>
          <w:b/>
          <w:bCs/>
          <w:color w:val="000000"/>
          <w:sz w:val="20"/>
          <w:szCs w:val="20"/>
          <w:lang w:eastAsia="zh-TW"/>
        </w:rPr>
      </w:pPr>
    </w:p>
    <w:p w14:paraId="5CF76B6D" w14:textId="79AD0B95" w:rsidR="00EB4DCD" w:rsidRPr="00E3331A" w:rsidRDefault="00EB4DCD" w:rsidP="00EB4DCD">
      <w:pPr>
        <w:autoSpaceDE w:val="0"/>
        <w:autoSpaceDN w:val="0"/>
        <w:adjustRightInd w:val="0"/>
        <w:spacing w:after="0" w:line="240" w:lineRule="auto"/>
        <w:rPr>
          <w:color w:val="000000"/>
          <w:sz w:val="20"/>
          <w:szCs w:val="20"/>
        </w:rPr>
      </w:pPr>
      <w:r w:rsidRPr="00E3331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hyperlink r:id="rId9" w:tooltip="Link to the Australian Government's Attorney General's website." w:history="1">
        <w:r w:rsidRPr="00E3331A">
          <w:rPr>
            <w:color w:val="0000FF"/>
            <w:sz w:val="20"/>
            <w:szCs w:val="20"/>
            <w:u w:val="single"/>
            <w:lang w:eastAsia="zh-TW"/>
          </w:rPr>
          <w:t>http://www.ag.gov.au/</w:t>
        </w:r>
      </w:hyperlink>
      <w:r w:rsidRPr="00E3331A">
        <w:rPr>
          <w:color w:val="0000FF"/>
          <w:sz w:val="20"/>
          <w:szCs w:val="20"/>
          <w:lang w:eastAsia="zh-TW"/>
        </w:rPr>
        <w:t>.</w:t>
      </w:r>
    </w:p>
    <w:p w14:paraId="1AE12B5D" w14:textId="77777777" w:rsidR="00EB4DCD" w:rsidRPr="00E3331A" w:rsidRDefault="00EB4DCD" w:rsidP="00EB4DCD">
      <w:pPr>
        <w:autoSpaceDE w:val="0"/>
        <w:autoSpaceDN w:val="0"/>
        <w:adjustRightInd w:val="0"/>
        <w:spacing w:after="0" w:line="240" w:lineRule="auto"/>
        <w:rPr>
          <w:color w:val="000000"/>
          <w:sz w:val="20"/>
          <w:szCs w:val="20"/>
        </w:rPr>
      </w:pPr>
    </w:p>
    <w:p w14:paraId="4B493E70" w14:textId="77777777" w:rsidR="00EB4DCD" w:rsidRPr="00E3331A" w:rsidRDefault="00EB4DCD" w:rsidP="00EB4DCD">
      <w:pPr>
        <w:autoSpaceDE w:val="0"/>
        <w:autoSpaceDN w:val="0"/>
        <w:adjustRightInd w:val="0"/>
        <w:spacing w:after="0" w:line="240" w:lineRule="auto"/>
        <w:rPr>
          <w:color w:val="000000"/>
          <w:sz w:val="20"/>
          <w:szCs w:val="20"/>
          <w:lang w:eastAsia="zh-TW"/>
        </w:rPr>
      </w:pPr>
    </w:p>
    <w:p w14:paraId="53ED3C9B" w14:textId="7EA24EE8" w:rsidR="00EB4DCD" w:rsidRPr="00E3331A" w:rsidRDefault="00EB4DCD" w:rsidP="00EB4DCD">
      <w:pPr>
        <w:autoSpaceDE w:val="0"/>
        <w:autoSpaceDN w:val="0"/>
        <w:adjustRightInd w:val="0"/>
        <w:spacing w:after="0" w:line="240" w:lineRule="auto"/>
        <w:rPr>
          <w:color w:val="1B1B1B"/>
          <w:sz w:val="20"/>
          <w:szCs w:val="20"/>
        </w:rPr>
      </w:pPr>
      <w:r w:rsidRPr="00E3331A">
        <w:rPr>
          <w:color w:val="000000"/>
          <w:sz w:val="20"/>
          <w:szCs w:val="20"/>
          <w:lang w:eastAsia="zh-TW"/>
        </w:rPr>
        <w:t>Electronic copies of the report can be obtained from the Medical Service Advisory Committee’s Internet site at</w:t>
      </w:r>
      <w:r w:rsidRPr="00E3331A">
        <w:rPr>
          <w:sz w:val="20"/>
          <w:szCs w:val="20"/>
          <w:lang w:eastAsia="zh-TW"/>
        </w:rPr>
        <w:t xml:space="preserve"> </w:t>
      </w:r>
      <w:hyperlink r:id="rId10" w:tooltip="Link to the Medical Services Advisory Committee website." w:history="1">
        <w:r w:rsidRPr="00E3331A">
          <w:rPr>
            <w:color w:val="0000FF"/>
            <w:sz w:val="20"/>
            <w:szCs w:val="20"/>
            <w:u w:val="single"/>
            <w:lang w:eastAsia="zh-TW"/>
          </w:rPr>
          <w:t>http://www.msac.gov.au/</w:t>
        </w:r>
      </w:hyperlink>
    </w:p>
    <w:p w14:paraId="4F3AF20E" w14:textId="77777777" w:rsidR="00EB4DCD" w:rsidRPr="00E3331A" w:rsidRDefault="00EB4DCD" w:rsidP="00EB4DCD">
      <w:pPr>
        <w:autoSpaceDE w:val="0"/>
        <w:autoSpaceDN w:val="0"/>
        <w:adjustRightInd w:val="0"/>
        <w:spacing w:after="0" w:line="240" w:lineRule="auto"/>
        <w:rPr>
          <w:color w:val="1B1B1B"/>
          <w:sz w:val="20"/>
          <w:szCs w:val="20"/>
          <w:lang w:eastAsia="zh-TW"/>
        </w:rPr>
      </w:pPr>
    </w:p>
    <w:p w14:paraId="2364E492" w14:textId="33BA1D2F" w:rsidR="00EB4DCD" w:rsidRPr="00E3331A" w:rsidRDefault="00EB4DCD" w:rsidP="00EB4DCD">
      <w:pPr>
        <w:autoSpaceDE w:val="0"/>
        <w:autoSpaceDN w:val="0"/>
        <w:adjustRightInd w:val="0"/>
        <w:spacing w:after="0" w:line="240" w:lineRule="auto"/>
        <w:rPr>
          <w:color w:val="000000"/>
          <w:sz w:val="20"/>
          <w:szCs w:val="20"/>
        </w:rPr>
      </w:pPr>
      <w:r w:rsidRPr="00E3331A">
        <w:rPr>
          <w:color w:val="000000"/>
          <w:sz w:val="20"/>
          <w:szCs w:val="20"/>
        </w:rPr>
        <w:t xml:space="preserve">Enquiries about the content of the report should be emailed to </w:t>
      </w:r>
      <w:hyperlink r:id="rId11" w:history="1">
        <w:r w:rsidRPr="00E3331A">
          <w:rPr>
            <w:color w:val="0000FF"/>
            <w:sz w:val="20"/>
            <w:szCs w:val="20"/>
            <w:u w:val="single"/>
          </w:rPr>
          <w:t>hta@health.gov.au</w:t>
        </w:r>
      </w:hyperlink>
      <w:r w:rsidRPr="00E3331A">
        <w:rPr>
          <w:color w:val="000000"/>
          <w:sz w:val="20"/>
          <w:szCs w:val="20"/>
        </w:rPr>
        <w:t>.</w:t>
      </w:r>
    </w:p>
    <w:p w14:paraId="70A17493" w14:textId="77777777" w:rsidR="00EB4DCD" w:rsidRPr="00E3331A" w:rsidRDefault="00EB4DCD" w:rsidP="00EB4DCD">
      <w:pPr>
        <w:autoSpaceDE w:val="0"/>
        <w:autoSpaceDN w:val="0"/>
        <w:adjustRightInd w:val="0"/>
        <w:spacing w:after="0" w:line="240" w:lineRule="auto"/>
        <w:rPr>
          <w:color w:val="1B1B1B"/>
          <w:sz w:val="20"/>
          <w:szCs w:val="20"/>
          <w:lang w:eastAsia="zh-TW"/>
        </w:rPr>
      </w:pPr>
    </w:p>
    <w:p w14:paraId="7D022CCD" w14:textId="77777777" w:rsidR="00EB4DCD" w:rsidRPr="00E3331A" w:rsidRDefault="00EB4DCD" w:rsidP="00EB4DCD">
      <w:pPr>
        <w:autoSpaceDE w:val="0"/>
        <w:autoSpaceDN w:val="0"/>
        <w:adjustRightInd w:val="0"/>
        <w:spacing w:after="0" w:line="240" w:lineRule="auto"/>
        <w:rPr>
          <w:color w:val="1B1B1B"/>
          <w:sz w:val="20"/>
          <w:szCs w:val="20"/>
          <w:lang w:eastAsia="zh-TW"/>
        </w:rPr>
      </w:pPr>
    </w:p>
    <w:p w14:paraId="577DA8FC" w14:textId="7760FBA3" w:rsidR="00EB4DCD" w:rsidRPr="00E3331A" w:rsidRDefault="00EB4DCD" w:rsidP="00EB4DCD">
      <w:pPr>
        <w:autoSpaceDE w:val="0"/>
        <w:autoSpaceDN w:val="0"/>
        <w:adjustRightInd w:val="0"/>
        <w:spacing w:after="0" w:line="240" w:lineRule="auto"/>
        <w:rPr>
          <w:color w:val="000000"/>
          <w:sz w:val="20"/>
          <w:szCs w:val="20"/>
          <w:lang w:eastAsia="zh-TW"/>
        </w:rPr>
      </w:pPr>
      <w:r w:rsidRPr="00E3331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E3331A">
        <w:rPr>
          <w:color w:val="000000"/>
          <w:sz w:val="20"/>
          <w:szCs w:val="20"/>
          <w:lang w:eastAsia="zh-TW"/>
        </w:rPr>
        <w:t xml:space="preserve"> new and existing medical technologies and procedures in terms of their safety, effectiveness and cost</w:t>
      </w:r>
      <w:r w:rsidR="00D45BCF" w:rsidRPr="00E3331A">
        <w:rPr>
          <w:color w:val="000000"/>
          <w:sz w:val="20"/>
          <w:szCs w:val="20"/>
          <w:lang w:eastAsia="zh-TW"/>
        </w:rPr>
        <w:t>-</w:t>
      </w:r>
      <w:r w:rsidRPr="00E3331A">
        <w:rPr>
          <w:color w:val="000000"/>
          <w:sz w:val="20"/>
          <w:szCs w:val="20"/>
          <w:lang w:eastAsia="zh-TW"/>
        </w:rPr>
        <w:t>effectiveness. This advice will help to inform government decisions about which medical services should attract funding under Medicare.</w:t>
      </w:r>
    </w:p>
    <w:p w14:paraId="0AC8B6C6" w14:textId="77777777" w:rsidR="00EB4DCD" w:rsidRPr="00E3331A" w:rsidRDefault="00EB4DCD" w:rsidP="00EB4DCD">
      <w:pPr>
        <w:autoSpaceDE w:val="0"/>
        <w:autoSpaceDN w:val="0"/>
        <w:adjustRightInd w:val="0"/>
        <w:spacing w:after="0" w:line="240" w:lineRule="auto"/>
        <w:rPr>
          <w:color w:val="000000"/>
          <w:sz w:val="20"/>
          <w:szCs w:val="20"/>
          <w:lang w:eastAsia="zh-TW"/>
        </w:rPr>
      </w:pPr>
    </w:p>
    <w:p w14:paraId="51187AA2" w14:textId="77777777" w:rsidR="00EB4DCD" w:rsidRPr="00E3331A" w:rsidRDefault="00EB4DCD" w:rsidP="00EB4DCD">
      <w:pPr>
        <w:autoSpaceDE w:val="0"/>
        <w:autoSpaceDN w:val="0"/>
        <w:adjustRightInd w:val="0"/>
        <w:spacing w:after="0" w:line="240" w:lineRule="auto"/>
        <w:rPr>
          <w:color w:val="000000"/>
          <w:sz w:val="20"/>
          <w:szCs w:val="20"/>
          <w:lang w:eastAsia="zh-TW"/>
        </w:rPr>
      </w:pPr>
    </w:p>
    <w:p w14:paraId="3325753D" w14:textId="77777777" w:rsidR="00EB4DCD" w:rsidRPr="00E3331A" w:rsidRDefault="00EB4DCD" w:rsidP="00EB4DCD">
      <w:pPr>
        <w:autoSpaceDE w:val="0"/>
        <w:autoSpaceDN w:val="0"/>
        <w:adjustRightInd w:val="0"/>
        <w:spacing w:after="0" w:line="240" w:lineRule="auto"/>
        <w:rPr>
          <w:b/>
          <w:bCs/>
          <w:color w:val="000000"/>
          <w:sz w:val="20"/>
          <w:szCs w:val="20"/>
          <w:u w:val="single"/>
          <w:lang w:eastAsia="zh-TW"/>
        </w:rPr>
      </w:pPr>
      <w:r w:rsidRPr="00E3331A">
        <w:rPr>
          <w:b/>
          <w:bCs/>
          <w:color w:val="000000"/>
          <w:sz w:val="20"/>
          <w:szCs w:val="20"/>
          <w:u w:val="single"/>
          <w:lang w:eastAsia="zh-TW"/>
        </w:rPr>
        <w:t>MSAC’s advice does not necessarily reflect the views of all individuals who participated in the MSAC evaluation.</w:t>
      </w:r>
    </w:p>
    <w:p w14:paraId="3F0F7D93" w14:textId="77777777" w:rsidR="00EB4DCD" w:rsidRPr="00E3331A" w:rsidRDefault="00EB4DCD" w:rsidP="00EB4DCD">
      <w:pPr>
        <w:autoSpaceDE w:val="0"/>
        <w:autoSpaceDN w:val="0"/>
        <w:adjustRightInd w:val="0"/>
        <w:spacing w:after="0" w:line="240" w:lineRule="auto"/>
        <w:rPr>
          <w:color w:val="000000"/>
          <w:sz w:val="20"/>
          <w:szCs w:val="20"/>
          <w:lang w:eastAsia="zh-TW"/>
        </w:rPr>
      </w:pPr>
    </w:p>
    <w:p w14:paraId="50515721" w14:textId="77777777" w:rsidR="00EB4DCD" w:rsidRPr="00E3331A" w:rsidRDefault="00EB4DCD" w:rsidP="00EB4DCD">
      <w:pPr>
        <w:autoSpaceDE w:val="0"/>
        <w:autoSpaceDN w:val="0"/>
        <w:adjustRightInd w:val="0"/>
        <w:spacing w:after="0" w:line="240" w:lineRule="auto"/>
        <w:rPr>
          <w:color w:val="000000"/>
          <w:sz w:val="20"/>
          <w:szCs w:val="20"/>
          <w:lang w:eastAsia="zh-TW"/>
        </w:rPr>
      </w:pPr>
    </w:p>
    <w:p w14:paraId="5B8867F3" w14:textId="09AD83B0" w:rsidR="00EB4DCD" w:rsidRPr="00E3331A" w:rsidRDefault="00EB4DCD" w:rsidP="00EB4DCD">
      <w:pPr>
        <w:autoSpaceDE w:val="0"/>
        <w:autoSpaceDN w:val="0"/>
        <w:adjustRightInd w:val="0"/>
        <w:spacing w:after="0" w:line="240" w:lineRule="auto"/>
        <w:rPr>
          <w:sz w:val="20"/>
          <w:szCs w:val="20"/>
        </w:rPr>
      </w:pPr>
      <w:r w:rsidRPr="00E3331A">
        <w:rPr>
          <w:sz w:val="20"/>
          <w:szCs w:val="20"/>
        </w:rPr>
        <w:t xml:space="preserve">This report was prepared by </w:t>
      </w:r>
      <w:r w:rsidR="00D31D49">
        <w:rPr>
          <w:sz w:val="20"/>
          <w:szCs w:val="20"/>
        </w:rPr>
        <w:t>Adelaide Health Technology Assessment, University of Adelaide</w:t>
      </w:r>
      <w:r w:rsidRPr="00E3331A">
        <w:rPr>
          <w:sz w:val="20"/>
          <w:szCs w:val="20"/>
        </w:rPr>
        <w:t xml:space="preserve">. </w:t>
      </w:r>
      <w:r w:rsidR="0087555B">
        <w:rPr>
          <w:sz w:val="20"/>
          <w:szCs w:val="20"/>
        </w:rPr>
        <w:t xml:space="preserve">Clinical advice was provided by the </w:t>
      </w:r>
      <w:r w:rsidR="00AC6B7C">
        <w:rPr>
          <w:sz w:val="20"/>
          <w:szCs w:val="20"/>
        </w:rPr>
        <w:t>Immunoglobulin</w:t>
      </w:r>
      <w:r w:rsidR="0030164F">
        <w:rPr>
          <w:sz w:val="20"/>
          <w:szCs w:val="20"/>
        </w:rPr>
        <w:t xml:space="preserve"> (Ig) </w:t>
      </w:r>
      <w:r w:rsidR="0087555B">
        <w:rPr>
          <w:sz w:val="20"/>
          <w:szCs w:val="20"/>
        </w:rPr>
        <w:t xml:space="preserve">Review </w:t>
      </w:r>
      <w:r w:rsidR="00BE54F2">
        <w:rPr>
          <w:sz w:val="20"/>
          <w:szCs w:val="20"/>
        </w:rPr>
        <w:t>R</w:t>
      </w:r>
      <w:r w:rsidR="0087555B">
        <w:rPr>
          <w:sz w:val="20"/>
          <w:szCs w:val="20"/>
        </w:rPr>
        <w:t xml:space="preserve">eference Group. </w:t>
      </w:r>
      <w:r w:rsidRPr="00E3331A">
        <w:rPr>
          <w:sz w:val="20"/>
          <w:szCs w:val="20"/>
        </w:rPr>
        <w:t xml:space="preserve">The report was commissioned by the Australian Government Department of Health. </w:t>
      </w:r>
    </w:p>
    <w:p w14:paraId="1B08C2C0" w14:textId="77777777" w:rsidR="00EB4DCD" w:rsidRPr="00E3331A" w:rsidRDefault="00EB4DCD" w:rsidP="00EB4DCD">
      <w:pPr>
        <w:autoSpaceDE w:val="0"/>
        <w:autoSpaceDN w:val="0"/>
        <w:adjustRightInd w:val="0"/>
        <w:spacing w:after="0" w:line="240" w:lineRule="auto"/>
        <w:rPr>
          <w:sz w:val="20"/>
          <w:szCs w:val="20"/>
        </w:rPr>
      </w:pPr>
    </w:p>
    <w:p w14:paraId="3A2401B0" w14:textId="77777777" w:rsidR="00EB4DCD" w:rsidRPr="00E3331A" w:rsidRDefault="00EB4DCD" w:rsidP="00EB4DCD">
      <w:pPr>
        <w:autoSpaceDE w:val="0"/>
        <w:autoSpaceDN w:val="0"/>
        <w:adjustRightInd w:val="0"/>
        <w:spacing w:after="0" w:line="240" w:lineRule="auto"/>
        <w:rPr>
          <w:rFonts w:cs="Humanist521BT-Roman"/>
          <w:color w:val="231F20"/>
          <w:sz w:val="20"/>
          <w:szCs w:val="20"/>
        </w:rPr>
      </w:pPr>
      <w:r w:rsidRPr="00E3331A">
        <w:rPr>
          <w:rFonts w:cs="Humanist521BT-Roman"/>
          <w:color w:val="231F20"/>
          <w:sz w:val="20"/>
          <w:szCs w:val="20"/>
        </w:rPr>
        <w:t>The suggested citation for this document is:</w:t>
      </w:r>
    </w:p>
    <w:p w14:paraId="126190C9" w14:textId="77777777" w:rsidR="00EB4DCD" w:rsidRPr="00E3331A" w:rsidRDefault="00EB4DCD" w:rsidP="00EB4DCD">
      <w:pPr>
        <w:autoSpaceDE w:val="0"/>
        <w:autoSpaceDN w:val="0"/>
        <w:adjustRightInd w:val="0"/>
        <w:spacing w:after="0" w:line="240" w:lineRule="auto"/>
        <w:rPr>
          <w:rFonts w:cs="Humanist521BT-Roman"/>
          <w:color w:val="231F20"/>
          <w:sz w:val="20"/>
          <w:szCs w:val="20"/>
        </w:rPr>
      </w:pPr>
    </w:p>
    <w:p w14:paraId="43FC2C50" w14:textId="1D0CD044" w:rsidR="00EB4DCD" w:rsidRDefault="00D31D49" w:rsidP="00EB4DCD">
      <w:pPr>
        <w:autoSpaceDE w:val="0"/>
        <w:autoSpaceDN w:val="0"/>
        <w:adjustRightInd w:val="0"/>
        <w:spacing w:after="0" w:line="240" w:lineRule="auto"/>
        <w:rPr>
          <w:sz w:val="20"/>
          <w:szCs w:val="20"/>
        </w:rPr>
      </w:pPr>
      <w:r w:rsidRPr="00B21175">
        <w:rPr>
          <w:sz w:val="20"/>
          <w:szCs w:val="20"/>
          <w:shd w:val="clear" w:color="auto" w:fill="FFFFFF" w:themeFill="background1"/>
        </w:rPr>
        <w:t xml:space="preserve">Mittal R, Milverton J, </w:t>
      </w:r>
      <w:r w:rsidR="00B21175" w:rsidRPr="00B21175">
        <w:rPr>
          <w:sz w:val="20"/>
          <w:szCs w:val="20"/>
          <w:shd w:val="clear" w:color="auto" w:fill="FFFFFF" w:themeFill="background1"/>
        </w:rPr>
        <w:t xml:space="preserve">Schubert C, </w:t>
      </w:r>
      <w:r w:rsidRPr="00B21175">
        <w:rPr>
          <w:sz w:val="20"/>
          <w:szCs w:val="20"/>
          <w:shd w:val="clear" w:color="auto" w:fill="FFFFFF" w:themeFill="background1"/>
        </w:rPr>
        <w:t>Parsons J</w:t>
      </w:r>
      <w:r w:rsidR="00EB4DCD" w:rsidRPr="00E3331A">
        <w:rPr>
          <w:sz w:val="20"/>
          <w:szCs w:val="20"/>
        </w:rPr>
        <w:t xml:space="preserve"> (20</w:t>
      </w:r>
      <w:r w:rsidR="006824B3">
        <w:rPr>
          <w:sz w:val="20"/>
          <w:szCs w:val="20"/>
        </w:rPr>
        <w:t>21</w:t>
      </w:r>
      <w:r w:rsidR="00EB4DCD" w:rsidRPr="00E3331A">
        <w:rPr>
          <w:sz w:val="20"/>
          <w:szCs w:val="20"/>
        </w:rPr>
        <w:t xml:space="preserve">). </w:t>
      </w:r>
      <w:r w:rsidR="00093CEF">
        <w:rPr>
          <w:i/>
          <w:sz w:val="20"/>
          <w:szCs w:val="20"/>
        </w:rPr>
        <w:t>Immunoglobulin for C</w:t>
      </w:r>
      <w:r w:rsidR="00487CA6" w:rsidRPr="00E3331A">
        <w:rPr>
          <w:i/>
          <w:sz w:val="20"/>
          <w:szCs w:val="20"/>
        </w:rPr>
        <w:t>hronic Inflammatory Demyelinating Polyneuropathy (CIDP)</w:t>
      </w:r>
      <w:r w:rsidR="00EB4DCD" w:rsidRPr="00E3331A">
        <w:rPr>
          <w:sz w:val="20"/>
          <w:szCs w:val="20"/>
        </w:rPr>
        <w:t xml:space="preserve">. MSAC Application </w:t>
      </w:r>
      <w:r w:rsidR="00487CA6" w:rsidRPr="00E3331A">
        <w:rPr>
          <w:sz w:val="20"/>
          <w:szCs w:val="20"/>
        </w:rPr>
        <w:t>1564</w:t>
      </w:r>
      <w:r w:rsidR="00EB4DCD" w:rsidRPr="00E3331A">
        <w:rPr>
          <w:sz w:val="20"/>
          <w:szCs w:val="20"/>
        </w:rPr>
        <w:t xml:space="preserve">, </w:t>
      </w:r>
      <w:r>
        <w:rPr>
          <w:sz w:val="20"/>
          <w:szCs w:val="20"/>
        </w:rPr>
        <w:t>Re-submission a</w:t>
      </w:r>
      <w:r w:rsidR="00EB4DCD" w:rsidRPr="00E3331A">
        <w:rPr>
          <w:sz w:val="20"/>
          <w:szCs w:val="20"/>
        </w:rPr>
        <w:t>ssessment Report. Commonwealth of Australia, Canberra, ACT.</w:t>
      </w:r>
    </w:p>
    <w:p w14:paraId="3C3CC2DE" w14:textId="77777777" w:rsidR="00D05746" w:rsidRDefault="00D05746" w:rsidP="00EB4DCD">
      <w:pPr>
        <w:autoSpaceDE w:val="0"/>
        <w:autoSpaceDN w:val="0"/>
        <w:adjustRightInd w:val="0"/>
        <w:spacing w:after="0" w:line="240" w:lineRule="auto"/>
        <w:rPr>
          <w:sz w:val="20"/>
          <w:szCs w:val="20"/>
        </w:rPr>
      </w:pPr>
    </w:p>
    <w:p w14:paraId="020C9545" w14:textId="77777777" w:rsidR="00D05746" w:rsidRDefault="00D05746" w:rsidP="00EB4DCD">
      <w:pPr>
        <w:autoSpaceDE w:val="0"/>
        <w:autoSpaceDN w:val="0"/>
        <w:adjustRightInd w:val="0"/>
        <w:spacing w:after="0" w:line="240" w:lineRule="auto"/>
        <w:rPr>
          <w:sz w:val="20"/>
          <w:szCs w:val="20"/>
        </w:rPr>
      </w:pPr>
    </w:p>
    <w:p w14:paraId="37C72AA5" w14:textId="77777777" w:rsidR="00D05746" w:rsidRDefault="00D05746" w:rsidP="00EB4DCD">
      <w:pPr>
        <w:autoSpaceDE w:val="0"/>
        <w:autoSpaceDN w:val="0"/>
        <w:adjustRightInd w:val="0"/>
        <w:spacing w:after="0" w:line="240" w:lineRule="auto"/>
        <w:rPr>
          <w:sz w:val="20"/>
          <w:szCs w:val="20"/>
        </w:rPr>
        <w:sectPr w:rsidR="00D05746" w:rsidSect="0080059D">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440" w:right="1440" w:bottom="1440" w:left="1440" w:header="578" w:footer="578" w:gutter="0"/>
          <w:pgNumType w:fmt="lowerRoman" w:start="1"/>
          <w:cols w:space="720"/>
          <w:noEndnote/>
          <w:titlePg/>
        </w:sectPr>
      </w:pPr>
    </w:p>
    <w:p w14:paraId="6EBBC6B8" w14:textId="77777777" w:rsidR="008F59A8" w:rsidRPr="00E3331A" w:rsidRDefault="008F59A8" w:rsidP="00DF343F">
      <w:pPr>
        <w:pStyle w:val="Heading1"/>
        <w:jc w:val="both"/>
      </w:pPr>
      <w:bookmarkStart w:id="14" w:name="_Toc395200735"/>
      <w:bookmarkStart w:id="15" w:name="_Toc399247190"/>
      <w:bookmarkStart w:id="16" w:name="_Toc402884709"/>
      <w:bookmarkStart w:id="17" w:name="_Ref421189612"/>
      <w:bookmarkStart w:id="18" w:name="_Toc69305519"/>
      <w:r w:rsidRPr="00E3331A">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C71381" w:rsidRPr="00E3331A">
        <w:tab/>
      </w:r>
    </w:p>
    <w:p w14:paraId="63A7003F" w14:textId="743BCFC0" w:rsidR="004B3EA2" w:rsidRDefault="00F81651">
      <w:pPr>
        <w:pStyle w:val="TOC1"/>
        <w:rPr>
          <w:rFonts w:asciiTheme="minorHAnsi" w:eastAsiaTheme="minorEastAsia" w:hAnsiTheme="minorHAnsi" w:cstheme="minorBidi"/>
          <w:b w:val="0"/>
        </w:rPr>
      </w:pPr>
      <w:r w:rsidRPr="00E3331A">
        <w:fldChar w:fldCharType="begin"/>
      </w:r>
      <w:r w:rsidRPr="00E3331A">
        <w:instrText xml:space="preserve"> TOC \o "1-3" \h \z \u </w:instrText>
      </w:r>
      <w:r w:rsidRPr="00E3331A">
        <w:fldChar w:fldCharType="separate"/>
      </w:r>
      <w:hyperlink w:anchor="_Toc69305519" w:history="1">
        <w:r w:rsidR="004B3EA2" w:rsidRPr="00503FCF">
          <w:rPr>
            <w:rStyle w:val="Hyperlink"/>
          </w:rPr>
          <w:t>Contents</w:t>
        </w:r>
        <w:r w:rsidR="004B3EA2">
          <w:rPr>
            <w:webHidden/>
          </w:rPr>
          <w:tab/>
        </w:r>
        <w:r w:rsidR="004B3EA2">
          <w:rPr>
            <w:webHidden/>
          </w:rPr>
          <w:tab/>
        </w:r>
        <w:r w:rsidR="004B3EA2">
          <w:rPr>
            <w:webHidden/>
          </w:rPr>
          <w:fldChar w:fldCharType="begin"/>
        </w:r>
        <w:r w:rsidR="004B3EA2">
          <w:rPr>
            <w:webHidden/>
          </w:rPr>
          <w:instrText xml:space="preserve"> PAGEREF _Toc69305519 \h </w:instrText>
        </w:r>
        <w:r w:rsidR="004B3EA2">
          <w:rPr>
            <w:webHidden/>
          </w:rPr>
        </w:r>
        <w:r w:rsidR="004B3EA2">
          <w:rPr>
            <w:webHidden/>
          </w:rPr>
          <w:fldChar w:fldCharType="separate"/>
        </w:r>
        <w:r w:rsidR="004B3EA2">
          <w:rPr>
            <w:webHidden/>
          </w:rPr>
          <w:t>iii</w:t>
        </w:r>
        <w:r w:rsidR="004B3EA2">
          <w:rPr>
            <w:webHidden/>
          </w:rPr>
          <w:fldChar w:fldCharType="end"/>
        </w:r>
      </w:hyperlink>
    </w:p>
    <w:p w14:paraId="18C167F3" w14:textId="55B3F1B1" w:rsidR="004B3EA2" w:rsidRDefault="00003BA5">
      <w:pPr>
        <w:pStyle w:val="TOC2"/>
        <w:rPr>
          <w:rFonts w:asciiTheme="minorHAnsi" w:eastAsiaTheme="minorEastAsia" w:hAnsiTheme="minorHAnsi" w:cstheme="minorBidi"/>
        </w:rPr>
      </w:pPr>
      <w:hyperlink w:anchor="_Toc69305520" w:history="1">
        <w:r w:rsidR="004B3EA2" w:rsidRPr="00503FCF">
          <w:rPr>
            <w:rStyle w:val="Hyperlink"/>
          </w:rPr>
          <w:t>Tables</w:t>
        </w:r>
        <w:r w:rsidR="004B3EA2">
          <w:rPr>
            <w:webHidden/>
          </w:rPr>
          <w:tab/>
        </w:r>
        <w:r w:rsidR="004B3EA2">
          <w:rPr>
            <w:webHidden/>
          </w:rPr>
          <w:fldChar w:fldCharType="begin"/>
        </w:r>
        <w:r w:rsidR="004B3EA2">
          <w:rPr>
            <w:webHidden/>
          </w:rPr>
          <w:instrText xml:space="preserve"> PAGEREF _Toc69305520 \h </w:instrText>
        </w:r>
        <w:r w:rsidR="004B3EA2">
          <w:rPr>
            <w:webHidden/>
          </w:rPr>
        </w:r>
        <w:r w:rsidR="004B3EA2">
          <w:rPr>
            <w:webHidden/>
          </w:rPr>
          <w:fldChar w:fldCharType="separate"/>
        </w:r>
        <w:r w:rsidR="004B3EA2">
          <w:rPr>
            <w:webHidden/>
          </w:rPr>
          <w:t>vii</w:t>
        </w:r>
        <w:r w:rsidR="004B3EA2">
          <w:rPr>
            <w:webHidden/>
          </w:rPr>
          <w:fldChar w:fldCharType="end"/>
        </w:r>
      </w:hyperlink>
    </w:p>
    <w:p w14:paraId="4EBDA0CE" w14:textId="44767572" w:rsidR="004B3EA2" w:rsidRDefault="00003BA5">
      <w:pPr>
        <w:pStyle w:val="TOC2"/>
        <w:rPr>
          <w:rFonts w:asciiTheme="minorHAnsi" w:eastAsiaTheme="minorEastAsia" w:hAnsiTheme="minorHAnsi" w:cstheme="minorBidi"/>
        </w:rPr>
      </w:pPr>
      <w:hyperlink w:anchor="_Toc69305521" w:history="1">
        <w:r w:rsidR="004B3EA2" w:rsidRPr="00503FCF">
          <w:rPr>
            <w:rStyle w:val="Hyperlink"/>
          </w:rPr>
          <w:t>Boxes</w:t>
        </w:r>
        <w:r w:rsidR="004B3EA2">
          <w:rPr>
            <w:webHidden/>
          </w:rPr>
          <w:tab/>
        </w:r>
        <w:r w:rsidR="004B3EA2">
          <w:rPr>
            <w:webHidden/>
          </w:rPr>
          <w:fldChar w:fldCharType="begin"/>
        </w:r>
        <w:r w:rsidR="004B3EA2">
          <w:rPr>
            <w:webHidden/>
          </w:rPr>
          <w:instrText xml:space="preserve"> PAGEREF _Toc69305521 \h </w:instrText>
        </w:r>
        <w:r w:rsidR="004B3EA2">
          <w:rPr>
            <w:webHidden/>
          </w:rPr>
        </w:r>
        <w:r w:rsidR="004B3EA2">
          <w:rPr>
            <w:webHidden/>
          </w:rPr>
          <w:fldChar w:fldCharType="separate"/>
        </w:r>
        <w:r w:rsidR="004B3EA2">
          <w:rPr>
            <w:webHidden/>
          </w:rPr>
          <w:t>xi</w:t>
        </w:r>
        <w:r w:rsidR="004B3EA2">
          <w:rPr>
            <w:webHidden/>
          </w:rPr>
          <w:fldChar w:fldCharType="end"/>
        </w:r>
      </w:hyperlink>
    </w:p>
    <w:p w14:paraId="5BCEDC45" w14:textId="423D2B89" w:rsidR="004B3EA2" w:rsidRDefault="00003BA5">
      <w:pPr>
        <w:pStyle w:val="TOC2"/>
        <w:rPr>
          <w:rFonts w:asciiTheme="minorHAnsi" w:eastAsiaTheme="minorEastAsia" w:hAnsiTheme="minorHAnsi" w:cstheme="minorBidi"/>
        </w:rPr>
      </w:pPr>
      <w:hyperlink w:anchor="_Toc69305522" w:history="1">
        <w:r w:rsidR="004B3EA2" w:rsidRPr="00503FCF">
          <w:rPr>
            <w:rStyle w:val="Hyperlink"/>
          </w:rPr>
          <w:t>Figures</w:t>
        </w:r>
        <w:r w:rsidR="004B3EA2">
          <w:rPr>
            <w:webHidden/>
          </w:rPr>
          <w:tab/>
        </w:r>
        <w:r w:rsidR="004B3EA2">
          <w:rPr>
            <w:webHidden/>
          </w:rPr>
          <w:fldChar w:fldCharType="begin"/>
        </w:r>
        <w:r w:rsidR="004B3EA2">
          <w:rPr>
            <w:webHidden/>
          </w:rPr>
          <w:instrText xml:space="preserve"> PAGEREF _Toc69305522 \h </w:instrText>
        </w:r>
        <w:r w:rsidR="004B3EA2">
          <w:rPr>
            <w:webHidden/>
          </w:rPr>
        </w:r>
        <w:r w:rsidR="004B3EA2">
          <w:rPr>
            <w:webHidden/>
          </w:rPr>
          <w:fldChar w:fldCharType="separate"/>
        </w:r>
        <w:r w:rsidR="004B3EA2">
          <w:rPr>
            <w:webHidden/>
          </w:rPr>
          <w:t>xi</w:t>
        </w:r>
        <w:r w:rsidR="004B3EA2">
          <w:rPr>
            <w:webHidden/>
          </w:rPr>
          <w:fldChar w:fldCharType="end"/>
        </w:r>
      </w:hyperlink>
    </w:p>
    <w:p w14:paraId="29E53050" w14:textId="7D66410A" w:rsidR="004B3EA2" w:rsidRDefault="00003BA5">
      <w:pPr>
        <w:pStyle w:val="TOC1"/>
        <w:rPr>
          <w:rFonts w:asciiTheme="minorHAnsi" w:eastAsiaTheme="minorEastAsia" w:hAnsiTheme="minorHAnsi" w:cstheme="minorBidi"/>
          <w:b w:val="0"/>
        </w:rPr>
      </w:pPr>
      <w:hyperlink w:anchor="_Toc69305523" w:history="1">
        <w:r w:rsidR="004B3EA2" w:rsidRPr="00503FCF">
          <w:rPr>
            <w:rStyle w:val="Hyperlink"/>
          </w:rPr>
          <w:t>Executive Summary</w:t>
        </w:r>
        <w:r w:rsidR="004B3EA2">
          <w:rPr>
            <w:webHidden/>
          </w:rPr>
          <w:tab/>
        </w:r>
        <w:r w:rsidR="004B3EA2">
          <w:rPr>
            <w:webHidden/>
          </w:rPr>
          <w:fldChar w:fldCharType="begin"/>
        </w:r>
        <w:r w:rsidR="004B3EA2">
          <w:rPr>
            <w:webHidden/>
          </w:rPr>
          <w:instrText xml:space="preserve"> PAGEREF _Toc69305523 \h </w:instrText>
        </w:r>
        <w:r w:rsidR="004B3EA2">
          <w:rPr>
            <w:webHidden/>
          </w:rPr>
        </w:r>
        <w:r w:rsidR="004B3EA2">
          <w:rPr>
            <w:webHidden/>
          </w:rPr>
          <w:fldChar w:fldCharType="separate"/>
        </w:r>
        <w:r w:rsidR="004B3EA2">
          <w:rPr>
            <w:webHidden/>
          </w:rPr>
          <w:t>13</w:t>
        </w:r>
        <w:r w:rsidR="004B3EA2">
          <w:rPr>
            <w:webHidden/>
          </w:rPr>
          <w:fldChar w:fldCharType="end"/>
        </w:r>
      </w:hyperlink>
    </w:p>
    <w:p w14:paraId="587B4075" w14:textId="43167C07" w:rsidR="004B3EA2" w:rsidRDefault="00003BA5">
      <w:pPr>
        <w:pStyle w:val="TOC2"/>
        <w:rPr>
          <w:rFonts w:asciiTheme="minorHAnsi" w:eastAsiaTheme="minorEastAsia" w:hAnsiTheme="minorHAnsi" w:cstheme="minorBidi"/>
        </w:rPr>
      </w:pPr>
      <w:hyperlink w:anchor="_Toc69305524" w:history="1">
        <w:r w:rsidR="004B3EA2" w:rsidRPr="00503FCF">
          <w:rPr>
            <w:rStyle w:val="Hyperlink"/>
          </w:rPr>
          <w:t>Chronic Inflammatory Demyelinating Polyneuropathy</w:t>
        </w:r>
        <w:r w:rsidR="004B3EA2">
          <w:rPr>
            <w:webHidden/>
          </w:rPr>
          <w:tab/>
        </w:r>
        <w:r w:rsidR="004B3EA2">
          <w:rPr>
            <w:webHidden/>
          </w:rPr>
          <w:fldChar w:fldCharType="begin"/>
        </w:r>
        <w:r w:rsidR="004B3EA2">
          <w:rPr>
            <w:webHidden/>
          </w:rPr>
          <w:instrText xml:space="preserve"> PAGEREF _Toc69305524 \h </w:instrText>
        </w:r>
        <w:r w:rsidR="004B3EA2">
          <w:rPr>
            <w:webHidden/>
          </w:rPr>
        </w:r>
        <w:r w:rsidR="004B3EA2">
          <w:rPr>
            <w:webHidden/>
          </w:rPr>
          <w:fldChar w:fldCharType="separate"/>
        </w:r>
        <w:r w:rsidR="004B3EA2">
          <w:rPr>
            <w:webHidden/>
          </w:rPr>
          <w:t>15</w:t>
        </w:r>
        <w:r w:rsidR="004B3EA2">
          <w:rPr>
            <w:webHidden/>
          </w:rPr>
          <w:fldChar w:fldCharType="end"/>
        </w:r>
      </w:hyperlink>
    </w:p>
    <w:p w14:paraId="0B64A8B7" w14:textId="5FFECF63" w:rsidR="004B3EA2" w:rsidRDefault="00003BA5">
      <w:pPr>
        <w:pStyle w:val="TOC3"/>
        <w:rPr>
          <w:rFonts w:asciiTheme="minorHAnsi" w:eastAsiaTheme="minorEastAsia" w:hAnsiTheme="minorHAnsi" w:cstheme="minorBidi"/>
        </w:rPr>
      </w:pPr>
      <w:hyperlink w:anchor="_Toc69305525" w:history="1">
        <w:r w:rsidR="004B3EA2" w:rsidRPr="00503FCF">
          <w:rPr>
            <w:rStyle w:val="Hyperlink"/>
          </w:rPr>
          <w:t>Alignment with agreed Protocol</w:t>
        </w:r>
        <w:r w:rsidR="004B3EA2">
          <w:rPr>
            <w:webHidden/>
          </w:rPr>
          <w:tab/>
        </w:r>
        <w:r w:rsidR="004B3EA2">
          <w:rPr>
            <w:webHidden/>
          </w:rPr>
          <w:fldChar w:fldCharType="begin"/>
        </w:r>
        <w:r w:rsidR="004B3EA2">
          <w:rPr>
            <w:webHidden/>
          </w:rPr>
          <w:instrText xml:space="preserve"> PAGEREF _Toc69305525 \h </w:instrText>
        </w:r>
        <w:r w:rsidR="004B3EA2">
          <w:rPr>
            <w:webHidden/>
          </w:rPr>
        </w:r>
        <w:r w:rsidR="004B3EA2">
          <w:rPr>
            <w:webHidden/>
          </w:rPr>
          <w:fldChar w:fldCharType="separate"/>
        </w:r>
        <w:r w:rsidR="004B3EA2">
          <w:rPr>
            <w:webHidden/>
          </w:rPr>
          <w:t>15</w:t>
        </w:r>
        <w:r w:rsidR="004B3EA2">
          <w:rPr>
            <w:webHidden/>
          </w:rPr>
          <w:fldChar w:fldCharType="end"/>
        </w:r>
      </w:hyperlink>
    </w:p>
    <w:p w14:paraId="2FA930A6" w14:textId="743EFAE4" w:rsidR="004B3EA2" w:rsidRDefault="00003BA5">
      <w:pPr>
        <w:pStyle w:val="TOC3"/>
        <w:rPr>
          <w:rFonts w:asciiTheme="minorHAnsi" w:eastAsiaTheme="minorEastAsia" w:hAnsiTheme="minorHAnsi" w:cstheme="minorBidi"/>
        </w:rPr>
      </w:pPr>
      <w:hyperlink w:anchor="_Toc69305526" w:history="1">
        <w:r w:rsidR="004B3EA2" w:rsidRPr="00503FCF">
          <w:rPr>
            <w:rStyle w:val="Hyperlink"/>
          </w:rPr>
          <w:t>Proposed Medical Service</w:t>
        </w:r>
        <w:r w:rsidR="004B3EA2">
          <w:rPr>
            <w:webHidden/>
          </w:rPr>
          <w:tab/>
        </w:r>
        <w:r w:rsidR="004B3EA2">
          <w:rPr>
            <w:webHidden/>
          </w:rPr>
          <w:fldChar w:fldCharType="begin"/>
        </w:r>
        <w:r w:rsidR="004B3EA2">
          <w:rPr>
            <w:webHidden/>
          </w:rPr>
          <w:instrText xml:space="preserve"> PAGEREF _Toc69305526 \h </w:instrText>
        </w:r>
        <w:r w:rsidR="004B3EA2">
          <w:rPr>
            <w:webHidden/>
          </w:rPr>
        </w:r>
        <w:r w:rsidR="004B3EA2">
          <w:rPr>
            <w:webHidden/>
          </w:rPr>
          <w:fldChar w:fldCharType="separate"/>
        </w:r>
        <w:r w:rsidR="004B3EA2">
          <w:rPr>
            <w:webHidden/>
          </w:rPr>
          <w:t>15</w:t>
        </w:r>
        <w:r w:rsidR="004B3EA2">
          <w:rPr>
            <w:webHidden/>
          </w:rPr>
          <w:fldChar w:fldCharType="end"/>
        </w:r>
      </w:hyperlink>
    </w:p>
    <w:p w14:paraId="08BC24AD" w14:textId="57189A4D" w:rsidR="004B3EA2" w:rsidRDefault="00003BA5">
      <w:pPr>
        <w:pStyle w:val="TOC3"/>
        <w:rPr>
          <w:rFonts w:asciiTheme="minorHAnsi" w:eastAsiaTheme="minorEastAsia" w:hAnsiTheme="minorHAnsi" w:cstheme="minorBidi"/>
        </w:rPr>
      </w:pPr>
      <w:hyperlink w:anchor="_Toc69305527" w:history="1">
        <w:r w:rsidR="004B3EA2" w:rsidRPr="00503FCF">
          <w:rPr>
            <w:rStyle w:val="Hyperlink"/>
          </w:rPr>
          <w:t>Population</w:t>
        </w:r>
        <w:r w:rsidR="004B3EA2">
          <w:rPr>
            <w:webHidden/>
          </w:rPr>
          <w:tab/>
        </w:r>
        <w:r w:rsidR="004B3EA2">
          <w:rPr>
            <w:webHidden/>
          </w:rPr>
          <w:fldChar w:fldCharType="begin"/>
        </w:r>
        <w:r w:rsidR="004B3EA2">
          <w:rPr>
            <w:webHidden/>
          </w:rPr>
          <w:instrText xml:space="preserve"> PAGEREF _Toc69305527 \h </w:instrText>
        </w:r>
        <w:r w:rsidR="004B3EA2">
          <w:rPr>
            <w:webHidden/>
          </w:rPr>
        </w:r>
        <w:r w:rsidR="004B3EA2">
          <w:rPr>
            <w:webHidden/>
          </w:rPr>
          <w:fldChar w:fldCharType="separate"/>
        </w:r>
        <w:r w:rsidR="004B3EA2">
          <w:rPr>
            <w:webHidden/>
          </w:rPr>
          <w:t>16</w:t>
        </w:r>
        <w:r w:rsidR="004B3EA2">
          <w:rPr>
            <w:webHidden/>
          </w:rPr>
          <w:fldChar w:fldCharType="end"/>
        </w:r>
      </w:hyperlink>
    </w:p>
    <w:p w14:paraId="34D7C88E" w14:textId="6AC86AFC" w:rsidR="004B3EA2" w:rsidRDefault="00003BA5">
      <w:pPr>
        <w:pStyle w:val="TOC3"/>
        <w:rPr>
          <w:rFonts w:asciiTheme="minorHAnsi" w:eastAsiaTheme="minorEastAsia" w:hAnsiTheme="minorHAnsi" w:cstheme="minorBidi"/>
        </w:rPr>
      </w:pPr>
      <w:hyperlink w:anchor="_Toc69305528" w:history="1">
        <w:r w:rsidR="004B3EA2" w:rsidRPr="00503FCF">
          <w:rPr>
            <w:rStyle w:val="Hyperlink"/>
          </w:rPr>
          <w:t>Comparator Details</w:t>
        </w:r>
        <w:r w:rsidR="004B3EA2">
          <w:rPr>
            <w:webHidden/>
          </w:rPr>
          <w:tab/>
        </w:r>
        <w:r w:rsidR="004B3EA2">
          <w:rPr>
            <w:webHidden/>
          </w:rPr>
          <w:fldChar w:fldCharType="begin"/>
        </w:r>
        <w:r w:rsidR="004B3EA2">
          <w:rPr>
            <w:webHidden/>
          </w:rPr>
          <w:instrText xml:space="preserve"> PAGEREF _Toc69305528 \h </w:instrText>
        </w:r>
        <w:r w:rsidR="004B3EA2">
          <w:rPr>
            <w:webHidden/>
          </w:rPr>
        </w:r>
        <w:r w:rsidR="004B3EA2">
          <w:rPr>
            <w:webHidden/>
          </w:rPr>
          <w:fldChar w:fldCharType="separate"/>
        </w:r>
        <w:r w:rsidR="004B3EA2">
          <w:rPr>
            <w:webHidden/>
          </w:rPr>
          <w:t>16</w:t>
        </w:r>
        <w:r w:rsidR="004B3EA2">
          <w:rPr>
            <w:webHidden/>
          </w:rPr>
          <w:fldChar w:fldCharType="end"/>
        </w:r>
      </w:hyperlink>
    </w:p>
    <w:p w14:paraId="5535C2E8" w14:textId="73878D8B" w:rsidR="004B3EA2" w:rsidRDefault="00003BA5">
      <w:pPr>
        <w:pStyle w:val="TOC3"/>
        <w:rPr>
          <w:rFonts w:asciiTheme="minorHAnsi" w:eastAsiaTheme="minorEastAsia" w:hAnsiTheme="minorHAnsi" w:cstheme="minorBidi"/>
        </w:rPr>
      </w:pPr>
      <w:hyperlink w:anchor="_Toc69305529" w:history="1">
        <w:r w:rsidR="004B3EA2" w:rsidRPr="00503FCF">
          <w:rPr>
            <w:rStyle w:val="Hyperlink"/>
          </w:rPr>
          <w:t>Clinical management algorithm(s)</w:t>
        </w:r>
        <w:r w:rsidR="004B3EA2">
          <w:rPr>
            <w:webHidden/>
          </w:rPr>
          <w:tab/>
        </w:r>
        <w:r w:rsidR="004B3EA2">
          <w:rPr>
            <w:webHidden/>
          </w:rPr>
          <w:fldChar w:fldCharType="begin"/>
        </w:r>
        <w:r w:rsidR="004B3EA2">
          <w:rPr>
            <w:webHidden/>
          </w:rPr>
          <w:instrText xml:space="preserve"> PAGEREF _Toc69305529 \h </w:instrText>
        </w:r>
        <w:r w:rsidR="004B3EA2">
          <w:rPr>
            <w:webHidden/>
          </w:rPr>
        </w:r>
        <w:r w:rsidR="004B3EA2">
          <w:rPr>
            <w:webHidden/>
          </w:rPr>
          <w:fldChar w:fldCharType="separate"/>
        </w:r>
        <w:r w:rsidR="004B3EA2">
          <w:rPr>
            <w:webHidden/>
          </w:rPr>
          <w:t>16</w:t>
        </w:r>
        <w:r w:rsidR="004B3EA2">
          <w:rPr>
            <w:webHidden/>
          </w:rPr>
          <w:fldChar w:fldCharType="end"/>
        </w:r>
      </w:hyperlink>
    </w:p>
    <w:p w14:paraId="0A831786" w14:textId="3127C6E2" w:rsidR="004B3EA2" w:rsidRDefault="00003BA5">
      <w:pPr>
        <w:pStyle w:val="TOC3"/>
        <w:rPr>
          <w:rFonts w:asciiTheme="minorHAnsi" w:eastAsiaTheme="minorEastAsia" w:hAnsiTheme="minorHAnsi" w:cstheme="minorBidi"/>
        </w:rPr>
      </w:pPr>
      <w:hyperlink w:anchor="_Toc69305530" w:history="1">
        <w:r w:rsidR="004B3EA2" w:rsidRPr="00503FCF">
          <w:rPr>
            <w:rStyle w:val="Hyperlink"/>
          </w:rPr>
          <w:t>Key Differences in the Delivery of the Medical Service and the Main Comparator</w:t>
        </w:r>
        <w:r w:rsidR="004B3EA2">
          <w:rPr>
            <w:webHidden/>
          </w:rPr>
          <w:tab/>
        </w:r>
        <w:r w:rsidR="004B3EA2">
          <w:rPr>
            <w:webHidden/>
          </w:rPr>
          <w:fldChar w:fldCharType="begin"/>
        </w:r>
        <w:r w:rsidR="004B3EA2">
          <w:rPr>
            <w:webHidden/>
          </w:rPr>
          <w:instrText xml:space="preserve"> PAGEREF _Toc69305530 \h </w:instrText>
        </w:r>
        <w:r w:rsidR="004B3EA2">
          <w:rPr>
            <w:webHidden/>
          </w:rPr>
        </w:r>
        <w:r w:rsidR="004B3EA2">
          <w:rPr>
            <w:webHidden/>
          </w:rPr>
          <w:fldChar w:fldCharType="separate"/>
        </w:r>
        <w:r w:rsidR="004B3EA2">
          <w:rPr>
            <w:webHidden/>
          </w:rPr>
          <w:t>16</w:t>
        </w:r>
        <w:r w:rsidR="004B3EA2">
          <w:rPr>
            <w:webHidden/>
          </w:rPr>
          <w:fldChar w:fldCharType="end"/>
        </w:r>
      </w:hyperlink>
    </w:p>
    <w:p w14:paraId="622A2FF7" w14:textId="16D9BBB6" w:rsidR="004B3EA2" w:rsidRDefault="00003BA5">
      <w:pPr>
        <w:pStyle w:val="TOC3"/>
        <w:rPr>
          <w:rFonts w:asciiTheme="minorHAnsi" w:eastAsiaTheme="minorEastAsia" w:hAnsiTheme="minorHAnsi" w:cstheme="minorBidi"/>
        </w:rPr>
      </w:pPr>
      <w:hyperlink w:anchor="_Toc69305531" w:history="1">
        <w:r w:rsidR="004B3EA2" w:rsidRPr="00503FCF">
          <w:rPr>
            <w:rStyle w:val="Hyperlink"/>
          </w:rPr>
          <w:t>Clinical Claim</w:t>
        </w:r>
        <w:r w:rsidR="004B3EA2">
          <w:rPr>
            <w:webHidden/>
          </w:rPr>
          <w:tab/>
        </w:r>
        <w:r w:rsidR="004B3EA2">
          <w:rPr>
            <w:webHidden/>
          </w:rPr>
          <w:fldChar w:fldCharType="begin"/>
        </w:r>
        <w:r w:rsidR="004B3EA2">
          <w:rPr>
            <w:webHidden/>
          </w:rPr>
          <w:instrText xml:space="preserve"> PAGEREF _Toc69305531 \h </w:instrText>
        </w:r>
        <w:r w:rsidR="004B3EA2">
          <w:rPr>
            <w:webHidden/>
          </w:rPr>
        </w:r>
        <w:r w:rsidR="004B3EA2">
          <w:rPr>
            <w:webHidden/>
          </w:rPr>
          <w:fldChar w:fldCharType="separate"/>
        </w:r>
        <w:r w:rsidR="004B3EA2">
          <w:rPr>
            <w:webHidden/>
          </w:rPr>
          <w:t>16</w:t>
        </w:r>
        <w:r w:rsidR="004B3EA2">
          <w:rPr>
            <w:webHidden/>
          </w:rPr>
          <w:fldChar w:fldCharType="end"/>
        </w:r>
      </w:hyperlink>
    </w:p>
    <w:p w14:paraId="077F1118" w14:textId="2CE9F269" w:rsidR="004B3EA2" w:rsidRDefault="00003BA5">
      <w:pPr>
        <w:pStyle w:val="TOC3"/>
        <w:rPr>
          <w:rFonts w:asciiTheme="minorHAnsi" w:eastAsiaTheme="minorEastAsia" w:hAnsiTheme="minorHAnsi" w:cstheme="minorBidi"/>
        </w:rPr>
      </w:pPr>
      <w:hyperlink w:anchor="_Toc69305532" w:history="1">
        <w:r w:rsidR="004B3EA2" w:rsidRPr="00503FCF">
          <w:rPr>
            <w:rStyle w:val="Hyperlink"/>
          </w:rPr>
          <w:t>Approach Taken to the Evidence Assessment</w:t>
        </w:r>
        <w:r w:rsidR="004B3EA2">
          <w:rPr>
            <w:webHidden/>
          </w:rPr>
          <w:tab/>
        </w:r>
        <w:r w:rsidR="004B3EA2">
          <w:rPr>
            <w:webHidden/>
          </w:rPr>
          <w:fldChar w:fldCharType="begin"/>
        </w:r>
        <w:r w:rsidR="004B3EA2">
          <w:rPr>
            <w:webHidden/>
          </w:rPr>
          <w:instrText xml:space="preserve"> PAGEREF _Toc69305532 \h </w:instrText>
        </w:r>
        <w:r w:rsidR="004B3EA2">
          <w:rPr>
            <w:webHidden/>
          </w:rPr>
        </w:r>
        <w:r w:rsidR="004B3EA2">
          <w:rPr>
            <w:webHidden/>
          </w:rPr>
          <w:fldChar w:fldCharType="separate"/>
        </w:r>
        <w:r w:rsidR="004B3EA2">
          <w:rPr>
            <w:webHidden/>
          </w:rPr>
          <w:t>17</w:t>
        </w:r>
        <w:r w:rsidR="004B3EA2">
          <w:rPr>
            <w:webHidden/>
          </w:rPr>
          <w:fldChar w:fldCharType="end"/>
        </w:r>
      </w:hyperlink>
    </w:p>
    <w:p w14:paraId="30BF6A96" w14:textId="3FB1ADFE" w:rsidR="004B3EA2" w:rsidRDefault="00003BA5">
      <w:pPr>
        <w:pStyle w:val="TOC3"/>
        <w:rPr>
          <w:rFonts w:asciiTheme="minorHAnsi" w:eastAsiaTheme="minorEastAsia" w:hAnsiTheme="minorHAnsi" w:cstheme="minorBidi"/>
        </w:rPr>
      </w:pPr>
      <w:hyperlink w:anchor="_Toc69305533" w:history="1">
        <w:r w:rsidR="004B3EA2" w:rsidRPr="00503FCF">
          <w:rPr>
            <w:rStyle w:val="Hyperlink"/>
          </w:rPr>
          <w:t>Characteristics of the Evidence Base</w:t>
        </w:r>
        <w:r w:rsidR="004B3EA2">
          <w:rPr>
            <w:webHidden/>
          </w:rPr>
          <w:tab/>
        </w:r>
        <w:r w:rsidR="004B3EA2">
          <w:rPr>
            <w:webHidden/>
          </w:rPr>
          <w:fldChar w:fldCharType="begin"/>
        </w:r>
        <w:r w:rsidR="004B3EA2">
          <w:rPr>
            <w:webHidden/>
          </w:rPr>
          <w:instrText xml:space="preserve"> PAGEREF _Toc69305533 \h </w:instrText>
        </w:r>
        <w:r w:rsidR="004B3EA2">
          <w:rPr>
            <w:webHidden/>
          </w:rPr>
        </w:r>
        <w:r w:rsidR="004B3EA2">
          <w:rPr>
            <w:webHidden/>
          </w:rPr>
          <w:fldChar w:fldCharType="separate"/>
        </w:r>
        <w:r w:rsidR="004B3EA2">
          <w:rPr>
            <w:webHidden/>
          </w:rPr>
          <w:t>17</w:t>
        </w:r>
        <w:r w:rsidR="004B3EA2">
          <w:rPr>
            <w:webHidden/>
          </w:rPr>
          <w:fldChar w:fldCharType="end"/>
        </w:r>
      </w:hyperlink>
    </w:p>
    <w:p w14:paraId="3A68BE0E" w14:textId="1DA4A917" w:rsidR="004B3EA2" w:rsidRDefault="00003BA5">
      <w:pPr>
        <w:pStyle w:val="TOC3"/>
        <w:rPr>
          <w:rFonts w:asciiTheme="minorHAnsi" w:eastAsiaTheme="minorEastAsia" w:hAnsiTheme="minorHAnsi" w:cstheme="minorBidi"/>
        </w:rPr>
      </w:pPr>
      <w:hyperlink w:anchor="_Toc69305534" w:history="1">
        <w:r w:rsidR="004B3EA2" w:rsidRPr="00503FCF">
          <w:rPr>
            <w:rStyle w:val="Hyperlink"/>
          </w:rPr>
          <w:t>Results</w:t>
        </w:r>
        <w:r w:rsidR="004B3EA2">
          <w:rPr>
            <w:webHidden/>
          </w:rPr>
          <w:tab/>
        </w:r>
        <w:r w:rsidR="004B3EA2">
          <w:rPr>
            <w:webHidden/>
          </w:rPr>
          <w:fldChar w:fldCharType="begin"/>
        </w:r>
        <w:r w:rsidR="004B3EA2">
          <w:rPr>
            <w:webHidden/>
          </w:rPr>
          <w:instrText xml:space="preserve"> PAGEREF _Toc69305534 \h </w:instrText>
        </w:r>
        <w:r w:rsidR="004B3EA2">
          <w:rPr>
            <w:webHidden/>
          </w:rPr>
        </w:r>
        <w:r w:rsidR="004B3EA2">
          <w:rPr>
            <w:webHidden/>
          </w:rPr>
          <w:fldChar w:fldCharType="separate"/>
        </w:r>
        <w:r w:rsidR="004B3EA2">
          <w:rPr>
            <w:webHidden/>
          </w:rPr>
          <w:t>18</w:t>
        </w:r>
        <w:r w:rsidR="004B3EA2">
          <w:rPr>
            <w:webHidden/>
          </w:rPr>
          <w:fldChar w:fldCharType="end"/>
        </w:r>
      </w:hyperlink>
    </w:p>
    <w:p w14:paraId="5F4FF673" w14:textId="0D9AB3D3" w:rsidR="004B3EA2" w:rsidRDefault="00003BA5">
      <w:pPr>
        <w:pStyle w:val="TOC3"/>
        <w:rPr>
          <w:rFonts w:asciiTheme="minorHAnsi" w:eastAsiaTheme="minorEastAsia" w:hAnsiTheme="minorHAnsi" w:cstheme="minorBidi"/>
        </w:rPr>
      </w:pPr>
      <w:hyperlink w:anchor="_Toc69305535" w:history="1">
        <w:r w:rsidR="004B3EA2" w:rsidRPr="00503FCF">
          <w:rPr>
            <w:rStyle w:val="Hyperlink"/>
          </w:rPr>
          <w:t>Translation Issues</w:t>
        </w:r>
        <w:r w:rsidR="004B3EA2">
          <w:rPr>
            <w:webHidden/>
          </w:rPr>
          <w:tab/>
        </w:r>
        <w:r w:rsidR="004B3EA2">
          <w:rPr>
            <w:webHidden/>
          </w:rPr>
          <w:fldChar w:fldCharType="begin"/>
        </w:r>
        <w:r w:rsidR="004B3EA2">
          <w:rPr>
            <w:webHidden/>
          </w:rPr>
          <w:instrText xml:space="preserve"> PAGEREF _Toc69305535 \h </w:instrText>
        </w:r>
        <w:r w:rsidR="004B3EA2">
          <w:rPr>
            <w:webHidden/>
          </w:rPr>
        </w:r>
        <w:r w:rsidR="004B3EA2">
          <w:rPr>
            <w:webHidden/>
          </w:rPr>
          <w:fldChar w:fldCharType="separate"/>
        </w:r>
        <w:r w:rsidR="004B3EA2">
          <w:rPr>
            <w:webHidden/>
          </w:rPr>
          <w:t>20</w:t>
        </w:r>
        <w:r w:rsidR="004B3EA2">
          <w:rPr>
            <w:webHidden/>
          </w:rPr>
          <w:fldChar w:fldCharType="end"/>
        </w:r>
      </w:hyperlink>
    </w:p>
    <w:p w14:paraId="19AE920A" w14:textId="716B3B22" w:rsidR="004B3EA2" w:rsidRDefault="00003BA5">
      <w:pPr>
        <w:pStyle w:val="TOC3"/>
        <w:rPr>
          <w:rFonts w:asciiTheme="minorHAnsi" w:eastAsiaTheme="minorEastAsia" w:hAnsiTheme="minorHAnsi" w:cstheme="minorBidi"/>
        </w:rPr>
      </w:pPr>
      <w:hyperlink w:anchor="_Toc69305536" w:history="1">
        <w:r w:rsidR="004B3EA2" w:rsidRPr="00503FCF">
          <w:rPr>
            <w:rStyle w:val="Hyperlink"/>
          </w:rPr>
          <w:t>Economic Evaluation</w:t>
        </w:r>
        <w:r w:rsidR="004B3EA2">
          <w:rPr>
            <w:webHidden/>
          </w:rPr>
          <w:tab/>
        </w:r>
        <w:r w:rsidR="004B3EA2">
          <w:rPr>
            <w:webHidden/>
          </w:rPr>
          <w:fldChar w:fldCharType="begin"/>
        </w:r>
        <w:r w:rsidR="004B3EA2">
          <w:rPr>
            <w:webHidden/>
          </w:rPr>
          <w:instrText xml:space="preserve"> PAGEREF _Toc69305536 \h </w:instrText>
        </w:r>
        <w:r w:rsidR="004B3EA2">
          <w:rPr>
            <w:webHidden/>
          </w:rPr>
        </w:r>
        <w:r w:rsidR="004B3EA2">
          <w:rPr>
            <w:webHidden/>
          </w:rPr>
          <w:fldChar w:fldCharType="separate"/>
        </w:r>
        <w:r w:rsidR="004B3EA2">
          <w:rPr>
            <w:webHidden/>
          </w:rPr>
          <w:t>21</w:t>
        </w:r>
        <w:r w:rsidR="004B3EA2">
          <w:rPr>
            <w:webHidden/>
          </w:rPr>
          <w:fldChar w:fldCharType="end"/>
        </w:r>
      </w:hyperlink>
    </w:p>
    <w:p w14:paraId="59255190" w14:textId="4B651916" w:rsidR="004B3EA2" w:rsidRDefault="00003BA5">
      <w:pPr>
        <w:pStyle w:val="TOC3"/>
        <w:rPr>
          <w:rFonts w:asciiTheme="minorHAnsi" w:eastAsiaTheme="minorEastAsia" w:hAnsiTheme="minorHAnsi" w:cstheme="minorBidi"/>
        </w:rPr>
      </w:pPr>
      <w:hyperlink w:anchor="_Toc69305537" w:history="1">
        <w:r w:rsidR="004B3EA2" w:rsidRPr="00503FCF">
          <w:rPr>
            <w:rStyle w:val="Hyperlink"/>
          </w:rPr>
          <w:t>Estimated Extent of Use and Financial Implications</w:t>
        </w:r>
        <w:r w:rsidR="004B3EA2">
          <w:rPr>
            <w:webHidden/>
          </w:rPr>
          <w:tab/>
        </w:r>
        <w:r w:rsidR="004B3EA2">
          <w:rPr>
            <w:webHidden/>
          </w:rPr>
          <w:fldChar w:fldCharType="begin"/>
        </w:r>
        <w:r w:rsidR="004B3EA2">
          <w:rPr>
            <w:webHidden/>
          </w:rPr>
          <w:instrText xml:space="preserve"> PAGEREF _Toc69305537 \h </w:instrText>
        </w:r>
        <w:r w:rsidR="004B3EA2">
          <w:rPr>
            <w:webHidden/>
          </w:rPr>
        </w:r>
        <w:r w:rsidR="004B3EA2">
          <w:rPr>
            <w:webHidden/>
          </w:rPr>
          <w:fldChar w:fldCharType="separate"/>
        </w:r>
        <w:r w:rsidR="004B3EA2">
          <w:rPr>
            <w:webHidden/>
          </w:rPr>
          <w:t>24</w:t>
        </w:r>
        <w:r w:rsidR="004B3EA2">
          <w:rPr>
            <w:webHidden/>
          </w:rPr>
          <w:fldChar w:fldCharType="end"/>
        </w:r>
      </w:hyperlink>
    </w:p>
    <w:p w14:paraId="07B6E98B" w14:textId="005F3446" w:rsidR="004B3EA2" w:rsidRDefault="00003BA5">
      <w:pPr>
        <w:pStyle w:val="TOC3"/>
        <w:rPr>
          <w:rFonts w:asciiTheme="minorHAnsi" w:eastAsiaTheme="minorEastAsia" w:hAnsiTheme="minorHAnsi" w:cstheme="minorBidi"/>
        </w:rPr>
      </w:pPr>
      <w:hyperlink w:anchor="_Toc69305538" w:history="1">
        <w:r w:rsidR="004B3EA2" w:rsidRPr="00503FCF">
          <w:rPr>
            <w:rStyle w:val="Hyperlink"/>
          </w:rPr>
          <w:t>Consumer impact summary</w:t>
        </w:r>
        <w:r w:rsidR="004B3EA2">
          <w:rPr>
            <w:webHidden/>
          </w:rPr>
          <w:tab/>
        </w:r>
        <w:r w:rsidR="004B3EA2">
          <w:rPr>
            <w:webHidden/>
          </w:rPr>
          <w:fldChar w:fldCharType="begin"/>
        </w:r>
        <w:r w:rsidR="004B3EA2">
          <w:rPr>
            <w:webHidden/>
          </w:rPr>
          <w:instrText xml:space="preserve"> PAGEREF _Toc69305538 \h </w:instrText>
        </w:r>
        <w:r w:rsidR="004B3EA2">
          <w:rPr>
            <w:webHidden/>
          </w:rPr>
        </w:r>
        <w:r w:rsidR="004B3EA2">
          <w:rPr>
            <w:webHidden/>
          </w:rPr>
          <w:fldChar w:fldCharType="separate"/>
        </w:r>
        <w:r w:rsidR="004B3EA2">
          <w:rPr>
            <w:webHidden/>
          </w:rPr>
          <w:t>25</w:t>
        </w:r>
        <w:r w:rsidR="004B3EA2">
          <w:rPr>
            <w:webHidden/>
          </w:rPr>
          <w:fldChar w:fldCharType="end"/>
        </w:r>
      </w:hyperlink>
    </w:p>
    <w:p w14:paraId="0F2A2003" w14:textId="43934306" w:rsidR="004B3EA2" w:rsidRDefault="00003BA5">
      <w:pPr>
        <w:pStyle w:val="TOC1"/>
        <w:rPr>
          <w:rFonts w:asciiTheme="minorHAnsi" w:eastAsiaTheme="minorEastAsia" w:hAnsiTheme="minorHAnsi" w:cstheme="minorBidi"/>
          <w:b w:val="0"/>
        </w:rPr>
      </w:pPr>
      <w:hyperlink w:anchor="_Toc69305539" w:history="1">
        <w:r w:rsidR="004B3EA2" w:rsidRPr="00503FCF">
          <w:rPr>
            <w:rStyle w:val="Hyperlink"/>
          </w:rPr>
          <w:t>Acronyms and Abbreviations</w:t>
        </w:r>
        <w:r w:rsidR="004B3EA2">
          <w:rPr>
            <w:webHidden/>
          </w:rPr>
          <w:tab/>
        </w:r>
        <w:r w:rsidR="004B3EA2">
          <w:rPr>
            <w:webHidden/>
          </w:rPr>
          <w:fldChar w:fldCharType="begin"/>
        </w:r>
        <w:r w:rsidR="004B3EA2">
          <w:rPr>
            <w:webHidden/>
          </w:rPr>
          <w:instrText xml:space="preserve"> PAGEREF _Toc69305539 \h </w:instrText>
        </w:r>
        <w:r w:rsidR="004B3EA2">
          <w:rPr>
            <w:webHidden/>
          </w:rPr>
        </w:r>
        <w:r w:rsidR="004B3EA2">
          <w:rPr>
            <w:webHidden/>
          </w:rPr>
          <w:fldChar w:fldCharType="separate"/>
        </w:r>
        <w:r w:rsidR="004B3EA2">
          <w:rPr>
            <w:webHidden/>
          </w:rPr>
          <w:t>26</w:t>
        </w:r>
        <w:r w:rsidR="004B3EA2">
          <w:rPr>
            <w:webHidden/>
          </w:rPr>
          <w:fldChar w:fldCharType="end"/>
        </w:r>
      </w:hyperlink>
    </w:p>
    <w:p w14:paraId="5E1AD480" w14:textId="041B92EF" w:rsidR="004B3EA2" w:rsidRDefault="00003BA5">
      <w:pPr>
        <w:pStyle w:val="TOC1"/>
        <w:rPr>
          <w:rFonts w:asciiTheme="minorHAnsi" w:eastAsiaTheme="minorEastAsia" w:hAnsiTheme="minorHAnsi" w:cstheme="minorBidi"/>
          <w:b w:val="0"/>
        </w:rPr>
      </w:pPr>
      <w:hyperlink w:anchor="_Toc69305540" w:history="1">
        <w:r w:rsidR="004B3EA2" w:rsidRPr="00503FCF">
          <w:rPr>
            <w:rStyle w:val="Hyperlink"/>
          </w:rPr>
          <w:t>Section A</w:t>
        </w:r>
        <w:r w:rsidR="004B3EA2">
          <w:rPr>
            <w:rFonts w:asciiTheme="minorHAnsi" w:eastAsiaTheme="minorEastAsia" w:hAnsiTheme="minorHAnsi" w:cstheme="minorBidi"/>
            <w:b w:val="0"/>
          </w:rPr>
          <w:tab/>
        </w:r>
        <w:r w:rsidR="004B3EA2" w:rsidRPr="00503FCF">
          <w:rPr>
            <w:rStyle w:val="Hyperlink"/>
          </w:rPr>
          <w:t>Context</w:t>
        </w:r>
        <w:r w:rsidR="004B3EA2">
          <w:rPr>
            <w:webHidden/>
          </w:rPr>
          <w:tab/>
        </w:r>
        <w:r w:rsidR="004B3EA2">
          <w:rPr>
            <w:webHidden/>
          </w:rPr>
          <w:fldChar w:fldCharType="begin"/>
        </w:r>
        <w:r w:rsidR="004B3EA2">
          <w:rPr>
            <w:webHidden/>
          </w:rPr>
          <w:instrText xml:space="preserve"> PAGEREF _Toc69305540 \h </w:instrText>
        </w:r>
        <w:r w:rsidR="004B3EA2">
          <w:rPr>
            <w:webHidden/>
          </w:rPr>
        </w:r>
        <w:r w:rsidR="004B3EA2">
          <w:rPr>
            <w:webHidden/>
          </w:rPr>
          <w:fldChar w:fldCharType="separate"/>
        </w:r>
        <w:r w:rsidR="004B3EA2">
          <w:rPr>
            <w:webHidden/>
          </w:rPr>
          <w:t>28</w:t>
        </w:r>
        <w:r w:rsidR="004B3EA2">
          <w:rPr>
            <w:webHidden/>
          </w:rPr>
          <w:fldChar w:fldCharType="end"/>
        </w:r>
      </w:hyperlink>
    </w:p>
    <w:p w14:paraId="4657224B" w14:textId="54E45269" w:rsidR="004B3EA2" w:rsidRDefault="00003BA5">
      <w:pPr>
        <w:pStyle w:val="TOC2"/>
        <w:tabs>
          <w:tab w:val="left" w:pos="1540"/>
        </w:tabs>
        <w:rPr>
          <w:rFonts w:asciiTheme="minorHAnsi" w:eastAsiaTheme="minorEastAsia" w:hAnsiTheme="minorHAnsi" w:cstheme="minorBidi"/>
        </w:rPr>
      </w:pPr>
      <w:hyperlink w:anchor="_Toc69305541" w:history="1">
        <w:r w:rsidR="004B3EA2" w:rsidRPr="00503FCF">
          <w:rPr>
            <w:rStyle w:val="Hyperlink"/>
          </w:rPr>
          <w:t>A.1.</w:t>
        </w:r>
        <w:r w:rsidR="004B3EA2">
          <w:rPr>
            <w:rFonts w:asciiTheme="minorHAnsi" w:eastAsiaTheme="minorEastAsia" w:hAnsiTheme="minorHAnsi" w:cstheme="minorBidi"/>
          </w:rPr>
          <w:tab/>
        </w:r>
        <w:r w:rsidR="004B3EA2" w:rsidRPr="00503FCF">
          <w:rPr>
            <w:rStyle w:val="Hyperlink"/>
          </w:rPr>
          <w:t>Items in the agreed Protocol</w:t>
        </w:r>
        <w:r w:rsidR="004B3EA2">
          <w:rPr>
            <w:webHidden/>
          </w:rPr>
          <w:tab/>
        </w:r>
        <w:r w:rsidR="004B3EA2">
          <w:rPr>
            <w:webHidden/>
          </w:rPr>
          <w:fldChar w:fldCharType="begin"/>
        </w:r>
        <w:r w:rsidR="004B3EA2">
          <w:rPr>
            <w:webHidden/>
          </w:rPr>
          <w:instrText xml:space="preserve"> PAGEREF _Toc69305541 \h </w:instrText>
        </w:r>
        <w:r w:rsidR="004B3EA2">
          <w:rPr>
            <w:webHidden/>
          </w:rPr>
        </w:r>
        <w:r w:rsidR="004B3EA2">
          <w:rPr>
            <w:webHidden/>
          </w:rPr>
          <w:fldChar w:fldCharType="separate"/>
        </w:r>
        <w:r w:rsidR="004B3EA2">
          <w:rPr>
            <w:webHidden/>
          </w:rPr>
          <w:t>28</w:t>
        </w:r>
        <w:r w:rsidR="004B3EA2">
          <w:rPr>
            <w:webHidden/>
          </w:rPr>
          <w:fldChar w:fldCharType="end"/>
        </w:r>
      </w:hyperlink>
    </w:p>
    <w:p w14:paraId="17CB7163" w14:textId="7D0ACB9D" w:rsidR="004B3EA2" w:rsidRDefault="00003BA5">
      <w:pPr>
        <w:pStyle w:val="TOC2"/>
        <w:tabs>
          <w:tab w:val="left" w:pos="1540"/>
        </w:tabs>
        <w:rPr>
          <w:rFonts w:asciiTheme="minorHAnsi" w:eastAsiaTheme="minorEastAsia" w:hAnsiTheme="minorHAnsi" w:cstheme="minorBidi"/>
        </w:rPr>
      </w:pPr>
      <w:hyperlink w:anchor="_Toc69305542" w:history="1">
        <w:r w:rsidR="004B3EA2" w:rsidRPr="00503FCF">
          <w:rPr>
            <w:rStyle w:val="Hyperlink"/>
          </w:rPr>
          <w:t>A.2.</w:t>
        </w:r>
        <w:r w:rsidR="004B3EA2">
          <w:rPr>
            <w:rFonts w:asciiTheme="minorHAnsi" w:eastAsiaTheme="minorEastAsia" w:hAnsiTheme="minorHAnsi" w:cstheme="minorBidi"/>
          </w:rPr>
          <w:tab/>
        </w:r>
        <w:r w:rsidR="004B3EA2" w:rsidRPr="00503FCF">
          <w:rPr>
            <w:rStyle w:val="Hyperlink"/>
          </w:rPr>
          <w:t>to A.8.</w:t>
        </w:r>
        <w:r w:rsidR="004B3EA2">
          <w:rPr>
            <w:webHidden/>
          </w:rPr>
          <w:tab/>
        </w:r>
        <w:r w:rsidR="004B3EA2">
          <w:rPr>
            <w:webHidden/>
          </w:rPr>
          <w:fldChar w:fldCharType="begin"/>
        </w:r>
        <w:r w:rsidR="004B3EA2">
          <w:rPr>
            <w:webHidden/>
          </w:rPr>
          <w:instrText xml:space="preserve"> PAGEREF _Toc69305542 \h </w:instrText>
        </w:r>
        <w:r w:rsidR="004B3EA2">
          <w:rPr>
            <w:webHidden/>
          </w:rPr>
        </w:r>
        <w:r w:rsidR="004B3EA2">
          <w:rPr>
            <w:webHidden/>
          </w:rPr>
          <w:fldChar w:fldCharType="separate"/>
        </w:r>
        <w:r w:rsidR="004B3EA2">
          <w:rPr>
            <w:webHidden/>
          </w:rPr>
          <w:t>29</w:t>
        </w:r>
        <w:r w:rsidR="004B3EA2">
          <w:rPr>
            <w:webHidden/>
          </w:rPr>
          <w:fldChar w:fldCharType="end"/>
        </w:r>
      </w:hyperlink>
    </w:p>
    <w:p w14:paraId="72C9AA25" w14:textId="6C10208E" w:rsidR="004B3EA2" w:rsidRDefault="00003BA5">
      <w:pPr>
        <w:pStyle w:val="TOC2"/>
        <w:tabs>
          <w:tab w:val="left" w:pos="1540"/>
        </w:tabs>
        <w:rPr>
          <w:rFonts w:asciiTheme="minorHAnsi" w:eastAsiaTheme="minorEastAsia" w:hAnsiTheme="minorHAnsi" w:cstheme="minorBidi"/>
        </w:rPr>
      </w:pPr>
      <w:hyperlink w:anchor="_Toc69305543" w:history="1">
        <w:r w:rsidR="004B3EA2" w:rsidRPr="00503FCF">
          <w:rPr>
            <w:rStyle w:val="Hyperlink"/>
          </w:rPr>
          <w:t>A.9.</w:t>
        </w:r>
        <w:r w:rsidR="004B3EA2">
          <w:rPr>
            <w:rFonts w:asciiTheme="minorHAnsi" w:eastAsiaTheme="minorEastAsia" w:hAnsiTheme="minorHAnsi" w:cstheme="minorBidi"/>
          </w:rPr>
          <w:tab/>
        </w:r>
        <w:r w:rsidR="004B3EA2" w:rsidRPr="00503FCF">
          <w:rPr>
            <w:rStyle w:val="Hyperlink"/>
          </w:rPr>
          <w:t>Summary of the PICO</w:t>
        </w:r>
        <w:r w:rsidR="004B3EA2">
          <w:rPr>
            <w:webHidden/>
          </w:rPr>
          <w:tab/>
        </w:r>
        <w:r w:rsidR="004B3EA2">
          <w:rPr>
            <w:webHidden/>
          </w:rPr>
          <w:fldChar w:fldCharType="begin"/>
        </w:r>
        <w:r w:rsidR="004B3EA2">
          <w:rPr>
            <w:webHidden/>
          </w:rPr>
          <w:instrText xml:space="preserve"> PAGEREF _Toc69305543 \h </w:instrText>
        </w:r>
        <w:r w:rsidR="004B3EA2">
          <w:rPr>
            <w:webHidden/>
          </w:rPr>
        </w:r>
        <w:r w:rsidR="004B3EA2">
          <w:rPr>
            <w:webHidden/>
          </w:rPr>
          <w:fldChar w:fldCharType="separate"/>
        </w:r>
        <w:r w:rsidR="004B3EA2">
          <w:rPr>
            <w:webHidden/>
          </w:rPr>
          <w:t>30</w:t>
        </w:r>
        <w:r w:rsidR="004B3EA2">
          <w:rPr>
            <w:webHidden/>
          </w:rPr>
          <w:fldChar w:fldCharType="end"/>
        </w:r>
      </w:hyperlink>
    </w:p>
    <w:p w14:paraId="3D913CB6" w14:textId="596675D1" w:rsidR="004B3EA2" w:rsidRDefault="00003BA5">
      <w:pPr>
        <w:pStyle w:val="TOC2"/>
        <w:tabs>
          <w:tab w:val="left" w:pos="1540"/>
        </w:tabs>
        <w:rPr>
          <w:rFonts w:asciiTheme="minorHAnsi" w:eastAsiaTheme="minorEastAsia" w:hAnsiTheme="minorHAnsi" w:cstheme="minorBidi"/>
        </w:rPr>
      </w:pPr>
      <w:hyperlink w:anchor="_Toc69305544" w:history="1">
        <w:r w:rsidR="004B3EA2" w:rsidRPr="00503FCF">
          <w:rPr>
            <w:rStyle w:val="Hyperlink"/>
          </w:rPr>
          <w:t>A.10.</w:t>
        </w:r>
        <w:r w:rsidR="004B3EA2">
          <w:rPr>
            <w:rFonts w:asciiTheme="minorHAnsi" w:eastAsiaTheme="minorEastAsia" w:hAnsiTheme="minorHAnsi" w:cstheme="minorBidi"/>
          </w:rPr>
          <w:tab/>
        </w:r>
        <w:r w:rsidR="004B3EA2" w:rsidRPr="00503FCF">
          <w:rPr>
            <w:rStyle w:val="Hyperlink"/>
          </w:rPr>
          <w:t>Consumer impact statement</w:t>
        </w:r>
        <w:r w:rsidR="004B3EA2">
          <w:rPr>
            <w:webHidden/>
          </w:rPr>
          <w:tab/>
        </w:r>
        <w:r w:rsidR="004B3EA2">
          <w:rPr>
            <w:webHidden/>
          </w:rPr>
          <w:fldChar w:fldCharType="begin"/>
        </w:r>
        <w:r w:rsidR="004B3EA2">
          <w:rPr>
            <w:webHidden/>
          </w:rPr>
          <w:instrText xml:space="preserve"> PAGEREF _Toc69305544 \h </w:instrText>
        </w:r>
        <w:r w:rsidR="004B3EA2">
          <w:rPr>
            <w:webHidden/>
          </w:rPr>
        </w:r>
        <w:r w:rsidR="004B3EA2">
          <w:rPr>
            <w:webHidden/>
          </w:rPr>
          <w:fldChar w:fldCharType="separate"/>
        </w:r>
        <w:r w:rsidR="004B3EA2">
          <w:rPr>
            <w:webHidden/>
          </w:rPr>
          <w:t>31</w:t>
        </w:r>
        <w:r w:rsidR="004B3EA2">
          <w:rPr>
            <w:webHidden/>
          </w:rPr>
          <w:fldChar w:fldCharType="end"/>
        </w:r>
      </w:hyperlink>
    </w:p>
    <w:p w14:paraId="07D2E1EB" w14:textId="24E4402D" w:rsidR="004B3EA2" w:rsidRDefault="00003BA5">
      <w:pPr>
        <w:pStyle w:val="TOC1"/>
        <w:rPr>
          <w:rFonts w:asciiTheme="minorHAnsi" w:eastAsiaTheme="minorEastAsia" w:hAnsiTheme="minorHAnsi" w:cstheme="minorBidi"/>
          <w:b w:val="0"/>
        </w:rPr>
      </w:pPr>
      <w:hyperlink w:anchor="_Toc69305545" w:history="1">
        <w:r w:rsidR="004B3EA2" w:rsidRPr="00503FCF">
          <w:rPr>
            <w:rStyle w:val="Hyperlink"/>
          </w:rPr>
          <w:t>Section B</w:t>
        </w:r>
        <w:r w:rsidR="004B3EA2">
          <w:rPr>
            <w:rFonts w:asciiTheme="minorHAnsi" w:eastAsiaTheme="minorEastAsia" w:hAnsiTheme="minorHAnsi" w:cstheme="minorBidi"/>
            <w:b w:val="0"/>
          </w:rPr>
          <w:tab/>
        </w:r>
        <w:r w:rsidR="004B3EA2" w:rsidRPr="00503FCF">
          <w:rPr>
            <w:rStyle w:val="Hyperlink"/>
          </w:rPr>
          <w:t>Clinical Evaluation</w:t>
        </w:r>
        <w:r w:rsidR="004B3EA2">
          <w:rPr>
            <w:webHidden/>
          </w:rPr>
          <w:tab/>
        </w:r>
        <w:r w:rsidR="004B3EA2">
          <w:rPr>
            <w:webHidden/>
          </w:rPr>
          <w:fldChar w:fldCharType="begin"/>
        </w:r>
        <w:r w:rsidR="004B3EA2">
          <w:rPr>
            <w:webHidden/>
          </w:rPr>
          <w:instrText xml:space="preserve"> PAGEREF _Toc69305545 \h </w:instrText>
        </w:r>
        <w:r w:rsidR="004B3EA2">
          <w:rPr>
            <w:webHidden/>
          </w:rPr>
        </w:r>
        <w:r w:rsidR="004B3EA2">
          <w:rPr>
            <w:webHidden/>
          </w:rPr>
          <w:fldChar w:fldCharType="separate"/>
        </w:r>
        <w:r w:rsidR="004B3EA2">
          <w:rPr>
            <w:webHidden/>
          </w:rPr>
          <w:t>32</w:t>
        </w:r>
        <w:r w:rsidR="004B3EA2">
          <w:rPr>
            <w:webHidden/>
          </w:rPr>
          <w:fldChar w:fldCharType="end"/>
        </w:r>
      </w:hyperlink>
    </w:p>
    <w:p w14:paraId="4031B901" w14:textId="0918A206" w:rsidR="004B3EA2" w:rsidRDefault="00003BA5">
      <w:pPr>
        <w:pStyle w:val="TOC2"/>
        <w:tabs>
          <w:tab w:val="left" w:pos="1418"/>
        </w:tabs>
        <w:rPr>
          <w:rFonts w:asciiTheme="minorHAnsi" w:eastAsiaTheme="minorEastAsia" w:hAnsiTheme="minorHAnsi" w:cstheme="minorBidi"/>
        </w:rPr>
      </w:pPr>
      <w:hyperlink w:anchor="_Toc69305546" w:history="1">
        <w:r w:rsidR="004B3EA2" w:rsidRPr="00503FCF">
          <w:rPr>
            <w:rStyle w:val="Hyperlink"/>
          </w:rPr>
          <w:t>B.1.</w:t>
        </w:r>
        <w:r w:rsidR="004B3EA2">
          <w:rPr>
            <w:rFonts w:asciiTheme="minorHAnsi" w:eastAsiaTheme="minorEastAsia" w:hAnsiTheme="minorHAnsi" w:cstheme="minorBidi"/>
          </w:rPr>
          <w:tab/>
        </w:r>
        <w:r w:rsidR="004B3EA2" w:rsidRPr="00503FCF">
          <w:rPr>
            <w:rStyle w:val="Hyperlink"/>
          </w:rPr>
          <w:t>Literature Sources and Search Strategies</w:t>
        </w:r>
        <w:r w:rsidR="004B3EA2">
          <w:rPr>
            <w:webHidden/>
          </w:rPr>
          <w:tab/>
        </w:r>
        <w:r w:rsidR="004B3EA2">
          <w:rPr>
            <w:webHidden/>
          </w:rPr>
          <w:fldChar w:fldCharType="begin"/>
        </w:r>
        <w:r w:rsidR="004B3EA2">
          <w:rPr>
            <w:webHidden/>
          </w:rPr>
          <w:instrText xml:space="preserve"> PAGEREF _Toc69305546 \h </w:instrText>
        </w:r>
        <w:r w:rsidR="004B3EA2">
          <w:rPr>
            <w:webHidden/>
          </w:rPr>
        </w:r>
        <w:r w:rsidR="004B3EA2">
          <w:rPr>
            <w:webHidden/>
          </w:rPr>
          <w:fldChar w:fldCharType="separate"/>
        </w:r>
        <w:r w:rsidR="004B3EA2">
          <w:rPr>
            <w:webHidden/>
          </w:rPr>
          <w:t>32</w:t>
        </w:r>
        <w:r w:rsidR="004B3EA2">
          <w:rPr>
            <w:webHidden/>
          </w:rPr>
          <w:fldChar w:fldCharType="end"/>
        </w:r>
      </w:hyperlink>
    </w:p>
    <w:p w14:paraId="4E9343E3" w14:textId="045339F0" w:rsidR="004B3EA2" w:rsidRDefault="00003BA5">
      <w:pPr>
        <w:pStyle w:val="TOC2"/>
        <w:tabs>
          <w:tab w:val="left" w:pos="1418"/>
        </w:tabs>
        <w:rPr>
          <w:rFonts w:asciiTheme="minorHAnsi" w:eastAsiaTheme="minorEastAsia" w:hAnsiTheme="minorHAnsi" w:cstheme="minorBidi"/>
        </w:rPr>
      </w:pPr>
      <w:hyperlink w:anchor="_Toc69305547" w:history="1">
        <w:r w:rsidR="004B3EA2" w:rsidRPr="00503FCF">
          <w:rPr>
            <w:rStyle w:val="Hyperlink"/>
          </w:rPr>
          <w:t>B.2.</w:t>
        </w:r>
        <w:r w:rsidR="004B3EA2">
          <w:rPr>
            <w:rFonts w:asciiTheme="minorHAnsi" w:eastAsiaTheme="minorEastAsia" w:hAnsiTheme="minorHAnsi" w:cstheme="minorBidi"/>
          </w:rPr>
          <w:tab/>
        </w:r>
        <w:r w:rsidR="004B3EA2" w:rsidRPr="00503FCF">
          <w:rPr>
            <w:rStyle w:val="Hyperlink"/>
          </w:rPr>
          <w:t>Results of Literature Search</w:t>
        </w:r>
        <w:r w:rsidR="004B3EA2">
          <w:rPr>
            <w:webHidden/>
          </w:rPr>
          <w:tab/>
        </w:r>
        <w:r w:rsidR="004B3EA2">
          <w:rPr>
            <w:webHidden/>
          </w:rPr>
          <w:fldChar w:fldCharType="begin"/>
        </w:r>
        <w:r w:rsidR="004B3EA2">
          <w:rPr>
            <w:webHidden/>
          </w:rPr>
          <w:instrText xml:space="preserve"> PAGEREF _Toc69305547 \h </w:instrText>
        </w:r>
        <w:r w:rsidR="004B3EA2">
          <w:rPr>
            <w:webHidden/>
          </w:rPr>
        </w:r>
        <w:r w:rsidR="004B3EA2">
          <w:rPr>
            <w:webHidden/>
          </w:rPr>
          <w:fldChar w:fldCharType="separate"/>
        </w:r>
        <w:r w:rsidR="004B3EA2">
          <w:rPr>
            <w:webHidden/>
          </w:rPr>
          <w:t>33</w:t>
        </w:r>
        <w:r w:rsidR="004B3EA2">
          <w:rPr>
            <w:webHidden/>
          </w:rPr>
          <w:fldChar w:fldCharType="end"/>
        </w:r>
      </w:hyperlink>
    </w:p>
    <w:p w14:paraId="02A04438" w14:textId="2F9A541A" w:rsidR="004B3EA2" w:rsidRDefault="00003BA5">
      <w:pPr>
        <w:pStyle w:val="TOC3"/>
        <w:rPr>
          <w:rFonts w:asciiTheme="minorHAnsi" w:eastAsiaTheme="minorEastAsia" w:hAnsiTheme="minorHAnsi" w:cstheme="minorBidi"/>
        </w:rPr>
      </w:pPr>
      <w:hyperlink w:anchor="_Toc69305548" w:history="1">
        <w:r w:rsidR="004B3EA2" w:rsidRPr="00503FCF">
          <w:rPr>
            <w:rStyle w:val="Hyperlink"/>
          </w:rPr>
          <w:t>Appraisal of the evidence</w:t>
        </w:r>
        <w:r w:rsidR="004B3EA2">
          <w:rPr>
            <w:webHidden/>
          </w:rPr>
          <w:tab/>
        </w:r>
        <w:r w:rsidR="004B3EA2">
          <w:rPr>
            <w:webHidden/>
          </w:rPr>
          <w:fldChar w:fldCharType="begin"/>
        </w:r>
        <w:r w:rsidR="004B3EA2">
          <w:rPr>
            <w:webHidden/>
          </w:rPr>
          <w:instrText xml:space="preserve"> PAGEREF _Toc69305548 \h </w:instrText>
        </w:r>
        <w:r w:rsidR="004B3EA2">
          <w:rPr>
            <w:webHidden/>
          </w:rPr>
        </w:r>
        <w:r w:rsidR="004B3EA2">
          <w:rPr>
            <w:webHidden/>
          </w:rPr>
          <w:fldChar w:fldCharType="separate"/>
        </w:r>
        <w:r w:rsidR="004B3EA2">
          <w:rPr>
            <w:webHidden/>
          </w:rPr>
          <w:t>36</w:t>
        </w:r>
        <w:r w:rsidR="004B3EA2">
          <w:rPr>
            <w:webHidden/>
          </w:rPr>
          <w:fldChar w:fldCharType="end"/>
        </w:r>
      </w:hyperlink>
    </w:p>
    <w:p w14:paraId="5965C945" w14:textId="6BA6BC35" w:rsidR="004B3EA2" w:rsidRDefault="00003BA5">
      <w:pPr>
        <w:pStyle w:val="TOC2"/>
        <w:tabs>
          <w:tab w:val="left" w:pos="1418"/>
        </w:tabs>
        <w:rPr>
          <w:rFonts w:asciiTheme="minorHAnsi" w:eastAsiaTheme="minorEastAsia" w:hAnsiTheme="minorHAnsi" w:cstheme="minorBidi"/>
        </w:rPr>
      </w:pPr>
      <w:hyperlink w:anchor="_Toc69305549" w:history="1">
        <w:r w:rsidR="004B3EA2" w:rsidRPr="00503FCF">
          <w:rPr>
            <w:rStyle w:val="Hyperlink"/>
          </w:rPr>
          <w:t>B.3.</w:t>
        </w:r>
        <w:r w:rsidR="004B3EA2">
          <w:rPr>
            <w:rFonts w:asciiTheme="minorHAnsi" w:eastAsiaTheme="minorEastAsia" w:hAnsiTheme="minorHAnsi" w:cstheme="minorBidi"/>
          </w:rPr>
          <w:tab/>
        </w:r>
        <w:r w:rsidR="004B3EA2" w:rsidRPr="00503FCF">
          <w:rPr>
            <w:rStyle w:val="Hyperlink"/>
          </w:rPr>
          <w:t>Risk of Bias Assessment</w:t>
        </w:r>
        <w:r w:rsidR="004B3EA2">
          <w:rPr>
            <w:webHidden/>
          </w:rPr>
          <w:tab/>
        </w:r>
        <w:r w:rsidR="004B3EA2">
          <w:rPr>
            <w:webHidden/>
          </w:rPr>
          <w:fldChar w:fldCharType="begin"/>
        </w:r>
        <w:r w:rsidR="004B3EA2">
          <w:rPr>
            <w:webHidden/>
          </w:rPr>
          <w:instrText xml:space="preserve"> PAGEREF _Toc69305549 \h </w:instrText>
        </w:r>
        <w:r w:rsidR="004B3EA2">
          <w:rPr>
            <w:webHidden/>
          </w:rPr>
        </w:r>
        <w:r w:rsidR="004B3EA2">
          <w:rPr>
            <w:webHidden/>
          </w:rPr>
          <w:fldChar w:fldCharType="separate"/>
        </w:r>
        <w:r w:rsidR="004B3EA2">
          <w:rPr>
            <w:webHidden/>
          </w:rPr>
          <w:t>36</w:t>
        </w:r>
        <w:r w:rsidR="004B3EA2">
          <w:rPr>
            <w:webHidden/>
          </w:rPr>
          <w:fldChar w:fldCharType="end"/>
        </w:r>
      </w:hyperlink>
    </w:p>
    <w:p w14:paraId="30E74D5D" w14:textId="552B0939" w:rsidR="004B3EA2" w:rsidRDefault="00003BA5">
      <w:pPr>
        <w:pStyle w:val="TOC3"/>
        <w:rPr>
          <w:rFonts w:asciiTheme="minorHAnsi" w:eastAsiaTheme="minorEastAsia" w:hAnsiTheme="minorHAnsi" w:cstheme="minorBidi"/>
        </w:rPr>
      </w:pPr>
      <w:hyperlink w:anchor="_Toc69305550" w:history="1">
        <w:r w:rsidR="004B3EA2" w:rsidRPr="00503FCF">
          <w:rPr>
            <w:rStyle w:val="Hyperlink"/>
          </w:rPr>
          <w:t>Risk of bias in the randomised controlled trials</w:t>
        </w:r>
        <w:r w:rsidR="004B3EA2">
          <w:rPr>
            <w:webHidden/>
          </w:rPr>
          <w:tab/>
        </w:r>
        <w:r w:rsidR="004B3EA2">
          <w:rPr>
            <w:webHidden/>
          </w:rPr>
          <w:fldChar w:fldCharType="begin"/>
        </w:r>
        <w:r w:rsidR="004B3EA2">
          <w:rPr>
            <w:webHidden/>
          </w:rPr>
          <w:instrText xml:space="preserve"> PAGEREF _Toc69305550 \h </w:instrText>
        </w:r>
        <w:r w:rsidR="004B3EA2">
          <w:rPr>
            <w:webHidden/>
          </w:rPr>
        </w:r>
        <w:r w:rsidR="004B3EA2">
          <w:rPr>
            <w:webHidden/>
          </w:rPr>
          <w:fldChar w:fldCharType="separate"/>
        </w:r>
        <w:r w:rsidR="004B3EA2">
          <w:rPr>
            <w:webHidden/>
          </w:rPr>
          <w:t>36</w:t>
        </w:r>
        <w:r w:rsidR="004B3EA2">
          <w:rPr>
            <w:webHidden/>
          </w:rPr>
          <w:fldChar w:fldCharType="end"/>
        </w:r>
      </w:hyperlink>
    </w:p>
    <w:p w14:paraId="348FA57A" w14:textId="2E632BEC" w:rsidR="004B3EA2" w:rsidRDefault="00003BA5">
      <w:pPr>
        <w:pStyle w:val="TOC3"/>
        <w:rPr>
          <w:rFonts w:asciiTheme="minorHAnsi" w:eastAsiaTheme="minorEastAsia" w:hAnsiTheme="minorHAnsi" w:cstheme="minorBidi"/>
        </w:rPr>
      </w:pPr>
      <w:hyperlink w:anchor="_Toc69305551" w:history="1">
        <w:r w:rsidR="004B3EA2" w:rsidRPr="00503FCF">
          <w:rPr>
            <w:rStyle w:val="Hyperlink"/>
          </w:rPr>
          <w:t>Studies included for the extended assessment of harms</w:t>
        </w:r>
        <w:r w:rsidR="004B3EA2">
          <w:rPr>
            <w:webHidden/>
          </w:rPr>
          <w:tab/>
        </w:r>
        <w:r w:rsidR="004B3EA2">
          <w:rPr>
            <w:webHidden/>
          </w:rPr>
          <w:fldChar w:fldCharType="begin"/>
        </w:r>
        <w:r w:rsidR="004B3EA2">
          <w:rPr>
            <w:webHidden/>
          </w:rPr>
          <w:instrText xml:space="preserve"> PAGEREF _Toc69305551 \h </w:instrText>
        </w:r>
        <w:r w:rsidR="004B3EA2">
          <w:rPr>
            <w:webHidden/>
          </w:rPr>
        </w:r>
        <w:r w:rsidR="004B3EA2">
          <w:rPr>
            <w:webHidden/>
          </w:rPr>
          <w:fldChar w:fldCharType="separate"/>
        </w:r>
        <w:r w:rsidR="004B3EA2">
          <w:rPr>
            <w:webHidden/>
          </w:rPr>
          <w:t>36</w:t>
        </w:r>
        <w:r w:rsidR="004B3EA2">
          <w:rPr>
            <w:webHidden/>
          </w:rPr>
          <w:fldChar w:fldCharType="end"/>
        </w:r>
      </w:hyperlink>
    </w:p>
    <w:p w14:paraId="05CC181C" w14:textId="1DAD3C42" w:rsidR="004B3EA2" w:rsidRDefault="00003BA5">
      <w:pPr>
        <w:pStyle w:val="TOC2"/>
        <w:tabs>
          <w:tab w:val="left" w:pos="1418"/>
        </w:tabs>
        <w:rPr>
          <w:rFonts w:asciiTheme="minorHAnsi" w:eastAsiaTheme="minorEastAsia" w:hAnsiTheme="minorHAnsi" w:cstheme="minorBidi"/>
        </w:rPr>
      </w:pPr>
      <w:hyperlink w:anchor="_Toc69305552" w:history="1">
        <w:r w:rsidR="004B3EA2" w:rsidRPr="00503FCF">
          <w:rPr>
            <w:rStyle w:val="Hyperlink"/>
          </w:rPr>
          <w:t>B.4.</w:t>
        </w:r>
        <w:r w:rsidR="004B3EA2">
          <w:rPr>
            <w:rFonts w:asciiTheme="minorHAnsi" w:eastAsiaTheme="minorEastAsia" w:hAnsiTheme="minorHAnsi" w:cstheme="minorBidi"/>
          </w:rPr>
          <w:tab/>
        </w:r>
        <w:r w:rsidR="004B3EA2" w:rsidRPr="00503FCF">
          <w:rPr>
            <w:rStyle w:val="Hyperlink"/>
          </w:rPr>
          <w:t>Characteristics of the Evidence Base</w:t>
        </w:r>
        <w:r w:rsidR="004B3EA2">
          <w:rPr>
            <w:webHidden/>
          </w:rPr>
          <w:tab/>
        </w:r>
        <w:r w:rsidR="004B3EA2">
          <w:rPr>
            <w:webHidden/>
          </w:rPr>
          <w:fldChar w:fldCharType="begin"/>
        </w:r>
        <w:r w:rsidR="004B3EA2">
          <w:rPr>
            <w:webHidden/>
          </w:rPr>
          <w:instrText xml:space="preserve"> PAGEREF _Toc69305552 \h </w:instrText>
        </w:r>
        <w:r w:rsidR="004B3EA2">
          <w:rPr>
            <w:webHidden/>
          </w:rPr>
        </w:r>
        <w:r w:rsidR="004B3EA2">
          <w:rPr>
            <w:webHidden/>
          </w:rPr>
          <w:fldChar w:fldCharType="separate"/>
        </w:r>
        <w:r w:rsidR="004B3EA2">
          <w:rPr>
            <w:webHidden/>
          </w:rPr>
          <w:t>38</w:t>
        </w:r>
        <w:r w:rsidR="004B3EA2">
          <w:rPr>
            <w:webHidden/>
          </w:rPr>
          <w:fldChar w:fldCharType="end"/>
        </w:r>
      </w:hyperlink>
    </w:p>
    <w:p w14:paraId="01C59509" w14:textId="55E88A9E" w:rsidR="004B3EA2" w:rsidRDefault="00003BA5">
      <w:pPr>
        <w:pStyle w:val="TOC2"/>
        <w:tabs>
          <w:tab w:val="left" w:pos="1418"/>
        </w:tabs>
        <w:rPr>
          <w:rFonts w:asciiTheme="minorHAnsi" w:eastAsiaTheme="minorEastAsia" w:hAnsiTheme="minorHAnsi" w:cstheme="minorBidi"/>
        </w:rPr>
      </w:pPr>
      <w:hyperlink w:anchor="_Toc69305553" w:history="1">
        <w:r w:rsidR="004B3EA2" w:rsidRPr="00503FCF">
          <w:rPr>
            <w:rStyle w:val="Hyperlink"/>
          </w:rPr>
          <w:t>B.5.</w:t>
        </w:r>
        <w:r w:rsidR="004B3EA2">
          <w:rPr>
            <w:rFonts w:asciiTheme="minorHAnsi" w:eastAsiaTheme="minorEastAsia" w:hAnsiTheme="minorHAnsi" w:cstheme="minorBidi"/>
          </w:rPr>
          <w:tab/>
        </w:r>
        <w:r w:rsidR="004B3EA2" w:rsidRPr="00503FCF">
          <w:rPr>
            <w:rStyle w:val="Hyperlink"/>
          </w:rPr>
          <w:t>Outcome Measures and Analysis</w:t>
        </w:r>
        <w:r w:rsidR="004B3EA2">
          <w:rPr>
            <w:webHidden/>
          </w:rPr>
          <w:tab/>
        </w:r>
        <w:r w:rsidR="004B3EA2">
          <w:rPr>
            <w:webHidden/>
          </w:rPr>
          <w:fldChar w:fldCharType="begin"/>
        </w:r>
        <w:r w:rsidR="004B3EA2">
          <w:rPr>
            <w:webHidden/>
          </w:rPr>
          <w:instrText xml:space="preserve"> PAGEREF _Toc69305553 \h </w:instrText>
        </w:r>
        <w:r w:rsidR="004B3EA2">
          <w:rPr>
            <w:webHidden/>
          </w:rPr>
        </w:r>
        <w:r w:rsidR="004B3EA2">
          <w:rPr>
            <w:webHidden/>
          </w:rPr>
          <w:fldChar w:fldCharType="separate"/>
        </w:r>
        <w:r w:rsidR="004B3EA2">
          <w:rPr>
            <w:webHidden/>
          </w:rPr>
          <w:t>40</w:t>
        </w:r>
        <w:r w:rsidR="004B3EA2">
          <w:rPr>
            <w:webHidden/>
          </w:rPr>
          <w:fldChar w:fldCharType="end"/>
        </w:r>
      </w:hyperlink>
    </w:p>
    <w:p w14:paraId="13F329DA" w14:textId="03C8CBF2" w:rsidR="004B3EA2" w:rsidRDefault="00003BA5">
      <w:pPr>
        <w:pStyle w:val="TOC2"/>
        <w:tabs>
          <w:tab w:val="left" w:pos="1418"/>
        </w:tabs>
        <w:rPr>
          <w:rFonts w:asciiTheme="minorHAnsi" w:eastAsiaTheme="minorEastAsia" w:hAnsiTheme="minorHAnsi" w:cstheme="minorBidi"/>
        </w:rPr>
      </w:pPr>
      <w:hyperlink w:anchor="_Toc69305554" w:history="1">
        <w:r w:rsidR="004B3EA2" w:rsidRPr="00503FCF">
          <w:rPr>
            <w:rStyle w:val="Hyperlink"/>
          </w:rPr>
          <w:t>B.6.</w:t>
        </w:r>
        <w:r w:rsidR="004B3EA2">
          <w:rPr>
            <w:rFonts w:asciiTheme="minorHAnsi" w:eastAsiaTheme="minorEastAsia" w:hAnsiTheme="minorHAnsi" w:cstheme="minorBidi"/>
          </w:rPr>
          <w:tab/>
        </w:r>
        <w:r w:rsidR="004B3EA2" w:rsidRPr="00503FCF">
          <w:rPr>
            <w:rStyle w:val="Hyperlink"/>
          </w:rPr>
          <w:t>Results of the Systematic Literature review</w:t>
        </w:r>
        <w:r w:rsidR="004B3EA2">
          <w:rPr>
            <w:webHidden/>
          </w:rPr>
          <w:tab/>
        </w:r>
        <w:r w:rsidR="004B3EA2">
          <w:rPr>
            <w:webHidden/>
          </w:rPr>
          <w:fldChar w:fldCharType="begin"/>
        </w:r>
        <w:r w:rsidR="004B3EA2">
          <w:rPr>
            <w:webHidden/>
          </w:rPr>
          <w:instrText xml:space="preserve"> PAGEREF _Toc69305554 \h </w:instrText>
        </w:r>
        <w:r w:rsidR="004B3EA2">
          <w:rPr>
            <w:webHidden/>
          </w:rPr>
        </w:r>
        <w:r w:rsidR="004B3EA2">
          <w:rPr>
            <w:webHidden/>
          </w:rPr>
          <w:fldChar w:fldCharType="separate"/>
        </w:r>
        <w:r w:rsidR="004B3EA2">
          <w:rPr>
            <w:webHidden/>
          </w:rPr>
          <w:t>42</w:t>
        </w:r>
        <w:r w:rsidR="004B3EA2">
          <w:rPr>
            <w:webHidden/>
          </w:rPr>
          <w:fldChar w:fldCharType="end"/>
        </w:r>
      </w:hyperlink>
    </w:p>
    <w:p w14:paraId="729950C8" w14:textId="25C839DC" w:rsidR="004B3EA2" w:rsidRDefault="00003BA5">
      <w:pPr>
        <w:pStyle w:val="TOC2"/>
        <w:rPr>
          <w:rFonts w:asciiTheme="minorHAnsi" w:eastAsiaTheme="minorEastAsia" w:hAnsiTheme="minorHAnsi" w:cstheme="minorBidi"/>
        </w:rPr>
      </w:pPr>
      <w:hyperlink w:anchor="_Toc69305555" w:history="1">
        <w:r w:rsidR="004B3EA2" w:rsidRPr="00503FCF">
          <w:rPr>
            <w:rStyle w:val="Hyperlink"/>
          </w:rPr>
          <w:t>Is it safe?</w:t>
        </w:r>
        <w:r w:rsidR="004B3EA2">
          <w:rPr>
            <w:webHidden/>
          </w:rPr>
          <w:tab/>
        </w:r>
        <w:r w:rsidR="004B3EA2">
          <w:rPr>
            <w:webHidden/>
          </w:rPr>
          <w:fldChar w:fldCharType="begin"/>
        </w:r>
        <w:r w:rsidR="004B3EA2">
          <w:rPr>
            <w:webHidden/>
          </w:rPr>
          <w:instrText xml:space="preserve"> PAGEREF _Toc69305555 \h </w:instrText>
        </w:r>
        <w:r w:rsidR="004B3EA2">
          <w:rPr>
            <w:webHidden/>
          </w:rPr>
        </w:r>
        <w:r w:rsidR="004B3EA2">
          <w:rPr>
            <w:webHidden/>
          </w:rPr>
          <w:fldChar w:fldCharType="separate"/>
        </w:r>
        <w:r w:rsidR="004B3EA2">
          <w:rPr>
            <w:webHidden/>
          </w:rPr>
          <w:t>42</w:t>
        </w:r>
        <w:r w:rsidR="004B3EA2">
          <w:rPr>
            <w:webHidden/>
          </w:rPr>
          <w:fldChar w:fldCharType="end"/>
        </w:r>
      </w:hyperlink>
    </w:p>
    <w:p w14:paraId="7EBD0F86" w14:textId="3B7030DC" w:rsidR="004B3EA2" w:rsidRDefault="00003BA5">
      <w:pPr>
        <w:pStyle w:val="TOC3"/>
        <w:rPr>
          <w:rFonts w:asciiTheme="minorHAnsi" w:eastAsiaTheme="minorEastAsia" w:hAnsiTheme="minorHAnsi" w:cstheme="minorBidi"/>
        </w:rPr>
      </w:pPr>
      <w:hyperlink w:anchor="_Toc69305556" w:history="1">
        <w:r w:rsidR="004B3EA2" w:rsidRPr="00503FCF">
          <w:rPr>
            <w:rStyle w:val="Hyperlink"/>
          </w:rPr>
          <w:t>Normal IVIg dose and interval compared with half IVIg dose at half the interval in CIDP patients on individualised maintenance treatment</w:t>
        </w:r>
        <w:r w:rsidR="004B3EA2">
          <w:rPr>
            <w:webHidden/>
          </w:rPr>
          <w:tab/>
        </w:r>
        <w:r w:rsidR="004B3EA2">
          <w:rPr>
            <w:webHidden/>
          </w:rPr>
          <w:fldChar w:fldCharType="begin"/>
        </w:r>
        <w:r w:rsidR="004B3EA2">
          <w:rPr>
            <w:webHidden/>
          </w:rPr>
          <w:instrText xml:space="preserve"> PAGEREF _Toc69305556 \h </w:instrText>
        </w:r>
        <w:r w:rsidR="004B3EA2">
          <w:rPr>
            <w:webHidden/>
          </w:rPr>
        </w:r>
        <w:r w:rsidR="004B3EA2">
          <w:rPr>
            <w:webHidden/>
          </w:rPr>
          <w:fldChar w:fldCharType="separate"/>
        </w:r>
        <w:r w:rsidR="004B3EA2">
          <w:rPr>
            <w:webHidden/>
          </w:rPr>
          <w:t>43</w:t>
        </w:r>
        <w:r w:rsidR="004B3EA2">
          <w:rPr>
            <w:webHidden/>
          </w:rPr>
          <w:fldChar w:fldCharType="end"/>
        </w:r>
      </w:hyperlink>
    </w:p>
    <w:p w14:paraId="36098616" w14:textId="6ED7A8FC" w:rsidR="004B3EA2" w:rsidRDefault="00003BA5">
      <w:pPr>
        <w:pStyle w:val="TOC3"/>
        <w:rPr>
          <w:rFonts w:asciiTheme="minorHAnsi" w:eastAsiaTheme="minorEastAsia" w:hAnsiTheme="minorHAnsi" w:cstheme="minorBidi"/>
        </w:rPr>
      </w:pPr>
      <w:hyperlink w:anchor="_Toc69305557" w:history="1">
        <w:r w:rsidR="004B3EA2" w:rsidRPr="00503FCF">
          <w:rPr>
            <w:rStyle w:val="Hyperlink"/>
          </w:rPr>
          <w:t>SCIg (0.2 g/kg) compared with SCIg (0.4 g/kg) and placebo in CIDP patients stabilised on IVIg</w:t>
        </w:r>
        <w:r w:rsidR="004B3EA2">
          <w:rPr>
            <w:webHidden/>
          </w:rPr>
          <w:tab/>
        </w:r>
        <w:r w:rsidR="004B3EA2">
          <w:rPr>
            <w:webHidden/>
          </w:rPr>
          <w:fldChar w:fldCharType="begin"/>
        </w:r>
        <w:r w:rsidR="004B3EA2">
          <w:rPr>
            <w:webHidden/>
          </w:rPr>
          <w:instrText xml:space="preserve"> PAGEREF _Toc69305557 \h </w:instrText>
        </w:r>
        <w:r w:rsidR="004B3EA2">
          <w:rPr>
            <w:webHidden/>
          </w:rPr>
        </w:r>
        <w:r w:rsidR="004B3EA2">
          <w:rPr>
            <w:webHidden/>
          </w:rPr>
          <w:fldChar w:fldCharType="separate"/>
        </w:r>
        <w:r w:rsidR="004B3EA2">
          <w:rPr>
            <w:webHidden/>
          </w:rPr>
          <w:t>44</w:t>
        </w:r>
        <w:r w:rsidR="004B3EA2">
          <w:rPr>
            <w:webHidden/>
          </w:rPr>
          <w:fldChar w:fldCharType="end"/>
        </w:r>
      </w:hyperlink>
    </w:p>
    <w:p w14:paraId="2669BDF4" w14:textId="543929B3" w:rsidR="004B3EA2" w:rsidRDefault="00003BA5">
      <w:pPr>
        <w:pStyle w:val="TOC2"/>
        <w:rPr>
          <w:rFonts w:asciiTheme="minorHAnsi" w:eastAsiaTheme="minorEastAsia" w:hAnsiTheme="minorHAnsi" w:cstheme="minorBidi"/>
        </w:rPr>
      </w:pPr>
      <w:hyperlink w:anchor="_Toc69305558" w:history="1">
        <w:r w:rsidR="004B3EA2" w:rsidRPr="00503FCF">
          <w:rPr>
            <w:rStyle w:val="Hyperlink"/>
          </w:rPr>
          <w:t>Is it effective?</w:t>
        </w:r>
        <w:r w:rsidR="004B3EA2">
          <w:rPr>
            <w:webHidden/>
          </w:rPr>
          <w:tab/>
        </w:r>
        <w:r w:rsidR="004B3EA2">
          <w:rPr>
            <w:webHidden/>
          </w:rPr>
          <w:fldChar w:fldCharType="begin"/>
        </w:r>
        <w:r w:rsidR="004B3EA2">
          <w:rPr>
            <w:webHidden/>
          </w:rPr>
          <w:instrText xml:space="preserve"> PAGEREF _Toc69305558 \h </w:instrText>
        </w:r>
        <w:r w:rsidR="004B3EA2">
          <w:rPr>
            <w:webHidden/>
          </w:rPr>
        </w:r>
        <w:r w:rsidR="004B3EA2">
          <w:rPr>
            <w:webHidden/>
          </w:rPr>
          <w:fldChar w:fldCharType="separate"/>
        </w:r>
        <w:r w:rsidR="004B3EA2">
          <w:rPr>
            <w:webHidden/>
          </w:rPr>
          <w:t>49</w:t>
        </w:r>
        <w:r w:rsidR="004B3EA2">
          <w:rPr>
            <w:webHidden/>
          </w:rPr>
          <w:fldChar w:fldCharType="end"/>
        </w:r>
      </w:hyperlink>
    </w:p>
    <w:p w14:paraId="41A909D0" w14:textId="3B15FFFA" w:rsidR="004B3EA2" w:rsidRDefault="00003BA5">
      <w:pPr>
        <w:pStyle w:val="TOC3"/>
        <w:rPr>
          <w:rFonts w:asciiTheme="minorHAnsi" w:eastAsiaTheme="minorEastAsia" w:hAnsiTheme="minorHAnsi" w:cstheme="minorBidi"/>
        </w:rPr>
      </w:pPr>
      <w:hyperlink w:anchor="_Toc69305559" w:history="1">
        <w:r w:rsidR="004B3EA2" w:rsidRPr="00503FCF">
          <w:rPr>
            <w:rStyle w:val="Hyperlink"/>
          </w:rPr>
          <w:t>IVIg (normal individualised dose and interval) compared with IVIg (half individualised dose at half the interval) in CIDP patients on individualised IVIg maintenance treatment</w:t>
        </w:r>
        <w:r w:rsidR="004B3EA2">
          <w:rPr>
            <w:webHidden/>
          </w:rPr>
          <w:tab/>
        </w:r>
        <w:r w:rsidR="004B3EA2">
          <w:rPr>
            <w:webHidden/>
          </w:rPr>
          <w:fldChar w:fldCharType="begin"/>
        </w:r>
        <w:r w:rsidR="004B3EA2">
          <w:rPr>
            <w:webHidden/>
          </w:rPr>
          <w:instrText xml:space="preserve"> PAGEREF _Toc69305559 \h </w:instrText>
        </w:r>
        <w:r w:rsidR="004B3EA2">
          <w:rPr>
            <w:webHidden/>
          </w:rPr>
        </w:r>
        <w:r w:rsidR="004B3EA2">
          <w:rPr>
            <w:webHidden/>
          </w:rPr>
          <w:fldChar w:fldCharType="separate"/>
        </w:r>
        <w:r w:rsidR="004B3EA2">
          <w:rPr>
            <w:webHidden/>
          </w:rPr>
          <w:t>50</w:t>
        </w:r>
        <w:r w:rsidR="004B3EA2">
          <w:rPr>
            <w:webHidden/>
          </w:rPr>
          <w:fldChar w:fldCharType="end"/>
        </w:r>
      </w:hyperlink>
    </w:p>
    <w:p w14:paraId="0CEA580B" w14:textId="5E59CD3D" w:rsidR="004B3EA2" w:rsidRDefault="00003BA5">
      <w:pPr>
        <w:pStyle w:val="TOC3"/>
        <w:rPr>
          <w:rFonts w:asciiTheme="minorHAnsi" w:eastAsiaTheme="minorEastAsia" w:hAnsiTheme="minorHAnsi" w:cstheme="minorBidi"/>
        </w:rPr>
      </w:pPr>
      <w:hyperlink w:anchor="_Toc69305560" w:history="1">
        <w:r w:rsidR="004B3EA2" w:rsidRPr="00503FCF">
          <w:rPr>
            <w:rStyle w:val="Hyperlink"/>
          </w:rPr>
          <w:t>SCIg (0.2 g/kg) compared with SCIg (0.4 g/kg) and placebo in CIDP patients stabilised on IVIg</w:t>
        </w:r>
        <w:r w:rsidR="004B3EA2">
          <w:rPr>
            <w:webHidden/>
          </w:rPr>
          <w:tab/>
        </w:r>
        <w:r w:rsidR="004B3EA2">
          <w:rPr>
            <w:webHidden/>
          </w:rPr>
          <w:fldChar w:fldCharType="begin"/>
        </w:r>
        <w:r w:rsidR="004B3EA2">
          <w:rPr>
            <w:webHidden/>
          </w:rPr>
          <w:instrText xml:space="preserve"> PAGEREF _Toc69305560 \h </w:instrText>
        </w:r>
        <w:r w:rsidR="004B3EA2">
          <w:rPr>
            <w:webHidden/>
          </w:rPr>
        </w:r>
        <w:r w:rsidR="004B3EA2">
          <w:rPr>
            <w:webHidden/>
          </w:rPr>
          <w:fldChar w:fldCharType="separate"/>
        </w:r>
        <w:r w:rsidR="004B3EA2">
          <w:rPr>
            <w:webHidden/>
          </w:rPr>
          <w:t>51</w:t>
        </w:r>
        <w:r w:rsidR="004B3EA2">
          <w:rPr>
            <w:webHidden/>
          </w:rPr>
          <w:fldChar w:fldCharType="end"/>
        </w:r>
      </w:hyperlink>
    </w:p>
    <w:p w14:paraId="15404B8E" w14:textId="0E1BFFCC" w:rsidR="004B3EA2" w:rsidRDefault="00003BA5">
      <w:pPr>
        <w:pStyle w:val="TOC2"/>
        <w:tabs>
          <w:tab w:val="left" w:pos="1418"/>
        </w:tabs>
        <w:rPr>
          <w:rFonts w:asciiTheme="minorHAnsi" w:eastAsiaTheme="minorEastAsia" w:hAnsiTheme="minorHAnsi" w:cstheme="minorBidi"/>
        </w:rPr>
      </w:pPr>
      <w:hyperlink w:anchor="_Toc69305561" w:history="1">
        <w:r w:rsidR="004B3EA2" w:rsidRPr="00503FCF">
          <w:rPr>
            <w:rStyle w:val="Hyperlink"/>
          </w:rPr>
          <w:t>B.7.</w:t>
        </w:r>
        <w:r w:rsidR="004B3EA2">
          <w:rPr>
            <w:rFonts w:asciiTheme="minorHAnsi" w:eastAsiaTheme="minorEastAsia" w:hAnsiTheme="minorHAnsi" w:cstheme="minorBidi"/>
          </w:rPr>
          <w:tab/>
        </w:r>
        <w:r w:rsidR="004B3EA2" w:rsidRPr="00503FCF">
          <w:rPr>
            <w:rStyle w:val="Hyperlink"/>
          </w:rPr>
          <w:t>Extended Assessment of Harms</w:t>
        </w:r>
        <w:r w:rsidR="004B3EA2">
          <w:rPr>
            <w:webHidden/>
          </w:rPr>
          <w:tab/>
        </w:r>
        <w:r w:rsidR="004B3EA2">
          <w:rPr>
            <w:webHidden/>
          </w:rPr>
          <w:fldChar w:fldCharType="begin"/>
        </w:r>
        <w:r w:rsidR="004B3EA2">
          <w:rPr>
            <w:webHidden/>
          </w:rPr>
          <w:instrText xml:space="preserve"> PAGEREF _Toc69305561 \h </w:instrText>
        </w:r>
        <w:r w:rsidR="004B3EA2">
          <w:rPr>
            <w:webHidden/>
          </w:rPr>
        </w:r>
        <w:r w:rsidR="004B3EA2">
          <w:rPr>
            <w:webHidden/>
          </w:rPr>
          <w:fldChar w:fldCharType="separate"/>
        </w:r>
        <w:r w:rsidR="004B3EA2">
          <w:rPr>
            <w:webHidden/>
          </w:rPr>
          <w:t>58</w:t>
        </w:r>
        <w:r w:rsidR="004B3EA2">
          <w:rPr>
            <w:webHidden/>
          </w:rPr>
          <w:fldChar w:fldCharType="end"/>
        </w:r>
      </w:hyperlink>
    </w:p>
    <w:p w14:paraId="5E9F4AD8" w14:textId="51FB7F70" w:rsidR="004B3EA2" w:rsidRDefault="00003BA5">
      <w:pPr>
        <w:pStyle w:val="TOC3"/>
        <w:rPr>
          <w:rFonts w:asciiTheme="minorHAnsi" w:eastAsiaTheme="minorEastAsia" w:hAnsiTheme="minorHAnsi" w:cstheme="minorBidi"/>
        </w:rPr>
      </w:pPr>
      <w:hyperlink w:anchor="_Toc69305562" w:history="1">
        <w:r w:rsidR="004B3EA2" w:rsidRPr="00503FCF">
          <w:rPr>
            <w:rStyle w:val="Hyperlink"/>
          </w:rPr>
          <w:t>Adverse events in patients receiving plasma exchange therapy</w:t>
        </w:r>
        <w:r w:rsidR="004B3EA2">
          <w:rPr>
            <w:webHidden/>
          </w:rPr>
          <w:tab/>
        </w:r>
        <w:r w:rsidR="004B3EA2">
          <w:rPr>
            <w:webHidden/>
          </w:rPr>
          <w:fldChar w:fldCharType="begin"/>
        </w:r>
        <w:r w:rsidR="004B3EA2">
          <w:rPr>
            <w:webHidden/>
          </w:rPr>
          <w:instrText xml:space="preserve"> PAGEREF _Toc69305562 \h </w:instrText>
        </w:r>
        <w:r w:rsidR="004B3EA2">
          <w:rPr>
            <w:webHidden/>
          </w:rPr>
        </w:r>
        <w:r w:rsidR="004B3EA2">
          <w:rPr>
            <w:webHidden/>
          </w:rPr>
          <w:fldChar w:fldCharType="separate"/>
        </w:r>
        <w:r w:rsidR="004B3EA2">
          <w:rPr>
            <w:webHidden/>
          </w:rPr>
          <w:t>58</w:t>
        </w:r>
        <w:r w:rsidR="004B3EA2">
          <w:rPr>
            <w:webHidden/>
          </w:rPr>
          <w:fldChar w:fldCharType="end"/>
        </w:r>
      </w:hyperlink>
    </w:p>
    <w:p w14:paraId="20072C85" w14:textId="4B12CEF8" w:rsidR="004B3EA2" w:rsidRDefault="00003BA5">
      <w:pPr>
        <w:pStyle w:val="TOC3"/>
        <w:rPr>
          <w:rFonts w:asciiTheme="minorHAnsi" w:eastAsiaTheme="minorEastAsia" w:hAnsiTheme="minorHAnsi" w:cstheme="minorBidi"/>
        </w:rPr>
      </w:pPr>
      <w:hyperlink w:anchor="_Toc69305563" w:history="1">
        <w:r w:rsidR="004B3EA2" w:rsidRPr="00503FCF">
          <w:rPr>
            <w:rStyle w:val="Hyperlink"/>
          </w:rPr>
          <w:t>Adverse events in patients receiving corticosteroid therapy</w:t>
        </w:r>
        <w:r w:rsidR="004B3EA2">
          <w:rPr>
            <w:webHidden/>
          </w:rPr>
          <w:tab/>
        </w:r>
        <w:r w:rsidR="004B3EA2">
          <w:rPr>
            <w:webHidden/>
          </w:rPr>
          <w:fldChar w:fldCharType="begin"/>
        </w:r>
        <w:r w:rsidR="004B3EA2">
          <w:rPr>
            <w:webHidden/>
          </w:rPr>
          <w:instrText xml:space="preserve"> PAGEREF _Toc69305563 \h </w:instrText>
        </w:r>
        <w:r w:rsidR="004B3EA2">
          <w:rPr>
            <w:webHidden/>
          </w:rPr>
        </w:r>
        <w:r w:rsidR="004B3EA2">
          <w:rPr>
            <w:webHidden/>
          </w:rPr>
          <w:fldChar w:fldCharType="separate"/>
        </w:r>
        <w:r w:rsidR="004B3EA2">
          <w:rPr>
            <w:webHidden/>
          </w:rPr>
          <w:t>65</w:t>
        </w:r>
        <w:r w:rsidR="004B3EA2">
          <w:rPr>
            <w:webHidden/>
          </w:rPr>
          <w:fldChar w:fldCharType="end"/>
        </w:r>
      </w:hyperlink>
    </w:p>
    <w:p w14:paraId="4E439AF2" w14:textId="046BB0A2" w:rsidR="004B3EA2" w:rsidRDefault="00003BA5">
      <w:pPr>
        <w:pStyle w:val="TOC3"/>
        <w:rPr>
          <w:rFonts w:asciiTheme="minorHAnsi" w:eastAsiaTheme="minorEastAsia" w:hAnsiTheme="minorHAnsi" w:cstheme="minorBidi"/>
        </w:rPr>
      </w:pPr>
      <w:hyperlink w:anchor="_Toc69305564" w:history="1">
        <w:r w:rsidR="004B3EA2" w:rsidRPr="00503FCF">
          <w:rPr>
            <w:rStyle w:val="Hyperlink"/>
          </w:rPr>
          <w:t>Adverse events in patients receiving IVIg in an outpatient setting</w:t>
        </w:r>
        <w:r w:rsidR="004B3EA2">
          <w:rPr>
            <w:webHidden/>
          </w:rPr>
          <w:tab/>
        </w:r>
        <w:r w:rsidR="004B3EA2">
          <w:rPr>
            <w:webHidden/>
          </w:rPr>
          <w:fldChar w:fldCharType="begin"/>
        </w:r>
        <w:r w:rsidR="004B3EA2">
          <w:rPr>
            <w:webHidden/>
          </w:rPr>
          <w:instrText xml:space="preserve"> PAGEREF _Toc69305564 \h </w:instrText>
        </w:r>
        <w:r w:rsidR="004B3EA2">
          <w:rPr>
            <w:webHidden/>
          </w:rPr>
        </w:r>
        <w:r w:rsidR="004B3EA2">
          <w:rPr>
            <w:webHidden/>
          </w:rPr>
          <w:fldChar w:fldCharType="separate"/>
        </w:r>
        <w:r w:rsidR="004B3EA2">
          <w:rPr>
            <w:webHidden/>
          </w:rPr>
          <w:t>69</w:t>
        </w:r>
        <w:r w:rsidR="004B3EA2">
          <w:rPr>
            <w:webHidden/>
          </w:rPr>
          <w:fldChar w:fldCharType="end"/>
        </w:r>
      </w:hyperlink>
    </w:p>
    <w:p w14:paraId="129C0B56" w14:textId="3DFBEF23" w:rsidR="004B3EA2" w:rsidRDefault="00003BA5">
      <w:pPr>
        <w:pStyle w:val="TOC3"/>
        <w:rPr>
          <w:rFonts w:asciiTheme="minorHAnsi" w:eastAsiaTheme="minorEastAsia" w:hAnsiTheme="minorHAnsi" w:cstheme="minorBidi"/>
        </w:rPr>
      </w:pPr>
      <w:hyperlink w:anchor="_Toc69305565" w:history="1">
        <w:r w:rsidR="004B3EA2" w:rsidRPr="00503FCF">
          <w:rPr>
            <w:rStyle w:val="Hyperlink"/>
          </w:rPr>
          <w:t>Summary of extended safety data</w:t>
        </w:r>
        <w:r w:rsidR="004B3EA2">
          <w:rPr>
            <w:webHidden/>
          </w:rPr>
          <w:tab/>
        </w:r>
        <w:r w:rsidR="004B3EA2">
          <w:rPr>
            <w:webHidden/>
          </w:rPr>
          <w:fldChar w:fldCharType="begin"/>
        </w:r>
        <w:r w:rsidR="004B3EA2">
          <w:rPr>
            <w:webHidden/>
          </w:rPr>
          <w:instrText xml:space="preserve"> PAGEREF _Toc69305565 \h </w:instrText>
        </w:r>
        <w:r w:rsidR="004B3EA2">
          <w:rPr>
            <w:webHidden/>
          </w:rPr>
        </w:r>
        <w:r w:rsidR="004B3EA2">
          <w:rPr>
            <w:webHidden/>
          </w:rPr>
          <w:fldChar w:fldCharType="separate"/>
        </w:r>
        <w:r w:rsidR="004B3EA2">
          <w:rPr>
            <w:webHidden/>
          </w:rPr>
          <w:t>71</w:t>
        </w:r>
        <w:r w:rsidR="004B3EA2">
          <w:rPr>
            <w:webHidden/>
          </w:rPr>
          <w:fldChar w:fldCharType="end"/>
        </w:r>
      </w:hyperlink>
    </w:p>
    <w:p w14:paraId="076B986B" w14:textId="3921B32B" w:rsidR="004B3EA2" w:rsidRDefault="00003BA5">
      <w:pPr>
        <w:pStyle w:val="TOC2"/>
        <w:tabs>
          <w:tab w:val="left" w:pos="1418"/>
        </w:tabs>
        <w:rPr>
          <w:rFonts w:asciiTheme="minorHAnsi" w:eastAsiaTheme="minorEastAsia" w:hAnsiTheme="minorHAnsi" w:cstheme="minorBidi"/>
        </w:rPr>
      </w:pPr>
      <w:hyperlink w:anchor="_Toc69305566" w:history="1">
        <w:r w:rsidR="004B3EA2" w:rsidRPr="00503FCF">
          <w:rPr>
            <w:rStyle w:val="Hyperlink"/>
          </w:rPr>
          <w:t>B.8.</w:t>
        </w:r>
        <w:r w:rsidR="004B3EA2">
          <w:rPr>
            <w:rFonts w:asciiTheme="minorHAnsi" w:eastAsiaTheme="minorEastAsia" w:hAnsiTheme="minorHAnsi" w:cstheme="minorBidi"/>
          </w:rPr>
          <w:tab/>
        </w:r>
        <w:r w:rsidR="004B3EA2" w:rsidRPr="00503FCF">
          <w:rPr>
            <w:rStyle w:val="Hyperlink"/>
          </w:rPr>
          <w:t>Interpretation of the Clinical Evidence</w:t>
        </w:r>
        <w:r w:rsidR="004B3EA2">
          <w:rPr>
            <w:webHidden/>
          </w:rPr>
          <w:tab/>
        </w:r>
        <w:r w:rsidR="004B3EA2">
          <w:rPr>
            <w:webHidden/>
          </w:rPr>
          <w:fldChar w:fldCharType="begin"/>
        </w:r>
        <w:r w:rsidR="004B3EA2">
          <w:rPr>
            <w:webHidden/>
          </w:rPr>
          <w:instrText xml:space="preserve"> PAGEREF _Toc69305566 \h </w:instrText>
        </w:r>
        <w:r w:rsidR="004B3EA2">
          <w:rPr>
            <w:webHidden/>
          </w:rPr>
        </w:r>
        <w:r w:rsidR="004B3EA2">
          <w:rPr>
            <w:webHidden/>
          </w:rPr>
          <w:fldChar w:fldCharType="separate"/>
        </w:r>
        <w:r w:rsidR="004B3EA2">
          <w:rPr>
            <w:webHidden/>
          </w:rPr>
          <w:t>73</w:t>
        </w:r>
        <w:r w:rsidR="004B3EA2">
          <w:rPr>
            <w:webHidden/>
          </w:rPr>
          <w:fldChar w:fldCharType="end"/>
        </w:r>
      </w:hyperlink>
    </w:p>
    <w:p w14:paraId="45C300DC" w14:textId="09168C36" w:rsidR="004B3EA2" w:rsidRDefault="00003BA5">
      <w:pPr>
        <w:pStyle w:val="TOC3"/>
        <w:rPr>
          <w:rFonts w:asciiTheme="minorHAnsi" w:eastAsiaTheme="minorEastAsia" w:hAnsiTheme="minorHAnsi" w:cstheme="minorBidi"/>
        </w:rPr>
      </w:pPr>
      <w:hyperlink w:anchor="_Toc69305567" w:history="1">
        <w:r w:rsidR="004B3EA2" w:rsidRPr="00503FCF">
          <w:rPr>
            <w:rStyle w:val="Hyperlink"/>
          </w:rPr>
          <w:t>Safety</w:t>
        </w:r>
        <w:r w:rsidR="004B3EA2">
          <w:rPr>
            <w:webHidden/>
          </w:rPr>
          <w:tab/>
        </w:r>
        <w:r w:rsidR="004B3EA2">
          <w:rPr>
            <w:webHidden/>
          </w:rPr>
          <w:fldChar w:fldCharType="begin"/>
        </w:r>
        <w:r w:rsidR="004B3EA2">
          <w:rPr>
            <w:webHidden/>
          </w:rPr>
          <w:instrText xml:space="preserve"> PAGEREF _Toc69305567 \h </w:instrText>
        </w:r>
        <w:r w:rsidR="004B3EA2">
          <w:rPr>
            <w:webHidden/>
          </w:rPr>
        </w:r>
        <w:r w:rsidR="004B3EA2">
          <w:rPr>
            <w:webHidden/>
          </w:rPr>
          <w:fldChar w:fldCharType="separate"/>
        </w:r>
        <w:r w:rsidR="004B3EA2">
          <w:rPr>
            <w:webHidden/>
          </w:rPr>
          <w:t>73</w:t>
        </w:r>
        <w:r w:rsidR="004B3EA2">
          <w:rPr>
            <w:webHidden/>
          </w:rPr>
          <w:fldChar w:fldCharType="end"/>
        </w:r>
      </w:hyperlink>
    </w:p>
    <w:p w14:paraId="6504D668" w14:textId="196CA715" w:rsidR="004B3EA2" w:rsidRDefault="00003BA5">
      <w:pPr>
        <w:pStyle w:val="TOC3"/>
        <w:rPr>
          <w:rFonts w:asciiTheme="minorHAnsi" w:eastAsiaTheme="minorEastAsia" w:hAnsiTheme="minorHAnsi" w:cstheme="minorBidi"/>
        </w:rPr>
      </w:pPr>
      <w:hyperlink w:anchor="_Toc69305568" w:history="1">
        <w:r w:rsidR="004B3EA2" w:rsidRPr="00503FCF">
          <w:rPr>
            <w:rStyle w:val="Hyperlink"/>
          </w:rPr>
          <w:t>Efficacy</w:t>
        </w:r>
        <w:r w:rsidR="004B3EA2">
          <w:rPr>
            <w:webHidden/>
          </w:rPr>
          <w:tab/>
        </w:r>
        <w:r w:rsidR="004B3EA2">
          <w:rPr>
            <w:webHidden/>
          </w:rPr>
          <w:fldChar w:fldCharType="begin"/>
        </w:r>
        <w:r w:rsidR="004B3EA2">
          <w:rPr>
            <w:webHidden/>
          </w:rPr>
          <w:instrText xml:space="preserve"> PAGEREF _Toc69305568 \h </w:instrText>
        </w:r>
        <w:r w:rsidR="004B3EA2">
          <w:rPr>
            <w:webHidden/>
          </w:rPr>
        </w:r>
        <w:r w:rsidR="004B3EA2">
          <w:rPr>
            <w:webHidden/>
          </w:rPr>
          <w:fldChar w:fldCharType="separate"/>
        </w:r>
        <w:r w:rsidR="004B3EA2">
          <w:rPr>
            <w:webHidden/>
          </w:rPr>
          <w:t>75</w:t>
        </w:r>
        <w:r w:rsidR="004B3EA2">
          <w:rPr>
            <w:webHidden/>
          </w:rPr>
          <w:fldChar w:fldCharType="end"/>
        </w:r>
      </w:hyperlink>
    </w:p>
    <w:p w14:paraId="05A22F7F" w14:textId="1BFB913A" w:rsidR="004B3EA2" w:rsidRDefault="00003BA5">
      <w:pPr>
        <w:pStyle w:val="TOC1"/>
        <w:rPr>
          <w:rFonts w:asciiTheme="minorHAnsi" w:eastAsiaTheme="minorEastAsia" w:hAnsiTheme="minorHAnsi" w:cstheme="minorBidi"/>
          <w:b w:val="0"/>
        </w:rPr>
      </w:pPr>
      <w:hyperlink w:anchor="_Toc69305569" w:history="1">
        <w:r w:rsidR="004B3EA2" w:rsidRPr="00503FCF">
          <w:rPr>
            <w:rStyle w:val="Hyperlink"/>
          </w:rPr>
          <w:t>Section C</w:t>
        </w:r>
        <w:r w:rsidR="004B3EA2">
          <w:rPr>
            <w:rFonts w:asciiTheme="minorHAnsi" w:eastAsiaTheme="minorEastAsia" w:hAnsiTheme="minorHAnsi" w:cstheme="minorBidi"/>
            <w:b w:val="0"/>
          </w:rPr>
          <w:tab/>
        </w:r>
        <w:r w:rsidR="004B3EA2" w:rsidRPr="00503FCF">
          <w:rPr>
            <w:rStyle w:val="Hyperlink"/>
          </w:rPr>
          <w:t>Translation Issues</w:t>
        </w:r>
        <w:r w:rsidR="004B3EA2">
          <w:rPr>
            <w:webHidden/>
          </w:rPr>
          <w:tab/>
        </w:r>
        <w:r w:rsidR="004B3EA2">
          <w:rPr>
            <w:webHidden/>
          </w:rPr>
          <w:fldChar w:fldCharType="begin"/>
        </w:r>
        <w:r w:rsidR="004B3EA2">
          <w:rPr>
            <w:webHidden/>
          </w:rPr>
          <w:instrText xml:space="preserve"> PAGEREF _Toc69305569 \h </w:instrText>
        </w:r>
        <w:r w:rsidR="004B3EA2">
          <w:rPr>
            <w:webHidden/>
          </w:rPr>
        </w:r>
        <w:r w:rsidR="004B3EA2">
          <w:rPr>
            <w:webHidden/>
          </w:rPr>
          <w:fldChar w:fldCharType="separate"/>
        </w:r>
        <w:r w:rsidR="004B3EA2">
          <w:rPr>
            <w:webHidden/>
          </w:rPr>
          <w:t>76</w:t>
        </w:r>
        <w:r w:rsidR="004B3EA2">
          <w:rPr>
            <w:webHidden/>
          </w:rPr>
          <w:fldChar w:fldCharType="end"/>
        </w:r>
      </w:hyperlink>
    </w:p>
    <w:p w14:paraId="3A04DB33" w14:textId="08D5BE79" w:rsidR="004B3EA2" w:rsidRDefault="00003BA5">
      <w:pPr>
        <w:pStyle w:val="TOC2"/>
        <w:tabs>
          <w:tab w:val="left" w:pos="1418"/>
        </w:tabs>
        <w:rPr>
          <w:rFonts w:asciiTheme="minorHAnsi" w:eastAsiaTheme="minorEastAsia" w:hAnsiTheme="minorHAnsi" w:cstheme="minorBidi"/>
        </w:rPr>
      </w:pPr>
      <w:hyperlink w:anchor="_Toc69305570" w:history="1">
        <w:r w:rsidR="004B3EA2" w:rsidRPr="00503FCF">
          <w:rPr>
            <w:rStyle w:val="Hyperlink"/>
          </w:rPr>
          <w:t>C.1.</w:t>
        </w:r>
        <w:r w:rsidR="004B3EA2">
          <w:rPr>
            <w:rFonts w:asciiTheme="minorHAnsi" w:eastAsiaTheme="minorEastAsia" w:hAnsiTheme="minorHAnsi" w:cstheme="minorBidi"/>
          </w:rPr>
          <w:tab/>
        </w:r>
        <w:r w:rsidR="004B3EA2" w:rsidRPr="00503FCF">
          <w:rPr>
            <w:rStyle w:val="Hyperlink"/>
          </w:rPr>
          <w:t>Overview</w:t>
        </w:r>
        <w:r w:rsidR="004B3EA2">
          <w:rPr>
            <w:webHidden/>
          </w:rPr>
          <w:tab/>
        </w:r>
        <w:r w:rsidR="004B3EA2">
          <w:rPr>
            <w:webHidden/>
          </w:rPr>
          <w:fldChar w:fldCharType="begin"/>
        </w:r>
        <w:r w:rsidR="004B3EA2">
          <w:rPr>
            <w:webHidden/>
          </w:rPr>
          <w:instrText xml:space="preserve"> PAGEREF _Toc69305570 \h </w:instrText>
        </w:r>
        <w:r w:rsidR="004B3EA2">
          <w:rPr>
            <w:webHidden/>
          </w:rPr>
        </w:r>
        <w:r w:rsidR="004B3EA2">
          <w:rPr>
            <w:webHidden/>
          </w:rPr>
          <w:fldChar w:fldCharType="separate"/>
        </w:r>
        <w:r w:rsidR="004B3EA2">
          <w:rPr>
            <w:webHidden/>
          </w:rPr>
          <w:t>76</w:t>
        </w:r>
        <w:r w:rsidR="004B3EA2">
          <w:rPr>
            <w:webHidden/>
          </w:rPr>
          <w:fldChar w:fldCharType="end"/>
        </w:r>
      </w:hyperlink>
    </w:p>
    <w:p w14:paraId="675A18FA" w14:textId="4399E8B9" w:rsidR="004B3EA2" w:rsidRDefault="00003BA5">
      <w:pPr>
        <w:pStyle w:val="TOC2"/>
        <w:tabs>
          <w:tab w:val="left" w:pos="1418"/>
        </w:tabs>
        <w:rPr>
          <w:rFonts w:asciiTheme="minorHAnsi" w:eastAsiaTheme="minorEastAsia" w:hAnsiTheme="minorHAnsi" w:cstheme="minorBidi"/>
        </w:rPr>
      </w:pPr>
      <w:hyperlink w:anchor="_Toc69305571" w:history="1">
        <w:r w:rsidR="004B3EA2" w:rsidRPr="00503FCF">
          <w:rPr>
            <w:rStyle w:val="Hyperlink"/>
          </w:rPr>
          <w:t>C.2.</w:t>
        </w:r>
        <w:r w:rsidR="004B3EA2">
          <w:rPr>
            <w:rFonts w:asciiTheme="minorHAnsi" w:eastAsiaTheme="minorEastAsia" w:hAnsiTheme="minorHAnsi" w:cstheme="minorBidi"/>
          </w:rPr>
          <w:tab/>
        </w:r>
        <w:r w:rsidR="004B3EA2" w:rsidRPr="00503FCF">
          <w:rPr>
            <w:rStyle w:val="Hyperlink"/>
          </w:rPr>
          <w:t>Applicability issues</w:t>
        </w:r>
        <w:r w:rsidR="004B3EA2">
          <w:rPr>
            <w:webHidden/>
          </w:rPr>
          <w:tab/>
        </w:r>
        <w:r w:rsidR="004B3EA2">
          <w:rPr>
            <w:webHidden/>
          </w:rPr>
          <w:fldChar w:fldCharType="begin"/>
        </w:r>
        <w:r w:rsidR="004B3EA2">
          <w:rPr>
            <w:webHidden/>
          </w:rPr>
          <w:instrText xml:space="preserve"> PAGEREF _Toc69305571 \h </w:instrText>
        </w:r>
        <w:r w:rsidR="004B3EA2">
          <w:rPr>
            <w:webHidden/>
          </w:rPr>
        </w:r>
        <w:r w:rsidR="004B3EA2">
          <w:rPr>
            <w:webHidden/>
          </w:rPr>
          <w:fldChar w:fldCharType="separate"/>
        </w:r>
        <w:r w:rsidR="004B3EA2">
          <w:rPr>
            <w:webHidden/>
          </w:rPr>
          <w:t>77</w:t>
        </w:r>
        <w:r w:rsidR="004B3EA2">
          <w:rPr>
            <w:webHidden/>
          </w:rPr>
          <w:fldChar w:fldCharType="end"/>
        </w:r>
      </w:hyperlink>
    </w:p>
    <w:p w14:paraId="067D2CC7" w14:textId="272F2DBF" w:rsidR="004B3EA2" w:rsidRDefault="00003BA5">
      <w:pPr>
        <w:pStyle w:val="TOC3"/>
        <w:tabs>
          <w:tab w:val="left" w:pos="2145"/>
        </w:tabs>
        <w:rPr>
          <w:rFonts w:asciiTheme="minorHAnsi" w:eastAsiaTheme="minorEastAsia" w:hAnsiTheme="minorHAnsi" w:cstheme="minorBidi"/>
        </w:rPr>
      </w:pPr>
      <w:hyperlink w:anchor="_Toc69305572" w:history="1">
        <w:r w:rsidR="004B3EA2" w:rsidRPr="00503FCF">
          <w:rPr>
            <w:rStyle w:val="Hyperlink"/>
          </w:rPr>
          <w:t>C.2.1.</w:t>
        </w:r>
        <w:r w:rsidR="004B3EA2">
          <w:rPr>
            <w:rFonts w:asciiTheme="minorHAnsi" w:eastAsiaTheme="minorEastAsia" w:hAnsiTheme="minorHAnsi" w:cstheme="minorBidi"/>
          </w:rPr>
          <w:tab/>
        </w:r>
        <w:r w:rsidR="004B3EA2" w:rsidRPr="00503FCF">
          <w:rPr>
            <w:rStyle w:val="Hyperlink"/>
          </w:rPr>
          <w:t xml:space="preserve"> Patients characteristics</w:t>
        </w:r>
        <w:r w:rsidR="004B3EA2">
          <w:rPr>
            <w:webHidden/>
          </w:rPr>
          <w:tab/>
        </w:r>
        <w:r w:rsidR="004B3EA2">
          <w:rPr>
            <w:webHidden/>
          </w:rPr>
          <w:fldChar w:fldCharType="begin"/>
        </w:r>
        <w:r w:rsidR="004B3EA2">
          <w:rPr>
            <w:webHidden/>
          </w:rPr>
          <w:instrText xml:space="preserve"> PAGEREF _Toc69305572 \h </w:instrText>
        </w:r>
        <w:r w:rsidR="004B3EA2">
          <w:rPr>
            <w:webHidden/>
          </w:rPr>
        </w:r>
        <w:r w:rsidR="004B3EA2">
          <w:rPr>
            <w:webHidden/>
          </w:rPr>
          <w:fldChar w:fldCharType="separate"/>
        </w:r>
        <w:r w:rsidR="004B3EA2">
          <w:rPr>
            <w:webHidden/>
          </w:rPr>
          <w:t>77</w:t>
        </w:r>
        <w:r w:rsidR="004B3EA2">
          <w:rPr>
            <w:webHidden/>
          </w:rPr>
          <w:fldChar w:fldCharType="end"/>
        </w:r>
      </w:hyperlink>
    </w:p>
    <w:p w14:paraId="0B2B8EBC" w14:textId="232CC7EC" w:rsidR="004B3EA2" w:rsidRDefault="00003BA5">
      <w:pPr>
        <w:pStyle w:val="TOC3"/>
        <w:tabs>
          <w:tab w:val="left" w:pos="2145"/>
        </w:tabs>
        <w:rPr>
          <w:rFonts w:asciiTheme="minorHAnsi" w:eastAsiaTheme="minorEastAsia" w:hAnsiTheme="minorHAnsi" w:cstheme="minorBidi"/>
        </w:rPr>
      </w:pPr>
      <w:hyperlink w:anchor="_Toc69305573" w:history="1">
        <w:r w:rsidR="004B3EA2" w:rsidRPr="00503FCF">
          <w:rPr>
            <w:rStyle w:val="Hyperlink"/>
          </w:rPr>
          <w:t>C.2.2.</w:t>
        </w:r>
        <w:r w:rsidR="004B3EA2">
          <w:rPr>
            <w:rFonts w:asciiTheme="minorHAnsi" w:eastAsiaTheme="minorEastAsia" w:hAnsiTheme="minorHAnsi" w:cstheme="minorBidi"/>
          </w:rPr>
          <w:tab/>
        </w:r>
        <w:r w:rsidR="004B3EA2" w:rsidRPr="00503FCF">
          <w:rPr>
            <w:rStyle w:val="Hyperlink"/>
          </w:rPr>
          <w:t xml:space="preserve"> Ig and comparator dosing and administration frequency</w:t>
        </w:r>
        <w:r w:rsidR="004B3EA2">
          <w:rPr>
            <w:webHidden/>
          </w:rPr>
          <w:tab/>
        </w:r>
        <w:r w:rsidR="004B3EA2">
          <w:rPr>
            <w:webHidden/>
          </w:rPr>
          <w:fldChar w:fldCharType="begin"/>
        </w:r>
        <w:r w:rsidR="004B3EA2">
          <w:rPr>
            <w:webHidden/>
          </w:rPr>
          <w:instrText xml:space="preserve"> PAGEREF _Toc69305573 \h </w:instrText>
        </w:r>
        <w:r w:rsidR="004B3EA2">
          <w:rPr>
            <w:webHidden/>
          </w:rPr>
        </w:r>
        <w:r w:rsidR="004B3EA2">
          <w:rPr>
            <w:webHidden/>
          </w:rPr>
          <w:fldChar w:fldCharType="separate"/>
        </w:r>
        <w:r w:rsidR="004B3EA2">
          <w:rPr>
            <w:webHidden/>
          </w:rPr>
          <w:t>78</w:t>
        </w:r>
        <w:r w:rsidR="004B3EA2">
          <w:rPr>
            <w:webHidden/>
          </w:rPr>
          <w:fldChar w:fldCharType="end"/>
        </w:r>
      </w:hyperlink>
    </w:p>
    <w:p w14:paraId="210F7DDE" w14:textId="7D755A3D" w:rsidR="004B3EA2" w:rsidRDefault="00003BA5">
      <w:pPr>
        <w:pStyle w:val="TOC3"/>
        <w:tabs>
          <w:tab w:val="left" w:pos="2145"/>
        </w:tabs>
        <w:rPr>
          <w:rFonts w:asciiTheme="minorHAnsi" w:eastAsiaTheme="minorEastAsia" w:hAnsiTheme="minorHAnsi" w:cstheme="minorBidi"/>
        </w:rPr>
      </w:pPr>
      <w:hyperlink w:anchor="_Toc69305574" w:history="1">
        <w:r w:rsidR="004B3EA2" w:rsidRPr="00503FCF">
          <w:rPr>
            <w:rStyle w:val="Hyperlink"/>
          </w:rPr>
          <w:t>C.2.3.</w:t>
        </w:r>
        <w:r w:rsidR="004B3EA2">
          <w:rPr>
            <w:rFonts w:asciiTheme="minorHAnsi" w:eastAsiaTheme="minorEastAsia" w:hAnsiTheme="minorHAnsi" w:cstheme="minorBidi"/>
          </w:rPr>
          <w:tab/>
        </w:r>
        <w:r w:rsidR="004B3EA2" w:rsidRPr="00503FCF">
          <w:rPr>
            <w:rStyle w:val="Hyperlink"/>
          </w:rPr>
          <w:t xml:space="preserve"> Duration of treatment</w:t>
        </w:r>
        <w:r w:rsidR="004B3EA2">
          <w:rPr>
            <w:webHidden/>
          </w:rPr>
          <w:tab/>
        </w:r>
        <w:r w:rsidR="004B3EA2">
          <w:rPr>
            <w:webHidden/>
          </w:rPr>
          <w:fldChar w:fldCharType="begin"/>
        </w:r>
        <w:r w:rsidR="004B3EA2">
          <w:rPr>
            <w:webHidden/>
          </w:rPr>
          <w:instrText xml:space="preserve"> PAGEREF _Toc69305574 \h </w:instrText>
        </w:r>
        <w:r w:rsidR="004B3EA2">
          <w:rPr>
            <w:webHidden/>
          </w:rPr>
        </w:r>
        <w:r w:rsidR="004B3EA2">
          <w:rPr>
            <w:webHidden/>
          </w:rPr>
          <w:fldChar w:fldCharType="separate"/>
        </w:r>
        <w:r w:rsidR="004B3EA2">
          <w:rPr>
            <w:webHidden/>
          </w:rPr>
          <w:t>82</w:t>
        </w:r>
        <w:r w:rsidR="004B3EA2">
          <w:rPr>
            <w:webHidden/>
          </w:rPr>
          <w:fldChar w:fldCharType="end"/>
        </w:r>
      </w:hyperlink>
    </w:p>
    <w:p w14:paraId="6A5C70A2" w14:textId="67679D29" w:rsidR="004B3EA2" w:rsidRDefault="00003BA5">
      <w:pPr>
        <w:pStyle w:val="TOC3"/>
        <w:tabs>
          <w:tab w:val="left" w:pos="2145"/>
        </w:tabs>
        <w:rPr>
          <w:rFonts w:asciiTheme="minorHAnsi" w:eastAsiaTheme="minorEastAsia" w:hAnsiTheme="minorHAnsi" w:cstheme="minorBidi"/>
        </w:rPr>
      </w:pPr>
      <w:hyperlink w:anchor="_Toc69305575" w:history="1">
        <w:r w:rsidR="004B3EA2" w:rsidRPr="00503FCF">
          <w:rPr>
            <w:rStyle w:val="Hyperlink"/>
          </w:rPr>
          <w:t>C.2.4.</w:t>
        </w:r>
        <w:r w:rsidR="004B3EA2">
          <w:rPr>
            <w:rFonts w:asciiTheme="minorHAnsi" w:eastAsiaTheme="minorEastAsia" w:hAnsiTheme="minorHAnsi" w:cstheme="minorBidi"/>
          </w:rPr>
          <w:tab/>
        </w:r>
        <w:r w:rsidR="004B3EA2" w:rsidRPr="00503FCF">
          <w:rPr>
            <w:rStyle w:val="Hyperlink"/>
          </w:rPr>
          <w:t xml:space="preserve"> Treatment weaning</w:t>
        </w:r>
        <w:r w:rsidR="004B3EA2">
          <w:rPr>
            <w:webHidden/>
          </w:rPr>
          <w:tab/>
        </w:r>
        <w:r w:rsidR="004B3EA2">
          <w:rPr>
            <w:webHidden/>
          </w:rPr>
          <w:fldChar w:fldCharType="begin"/>
        </w:r>
        <w:r w:rsidR="004B3EA2">
          <w:rPr>
            <w:webHidden/>
          </w:rPr>
          <w:instrText xml:space="preserve"> PAGEREF _Toc69305575 \h </w:instrText>
        </w:r>
        <w:r w:rsidR="004B3EA2">
          <w:rPr>
            <w:webHidden/>
          </w:rPr>
        </w:r>
        <w:r w:rsidR="004B3EA2">
          <w:rPr>
            <w:webHidden/>
          </w:rPr>
          <w:fldChar w:fldCharType="separate"/>
        </w:r>
        <w:r w:rsidR="004B3EA2">
          <w:rPr>
            <w:webHidden/>
          </w:rPr>
          <w:t>83</w:t>
        </w:r>
        <w:r w:rsidR="004B3EA2">
          <w:rPr>
            <w:webHidden/>
          </w:rPr>
          <w:fldChar w:fldCharType="end"/>
        </w:r>
      </w:hyperlink>
    </w:p>
    <w:p w14:paraId="7759DF86" w14:textId="65660FD1" w:rsidR="004B3EA2" w:rsidRDefault="00003BA5">
      <w:pPr>
        <w:pStyle w:val="TOC2"/>
        <w:tabs>
          <w:tab w:val="left" w:pos="1418"/>
        </w:tabs>
        <w:rPr>
          <w:rFonts w:asciiTheme="minorHAnsi" w:eastAsiaTheme="minorEastAsia" w:hAnsiTheme="minorHAnsi" w:cstheme="minorBidi"/>
        </w:rPr>
      </w:pPr>
      <w:hyperlink w:anchor="_Toc69305576" w:history="1">
        <w:r w:rsidR="004B3EA2" w:rsidRPr="00503FCF">
          <w:rPr>
            <w:rStyle w:val="Hyperlink"/>
          </w:rPr>
          <w:t>C.3.</w:t>
        </w:r>
        <w:r w:rsidR="004B3EA2">
          <w:rPr>
            <w:rFonts w:asciiTheme="minorHAnsi" w:eastAsiaTheme="minorEastAsia" w:hAnsiTheme="minorHAnsi" w:cstheme="minorBidi"/>
          </w:rPr>
          <w:tab/>
        </w:r>
        <w:r w:rsidR="004B3EA2" w:rsidRPr="00503FCF">
          <w:rPr>
            <w:rStyle w:val="Hyperlink"/>
          </w:rPr>
          <w:t>Extrapolation issues</w:t>
        </w:r>
        <w:r w:rsidR="004B3EA2">
          <w:rPr>
            <w:webHidden/>
          </w:rPr>
          <w:tab/>
        </w:r>
        <w:r w:rsidR="004B3EA2">
          <w:rPr>
            <w:webHidden/>
          </w:rPr>
          <w:fldChar w:fldCharType="begin"/>
        </w:r>
        <w:r w:rsidR="004B3EA2">
          <w:rPr>
            <w:webHidden/>
          </w:rPr>
          <w:instrText xml:space="preserve"> PAGEREF _Toc69305576 \h </w:instrText>
        </w:r>
        <w:r w:rsidR="004B3EA2">
          <w:rPr>
            <w:webHidden/>
          </w:rPr>
        </w:r>
        <w:r w:rsidR="004B3EA2">
          <w:rPr>
            <w:webHidden/>
          </w:rPr>
          <w:fldChar w:fldCharType="separate"/>
        </w:r>
        <w:r w:rsidR="004B3EA2">
          <w:rPr>
            <w:webHidden/>
          </w:rPr>
          <w:t>84</w:t>
        </w:r>
        <w:r w:rsidR="004B3EA2">
          <w:rPr>
            <w:webHidden/>
          </w:rPr>
          <w:fldChar w:fldCharType="end"/>
        </w:r>
      </w:hyperlink>
    </w:p>
    <w:p w14:paraId="4DE10E5E" w14:textId="437FA8CD" w:rsidR="004B3EA2" w:rsidRDefault="00003BA5">
      <w:pPr>
        <w:pStyle w:val="TOC3"/>
        <w:tabs>
          <w:tab w:val="left" w:pos="2145"/>
        </w:tabs>
        <w:rPr>
          <w:rFonts w:asciiTheme="minorHAnsi" w:eastAsiaTheme="minorEastAsia" w:hAnsiTheme="minorHAnsi" w:cstheme="minorBidi"/>
        </w:rPr>
      </w:pPr>
      <w:hyperlink w:anchor="_Toc69305577" w:history="1">
        <w:r w:rsidR="004B3EA2" w:rsidRPr="00503FCF">
          <w:rPr>
            <w:rStyle w:val="Hyperlink"/>
          </w:rPr>
          <w:t>C.3.1.</w:t>
        </w:r>
        <w:r w:rsidR="004B3EA2">
          <w:rPr>
            <w:rFonts w:asciiTheme="minorHAnsi" w:eastAsiaTheme="minorEastAsia" w:hAnsiTheme="minorHAnsi" w:cstheme="minorBidi"/>
          </w:rPr>
          <w:tab/>
        </w:r>
        <w:r w:rsidR="004B3EA2" w:rsidRPr="00503FCF">
          <w:rPr>
            <w:rStyle w:val="Hyperlink"/>
          </w:rPr>
          <w:t xml:space="preserve"> Time horizon and cycle length</w:t>
        </w:r>
        <w:r w:rsidR="004B3EA2">
          <w:rPr>
            <w:webHidden/>
          </w:rPr>
          <w:tab/>
        </w:r>
        <w:r w:rsidR="004B3EA2">
          <w:rPr>
            <w:webHidden/>
          </w:rPr>
          <w:fldChar w:fldCharType="begin"/>
        </w:r>
        <w:r w:rsidR="004B3EA2">
          <w:rPr>
            <w:webHidden/>
          </w:rPr>
          <w:instrText xml:space="preserve"> PAGEREF _Toc69305577 \h </w:instrText>
        </w:r>
        <w:r w:rsidR="004B3EA2">
          <w:rPr>
            <w:webHidden/>
          </w:rPr>
        </w:r>
        <w:r w:rsidR="004B3EA2">
          <w:rPr>
            <w:webHidden/>
          </w:rPr>
          <w:fldChar w:fldCharType="separate"/>
        </w:r>
        <w:r w:rsidR="004B3EA2">
          <w:rPr>
            <w:webHidden/>
          </w:rPr>
          <w:t>84</w:t>
        </w:r>
        <w:r w:rsidR="004B3EA2">
          <w:rPr>
            <w:webHidden/>
          </w:rPr>
          <w:fldChar w:fldCharType="end"/>
        </w:r>
      </w:hyperlink>
    </w:p>
    <w:p w14:paraId="4DF0FB32" w14:textId="2EB2A2A5" w:rsidR="004B3EA2" w:rsidRDefault="00003BA5">
      <w:pPr>
        <w:pStyle w:val="TOC3"/>
        <w:tabs>
          <w:tab w:val="left" w:pos="2145"/>
        </w:tabs>
        <w:rPr>
          <w:rFonts w:asciiTheme="minorHAnsi" w:eastAsiaTheme="minorEastAsia" w:hAnsiTheme="minorHAnsi" w:cstheme="minorBidi"/>
        </w:rPr>
      </w:pPr>
      <w:hyperlink w:anchor="_Toc69305578" w:history="1">
        <w:r w:rsidR="004B3EA2" w:rsidRPr="00503FCF">
          <w:rPr>
            <w:rStyle w:val="Hyperlink"/>
          </w:rPr>
          <w:t>C.3.2.</w:t>
        </w:r>
        <w:r w:rsidR="004B3EA2">
          <w:rPr>
            <w:rFonts w:asciiTheme="minorHAnsi" w:eastAsiaTheme="minorEastAsia" w:hAnsiTheme="minorHAnsi" w:cstheme="minorBidi"/>
          </w:rPr>
          <w:tab/>
        </w:r>
        <w:r w:rsidR="004B3EA2" w:rsidRPr="00503FCF">
          <w:rPr>
            <w:rStyle w:val="Hyperlink"/>
          </w:rPr>
          <w:t xml:space="preserve"> Duration of the treatment effect</w:t>
        </w:r>
        <w:r w:rsidR="004B3EA2">
          <w:rPr>
            <w:webHidden/>
          </w:rPr>
          <w:tab/>
        </w:r>
        <w:r w:rsidR="004B3EA2">
          <w:rPr>
            <w:webHidden/>
          </w:rPr>
          <w:fldChar w:fldCharType="begin"/>
        </w:r>
        <w:r w:rsidR="004B3EA2">
          <w:rPr>
            <w:webHidden/>
          </w:rPr>
          <w:instrText xml:space="preserve"> PAGEREF _Toc69305578 \h </w:instrText>
        </w:r>
        <w:r w:rsidR="004B3EA2">
          <w:rPr>
            <w:webHidden/>
          </w:rPr>
        </w:r>
        <w:r w:rsidR="004B3EA2">
          <w:rPr>
            <w:webHidden/>
          </w:rPr>
          <w:fldChar w:fldCharType="separate"/>
        </w:r>
        <w:r w:rsidR="004B3EA2">
          <w:rPr>
            <w:webHidden/>
          </w:rPr>
          <w:t>84</w:t>
        </w:r>
        <w:r w:rsidR="004B3EA2">
          <w:rPr>
            <w:webHidden/>
          </w:rPr>
          <w:fldChar w:fldCharType="end"/>
        </w:r>
      </w:hyperlink>
    </w:p>
    <w:p w14:paraId="30E19F35" w14:textId="1EAF4123" w:rsidR="004B3EA2" w:rsidRDefault="00003BA5">
      <w:pPr>
        <w:pStyle w:val="TOC3"/>
        <w:tabs>
          <w:tab w:val="left" w:pos="2145"/>
        </w:tabs>
        <w:rPr>
          <w:rFonts w:asciiTheme="minorHAnsi" w:eastAsiaTheme="minorEastAsia" w:hAnsiTheme="minorHAnsi" w:cstheme="minorBidi"/>
        </w:rPr>
      </w:pPr>
      <w:hyperlink w:anchor="_Toc69305579" w:history="1">
        <w:r w:rsidR="004B3EA2" w:rsidRPr="00503FCF">
          <w:rPr>
            <w:rStyle w:val="Hyperlink"/>
          </w:rPr>
          <w:t>C.3.3.</w:t>
        </w:r>
        <w:r w:rsidR="004B3EA2">
          <w:rPr>
            <w:rFonts w:asciiTheme="minorHAnsi" w:eastAsiaTheme="minorEastAsia" w:hAnsiTheme="minorHAnsi" w:cstheme="minorBidi"/>
          </w:rPr>
          <w:tab/>
        </w:r>
        <w:r w:rsidR="004B3EA2" w:rsidRPr="00503FCF">
          <w:rPr>
            <w:rStyle w:val="Hyperlink"/>
          </w:rPr>
          <w:t xml:space="preserve"> Long-term safety implications and adverse events</w:t>
        </w:r>
        <w:r w:rsidR="004B3EA2">
          <w:rPr>
            <w:webHidden/>
          </w:rPr>
          <w:tab/>
        </w:r>
        <w:r w:rsidR="004B3EA2">
          <w:rPr>
            <w:webHidden/>
          </w:rPr>
          <w:fldChar w:fldCharType="begin"/>
        </w:r>
        <w:r w:rsidR="004B3EA2">
          <w:rPr>
            <w:webHidden/>
          </w:rPr>
          <w:instrText xml:space="preserve"> PAGEREF _Toc69305579 \h </w:instrText>
        </w:r>
        <w:r w:rsidR="004B3EA2">
          <w:rPr>
            <w:webHidden/>
          </w:rPr>
        </w:r>
        <w:r w:rsidR="004B3EA2">
          <w:rPr>
            <w:webHidden/>
          </w:rPr>
          <w:fldChar w:fldCharType="separate"/>
        </w:r>
        <w:r w:rsidR="004B3EA2">
          <w:rPr>
            <w:webHidden/>
          </w:rPr>
          <w:t>89</w:t>
        </w:r>
        <w:r w:rsidR="004B3EA2">
          <w:rPr>
            <w:webHidden/>
          </w:rPr>
          <w:fldChar w:fldCharType="end"/>
        </w:r>
      </w:hyperlink>
    </w:p>
    <w:p w14:paraId="5AA57943" w14:textId="3C9A5EDD" w:rsidR="004B3EA2" w:rsidRDefault="00003BA5">
      <w:pPr>
        <w:pStyle w:val="TOC2"/>
        <w:tabs>
          <w:tab w:val="left" w:pos="1418"/>
        </w:tabs>
        <w:rPr>
          <w:rFonts w:asciiTheme="minorHAnsi" w:eastAsiaTheme="minorEastAsia" w:hAnsiTheme="minorHAnsi" w:cstheme="minorBidi"/>
        </w:rPr>
      </w:pPr>
      <w:hyperlink w:anchor="_Toc69305580" w:history="1">
        <w:r w:rsidR="004B3EA2" w:rsidRPr="00503FCF">
          <w:rPr>
            <w:rStyle w:val="Hyperlink"/>
          </w:rPr>
          <w:t>C.4.</w:t>
        </w:r>
        <w:r w:rsidR="004B3EA2">
          <w:rPr>
            <w:rFonts w:asciiTheme="minorHAnsi" w:eastAsiaTheme="minorEastAsia" w:hAnsiTheme="minorHAnsi" w:cstheme="minorBidi"/>
          </w:rPr>
          <w:tab/>
        </w:r>
        <w:r w:rsidR="004B3EA2" w:rsidRPr="00503FCF">
          <w:rPr>
            <w:rStyle w:val="Hyperlink"/>
          </w:rPr>
          <w:t>Transformation issues</w:t>
        </w:r>
        <w:r w:rsidR="004B3EA2">
          <w:rPr>
            <w:webHidden/>
          </w:rPr>
          <w:tab/>
        </w:r>
        <w:r w:rsidR="004B3EA2">
          <w:rPr>
            <w:webHidden/>
          </w:rPr>
          <w:fldChar w:fldCharType="begin"/>
        </w:r>
        <w:r w:rsidR="004B3EA2">
          <w:rPr>
            <w:webHidden/>
          </w:rPr>
          <w:instrText xml:space="preserve"> PAGEREF _Toc69305580 \h </w:instrText>
        </w:r>
        <w:r w:rsidR="004B3EA2">
          <w:rPr>
            <w:webHidden/>
          </w:rPr>
        </w:r>
        <w:r w:rsidR="004B3EA2">
          <w:rPr>
            <w:webHidden/>
          </w:rPr>
          <w:fldChar w:fldCharType="separate"/>
        </w:r>
        <w:r w:rsidR="004B3EA2">
          <w:rPr>
            <w:webHidden/>
          </w:rPr>
          <w:t>91</w:t>
        </w:r>
        <w:r w:rsidR="004B3EA2">
          <w:rPr>
            <w:webHidden/>
          </w:rPr>
          <w:fldChar w:fldCharType="end"/>
        </w:r>
      </w:hyperlink>
    </w:p>
    <w:p w14:paraId="1929E459" w14:textId="46485DEF" w:rsidR="004B3EA2" w:rsidRDefault="00003BA5">
      <w:pPr>
        <w:pStyle w:val="TOC3"/>
        <w:tabs>
          <w:tab w:val="left" w:pos="2145"/>
        </w:tabs>
        <w:rPr>
          <w:rFonts w:asciiTheme="minorHAnsi" w:eastAsiaTheme="minorEastAsia" w:hAnsiTheme="minorHAnsi" w:cstheme="minorBidi"/>
        </w:rPr>
      </w:pPr>
      <w:hyperlink w:anchor="_Toc69305581" w:history="1">
        <w:r w:rsidR="004B3EA2" w:rsidRPr="00503FCF">
          <w:rPr>
            <w:rStyle w:val="Hyperlink"/>
          </w:rPr>
          <w:t>C.4.1.</w:t>
        </w:r>
        <w:r w:rsidR="004B3EA2">
          <w:rPr>
            <w:rFonts w:asciiTheme="minorHAnsi" w:eastAsiaTheme="minorEastAsia" w:hAnsiTheme="minorHAnsi" w:cstheme="minorBidi"/>
          </w:rPr>
          <w:tab/>
        </w:r>
        <w:r w:rsidR="004B3EA2" w:rsidRPr="00503FCF">
          <w:rPr>
            <w:rStyle w:val="Hyperlink"/>
          </w:rPr>
          <w:t xml:space="preserve"> Utility estimates to estimate quality-adjusted life years</w:t>
        </w:r>
        <w:r w:rsidR="004B3EA2">
          <w:rPr>
            <w:webHidden/>
          </w:rPr>
          <w:tab/>
        </w:r>
        <w:r w:rsidR="004B3EA2">
          <w:rPr>
            <w:webHidden/>
          </w:rPr>
          <w:fldChar w:fldCharType="begin"/>
        </w:r>
        <w:r w:rsidR="004B3EA2">
          <w:rPr>
            <w:webHidden/>
          </w:rPr>
          <w:instrText xml:space="preserve"> PAGEREF _Toc69305581 \h </w:instrText>
        </w:r>
        <w:r w:rsidR="004B3EA2">
          <w:rPr>
            <w:webHidden/>
          </w:rPr>
        </w:r>
        <w:r w:rsidR="004B3EA2">
          <w:rPr>
            <w:webHidden/>
          </w:rPr>
          <w:fldChar w:fldCharType="separate"/>
        </w:r>
        <w:r w:rsidR="004B3EA2">
          <w:rPr>
            <w:webHidden/>
          </w:rPr>
          <w:t>91</w:t>
        </w:r>
        <w:r w:rsidR="004B3EA2">
          <w:rPr>
            <w:webHidden/>
          </w:rPr>
          <w:fldChar w:fldCharType="end"/>
        </w:r>
      </w:hyperlink>
    </w:p>
    <w:p w14:paraId="7729D81C" w14:textId="6CD35715" w:rsidR="004B3EA2" w:rsidRDefault="00003BA5">
      <w:pPr>
        <w:pStyle w:val="TOC2"/>
        <w:tabs>
          <w:tab w:val="left" w:pos="1418"/>
        </w:tabs>
        <w:rPr>
          <w:rFonts w:asciiTheme="minorHAnsi" w:eastAsiaTheme="minorEastAsia" w:hAnsiTheme="minorHAnsi" w:cstheme="minorBidi"/>
        </w:rPr>
      </w:pPr>
      <w:hyperlink w:anchor="_Toc69305582" w:history="1">
        <w:r w:rsidR="004B3EA2" w:rsidRPr="00503FCF">
          <w:rPr>
            <w:rStyle w:val="Hyperlink"/>
          </w:rPr>
          <w:t>C.5.</w:t>
        </w:r>
        <w:r w:rsidR="004B3EA2">
          <w:rPr>
            <w:rFonts w:asciiTheme="minorHAnsi" w:eastAsiaTheme="minorEastAsia" w:hAnsiTheme="minorHAnsi" w:cstheme="minorBidi"/>
          </w:rPr>
          <w:tab/>
        </w:r>
        <w:r w:rsidR="004B3EA2" w:rsidRPr="00503FCF">
          <w:rPr>
            <w:rStyle w:val="Hyperlink"/>
          </w:rPr>
          <w:t>Relationship of each Pre-Modelling Study to the Economic Evaluation</w:t>
        </w:r>
        <w:r w:rsidR="004B3EA2">
          <w:rPr>
            <w:webHidden/>
          </w:rPr>
          <w:tab/>
        </w:r>
        <w:r w:rsidR="004B3EA2">
          <w:rPr>
            <w:webHidden/>
          </w:rPr>
          <w:fldChar w:fldCharType="begin"/>
        </w:r>
        <w:r w:rsidR="004B3EA2">
          <w:rPr>
            <w:webHidden/>
          </w:rPr>
          <w:instrText xml:space="preserve"> PAGEREF _Toc69305582 \h </w:instrText>
        </w:r>
        <w:r w:rsidR="004B3EA2">
          <w:rPr>
            <w:webHidden/>
          </w:rPr>
        </w:r>
        <w:r w:rsidR="004B3EA2">
          <w:rPr>
            <w:webHidden/>
          </w:rPr>
          <w:fldChar w:fldCharType="separate"/>
        </w:r>
        <w:r w:rsidR="004B3EA2">
          <w:rPr>
            <w:webHidden/>
          </w:rPr>
          <w:t>96</w:t>
        </w:r>
        <w:r w:rsidR="004B3EA2">
          <w:rPr>
            <w:webHidden/>
          </w:rPr>
          <w:fldChar w:fldCharType="end"/>
        </w:r>
      </w:hyperlink>
    </w:p>
    <w:p w14:paraId="1B54A9B4" w14:textId="289FE369" w:rsidR="004B3EA2" w:rsidRDefault="00003BA5">
      <w:pPr>
        <w:pStyle w:val="TOC1"/>
        <w:rPr>
          <w:rFonts w:asciiTheme="minorHAnsi" w:eastAsiaTheme="minorEastAsia" w:hAnsiTheme="minorHAnsi" w:cstheme="minorBidi"/>
          <w:b w:val="0"/>
        </w:rPr>
      </w:pPr>
      <w:hyperlink w:anchor="_Toc69305583" w:history="1">
        <w:r w:rsidR="004B3EA2" w:rsidRPr="00503FCF">
          <w:rPr>
            <w:rStyle w:val="Hyperlink"/>
          </w:rPr>
          <w:t>Section D</w:t>
        </w:r>
        <w:r w:rsidR="004B3EA2">
          <w:rPr>
            <w:rFonts w:asciiTheme="minorHAnsi" w:eastAsiaTheme="minorEastAsia" w:hAnsiTheme="minorHAnsi" w:cstheme="minorBidi"/>
            <w:b w:val="0"/>
          </w:rPr>
          <w:tab/>
        </w:r>
        <w:r w:rsidR="004B3EA2" w:rsidRPr="00503FCF">
          <w:rPr>
            <w:rStyle w:val="Hyperlink"/>
          </w:rPr>
          <w:t>Economic Evaluation</w:t>
        </w:r>
        <w:r w:rsidR="004B3EA2">
          <w:rPr>
            <w:webHidden/>
          </w:rPr>
          <w:tab/>
        </w:r>
        <w:r w:rsidR="004B3EA2">
          <w:rPr>
            <w:webHidden/>
          </w:rPr>
          <w:fldChar w:fldCharType="begin"/>
        </w:r>
        <w:r w:rsidR="004B3EA2">
          <w:rPr>
            <w:webHidden/>
          </w:rPr>
          <w:instrText xml:space="preserve"> PAGEREF _Toc69305583 \h </w:instrText>
        </w:r>
        <w:r w:rsidR="004B3EA2">
          <w:rPr>
            <w:webHidden/>
          </w:rPr>
        </w:r>
        <w:r w:rsidR="004B3EA2">
          <w:rPr>
            <w:webHidden/>
          </w:rPr>
          <w:fldChar w:fldCharType="separate"/>
        </w:r>
        <w:r w:rsidR="004B3EA2">
          <w:rPr>
            <w:webHidden/>
          </w:rPr>
          <w:t>99</w:t>
        </w:r>
        <w:r w:rsidR="004B3EA2">
          <w:rPr>
            <w:webHidden/>
          </w:rPr>
          <w:fldChar w:fldCharType="end"/>
        </w:r>
      </w:hyperlink>
    </w:p>
    <w:p w14:paraId="19FF17DD" w14:textId="6BA5ED3A" w:rsidR="004B3EA2" w:rsidRDefault="00003BA5">
      <w:pPr>
        <w:pStyle w:val="TOC2"/>
        <w:tabs>
          <w:tab w:val="left" w:pos="1540"/>
        </w:tabs>
        <w:rPr>
          <w:rFonts w:asciiTheme="minorHAnsi" w:eastAsiaTheme="minorEastAsia" w:hAnsiTheme="minorHAnsi" w:cstheme="minorBidi"/>
        </w:rPr>
      </w:pPr>
      <w:hyperlink w:anchor="_Toc69305584" w:history="1">
        <w:r w:rsidR="004B3EA2" w:rsidRPr="00503FCF">
          <w:rPr>
            <w:rStyle w:val="Hyperlink"/>
          </w:rPr>
          <w:t>D.1.</w:t>
        </w:r>
        <w:r w:rsidR="004B3EA2">
          <w:rPr>
            <w:rFonts w:asciiTheme="minorHAnsi" w:eastAsiaTheme="minorEastAsia" w:hAnsiTheme="minorHAnsi" w:cstheme="minorBidi"/>
          </w:rPr>
          <w:tab/>
        </w:r>
        <w:r w:rsidR="004B3EA2" w:rsidRPr="00503FCF">
          <w:rPr>
            <w:rStyle w:val="Hyperlink"/>
          </w:rPr>
          <w:t>Overview</w:t>
        </w:r>
        <w:r w:rsidR="004B3EA2">
          <w:rPr>
            <w:webHidden/>
          </w:rPr>
          <w:tab/>
        </w:r>
        <w:r w:rsidR="004B3EA2">
          <w:rPr>
            <w:webHidden/>
          </w:rPr>
          <w:fldChar w:fldCharType="begin"/>
        </w:r>
        <w:r w:rsidR="004B3EA2">
          <w:rPr>
            <w:webHidden/>
          </w:rPr>
          <w:instrText xml:space="preserve"> PAGEREF _Toc69305584 \h </w:instrText>
        </w:r>
        <w:r w:rsidR="004B3EA2">
          <w:rPr>
            <w:webHidden/>
          </w:rPr>
        </w:r>
        <w:r w:rsidR="004B3EA2">
          <w:rPr>
            <w:webHidden/>
          </w:rPr>
          <w:fldChar w:fldCharType="separate"/>
        </w:r>
        <w:r w:rsidR="004B3EA2">
          <w:rPr>
            <w:webHidden/>
          </w:rPr>
          <w:t>99</w:t>
        </w:r>
        <w:r w:rsidR="004B3EA2">
          <w:rPr>
            <w:webHidden/>
          </w:rPr>
          <w:fldChar w:fldCharType="end"/>
        </w:r>
      </w:hyperlink>
    </w:p>
    <w:p w14:paraId="6A4338F9" w14:textId="533C37DE" w:rsidR="004B3EA2" w:rsidRDefault="00003BA5">
      <w:pPr>
        <w:pStyle w:val="TOC2"/>
        <w:tabs>
          <w:tab w:val="left" w:pos="1540"/>
        </w:tabs>
        <w:rPr>
          <w:rFonts w:asciiTheme="minorHAnsi" w:eastAsiaTheme="minorEastAsia" w:hAnsiTheme="minorHAnsi" w:cstheme="minorBidi"/>
        </w:rPr>
      </w:pPr>
      <w:hyperlink w:anchor="_Toc69305585" w:history="1">
        <w:r w:rsidR="004B3EA2" w:rsidRPr="00503FCF">
          <w:rPr>
            <w:rStyle w:val="Hyperlink"/>
          </w:rPr>
          <w:t>D.2.</w:t>
        </w:r>
        <w:r w:rsidR="004B3EA2">
          <w:rPr>
            <w:rFonts w:asciiTheme="minorHAnsi" w:eastAsiaTheme="minorEastAsia" w:hAnsiTheme="minorHAnsi" w:cstheme="minorBidi"/>
          </w:rPr>
          <w:tab/>
        </w:r>
        <w:r w:rsidR="004B3EA2" w:rsidRPr="00503FCF">
          <w:rPr>
            <w:rStyle w:val="Hyperlink"/>
          </w:rPr>
          <w:t>Populations and settings</w:t>
        </w:r>
        <w:r w:rsidR="004B3EA2">
          <w:rPr>
            <w:webHidden/>
          </w:rPr>
          <w:tab/>
        </w:r>
        <w:r w:rsidR="004B3EA2">
          <w:rPr>
            <w:webHidden/>
          </w:rPr>
          <w:fldChar w:fldCharType="begin"/>
        </w:r>
        <w:r w:rsidR="004B3EA2">
          <w:rPr>
            <w:webHidden/>
          </w:rPr>
          <w:instrText xml:space="preserve"> PAGEREF _Toc69305585 \h </w:instrText>
        </w:r>
        <w:r w:rsidR="004B3EA2">
          <w:rPr>
            <w:webHidden/>
          </w:rPr>
        </w:r>
        <w:r w:rsidR="004B3EA2">
          <w:rPr>
            <w:webHidden/>
          </w:rPr>
          <w:fldChar w:fldCharType="separate"/>
        </w:r>
        <w:r w:rsidR="004B3EA2">
          <w:rPr>
            <w:webHidden/>
          </w:rPr>
          <w:t>99</w:t>
        </w:r>
        <w:r w:rsidR="004B3EA2">
          <w:rPr>
            <w:webHidden/>
          </w:rPr>
          <w:fldChar w:fldCharType="end"/>
        </w:r>
      </w:hyperlink>
    </w:p>
    <w:p w14:paraId="2FED916F" w14:textId="24FEA846" w:rsidR="004B3EA2" w:rsidRDefault="00003BA5">
      <w:pPr>
        <w:pStyle w:val="TOC2"/>
        <w:tabs>
          <w:tab w:val="left" w:pos="1540"/>
        </w:tabs>
        <w:rPr>
          <w:rFonts w:asciiTheme="minorHAnsi" w:eastAsiaTheme="minorEastAsia" w:hAnsiTheme="minorHAnsi" w:cstheme="minorBidi"/>
        </w:rPr>
      </w:pPr>
      <w:hyperlink w:anchor="_Toc69305586" w:history="1">
        <w:r w:rsidR="004B3EA2" w:rsidRPr="00503FCF">
          <w:rPr>
            <w:rStyle w:val="Hyperlink"/>
          </w:rPr>
          <w:t>D.3.</w:t>
        </w:r>
        <w:r w:rsidR="004B3EA2">
          <w:rPr>
            <w:rFonts w:asciiTheme="minorHAnsi" w:eastAsiaTheme="minorEastAsia" w:hAnsiTheme="minorHAnsi" w:cstheme="minorBidi"/>
          </w:rPr>
          <w:tab/>
        </w:r>
        <w:r w:rsidR="004B3EA2" w:rsidRPr="00503FCF">
          <w:rPr>
            <w:rStyle w:val="Hyperlink"/>
          </w:rPr>
          <w:t>Structure and rationale of the economic evaluation</w:t>
        </w:r>
        <w:r w:rsidR="004B3EA2">
          <w:rPr>
            <w:webHidden/>
          </w:rPr>
          <w:tab/>
        </w:r>
        <w:r w:rsidR="004B3EA2">
          <w:rPr>
            <w:webHidden/>
          </w:rPr>
          <w:fldChar w:fldCharType="begin"/>
        </w:r>
        <w:r w:rsidR="004B3EA2">
          <w:rPr>
            <w:webHidden/>
          </w:rPr>
          <w:instrText xml:space="preserve"> PAGEREF _Toc69305586 \h </w:instrText>
        </w:r>
        <w:r w:rsidR="004B3EA2">
          <w:rPr>
            <w:webHidden/>
          </w:rPr>
        </w:r>
        <w:r w:rsidR="004B3EA2">
          <w:rPr>
            <w:webHidden/>
          </w:rPr>
          <w:fldChar w:fldCharType="separate"/>
        </w:r>
        <w:r w:rsidR="004B3EA2">
          <w:rPr>
            <w:webHidden/>
          </w:rPr>
          <w:t>100</w:t>
        </w:r>
        <w:r w:rsidR="004B3EA2">
          <w:rPr>
            <w:webHidden/>
          </w:rPr>
          <w:fldChar w:fldCharType="end"/>
        </w:r>
      </w:hyperlink>
    </w:p>
    <w:p w14:paraId="47F11528" w14:textId="6DE63D00" w:rsidR="004B3EA2" w:rsidRDefault="00003BA5">
      <w:pPr>
        <w:pStyle w:val="TOC3"/>
        <w:rPr>
          <w:rFonts w:asciiTheme="minorHAnsi" w:eastAsiaTheme="minorEastAsia" w:hAnsiTheme="minorHAnsi" w:cstheme="minorBidi"/>
        </w:rPr>
      </w:pPr>
      <w:hyperlink w:anchor="_Toc69305587" w:history="1">
        <w:r w:rsidR="004B3EA2" w:rsidRPr="00503FCF">
          <w:rPr>
            <w:rStyle w:val="Hyperlink"/>
          </w:rPr>
          <w:t>Literature review</w:t>
        </w:r>
        <w:r w:rsidR="004B3EA2">
          <w:rPr>
            <w:webHidden/>
          </w:rPr>
          <w:tab/>
        </w:r>
        <w:r w:rsidR="004B3EA2">
          <w:rPr>
            <w:webHidden/>
          </w:rPr>
          <w:fldChar w:fldCharType="begin"/>
        </w:r>
        <w:r w:rsidR="004B3EA2">
          <w:rPr>
            <w:webHidden/>
          </w:rPr>
          <w:instrText xml:space="preserve"> PAGEREF _Toc69305587 \h </w:instrText>
        </w:r>
        <w:r w:rsidR="004B3EA2">
          <w:rPr>
            <w:webHidden/>
          </w:rPr>
        </w:r>
        <w:r w:rsidR="004B3EA2">
          <w:rPr>
            <w:webHidden/>
          </w:rPr>
          <w:fldChar w:fldCharType="separate"/>
        </w:r>
        <w:r w:rsidR="004B3EA2">
          <w:rPr>
            <w:webHidden/>
          </w:rPr>
          <w:t>101</w:t>
        </w:r>
        <w:r w:rsidR="004B3EA2">
          <w:rPr>
            <w:webHidden/>
          </w:rPr>
          <w:fldChar w:fldCharType="end"/>
        </w:r>
      </w:hyperlink>
    </w:p>
    <w:p w14:paraId="06C58477" w14:textId="4BD25DE7" w:rsidR="004B3EA2" w:rsidRDefault="00003BA5">
      <w:pPr>
        <w:pStyle w:val="TOC3"/>
        <w:rPr>
          <w:rFonts w:asciiTheme="minorHAnsi" w:eastAsiaTheme="minorEastAsia" w:hAnsiTheme="minorHAnsi" w:cstheme="minorBidi"/>
        </w:rPr>
      </w:pPr>
      <w:hyperlink w:anchor="_Toc69305588" w:history="1">
        <w:r w:rsidR="004B3EA2" w:rsidRPr="00503FCF">
          <w:rPr>
            <w:rStyle w:val="Hyperlink"/>
          </w:rPr>
          <w:t>Structure of the economic evaluation</w:t>
        </w:r>
        <w:r w:rsidR="004B3EA2">
          <w:rPr>
            <w:webHidden/>
          </w:rPr>
          <w:tab/>
        </w:r>
        <w:r w:rsidR="004B3EA2">
          <w:rPr>
            <w:webHidden/>
          </w:rPr>
          <w:fldChar w:fldCharType="begin"/>
        </w:r>
        <w:r w:rsidR="004B3EA2">
          <w:rPr>
            <w:webHidden/>
          </w:rPr>
          <w:instrText xml:space="preserve"> PAGEREF _Toc69305588 \h </w:instrText>
        </w:r>
        <w:r w:rsidR="004B3EA2">
          <w:rPr>
            <w:webHidden/>
          </w:rPr>
        </w:r>
        <w:r w:rsidR="004B3EA2">
          <w:rPr>
            <w:webHidden/>
          </w:rPr>
          <w:fldChar w:fldCharType="separate"/>
        </w:r>
        <w:r w:rsidR="004B3EA2">
          <w:rPr>
            <w:webHidden/>
          </w:rPr>
          <w:t>101</w:t>
        </w:r>
        <w:r w:rsidR="004B3EA2">
          <w:rPr>
            <w:webHidden/>
          </w:rPr>
          <w:fldChar w:fldCharType="end"/>
        </w:r>
      </w:hyperlink>
    </w:p>
    <w:p w14:paraId="6277700B" w14:textId="321D9113" w:rsidR="004B3EA2" w:rsidRDefault="00003BA5">
      <w:pPr>
        <w:pStyle w:val="TOC2"/>
        <w:tabs>
          <w:tab w:val="left" w:pos="1540"/>
        </w:tabs>
        <w:rPr>
          <w:rFonts w:asciiTheme="minorHAnsi" w:eastAsiaTheme="minorEastAsia" w:hAnsiTheme="minorHAnsi" w:cstheme="minorBidi"/>
        </w:rPr>
      </w:pPr>
      <w:hyperlink w:anchor="_Toc69305589" w:history="1">
        <w:r w:rsidR="004B3EA2" w:rsidRPr="00503FCF">
          <w:rPr>
            <w:rStyle w:val="Hyperlink"/>
          </w:rPr>
          <w:t>D.4.</w:t>
        </w:r>
        <w:r w:rsidR="004B3EA2">
          <w:rPr>
            <w:rFonts w:asciiTheme="minorHAnsi" w:eastAsiaTheme="minorEastAsia" w:hAnsiTheme="minorHAnsi" w:cstheme="minorBidi"/>
          </w:rPr>
          <w:tab/>
        </w:r>
        <w:r w:rsidR="004B3EA2" w:rsidRPr="00503FCF">
          <w:rPr>
            <w:rStyle w:val="Hyperlink"/>
          </w:rPr>
          <w:t>Inputs to the economic evaluation</w:t>
        </w:r>
        <w:r w:rsidR="004B3EA2">
          <w:rPr>
            <w:webHidden/>
          </w:rPr>
          <w:tab/>
        </w:r>
        <w:r w:rsidR="004B3EA2">
          <w:rPr>
            <w:webHidden/>
          </w:rPr>
          <w:fldChar w:fldCharType="begin"/>
        </w:r>
        <w:r w:rsidR="004B3EA2">
          <w:rPr>
            <w:webHidden/>
          </w:rPr>
          <w:instrText xml:space="preserve"> PAGEREF _Toc69305589 \h </w:instrText>
        </w:r>
        <w:r w:rsidR="004B3EA2">
          <w:rPr>
            <w:webHidden/>
          </w:rPr>
        </w:r>
        <w:r w:rsidR="004B3EA2">
          <w:rPr>
            <w:webHidden/>
          </w:rPr>
          <w:fldChar w:fldCharType="separate"/>
        </w:r>
        <w:r w:rsidR="004B3EA2">
          <w:rPr>
            <w:webHidden/>
          </w:rPr>
          <w:t>104</w:t>
        </w:r>
        <w:r w:rsidR="004B3EA2">
          <w:rPr>
            <w:webHidden/>
          </w:rPr>
          <w:fldChar w:fldCharType="end"/>
        </w:r>
      </w:hyperlink>
    </w:p>
    <w:p w14:paraId="1B123349" w14:textId="540A5358" w:rsidR="004B3EA2" w:rsidRDefault="00003BA5">
      <w:pPr>
        <w:pStyle w:val="TOC3"/>
        <w:rPr>
          <w:rFonts w:asciiTheme="minorHAnsi" w:eastAsiaTheme="minorEastAsia" w:hAnsiTheme="minorHAnsi" w:cstheme="minorBidi"/>
        </w:rPr>
      </w:pPr>
      <w:hyperlink w:anchor="_Toc69305590" w:history="1">
        <w:r w:rsidR="004B3EA2" w:rsidRPr="00503FCF">
          <w:rPr>
            <w:rStyle w:val="Hyperlink"/>
          </w:rPr>
          <w:t>Patient Demographic inputs</w:t>
        </w:r>
        <w:r w:rsidR="004B3EA2">
          <w:rPr>
            <w:webHidden/>
          </w:rPr>
          <w:tab/>
        </w:r>
        <w:r w:rsidR="004B3EA2">
          <w:rPr>
            <w:webHidden/>
          </w:rPr>
          <w:fldChar w:fldCharType="begin"/>
        </w:r>
        <w:r w:rsidR="004B3EA2">
          <w:rPr>
            <w:webHidden/>
          </w:rPr>
          <w:instrText xml:space="preserve"> PAGEREF _Toc69305590 \h </w:instrText>
        </w:r>
        <w:r w:rsidR="004B3EA2">
          <w:rPr>
            <w:webHidden/>
          </w:rPr>
        </w:r>
        <w:r w:rsidR="004B3EA2">
          <w:rPr>
            <w:webHidden/>
          </w:rPr>
          <w:fldChar w:fldCharType="separate"/>
        </w:r>
        <w:r w:rsidR="004B3EA2">
          <w:rPr>
            <w:webHidden/>
          </w:rPr>
          <w:t>104</w:t>
        </w:r>
        <w:r w:rsidR="004B3EA2">
          <w:rPr>
            <w:webHidden/>
          </w:rPr>
          <w:fldChar w:fldCharType="end"/>
        </w:r>
      </w:hyperlink>
    </w:p>
    <w:p w14:paraId="24463078" w14:textId="07DE8A5C" w:rsidR="004B3EA2" w:rsidRDefault="00003BA5">
      <w:pPr>
        <w:pStyle w:val="TOC3"/>
        <w:rPr>
          <w:rFonts w:asciiTheme="minorHAnsi" w:eastAsiaTheme="minorEastAsia" w:hAnsiTheme="minorHAnsi" w:cstheme="minorBidi"/>
        </w:rPr>
      </w:pPr>
      <w:hyperlink w:anchor="_Toc69305591" w:history="1">
        <w:r w:rsidR="004B3EA2" w:rsidRPr="00503FCF">
          <w:rPr>
            <w:rStyle w:val="Hyperlink"/>
          </w:rPr>
          <w:t>Transition probabilities</w:t>
        </w:r>
        <w:r w:rsidR="004B3EA2">
          <w:rPr>
            <w:webHidden/>
          </w:rPr>
          <w:tab/>
        </w:r>
        <w:r w:rsidR="004B3EA2">
          <w:rPr>
            <w:webHidden/>
          </w:rPr>
          <w:fldChar w:fldCharType="begin"/>
        </w:r>
        <w:r w:rsidR="004B3EA2">
          <w:rPr>
            <w:webHidden/>
          </w:rPr>
          <w:instrText xml:space="preserve"> PAGEREF _Toc69305591 \h </w:instrText>
        </w:r>
        <w:r w:rsidR="004B3EA2">
          <w:rPr>
            <w:webHidden/>
          </w:rPr>
        </w:r>
        <w:r w:rsidR="004B3EA2">
          <w:rPr>
            <w:webHidden/>
          </w:rPr>
          <w:fldChar w:fldCharType="separate"/>
        </w:r>
        <w:r w:rsidR="004B3EA2">
          <w:rPr>
            <w:webHidden/>
          </w:rPr>
          <w:t>104</w:t>
        </w:r>
        <w:r w:rsidR="004B3EA2">
          <w:rPr>
            <w:webHidden/>
          </w:rPr>
          <w:fldChar w:fldCharType="end"/>
        </w:r>
      </w:hyperlink>
    </w:p>
    <w:p w14:paraId="33BE20DE" w14:textId="1894415D" w:rsidR="004B3EA2" w:rsidRDefault="00003BA5">
      <w:pPr>
        <w:pStyle w:val="TOC3"/>
        <w:rPr>
          <w:rFonts w:asciiTheme="minorHAnsi" w:eastAsiaTheme="minorEastAsia" w:hAnsiTheme="minorHAnsi" w:cstheme="minorBidi"/>
        </w:rPr>
      </w:pPr>
      <w:hyperlink w:anchor="_Toc69305592" w:history="1">
        <w:r w:rsidR="004B3EA2" w:rsidRPr="00503FCF">
          <w:rPr>
            <w:rStyle w:val="Hyperlink"/>
            <w:snapToGrid w:val="0"/>
            <w:lang w:eastAsia="en-US"/>
          </w:rPr>
          <w:t>Clinical management inputs</w:t>
        </w:r>
        <w:r w:rsidR="004B3EA2">
          <w:rPr>
            <w:webHidden/>
          </w:rPr>
          <w:tab/>
        </w:r>
        <w:r w:rsidR="004B3EA2">
          <w:rPr>
            <w:webHidden/>
          </w:rPr>
          <w:fldChar w:fldCharType="begin"/>
        </w:r>
        <w:r w:rsidR="004B3EA2">
          <w:rPr>
            <w:webHidden/>
          </w:rPr>
          <w:instrText xml:space="preserve"> PAGEREF _Toc69305592 \h </w:instrText>
        </w:r>
        <w:r w:rsidR="004B3EA2">
          <w:rPr>
            <w:webHidden/>
          </w:rPr>
        </w:r>
        <w:r w:rsidR="004B3EA2">
          <w:rPr>
            <w:webHidden/>
          </w:rPr>
          <w:fldChar w:fldCharType="separate"/>
        </w:r>
        <w:r w:rsidR="004B3EA2">
          <w:rPr>
            <w:webHidden/>
          </w:rPr>
          <w:t>110</w:t>
        </w:r>
        <w:r w:rsidR="004B3EA2">
          <w:rPr>
            <w:webHidden/>
          </w:rPr>
          <w:fldChar w:fldCharType="end"/>
        </w:r>
      </w:hyperlink>
    </w:p>
    <w:p w14:paraId="1FFFC41C" w14:textId="246099BF" w:rsidR="004B3EA2" w:rsidRDefault="00003BA5">
      <w:pPr>
        <w:pStyle w:val="TOC3"/>
        <w:rPr>
          <w:rFonts w:asciiTheme="minorHAnsi" w:eastAsiaTheme="minorEastAsia" w:hAnsiTheme="minorHAnsi" w:cstheme="minorBidi"/>
        </w:rPr>
      </w:pPr>
      <w:hyperlink w:anchor="_Toc69305593" w:history="1">
        <w:r w:rsidR="004B3EA2" w:rsidRPr="00503FCF">
          <w:rPr>
            <w:rStyle w:val="Hyperlink"/>
            <w:snapToGrid w:val="0"/>
            <w:lang w:eastAsia="en-US"/>
          </w:rPr>
          <w:t>Adverse event and clinical outcome inputs</w:t>
        </w:r>
        <w:r w:rsidR="004B3EA2">
          <w:rPr>
            <w:webHidden/>
          </w:rPr>
          <w:tab/>
        </w:r>
        <w:r w:rsidR="004B3EA2">
          <w:rPr>
            <w:webHidden/>
          </w:rPr>
          <w:fldChar w:fldCharType="begin"/>
        </w:r>
        <w:r w:rsidR="004B3EA2">
          <w:rPr>
            <w:webHidden/>
          </w:rPr>
          <w:instrText xml:space="preserve"> PAGEREF _Toc69305593 \h </w:instrText>
        </w:r>
        <w:r w:rsidR="004B3EA2">
          <w:rPr>
            <w:webHidden/>
          </w:rPr>
        </w:r>
        <w:r w:rsidR="004B3EA2">
          <w:rPr>
            <w:webHidden/>
          </w:rPr>
          <w:fldChar w:fldCharType="separate"/>
        </w:r>
        <w:r w:rsidR="004B3EA2">
          <w:rPr>
            <w:webHidden/>
          </w:rPr>
          <w:t>110</w:t>
        </w:r>
        <w:r w:rsidR="004B3EA2">
          <w:rPr>
            <w:webHidden/>
          </w:rPr>
          <w:fldChar w:fldCharType="end"/>
        </w:r>
      </w:hyperlink>
    </w:p>
    <w:p w14:paraId="32132962" w14:textId="53EDEFF3" w:rsidR="004B3EA2" w:rsidRDefault="00003BA5">
      <w:pPr>
        <w:pStyle w:val="TOC3"/>
        <w:rPr>
          <w:rFonts w:asciiTheme="minorHAnsi" w:eastAsiaTheme="minorEastAsia" w:hAnsiTheme="minorHAnsi" w:cstheme="minorBidi"/>
        </w:rPr>
      </w:pPr>
      <w:hyperlink w:anchor="_Toc69305594" w:history="1">
        <w:r w:rsidR="004B3EA2" w:rsidRPr="00503FCF">
          <w:rPr>
            <w:rStyle w:val="Hyperlink"/>
          </w:rPr>
          <w:t>Resource use and costs</w:t>
        </w:r>
        <w:r w:rsidR="004B3EA2">
          <w:rPr>
            <w:webHidden/>
          </w:rPr>
          <w:tab/>
        </w:r>
        <w:r w:rsidR="004B3EA2">
          <w:rPr>
            <w:webHidden/>
          </w:rPr>
          <w:fldChar w:fldCharType="begin"/>
        </w:r>
        <w:r w:rsidR="004B3EA2">
          <w:rPr>
            <w:webHidden/>
          </w:rPr>
          <w:instrText xml:space="preserve"> PAGEREF _Toc69305594 \h </w:instrText>
        </w:r>
        <w:r w:rsidR="004B3EA2">
          <w:rPr>
            <w:webHidden/>
          </w:rPr>
        </w:r>
        <w:r w:rsidR="004B3EA2">
          <w:rPr>
            <w:webHidden/>
          </w:rPr>
          <w:fldChar w:fldCharType="separate"/>
        </w:r>
        <w:r w:rsidR="004B3EA2">
          <w:rPr>
            <w:webHidden/>
          </w:rPr>
          <w:t>110</w:t>
        </w:r>
        <w:r w:rsidR="004B3EA2">
          <w:rPr>
            <w:webHidden/>
          </w:rPr>
          <w:fldChar w:fldCharType="end"/>
        </w:r>
      </w:hyperlink>
    </w:p>
    <w:p w14:paraId="24276BD2" w14:textId="1D578DF5" w:rsidR="004B3EA2" w:rsidRDefault="00003BA5">
      <w:pPr>
        <w:pStyle w:val="TOC3"/>
        <w:rPr>
          <w:rFonts w:asciiTheme="minorHAnsi" w:eastAsiaTheme="minorEastAsia" w:hAnsiTheme="minorHAnsi" w:cstheme="minorBidi"/>
        </w:rPr>
      </w:pPr>
      <w:hyperlink w:anchor="_Toc69305595" w:history="1">
        <w:r w:rsidR="004B3EA2" w:rsidRPr="00503FCF">
          <w:rPr>
            <w:rStyle w:val="Hyperlink"/>
          </w:rPr>
          <w:t>Health outcomes</w:t>
        </w:r>
        <w:r w:rsidR="004B3EA2">
          <w:rPr>
            <w:webHidden/>
          </w:rPr>
          <w:tab/>
        </w:r>
        <w:r w:rsidR="004B3EA2">
          <w:rPr>
            <w:webHidden/>
          </w:rPr>
          <w:fldChar w:fldCharType="begin"/>
        </w:r>
        <w:r w:rsidR="004B3EA2">
          <w:rPr>
            <w:webHidden/>
          </w:rPr>
          <w:instrText xml:space="preserve"> PAGEREF _Toc69305595 \h </w:instrText>
        </w:r>
        <w:r w:rsidR="004B3EA2">
          <w:rPr>
            <w:webHidden/>
          </w:rPr>
        </w:r>
        <w:r w:rsidR="004B3EA2">
          <w:rPr>
            <w:webHidden/>
          </w:rPr>
          <w:fldChar w:fldCharType="separate"/>
        </w:r>
        <w:r w:rsidR="004B3EA2">
          <w:rPr>
            <w:webHidden/>
          </w:rPr>
          <w:t>117</w:t>
        </w:r>
        <w:r w:rsidR="004B3EA2">
          <w:rPr>
            <w:webHidden/>
          </w:rPr>
          <w:fldChar w:fldCharType="end"/>
        </w:r>
      </w:hyperlink>
    </w:p>
    <w:p w14:paraId="17601B40" w14:textId="1DA3A64F" w:rsidR="004B3EA2" w:rsidRDefault="00003BA5">
      <w:pPr>
        <w:pStyle w:val="TOC2"/>
        <w:tabs>
          <w:tab w:val="left" w:pos="1540"/>
        </w:tabs>
        <w:rPr>
          <w:rFonts w:asciiTheme="minorHAnsi" w:eastAsiaTheme="minorEastAsia" w:hAnsiTheme="minorHAnsi" w:cstheme="minorBidi"/>
        </w:rPr>
      </w:pPr>
      <w:hyperlink w:anchor="_Toc69305596" w:history="1">
        <w:r w:rsidR="004B3EA2" w:rsidRPr="00503FCF">
          <w:rPr>
            <w:rStyle w:val="Hyperlink"/>
          </w:rPr>
          <w:t>D.5.</w:t>
        </w:r>
        <w:r w:rsidR="004B3EA2">
          <w:rPr>
            <w:rFonts w:asciiTheme="minorHAnsi" w:eastAsiaTheme="minorEastAsia" w:hAnsiTheme="minorHAnsi" w:cstheme="minorBidi"/>
          </w:rPr>
          <w:tab/>
        </w:r>
        <w:r w:rsidR="004B3EA2" w:rsidRPr="00503FCF">
          <w:rPr>
            <w:rStyle w:val="Hyperlink"/>
          </w:rPr>
          <w:t>Results of the economic evaluation</w:t>
        </w:r>
        <w:r w:rsidR="004B3EA2">
          <w:rPr>
            <w:webHidden/>
          </w:rPr>
          <w:tab/>
        </w:r>
        <w:r w:rsidR="004B3EA2">
          <w:rPr>
            <w:webHidden/>
          </w:rPr>
          <w:fldChar w:fldCharType="begin"/>
        </w:r>
        <w:r w:rsidR="004B3EA2">
          <w:rPr>
            <w:webHidden/>
          </w:rPr>
          <w:instrText xml:space="preserve"> PAGEREF _Toc69305596 \h </w:instrText>
        </w:r>
        <w:r w:rsidR="004B3EA2">
          <w:rPr>
            <w:webHidden/>
          </w:rPr>
        </w:r>
        <w:r w:rsidR="004B3EA2">
          <w:rPr>
            <w:webHidden/>
          </w:rPr>
          <w:fldChar w:fldCharType="separate"/>
        </w:r>
        <w:r w:rsidR="004B3EA2">
          <w:rPr>
            <w:webHidden/>
          </w:rPr>
          <w:t>117</w:t>
        </w:r>
        <w:r w:rsidR="004B3EA2">
          <w:rPr>
            <w:webHidden/>
          </w:rPr>
          <w:fldChar w:fldCharType="end"/>
        </w:r>
      </w:hyperlink>
    </w:p>
    <w:p w14:paraId="5D02366C" w14:textId="26837243" w:rsidR="004B3EA2" w:rsidRDefault="00003BA5">
      <w:pPr>
        <w:pStyle w:val="TOC3"/>
        <w:tabs>
          <w:tab w:val="left" w:pos="2123"/>
        </w:tabs>
        <w:rPr>
          <w:rFonts w:asciiTheme="minorHAnsi" w:eastAsiaTheme="minorEastAsia" w:hAnsiTheme="minorHAnsi" w:cstheme="minorBidi"/>
        </w:rPr>
      </w:pPr>
      <w:hyperlink w:anchor="_Toc69305597" w:history="1">
        <w:r w:rsidR="004B3EA2" w:rsidRPr="00503FCF">
          <w:rPr>
            <w:rStyle w:val="Hyperlink"/>
          </w:rPr>
          <w:t>D.5A.</w:t>
        </w:r>
        <w:r w:rsidR="004B3EA2">
          <w:rPr>
            <w:rFonts w:asciiTheme="minorHAnsi" w:eastAsiaTheme="minorEastAsia" w:hAnsiTheme="minorHAnsi" w:cstheme="minorBidi"/>
          </w:rPr>
          <w:tab/>
        </w:r>
        <w:r w:rsidR="004B3EA2" w:rsidRPr="00503FCF">
          <w:rPr>
            <w:rStyle w:val="Hyperlink"/>
          </w:rPr>
          <w:t>Ig compared with corticosteroids</w:t>
        </w:r>
        <w:r w:rsidR="004B3EA2">
          <w:rPr>
            <w:webHidden/>
          </w:rPr>
          <w:tab/>
        </w:r>
        <w:r w:rsidR="004B3EA2">
          <w:rPr>
            <w:webHidden/>
          </w:rPr>
          <w:fldChar w:fldCharType="begin"/>
        </w:r>
        <w:r w:rsidR="004B3EA2">
          <w:rPr>
            <w:webHidden/>
          </w:rPr>
          <w:instrText xml:space="preserve"> PAGEREF _Toc69305597 \h </w:instrText>
        </w:r>
        <w:r w:rsidR="004B3EA2">
          <w:rPr>
            <w:webHidden/>
          </w:rPr>
        </w:r>
        <w:r w:rsidR="004B3EA2">
          <w:rPr>
            <w:webHidden/>
          </w:rPr>
          <w:fldChar w:fldCharType="separate"/>
        </w:r>
        <w:r w:rsidR="004B3EA2">
          <w:rPr>
            <w:webHidden/>
          </w:rPr>
          <w:t>117</w:t>
        </w:r>
        <w:r w:rsidR="004B3EA2">
          <w:rPr>
            <w:webHidden/>
          </w:rPr>
          <w:fldChar w:fldCharType="end"/>
        </w:r>
      </w:hyperlink>
    </w:p>
    <w:p w14:paraId="38EEB4B6" w14:textId="286B10B3" w:rsidR="004B3EA2" w:rsidRDefault="00003BA5">
      <w:pPr>
        <w:pStyle w:val="TOC3"/>
        <w:tabs>
          <w:tab w:val="left" w:pos="2116"/>
        </w:tabs>
        <w:rPr>
          <w:rFonts w:asciiTheme="minorHAnsi" w:eastAsiaTheme="minorEastAsia" w:hAnsiTheme="minorHAnsi" w:cstheme="minorBidi"/>
        </w:rPr>
      </w:pPr>
      <w:hyperlink w:anchor="_Toc69305598" w:history="1">
        <w:r w:rsidR="004B3EA2" w:rsidRPr="00503FCF">
          <w:rPr>
            <w:rStyle w:val="Hyperlink"/>
          </w:rPr>
          <w:t>D.5B.</w:t>
        </w:r>
        <w:r w:rsidR="004B3EA2">
          <w:rPr>
            <w:rFonts w:asciiTheme="minorHAnsi" w:eastAsiaTheme="minorEastAsia" w:hAnsiTheme="minorHAnsi" w:cstheme="minorBidi"/>
          </w:rPr>
          <w:tab/>
        </w:r>
        <w:r w:rsidR="004B3EA2" w:rsidRPr="00503FCF">
          <w:rPr>
            <w:rStyle w:val="Hyperlink"/>
          </w:rPr>
          <w:t xml:space="preserve"> Ig compared with Plasma exchange</w:t>
        </w:r>
        <w:r w:rsidR="004B3EA2">
          <w:rPr>
            <w:webHidden/>
          </w:rPr>
          <w:tab/>
        </w:r>
        <w:r w:rsidR="004B3EA2">
          <w:rPr>
            <w:webHidden/>
          </w:rPr>
          <w:fldChar w:fldCharType="begin"/>
        </w:r>
        <w:r w:rsidR="004B3EA2">
          <w:rPr>
            <w:webHidden/>
          </w:rPr>
          <w:instrText xml:space="preserve"> PAGEREF _Toc69305598 \h </w:instrText>
        </w:r>
        <w:r w:rsidR="004B3EA2">
          <w:rPr>
            <w:webHidden/>
          </w:rPr>
        </w:r>
        <w:r w:rsidR="004B3EA2">
          <w:rPr>
            <w:webHidden/>
          </w:rPr>
          <w:fldChar w:fldCharType="separate"/>
        </w:r>
        <w:r w:rsidR="004B3EA2">
          <w:rPr>
            <w:webHidden/>
          </w:rPr>
          <w:t>121</w:t>
        </w:r>
        <w:r w:rsidR="004B3EA2">
          <w:rPr>
            <w:webHidden/>
          </w:rPr>
          <w:fldChar w:fldCharType="end"/>
        </w:r>
      </w:hyperlink>
    </w:p>
    <w:p w14:paraId="38977E0A" w14:textId="0D32071B" w:rsidR="004B3EA2" w:rsidRDefault="00003BA5">
      <w:pPr>
        <w:pStyle w:val="TOC3"/>
        <w:tabs>
          <w:tab w:val="left" w:pos="2113"/>
        </w:tabs>
        <w:rPr>
          <w:rFonts w:asciiTheme="minorHAnsi" w:eastAsiaTheme="minorEastAsia" w:hAnsiTheme="minorHAnsi" w:cstheme="minorBidi"/>
        </w:rPr>
      </w:pPr>
      <w:hyperlink w:anchor="_Toc69305599" w:history="1">
        <w:r w:rsidR="004B3EA2" w:rsidRPr="00503FCF">
          <w:rPr>
            <w:rStyle w:val="Hyperlink"/>
          </w:rPr>
          <w:t>D.5C.</w:t>
        </w:r>
        <w:r w:rsidR="004B3EA2">
          <w:rPr>
            <w:rFonts w:asciiTheme="minorHAnsi" w:eastAsiaTheme="minorEastAsia" w:hAnsiTheme="minorHAnsi" w:cstheme="minorBidi"/>
          </w:rPr>
          <w:tab/>
        </w:r>
        <w:r w:rsidR="004B3EA2" w:rsidRPr="00503FCF">
          <w:rPr>
            <w:rStyle w:val="Hyperlink"/>
          </w:rPr>
          <w:t>Ig compared with placebo in steroid resistant subgroup</w:t>
        </w:r>
        <w:r w:rsidR="004B3EA2">
          <w:rPr>
            <w:webHidden/>
          </w:rPr>
          <w:tab/>
        </w:r>
        <w:r w:rsidR="004B3EA2">
          <w:rPr>
            <w:webHidden/>
          </w:rPr>
          <w:fldChar w:fldCharType="begin"/>
        </w:r>
        <w:r w:rsidR="004B3EA2">
          <w:rPr>
            <w:webHidden/>
          </w:rPr>
          <w:instrText xml:space="preserve"> PAGEREF _Toc69305599 \h </w:instrText>
        </w:r>
        <w:r w:rsidR="004B3EA2">
          <w:rPr>
            <w:webHidden/>
          </w:rPr>
        </w:r>
        <w:r w:rsidR="004B3EA2">
          <w:rPr>
            <w:webHidden/>
          </w:rPr>
          <w:fldChar w:fldCharType="separate"/>
        </w:r>
        <w:r w:rsidR="004B3EA2">
          <w:rPr>
            <w:webHidden/>
          </w:rPr>
          <w:t>123</w:t>
        </w:r>
        <w:r w:rsidR="004B3EA2">
          <w:rPr>
            <w:webHidden/>
          </w:rPr>
          <w:fldChar w:fldCharType="end"/>
        </w:r>
      </w:hyperlink>
    </w:p>
    <w:p w14:paraId="26CB09E5" w14:textId="79BECEB2" w:rsidR="004B3EA2" w:rsidRDefault="00003BA5">
      <w:pPr>
        <w:pStyle w:val="TOC2"/>
        <w:tabs>
          <w:tab w:val="left" w:pos="1540"/>
        </w:tabs>
        <w:rPr>
          <w:rFonts w:asciiTheme="minorHAnsi" w:eastAsiaTheme="minorEastAsia" w:hAnsiTheme="minorHAnsi" w:cstheme="minorBidi"/>
        </w:rPr>
      </w:pPr>
      <w:hyperlink w:anchor="_Toc69305600" w:history="1">
        <w:r w:rsidR="004B3EA2" w:rsidRPr="00503FCF">
          <w:rPr>
            <w:rStyle w:val="Hyperlink"/>
            <w:rFonts w:eastAsia="Calibri"/>
          </w:rPr>
          <w:t>D.6.</w:t>
        </w:r>
        <w:r w:rsidR="004B3EA2">
          <w:rPr>
            <w:rFonts w:asciiTheme="minorHAnsi" w:eastAsiaTheme="minorEastAsia" w:hAnsiTheme="minorHAnsi" w:cstheme="minorBidi"/>
          </w:rPr>
          <w:tab/>
        </w:r>
        <w:r w:rsidR="004B3EA2" w:rsidRPr="00503FCF">
          <w:rPr>
            <w:rStyle w:val="Hyperlink"/>
            <w:rFonts w:eastAsia="Calibri"/>
          </w:rPr>
          <w:t>Sensitivity analysis</w:t>
        </w:r>
        <w:r w:rsidR="004B3EA2">
          <w:rPr>
            <w:webHidden/>
          </w:rPr>
          <w:tab/>
        </w:r>
        <w:r w:rsidR="004B3EA2">
          <w:rPr>
            <w:webHidden/>
          </w:rPr>
          <w:fldChar w:fldCharType="begin"/>
        </w:r>
        <w:r w:rsidR="004B3EA2">
          <w:rPr>
            <w:webHidden/>
          </w:rPr>
          <w:instrText xml:space="preserve"> PAGEREF _Toc69305600 \h </w:instrText>
        </w:r>
        <w:r w:rsidR="004B3EA2">
          <w:rPr>
            <w:webHidden/>
          </w:rPr>
        </w:r>
        <w:r w:rsidR="004B3EA2">
          <w:rPr>
            <w:webHidden/>
          </w:rPr>
          <w:fldChar w:fldCharType="separate"/>
        </w:r>
        <w:r w:rsidR="004B3EA2">
          <w:rPr>
            <w:webHidden/>
          </w:rPr>
          <w:t>126</w:t>
        </w:r>
        <w:r w:rsidR="004B3EA2">
          <w:rPr>
            <w:webHidden/>
          </w:rPr>
          <w:fldChar w:fldCharType="end"/>
        </w:r>
      </w:hyperlink>
    </w:p>
    <w:p w14:paraId="56475BE0" w14:textId="701D3862" w:rsidR="004B3EA2" w:rsidRDefault="00003BA5">
      <w:pPr>
        <w:pStyle w:val="TOC3"/>
        <w:rPr>
          <w:rFonts w:asciiTheme="minorHAnsi" w:eastAsiaTheme="minorEastAsia" w:hAnsiTheme="minorHAnsi" w:cstheme="minorBidi"/>
        </w:rPr>
      </w:pPr>
      <w:hyperlink w:anchor="_Toc69305601" w:history="1">
        <w:r w:rsidR="004B3EA2" w:rsidRPr="00503FCF">
          <w:rPr>
            <w:rStyle w:val="Hyperlink"/>
            <w:rFonts w:eastAsia="Calibri"/>
          </w:rPr>
          <w:t>Administration costs per Ig infusion</w:t>
        </w:r>
        <w:r w:rsidR="004B3EA2">
          <w:rPr>
            <w:webHidden/>
          </w:rPr>
          <w:tab/>
        </w:r>
        <w:r w:rsidR="004B3EA2">
          <w:rPr>
            <w:webHidden/>
          </w:rPr>
          <w:fldChar w:fldCharType="begin"/>
        </w:r>
        <w:r w:rsidR="004B3EA2">
          <w:rPr>
            <w:webHidden/>
          </w:rPr>
          <w:instrText xml:space="preserve"> PAGEREF _Toc69305601 \h </w:instrText>
        </w:r>
        <w:r w:rsidR="004B3EA2">
          <w:rPr>
            <w:webHidden/>
          </w:rPr>
        </w:r>
        <w:r w:rsidR="004B3EA2">
          <w:rPr>
            <w:webHidden/>
          </w:rPr>
          <w:fldChar w:fldCharType="separate"/>
        </w:r>
        <w:r w:rsidR="004B3EA2">
          <w:rPr>
            <w:webHidden/>
          </w:rPr>
          <w:t>126</w:t>
        </w:r>
        <w:r w:rsidR="004B3EA2">
          <w:rPr>
            <w:webHidden/>
          </w:rPr>
          <w:fldChar w:fldCharType="end"/>
        </w:r>
      </w:hyperlink>
    </w:p>
    <w:p w14:paraId="0A9C775F" w14:textId="353D9A48" w:rsidR="004B3EA2" w:rsidRDefault="00003BA5">
      <w:pPr>
        <w:pStyle w:val="TOC3"/>
        <w:rPr>
          <w:rFonts w:asciiTheme="minorHAnsi" w:eastAsiaTheme="minorEastAsia" w:hAnsiTheme="minorHAnsi" w:cstheme="minorBidi"/>
        </w:rPr>
      </w:pPr>
      <w:hyperlink w:anchor="_Toc69305602" w:history="1">
        <w:r w:rsidR="004B3EA2" w:rsidRPr="00503FCF">
          <w:rPr>
            <w:rStyle w:val="Hyperlink"/>
            <w:rFonts w:eastAsia="Calibri"/>
          </w:rPr>
          <w:t>Univariate sensitivity analyses</w:t>
        </w:r>
        <w:r w:rsidR="004B3EA2">
          <w:rPr>
            <w:webHidden/>
          </w:rPr>
          <w:tab/>
        </w:r>
        <w:r w:rsidR="004B3EA2">
          <w:rPr>
            <w:webHidden/>
          </w:rPr>
          <w:fldChar w:fldCharType="begin"/>
        </w:r>
        <w:r w:rsidR="004B3EA2">
          <w:rPr>
            <w:webHidden/>
          </w:rPr>
          <w:instrText xml:space="preserve"> PAGEREF _Toc69305602 \h </w:instrText>
        </w:r>
        <w:r w:rsidR="004B3EA2">
          <w:rPr>
            <w:webHidden/>
          </w:rPr>
        </w:r>
        <w:r w:rsidR="004B3EA2">
          <w:rPr>
            <w:webHidden/>
          </w:rPr>
          <w:fldChar w:fldCharType="separate"/>
        </w:r>
        <w:r w:rsidR="004B3EA2">
          <w:rPr>
            <w:webHidden/>
          </w:rPr>
          <w:t>127</w:t>
        </w:r>
        <w:r w:rsidR="004B3EA2">
          <w:rPr>
            <w:webHidden/>
          </w:rPr>
          <w:fldChar w:fldCharType="end"/>
        </w:r>
      </w:hyperlink>
    </w:p>
    <w:p w14:paraId="2F9C2691" w14:textId="1EF755CA" w:rsidR="004B3EA2" w:rsidRDefault="00003BA5">
      <w:pPr>
        <w:pStyle w:val="TOC1"/>
        <w:rPr>
          <w:rFonts w:asciiTheme="minorHAnsi" w:eastAsiaTheme="minorEastAsia" w:hAnsiTheme="minorHAnsi" w:cstheme="minorBidi"/>
          <w:b w:val="0"/>
        </w:rPr>
      </w:pPr>
      <w:hyperlink w:anchor="_Toc69305603" w:history="1">
        <w:r w:rsidR="004B3EA2" w:rsidRPr="00503FCF">
          <w:rPr>
            <w:rStyle w:val="Hyperlink"/>
          </w:rPr>
          <w:t>Section E</w:t>
        </w:r>
        <w:r w:rsidR="004B3EA2">
          <w:rPr>
            <w:webHidden/>
          </w:rPr>
          <w:tab/>
        </w:r>
        <w:r w:rsidR="004B3EA2">
          <w:rPr>
            <w:webHidden/>
          </w:rPr>
          <w:tab/>
        </w:r>
        <w:r w:rsidR="004B3EA2">
          <w:rPr>
            <w:webHidden/>
          </w:rPr>
          <w:fldChar w:fldCharType="begin"/>
        </w:r>
        <w:r w:rsidR="004B3EA2">
          <w:rPr>
            <w:webHidden/>
          </w:rPr>
          <w:instrText xml:space="preserve"> PAGEREF _Toc69305603 \h </w:instrText>
        </w:r>
        <w:r w:rsidR="004B3EA2">
          <w:rPr>
            <w:webHidden/>
          </w:rPr>
        </w:r>
        <w:r w:rsidR="004B3EA2">
          <w:rPr>
            <w:webHidden/>
          </w:rPr>
          <w:fldChar w:fldCharType="separate"/>
        </w:r>
        <w:r w:rsidR="004B3EA2">
          <w:rPr>
            <w:webHidden/>
          </w:rPr>
          <w:t>131</w:t>
        </w:r>
        <w:r w:rsidR="004B3EA2">
          <w:rPr>
            <w:webHidden/>
          </w:rPr>
          <w:fldChar w:fldCharType="end"/>
        </w:r>
      </w:hyperlink>
    </w:p>
    <w:p w14:paraId="14806537" w14:textId="75FD69C2" w:rsidR="004B3EA2" w:rsidRDefault="00003BA5">
      <w:pPr>
        <w:pStyle w:val="TOC2"/>
        <w:tabs>
          <w:tab w:val="left" w:pos="1418"/>
        </w:tabs>
        <w:rPr>
          <w:rFonts w:asciiTheme="minorHAnsi" w:eastAsiaTheme="minorEastAsia" w:hAnsiTheme="minorHAnsi" w:cstheme="minorBidi"/>
        </w:rPr>
      </w:pPr>
      <w:hyperlink w:anchor="_Toc69305604" w:history="1">
        <w:r w:rsidR="004B3EA2" w:rsidRPr="00503FCF">
          <w:rPr>
            <w:rStyle w:val="Hyperlink"/>
          </w:rPr>
          <w:t>E.1.</w:t>
        </w:r>
        <w:r w:rsidR="004B3EA2">
          <w:rPr>
            <w:rFonts w:asciiTheme="minorHAnsi" w:eastAsiaTheme="minorEastAsia" w:hAnsiTheme="minorHAnsi" w:cstheme="minorBidi"/>
          </w:rPr>
          <w:tab/>
        </w:r>
        <w:r w:rsidR="004B3EA2" w:rsidRPr="00503FCF">
          <w:rPr>
            <w:rStyle w:val="Hyperlink"/>
          </w:rPr>
          <w:t>JUSTIFICATION OF THE SELECTION OF SOURCES OF DATA</w:t>
        </w:r>
        <w:r w:rsidR="004B3EA2">
          <w:rPr>
            <w:webHidden/>
          </w:rPr>
          <w:tab/>
        </w:r>
        <w:r w:rsidR="004B3EA2">
          <w:rPr>
            <w:webHidden/>
          </w:rPr>
          <w:fldChar w:fldCharType="begin"/>
        </w:r>
        <w:r w:rsidR="004B3EA2">
          <w:rPr>
            <w:webHidden/>
          </w:rPr>
          <w:instrText xml:space="preserve"> PAGEREF _Toc69305604 \h </w:instrText>
        </w:r>
        <w:r w:rsidR="004B3EA2">
          <w:rPr>
            <w:webHidden/>
          </w:rPr>
        </w:r>
        <w:r w:rsidR="004B3EA2">
          <w:rPr>
            <w:webHidden/>
          </w:rPr>
          <w:fldChar w:fldCharType="separate"/>
        </w:r>
        <w:r w:rsidR="004B3EA2">
          <w:rPr>
            <w:webHidden/>
          </w:rPr>
          <w:t>131</w:t>
        </w:r>
        <w:r w:rsidR="004B3EA2">
          <w:rPr>
            <w:webHidden/>
          </w:rPr>
          <w:fldChar w:fldCharType="end"/>
        </w:r>
      </w:hyperlink>
    </w:p>
    <w:p w14:paraId="1CB7AEF9" w14:textId="10B78364" w:rsidR="004B3EA2" w:rsidRDefault="00003BA5">
      <w:pPr>
        <w:pStyle w:val="TOC2"/>
        <w:tabs>
          <w:tab w:val="left" w:pos="1418"/>
        </w:tabs>
        <w:rPr>
          <w:rFonts w:asciiTheme="minorHAnsi" w:eastAsiaTheme="minorEastAsia" w:hAnsiTheme="minorHAnsi" w:cstheme="minorBidi"/>
        </w:rPr>
      </w:pPr>
      <w:hyperlink w:anchor="_Toc69305605" w:history="1">
        <w:r w:rsidR="004B3EA2" w:rsidRPr="00503FCF">
          <w:rPr>
            <w:rStyle w:val="Hyperlink"/>
          </w:rPr>
          <w:t>E.2.</w:t>
        </w:r>
        <w:r w:rsidR="004B3EA2">
          <w:rPr>
            <w:rFonts w:asciiTheme="minorHAnsi" w:eastAsiaTheme="minorEastAsia" w:hAnsiTheme="minorHAnsi" w:cstheme="minorBidi"/>
          </w:rPr>
          <w:tab/>
        </w:r>
        <w:r w:rsidR="004B3EA2" w:rsidRPr="00503FCF">
          <w:rPr>
            <w:rStyle w:val="Hyperlink"/>
          </w:rPr>
          <w:t>Use and Costs of Ig for CIDP</w:t>
        </w:r>
        <w:r w:rsidR="004B3EA2">
          <w:rPr>
            <w:webHidden/>
          </w:rPr>
          <w:tab/>
        </w:r>
        <w:r w:rsidR="004B3EA2">
          <w:rPr>
            <w:webHidden/>
          </w:rPr>
          <w:fldChar w:fldCharType="begin"/>
        </w:r>
        <w:r w:rsidR="004B3EA2">
          <w:rPr>
            <w:webHidden/>
          </w:rPr>
          <w:instrText xml:space="preserve"> PAGEREF _Toc69305605 \h </w:instrText>
        </w:r>
        <w:r w:rsidR="004B3EA2">
          <w:rPr>
            <w:webHidden/>
          </w:rPr>
        </w:r>
        <w:r w:rsidR="004B3EA2">
          <w:rPr>
            <w:webHidden/>
          </w:rPr>
          <w:fldChar w:fldCharType="separate"/>
        </w:r>
        <w:r w:rsidR="004B3EA2">
          <w:rPr>
            <w:webHidden/>
          </w:rPr>
          <w:t>131</w:t>
        </w:r>
        <w:r w:rsidR="004B3EA2">
          <w:rPr>
            <w:webHidden/>
          </w:rPr>
          <w:fldChar w:fldCharType="end"/>
        </w:r>
      </w:hyperlink>
    </w:p>
    <w:p w14:paraId="4DC03E94" w14:textId="216E0BFD" w:rsidR="004B3EA2" w:rsidRDefault="00003BA5">
      <w:pPr>
        <w:pStyle w:val="TOC3"/>
        <w:rPr>
          <w:rFonts w:asciiTheme="minorHAnsi" w:eastAsiaTheme="minorEastAsia" w:hAnsiTheme="minorHAnsi" w:cstheme="minorBidi"/>
        </w:rPr>
      </w:pPr>
      <w:hyperlink w:anchor="_Toc69305606" w:history="1">
        <w:r w:rsidR="004B3EA2" w:rsidRPr="00503FCF">
          <w:rPr>
            <w:rStyle w:val="Hyperlink"/>
          </w:rPr>
          <w:t>Estimated number of patients who receive Ig</w:t>
        </w:r>
        <w:r w:rsidR="004B3EA2">
          <w:rPr>
            <w:webHidden/>
          </w:rPr>
          <w:tab/>
        </w:r>
        <w:r w:rsidR="004B3EA2">
          <w:rPr>
            <w:webHidden/>
          </w:rPr>
          <w:fldChar w:fldCharType="begin"/>
        </w:r>
        <w:r w:rsidR="004B3EA2">
          <w:rPr>
            <w:webHidden/>
          </w:rPr>
          <w:instrText xml:space="preserve"> PAGEREF _Toc69305606 \h </w:instrText>
        </w:r>
        <w:r w:rsidR="004B3EA2">
          <w:rPr>
            <w:webHidden/>
          </w:rPr>
        </w:r>
        <w:r w:rsidR="004B3EA2">
          <w:rPr>
            <w:webHidden/>
          </w:rPr>
          <w:fldChar w:fldCharType="separate"/>
        </w:r>
        <w:r w:rsidR="004B3EA2">
          <w:rPr>
            <w:webHidden/>
          </w:rPr>
          <w:t>131</w:t>
        </w:r>
        <w:r w:rsidR="004B3EA2">
          <w:rPr>
            <w:webHidden/>
          </w:rPr>
          <w:fldChar w:fldCharType="end"/>
        </w:r>
      </w:hyperlink>
    </w:p>
    <w:p w14:paraId="632D8F7A" w14:textId="3C46065B" w:rsidR="004B3EA2" w:rsidRDefault="00003BA5">
      <w:pPr>
        <w:pStyle w:val="TOC3"/>
        <w:rPr>
          <w:rFonts w:asciiTheme="minorHAnsi" w:eastAsiaTheme="minorEastAsia" w:hAnsiTheme="minorHAnsi" w:cstheme="minorBidi"/>
        </w:rPr>
      </w:pPr>
      <w:hyperlink w:anchor="_Toc69305607" w:history="1">
        <w:r w:rsidR="004B3EA2" w:rsidRPr="00503FCF">
          <w:rPr>
            <w:rStyle w:val="Hyperlink"/>
          </w:rPr>
          <w:t>In addition the distribution of Ig use between IVIg and SCIg administration will have impact on the costs associated with Ig administration, this is detailed further in Section E.3.Estimated use and cost per patient who receives Ig</w:t>
        </w:r>
        <w:r w:rsidR="004B3EA2">
          <w:rPr>
            <w:webHidden/>
          </w:rPr>
          <w:tab/>
        </w:r>
        <w:r w:rsidR="004B3EA2">
          <w:rPr>
            <w:webHidden/>
          </w:rPr>
          <w:fldChar w:fldCharType="begin"/>
        </w:r>
        <w:r w:rsidR="004B3EA2">
          <w:rPr>
            <w:webHidden/>
          </w:rPr>
          <w:instrText xml:space="preserve"> PAGEREF _Toc69305607 \h </w:instrText>
        </w:r>
        <w:r w:rsidR="004B3EA2">
          <w:rPr>
            <w:webHidden/>
          </w:rPr>
        </w:r>
        <w:r w:rsidR="004B3EA2">
          <w:rPr>
            <w:webHidden/>
          </w:rPr>
          <w:fldChar w:fldCharType="separate"/>
        </w:r>
        <w:r w:rsidR="004B3EA2">
          <w:rPr>
            <w:webHidden/>
          </w:rPr>
          <w:t>133</w:t>
        </w:r>
        <w:r w:rsidR="004B3EA2">
          <w:rPr>
            <w:webHidden/>
          </w:rPr>
          <w:fldChar w:fldCharType="end"/>
        </w:r>
      </w:hyperlink>
    </w:p>
    <w:p w14:paraId="65E621BF" w14:textId="0E04BF33" w:rsidR="004B3EA2" w:rsidRDefault="00003BA5">
      <w:pPr>
        <w:pStyle w:val="TOC3"/>
        <w:rPr>
          <w:rFonts w:asciiTheme="minorHAnsi" w:eastAsiaTheme="minorEastAsia" w:hAnsiTheme="minorHAnsi" w:cstheme="minorBidi"/>
        </w:rPr>
      </w:pPr>
      <w:hyperlink w:anchor="_Toc69305608" w:history="1">
        <w:r w:rsidR="004B3EA2" w:rsidRPr="00503FCF">
          <w:rPr>
            <w:rStyle w:val="Hyperlink"/>
          </w:rPr>
          <w:t>Estimated cost of Ig</w:t>
        </w:r>
        <w:r w:rsidR="004B3EA2">
          <w:rPr>
            <w:webHidden/>
          </w:rPr>
          <w:tab/>
        </w:r>
        <w:r w:rsidR="004B3EA2">
          <w:rPr>
            <w:webHidden/>
          </w:rPr>
          <w:fldChar w:fldCharType="begin"/>
        </w:r>
        <w:r w:rsidR="004B3EA2">
          <w:rPr>
            <w:webHidden/>
          </w:rPr>
          <w:instrText xml:space="preserve"> PAGEREF _Toc69305608 \h </w:instrText>
        </w:r>
        <w:r w:rsidR="004B3EA2">
          <w:rPr>
            <w:webHidden/>
          </w:rPr>
        </w:r>
        <w:r w:rsidR="004B3EA2">
          <w:rPr>
            <w:webHidden/>
          </w:rPr>
          <w:fldChar w:fldCharType="separate"/>
        </w:r>
        <w:r w:rsidR="004B3EA2">
          <w:rPr>
            <w:webHidden/>
          </w:rPr>
          <w:t>135</w:t>
        </w:r>
        <w:r w:rsidR="004B3EA2">
          <w:rPr>
            <w:webHidden/>
          </w:rPr>
          <w:fldChar w:fldCharType="end"/>
        </w:r>
      </w:hyperlink>
    </w:p>
    <w:p w14:paraId="48A981D7" w14:textId="11DB6600" w:rsidR="004B3EA2" w:rsidRDefault="00003BA5">
      <w:pPr>
        <w:pStyle w:val="TOC2"/>
        <w:tabs>
          <w:tab w:val="left" w:pos="1418"/>
        </w:tabs>
        <w:rPr>
          <w:rFonts w:asciiTheme="minorHAnsi" w:eastAsiaTheme="minorEastAsia" w:hAnsiTheme="minorHAnsi" w:cstheme="minorBidi"/>
        </w:rPr>
      </w:pPr>
      <w:hyperlink w:anchor="_Toc69305609" w:history="1">
        <w:r w:rsidR="004B3EA2" w:rsidRPr="00503FCF">
          <w:rPr>
            <w:rStyle w:val="Hyperlink"/>
          </w:rPr>
          <w:t>E.3.</w:t>
        </w:r>
        <w:r w:rsidR="004B3EA2">
          <w:rPr>
            <w:rFonts w:asciiTheme="minorHAnsi" w:eastAsiaTheme="minorEastAsia" w:hAnsiTheme="minorHAnsi" w:cstheme="minorBidi"/>
          </w:rPr>
          <w:tab/>
        </w:r>
        <w:r w:rsidR="004B3EA2" w:rsidRPr="00503FCF">
          <w:rPr>
            <w:rStyle w:val="Hyperlink"/>
          </w:rPr>
          <w:t>Changes in Use and Cost of Other Medical Services</w:t>
        </w:r>
        <w:r w:rsidR="004B3EA2">
          <w:rPr>
            <w:webHidden/>
          </w:rPr>
          <w:tab/>
        </w:r>
        <w:r w:rsidR="004B3EA2">
          <w:rPr>
            <w:webHidden/>
          </w:rPr>
          <w:fldChar w:fldCharType="begin"/>
        </w:r>
        <w:r w:rsidR="004B3EA2">
          <w:rPr>
            <w:webHidden/>
          </w:rPr>
          <w:instrText xml:space="preserve"> PAGEREF _Toc69305609 \h </w:instrText>
        </w:r>
        <w:r w:rsidR="004B3EA2">
          <w:rPr>
            <w:webHidden/>
          </w:rPr>
        </w:r>
        <w:r w:rsidR="004B3EA2">
          <w:rPr>
            <w:webHidden/>
          </w:rPr>
          <w:fldChar w:fldCharType="separate"/>
        </w:r>
        <w:r w:rsidR="004B3EA2">
          <w:rPr>
            <w:webHidden/>
          </w:rPr>
          <w:t>135</w:t>
        </w:r>
        <w:r w:rsidR="004B3EA2">
          <w:rPr>
            <w:webHidden/>
          </w:rPr>
          <w:fldChar w:fldCharType="end"/>
        </w:r>
      </w:hyperlink>
    </w:p>
    <w:p w14:paraId="29E6ECB3" w14:textId="307B41B8" w:rsidR="004B3EA2" w:rsidRDefault="00003BA5">
      <w:pPr>
        <w:pStyle w:val="TOC3"/>
        <w:rPr>
          <w:rFonts w:asciiTheme="minorHAnsi" w:eastAsiaTheme="minorEastAsia" w:hAnsiTheme="minorHAnsi" w:cstheme="minorBidi"/>
        </w:rPr>
      </w:pPr>
      <w:hyperlink w:anchor="_Toc69305610" w:history="1">
        <w:r w:rsidR="004B3EA2" w:rsidRPr="00503FCF">
          <w:rPr>
            <w:rStyle w:val="Hyperlink"/>
          </w:rPr>
          <w:t>Additional costs due to Ig administration</w:t>
        </w:r>
        <w:r w:rsidR="004B3EA2">
          <w:rPr>
            <w:webHidden/>
          </w:rPr>
          <w:tab/>
        </w:r>
        <w:r w:rsidR="004B3EA2">
          <w:rPr>
            <w:webHidden/>
          </w:rPr>
          <w:fldChar w:fldCharType="begin"/>
        </w:r>
        <w:r w:rsidR="004B3EA2">
          <w:rPr>
            <w:webHidden/>
          </w:rPr>
          <w:instrText xml:space="preserve"> PAGEREF _Toc69305610 \h </w:instrText>
        </w:r>
        <w:r w:rsidR="004B3EA2">
          <w:rPr>
            <w:webHidden/>
          </w:rPr>
        </w:r>
        <w:r w:rsidR="004B3EA2">
          <w:rPr>
            <w:webHidden/>
          </w:rPr>
          <w:fldChar w:fldCharType="separate"/>
        </w:r>
        <w:r w:rsidR="004B3EA2">
          <w:rPr>
            <w:webHidden/>
          </w:rPr>
          <w:t>135</w:t>
        </w:r>
        <w:r w:rsidR="004B3EA2">
          <w:rPr>
            <w:webHidden/>
          </w:rPr>
          <w:fldChar w:fldCharType="end"/>
        </w:r>
      </w:hyperlink>
    </w:p>
    <w:p w14:paraId="1B134F78" w14:textId="25788A25" w:rsidR="004B3EA2" w:rsidRDefault="00003BA5">
      <w:pPr>
        <w:pStyle w:val="TOC3"/>
        <w:rPr>
          <w:rFonts w:asciiTheme="minorHAnsi" w:eastAsiaTheme="minorEastAsia" w:hAnsiTheme="minorHAnsi" w:cstheme="minorBidi"/>
        </w:rPr>
      </w:pPr>
      <w:hyperlink w:anchor="_Toc69305611" w:history="1">
        <w:r w:rsidR="004B3EA2" w:rsidRPr="00503FCF">
          <w:rPr>
            <w:rStyle w:val="Hyperlink"/>
          </w:rPr>
          <w:t>Changes in costs associated with Ig due to a reduction in comparator services</w:t>
        </w:r>
        <w:r w:rsidR="004B3EA2">
          <w:rPr>
            <w:webHidden/>
          </w:rPr>
          <w:tab/>
        </w:r>
        <w:r w:rsidR="004B3EA2">
          <w:rPr>
            <w:webHidden/>
          </w:rPr>
          <w:fldChar w:fldCharType="begin"/>
        </w:r>
        <w:r w:rsidR="004B3EA2">
          <w:rPr>
            <w:webHidden/>
          </w:rPr>
          <w:instrText xml:space="preserve"> PAGEREF _Toc69305611 \h </w:instrText>
        </w:r>
        <w:r w:rsidR="004B3EA2">
          <w:rPr>
            <w:webHidden/>
          </w:rPr>
        </w:r>
        <w:r w:rsidR="004B3EA2">
          <w:rPr>
            <w:webHidden/>
          </w:rPr>
          <w:fldChar w:fldCharType="separate"/>
        </w:r>
        <w:r w:rsidR="004B3EA2">
          <w:rPr>
            <w:webHidden/>
          </w:rPr>
          <w:t>137</w:t>
        </w:r>
        <w:r w:rsidR="004B3EA2">
          <w:rPr>
            <w:webHidden/>
          </w:rPr>
          <w:fldChar w:fldCharType="end"/>
        </w:r>
      </w:hyperlink>
    </w:p>
    <w:p w14:paraId="4EDC6A29" w14:textId="6C6DEC95" w:rsidR="004B3EA2" w:rsidRDefault="00003BA5">
      <w:pPr>
        <w:pStyle w:val="TOC2"/>
        <w:tabs>
          <w:tab w:val="left" w:pos="1418"/>
        </w:tabs>
        <w:rPr>
          <w:rFonts w:asciiTheme="minorHAnsi" w:eastAsiaTheme="minorEastAsia" w:hAnsiTheme="minorHAnsi" w:cstheme="minorBidi"/>
        </w:rPr>
      </w:pPr>
      <w:hyperlink w:anchor="_Toc69305612" w:history="1">
        <w:r w:rsidR="004B3EA2" w:rsidRPr="00503FCF">
          <w:rPr>
            <w:rStyle w:val="Hyperlink"/>
          </w:rPr>
          <w:t>E.4.</w:t>
        </w:r>
        <w:r w:rsidR="004B3EA2">
          <w:rPr>
            <w:rFonts w:asciiTheme="minorHAnsi" w:eastAsiaTheme="minorEastAsia" w:hAnsiTheme="minorHAnsi" w:cstheme="minorBidi"/>
          </w:rPr>
          <w:tab/>
        </w:r>
        <w:r w:rsidR="004B3EA2" w:rsidRPr="00503FCF">
          <w:rPr>
            <w:rStyle w:val="Hyperlink"/>
          </w:rPr>
          <w:t>Financial implications for government health budgets</w:t>
        </w:r>
        <w:r w:rsidR="004B3EA2">
          <w:rPr>
            <w:webHidden/>
          </w:rPr>
          <w:tab/>
        </w:r>
        <w:r w:rsidR="004B3EA2">
          <w:rPr>
            <w:webHidden/>
          </w:rPr>
          <w:fldChar w:fldCharType="begin"/>
        </w:r>
        <w:r w:rsidR="004B3EA2">
          <w:rPr>
            <w:webHidden/>
          </w:rPr>
          <w:instrText xml:space="preserve"> PAGEREF _Toc69305612 \h </w:instrText>
        </w:r>
        <w:r w:rsidR="004B3EA2">
          <w:rPr>
            <w:webHidden/>
          </w:rPr>
        </w:r>
        <w:r w:rsidR="004B3EA2">
          <w:rPr>
            <w:webHidden/>
          </w:rPr>
          <w:fldChar w:fldCharType="separate"/>
        </w:r>
        <w:r w:rsidR="004B3EA2">
          <w:rPr>
            <w:webHidden/>
          </w:rPr>
          <w:t>138</w:t>
        </w:r>
        <w:r w:rsidR="004B3EA2">
          <w:rPr>
            <w:webHidden/>
          </w:rPr>
          <w:fldChar w:fldCharType="end"/>
        </w:r>
      </w:hyperlink>
    </w:p>
    <w:p w14:paraId="78E1903E" w14:textId="2460CBC4" w:rsidR="004B3EA2" w:rsidRDefault="00003BA5">
      <w:pPr>
        <w:pStyle w:val="TOC2"/>
        <w:tabs>
          <w:tab w:val="left" w:pos="1418"/>
        </w:tabs>
        <w:rPr>
          <w:rFonts w:asciiTheme="minorHAnsi" w:eastAsiaTheme="minorEastAsia" w:hAnsiTheme="minorHAnsi" w:cstheme="minorBidi"/>
        </w:rPr>
      </w:pPr>
      <w:hyperlink w:anchor="_Toc69305613" w:history="1">
        <w:r w:rsidR="004B3EA2" w:rsidRPr="00503FCF">
          <w:rPr>
            <w:rStyle w:val="Hyperlink"/>
          </w:rPr>
          <w:t>E.5.</w:t>
        </w:r>
        <w:r w:rsidR="004B3EA2">
          <w:rPr>
            <w:rFonts w:asciiTheme="minorHAnsi" w:eastAsiaTheme="minorEastAsia" w:hAnsiTheme="minorHAnsi" w:cstheme="minorBidi"/>
          </w:rPr>
          <w:tab/>
        </w:r>
        <w:r w:rsidR="004B3EA2" w:rsidRPr="00503FCF">
          <w:rPr>
            <w:rStyle w:val="Hyperlink"/>
          </w:rPr>
          <w:t>Identification, estimation and reduction of uncertainty</w:t>
        </w:r>
        <w:r w:rsidR="004B3EA2">
          <w:rPr>
            <w:webHidden/>
          </w:rPr>
          <w:tab/>
        </w:r>
        <w:r w:rsidR="004B3EA2">
          <w:rPr>
            <w:webHidden/>
          </w:rPr>
          <w:fldChar w:fldCharType="begin"/>
        </w:r>
        <w:r w:rsidR="004B3EA2">
          <w:rPr>
            <w:webHidden/>
          </w:rPr>
          <w:instrText xml:space="preserve"> PAGEREF _Toc69305613 \h </w:instrText>
        </w:r>
        <w:r w:rsidR="004B3EA2">
          <w:rPr>
            <w:webHidden/>
          </w:rPr>
        </w:r>
        <w:r w:rsidR="004B3EA2">
          <w:rPr>
            <w:webHidden/>
          </w:rPr>
          <w:fldChar w:fldCharType="separate"/>
        </w:r>
        <w:r w:rsidR="004B3EA2">
          <w:rPr>
            <w:webHidden/>
          </w:rPr>
          <w:t>138</w:t>
        </w:r>
        <w:r w:rsidR="004B3EA2">
          <w:rPr>
            <w:webHidden/>
          </w:rPr>
          <w:fldChar w:fldCharType="end"/>
        </w:r>
      </w:hyperlink>
    </w:p>
    <w:p w14:paraId="00678334" w14:textId="184683FE" w:rsidR="004B3EA2" w:rsidRDefault="00003BA5">
      <w:pPr>
        <w:pStyle w:val="TOC1"/>
        <w:rPr>
          <w:rFonts w:asciiTheme="minorHAnsi" w:eastAsiaTheme="minorEastAsia" w:hAnsiTheme="minorHAnsi" w:cstheme="minorBidi"/>
          <w:b w:val="0"/>
        </w:rPr>
      </w:pPr>
      <w:hyperlink w:anchor="_Toc69305614" w:history="1">
        <w:r w:rsidR="004B3EA2" w:rsidRPr="00503FCF">
          <w:rPr>
            <w:rStyle w:val="Hyperlink"/>
          </w:rPr>
          <w:t>Appendix A</w:t>
        </w:r>
        <w:r w:rsidR="004B3EA2">
          <w:rPr>
            <w:rFonts w:asciiTheme="minorHAnsi" w:eastAsiaTheme="minorEastAsia" w:hAnsiTheme="minorHAnsi" w:cstheme="minorBidi"/>
            <w:b w:val="0"/>
          </w:rPr>
          <w:tab/>
        </w:r>
        <w:r w:rsidR="004B3EA2" w:rsidRPr="00503FCF">
          <w:rPr>
            <w:rStyle w:val="Hyperlink"/>
          </w:rPr>
          <w:t>Clinical experts and assessment group</w:t>
        </w:r>
        <w:r w:rsidR="004B3EA2">
          <w:rPr>
            <w:webHidden/>
          </w:rPr>
          <w:tab/>
        </w:r>
        <w:r w:rsidR="004B3EA2">
          <w:rPr>
            <w:webHidden/>
          </w:rPr>
          <w:fldChar w:fldCharType="begin"/>
        </w:r>
        <w:r w:rsidR="004B3EA2">
          <w:rPr>
            <w:webHidden/>
          </w:rPr>
          <w:instrText xml:space="preserve"> PAGEREF _Toc69305614 \h </w:instrText>
        </w:r>
        <w:r w:rsidR="004B3EA2">
          <w:rPr>
            <w:webHidden/>
          </w:rPr>
        </w:r>
        <w:r w:rsidR="004B3EA2">
          <w:rPr>
            <w:webHidden/>
          </w:rPr>
          <w:fldChar w:fldCharType="separate"/>
        </w:r>
        <w:r w:rsidR="004B3EA2">
          <w:rPr>
            <w:webHidden/>
          </w:rPr>
          <w:t>140</w:t>
        </w:r>
        <w:r w:rsidR="004B3EA2">
          <w:rPr>
            <w:webHidden/>
          </w:rPr>
          <w:fldChar w:fldCharType="end"/>
        </w:r>
      </w:hyperlink>
    </w:p>
    <w:p w14:paraId="1E210BEE" w14:textId="78E62B8D" w:rsidR="004B3EA2" w:rsidRDefault="00003BA5">
      <w:pPr>
        <w:pStyle w:val="TOC2"/>
        <w:rPr>
          <w:rFonts w:asciiTheme="minorHAnsi" w:eastAsiaTheme="minorEastAsia" w:hAnsiTheme="minorHAnsi" w:cstheme="minorBidi"/>
        </w:rPr>
      </w:pPr>
      <w:hyperlink w:anchor="_Toc69305615" w:history="1">
        <w:r w:rsidR="004B3EA2" w:rsidRPr="00503FCF">
          <w:rPr>
            <w:rStyle w:val="Hyperlink"/>
            <w:b/>
            <w:smallCaps/>
          </w:rPr>
          <w:t>Assessment group</w:t>
        </w:r>
        <w:r w:rsidR="004B3EA2">
          <w:rPr>
            <w:webHidden/>
          </w:rPr>
          <w:tab/>
        </w:r>
        <w:r w:rsidR="004B3EA2">
          <w:rPr>
            <w:webHidden/>
          </w:rPr>
          <w:fldChar w:fldCharType="begin"/>
        </w:r>
        <w:r w:rsidR="004B3EA2">
          <w:rPr>
            <w:webHidden/>
          </w:rPr>
          <w:instrText xml:space="preserve"> PAGEREF _Toc69305615 \h </w:instrText>
        </w:r>
        <w:r w:rsidR="004B3EA2">
          <w:rPr>
            <w:webHidden/>
          </w:rPr>
        </w:r>
        <w:r w:rsidR="004B3EA2">
          <w:rPr>
            <w:webHidden/>
          </w:rPr>
          <w:fldChar w:fldCharType="separate"/>
        </w:r>
        <w:r w:rsidR="004B3EA2">
          <w:rPr>
            <w:webHidden/>
          </w:rPr>
          <w:t>140</w:t>
        </w:r>
        <w:r w:rsidR="004B3EA2">
          <w:rPr>
            <w:webHidden/>
          </w:rPr>
          <w:fldChar w:fldCharType="end"/>
        </w:r>
      </w:hyperlink>
    </w:p>
    <w:p w14:paraId="74D3591D" w14:textId="3ACDC89C" w:rsidR="004B3EA2" w:rsidRDefault="00003BA5">
      <w:pPr>
        <w:pStyle w:val="TOC1"/>
        <w:rPr>
          <w:rFonts w:asciiTheme="minorHAnsi" w:eastAsiaTheme="minorEastAsia" w:hAnsiTheme="minorHAnsi" w:cstheme="minorBidi"/>
          <w:b w:val="0"/>
        </w:rPr>
      </w:pPr>
      <w:hyperlink w:anchor="_Toc69305616" w:history="1">
        <w:r w:rsidR="004B3EA2" w:rsidRPr="00503FCF">
          <w:rPr>
            <w:rStyle w:val="Hyperlink"/>
          </w:rPr>
          <w:t>Appendix B</w:t>
        </w:r>
        <w:r w:rsidR="004B3EA2">
          <w:rPr>
            <w:rFonts w:asciiTheme="minorHAnsi" w:eastAsiaTheme="minorEastAsia" w:hAnsiTheme="minorHAnsi" w:cstheme="minorBidi"/>
            <w:b w:val="0"/>
          </w:rPr>
          <w:tab/>
        </w:r>
        <w:r w:rsidR="004B3EA2" w:rsidRPr="00503FCF">
          <w:rPr>
            <w:rStyle w:val="Hyperlink"/>
          </w:rPr>
          <w:t>Search strategies</w:t>
        </w:r>
        <w:r w:rsidR="004B3EA2">
          <w:rPr>
            <w:webHidden/>
          </w:rPr>
          <w:tab/>
        </w:r>
        <w:r w:rsidR="004B3EA2">
          <w:rPr>
            <w:webHidden/>
          </w:rPr>
          <w:fldChar w:fldCharType="begin"/>
        </w:r>
        <w:r w:rsidR="004B3EA2">
          <w:rPr>
            <w:webHidden/>
          </w:rPr>
          <w:instrText xml:space="preserve"> PAGEREF _Toc69305616 \h </w:instrText>
        </w:r>
        <w:r w:rsidR="004B3EA2">
          <w:rPr>
            <w:webHidden/>
          </w:rPr>
        </w:r>
        <w:r w:rsidR="004B3EA2">
          <w:rPr>
            <w:webHidden/>
          </w:rPr>
          <w:fldChar w:fldCharType="separate"/>
        </w:r>
        <w:r w:rsidR="004B3EA2">
          <w:rPr>
            <w:webHidden/>
          </w:rPr>
          <w:t>141</w:t>
        </w:r>
        <w:r w:rsidR="004B3EA2">
          <w:rPr>
            <w:webHidden/>
          </w:rPr>
          <w:fldChar w:fldCharType="end"/>
        </w:r>
      </w:hyperlink>
    </w:p>
    <w:p w14:paraId="6B0EA9D7" w14:textId="1A76A0C5" w:rsidR="004B3EA2" w:rsidRDefault="00003BA5">
      <w:pPr>
        <w:pStyle w:val="TOC2"/>
        <w:rPr>
          <w:rFonts w:asciiTheme="minorHAnsi" w:eastAsiaTheme="minorEastAsia" w:hAnsiTheme="minorHAnsi" w:cstheme="minorBidi"/>
        </w:rPr>
      </w:pPr>
      <w:hyperlink w:anchor="_Toc69305617" w:history="1">
        <w:r w:rsidR="004B3EA2" w:rsidRPr="00503FCF">
          <w:rPr>
            <w:rStyle w:val="Hyperlink"/>
          </w:rPr>
          <w:t>Bibliographic databases and study selection criteria for the safety and effectiveness of IVIg for CIDP</w:t>
        </w:r>
        <w:r w:rsidR="004B3EA2">
          <w:rPr>
            <w:webHidden/>
          </w:rPr>
          <w:tab/>
        </w:r>
        <w:r w:rsidR="004B3EA2">
          <w:rPr>
            <w:webHidden/>
          </w:rPr>
          <w:fldChar w:fldCharType="begin"/>
        </w:r>
        <w:r w:rsidR="004B3EA2">
          <w:rPr>
            <w:webHidden/>
          </w:rPr>
          <w:instrText xml:space="preserve"> PAGEREF _Toc69305617 \h </w:instrText>
        </w:r>
        <w:r w:rsidR="004B3EA2">
          <w:rPr>
            <w:webHidden/>
          </w:rPr>
        </w:r>
        <w:r w:rsidR="004B3EA2">
          <w:rPr>
            <w:webHidden/>
          </w:rPr>
          <w:fldChar w:fldCharType="separate"/>
        </w:r>
        <w:r w:rsidR="004B3EA2">
          <w:rPr>
            <w:webHidden/>
          </w:rPr>
          <w:t>141</w:t>
        </w:r>
        <w:r w:rsidR="004B3EA2">
          <w:rPr>
            <w:webHidden/>
          </w:rPr>
          <w:fldChar w:fldCharType="end"/>
        </w:r>
      </w:hyperlink>
    </w:p>
    <w:p w14:paraId="2C968422" w14:textId="2EE64AD3" w:rsidR="004B3EA2" w:rsidRDefault="00003BA5">
      <w:pPr>
        <w:pStyle w:val="TOC1"/>
        <w:rPr>
          <w:rFonts w:asciiTheme="minorHAnsi" w:eastAsiaTheme="minorEastAsia" w:hAnsiTheme="minorHAnsi" w:cstheme="minorBidi"/>
          <w:b w:val="0"/>
        </w:rPr>
      </w:pPr>
      <w:hyperlink w:anchor="_Toc69305618" w:history="1">
        <w:r w:rsidR="004B3EA2" w:rsidRPr="00503FCF">
          <w:rPr>
            <w:rStyle w:val="Hyperlink"/>
          </w:rPr>
          <w:t>Appendix C</w:t>
        </w:r>
        <w:r w:rsidR="004B3EA2">
          <w:rPr>
            <w:rFonts w:asciiTheme="minorHAnsi" w:eastAsiaTheme="minorEastAsia" w:hAnsiTheme="minorHAnsi" w:cstheme="minorBidi"/>
            <w:b w:val="0"/>
          </w:rPr>
          <w:tab/>
        </w:r>
        <w:r w:rsidR="004B3EA2" w:rsidRPr="00503FCF">
          <w:rPr>
            <w:rStyle w:val="Hyperlink"/>
          </w:rPr>
          <w:t>Studies included in the Systematic Review</w:t>
        </w:r>
        <w:r w:rsidR="004B3EA2">
          <w:rPr>
            <w:webHidden/>
          </w:rPr>
          <w:tab/>
        </w:r>
        <w:r w:rsidR="004B3EA2">
          <w:rPr>
            <w:webHidden/>
          </w:rPr>
          <w:fldChar w:fldCharType="begin"/>
        </w:r>
        <w:r w:rsidR="004B3EA2">
          <w:rPr>
            <w:webHidden/>
          </w:rPr>
          <w:instrText xml:space="preserve"> PAGEREF _Toc69305618 \h </w:instrText>
        </w:r>
        <w:r w:rsidR="004B3EA2">
          <w:rPr>
            <w:webHidden/>
          </w:rPr>
        </w:r>
        <w:r w:rsidR="004B3EA2">
          <w:rPr>
            <w:webHidden/>
          </w:rPr>
          <w:fldChar w:fldCharType="separate"/>
        </w:r>
        <w:r w:rsidR="004B3EA2">
          <w:rPr>
            <w:webHidden/>
          </w:rPr>
          <w:t>142</w:t>
        </w:r>
        <w:r w:rsidR="004B3EA2">
          <w:rPr>
            <w:webHidden/>
          </w:rPr>
          <w:fldChar w:fldCharType="end"/>
        </w:r>
      </w:hyperlink>
    </w:p>
    <w:p w14:paraId="2557DCE7" w14:textId="6E5F87D4" w:rsidR="004B3EA2" w:rsidRDefault="00003BA5">
      <w:pPr>
        <w:pStyle w:val="TOC1"/>
        <w:rPr>
          <w:rFonts w:asciiTheme="minorHAnsi" w:eastAsiaTheme="minorEastAsia" w:hAnsiTheme="minorHAnsi" w:cstheme="minorBidi"/>
          <w:b w:val="0"/>
        </w:rPr>
      </w:pPr>
      <w:hyperlink w:anchor="_Toc69305619" w:history="1">
        <w:r w:rsidR="004B3EA2" w:rsidRPr="00503FCF">
          <w:rPr>
            <w:rStyle w:val="Hyperlink"/>
          </w:rPr>
          <w:t>Appendix D</w:t>
        </w:r>
        <w:r w:rsidR="004B3EA2">
          <w:rPr>
            <w:rFonts w:asciiTheme="minorHAnsi" w:eastAsiaTheme="minorEastAsia" w:hAnsiTheme="minorHAnsi" w:cstheme="minorBidi"/>
            <w:b w:val="0"/>
          </w:rPr>
          <w:tab/>
        </w:r>
        <w:r w:rsidR="004B3EA2" w:rsidRPr="00503FCF">
          <w:rPr>
            <w:rStyle w:val="Hyperlink"/>
          </w:rPr>
          <w:t>Excluded Studies</w:t>
        </w:r>
        <w:r w:rsidR="004B3EA2">
          <w:rPr>
            <w:webHidden/>
          </w:rPr>
          <w:tab/>
        </w:r>
        <w:r w:rsidR="004B3EA2">
          <w:rPr>
            <w:webHidden/>
          </w:rPr>
          <w:fldChar w:fldCharType="begin"/>
        </w:r>
        <w:r w:rsidR="004B3EA2">
          <w:rPr>
            <w:webHidden/>
          </w:rPr>
          <w:instrText xml:space="preserve"> PAGEREF _Toc69305619 \h </w:instrText>
        </w:r>
        <w:r w:rsidR="004B3EA2">
          <w:rPr>
            <w:webHidden/>
          </w:rPr>
        </w:r>
        <w:r w:rsidR="004B3EA2">
          <w:rPr>
            <w:webHidden/>
          </w:rPr>
          <w:fldChar w:fldCharType="separate"/>
        </w:r>
        <w:r w:rsidR="004B3EA2">
          <w:rPr>
            <w:webHidden/>
          </w:rPr>
          <w:t>146</w:t>
        </w:r>
        <w:r w:rsidR="004B3EA2">
          <w:rPr>
            <w:webHidden/>
          </w:rPr>
          <w:fldChar w:fldCharType="end"/>
        </w:r>
      </w:hyperlink>
    </w:p>
    <w:p w14:paraId="36C24783" w14:textId="2D25A351" w:rsidR="004B3EA2" w:rsidRDefault="00003BA5">
      <w:pPr>
        <w:pStyle w:val="TOC2"/>
        <w:rPr>
          <w:rFonts w:asciiTheme="minorHAnsi" w:eastAsiaTheme="minorEastAsia" w:hAnsiTheme="minorHAnsi" w:cstheme="minorBidi"/>
        </w:rPr>
      </w:pPr>
      <w:hyperlink w:anchor="_Toc69305620" w:history="1">
        <w:r w:rsidR="004B3EA2" w:rsidRPr="00503FCF">
          <w:rPr>
            <w:rStyle w:val="Hyperlink"/>
          </w:rPr>
          <w:t>Studies assessing the safety and effectiveness of Ig for CIDP excluded:</w:t>
        </w:r>
        <w:r w:rsidR="004B3EA2">
          <w:rPr>
            <w:webHidden/>
          </w:rPr>
          <w:tab/>
        </w:r>
        <w:r w:rsidR="004B3EA2">
          <w:rPr>
            <w:webHidden/>
          </w:rPr>
          <w:fldChar w:fldCharType="begin"/>
        </w:r>
        <w:r w:rsidR="004B3EA2">
          <w:rPr>
            <w:webHidden/>
          </w:rPr>
          <w:instrText xml:space="preserve"> PAGEREF _Toc69305620 \h </w:instrText>
        </w:r>
        <w:r w:rsidR="004B3EA2">
          <w:rPr>
            <w:webHidden/>
          </w:rPr>
        </w:r>
        <w:r w:rsidR="004B3EA2">
          <w:rPr>
            <w:webHidden/>
          </w:rPr>
          <w:fldChar w:fldCharType="separate"/>
        </w:r>
        <w:r w:rsidR="004B3EA2">
          <w:rPr>
            <w:webHidden/>
          </w:rPr>
          <w:t>146</w:t>
        </w:r>
        <w:r w:rsidR="004B3EA2">
          <w:rPr>
            <w:webHidden/>
          </w:rPr>
          <w:fldChar w:fldCharType="end"/>
        </w:r>
      </w:hyperlink>
    </w:p>
    <w:p w14:paraId="563E2BE7" w14:textId="4E1FA287" w:rsidR="004B3EA2" w:rsidRDefault="00003BA5">
      <w:pPr>
        <w:pStyle w:val="TOC1"/>
        <w:rPr>
          <w:rFonts w:asciiTheme="minorHAnsi" w:eastAsiaTheme="minorEastAsia" w:hAnsiTheme="minorHAnsi" w:cstheme="minorBidi"/>
          <w:b w:val="0"/>
        </w:rPr>
      </w:pPr>
      <w:hyperlink w:anchor="_Toc69305621" w:history="1">
        <w:r w:rsidR="004B3EA2" w:rsidRPr="00503FCF">
          <w:rPr>
            <w:rStyle w:val="Hyperlink"/>
            <w:rFonts w:eastAsia="Calibri"/>
            <w:lang w:eastAsia="en-US"/>
          </w:rPr>
          <w:t>Appendix E</w:t>
        </w:r>
        <w:r w:rsidR="004B3EA2">
          <w:rPr>
            <w:rFonts w:asciiTheme="minorHAnsi" w:eastAsiaTheme="minorEastAsia" w:hAnsiTheme="minorHAnsi" w:cstheme="minorBidi"/>
            <w:b w:val="0"/>
          </w:rPr>
          <w:tab/>
        </w:r>
        <w:r w:rsidR="004B3EA2" w:rsidRPr="00503FCF">
          <w:rPr>
            <w:rStyle w:val="Hyperlink"/>
            <w:rFonts w:eastAsia="Calibri"/>
            <w:lang w:eastAsia="en-US"/>
          </w:rPr>
          <w:t>Diagnostic Criteria for CIDP</w:t>
        </w:r>
        <w:r w:rsidR="004B3EA2">
          <w:rPr>
            <w:webHidden/>
          </w:rPr>
          <w:tab/>
        </w:r>
        <w:r w:rsidR="004B3EA2">
          <w:rPr>
            <w:webHidden/>
          </w:rPr>
          <w:fldChar w:fldCharType="begin"/>
        </w:r>
        <w:r w:rsidR="004B3EA2">
          <w:rPr>
            <w:webHidden/>
          </w:rPr>
          <w:instrText xml:space="preserve"> PAGEREF _Toc69305621 \h </w:instrText>
        </w:r>
        <w:r w:rsidR="004B3EA2">
          <w:rPr>
            <w:webHidden/>
          </w:rPr>
        </w:r>
        <w:r w:rsidR="004B3EA2">
          <w:rPr>
            <w:webHidden/>
          </w:rPr>
          <w:fldChar w:fldCharType="separate"/>
        </w:r>
        <w:r w:rsidR="004B3EA2">
          <w:rPr>
            <w:webHidden/>
          </w:rPr>
          <w:t>147</w:t>
        </w:r>
        <w:r w:rsidR="004B3EA2">
          <w:rPr>
            <w:webHidden/>
          </w:rPr>
          <w:fldChar w:fldCharType="end"/>
        </w:r>
      </w:hyperlink>
    </w:p>
    <w:p w14:paraId="2A27296A" w14:textId="57B00FDF" w:rsidR="004B3EA2" w:rsidRDefault="00003BA5">
      <w:pPr>
        <w:pStyle w:val="TOC2"/>
        <w:rPr>
          <w:rFonts w:asciiTheme="minorHAnsi" w:eastAsiaTheme="minorEastAsia" w:hAnsiTheme="minorHAnsi" w:cstheme="minorBidi"/>
        </w:rPr>
      </w:pPr>
      <w:hyperlink w:anchor="_Toc69305622" w:history="1">
        <w:r w:rsidR="004B3EA2" w:rsidRPr="00503FCF">
          <w:rPr>
            <w:rStyle w:val="Hyperlink"/>
          </w:rPr>
          <w:t>Version 3 criteria for Ig management of CIDP</w:t>
        </w:r>
        <w:r w:rsidR="004B3EA2">
          <w:rPr>
            <w:webHidden/>
          </w:rPr>
          <w:tab/>
        </w:r>
        <w:r w:rsidR="004B3EA2">
          <w:rPr>
            <w:webHidden/>
          </w:rPr>
          <w:fldChar w:fldCharType="begin"/>
        </w:r>
        <w:r w:rsidR="004B3EA2">
          <w:rPr>
            <w:webHidden/>
          </w:rPr>
          <w:instrText xml:space="preserve"> PAGEREF _Toc69305622 \h </w:instrText>
        </w:r>
        <w:r w:rsidR="004B3EA2">
          <w:rPr>
            <w:webHidden/>
          </w:rPr>
        </w:r>
        <w:r w:rsidR="004B3EA2">
          <w:rPr>
            <w:webHidden/>
          </w:rPr>
          <w:fldChar w:fldCharType="separate"/>
        </w:r>
        <w:r w:rsidR="004B3EA2">
          <w:rPr>
            <w:webHidden/>
          </w:rPr>
          <w:t>147</w:t>
        </w:r>
        <w:r w:rsidR="004B3EA2">
          <w:rPr>
            <w:webHidden/>
          </w:rPr>
          <w:fldChar w:fldCharType="end"/>
        </w:r>
      </w:hyperlink>
    </w:p>
    <w:p w14:paraId="3B6CA1F2" w14:textId="778CC032" w:rsidR="004B3EA2" w:rsidRDefault="00003BA5">
      <w:pPr>
        <w:pStyle w:val="TOC2"/>
        <w:rPr>
          <w:rFonts w:asciiTheme="minorHAnsi" w:eastAsiaTheme="minorEastAsia" w:hAnsiTheme="minorHAnsi" w:cstheme="minorBidi"/>
        </w:rPr>
      </w:pPr>
      <w:hyperlink w:anchor="_Toc69305623" w:history="1">
        <w:r w:rsidR="004B3EA2" w:rsidRPr="00503FCF">
          <w:rPr>
            <w:rStyle w:val="Hyperlink"/>
          </w:rPr>
          <w:t>EFNS/PNS criteria for CIDP diagnosis</w:t>
        </w:r>
        <w:r w:rsidR="004B3EA2">
          <w:rPr>
            <w:webHidden/>
          </w:rPr>
          <w:tab/>
        </w:r>
        <w:r w:rsidR="004B3EA2">
          <w:rPr>
            <w:webHidden/>
          </w:rPr>
          <w:fldChar w:fldCharType="begin"/>
        </w:r>
        <w:r w:rsidR="004B3EA2">
          <w:rPr>
            <w:webHidden/>
          </w:rPr>
          <w:instrText xml:space="preserve"> PAGEREF _Toc69305623 \h </w:instrText>
        </w:r>
        <w:r w:rsidR="004B3EA2">
          <w:rPr>
            <w:webHidden/>
          </w:rPr>
        </w:r>
        <w:r w:rsidR="004B3EA2">
          <w:rPr>
            <w:webHidden/>
          </w:rPr>
          <w:fldChar w:fldCharType="separate"/>
        </w:r>
        <w:r w:rsidR="004B3EA2">
          <w:rPr>
            <w:webHidden/>
          </w:rPr>
          <w:t>148</w:t>
        </w:r>
        <w:r w:rsidR="004B3EA2">
          <w:rPr>
            <w:webHidden/>
          </w:rPr>
          <w:fldChar w:fldCharType="end"/>
        </w:r>
      </w:hyperlink>
    </w:p>
    <w:p w14:paraId="518DA3F8" w14:textId="72587997" w:rsidR="004B3EA2" w:rsidRDefault="00003BA5">
      <w:pPr>
        <w:pStyle w:val="TOC1"/>
        <w:rPr>
          <w:rFonts w:asciiTheme="minorHAnsi" w:eastAsiaTheme="minorEastAsia" w:hAnsiTheme="minorHAnsi" w:cstheme="minorBidi"/>
          <w:b w:val="0"/>
        </w:rPr>
      </w:pPr>
      <w:hyperlink w:anchor="_Toc69305624" w:history="1">
        <w:r w:rsidR="004B3EA2" w:rsidRPr="00503FCF">
          <w:rPr>
            <w:rStyle w:val="Hyperlink"/>
            <w:rFonts w:eastAsia="Calibri"/>
            <w:lang w:eastAsia="en-US"/>
          </w:rPr>
          <w:t>Appendix F</w:t>
        </w:r>
        <w:r w:rsidR="004B3EA2">
          <w:rPr>
            <w:rFonts w:asciiTheme="minorHAnsi" w:eastAsiaTheme="minorEastAsia" w:hAnsiTheme="minorHAnsi" w:cstheme="minorBidi"/>
            <w:b w:val="0"/>
          </w:rPr>
          <w:tab/>
        </w:r>
        <w:r w:rsidR="004B3EA2" w:rsidRPr="00503FCF">
          <w:rPr>
            <w:rStyle w:val="Hyperlink"/>
            <w:rFonts w:eastAsia="Calibri"/>
            <w:lang w:eastAsia="en-US"/>
          </w:rPr>
          <w:t>Clinical management algorithms</w:t>
        </w:r>
        <w:r w:rsidR="004B3EA2">
          <w:rPr>
            <w:webHidden/>
          </w:rPr>
          <w:tab/>
        </w:r>
        <w:r w:rsidR="004B3EA2">
          <w:rPr>
            <w:webHidden/>
          </w:rPr>
          <w:fldChar w:fldCharType="begin"/>
        </w:r>
        <w:r w:rsidR="004B3EA2">
          <w:rPr>
            <w:webHidden/>
          </w:rPr>
          <w:instrText xml:space="preserve"> PAGEREF _Toc69305624 \h </w:instrText>
        </w:r>
        <w:r w:rsidR="004B3EA2">
          <w:rPr>
            <w:webHidden/>
          </w:rPr>
        </w:r>
        <w:r w:rsidR="004B3EA2">
          <w:rPr>
            <w:webHidden/>
          </w:rPr>
          <w:fldChar w:fldCharType="separate"/>
        </w:r>
        <w:r w:rsidR="004B3EA2">
          <w:rPr>
            <w:webHidden/>
          </w:rPr>
          <w:t>149</w:t>
        </w:r>
        <w:r w:rsidR="004B3EA2">
          <w:rPr>
            <w:webHidden/>
          </w:rPr>
          <w:fldChar w:fldCharType="end"/>
        </w:r>
      </w:hyperlink>
    </w:p>
    <w:p w14:paraId="41D83FE1" w14:textId="29E88075" w:rsidR="004B3EA2" w:rsidRDefault="00003BA5">
      <w:pPr>
        <w:pStyle w:val="TOC1"/>
        <w:rPr>
          <w:rFonts w:asciiTheme="minorHAnsi" w:eastAsiaTheme="minorEastAsia" w:hAnsiTheme="minorHAnsi" w:cstheme="minorBidi"/>
          <w:b w:val="0"/>
        </w:rPr>
      </w:pPr>
      <w:hyperlink w:anchor="_Toc69305625" w:history="1">
        <w:r w:rsidR="004B3EA2" w:rsidRPr="00503FCF">
          <w:rPr>
            <w:rStyle w:val="Hyperlink"/>
            <w:rFonts w:eastAsia="Calibri"/>
          </w:rPr>
          <w:t>Appendix G</w:t>
        </w:r>
        <w:r w:rsidR="004B3EA2">
          <w:rPr>
            <w:rFonts w:asciiTheme="minorHAnsi" w:eastAsiaTheme="minorEastAsia" w:hAnsiTheme="minorHAnsi" w:cstheme="minorBidi"/>
            <w:b w:val="0"/>
          </w:rPr>
          <w:tab/>
        </w:r>
        <w:r w:rsidR="004B3EA2" w:rsidRPr="00503FCF">
          <w:rPr>
            <w:rStyle w:val="Hyperlink"/>
            <w:rFonts w:eastAsia="Calibri"/>
          </w:rPr>
          <w:t>Additional information for economic evaluation</w:t>
        </w:r>
        <w:r w:rsidR="004B3EA2">
          <w:rPr>
            <w:webHidden/>
          </w:rPr>
          <w:tab/>
        </w:r>
        <w:r w:rsidR="004B3EA2">
          <w:rPr>
            <w:webHidden/>
          </w:rPr>
          <w:fldChar w:fldCharType="begin"/>
        </w:r>
        <w:r w:rsidR="004B3EA2">
          <w:rPr>
            <w:webHidden/>
          </w:rPr>
          <w:instrText xml:space="preserve"> PAGEREF _Toc69305625 \h </w:instrText>
        </w:r>
        <w:r w:rsidR="004B3EA2">
          <w:rPr>
            <w:webHidden/>
          </w:rPr>
        </w:r>
        <w:r w:rsidR="004B3EA2">
          <w:rPr>
            <w:webHidden/>
          </w:rPr>
          <w:fldChar w:fldCharType="separate"/>
        </w:r>
        <w:r w:rsidR="004B3EA2">
          <w:rPr>
            <w:webHidden/>
          </w:rPr>
          <w:t>151</w:t>
        </w:r>
        <w:r w:rsidR="004B3EA2">
          <w:rPr>
            <w:webHidden/>
          </w:rPr>
          <w:fldChar w:fldCharType="end"/>
        </w:r>
      </w:hyperlink>
    </w:p>
    <w:p w14:paraId="20176BF6" w14:textId="246F2311" w:rsidR="004B3EA2" w:rsidRDefault="00003BA5">
      <w:pPr>
        <w:pStyle w:val="TOC2"/>
        <w:rPr>
          <w:rFonts w:asciiTheme="minorHAnsi" w:eastAsiaTheme="minorEastAsia" w:hAnsiTheme="minorHAnsi" w:cstheme="minorBidi"/>
        </w:rPr>
      </w:pPr>
      <w:hyperlink w:anchor="_Toc69305626" w:history="1">
        <w:r w:rsidR="004B3EA2" w:rsidRPr="00503FCF">
          <w:rPr>
            <w:rStyle w:val="Hyperlink"/>
          </w:rPr>
          <w:t>Data update from the Department of Health</w:t>
        </w:r>
        <w:r w:rsidR="004B3EA2">
          <w:rPr>
            <w:webHidden/>
          </w:rPr>
          <w:tab/>
        </w:r>
        <w:r w:rsidR="004B3EA2">
          <w:rPr>
            <w:webHidden/>
          </w:rPr>
          <w:fldChar w:fldCharType="begin"/>
        </w:r>
        <w:r w:rsidR="004B3EA2">
          <w:rPr>
            <w:webHidden/>
          </w:rPr>
          <w:instrText xml:space="preserve"> PAGEREF _Toc69305626 \h </w:instrText>
        </w:r>
        <w:r w:rsidR="004B3EA2">
          <w:rPr>
            <w:webHidden/>
          </w:rPr>
        </w:r>
        <w:r w:rsidR="004B3EA2">
          <w:rPr>
            <w:webHidden/>
          </w:rPr>
          <w:fldChar w:fldCharType="separate"/>
        </w:r>
        <w:r w:rsidR="004B3EA2">
          <w:rPr>
            <w:webHidden/>
          </w:rPr>
          <w:t>151</w:t>
        </w:r>
        <w:r w:rsidR="004B3EA2">
          <w:rPr>
            <w:webHidden/>
          </w:rPr>
          <w:fldChar w:fldCharType="end"/>
        </w:r>
      </w:hyperlink>
    </w:p>
    <w:p w14:paraId="3D95924F" w14:textId="63319EFB" w:rsidR="004B3EA2" w:rsidRDefault="00003BA5">
      <w:pPr>
        <w:pStyle w:val="TOC2"/>
        <w:rPr>
          <w:rFonts w:asciiTheme="minorHAnsi" w:eastAsiaTheme="minorEastAsia" w:hAnsiTheme="minorHAnsi" w:cstheme="minorBidi"/>
        </w:rPr>
      </w:pPr>
      <w:hyperlink w:anchor="_Toc69305627" w:history="1">
        <w:r w:rsidR="004B3EA2" w:rsidRPr="00503FCF">
          <w:rPr>
            <w:rStyle w:val="Hyperlink"/>
            <w:rFonts w:eastAsia="Calibri"/>
          </w:rPr>
          <w:t>Data extracted from observational studies</w:t>
        </w:r>
        <w:r w:rsidR="004B3EA2">
          <w:rPr>
            <w:webHidden/>
          </w:rPr>
          <w:tab/>
        </w:r>
        <w:r w:rsidR="004B3EA2">
          <w:rPr>
            <w:webHidden/>
          </w:rPr>
          <w:fldChar w:fldCharType="begin"/>
        </w:r>
        <w:r w:rsidR="004B3EA2">
          <w:rPr>
            <w:webHidden/>
          </w:rPr>
          <w:instrText xml:space="preserve"> PAGEREF _Toc69305627 \h </w:instrText>
        </w:r>
        <w:r w:rsidR="004B3EA2">
          <w:rPr>
            <w:webHidden/>
          </w:rPr>
        </w:r>
        <w:r w:rsidR="004B3EA2">
          <w:rPr>
            <w:webHidden/>
          </w:rPr>
          <w:fldChar w:fldCharType="separate"/>
        </w:r>
        <w:r w:rsidR="004B3EA2">
          <w:rPr>
            <w:webHidden/>
          </w:rPr>
          <w:t>151</w:t>
        </w:r>
        <w:r w:rsidR="004B3EA2">
          <w:rPr>
            <w:webHidden/>
          </w:rPr>
          <w:fldChar w:fldCharType="end"/>
        </w:r>
      </w:hyperlink>
    </w:p>
    <w:p w14:paraId="2E1AC7A7" w14:textId="23141FFB" w:rsidR="004B3EA2" w:rsidRDefault="00003BA5">
      <w:pPr>
        <w:pStyle w:val="TOC2"/>
        <w:rPr>
          <w:rFonts w:asciiTheme="minorHAnsi" w:eastAsiaTheme="minorEastAsia" w:hAnsiTheme="minorHAnsi" w:cstheme="minorBidi"/>
        </w:rPr>
      </w:pPr>
      <w:hyperlink w:anchor="_Toc69305628" w:history="1">
        <w:r w:rsidR="004B3EA2" w:rsidRPr="00503FCF">
          <w:rPr>
            <w:rStyle w:val="Hyperlink"/>
            <w:rFonts w:eastAsia="Calibri"/>
          </w:rPr>
          <w:t>Immunoglobulin (Ig) costs</w:t>
        </w:r>
        <w:r w:rsidR="004B3EA2">
          <w:rPr>
            <w:webHidden/>
          </w:rPr>
          <w:tab/>
        </w:r>
        <w:r w:rsidR="004B3EA2">
          <w:rPr>
            <w:webHidden/>
          </w:rPr>
          <w:fldChar w:fldCharType="begin"/>
        </w:r>
        <w:r w:rsidR="004B3EA2">
          <w:rPr>
            <w:webHidden/>
          </w:rPr>
          <w:instrText xml:space="preserve"> PAGEREF _Toc69305628 \h </w:instrText>
        </w:r>
        <w:r w:rsidR="004B3EA2">
          <w:rPr>
            <w:webHidden/>
          </w:rPr>
        </w:r>
        <w:r w:rsidR="004B3EA2">
          <w:rPr>
            <w:webHidden/>
          </w:rPr>
          <w:fldChar w:fldCharType="separate"/>
        </w:r>
        <w:r w:rsidR="004B3EA2">
          <w:rPr>
            <w:webHidden/>
          </w:rPr>
          <w:t>156</w:t>
        </w:r>
        <w:r w:rsidR="004B3EA2">
          <w:rPr>
            <w:webHidden/>
          </w:rPr>
          <w:fldChar w:fldCharType="end"/>
        </w:r>
      </w:hyperlink>
    </w:p>
    <w:p w14:paraId="546A1B2C" w14:textId="4BDB20FB" w:rsidR="004B3EA2" w:rsidRDefault="00003BA5">
      <w:pPr>
        <w:pStyle w:val="TOC2"/>
        <w:rPr>
          <w:rFonts w:asciiTheme="minorHAnsi" w:eastAsiaTheme="minorEastAsia" w:hAnsiTheme="minorHAnsi" w:cstheme="minorBidi"/>
        </w:rPr>
      </w:pPr>
      <w:hyperlink w:anchor="_Toc69305629" w:history="1">
        <w:r w:rsidR="004B3EA2" w:rsidRPr="00503FCF">
          <w:rPr>
            <w:rStyle w:val="Hyperlink"/>
          </w:rPr>
          <w:t>Resource use and costs associated with long-term vascular access</w:t>
        </w:r>
        <w:r w:rsidR="004B3EA2">
          <w:rPr>
            <w:webHidden/>
          </w:rPr>
          <w:tab/>
        </w:r>
        <w:r w:rsidR="004B3EA2">
          <w:rPr>
            <w:webHidden/>
          </w:rPr>
          <w:fldChar w:fldCharType="begin"/>
        </w:r>
        <w:r w:rsidR="004B3EA2">
          <w:rPr>
            <w:webHidden/>
          </w:rPr>
          <w:instrText xml:space="preserve"> PAGEREF _Toc69305629 \h </w:instrText>
        </w:r>
        <w:r w:rsidR="004B3EA2">
          <w:rPr>
            <w:webHidden/>
          </w:rPr>
        </w:r>
        <w:r w:rsidR="004B3EA2">
          <w:rPr>
            <w:webHidden/>
          </w:rPr>
          <w:fldChar w:fldCharType="separate"/>
        </w:r>
        <w:r w:rsidR="004B3EA2">
          <w:rPr>
            <w:webHidden/>
          </w:rPr>
          <w:t>156</w:t>
        </w:r>
        <w:r w:rsidR="004B3EA2">
          <w:rPr>
            <w:webHidden/>
          </w:rPr>
          <w:fldChar w:fldCharType="end"/>
        </w:r>
      </w:hyperlink>
    </w:p>
    <w:p w14:paraId="05A14818" w14:textId="62C754BA" w:rsidR="004B3EA2" w:rsidRDefault="00003BA5">
      <w:pPr>
        <w:pStyle w:val="TOC2"/>
        <w:rPr>
          <w:rFonts w:asciiTheme="minorHAnsi" w:eastAsiaTheme="minorEastAsia" w:hAnsiTheme="minorHAnsi" w:cstheme="minorBidi"/>
        </w:rPr>
      </w:pPr>
      <w:hyperlink w:anchor="_Toc69305630" w:history="1">
        <w:r w:rsidR="004B3EA2" w:rsidRPr="00503FCF">
          <w:rPr>
            <w:rStyle w:val="Hyperlink"/>
            <w:rFonts w:eastAsia="Calibri"/>
          </w:rPr>
          <w:t>Costs associated with managing adverse events</w:t>
        </w:r>
        <w:r w:rsidR="004B3EA2">
          <w:rPr>
            <w:webHidden/>
          </w:rPr>
          <w:tab/>
        </w:r>
        <w:r w:rsidR="004B3EA2">
          <w:rPr>
            <w:webHidden/>
          </w:rPr>
          <w:fldChar w:fldCharType="begin"/>
        </w:r>
        <w:r w:rsidR="004B3EA2">
          <w:rPr>
            <w:webHidden/>
          </w:rPr>
          <w:instrText xml:space="preserve"> PAGEREF _Toc69305630 \h </w:instrText>
        </w:r>
        <w:r w:rsidR="004B3EA2">
          <w:rPr>
            <w:webHidden/>
          </w:rPr>
        </w:r>
        <w:r w:rsidR="004B3EA2">
          <w:rPr>
            <w:webHidden/>
          </w:rPr>
          <w:fldChar w:fldCharType="separate"/>
        </w:r>
        <w:r w:rsidR="004B3EA2">
          <w:rPr>
            <w:webHidden/>
          </w:rPr>
          <w:t>157</w:t>
        </w:r>
        <w:r w:rsidR="004B3EA2">
          <w:rPr>
            <w:webHidden/>
          </w:rPr>
          <w:fldChar w:fldCharType="end"/>
        </w:r>
      </w:hyperlink>
    </w:p>
    <w:p w14:paraId="175783C8" w14:textId="30323F00" w:rsidR="004B3EA2" w:rsidRDefault="00003BA5">
      <w:pPr>
        <w:pStyle w:val="TOC3"/>
        <w:rPr>
          <w:rFonts w:asciiTheme="minorHAnsi" w:eastAsiaTheme="minorEastAsia" w:hAnsiTheme="minorHAnsi" w:cstheme="minorBidi"/>
        </w:rPr>
      </w:pPr>
      <w:hyperlink w:anchor="_Toc69305631" w:history="1">
        <w:r w:rsidR="004B3EA2" w:rsidRPr="00503FCF">
          <w:rPr>
            <w:rStyle w:val="Hyperlink"/>
            <w:rFonts w:eastAsia="Calibri"/>
          </w:rPr>
          <w:t>Osteoporosis</w:t>
        </w:r>
        <w:r w:rsidR="004B3EA2">
          <w:rPr>
            <w:webHidden/>
          </w:rPr>
          <w:tab/>
        </w:r>
        <w:r w:rsidR="004B3EA2">
          <w:rPr>
            <w:webHidden/>
          </w:rPr>
          <w:fldChar w:fldCharType="begin"/>
        </w:r>
        <w:r w:rsidR="004B3EA2">
          <w:rPr>
            <w:webHidden/>
          </w:rPr>
          <w:instrText xml:space="preserve"> PAGEREF _Toc69305631 \h </w:instrText>
        </w:r>
        <w:r w:rsidR="004B3EA2">
          <w:rPr>
            <w:webHidden/>
          </w:rPr>
        </w:r>
        <w:r w:rsidR="004B3EA2">
          <w:rPr>
            <w:webHidden/>
          </w:rPr>
          <w:fldChar w:fldCharType="separate"/>
        </w:r>
        <w:r w:rsidR="004B3EA2">
          <w:rPr>
            <w:webHidden/>
          </w:rPr>
          <w:t>157</w:t>
        </w:r>
        <w:r w:rsidR="004B3EA2">
          <w:rPr>
            <w:webHidden/>
          </w:rPr>
          <w:fldChar w:fldCharType="end"/>
        </w:r>
      </w:hyperlink>
    </w:p>
    <w:p w14:paraId="136758F0" w14:textId="6B3B06F2" w:rsidR="004B3EA2" w:rsidRDefault="00003BA5">
      <w:pPr>
        <w:pStyle w:val="TOC3"/>
        <w:rPr>
          <w:rFonts w:asciiTheme="minorHAnsi" w:eastAsiaTheme="minorEastAsia" w:hAnsiTheme="minorHAnsi" w:cstheme="minorBidi"/>
        </w:rPr>
      </w:pPr>
      <w:hyperlink w:anchor="_Toc69305632" w:history="1">
        <w:r w:rsidR="004B3EA2" w:rsidRPr="00503FCF">
          <w:rPr>
            <w:rStyle w:val="Hyperlink"/>
            <w:rFonts w:eastAsia="Calibri"/>
          </w:rPr>
          <w:t>Severe infections</w:t>
        </w:r>
        <w:r w:rsidR="004B3EA2">
          <w:rPr>
            <w:webHidden/>
          </w:rPr>
          <w:tab/>
        </w:r>
        <w:r w:rsidR="004B3EA2">
          <w:rPr>
            <w:webHidden/>
          </w:rPr>
          <w:fldChar w:fldCharType="begin"/>
        </w:r>
        <w:r w:rsidR="004B3EA2">
          <w:rPr>
            <w:webHidden/>
          </w:rPr>
          <w:instrText xml:space="preserve"> PAGEREF _Toc69305632 \h </w:instrText>
        </w:r>
        <w:r w:rsidR="004B3EA2">
          <w:rPr>
            <w:webHidden/>
          </w:rPr>
        </w:r>
        <w:r w:rsidR="004B3EA2">
          <w:rPr>
            <w:webHidden/>
          </w:rPr>
          <w:fldChar w:fldCharType="separate"/>
        </w:r>
        <w:r w:rsidR="004B3EA2">
          <w:rPr>
            <w:webHidden/>
          </w:rPr>
          <w:t>158</w:t>
        </w:r>
        <w:r w:rsidR="004B3EA2">
          <w:rPr>
            <w:webHidden/>
          </w:rPr>
          <w:fldChar w:fldCharType="end"/>
        </w:r>
      </w:hyperlink>
    </w:p>
    <w:p w14:paraId="7ECBBB63" w14:textId="3A87802E" w:rsidR="004B3EA2" w:rsidRDefault="00003BA5">
      <w:pPr>
        <w:pStyle w:val="TOC3"/>
        <w:rPr>
          <w:rFonts w:asciiTheme="minorHAnsi" w:eastAsiaTheme="minorEastAsia" w:hAnsiTheme="minorHAnsi" w:cstheme="minorBidi"/>
        </w:rPr>
      </w:pPr>
      <w:hyperlink w:anchor="_Toc69305633" w:history="1">
        <w:r w:rsidR="004B3EA2" w:rsidRPr="00503FCF">
          <w:rPr>
            <w:rStyle w:val="Hyperlink"/>
            <w:rFonts w:eastAsia="Calibri"/>
          </w:rPr>
          <w:t>Costs associated with adverse events per procedure for Plasma exchange</w:t>
        </w:r>
        <w:r w:rsidR="004B3EA2">
          <w:rPr>
            <w:webHidden/>
          </w:rPr>
          <w:tab/>
        </w:r>
        <w:r w:rsidR="004B3EA2">
          <w:rPr>
            <w:webHidden/>
          </w:rPr>
          <w:fldChar w:fldCharType="begin"/>
        </w:r>
        <w:r w:rsidR="004B3EA2">
          <w:rPr>
            <w:webHidden/>
          </w:rPr>
          <w:instrText xml:space="preserve"> PAGEREF _Toc69305633 \h </w:instrText>
        </w:r>
        <w:r w:rsidR="004B3EA2">
          <w:rPr>
            <w:webHidden/>
          </w:rPr>
        </w:r>
        <w:r w:rsidR="004B3EA2">
          <w:rPr>
            <w:webHidden/>
          </w:rPr>
          <w:fldChar w:fldCharType="separate"/>
        </w:r>
        <w:r w:rsidR="004B3EA2">
          <w:rPr>
            <w:webHidden/>
          </w:rPr>
          <w:t>158</w:t>
        </w:r>
        <w:r w:rsidR="004B3EA2">
          <w:rPr>
            <w:webHidden/>
          </w:rPr>
          <w:fldChar w:fldCharType="end"/>
        </w:r>
      </w:hyperlink>
    </w:p>
    <w:p w14:paraId="68E0BAC0" w14:textId="6FD6FA4F" w:rsidR="004B3EA2" w:rsidRDefault="00003BA5">
      <w:pPr>
        <w:pStyle w:val="TOC2"/>
        <w:rPr>
          <w:rFonts w:asciiTheme="minorHAnsi" w:eastAsiaTheme="minorEastAsia" w:hAnsiTheme="minorHAnsi" w:cstheme="minorBidi"/>
        </w:rPr>
      </w:pPr>
      <w:hyperlink w:anchor="_Toc69305634" w:history="1">
        <w:r w:rsidR="004B3EA2" w:rsidRPr="00503FCF">
          <w:rPr>
            <w:rStyle w:val="Hyperlink"/>
          </w:rPr>
          <w:t>Markov traces for modelled analyses</w:t>
        </w:r>
        <w:r w:rsidR="004B3EA2">
          <w:rPr>
            <w:webHidden/>
          </w:rPr>
          <w:tab/>
        </w:r>
        <w:r w:rsidR="004B3EA2">
          <w:rPr>
            <w:webHidden/>
          </w:rPr>
          <w:fldChar w:fldCharType="begin"/>
        </w:r>
        <w:r w:rsidR="004B3EA2">
          <w:rPr>
            <w:webHidden/>
          </w:rPr>
          <w:instrText xml:space="preserve"> PAGEREF _Toc69305634 \h </w:instrText>
        </w:r>
        <w:r w:rsidR="004B3EA2">
          <w:rPr>
            <w:webHidden/>
          </w:rPr>
        </w:r>
        <w:r w:rsidR="004B3EA2">
          <w:rPr>
            <w:webHidden/>
          </w:rPr>
          <w:fldChar w:fldCharType="separate"/>
        </w:r>
        <w:r w:rsidR="004B3EA2">
          <w:rPr>
            <w:webHidden/>
          </w:rPr>
          <w:t>159</w:t>
        </w:r>
        <w:r w:rsidR="004B3EA2">
          <w:rPr>
            <w:webHidden/>
          </w:rPr>
          <w:fldChar w:fldCharType="end"/>
        </w:r>
      </w:hyperlink>
    </w:p>
    <w:p w14:paraId="10694646" w14:textId="05E01853" w:rsidR="004B3EA2" w:rsidRDefault="00003BA5">
      <w:pPr>
        <w:pStyle w:val="TOC2"/>
        <w:rPr>
          <w:rFonts w:asciiTheme="minorHAnsi" w:eastAsiaTheme="minorEastAsia" w:hAnsiTheme="minorHAnsi" w:cstheme="minorBidi"/>
        </w:rPr>
      </w:pPr>
      <w:hyperlink w:anchor="_Toc69305635" w:history="1">
        <w:r w:rsidR="004B3EA2" w:rsidRPr="00503FCF">
          <w:rPr>
            <w:rStyle w:val="Hyperlink"/>
          </w:rPr>
          <w:t>Sensitivity analysis</w:t>
        </w:r>
        <w:r w:rsidR="004B3EA2">
          <w:rPr>
            <w:webHidden/>
          </w:rPr>
          <w:tab/>
        </w:r>
        <w:r w:rsidR="004B3EA2">
          <w:rPr>
            <w:webHidden/>
          </w:rPr>
          <w:fldChar w:fldCharType="begin"/>
        </w:r>
        <w:r w:rsidR="004B3EA2">
          <w:rPr>
            <w:webHidden/>
          </w:rPr>
          <w:instrText xml:space="preserve"> PAGEREF _Toc69305635 \h </w:instrText>
        </w:r>
        <w:r w:rsidR="004B3EA2">
          <w:rPr>
            <w:webHidden/>
          </w:rPr>
        </w:r>
        <w:r w:rsidR="004B3EA2">
          <w:rPr>
            <w:webHidden/>
          </w:rPr>
          <w:fldChar w:fldCharType="separate"/>
        </w:r>
        <w:r w:rsidR="004B3EA2">
          <w:rPr>
            <w:webHidden/>
          </w:rPr>
          <w:t>161</w:t>
        </w:r>
        <w:r w:rsidR="004B3EA2">
          <w:rPr>
            <w:webHidden/>
          </w:rPr>
          <w:fldChar w:fldCharType="end"/>
        </w:r>
      </w:hyperlink>
    </w:p>
    <w:p w14:paraId="31B99BD6" w14:textId="0144B8ED" w:rsidR="004B3EA2" w:rsidRDefault="00003BA5">
      <w:pPr>
        <w:pStyle w:val="TOC3"/>
        <w:rPr>
          <w:rFonts w:asciiTheme="minorHAnsi" w:eastAsiaTheme="minorEastAsia" w:hAnsiTheme="minorHAnsi" w:cstheme="minorBidi"/>
        </w:rPr>
      </w:pPr>
      <w:hyperlink w:anchor="_Toc69305636" w:history="1">
        <w:r w:rsidR="004B3EA2" w:rsidRPr="00503FCF">
          <w:rPr>
            <w:rStyle w:val="Hyperlink"/>
          </w:rPr>
          <w:t>Ig versus corticosteroids</w:t>
        </w:r>
        <w:r w:rsidR="004B3EA2">
          <w:rPr>
            <w:webHidden/>
          </w:rPr>
          <w:tab/>
        </w:r>
        <w:r w:rsidR="004B3EA2">
          <w:rPr>
            <w:webHidden/>
          </w:rPr>
          <w:fldChar w:fldCharType="begin"/>
        </w:r>
        <w:r w:rsidR="004B3EA2">
          <w:rPr>
            <w:webHidden/>
          </w:rPr>
          <w:instrText xml:space="preserve"> PAGEREF _Toc69305636 \h </w:instrText>
        </w:r>
        <w:r w:rsidR="004B3EA2">
          <w:rPr>
            <w:webHidden/>
          </w:rPr>
        </w:r>
        <w:r w:rsidR="004B3EA2">
          <w:rPr>
            <w:webHidden/>
          </w:rPr>
          <w:fldChar w:fldCharType="separate"/>
        </w:r>
        <w:r w:rsidR="004B3EA2">
          <w:rPr>
            <w:webHidden/>
          </w:rPr>
          <w:t>161</w:t>
        </w:r>
        <w:r w:rsidR="004B3EA2">
          <w:rPr>
            <w:webHidden/>
          </w:rPr>
          <w:fldChar w:fldCharType="end"/>
        </w:r>
      </w:hyperlink>
    </w:p>
    <w:p w14:paraId="389C2142" w14:textId="1A4C3BE4" w:rsidR="004B3EA2" w:rsidRDefault="00003BA5">
      <w:pPr>
        <w:pStyle w:val="TOC3"/>
        <w:rPr>
          <w:rFonts w:asciiTheme="minorHAnsi" w:eastAsiaTheme="minorEastAsia" w:hAnsiTheme="minorHAnsi" w:cstheme="minorBidi"/>
        </w:rPr>
      </w:pPr>
      <w:hyperlink w:anchor="_Toc69305637" w:history="1">
        <w:r w:rsidR="004B3EA2" w:rsidRPr="00503FCF">
          <w:rPr>
            <w:rStyle w:val="Hyperlink"/>
          </w:rPr>
          <w:t>Ig versus Plasma exchange</w:t>
        </w:r>
        <w:r w:rsidR="004B3EA2">
          <w:rPr>
            <w:webHidden/>
          </w:rPr>
          <w:tab/>
        </w:r>
        <w:r w:rsidR="004B3EA2">
          <w:rPr>
            <w:webHidden/>
          </w:rPr>
          <w:fldChar w:fldCharType="begin"/>
        </w:r>
        <w:r w:rsidR="004B3EA2">
          <w:rPr>
            <w:webHidden/>
          </w:rPr>
          <w:instrText xml:space="preserve"> PAGEREF _Toc69305637 \h </w:instrText>
        </w:r>
        <w:r w:rsidR="004B3EA2">
          <w:rPr>
            <w:webHidden/>
          </w:rPr>
        </w:r>
        <w:r w:rsidR="004B3EA2">
          <w:rPr>
            <w:webHidden/>
          </w:rPr>
          <w:fldChar w:fldCharType="separate"/>
        </w:r>
        <w:r w:rsidR="004B3EA2">
          <w:rPr>
            <w:webHidden/>
          </w:rPr>
          <w:t>163</w:t>
        </w:r>
        <w:r w:rsidR="004B3EA2">
          <w:rPr>
            <w:webHidden/>
          </w:rPr>
          <w:fldChar w:fldCharType="end"/>
        </w:r>
      </w:hyperlink>
    </w:p>
    <w:p w14:paraId="58B4A383" w14:textId="1C011F17" w:rsidR="004B3EA2" w:rsidRDefault="00003BA5">
      <w:pPr>
        <w:pStyle w:val="TOC3"/>
        <w:rPr>
          <w:rFonts w:asciiTheme="minorHAnsi" w:eastAsiaTheme="minorEastAsia" w:hAnsiTheme="minorHAnsi" w:cstheme="minorBidi"/>
        </w:rPr>
      </w:pPr>
      <w:hyperlink w:anchor="_Toc69305638" w:history="1">
        <w:r w:rsidR="004B3EA2" w:rsidRPr="00503FCF">
          <w:rPr>
            <w:rStyle w:val="Hyperlink"/>
          </w:rPr>
          <w:t>Ig versus placebo</w:t>
        </w:r>
        <w:r w:rsidR="004B3EA2">
          <w:rPr>
            <w:webHidden/>
          </w:rPr>
          <w:tab/>
        </w:r>
        <w:r w:rsidR="004B3EA2">
          <w:rPr>
            <w:webHidden/>
          </w:rPr>
          <w:fldChar w:fldCharType="begin"/>
        </w:r>
        <w:r w:rsidR="004B3EA2">
          <w:rPr>
            <w:webHidden/>
          </w:rPr>
          <w:instrText xml:space="preserve"> PAGEREF _Toc69305638 \h </w:instrText>
        </w:r>
        <w:r w:rsidR="004B3EA2">
          <w:rPr>
            <w:webHidden/>
          </w:rPr>
        </w:r>
        <w:r w:rsidR="004B3EA2">
          <w:rPr>
            <w:webHidden/>
          </w:rPr>
          <w:fldChar w:fldCharType="separate"/>
        </w:r>
        <w:r w:rsidR="004B3EA2">
          <w:rPr>
            <w:webHidden/>
          </w:rPr>
          <w:t>165</w:t>
        </w:r>
        <w:r w:rsidR="004B3EA2">
          <w:rPr>
            <w:webHidden/>
          </w:rPr>
          <w:fldChar w:fldCharType="end"/>
        </w:r>
      </w:hyperlink>
    </w:p>
    <w:p w14:paraId="24F1BDD2" w14:textId="793E36D1" w:rsidR="004B3EA2" w:rsidRDefault="00003BA5">
      <w:pPr>
        <w:pStyle w:val="TOC1"/>
        <w:rPr>
          <w:rFonts w:asciiTheme="minorHAnsi" w:eastAsiaTheme="minorEastAsia" w:hAnsiTheme="minorHAnsi" w:cstheme="minorBidi"/>
          <w:b w:val="0"/>
        </w:rPr>
      </w:pPr>
      <w:hyperlink w:anchor="_Toc69305639" w:history="1">
        <w:r w:rsidR="004B3EA2" w:rsidRPr="00503FCF">
          <w:rPr>
            <w:rStyle w:val="Hyperlink"/>
          </w:rPr>
          <w:t>Appendix H</w:t>
        </w:r>
        <w:r w:rsidR="004B3EA2">
          <w:rPr>
            <w:rFonts w:asciiTheme="minorHAnsi" w:eastAsiaTheme="minorEastAsia" w:hAnsiTheme="minorHAnsi" w:cstheme="minorBidi"/>
            <w:b w:val="0"/>
          </w:rPr>
          <w:tab/>
        </w:r>
        <w:r w:rsidR="004B3EA2" w:rsidRPr="00503FCF">
          <w:rPr>
            <w:rStyle w:val="Hyperlink"/>
          </w:rPr>
          <w:t>Financial implications appendix</w:t>
        </w:r>
        <w:r w:rsidR="004B3EA2">
          <w:rPr>
            <w:webHidden/>
          </w:rPr>
          <w:tab/>
        </w:r>
        <w:r w:rsidR="004B3EA2">
          <w:rPr>
            <w:webHidden/>
          </w:rPr>
          <w:fldChar w:fldCharType="begin"/>
        </w:r>
        <w:r w:rsidR="004B3EA2">
          <w:rPr>
            <w:webHidden/>
          </w:rPr>
          <w:instrText xml:space="preserve"> PAGEREF _Toc69305639 \h </w:instrText>
        </w:r>
        <w:r w:rsidR="004B3EA2">
          <w:rPr>
            <w:webHidden/>
          </w:rPr>
        </w:r>
        <w:r w:rsidR="004B3EA2">
          <w:rPr>
            <w:webHidden/>
          </w:rPr>
          <w:fldChar w:fldCharType="separate"/>
        </w:r>
        <w:r w:rsidR="004B3EA2">
          <w:rPr>
            <w:webHidden/>
          </w:rPr>
          <w:t>168</w:t>
        </w:r>
        <w:r w:rsidR="004B3EA2">
          <w:rPr>
            <w:webHidden/>
          </w:rPr>
          <w:fldChar w:fldCharType="end"/>
        </w:r>
      </w:hyperlink>
    </w:p>
    <w:p w14:paraId="690BE3F9" w14:textId="0868AC08" w:rsidR="004B3EA2" w:rsidRDefault="00003BA5">
      <w:pPr>
        <w:pStyle w:val="TOC2"/>
        <w:rPr>
          <w:rFonts w:asciiTheme="minorHAnsi" w:eastAsiaTheme="minorEastAsia" w:hAnsiTheme="minorHAnsi" w:cstheme="minorBidi"/>
        </w:rPr>
      </w:pPr>
      <w:hyperlink w:anchor="_Toc69305640" w:history="1">
        <w:r w:rsidR="004B3EA2" w:rsidRPr="00503FCF">
          <w:rPr>
            <w:rStyle w:val="Hyperlink"/>
          </w:rPr>
          <w:t>Identification, estimation and reduction of uncertainty</w:t>
        </w:r>
        <w:r w:rsidR="004B3EA2">
          <w:rPr>
            <w:webHidden/>
          </w:rPr>
          <w:tab/>
        </w:r>
        <w:r w:rsidR="004B3EA2">
          <w:rPr>
            <w:webHidden/>
          </w:rPr>
          <w:fldChar w:fldCharType="begin"/>
        </w:r>
        <w:r w:rsidR="004B3EA2">
          <w:rPr>
            <w:webHidden/>
          </w:rPr>
          <w:instrText xml:space="preserve"> PAGEREF _Toc69305640 \h </w:instrText>
        </w:r>
        <w:r w:rsidR="004B3EA2">
          <w:rPr>
            <w:webHidden/>
          </w:rPr>
        </w:r>
        <w:r w:rsidR="004B3EA2">
          <w:rPr>
            <w:webHidden/>
          </w:rPr>
          <w:fldChar w:fldCharType="separate"/>
        </w:r>
        <w:r w:rsidR="004B3EA2">
          <w:rPr>
            <w:webHidden/>
          </w:rPr>
          <w:t>168</w:t>
        </w:r>
        <w:r w:rsidR="004B3EA2">
          <w:rPr>
            <w:webHidden/>
          </w:rPr>
          <w:fldChar w:fldCharType="end"/>
        </w:r>
      </w:hyperlink>
    </w:p>
    <w:p w14:paraId="0835BAA0" w14:textId="31922E50" w:rsidR="004B3EA2" w:rsidRDefault="00003BA5">
      <w:pPr>
        <w:pStyle w:val="TOC1"/>
        <w:rPr>
          <w:rFonts w:asciiTheme="minorHAnsi" w:eastAsiaTheme="minorEastAsia" w:hAnsiTheme="minorHAnsi" w:cstheme="minorBidi"/>
          <w:b w:val="0"/>
        </w:rPr>
      </w:pPr>
      <w:hyperlink w:anchor="_Toc69305641" w:history="1">
        <w:r w:rsidR="004B3EA2" w:rsidRPr="00503FCF">
          <w:rPr>
            <w:rStyle w:val="Hyperlink"/>
          </w:rPr>
          <w:t>References</w:t>
        </w:r>
        <w:r w:rsidR="004B3EA2">
          <w:rPr>
            <w:webHidden/>
          </w:rPr>
          <w:tab/>
        </w:r>
        <w:r w:rsidR="004B3EA2">
          <w:rPr>
            <w:webHidden/>
          </w:rPr>
          <w:tab/>
        </w:r>
        <w:r w:rsidR="004B3EA2">
          <w:rPr>
            <w:webHidden/>
          </w:rPr>
          <w:fldChar w:fldCharType="begin"/>
        </w:r>
        <w:r w:rsidR="004B3EA2">
          <w:rPr>
            <w:webHidden/>
          </w:rPr>
          <w:instrText xml:space="preserve"> PAGEREF _Toc69305641 \h </w:instrText>
        </w:r>
        <w:r w:rsidR="004B3EA2">
          <w:rPr>
            <w:webHidden/>
          </w:rPr>
        </w:r>
        <w:r w:rsidR="004B3EA2">
          <w:rPr>
            <w:webHidden/>
          </w:rPr>
          <w:fldChar w:fldCharType="separate"/>
        </w:r>
        <w:r w:rsidR="004B3EA2">
          <w:rPr>
            <w:webHidden/>
          </w:rPr>
          <w:t>169</w:t>
        </w:r>
        <w:r w:rsidR="004B3EA2">
          <w:rPr>
            <w:webHidden/>
          </w:rPr>
          <w:fldChar w:fldCharType="end"/>
        </w:r>
      </w:hyperlink>
    </w:p>
    <w:p w14:paraId="3E5C7127" w14:textId="12D72B5B" w:rsidR="00F81651" w:rsidRPr="00E3331A" w:rsidRDefault="00F81651">
      <w:r w:rsidRPr="00E3331A">
        <w:rPr>
          <w:b/>
          <w:bCs/>
          <w:noProof/>
        </w:rPr>
        <w:fldChar w:fldCharType="end"/>
      </w:r>
    </w:p>
    <w:p w14:paraId="7B6DB5CA" w14:textId="77777777" w:rsidR="008F59A8" w:rsidRPr="00E3331A" w:rsidRDefault="008F59A8" w:rsidP="003E4E1F">
      <w:pPr>
        <w:pStyle w:val="Heading2"/>
      </w:pPr>
      <w:r w:rsidRPr="00E3331A">
        <w:br w:type="page"/>
      </w:r>
      <w:bookmarkStart w:id="19" w:name="_Toc381796425"/>
      <w:bookmarkStart w:id="20" w:name="_Toc395200736"/>
      <w:bookmarkStart w:id="21" w:name="_Toc399247191"/>
      <w:bookmarkStart w:id="22" w:name="_Toc402884710"/>
      <w:bookmarkStart w:id="23" w:name="_Toc69305520"/>
      <w:r w:rsidRPr="00E3331A">
        <w:t>Tables</w:t>
      </w:r>
      <w:bookmarkEnd w:id="19"/>
      <w:bookmarkEnd w:id="20"/>
      <w:bookmarkEnd w:id="21"/>
      <w:bookmarkEnd w:id="22"/>
      <w:bookmarkEnd w:id="23"/>
    </w:p>
    <w:bookmarkStart w:id="24" w:name="_Toc381796426"/>
    <w:bookmarkStart w:id="25" w:name="_Toc395200737"/>
    <w:p w14:paraId="52E55DE3" w14:textId="6C72F037" w:rsidR="004B3EA2" w:rsidRDefault="00503C5B">
      <w:pPr>
        <w:pStyle w:val="TableofFigures"/>
        <w:rPr>
          <w:rFonts w:asciiTheme="minorHAnsi" w:eastAsiaTheme="minorEastAsia" w:hAnsiTheme="minorHAnsi" w:cstheme="minorBidi"/>
        </w:rPr>
      </w:pPr>
      <w:r w:rsidRPr="00E3331A">
        <w:rPr>
          <w:rFonts w:eastAsia="MS Mincho" w:cs="Times New Roman"/>
          <w:b/>
          <w:smallCaps/>
        </w:rPr>
        <w:fldChar w:fldCharType="begin"/>
      </w:r>
      <w:r w:rsidRPr="00E3331A">
        <w:rPr>
          <w:rFonts w:eastAsia="MS Mincho" w:cs="Times New Roman"/>
          <w:b/>
          <w:smallCaps/>
        </w:rPr>
        <w:instrText xml:space="preserve"> TOC \h \z \c "Table" </w:instrText>
      </w:r>
      <w:r w:rsidRPr="00E3331A">
        <w:rPr>
          <w:rFonts w:eastAsia="MS Mincho" w:cs="Times New Roman"/>
          <w:b/>
          <w:smallCaps/>
        </w:rPr>
        <w:fldChar w:fldCharType="separate"/>
      </w:r>
      <w:hyperlink w:anchor="_Toc69305642" w:history="1">
        <w:r w:rsidR="004B3EA2" w:rsidRPr="00102C74">
          <w:rPr>
            <w:rStyle w:val="Hyperlink"/>
          </w:rPr>
          <w:t>Table 1</w:t>
        </w:r>
        <w:r w:rsidR="004B3EA2">
          <w:rPr>
            <w:rFonts w:asciiTheme="minorHAnsi" w:eastAsiaTheme="minorEastAsia" w:hAnsiTheme="minorHAnsi" w:cstheme="minorBidi"/>
          </w:rPr>
          <w:tab/>
        </w:r>
        <w:r w:rsidR="004B3EA2" w:rsidRPr="00102C74">
          <w:rPr>
            <w:rStyle w:val="Hyperlink"/>
          </w:rPr>
          <w:t xml:space="preserve"> Summary of results of pre-modelling studies and their uses in the economic evaluation</w:t>
        </w:r>
        <w:r w:rsidR="004B3EA2">
          <w:rPr>
            <w:webHidden/>
          </w:rPr>
          <w:tab/>
        </w:r>
        <w:r w:rsidR="004B3EA2">
          <w:rPr>
            <w:webHidden/>
          </w:rPr>
          <w:fldChar w:fldCharType="begin"/>
        </w:r>
        <w:r w:rsidR="004B3EA2">
          <w:rPr>
            <w:webHidden/>
          </w:rPr>
          <w:instrText xml:space="preserve"> PAGEREF _Toc69305642 \h </w:instrText>
        </w:r>
        <w:r w:rsidR="004B3EA2">
          <w:rPr>
            <w:webHidden/>
          </w:rPr>
        </w:r>
        <w:r w:rsidR="004B3EA2">
          <w:rPr>
            <w:webHidden/>
          </w:rPr>
          <w:fldChar w:fldCharType="separate"/>
        </w:r>
        <w:r w:rsidR="004B3EA2">
          <w:rPr>
            <w:webHidden/>
          </w:rPr>
          <w:t>20</w:t>
        </w:r>
        <w:r w:rsidR="004B3EA2">
          <w:rPr>
            <w:webHidden/>
          </w:rPr>
          <w:fldChar w:fldCharType="end"/>
        </w:r>
      </w:hyperlink>
    </w:p>
    <w:p w14:paraId="444FAC8D" w14:textId="34DA632D" w:rsidR="004B3EA2" w:rsidRDefault="00003BA5">
      <w:pPr>
        <w:pStyle w:val="TableofFigures"/>
        <w:rPr>
          <w:rFonts w:asciiTheme="minorHAnsi" w:eastAsiaTheme="minorEastAsia" w:hAnsiTheme="minorHAnsi" w:cstheme="minorBidi"/>
        </w:rPr>
      </w:pPr>
      <w:hyperlink w:anchor="_Toc69305643" w:history="1">
        <w:r w:rsidR="004B3EA2" w:rsidRPr="00102C74">
          <w:rPr>
            <w:rStyle w:val="Hyperlink"/>
          </w:rPr>
          <w:t>Table 2</w:t>
        </w:r>
        <w:r w:rsidR="004B3EA2">
          <w:rPr>
            <w:rFonts w:asciiTheme="minorHAnsi" w:eastAsiaTheme="minorEastAsia" w:hAnsiTheme="minorHAnsi" w:cstheme="minorBidi"/>
          </w:rPr>
          <w:tab/>
        </w:r>
        <w:r w:rsidR="004B3EA2" w:rsidRPr="00102C74">
          <w:rPr>
            <w:rStyle w:val="Hyperlink"/>
          </w:rPr>
          <w:t>Summary of the economic evaluation</w:t>
        </w:r>
        <w:r w:rsidR="004B3EA2">
          <w:rPr>
            <w:webHidden/>
          </w:rPr>
          <w:tab/>
        </w:r>
        <w:r w:rsidR="004B3EA2">
          <w:rPr>
            <w:webHidden/>
          </w:rPr>
          <w:fldChar w:fldCharType="begin"/>
        </w:r>
        <w:r w:rsidR="004B3EA2">
          <w:rPr>
            <w:webHidden/>
          </w:rPr>
          <w:instrText xml:space="preserve"> PAGEREF _Toc69305643 \h </w:instrText>
        </w:r>
        <w:r w:rsidR="004B3EA2">
          <w:rPr>
            <w:webHidden/>
          </w:rPr>
        </w:r>
        <w:r w:rsidR="004B3EA2">
          <w:rPr>
            <w:webHidden/>
          </w:rPr>
          <w:fldChar w:fldCharType="separate"/>
        </w:r>
        <w:r w:rsidR="004B3EA2">
          <w:rPr>
            <w:webHidden/>
          </w:rPr>
          <w:t>22</w:t>
        </w:r>
        <w:r w:rsidR="004B3EA2">
          <w:rPr>
            <w:webHidden/>
          </w:rPr>
          <w:fldChar w:fldCharType="end"/>
        </w:r>
      </w:hyperlink>
    </w:p>
    <w:p w14:paraId="3F9B63F5" w14:textId="23FD7D43" w:rsidR="004B3EA2" w:rsidRDefault="00003BA5">
      <w:pPr>
        <w:pStyle w:val="TableofFigures"/>
        <w:rPr>
          <w:rFonts w:asciiTheme="minorHAnsi" w:eastAsiaTheme="minorEastAsia" w:hAnsiTheme="minorHAnsi" w:cstheme="minorBidi"/>
        </w:rPr>
      </w:pPr>
      <w:hyperlink w:anchor="_Toc69305644" w:history="1">
        <w:r w:rsidR="004B3EA2" w:rsidRPr="00102C74">
          <w:rPr>
            <w:rStyle w:val="Hyperlink"/>
          </w:rPr>
          <w:t xml:space="preserve">Table 3 </w:t>
        </w:r>
        <w:r w:rsidR="004B3EA2">
          <w:rPr>
            <w:rFonts w:asciiTheme="minorHAnsi" w:eastAsiaTheme="minorEastAsia" w:hAnsiTheme="minorHAnsi" w:cstheme="minorBidi"/>
          </w:rPr>
          <w:tab/>
        </w:r>
        <w:r w:rsidR="004B3EA2" w:rsidRPr="00102C74">
          <w:rPr>
            <w:rStyle w:val="Hyperlink"/>
          </w:rPr>
          <w:t>Results of the modelled base-case economic analysis</w:t>
        </w:r>
        <w:r w:rsidR="004B3EA2">
          <w:rPr>
            <w:webHidden/>
          </w:rPr>
          <w:tab/>
        </w:r>
        <w:r w:rsidR="004B3EA2">
          <w:rPr>
            <w:webHidden/>
          </w:rPr>
          <w:fldChar w:fldCharType="begin"/>
        </w:r>
        <w:r w:rsidR="004B3EA2">
          <w:rPr>
            <w:webHidden/>
          </w:rPr>
          <w:instrText xml:space="preserve"> PAGEREF _Toc69305644 \h </w:instrText>
        </w:r>
        <w:r w:rsidR="004B3EA2">
          <w:rPr>
            <w:webHidden/>
          </w:rPr>
        </w:r>
        <w:r w:rsidR="004B3EA2">
          <w:rPr>
            <w:webHidden/>
          </w:rPr>
          <w:fldChar w:fldCharType="separate"/>
        </w:r>
        <w:r w:rsidR="004B3EA2">
          <w:rPr>
            <w:webHidden/>
          </w:rPr>
          <w:t>23</w:t>
        </w:r>
        <w:r w:rsidR="004B3EA2">
          <w:rPr>
            <w:webHidden/>
          </w:rPr>
          <w:fldChar w:fldCharType="end"/>
        </w:r>
      </w:hyperlink>
    </w:p>
    <w:p w14:paraId="47567376" w14:textId="1A7617A0" w:rsidR="004B3EA2" w:rsidRDefault="00003BA5">
      <w:pPr>
        <w:pStyle w:val="TableofFigures"/>
        <w:rPr>
          <w:rFonts w:asciiTheme="minorHAnsi" w:eastAsiaTheme="minorEastAsia" w:hAnsiTheme="minorHAnsi" w:cstheme="minorBidi"/>
        </w:rPr>
      </w:pPr>
      <w:hyperlink w:anchor="_Toc69305645" w:history="1">
        <w:r w:rsidR="004B3EA2" w:rsidRPr="00102C74">
          <w:rPr>
            <w:rStyle w:val="Hyperlink"/>
          </w:rPr>
          <w:t>Table 4</w:t>
        </w:r>
        <w:r w:rsidR="004B3EA2">
          <w:rPr>
            <w:rFonts w:asciiTheme="minorHAnsi" w:eastAsiaTheme="minorEastAsia" w:hAnsiTheme="minorHAnsi" w:cstheme="minorBidi"/>
          </w:rPr>
          <w:tab/>
        </w:r>
        <w:r w:rsidR="004B3EA2" w:rsidRPr="00102C74">
          <w:rPr>
            <w:rStyle w:val="Hyperlink"/>
          </w:rPr>
          <w:t xml:space="preserve"> Key sensitivity analyses</w:t>
        </w:r>
        <w:r w:rsidR="004B3EA2">
          <w:rPr>
            <w:webHidden/>
          </w:rPr>
          <w:tab/>
        </w:r>
        <w:r w:rsidR="004B3EA2">
          <w:rPr>
            <w:webHidden/>
          </w:rPr>
          <w:fldChar w:fldCharType="begin"/>
        </w:r>
        <w:r w:rsidR="004B3EA2">
          <w:rPr>
            <w:webHidden/>
          </w:rPr>
          <w:instrText xml:space="preserve"> PAGEREF _Toc69305645 \h </w:instrText>
        </w:r>
        <w:r w:rsidR="004B3EA2">
          <w:rPr>
            <w:webHidden/>
          </w:rPr>
        </w:r>
        <w:r w:rsidR="004B3EA2">
          <w:rPr>
            <w:webHidden/>
          </w:rPr>
          <w:fldChar w:fldCharType="separate"/>
        </w:r>
        <w:r w:rsidR="004B3EA2">
          <w:rPr>
            <w:webHidden/>
          </w:rPr>
          <w:t>23</w:t>
        </w:r>
        <w:r w:rsidR="004B3EA2">
          <w:rPr>
            <w:webHidden/>
          </w:rPr>
          <w:fldChar w:fldCharType="end"/>
        </w:r>
      </w:hyperlink>
    </w:p>
    <w:p w14:paraId="5A985E51" w14:textId="36114E2B" w:rsidR="004B3EA2" w:rsidRDefault="00003BA5">
      <w:pPr>
        <w:pStyle w:val="TableofFigures"/>
        <w:rPr>
          <w:rFonts w:asciiTheme="minorHAnsi" w:eastAsiaTheme="minorEastAsia" w:hAnsiTheme="minorHAnsi" w:cstheme="minorBidi"/>
        </w:rPr>
      </w:pPr>
      <w:hyperlink w:anchor="_Toc69305646" w:history="1">
        <w:r w:rsidR="004B3EA2" w:rsidRPr="00102C74">
          <w:rPr>
            <w:rStyle w:val="Hyperlink"/>
          </w:rPr>
          <w:t>Table 5</w:t>
        </w:r>
        <w:r w:rsidR="004B3EA2">
          <w:rPr>
            <w:rFonts w:asciiTheme="minorHAnsi" w:eastAsiaTheme="minorEastAsia" w:hAnsiTheme="minorHAnsi" w:cstheme="minorBidi"/>
          </w:rPr>
          <w:tab/>
        </w:r>
        <w:r w:rsidR="004B3EA2" w:rsidRPr="00102C74">
          <w:rPr>
            <w:rStyle w:val="Hyperlink"/>
          </w:rPr>
          <w:t xml:space="preserve"> Net financial implications to government associated with Ig for CIDP</w:t>
        </w:r>
        <w:r w:rsidR="004B3EA2">
          <w:rPr>
            <w:webHidden/>
          </w:rPr>
          <w:tab/>
        </w:r>
        <w:r w:rsidR="004B3EA2">
          <w:rPr>
            <w:webHidden/>
          </w:rPr>
          <w:fldChar w:fldCharType="begin"/>
        </w:r>
        <w:r w:rsidR="004B3EA2">
          <w:rPr>
            <w:webHidden/>
          </w:rPr>
          <w:instrText xml:space="preserve"> PAGEREF _Toc69305646 \h </w:instrText>
        </w:r>
        <w:r w:rsidR="004B3EA2">
          <w:rPr>
            <w:webHidden/>
          </w:rPr>
        </w:r>
        <w:r w:rsidR="004B3EA2">
          <w:rPr>
            <w:webHidden/>
          </w:rPr>
          <w:fldChar w:fldCharType="separate"/>
        </w:r>
        <w:r w:rsidR="004B3EA2">
          <w:rPr>
            <w:webHidden/>
          </w:rPr>
          <w:t>25</w:t>
        </w:r>
        <w:r w:rsidR="004B3EA2">
          <w:rPr>
            <w:webHidden/>
          </w:rPr>
          <w:fldChar w:fldCharType="end"/>
        </w:r>
      </w:hyperlink>
    </w:p>
    <w:p w14:paraId="22672B36" w14:textId="471578E3" w:rsidR="004B3EA2" w:rsidRDefault="00003BA5">
      <w:pPr>
        <w:pStyle w:val="TableofFigures"/>
        <w:rPr>
          <w:rFonts w:asciiTheme="minorHAnsi" w:eastAsiaTheme="minorEastAsia" w:hAnsiTheme="minorHAnsi" w:cstheme="minorBidi"/>
        </w:rPr>
      </w:pPr>
      <w:hyperlink w:anchor="_Toc69305647" w:history="1">
        <w:r w:rsidR="004B3EA2" w:rsidRPr="00102C74">
          <w:rPr>
            <w:rStyle w:val="Hyperlink"/>
          </w:rPr>
          <w:t>Table 6</w:t>
        </w:r>
        <w:r w:rsidR="004B3EA2">
          <w:rPr>
            <w:rFonts w:asciiTheme="minorHAnsi" w:eastAsiaTheme="minorEastAsia" w:hAnsiTheme="minorHAnsi" w:cstheme="minorBidi"/>
          </w:rPr>
          <w:tab/>
        </w:r>
        <w:r w:rsidR="004B3EA2" w:rsidRPr="00102C74">
          <w:rPr>
            <w:rStyle w:val="Hyperlink"/>
          </w:rPr>
          <w:t>Search terms used in PubMed (adapted for Embase)</w:t>
        </w:r>
        <w:r w:rsidR="004B3EA2">
          <w:rPr>
            <w:webHidden/>
          </w:rPr>
          <w:tab/>
        </w:r>
        <w:r w:rsidR="004B3EA2">
          <w:rPr>
            <w:webHidden/>
          </w:rPr>
          <w:fldChar w:fldCharType="begin"/>
        </w:r>
        <w:r w:rsidR="004B3EA2">
          <w:rPr>
            <w:webHidden/>
          </w:rPr>
          <w:instrText xml:space="preserve"> PAGEREF _Toc69305647 \h </w:instrText>
        </w:r>
        <w:r w:rsidR="004B3EA2">
          <w:rPr>
            <w:webHidden/>
          </w:rPr>
        </w:r>
        <w:r w:rsidR="004B3EA2">
          <w:rPr>
            <w:webHidden/>
          </w:rPr>
          <w:fldChar w:fldCharType="separate"/>
        </w:r>
        <w:r w:rsidR="004B3EA2">
          <w:rPr>
            <w:webHidden/>
          </w:rPr>
          <w:t>32</w:t>
        </w:r>
        <w:r w:rsidR="004B3EA2">
          <w:rPr>
            <w:webHidden/>
          </w:rPr>
          <w:fldChar w:fldCharType="end"/>
        </w:r>
      </w:hyperlink>
    </w:p>
    <w:p w14:paraId="6AF16BAA" w14:textId="0D1A09CE" w:rsidR="004B3EA2" w:rsidRDefault="00003BA5">
      <w:pPr>
        <w:pStyle w:val="TableofFigures"/>
        <w:rPr>
          <w:rFonts w:asciiTheme="minorHAnsi" w:eastAsiaTheme="minorEastAsia" w:hAnsiTheme="minorHAnsi" w:cstheme="minorBidi"/>
        </w:rPr>
      </w:pPr>
      <w:hyperlink w:anchor="_Toc69305648" w:history="1">
        <w:r w:rsidR="004B3EA2" w:rsidRPr="00102C74">
          <w:rPr>
            <w:rStyle w:val="Hyperlink"/>
          </w:rPr>
          <w:t>Table 7</w:t>
        </w:r>
        <w:r w:rsidR="004B3EA2">
          <w:rPr>
            <w:rFonts w:asciiTheme="minorHAnsi" w:eastAsiaTheme="minorEastAsia" w:hAnsiTheme="minorHAnsi" w:cstheme="minorBidi"/>
          </w:rPr>
          <w:tab/>
        </w:r>
        <w:r w:rsidR="004B3EA2" w:rsidRPr="00102C74">
          <w:rPr>
            <w:rStyle w:val="Hyperlink"/>
          </w:rPr>
          <w:t>Search terms used for evidence on safety of comparator therapies</w:t>
        </w:r>
        <w:r w:rsidR="004B3EA2">
          <w:rPr>
            <w:webHidden/>
          </w:rPr>
          <w:tab/>
        </w:r>
        <w:r w:rsidR="004B3EA2">
          <w:rPr>
            <w:webHidden/>
          </w:rPr>
          <w:fldChar w:fldCharType="begin"/>
        </w:r>
        <w:r w:rsidR="004B3EA2">
          <w:rPr>
            <w:webHidden/>
          </w:rPr>
          <w:instrText xml:space="preserve"> PAGEREF _Toc69305648 \h </w:instrText>
        </w:r>
        <w:r w:rsidR="004B3EA2">
          <w:rPr>
            <w:webHidden/>
          </w:rPr>
        </w:r>
        <w:r w:rsidR="004B3EA2">
          <w:rPr>
            <w:webHidden/>
          </w:rPr>
          <w:fldChar w:fldCharType="separate"/>
        </w:r>
        <w:r w:rsidR="004B3EA2">
          <w:rPr>
            <w:webHidden/>
          </w:rPr>
          <w:t>33</w:t>
        </w:r>
        <w:r w:rsidR="004B3EA2">
          <w:rPr>
            <w:webHidden/>
          </w:rPr>
          <w:fldChar w:fldCharType="end"/>
        </w:r>
      </w:hyperlink>
    </w:p>
    <w:p w14:paraId="4ABC49AD" w14:textId="28FC1667" w:rsidR="004B3EA2" w:rsidRDefault="00003BA5">
      <w:pPr>
        <w:pStyle w:val="TableofFigures"/>
        <w:rPr>
          <w:rFonts w:asciiTheme="minorHAnsi" w:eastAsiaTheme="minorEastAsia" w:hAnsiTheme="minorHAnsi" w:cstheme="minorBidi"/>
        </w:rPr>
      </w:pPr>
      <w:hyperlink w:anchor="_Toc69305649" w:history="1">
        <w:r w:rsidR="004B3EA2" w:rsidRPr="00102C74">
          <w:rPr>
            <w:rStyle w:val="Hyperlink"/>
          </w:rPr>
          <w:t>Table 8</w:t>
        </w:r>
        <w:r w:rsidR="004B3EA2">
          <w:rPr>
            <w:rFonts w:asciiTheme="minorHAnsi" w:eastAsiaTheme="minorEastAsia" w:hAnsiTheme="minorHAnsi" w:cstheme="minorBidi"/>
          </w:rPr>
          <w:tab/>
        </w:r>
        <w:r w:rsidR="004B3EA2" w:rsidRPr="00102C74">
          <w:rPr>
            <w:rStyle w:val="Hyperlink"/>
          </w:rPr>
          <w:t xml:space="preserve"> </w:t>
        </w:r>
        <w:r w:rsidR="004B3EA2" w:rsidRPr="00102C74">
          <w:rPr>
            <w:rStyle w:val="Hyperlink"/>
            <w:snapToGrid w:val="0"/>
            <w:lang w:eastAsia="en-US"/>
          </w:rPr>
          <w:t>Key features of the included evidence assessing Ig maintenance of CIDP</w:t>
        </w:r>
        <w:r w:rsidR="004B3EA2">
          <w:rPr>
            <w:webHidden/>
          </w:rPr>
          <w:tab/>
        </w:r>
        <w:r w:rsidR="004B3EA2">
          <w:rPr>
            <w:webHidden/>
          </w:rPr>
          <w:fldChar w:fldCharType="begin"/>
        </w:r>
        <w:r w:rsidR="004B3EA2">
          <w:rPr>
            <w:webHidden/>
          </w:rPr>
          <w:instrText xml:space="preserve"> PAGEREF _Toc69305649 \h </w:instrText>
        </w:r>
        <w:r w:rsidR="004B3EA2">
          <w:rPr>
            <w:webHidden/>
          </w:rPr>
        </w:r>
        <w:r w:rsidR="004B3EA2">
          <w:rPr>
            <w:webHidden/>
          </w:rPr>
          <w:fldChar w:fldCharType="separate"/>
        </w:r>
        <w:r w:rsidR="004B3EA2">
          <w:rPr>
            <w:webHidden/>
          </w:rPr>
          <w:t>38</w:t>
        </w:r>
        <w:r w:rsidR="004B3EA2">
          <w:rPr>
            <w:webHidden/>
          </w:rPr>
          <w:fldChar w:fldCharType="end"/>
        </w:r>
      </w:hyperlink>
    </w:p>
    <w:p w14:paraId="3463417F" w14:textId="0B691D48" w:rsidR="004B3EA2" w:rsidRDefault="00003BA5">
      <w:pPr>
        <w:pStyle w:val="TableofFigures"/>
        <w:rPr>
          <w:rFonts w:asciiTheme="minorHAnsi" w:eastAsiaTheme="minorEastAsia" w:hAnsiTheme="minorHAnsi" w:cstheme="minorBidi"/>
        </w:rPr>
      </w:pPr>
      <w:hyperlink w:anchor="_Toc69305650" w:history="1">
        <w:r w:rsidR="004B3EA2" w:rsidRPr="00102C74">
          <w:rPr>
            <w:rStyle w:val="Hyperlink"/>
          </w:rPr>
          <w:t>Table 9</w:t>
        </w:r>
        <w:r w:rsidR="004B3EA2">
          <w:rPr>
            <w:rFonts w:asciiTheme="minorHAnsi" w:eastAsiaTheme="minorEastAsia" w:hAnsiTheme="minorHAnsi" w:cstheme="minorBidi"/>
          </w:rPr>
          <w:tab/>
        </w:r>
        <w:r w:rsidR="004B3EA2" w:rsidRPr="00102C74">
          <w:rPr>
            <w:rStyle w:val="Hyperlink"/>
          </w:rPr>
          <w:t xml:space="preserve"> Key features of studies included for safety outcomes</w:t>
        </w:r>
        <w:r w:rsidR="004B3EA2">
          <w:rPr>
            <w:webHidden/>
          </w:rPr>
          <w:tab/>
        </w:r>
        <w:r w:rsidR="004B3EA2">
          <w:rPr>
            <w:webHidden/>
          </w:rPr>
          <w:fldChar w:fldCharType="begin"/>
        </w:r>
        <w:r w:rsidR="004B3EA2">
          <w:rPr>
            <w:webHidden/>
          </w:rPr>
          <w:instrText xml:space="preserve"> PAGEREF _Toc69305650 \h </w:instrText>
        </w:r>
        <w:r w:rsidR="004B3EA2">
          <w:rPr>
            <w:webHidden/>
          </w:rPr>
        </w:r>
        <w:r w:rsidR="004B3EA2">
          <w:rPr>
            <w:webHidden/>
          </w:rPr>
          <w:fldChar w:fldCharType="separate"/>
        </w:r>
        <w:r w:rsidR="004B3EA2">
          <w:rPr>
            <w:webHidden/>
          </w:rPr>
          <w:t>39</w:t>
        </w:r>
        <w:r w:rsidR="004B3EA2">
          <w:rPr>
            <w:webHidden/>
          </w:rPr>
          <w:fldChar w:fldCharType="end"/>
        </w:r>
      </w:hyperlink>
    </w:p>
    <w:p w14:paraId="5ED48232" w14:textId="06621CCB" w:rsidR="004B3EA2" w:rsidRDefault="00003BA5">
      <w:pPr>
        <w:pStyle w:val="TableofFigures"/>
        <w:rPr>
          <w:rFonts w:asciiTheme="minorHAnsi" w:eastAsiaTheme="minorEastAsia" w:hAnsiTheme="minorHAnsi" w:cstheme="minorBidi"/>
        </w:rPr>
      </w:pPr>
      <w:hyperlink w:anchor="_Toc69305651" w:history="1">
        <w:r w:rsidR="004B3EA2" w:rsidRPr="00102C74">
          <w:rPr>
            <w:rStyle w:val="Hyperlink"/>
          </w:rPr>
          <w:t xml:space="preserve">Table 10 </w:t>
        </w:r>
        <w:r w:rsidR="004B3EA2">
          <w:rPr>
            <w:rFonts w:asciiTheme="minorHAnsi" w:eastAsiaTheme="minorEastAsia" w:hAnsiTheme="minorHAnsi" w:cstheme="minorBidi"/>
          </w:rPr>
          <w:tab/>
        </w:r>
        <w:r w:rsidR="004B3EA2" w:rsidRPr="00102C74">
          <w:rPr>
            <w:rStyle w:val="Hyperlink"/>
          </w:rPr>
          <w:t>List and description of currently validated scales suitable for use in CIDP</w:t>
        </w:r>
        <w:r w:rsidR="004B3EA2">
          <w:rPr>
            <w:webHidden/>
          </w:rPr>
          <w:tab/>
        </w:r>
        <w:r w:rsidR="004B3EA2">
          <w:rPr>
            <w:webHidden/>
          </w:rPr>
          <w:fldChar w:fldCharType="begin"/>
        </w:r>
        <w:r w:rsidR="004B3EA2">
          <w:rPr>
            <w:webHidden/>
          </w:rPr>
          <w:instrText xml:space="preserve"> PAGEREF _Toc69305651 \h </w:instrText>
        </w:r>
        <w:r w:rsidR="004B3EA2">
          <w:rPr>
            <w:webHidden/>
          </w:rPr>
        </w:r>
        <w:r w:rsidR="004B3EA2">
          <w:rPr>
            <w:webHidden/>
          </w:rPr>
          <w:fldChar w:fldCharType="separate"/>
        </w:r>
        <w:r w:rsidR="004B3EA2">
          <w:rPr>
            <w:webHidden/>
          </w:rPr>
          <w:t>41</w:t>
        </w:r>
        <w:r w:rsidR="004B3EA2">
          <w:rPr>
            <w:webHidden/>
          </w:rPr>
          <w:fldChar w:fldCharType="end"/>
        </w:r>
      </w:hyperlink>
    </w:p>
    <w:p w14:paraId="1993A8EF" w14:textId="157DDBBE" w:rsidR="004B3EA2" w:rsidRDefault="00003BA5">
      <w:pPr>
        <w:pStyle w:val="TableofFigures"/>
        <w:rPr>
          <w:rFonts w:asciiTheme="minorHAnsi" w:eastAsiaTheme="minorEastAsia" w:hAnsiTheme="minorHAnsi" w:cstheme="minorBidi"/>
        </w:rPr>
      </w:pPr>
      <w:hyperlink w:anchor="_Toc69305652" w:history="1">
        <w:r w:rsidR="004B3EA2" w:rsidRPr="00102C74">
          <w:rPr>
            <w:rStyle w:val="Hyperlink"/>
          </w:rPr>
          <w:t>Table 11</w:t>
        </w:r>
        <w:r w:rsidR="004B3EA2">
          <w:rPr>
            <w:rFonts w:asciiTheme="minorHAnsi" w:eastAsiaTheme="minorEastAsia" w:hAnsiTheme="minorHAnsi" w:cstheme="minorBidi"/>
          </w:rPr>
          <w:tab/>
        </w:r>
        <w:r w:rsidR="004B3EA2" w:rsidRPr="00102C74">
          <w:rPr>
            <w:rStyle w:val="Hyperlink"/>
          </w:rPr>
          <w:t xml:space="preserve"> Number of patients who reported common adverse events during blinded phase (Kuitwaard et al. 2020b)</w:t>
        </w:r>
        <w:r w:rsidR="004B3EA2">
          <w:rPr>
            <w:webHidden/>
          </w:rPr>
          <w:tab/>
        </w:r>
        <w:r w:rsidR="004B3EA2">
          <w:rPr>
            <w:webHidden/>
          </w:rPr>
          <w:fldChar w:fldCharType="begin"/>
        </w:r>
        <w:r w:rsidR="004B3EA2">
          <w:rPr>
            <w:webHidden/>
          </w:rPr>
          <w:instrText xml:space="preserve"> PAGEREF _Toc69305652 \h </w:instrText>
        </w:r>
        <w:r w:rsidR="004B3EA2">
          <w:rPr>
            <w:webHidden/>
          </w:rPr>
        </w:r>
        <w:r w:rsidR="004B3EA2">
          <w:rPr>
            <w:webHidden/>
          </w:rPr>
          <w:fldChar w:fldCharType="separate"/>
        </w:r>
        <w:r w:rsidR="004B3EA2">
          <w:rPr>
            <w:webHidden/>
          </w:rPr>
          <w:t>43</w:t>
        </w:r>
        <w:r w:rsidR="004B3EA2">
          <w:rPr>
            <w:webHidden/>
          </w:rPr>
          <w:fldChar w:fldCharType="end"/>
        </w:r>
      </w:hyperlink>
    </w:p>
    <w:p w14:paraId="50C49A76" w14:textId="61B3505E" w:rsidR="004B3EA2" w:rsidRDefault="00003BA5">
      <w:pPr>
        <w:pStyle w:val="TableofFigures"/>
        <w:rPr>
          <w:rFonts w:asciiTheme="minorHAnsi" w:eastAsiaTheme="minorEastAsia" w:hAnsiTheme="minorHAnsi" w:cstheme="minorBidi"/>
        </w:rPr>
      </w:pPr>
      <w:hyperlink w:anchor="_Toc69305653" w:history="1">
        <w:r w:rsidR="004B3EA2" w:rsidRPr="00102C74">
          <w:rPr>
            <w:rStyle w:val="Hyperlink"/>
          </w:rPr>
          <w:t>Table 12</w:t>
        </w:r>
        <w:r w:rsidR="004B3EA2">
          <w:rPr>
            <w:rFonts w:asciiTheme="minorHAnsi" w:eastAsiaTheme="minorEastAsia" w:hAnsiTheme="minorHAnsi" w:cstheme="minorBidi"/>
          </w:rPr>
          <w:tab/>
        </w:r>
        <w:r w:rsidR="004B3EA2" w:rsidRPr="00102C74">
          <w:rPr>
            <w:rStyle w:val="Hyperlink"/>
          </w:rPr>
          <w:t>Tools used to compare efficacy in CIDP patients treated with two dosing regimens of IVIg</w:t>
        </w:r>
        <w:r w:rsidR="004B3EA2">
          <w:rPr>
            <w:webHidden/>
          </w:rPr>
          <w:tab/>
        </w:r>
        <w:r w:rsidR="004B3EA2">
          <w:rPr>
            <w:webHidden/>
          </w:rPr>
          <w:fldChar w:fldCharType="begin"/>
        </w:r>
        <w:r w:rsidR="004B3EA2">
          <w:rPr>
            <w:webHidden/>
          </w:rPr>
          <w:instrText xml:space="preserve"> PAGEREF _Toc69305653 \h </w:instrText>
        </w:r>
        <w:r w:rsidR="004B3EA2">
          <w:rPr>
            <w:webHidden/>
          </w:rPr>
        </w:r>
        <w:r w:rsidR="004B3EA2">
          <w:rPr>
            <w:webHidden/>
          </w:rPr>
          <w:fldChar w:fldCharType="separate"/>
        </w:r>
        <w:r w:rsidR="004B3EA2">
          <w:rPr>
            <w:webHidden/>
          </w:rPr>
          <w:t>50</w:t>
        </w:r>
        <w:r w:rsidR="004B3EA2">
          <w:rPr>
            <w:webHidden/>
          </w:rPr>
          <w:fldChar w:fldCharType="end"/>
        </w:r>
      </w:hyperlink>
    </w:p>
    <w:p w14:paraId="21667F34" w14:textId="601955CC" w:rsidR="004B3EA2" w:rsidRDefault="00003BA5">
      <w:pPr>
        <w:pStyle w:val="TableofFigures"/>
        <w:rPr>
          <w:rFonts w:asciiTheme="minorHAnsi" w:eastAsiaTheme="minorEastAsia" w:hAnsiTheme="minorHAnsi" w:cstheme="minorBidi"/>
        </w:rPr>
      </w:pPr>
      <w:hyperlink w:anchor="_Toc69305654" w:history="1">
        <w:r w:rsidR="004B3EA2" w:rsidRPr="00102C74">
          <w:rPr>
            <w:rStyle w:val="Hyperlink"/>
          </w:rPr>
          <w:t>Table 13</w:t>
        </w:r>
        <w:r w:rsidR="004B3EA2">
          <w:rPr>
            <w:rFonts w:asciiTheme="minorHAnsi" w:eastAsiaTheme="minorEastAsia" w:hAnsiTheme="minorHAnsi" w:cstheme="minorBidi"/>
          </w:rPr>
          <w:tab/>
        </w:r>
        <w:r w:rsidR="004B3EA2" w:rsidRPr="00102C74">
          <w:rPr>
            <w:rStyle w:val="Hyperlink"/>
          </w:rPr>
          <w:t>Comparison of efficacy of regular IVIg dose and interval and half IVIg dose at half the interval</w:t>
        </w:r>
        <w:r w:rsidR="004B3EA2">
          <w:rPr>
            <w:webHidden/>
          </w:rPr>
          <w:tab/>
        </w:r>
        <w:r w:rsidR="004B3EA2">
          <w:rPr>
            <w:webHidden/>
          </w:rPr>
          <w:fldChar w:fldCharType="begin"/>
        </w:r>
        <w:r w:rsidR="004B3EA2">
          <w:rPr>
            <w:webHidden/>
          </w:rPr>
          <w:instrText xml:space="preserve"> PAGEREF _Toc69305654 \h </w:instrText>
        </w:r>
        <w:r w:rsidR="004B3EA2">
          <w:rPr>
            <w:webHidden/>
          </w:rPr>
        </w:r>
        <w:r w:rsidR="004B3EA2">
          <w:rPr>
            <w:webHidden/>
          </w:rPr>
          <w:fldChar w:fldCharType="separate"/>
        </w:r>
        <w:r w:rsidR="004B3EA2">
          <w:rPr>
            <w:webHidden/>
          </w:rPr>
          <w:t>51</w:t>
        </w:r>
        <w:r w:rsidR="004B3EA2">
          <w:rPr>
            <w:webHidden/>
          </w:rPr>
          <w:fldChar w:fldCharType="end"/>
        </w:r>
      </w:hyperlink>
    </w:p>
    <w:p w14:paraId="742ABBAA" w14:textId="792C78AD" w:rsidR="004B3EA2" w:rsidRDefault="00003BA5">
      <w:pPr>
        <w:pStyle w:val="TableofFigures"/>
        <w:rPr>
          <w:rFonts w:asciiTheme="minorHAnsi" w:eastAsiaTheme="minorEastAsia" w:hAnsiTheme="minorHAnsi" w:cstheme="minorBidi"/>
        </w:rPr>
      </w:pPr>
      <w:hyperlink w:anchor="_Toc69305655" w:history="1">
        <w:r w:rsidR="004B3EA2" w:rsidRPr="00102C74">
          <w:rPr>
            <w:rStyle w:val="Hyperlink"/>
          </w:rPr>
          <w:t>Table 14</w:t>
        </w:r>
        <w:r w:rsidR="004B3EA2">
          <w:rPr>
            <w:rFonts w:asciiTheme="minorHAnsi" w:eastAsiaTheme="minorEastAsia" w:hAnsiTheme="minorHAnsi" w:cstheme="minorBidi"/>
          </w:rPr>
          <w:tab/>
        </w:r>
        <w:r w:rsidR="004B3EA2" w:rsidRPr="00102C74">
          <w:rPr>
            <w:rStyle w:val="Hyperlink"/>
          </w:rPr>
          <w:t xml:space="preserve"> PRO measurement tools</w:t>
        </w:r>
        <w:r w:rsidR="004B3EA2">
          <w:rPr>
            <w:webHidden/>
          </w:rPr>
          <w:tab/>
        </w:r>
        <w:r w:rsidR="004B3EA2">
          <w:rPr>
            <w:webHidden/>
          </w:rPr>
          <w:fldChar w:fldCharType="begin"/>
        </w:r>
        <w:r w:rsidR="004B3EA2">
          <w:rPr>
            <w:webHidden/>
          </w:rPr>
          <w:instrText xml:space="preserve"> PAGEREF _Toc69305655 \h </w:instrText>
        </w:r>
        <w:r w:rsidR="004B3EA2">
          <w:rPr>
            <w:webHidden/>
          </w:rPr>
        </w:r>
        <w:r w:rsidR="004B3EA2">
          <w:rPr>
            <w:webHidden/>
          </w:rPr>
          <w:fldChar w:fldCharType="separate"/>
        </w:r>
        <w:r w:rsidR="004B3EA2">
          <w:rPr>
            <w:webHidden/>
          </w:rPr>
          <w:t>52</w:t>
        </w:r>
        <w:r w:rsidR="004B3EA2">
          <w:rPr>
            <w:webHidden/>
          </w:rPr>
          <w:fldChar w:fldCharType="end"/>
        </w:r>
      </w:hyperlink>
    </w:p>
    <w:p w14:paraId="266E576E" w14:textId="7B1F8F02" w:rsidR="004B3EA2" w:rsidRDefault="00003BA5">
      <w:pPr>
        <w:pStyle w:val="TableofFigures"/>
        <w:rPr>
          <w:rFonts w:asciiTheme="minorHAnsi" w:eastAsiaTheme="minorEastAsia" w:hAnsiTheme="minorHAnsi" w:cstheme="minorBidi"/>
        </w:rPr>
      </w:pPr>
      <w:hyperlink w:anchor="_Toc69305656" w:history="1">
        <w:r w:rsidR="004B3EA2" w:rsidRPr="00102C74">
          <w:rPr>
            <w:rStyle w:val="Hyperlink"/>
          </w:rPr>
          <w:t>Table 15</w:t>
        </w:r>
        <w:r w:rsidR="004B3EA2">
          <w:rPr>
            <w:rFonts w:asciiTheme="minorHAnsi" w:eastAsiaTheme="minorEastAsia" w:hAnsiTheme="minorHAnsi" w:cstheme="minorBidi"/>
          </w:rPr>
          <w:tab/>
        </w:r>
        <w:r w:rsidR="004B3EA2" w:rsidRPr="00102C74">
          <w:rPr>
            <w:rStyle w:val="Hyperlink"/>
          </w:rPr>
          <w:t>Comparison of the number of patients who maintained or improved their EQ-5D at 25 weeks of SCIg   (0.2 or 0.4 g/kg) or placebo, imputed data (Hartung et al. 2019)</w:t>
        </w:r>
        <w:r w:rsidR="004B3EA2">
          <w:rPr>
            <w:webHidden/>
          </w:rPr>
          <w:tab/>
        </w:r>
        <w:r w:rsidR="004B3EA2">
          <w:rPr>
            <w:webHidden/>
          </w:rPr>
          <w:fldChar w:fldCharType="begin"/>
        </w:r>
        <w:r w:rsidR="004B3EA2">
          <w:rPr>
            <w:webHidden/>
          </w:rPr>
          <w:instrText xml:space="preserve"> PAGEREF _Toc69305656 \h </w:instrText>
        </w:r>
        <w:r w:rsidR="004B3EA2">
          <w:rPr>
            <w:webHidden/>
          </w:rPr>
        </w:r>
        <w:r w:rsidR="004B3EA2">
          <w:rPr>
            <w:webHidden/>
          </w:rPr>
          <w:fldChar w:fldCharType="separate"/>
        </w:r>
        <w:r w:rsidR="004B3EA2">
          <w:rPr>
            <w:webHidden/>
          </w:rPr>
          <w:t>53</w:t>
        </w:r>
        <w:r w:rsidR="004B3EA2">
          <w:rPr>
            <w:webHidden/>
          </w:rPr>
          <w:fldChar w:fldCharType="end"/>
        </w:r>
      </w:hyperlink>
    </w:p>
    <w:p w14:paraId="721CD560" w14:textId="27867E04" w:rsidR="004B3EA2" w:rsidRDefault="00003BA5">
      <w:pPr>
        <w:pStyle w:val="TableofFigures"/>
        <w:rPr>
          <w:rFonts w:asciiTheme="minorHAnsi" w:eastAsiaTheme="minorEastAsia" w:hAnsiTheme="minorHAnsi" w:cstheme="minorBidi"/>
        </w:rPr>
      </w:pPr>
      <w:hyperlink w:anchor="_Toc69305657" w:history="1">
        <w:r w:rsidR="004B3EA2" w:rsidRPr="00102C74">
          <w:rPr>
            <w:rStyle w:val="Hyperlink"/>
          </w:rPr>
          <w:t>Table 16</w:t>
        </w:r>
        <w:r w:rsidR="004B3EA2">
          <w:rPr>
            <w:rFonts w:asciiTheme="minorHAnsi" w:eastAsiaTheme="minorEastAsia" w:hAnsiTheme="minorHAnsi" w:cstheme="minorBidi"/>
          </w:rPr>
          <w:tab/>
        </w:r>
        <w:r w:rsidR="004B3EA2" w:rsidRPr="00102C74">
          <w:rPr>
            <w:rStyle w:val="Hyperlink"/>
          </w:rPr>
          <w:t>Studies reporting adverse events for patients receiving PE</w:t>
        </w:r>
        <w:r w:rsidR="004B3EA2">
          <w:rPr>
            <w:webHidden/>
          </w:rPr>
          <w:tab/>
        </w:r>
        <w:r w:rsidR="004B3EA2">
          <w:rPr>
            <w:webHidden/>
          </w:rPr>
          <w:fldChar w:fldCharType="begin"/>
        </w:r>
        <w:r w:rsidR="004B3EA2">
          <w:rPr>
            <w:webHidden/>
          </w:rPr>
          <w:instrText xml:space="preserve"> PAGEREF _Toc69305657 \h </w:instrText>
        </w:r>
        <w:r w:rsidR="004B3EA2">
          <w:rPr>
            <w:webHidden/>
          </w:rPr>
        </w:r>
        <w:r w:rsidR="004B3EA2">
          <w:rPr>
            <w:webHidden/>
          </w:rPr>
          <w:fldChar w:fldCharType="separate"/>
        </w:r>
        <w:r w:rsidR="004B3EA2">
          <w:rPr>
            <w:webHidden/>
          </w:rPr>
          <w:t>59</w:t>
        </w:r>
        <w:r w:rsidR="004B3EA2">
          <w:rPr>
            <w:webHidden/>
          </w:rPr>
          <w:fldChar w:fldCharType="end"/>
        </w:r>
      </w:hyperlink>
    </w:p>
    <w:p w14:paraId="5732A97A" w14:textId="151624AF" w:rsidR="004B3EA2" w:rsidRDefault="00003BA5">
      <w:pPr>
        <w:pStyle w:val="TableofFigures"/>
        <w:rPr>
          <w:rFonts w:asciiTheme="minorHAnsi" w:eastAsiaTheme="minorEastAsia" w:hAnsiTheme="minorHAnsi" w:cstheme="minorBidi"/>
        </w:rPr>
      </w:pPr>
      <w:hyperlink w:anchor="_Toc69305658" w:history="1">
        <w:r w:rsidR="004B3EA2" w:rsidRPr="00102C74">
          <w:rPr>
            <w:rStyle w:val="Hyperlink"/>
          </w:rPr>
          <w:t>Table 17</w:t>
        </w:r>
        <w:r w:rsidR="004B3EA2">
          <w:rPr>
            <w:rFonts w:asciiTheme="minorHAnsi" w:eastAsiaTheme="minorEastAsia" w:hAnsiTheme="minorHAnsi" w:cstheme="minorBidi"/>
          </w:rPr>
          <w:tab/>
        </w:r>
        <w:r w:rsidR="004B3EA2" w:rsidRPr="00102C74">
          <w:rPr>
            <w:rStyle w:val="Hyperlink"/>
          </w:rPr>
          <w:t>The most common mild or moderate adverse events reported in patients receiving PE</w:t>
        </w:r>
        <w:r w:rsidR="004B3EA2">
          <w:rPr>
            <w:webHidden/>
          </w:rPr>
          <w:tab/>
        </w:r>
        <w:r w:rsidR="004B3EA2">
          <w:rPr>
            <w:webHidden/>
          </w:rPr>
          <w:fldChar w:fldCharType="begin"/>
        </w:r>
        <w:r w:rsidR="004B3EA2">
          <w:rPr>
            <w:webHidden/>
          </w:rPr>
          <w:instrText xml:space="preserve"> PAGEREF _Toc69305658 \h </w:instrText>
        </w:r>
        <w:r w:rsidR="004B3EA2">
          <w:rPr>
            <w:webHidden/>
          </w:rPr>
        </w:r>
        <w:r w:rsidR="004B3EA2">
          <w:rPr>
            <w:webHidden/>
          </w:rPr>
          <w:fldChar w:fldCharType="separate"/>
        </w:r>
        <w:r w:rsidR="004B3EA2">
          <w:rPr>
            <w:webHidden/>
          </w:rPr>
          <w:t>63</w:t>
        </w:r>
        <w:r w:rsidR="004B3EA2">
          <w:rPr>
            <w:webHidden/>
          </w:rPr>
          <w:fldChar w:fldCharType="end"/>
        </w:r>
      </w:hyperlink>
    </w:p>
    <w:p w14:paraId="4D9C92D9" w14:textId="53E23FAC" w:rsidR="004B3EA2" w:rsidRDefault="00003BA5">
      <w:pPr>
        <w:pStyle w:val="TableofFigures"/>
        <w:rPr>
          <w:rFonts w:asciiTheme="minorHAnsi" w:eastAsiaTheme="minorEastAsia" w:hAnsiTheme="minorHAnsi" w:cstheme="minorBidi"/>
        </w:rPr>
      </w:pPr>
      <w:hyperlink w:anchor="_Toc69305659" w:history="1">
        <w:r w:rsidR="004B3EA2" w:rsidRPr="00102C74">
          <w:rPr>
            <w:rStyle w:val="Hyperlink"/>
          </w:rPr>
          <w:t>Table 18</w:t>
        </w:r>
        <w:r w:rsidR="004B3EA2">
          <w:rPr>
            <w:rFonts w:asciiTheme="minorHAnsi" w:eastAsiaTheme="minorEastAsia" w:hAnsiTheme="minorHAnsi" w:cstheme="minorBidi"/>
          </w:rPr>
          <w:tab/>
        </w:r>
        <w:r w:rsidR="004B3EA2" w:rsidRPr="00102C74">
          <w:rPr>
            <w:rStyle w:val="Hyperlink"/>
          </w:rPr>
          <w:t>The most common severe AEs reported for patients receiving PE</w:t>
        </w:r>
        <w:r w:rsidR="004B3EA2">
          <w:rPr>
            <w:webHidden/>
          </w:rPr>
          <w:tab/>
        </w:r>
        <w:r w:rsidR="004B3EA2">
          <w:rPr>
            <w:webHidden/>
          </w:rPr>
          <w:fldChar w:fldCharType="begin"/>
        </w:r>
        <w:r w:rsidR="004B3EA2">
          <w:rPr>
            <w:webHidden/>
          </w:rPr>
          <w:instrText xml:space="preserve"> PAGEREF _Toc69305659 \h </w:instrText>
        </w:r>
        <w:r w:rsidR="004B3EA2">
          <w:rPr>
            <w:webHidden/>
          </w:rPr>
        </w:r>
        <w:r w:rsidR="004B3EA2">
          <w:rPr>
            <w:webHidden/>
          </w:rPr>
          <w:fldChar w:fldCharType="separate"/>
        </w:r>
        <w:r w:rsidR="004B3EA2">
          <w:rPr>
            <w:webHidden/>
          </w:rPr>
          <w:t>64</w:t>
        </w:r>
        <w:r w:rsidR="004B3EA2">
          <w:rPr>
            <w:webHidden/>
          </w:rPr>
          <w:fldChar w:fldCharType="end"/>
        </w:r>
      </w:hyperlink>
    </w:p>
    <w:p w14:paraId="0ABA6D65" w14:textId="0ADB0F5A" w:rsidR="004B3EA2" w:rsidRDefault="00003BA5">
      <w:pPr>
        <w:pStyle w:val="TableofFigures"/>
        <w:rPr>
          <w:rFonts w:asciiTheme="minorHAnsi" w:eastAsiaTheme="minorEastAsia" w:hAnsiTheme="minorHAnsi" w:cstheme="minorBidi"/>
        </w:rPr>
      </w:pPr>
      <w:hyperlink w:anchor="_Toc69305660" w:history="1">
        <w:r w:rsidR="004B3EA2" w:rsidRPr="00102C74">
          <w:rPr>
            <w:rStyle w:val="Hyperlink"/>
          </w:rPr>
          <w:t>Table 19</w:t>
        </w:r>
        <w:r w:rsidR="004B3EA2">
          <w:rPr>
            <w:rFonts w:asciiTheme="minorHAnsi" w:eastAsiaTheme="minorEastAsia" w:hAnsiTheme="minorHAnsi" w:cstheme="minorBidi"/>
          </w:rPr>
          <w:tab/>
        </w:r>
        <w:r w:rsidR="004B3EA2" w:rsidRPr="00102C74">
          <w:rPr>
            <w:rStyle w:val="Hyperlink"/>
          </w:rPr>
          <w:t>Studies reporting adverse events in patients receiving corticosteroid therapy</w:t>
        </w:r>
        <w:r w:rsidR="004B3EA2">
          <w:rPr>
            <w:webHidden/>
          </w:rPr>
          <w:tab/>
        </w:r>
        <w:r w:rsidR="004B3EA2">
          <w:rPr>
            <w:webHidden/>
          </w:rPr>
          <w:fldChar w:fldCharType="begin"/>
        </w:r>
        <w:r w:rsidR="004B3EA2">
          <w:rPr>
            <w:webHidden/>
          </w:rPr>
          <w:instrText xml:space="preserve"> PAGEREF _Toc69305660 \h </w:instrText>
        </w:r>
        <w:r w:rsidR="004B3EA2">
          <w:rPr>
            <w:webHidden/>
          </w:rPr>
        </w:r>
        <w:r w:rsidR="004B3EA2">
          <w:rPr>
            <w:webHidden/>
          </w:rPr>
          <w:fldChar w:fldCharType="separate"/>
        </w:r>
        <w:r w:rsidR="004B3EA2">
          <w:rPr>
            <w:webHidden/>
          </w:rPr>
          <w:t>66</w:t>
        </w:r>
        <w:r w:rsidR="004B3EA2">
          <w:rPr>
            <w:webHidden/>
          </w:rPr>
          <w:fldChar w:fldCharType="end"/>
        </w:r>
      </w:hyperlink>
    </w:p>
    <w:p w14:paraId="2D037803" w14:textId="1806501C" w:rsidR="004B3EA2" w:rsidRDefault="00003BA5">
      <w:pPr>
        <w:pStyle w:val="TableofFigures"/>
        <w:rPr>
          <w:rFonts w:asciiTheme="minorHAnsi" w:eastAsiaTheme="minorEastAsia" w:hAnsiTheme="minorHAnsi" w:cstheme="minorBidi"/>
        </w:rPr>
      </w:pPr>
      <w:hyperlink w:anchor="_Toc69305661" w:history="1">
        <w:r w:rsidR="004B3EA2" w:rsidRPr="00102C74">
          <w:rPr>
            <w:rStyle w:val="Hyperlink"/>
          </w:rPr>
          <w:t>Table 20</w:t>
        </w:r>
        <w:r w:rsidR="004B3EA2">
          <w:rPr>
            <w:rFonts w:asciiTheme="minorHAnsi" w:eastAsiaTheme="minorEastAsia" w:hAnsiTheme="minorHAnsi" w:cstheme="minorBidi"/>
          </w:rPr>
          <w:tab/>
        </w:r>
        <w:r w:rsidR="004B3EA2" w:rsidRPr="00102C74">
          <w:rPr>
            <w:rStyle w:val="Hyperlink"/>
          </w:rPr>
          <w:t>AE rates reported for patients treated with steroids long-term</w:t>
        </w:r>
        <w:r w:rsidR="004B3EA2">
          <w:rPr>
            <w:webHidden/>
          </w:rPr>
          <w:tab/>
        </w:r>
        <w:r w:rsidR="004B3EA2">
          <w:rPr>
            <w:webHidden/>
          </w:rPr>
          <w:fldChar w:fldCharType="begin"/>
        </w:r>
        <w:r w:rsidR="004B3EA2">
          <w:rPr>
            <w:webHidden/>
          </w:rPr>
          <w:instrText xml:space="preserve"> PAGEREF _Toc69305661 \h </w:instrText>
        </w:r>
        <w:r w:rsidR="004B3EA2">
          <w:rPr>
            <w:webHidden/>
          </w:rPr>
        </w:r>
        <w:r w:rsidR="004B3EA2">
          <w:rPr>
            <w:webHidden/>
          </w:rPr>
          <w:fldChar w:fldCharType="separate"/>
        </w:r>
        <w:r w:rsidR="004B3EA2">
          <w:rPr>
            <w:webHidden/>
          </w:rPr>
          <w:t>67</w:t>
        </w:r>
        <w:r w:rsidR="004B3EA2">
          <w:rPr>
            <w:webHidden/>
          </w:rPr>
          <w:fldChar w:fldCharType="end"/>
        </w:r>
      </w:hyperlink>
    </w:p>
    <w:p w14:paraId="791FC708" w14:textId="1226BE64" w:rsidR="004B3EA2" w:rsidRDefault="00003BA5">
      <w:pPr>
        <w:pStyle w:val="TableofFigures"/>
        <w:rPr>
          <w:rFonts w:asciiTheme="minorHAnsi" w:eastAsiaTheme="minorEastAsia" w:hAnsiTheme="minorHAnsi" w:cstheme="minorBidi"/>
        </w:rPr>
      </w:pPr>
      <w:hyperlink w:anchor="_Toc69305662" w:history="1">
        <w:r w:rsidR="004B3EA2" w:rsidRPr="00102C74">
          <w:rPr>
            <w:rStyle w:val="Hyperlink"/>
          </w:rPr>
          <w:t>Table 21</w:t>
        </w:r>
        <w:r w:rsidR="004B3EA2">
          <w:rPr>
            <w:rFonts w:asciiTheme="minorHAnsi" w:eastAsiaTheme="minorEastAsia" w:hAnsiTheme="minorHAnsi" w:cstheme="minorBidi"/>
          </w:rPr>
          <w:tab/>
        </w:r>
        <w:r w:rsidR="004B3EA2" w:rsidRPr="00102C74">
          <w:rPr>
            <w:rStyle w:val="Hyperlink"/>
          </w:rPr>
          <w:t>AEs compared between GC doses for patients with RA treated with GCs longer than 6 months (Huscher et al. 2009)</w:t>
        </w:r>
        <w:r w:rsidR="004B3EA2">
          <w:rPr>
            <w:webHidden/>
          </w:rPr>
          <w:tab/>
        </w:r>
        <w:r w:rsidR="004B3EA2">
          <w:rPr>
            <w:webHidden/>
          </w:rPr>
          <w:fldChar w:fldCharType="begin"/>
        </w:r>
        <w:r w:rsidR="004B3EA2">
          <w:rPr>
            <w:webHidden/>
          </w:rPr>
          <w:instrText xml:space="preserve"> PAGEREF _Toc69305662 \h </w:instrText>
        </w:r>
        <w:r w:rsidR="004B3EA2">
          <w:rPr>
            <w:webHidden/>
          </w:rPr>
        </w:r>
        <w:r w:rsidR="004B3EA2">
          <w:rPr>
            <w:webHidden/>
          </w:rPr>
          <w:fldChar w:fldCharType="separate"/>
        </w:r>
        <w:r w:rsidR="004B3EA2">
          <w:rPr>
            <w:webHidden/>
          </w:rPr>
          <w:t>68</w:t>
        </w:r>
        <w:r w:rsidR="004B3EA2">
          <w:rPr>
            <w:webHidden/>
          </w:rPr>
          <w:fldChar w:fldCharType="end"/>
        </w:r>
      </w:hyperlink>
    </w:p>
    <w:p w14:paraId="532363BC" w14:textId="5B023611" w:rsidR="004B3EA2" w:rsidRDefault="00003BA5">
      <w:pPr>
        <w:pStyle w:val="TableofFigures"/>
        <w:rPr>
          <w:rFonts w:asciiTheme="minorHAnsi" w:eastAsiaTheme="minorEastAsia" w:hAnsiTheme="minorHAnsi" w:cstheme="minorBidi"/>
        </w:rPr>
      </w:pPr>
      <w:hyperlink w:anchor="_Toc69305663" w:history="1">
        <w:r w:rsidR="004B3EA2" w:rsidRPr="00102C74">
          <w:rPr>
            <w:rStyle w:val="Hyperlink"/>
          </w:rPr>
          <w:t>Table 22</w:t>
        </w:r>
        <w:r w:rsidR="004B3EA2">
          <w:rPr>
            <w:rFonts w:asciiTheme="minorHAnsi" w:eastAsiaTheme="minorEastAsia" w:hAnsiTheme="minorHAnsi" w:cstheme="minorBidi"/>
          </w:rPr>
          <w:tab/>
        </w:r>
        <w:r w:rsidR="004B3EA2" w:rsidRPr="00102C74">
          <w:rPr>
            <w:rStyle w:val="Hyperlink"/>
          </w:rPr>
          <w:t>Studies reporting adverse events in patients receiving IVIg therapy</w:t>
        </w:r>
        <w:r w:rsidR="004B3EA2">
          <w:rPr>
            <w:webHidden/>
          </w:rPr>
          <w:tab/>
        </w:r>
        <w:r w:rsidR="004B3EA2">
          <w:rPr>
            <w:webHidden/>
          </w:rPr>
          <w:fldChar w:fldCharType="begin"/>
        </w:r>
        <w:r w:rsidR="004B3EA2">
          <w:rPr>
            <w:webHidden/>
          </w:rPr>
          <w:instrText xml:space="preserve"> PAGEREF _Toc69305663 \h </w:instrText>
        </w:r>
        <w:r w:rsidR="004B3EA2">
          <w:rPr>
            <w:webHidden/>
          </w:rPr>
        </w:r>
        <w:r w:rsidR="004B3EA2">
          <w:rPr>
            <w:webHidden/>
          </w:rPr>
          <w:fldChar w:fldCharType="separate"/>
        </w:r>
        <w:r w:rsidR="004B3EA2">
          <w:rPr>
            <w:webHidden/>
          </w:rPr>
          <w:t>70</w:t>
        </w:r>
        <w:r w:rsidR="004B3EA2">
          <w:rPr>
            <w:webHidden/>
          </w:rPr>
          <w:fldChar w:fldCharType="end"/>
        </w:r>
      </w:hyperlink>
    </w:p>
    <w:p w14:paraId="0FB5F772" w14:textId="6CCD2370" w:rsidR="004B3EA2" w:rsidRDefault="00003BA5">
      <w:pPr>
        <w:pStyle w:val="TableofFigures"/>
        <w:rPr>
          <w:rFonts w:asciiTheme="minorHAnsi" w:eastAsiaTheme="minorEastAsia" w:hAnsiTheme="minorHAnsi" w:cstheme="minorBidi"/>
        </w:rPr>
      </w:pPr>
      <w:hyperlink w:anchor="_Toc69305664" w:history="1">
        <w:r w:rsidR="004B3EA2" w:rsidRPr="00102C74">
          <w:rPr>
            <w:rStyle w:val="Hyperlink"/>
          </w:rPr>
          <w:t>Table 23</w:t>
        </w:r>
        <w:r w:rsidR="004B3EA2">
          <w:rPr>
            <w:rFonts w:asciiTheme="minorHAnsi" w:eastAsiaTheme="minorEastAsia" w:hAnsiTheme="minorHAnsi" w:cstheme="minorBidi"/>
          </w:rPr>
          <w:tab/>
        </w:r>
        <w:r w:rsidR="004B3EA2" w:rsidRPr="00102C74">
          <w:rPr>
            <w:rStyle w:val="Hyperlink"/>
          </w:rPr>
          <w:t>Most common AEs in patients receiving IVIg in an outpatient setting</w:t>
        </w:r>
        <w:r w:rsidR="004B3EA2">
          <w:rPr>
            <w:webHidden/>
          </w:rPr>
          <w:tab/>
        </w:r>
        <w:r w:rsidR="004B3EA2">
          <w:rPr>
            <w:webHidden/>
          </w:rPr>
          <w:fldChar w:fldCharType="begin"/>
        </w:r>
        <w:r w:rsidR="004B3EA2">
          <w:rPr>
            <w:webHidden/>
          </w:rPr>
          <w:instrText xml:space="preserve"> PAGEREF _Toc69305664 \h </w:instrText>
        </w:r>
        <w:r w:rsidR="004B3EA2">
          <w:rPr>
            <w:webHidden/>
          </w:rPr>
        </w:r>
        <w:r w:rsidR="004B3EA2">
          <w:rPr>
            <w:webHidden/>
          </w:rPr>
          <w:fldChar w:fldCharType="separate"/>
        </w:r>
        <w:r w:rsidR="004B3EA2">
          <w:rPr>
            <w:webHidden/>
          </w:rPr>
          <w:t>70</w:t>
        </w:r>
        <w:r w:rsidR="004B3EA2">
          <w:rPr>
            <w:webHidden/>
          </w:rPr>
          <w:fldChar w:fldCharType="end"/>
        </w:r>
      </w:hyperlink>
    </w:p>
    <w:p w14:paraId="52E28337" w14:textId="78BAA8AE" w:rsidR="004B3EA2" w:rsidRDefault="00003BA5">
      <w:pPr>
        <w:pStyle w:val="TableofFigures"/>
        <w:rPr>
          <w:rFonts w:asciiTheme="minorHAnsi" w:eastAsiaTheme="minorEastAsia" w:hAnsiTheme="minorHAnsi" w:cstheme="minorBidi"/>
        </w:rPr>
      </w:pPr>
      <w:hyperlink w:anchor="_Toc69305665" w:history="1">
        <w:r w:rsidR="004B3EA2" w:rsidRPr="00102C74">
          <w:rPr>
            <w:rStyle w:val="Hyperlink"/>
          </w:rPr>
          <w:t>Table 24</w:t>
        </w:r>
        <w:r w:rsidR="004B3EA2">
          <w:rPr>
            <w:rFonts w:asciiTheme="minorHAnsi" w:eastAsiaTheme="minorEastAsia" w:hAnsiTheme="minorHAnsi" w:cstheme="minorBidi"/>
          </w:rPr>
          <w:tab/>
        </w:r>
        <w:r w:rsidR="004B3EA2" w:rsidRPr="00102C74">
          <w:rPr>
            <w:rStyle w:val="Hyperlink"/>
          </w:rPr>
          <w:t>ORs for AEs per infusion by multivariate logistic regression</w:t>
        </w:r>
        <w:r w:rsidR="004B3EA2">
          <w:rPr>
            <w:webHidden/>
          </w:rPr>
          <w:tab/>
        </w:r>
        <w:r w:rsidR="004B3EA2">
          <w:rPr>
            <w:webHidden/>
          </w:rPr>
          <w:fldChar w:fldCharType="begin"/>
        </w:r>
        <w:r w:rsidR="004B3EA2">
          <w:rPr>
            <w:webHidden/>
          </w:rPr>
          <w:instrText xml:space="preserve"> PAGEREF _Toc69305665 \h </w:instrText>
        </w:r>
        <w:r w:rsidR="004B3EA2">
          <w:rPr>
            <w:webHidden/>
          </w:rPr>
        </w:r>
        <w:r w:rsidR="004B3EA2">
          <w:rPr>
            <w:webHidden/>
          </w:rPr>
          <w:fldChar w:fldCharType="separate"/>
        </w:r>
        <w:r w:rsidR="004B3EA2">
          <w:rPr>
            <w:webHidden/>
          </w:rPr>
          <w:t>71</w:t>
        </w:r>
        <w:r w:rsidR="004B3EA2">
          <w:rPr>
            <w:webHidden/>
          </w:rPr>
          <w:fldChar w:fldCharType="end"/>
        </w:r>
      </w:hyperlink>
    </w:p>
    <w:p w14:paraId="56D0B4AA" w14:textId="02B07596" w:rsidR="004B3EA2" w:rsidRDefault="00003BA5">
      <w:pPr>
        <w:pStyle w:val="TableofFigures"/>
        <w:rPr>
          <w:rFonts w:asciiTheme="minorHAnsi" w:eastAsiaTheme="minorEastAsia" w:hAnsiTheme="minorHAnsi" w:cstheme="minorBidi"/>
        </w:rPr>
      </w:pPr>
      <w:hyperlink w:anchor="_Toc69305666" w:history="1">
        <w:r w:rsidR="004B3EA2" w:rsidRPr="00102C74">
          <w:rPr>
            <w:rStyle w:val="Hyperlink"/>
          </w:rPr>
          <w:t>Table 25</w:t>
        </w:r>
        <w:r w:rsidR="004B3EA2">
          <w:rPr>
            <w:rFonts w:asciiTheme="minorHAnsi" w:eastAsiaTheme="minorEastAsia" w:hAnsiTheme="minorHAnsi" w:cstheme="minorBidi"/>
          </w:rPr>
          <w:tab/>
        </w:r>
        <w:r w:rsidR="004B3EA2" w:rsidRPr="00102C74">
          <w:rPr>
            <w:rStyle w:val="Hyperlink"/>
          </w:rPr>
          <w:t>Comparison of adverse events reported in retrospective cohorts of patients receiving IVIg, PE or GC</w:t>
        </w:r>
        <w:r w:rsidR="004B3EA2">
          <w:rPr>
            <w:webHidden/>
          </w:rPr>
          <w:tab/>
        </w:r>
        <w:r w:rsidR="004B3EA2">
          <w:rPr>
            <w:webHidden/>
          </w:rPr>
          <w:fldChar w:fldCharType="begin"/>
        </w:r>
        <w:r w:rsidR="004B3EA2">
          <w:rPr>
            <w:webHidden/>
          </w:rPr>
          <w:instrText xml:space="preserve"> PAGEREF _Toc69305666 \h </w:instrText>
        </w:r>
        <w:r w:rsidR="004B3EA2">
          <w:rPr>
            <w:webHidden/>
          </w:rPr>
        </w:r>
        <w:r w:rsidR="004B3EA2">
          <w:rPr>
            <w:webHidden/>
          </w:rPr>
          <w:fldChar w:fldCharType="separate"/>
        </w:r>
        <w:r w:rsidR="004B3EA2">
          <w:rPr>
            <w:webHidden/>
          </w:rPr>
          <w:t>71</w:t>
        </w:r>
        <w:r w:rsidR="004B3EA2">
          <w:rPr>
            <w:webHidden/>
          </w:rPr>
          <w:fldChar w:fldCharType="end"/>
        </w:r>
      </w:hyperlink>
    </w:p>
    <w:p w14:paraId="1FAFB5E0" w14:textId="0F015E42" w:rsidR="004B3EA2" w:rsidRDefault="00003BA5">
      <w:pPr>
        <w:pStyle w:val="TableofFigures"/>
        <w:rPr>
          <w:rFonts w:asciiTheme="minorHAnsi" w:eastAsiaTheme="minorEastAsia" w:hAnsiTheme="minorHAnsi" w:cstheme="minorBidi"/>
        </w:rPr>
      </w:pPr>
      <w:hyperlink w:anchor="_Toc69305667" w:history="1">
        <w:r w:rsidR="004B3EA2" w:rsidRPr="00102C74">
          <w:rPr>
            <w:rStyle w:val="Hyperlink"/>
          </w:rPr>
          <w:t>Table 26</w:t>
        </w:r>
        <w:r w:rsidR="004B3EA2">
          <w:rPr>
            <w:rFonts w:asciiTheme="minorHAnsi" w:eastAsiaTheme="minorEastAsia" w:hAnsiTheme="minorHAnsi" w:cstheme="minorBidi"/>
          </w:rPr>
          <w:tab/>
        </w:r>
        <w:r w:rsidR="004B3EA2" w:rsidRPr="00102C74">
          <w:rPr>
            <w:rStyle w:val="Hyperlink"/>
          </w:rPr>
          <w:t>Patient characteristics in the key trials</w:t>
        </w:r>
        <w:r w:rsidR="004B3EA2">
          <w:rPr>
            <w:webHidden/>
          </w:rPr>
          <w:tab/>
        </w:r>
        <w:r w:rsidR="004B3EA2">
          <w:rPr>
            <w:webHidden/>
          </w:rPr>
          <w:fldChar w:fldCharType="begin"/>
        </w:r>
        <w:r w:rsidR="004B3EA2">
          <w:rPr>
            <w:webHidden/>
          </w:rPr>
          <w:instrText xml:space="preserve"> PAGEREF _Toc69305667 \h </w:instrText>
        </w:r>
        <w:r w:rsidR="004B3EA2">
          <w:rPr>
            <w:webHidden/>
          </w:rPr>
        </w:r>
        <w:r w:rsidR="004B3EA2">
          <w:rPr>
            <w:webHidden/>
          </w:rPr>
          <w:fldChar w:fldCharType="separate"/>
        </w:r>
        <w:r w:rsidR="004B3EA2">
          <w:rPr>
            <w:webHidden/>
          </w:rPr>
          <w:t>77</w:t>
        </w:r>
        <w:r w:rsidR="004B3EA2">
          <w:rPr>
            <w:webHidden/>
          </w:rPr>
          <w:fldChar w:fldCharType="end"/>
        </w:r>
      </w:hyperlink>
    </w:p>
    <w:p w14:paraId="32E11D3B" w14:textId="72CD4DA7" w:rsidR="004B3EA2" w:rsidRDefault="00003BA5">
      <w:pPr>
        <w:pStyle w:val="TableofFigures"/>
        <w:rPr>
          <w:rFonts w:asciiTheme="minorHAnsi" w:eastAsiaTheme="minorEastAsia" w:hAnsiTheme="minorHAnsi" w:cstheme="minorBidi"/>
        </w:rPr>
      </w:pPr>
      <w:hyperlink w:anchor="_Toc69305668" w:history="1">
        <w:r w:rsidR="004B3EA2" w:rsidRPr="00102C74">
          <w:rPr>
            <w:rStyle w:val="Hyperlink"/>
          </w:rPr>
          <w:t>Table 27</w:t>
        </w:r>
        <w:r w:rsidR="004B3EA2">
          <w:rPr>
            <w:rFonts w:asciiTheme="minorHAnsi" w:eastAsiaTheme="minorEastAsia" w:hAnsiTheme="minorHAnsi" w:cstheme="minorBidi"/>
          </w:rPr>
          <w:tab/>
        </w:r>
        <w:r w:rsidR="004B3EA2" w:rsidRPr="00102C74">
          <w:rPr>
            <w:rStyle w:val="Hyperlink"/>
          </w:rPr>
          <w:t>IVIg and comparator dosing regimens in the key trials</w:t>
        </w:r>
        <w:r w:rsidR="004B3EA2">
          <w:rPr>
            <w:webHidden/>
          </w:rPr>
          <w:tab/>
        </w:r>
        <w:r w:rsidR="004B3EA2">
          <w:rPr>
            <w:webHidden/>
          </w:rPr>
          <w:fldChar w:fldCharType="begin"/>
        </w:r>
        <w:r w:rsidR="004B3EA2">
          <w:rPr>
            <w:webHidden/>
          </w:rPr>
          <w:instrText xml:space="preserve"> PAGEREF _Toc69305668 \h </w:instrText>
        </w:r>
        <w:r w:rsidR="004B3EA2">
          <w:rPr>
            <w:webHidden/>
          </w:rPr>
        </w:r>
        <w:r w:rsidR="004B3EA2">
          <w:rPr>
            <w:webHidden/>
          </w:rPr>
          <w:fldChar w:fldCharType="separate"/>
        </w:r>
        <w:r w:rsidR="004B3EA2">
          <w:rPr>
            <w:webHidden/>
          </w:rPr>
          <w:t>79</w:t>
        </w:r>
        <w:r w:rsidR="004B3EA2">
          <w:rPr>
            <w:webHidden/>
          </w:rPr>
          <w:fldChar w:fldCharType="end"/>
        </w:r>
      </w:hyperlink>
    </w:p>
    <w:p w14:paraId="012B2586" w14:textId="4D4C74CE" w:rsidR="004B3EA2" w:rsidRDefault="00003BA5">
      <w:pPr>
        <w:pStyle w:val="TableofFigures"/>
        <w:rPr>
          <w:rFonts w:asciiTheme="minorHAnsi" w:eastAsiaTheme="minorEastAsia" w:hAnsiTheme="minorHAnsi" w:cstheme="minorBidi"/>
        </w:rPr>
      </w:pPr>
      <w:hyperlink w:anchor="_Toc69305669" w:history="1">
        <w:r w:rsidR="004B3EA2" w:rsidRPr="00102C74">
          <w:rPr>
            <w:rStyle w:val="Hyperlink"/>
          </w:rPr>
          <w:t>Table 28</w:t>
        </w:r>
        <w:r w:rsidR="004B3EA2">
          <w:rPr>
            <w:rFonts w:asciiTheme="minorHAnsi" w:eastAsiaTheme="minorEastAsia" w:hAnsiTheme="minorHAnsi" w:cstheme="minorBidi"/>
          </w:rPr>
          <w:tab/>
        </w:r>
        <w:r w:rsidR="004B3EA2" w:rsidRPr="00102C74">
          <w:rPr>
            <w:rStyle w:val="Hyperlink"/>
          </w:rPr>
          <w:t>Treatment doses and frequency depicted for patients with CIDP in the Australian clinical practice</w:t>
        </w:r>
        <w:r w:rsidR="004B3EA2">
          <w:rPr>
            <w:webHidden/>
          </w:rPr>
          <w:tab/>
        </w:r>
        <w:r w:rsidR="004B3EA2">
          <w:rPr>
            <w:webHidden/>
          </w:rPr>
          <w:fldChar w:fldCharType="begin"/>
        </w:r>
        <w:r w:rsidR="004B3EA2">
          <w:rPr>
            <w:webHidden/>
          </w:rPr>
          <w:instrText xml:space="preserve"> PAGEREF _Toc69305669 \h </w:instrText>
        </w:r>
        <w:r w:rsidR="004B3EA2">
          <w:rPr>
            <w:webHidden/>
          </w:rPr>
        </w:r>
        <w:r w:rsidR="004B3EA2">
          <w:rPr>
            <w:webHidden/>
          </w:rPr>
          <w:fldChar w:fldCharType="separate"/>
        </w:r>
        <w:r w:rsidR="004B3EA2">
          <w:rPr>
            <w:webHidden/>
          </w:rPr>
          <w:t>80</w:t>
        </w:r>
        <w:r w:rsidR="004B3EA2">
          <w:rPr>
            <w:webHidden/>
          </w:rPr>
          <w:fldChar w:fldCharType="end"/>
        </w:r>
      </w:hyperlink>
    </w:p>
    <w:p w14:paraId="6F4B24EC" w14:textId="21DF1BE7" w:rsidR="004B3EA2" w:rsidRDefault="00003BA5">
      <w:pPr>
        <w:pStyle w:val="TableofFigures"/>
        <w:rPr>
          <w:rFonts w:asciiTheme="minorHAnsi" w:eastAsiaTheme="minorEastAsia" w:hAnsiTheme="minorHAnsi" w:cstheme="minorBidi"/>
        </w:rPr>
      </w:pPr>
      <w:hyperlink w:anchor="_Toc69305670" w:history="1">
        <w:r w:rsidR="004B3EA2" w:rsidRPr="00102C74">
          <w:rPr>
            <w:rStyle w:val="Hyperlink"/>
          </w:rPr>
          <w:t>Table 29</w:t>
        </w:r>
        <w:r w:rsidR="004B3EA2">
          <w:rPr>
            <w:rFonts w:asciiTheme="minorHAnsi" w:eastAsiaTheme="minorEastAsia" w:hAnsiTheme="minorHAnsi" w:cstheme="minorBidi"/>
          </w:rPr>
          <w:tab/>
        </w:r>
        <w:r w:rsidR="004B3EA2" w:rsidRPr="00102C74">
          <w:rPr>
            <w:rStyle w:val="Hyperlink"/>
          </w:rPr>
          <w:t>Ig dose (g) for 120 days post-initiation of CIDP treatment for patients who did/did not continue Ig treatment beyond 140 days (after first clinical review)</w:t>
        </w:r>
        <w:r w:rsidR="004B3EA2">
          <w:rPr>
            <w:webHidden/>
          </w:rPr>
          <w:tab/>
        </w:r>
        <w:r w:rsidR="004B3EA2">
          <w:rPr>
            <w:webHidden/>
          </w:rPr>
          <w:fldChar w:fldCharType="begin"/>
        </w:r>
        <w:r w:rsidR="004B3EA2">
          <w:rPr>
            <w:webHidden/>
          </w:rPr>
          <w:instrText xml:space="preserve"> PAGEREF _Toc69305670 \h </w:instrText>
        </w:r>
        <w:r w:rsidR="004B3EA2">
          <w:rPr>
            <w:webHidden/>
          </w:rPr>
        </w:r>
        <w:r w:rsidR="004B3EA2">
          <w:rPr>
            <w:webHidden/>
          </w:rPr>
          <w:fldChar w:fldCharType="separate"/>
        </w:r>
        <w:r w:rsidR="004B3EA2">
          <w:rPr>
            <w:webHidden/>
          </w:rPr>
          <w:t>81</w:t>
        </w:r>
        <w:r w:rsidR="004B3EA2">
          <w:rPr>
            <w:webHidden/>
          </w:rPr>
          <w:fldChar w:fldCharType="end"/>
        </w:r>
      </w:hyperlink>
    </w:p>
    <w:p w14:paraId="30D46820" w14:textId="05257221" w:rsidR="004B3EA2" w:rsidRDefault="00003BA5">
      <w:pPr>
        <w:pStyle w:val="TableofFigures"/>
        <w:rPr>
          <w:rFonts w:asciiTheme="minorHAnsi" w:eastAsiaTheme="minorEastAsia" w:hAnsiTheme="minorHAnsi" w:cstheme="minorBidi"/>
        </w:rPr>
      </w:pPr>
      <w:hyperlink w:anchor="_Toc69305671" w:history="1">
        <w:r w:rsidR="004B3EA2" w:rsidRPr="00102C74">
          <w:rPr>
            <w:rStyle w:val="Hyperlink"/>
          </w:rPr>
          <w:t>Table 30</w:t>
        </w:r>
        <w:r w:rsidR="004B3EA2">
          <w:rPr>
            <w:rFonts w:asciiTheme="minorHAnsi" w:eastAsiaTheme="minorEastAsia" w:hAnsiTheme="minorHAnsi" w:cstheme="minorBidi"/>
          </w:rPr>
          <w:tab/>
        </w:r>
        <w:r w:rsidR="004B3EA2" w:rsidRPr="00102C74">
          <w:rPr>
            <w:rStyle w:val="Hyperlink"/>
          </w:rPr>
          <w:t>Ig dose (g) supplied between first and second clinical review of Ig for CIDP</w:t>
        </w:r>
        <w:r w:rsidR="004B3EA2">
          <w:rPr>
            <w:webHidden/>
          </w:rPr>
          <w:tab/>
        </w:r>
        <w:r w:rsidR="004B3EA2">
          <w:rPr>
            <w:webHidden/>
          </w:rPr>
          <w:fldChar w:fldCharType="begin"/>
        </w:r>
        <w:r w:rsidR="004B3EA2">
          <w:rPr>
            <w:webHidden/>
          </w:rPr>
          <w:instrText xml:space="preserve"> PAGEREF _Toc69305671 \h </w:instrText>
        </w:r>
        <w:r w:rsidR="004B3EA2">
          <w:rPr>
            <w:webHidden/>
          </w:rPr>
        </w:r>
        <w:r w:rsidR="004B3EA2">
          <w:rPr>
            <w:webHidden/>
          </w:rPr>
          <w:fldChar w:fldCharType="separate"/>
        </w:r>
        <w:r w:rsidR="004B3EA2">
          <w:rPr>
            <w:webHidden/>
          </w:rPr>
          <w:t>82</w:t>
        </w:r>
        <w:r w:rsidR="004B3EA2">
          <w:rPr>
            <w:webHidden/>
          </w:rPr>
          <w:fldChar w:fldCharType="end"/>
        </w:r>
      </w:hyperlink>
    </w:p>
    <w:p w14:paraId="5FAB5257" w14:textId="683BD07E" w:rsidR="004B3EA2" w:rsidRDefault="00003BA5">
      <w:pPr>
        <w:pStyle w:val="TableofFigures"/>
        <w:rPr>
          <w:rFonts w:asciiTheme="minorHAnsi" w:eastAsiaTheme="minorEastAsia" w:hAnsiTheme="minorHAnsi" w:cstheme="minorBidi"/>
        </w:rPr>
      </w:pPr>
      <w:hyperlink w:anchor="_Toc69305672" w:history="1">
        <w:r w:rsidR="004B3EA2" w:rsidRPr="00102C74">
          <w:rPr>
            <w:rStyle w:val="Hyperlink"/>
          </w:rPr>
          <w:t>Table 31</w:t>
        </w:r>
        <w:r w:rsidR="004B3EA2">
          <w:rPr>
            <w:rFonts w:asciiTheme="minorHAnsi" w:eastAsiaTheme="minorEastAsia" w:hAnsiTheme="minorHAnsi" w:cstheme="minorBidi"/>
          </w:rPr>
          <w:tab/>
        </w:r>
        <w:r w:rsidR="004B3EA2" w:rsidRPr="00102C74">
          <w:rPr>
            <w:rStyle w:val="Hyperlink"/>
          </w:rPr>
          <w:t>Estimated probabilities for remission and relapse from the literature studies and BloodStar data</w:t>
        </w:r>
        <w:r w:rsidR="004B3EA2">
          <w:rPr>
            <w:webHidden/>
          </w:rPr>
          <w:tab/>
        </w:r>
        <w:r w:rsidR="004B3EA2">
          <w:rPr>
            <w:webHidden/>
          </w:rPr>
          <w:fldChar w:fldCharType="begin"/>
        </w:r>
        <w:r w:rsidR="004B3EA2">
          <w:rPr>
            <w:webHidden/>
          </w:rPr>
          <w:instrText xml:space="preserve"> PAGEREF _Toc69305672 \h </w:instrText>
        </w:r>
        <w:r w:rsidR="004B3EA2">
          <w:rPr>
            <w:webHidden/>
          </w:rPr>
        </w:r>
        <w:r w:rsidR="004B3EA2">
          <w:rPr>
            <w:webHidden/>
          </w:rPr>
          <w:fldChar w:fldCharType="separate"/>
        </w:r>
        <w:r w:rsidR="004B3EA2">
          <w:rPr>
            <w:webHidden/>
          </w:rPr>
          <w:t>88</w:t>
        </w:r>
        <w:r w:rsidR="004B3EA2">
          <w:rPr>
            <w:webHidden/>
          </w:rPr>
          <w:fldChar w:fldCharType="end"/>
        </w:r>
      </w:hyperlink>
    </w:p>
    <w:p w14:paraId="4A82AEB8" w14:textId="22E4B37F" w:rsidR="004B3EA2" w:rsidRDefault="00003BA5">
      <w:pPr>
        <w:pStyle w:val="TableofFigures"/>
        <w:rPr>
          <w:rFonts w:asciiTheme="minorHAnsi" w:eastAsiaTheme="minorEastAsia" w:hAnsiTheme="minorHAnsi" w:cstheme="minorBidi"/>
        </w:rPr>
      </w:pPr>
      <w:hyperlink w:anchor="_Toc69305673" w:history="1">
        <w:r w:rsidR="004B3EA2" w:rsidRPr="00102C74">
          <w:rPr>
            <w:rStyle w:val="Hyperlink"/>
          </w:rPr>
          <w:t>Table 32</w:t>
        </w:r>
        <w:r w:rsidR="004B3EA2">
          <w:rPr>
            <w:rFonts w:asciiTheme="minorHAnsi" w:eastAsiaTheme="minorEastAsia" w:hAnsiTheme="minorHAnsi" w:cstheme="minorBidi"/>
          </w:rPr>
          <w:tab/>
        </w:r>
        <w:r w:rsidR="004B3EA2" w:rsidRPr="00102C74">
          <w:rPr>
            <w:rStyle w:val="Hyperlink"/>
          </w:rPr>
          <w:t>Summary of adverse event risks associated with chronic corticosteroids use</w:t>
        </w:r>
        <w:r w:rsidR="004B3EA2">
          <w:rPr>
            <w:webHidden/>
          </w:rPr>
          <w:tab/>
        </w:r>
        <w:r w:rsidR="004B3EA2">
          <w:rPr>
            <w:webHidden/>
          </w:rPr>
          <w:fldChar w:fldCharType="begin"/>
        </w:r>
        <w:r w:rsidR="004B3EA2">
          <w:rPr>
            <w:webHidden/>
          </w:rPr>
          <w:instrText xml:space="preserve"> PAGEREF _Toc69305673 \h </w:instrText>
        </w:r>
        <w:r w:rsidR="004B3EA2">
          <w:rPr>
            <w:webHidden/>
          </w:rPr>
        </w:r>
        <w:r w:rsidR="004B3EA2">
          <w:rPr>
            <w:webHidden/>
          </w:rPr>
          <w:fldChar w:fldCharType="separate"/>
        </w:r>
        <w:r w:rsidR="004B3EA2">
          <w:rPr>
            <w:webHidden/>
          </w:rPr>
          <w:t>91</w:t>
        </w:r>
        <w:r w:rsidR="004B3EA2">
          <w:rPr>
            <w:webHidden/>
          </w:rPr>
          <w:fldChar w:fldCharType="end"/>
        </w:r>
      </w:hyperlink>
    </w:p>
    <w:p w14:paraId="12759DE4" w14:textId="77206A69" w:rsidR="004B3EA2" w:rsidRDefault="00003BA5">
      <w:pPr>
        <w:pStyle w:val="TableofFigures"/>
        <w:rPr>
          <w:rFonts w:asciiTheme="minorHAnsi" w:eastAsiaTheme="minorEastAsia" w:hAnsiTheme="minorHAnsi" w:cstheme="minorBidi"/>
        </w:rPr>
      </w:pPr>
      <w:hyperlink w:anchor="_Toc69305674" w:history="1">
        <w:r w:rsidR="004B3EA2" w:rsidRPr="00102C74">
          <w:rPr>
            <w:rStyle w:val="Hyperlink"/>
          </w:rPr>
          <w:t>Table 33</w:t>
        </w:r>
        <w:r w:rsidR="004B3EA2">
          <w:rPr>
            <w:rFonts w:asciiTheme="minorHAnsi" w:eastAsiaTheme="minorEastAsia" w:hAnsiTheme="minorHAnsi" w:cstheme="minorBidi"/>
          </w:rPr>
          <w:tab/>
        </w:r>
        <w:r w:rsidR="004B3EA2" w:rsidRPr="00102C74">
          <w:rPr>
            <w:rStyle w:val="Hyperlink"/>
          </w:rPr>
          <w:t>Mean and significant differences for EQ-5D-3L index scores for Australia and UK</w:t>
        </w:r>
        <w:r w:rsidR="004B3EA2">
          <w:rPr>
            <w:webHidden/>
          </w:rPr>
          <w:tab/>
        </w:r>
        <w:r w:rsidR="004B3EA2">
          <w:rPr>
            <w:webHidden/>
          </w:rPr>
          <w:fldChar w:fldCharType="begin"/>
        </w:r>
        <w:r w:rsidR="004B3EA2">
          <w:rPr>
            <w:webHidden/>
          </w:rPr>
          <w:instrText xml:space="preserve"> PAGEREF _Toc69305674 \h </w:instrText>
        </w:r>
        <w:r w:rsidR="004B3EA2">
          <w:rPr>
            <w:webHidden/>
          </w:rPr>
        </w:r>
        <w:r w:rsidR="004B3EA2">
          <w:rPr>
            <w:webHidden/>
          </w:rPr>
          <w:fldChar w:fldCharType="separate"/>
        </w:r>
        <w:r w:rsidR="004B3EA2">
          <w:rPr>
            <w:webHidden/>
          </w:rPr>
          <w:t>95</w:t>
        </w:r>
        <w:r w:rsidR="004B3EA2">
          <w:rPr>
            <w:webHidden/>
          </w:rPr>
          <w:fldChar w:fldCharType="end"/>
        </w:r>
      </w:hyperlink>
    </w:p>
    <w:p w14:paraId="4536ED86" w14:textId="3B412C7F" w:rsidR="004B3EA2" w:rsidRDefault="00003BA5">
      <w:pPr>
        <w:pStyle w:val="TableofFigures"/>
        <w:rPr>
          <w:rFonts w:asciiTheme="minorHAnsi" w:eastAsiaTheme="minorEastAsia" w:hAnsiTheme="minorHAnsi" w:cstheme="minorBidi"/>
        </w:rPr>
      </w:pPr>
      <w:hyperlink w:anchor="_Toc69305675" w:history="1">
        <w:r w:rsidR="004B3EA2" w:rsidRPr="00102C74">
          <w:rPr>
            <w:rStyle w:val="Hyperlink"/>
          </w:rPr>
          <w:t>Table 34</w:t>
        </w:r>
        <w:r w:rsidR="004B3EA2">
          <w:rPr>
            <w:rFonts w:asciiTheme="minorHAnsi" w:eastAsiaTheme="minorEastAsia" w:hAnsiTheme="minorHAnsi" w:cstheme="minorBidi"/>
          </w:rPr>
          <w:tab/>
        </w:r>
        <w:r w:rsidR="004B3EA2" w:rsidRPr="00102C74">
          <w:rPr>
            <w:rStyle w:val="Hyperlink"/>
          </w:rPr>
          <w:t>Utility scores</w:t>
        </w:r>
        <w:r w:rsidR="004B3EA2" w:rsidRPr="00102C74">
          <w:rPr>
            <w:rStyle w:val="Hyperlink"/>
            <w:vertAlign w:val="superscript"/>
          </w:rPr>
          <w:t>a</w:t>
        </w:r>
        <w:r w:rsidR="004B3EA2" w:rsidRPr="00102C74">
          <w:rPr>
            <w:rStyle w:val="Hyperlink"/>
          </w:rPr>
          <w:t xml:space="preserve"> used in the economic model</w:t>
        </w:r>
        <w:r w:rsidR="004B3EA2">
          <w:rPr>
            <w:webHidden/>
          </w:rPr>
          <w:tab/>
        </w:r>
        <w:r w:rsidR="004B3EA2">
          <w:rPr>
            <w:webHidden/>
          </w:rPr>
          <w:fldChar w:fldCharType="begin"/>
        </w:r>
        <w:r w:rsidR="004B3EA2">
          <w:rPr>
            <w:webHidden/>
          </w:rPr>
          <w:instrText xml:space="preserve"> PAGEREF _Toc69305675 \h </w:instrText>
        </w:r>
        <w:r w:rsidR="004B3EA2">
          <w:rPr>
            <w:webHidden/>
          </w:rPr>
        </w:r>
        <w:r w:rsidR="004B3EA2">
          <w:rPr>
            <w:webHidden/>
          </w:rPr>
          <w:fldChar w:fldCharType="separate"/>
        </w:r>
        <w:r w:rsidR="004B3EA2">
          <w:rPr>
            <w:webHidden/>
          </w:rPr>
          <w:t>95</w:t>
        </w:r>
        <w:r w:rsidR="004B3EA2">
          <w:rPr>
            <w:webHidden/>
          </w:rPr>
          <w:fldChar w:fldCharType="end"/>
        </w:r>
      </w:hyperlink>
    </w:p>
    <w:p w14:paraId="67430246" w14:textId="6D6D2DC1" w:rsidR="004B3EA2" w:rsidRDefault="00003BA5">
      <w:pPr>
        <w:pStyle w:val="TableofFigures"/>
        <w:rPr>
          <w:rFonts w:asciiTheme="minorHAnsi" w:eastAsiaTheme="minorEastAsia" w:hAnsiTheme="minorHAnsi" w:cstheme="minorBidi"/>
        </w:rPr>
      </w:pPr>
      <w:hyperlink w:anchor="_Toc69305676" w:history="1">
        <w:r w:rsidR="004B3EA2" w:rsidRPr="00102C74">
          <w:rPr>
            <w:rStyle w:val="Hyperlink"/>
          </w:rPr>
          <w:t>Table 35</w:t>
        </w:r>
        <w:r w:rsidR="004B3EA2">
          <w:rPr>
            <w:rFonts w:asciiTheme="minorHAnsi" w:eastAsiaTheme="minorEastAsia" w:hAnsiTheme="minorHAnsi" w:cstheme="minorBidi"/>
          </w:rPr>
          <w:tab/>
        </w:r>
        <w:r w:rsidR="004B3EA2" w:rsidRPr="00102C74">
          <w:rPr>
            <w:rStyle w:val="Hyperlink"/>
          </w:rPr>
          <w:t>Summary of results of pre-modelling studies and their uses in the economic evaluation</w:t>
        </w:r>
        <w:r w:rsidR="004B3EA2">
          <w:rPr>
            <w:webHidden/>
          </w:rPr>
          <w:tab/>
        </w:r>
        <w:r w:rsidR="004B3EA2">
          <w:rPr>
            <w:webHidden/>
          </w:rPr>
          <w:fldChar w:fldCharType="begin"/>
        </w:r>
        <w:r w:rsidR="004B3EA2">
          <w:rPr>
            <w:webHidden/>
          </w:rPr>
          <w:instrText xml:space="preserve"> PAGEREF _Toc69305676 \h </w:instrText>
        </w:r>
        <w:r w:rsidR="004B3EA2">
          <w:rPr>
            <w:webHidden/>
          </w:rPr>
        </w:r>
        <w:r w:rsidR="004B3EA2">
          <w:rPr>
            <w:webHidden/>
          </w:rPr>
          <w:fldChar w:fldCharType="separate"/>
        </w:r>
        <w:r w:rsidR="004B3EA2">
          <w:rPr>
            <w:webHidden/>
          </w:rPr>
          <w:t>97</w:t>
        </w:r>
        <w:r w:rsidR="004B3EA2">
          <w:rPr>
            <w:webHidden/>
          </w:rPr>
          <w:fldChar w:fldCharType="end"/>
        </w:r>
      </w:hyperlink>
    </w:p>
    <w:p w14:paraId="10BB140B" w14:textId="61F11405" w:rsidR="004B3EA2" w:rsidRDefault="00003BA5">
      <w:pPr>
        <w:pStyle w:val="TableofFigures"/>
        <w:rPr>
          <w:rFonts w:asciiTheme="minorHAnsi" w:eastAsiaTheme="minorEastAsia" w:hAnsiTheme="minorHAnsi" w:cstheme="minorBidi"/>
        </w:rPr>
      </w:pPr>
      <w:hyperlink w:anchor="_Toc69305677" w:history="1">
        <w:r w:rsidR="004B3EA2" w:rsidRPr="00102C74">
          <w:rPr>
            <w:rStyle w:val="Hyperlink"/>
          </w:rPr>
          <w:t>Table 36</w:t>
        </w:r>
        <w:r w:rsidR="004B3EA2">
          <w:rPr>
            <w:rFonts w:asciiTheme="minorHAnsi" w:eastAsiaTheme="minorEastAsia" w:hAnsiTheme="minorHAnsi" w:cstheme="minorBidi"/>
          </w:rPr>
          <w:tab/>
        </w:r>
        <w:r w:rsidR="004B3EA2" w:rsidRPr="00102C74">
          <w:rPr>
            <w:rStyle w:val="Hyperlink"/>
          </w:rPr>
          <w:t>Summary of the economic evaluation</w:t>
        </w:r>
        <w:r w:rsidR="004B3EA2">
          <w:rPr>
            <w:webHidden/>
          </w:rPr>
          <w:tab/>
        </w:r>
        <w:r w:rsidR="004B3EA2">
          <w:rPr>
            <w:webHidden/>
          </w:rPr>
          <w:fldChar w:fldCharType="begin"/>
        </w:r>
        <w:r w:rsidR="004B3EA2">
          <w:rPr>
            <w:webHidden/>
          </w:rPr>
          <w:instrText xml:space="preserve"> PAGEREF _Toc69305677 \h </w:instrText>
        </w:r>
        <w:r w:rsidR="004B3EA2">
          <w:rPr>
            <w:webHidden/>
          </w:rPr>
        </w:r>
        <w:r w:rsidR="004B3EA2">
          <w:rPr>
            <w:webHidden/>
          </w:rPr>
          <w:fldChar w:fldCharType="separate"/>
        </w:r>
        <w:r w:rsidR="004B3EA2">
          <w:rPr>
            <w:webHidden/>
          </w:rPr>
          <w:t>101</w:t>
        </w:r>
        <w:r w:rsidR="004B3EA2">
          <w:rPr>
            <w:webHidden/>
          </w:rPr>
          <w:fldChar w:fldCharType="end"/>
        </w:r>
      </w:hyperlink>
    </w:p>
    <w:p w14:paraId="73FCB0F3" w14:textId="3F12A511" w:rsidR="004B3EA2" w:rsidRDefault="00003BA5">
      <w:pPr>
        <w:pStyle w:val="TableofFigures"/>
        <w:rPr>
          <w:rFonts w:asciiTheme="minorHAnsi" w:eastAsiaTheme="minorEastAsia" w:hAnsiTheme="minorHAnsi" w:cstheme="minorBidi"/>
        </w:rPr>
      </w:pPr>
      <w:hyperlink w:anchor="_Toc69305678" w:history="1">
        <w:r w:rsidR="004B3EA2" w:rsidRPr="00102C74">
          <w:rPr>
            <w:rStyle w:val="Hyperlink"/>
          </w:rPr>
          <w:t>Table 37</w:t>
        </w:r>
        <w:r w:rsidR="004B3EA2">
          <w:rPr>
            <w:rFonts w:asciiTheme="minorHAnsi" w:eastAsiaTheme="minorEastAsia" w:hAnsiTheme="minorHAnsi" w:cstheme="minorBidi"/>
          </w:rPr>
          <w:tab/>
        </w:r>
        <w:r w:rsidR="004B3EA2" w:rsidRPr="00102C74">
          <w:rPr>
            <w:rStyle w:val="Hyperlink"/>
          </w:rPr>
          <w:t>Description of health states included in the Markov model</w:t>
        </w:r>
        <w:r w:rsidR="004B3EA2">
          <w:rPr>
            <w:webHidden/>
          </w:rPr>
          <w:tab/>
        </w:r>
        <w:r w:rsidR="004B3EA2">
          <w:rPr>
            <w:webHidden/>
          </w:rPr>
          <w:fldChar w:fldCharType="begin"/>
        </w:r>
        <w:r w:rsidR="004B3EA2">
          <w:rPr>
            <w:webHidden/>
          </w:rPr>
          <w:instrText xml:space="preserve"> PAGEREF _Toc69305678 \h </w:instrText>
        </w:r>
        <w:r w:rsidR="004B3EA2">
          <w:rPr>
            <w:webHidden/>
          </w:rPr>
        </w:r>
        <w:r w:rsidR="004B3EA2">
          <w:rPr>
            <w:webHidden/>
          </w:rPr>
          <w:fldChar w:fldCharType="separate"/>
        </w:r>
        <w:r w:rsidR="004B3EA2">
          <w:rPr>
            <w:webHidden/>
          </w:rPr>
          <w:t>102</w:t>
        </w:r>
        <w:r w:rsidR="004B3EA2">
          <w:rPr>
            <w:webHidden/>
          </w:rPr>
          <w:fldChar w:fldCharType="end"/>
        </w:r>
      </w:hyperlink>
    </w:p>
    <w:p w14:paraId="401D5B01" w14:textId="0F07086B" w:rsidR="004B3EA2" w:rsidRDefault="00003BA5">
      <w:pPr>
        <w:pStyle w:val="TableofFigures"/>
        <w:rPr>
          <w:rFonts w:asciiTheme="minorHAnsi" w:eastAsiaTheme="minorEastAsia" w:hAnsiTheme="minorHAnsi" w:cstheme="minorBidi"/>
        </w:rPr>
      </w:pPr>
      <w:hyperlink w:anchor="_Toc69305679" w:history="1">
        <w:r w:rsidR="004B3EA2" w:rsidRPr="00102C74">
          <w:rPr>
            <w:rStyle w:val="Hyperlink"/>
          </w:rPr>
          <w:t>Table 38</w:t>
        </w:r>
        <w:r w:rsidR="004B3EA2">
          <w:rPr>
            <w:rFonts w:asciiTheme="minorHAnsi" w:eastAsiaTheme="minorEastAsia" w:hAnsiTheme="minorHAnsi" w:cstheme="minorBidi"/>
          </w:rPr>
          <w:tab/>
        </w:r>
        <w:r w:rsidR="004B3EA2" w:rsidRPr="00102C74">
          <w:rPr>
            <w:rStyle w:val="Hyperlink"/>
          </w:rPr>
          <w:t>Patient population inputs</w:t>
        </w:r>
        <w:r w:rsidR="004B3EA2">
          <w:rPr>
            <w:webHidden/>
          </w:rPr>
          <w:tab/>
        </w:r>
        <w:r w:rsidR="004B3EA2">
          <w:rPr>
            <w:webHidden/>
          </w:rPr>
          <w:fldChar w:fldCharType="begin"/>
        </w:r>
        <w:r w:rsidR="004B3EA2">
          <w:rPr>
            <w:webHidden/>
          </w:rPr>
          <w:instrText xml:space="preserve"> PAGEREF _Toc69305679 \h </w:instrText>
        </w:r>
        <w:r w:rsidR="004B3EA2">
          <w:rPr>
            <w:webHidden/>
          </w:rPr>
        </w:r>
        <w:r w:rsidR="004B3EA2">
          <w:rPr>
            <w:webHidden/>
          </w:rPr>
          <w:fldChar w:fldCharType="separate"/>
        </w:r>
        <w:r w:rsidR="004B3EA2">
          <w:rPr>
            <w:webHidden/>
          </w:rPr>
          <w:t>104</w:t>
        </w:r>
        <w:r w:rsidR="004B3EA2">
          <w:rPr>
            <w:webHidden/>
          </w:rPr>
          <w:fldChar w:fldCharType="end"/>
        </w:r>
      </w:hyperlink>
    </w:p>
    <w:p w14:paraId="4139119A" w14:textId="74285B4C" w:rsidR="004B3EA2" w:rsidRDefault="00003BA5">
      <w:pPr>
        <w:pStyle w:val="TableofFigures"/>
        <w:rPr>
          <w:rFonts w:asciiTheme="minorHAnsi" w:eastAsiaTheme="minorEastAsia" w:hAnsiTheme="minorHAnsi" w:cstheme="minorBidi"/>
        </w:rPr>
      </w:pPr>
      <w:hyperlink w:anchor="_Toc69305680" w:history="1">
        <w:r w:rsidR="004B3EA2" w:rsidRPr="00102C74">
          <w:rPr>
            <w:rStyle w:val="Hyperlink"/>
          </w:rPr>
          <w:t>Table 39</w:t>
        </w:r>
        <w:r w:rsidR="004B3EA2">
          <w:rPr>
            <w:rFonts w:asciiTheme="minorHAnsi" w:eastAsiaTheme="minorEastAsia" w:hAnsiTheme="minorHAnsi" w:cstheme="minorBidi"/>
          </w:rPr>
          <w:tab/>
        </w:r>
        <w:r w:rsidR="004B3EA2" w:rsidRPr="00102C74">
          <w:rPr>
            <w:rStyle w:val="Hyperlink"/>
          </w:rPr>
          <w:t>Transition probabilities in the economic models</w:t>
        </w:r>
        <w:r w:rsidR="004B3EA2">
          <w:rPr>
            <w:webHidden/>
          </w:rPr>
          <w:tab/>
        </w:r>
        <w:r w:rsidR="004B3EA2">
          <w:rPr>
            <w:webHidden/>
          </w:rPr>
          <w:fldChar w:fldCharType="begin"/>
        </w:r>
        <w:r w:rsidR="004B3EA2">
          <w:rPr>
            <w:webHidden/>
          </w:rPr>
          <w:instrText xml:space="preserve"> PAGEREF _Toc69305680 \h </w:instrText>
        </w:r>
        <w:r w:rsidR="004B3EA2">
          <w:rPr>
            <w:webHidden/>
          </w:rPr>
        </w:r>
        <w:r w:rsidR="004B3EA2">
          <w:rPr>
            <w:webHidden/>
          </w:rPr>
          <w:fldChar w:fldCharType="separate"/>
        </w:r>
        <w:r w:rsidR="004B3EA2">
          <w:rPr>
            <w:webHidden/>
          </w:rPr>
          <w:t>105</w:t>
        </w:r>
        <w:r w:rsidR="004B3EA2">
          <w:rPr>
            <w:webHidden/>
          </w:rPr>
          <w:fldChar w:fldCharType="end"/>
        </w:r>
      </w:hyperlink>
    </w:p>
    <w:p w14:paraId="45650B6D" w14:textId="6AC35FF3" w:rsidR="004B3EA2" w:rsidRDefault="00003BA5">
      <w:pPr>
        <w:pStyle w:val="TableofFigures"/>
        <w:rPr>
          <w:rFonts w:asciiTheme="minorHAnsi" w:eastAsiaTheme="minorEastAsia" w:hAnsiTheme="minorHAnsi" w:cstheme="minorBidi"/>
        </w:rPr>
      </w:pPr>
      <w:hyperlink w:anchor="_Toc69305681" w:history="1">
        <w:r w:rsidR="004B3EA2" w:rsidRPr="00102C74">
          <w:rPr>
            <w:rStyle w:val="Hyperlink"/>
          </w:rPr>
          <w:t>Table 40</w:t>
        </w:r>
        <w:r w:rsidR="004B3EA2">
          <w:rPr>
            <w:rFonts w:asciiTheme="minorHAnsi" w:eastAsiaTheme="minorEastAsia" w:hAnsiTheme="minorHAnsi" w:cstheme="minorBidi"/>
          </w:rPr>
          <w:tab/>
        </w:r>
        <w:r w:rsidR="004B3EA2" w:rsidRPr="00102C74">
          <w:rPr>
            <w:rStyle w:val="Hyperlink"/>
          </w:rPr>
          <w:t>Resource use and costs associated with IVIg treatment and monitoring</w:t>
        </w:r>
        <w:r w:rsidR="004B3EA2">
          <w:rPr>
            <w:webHidden/>
          </w:rPr>
          <w:tab/>
        </w:r>
        <w:r w:rsidR="004B3EA2">
          <w:rPr>
            <w:webHidden/>
          </w:rPr>
          <w:fldChar w:fldCharType="begin"/>
        </w:r>
        <w:r w:rsidR="004B3EA2">
          <w:rPr>
            <w:webHidden/>
          </w:rPr>
          <w:instrText xml:space="preserve"> PAGEREF _Toc69305681 \h </w:instrText>
        </w:r>
        <w:r w:rsidR="004B3EA2">
          <w:rPr>
            <w:webHidden/>
          </w:rPr>
        </w:r>
        <w:r w:rsidR="004B3EA2">
          <w:rPr>
            <w:webHidden/>
          </w:rPr>
          <w:fldChar w:fldCharType="separate"/>
        </w:r>
        <w:r w:rsidR="004B3EA2">
          <w:rPr>
            <w:webHidden/>
          </w:rPr>
          <w:t>112</w:t>
        </w:r>
        <w:r w:rsidR="004B3EA2">
          <w:rPr>
            <w:webHidden/>
          </w:rPr>
          <w:fldChar w:fldCharType="end"/>
        </w:r>
      </w:hyperlink>
    </w:p>
    <w:p w14:paraId="50741D34" w14:textId="3D86CD07" w:rsidR="004B3EA2" w:rsidRDefault="00003BA5">
      <w:pPr>
        <w:pStyle w:val="TableofFigures"/>
        <w:rPr>
          <w:rFonts w:asciiTheme="minorHAnsi" w:eastAsiaTheme="minorEastAsia" w:hAnsiTheme="minorHAnsi" w:cstheme="minorBidi"/>
        </w:rPr>
      </w:pPr>
      <w:hyperlink w:anchor="_Toc69305682" w:history="1">
        <w:r w:rsidR="004B3EA2" w:rsidRPr="00102C74">
          <w:rPr>
            <w:rStyle w:val="Hyperlink"/>
          </w:rPr>
          <w:t>Table 41</w:t>
        </w:r>
        <w:r w:rsidR="004B3EA2">
          <w:rPr>
            <w:rFonts w:asciiTheme="minorHAnsi" w:eastAsiaTheme="minorEastAsia" w:hAnsiTheme="minorHAnsi" w:cstheme="minorBidi"/>
          </w:rPr>
          <w:tab/>
        </w:r>
        <w:r w:rsidR="004B3EA2" w:rsidRPr="00102C74">
          <w:rPr>
            <w:rStyle w:val="Hyperlink"/>
          </w:rPr>
          <w:t>Resource use and cost associated with corticosteroids treatment and monitoring</w:t>
        </w:r>
        <w:r w:rsidR="004B3EA2">
          <w:rPr>
            <w:webHidden/>
          </w:rPr>
          <w:tab/>
        </w:r>
        <w:r w:rsidR="004B3EA2">
          <w:rPr>
            <w:webHidden/>
          </w:rPr>
          <w:fldChar w:fldCharType="begin"/>
        </w:r>
        <w:r w:rsidR="004B3EA2">
          <w:rPr>
            <w:webHidden/>
          </w:rPr>
          <w:instrText xml:space="preserve"> PAGEREF _Toc69305682 \h </w:instrText>
        </w:r>
        <w:r w:rsidR="004B3EA2">
          <w:rPr>
            <w:webHidden/>
          </w:rPr>
        </w:r>
        <w:r w:rsidR="004B3EA2">
          <w:rPr>
            <w:webHidden/>
          </w:rPr>
          <w:fldChar w:fldCharType="separate"/>
        </w:r>
        <w:r w:rsidR="004B3EA2">
          <w:rPr>
            <w:webHidden/>
          </w:rPr>
          <w:t>113</w:t>
        </w:r>
        <w:r w:rsidR="004B3EA2">
          <w:rPr>
            <w:webHidden/>
          </w:rPr>
          <w:fldChar w:fldCharType="end"/>
        </w:r>
      </w:hyperlink>
    </w:p>
    <w:p w14:paraId="11912E1C" w14:textId="6815535C" w:rsidR="004B3EA2" w:rsidRDefault="00003BA5">
      <w:pPr>
        <w:pStyle w:val="TableofFigures"/>
        <w:rPr>
          <w:rFonts w:asciiTheme="minorHAnsi" w:eastAsiaTheme="minorEastAsia" w:hAnsiTheme="minorHAnsi" w:cstheme="minorBidi"/>
        </w:rPr>
      </w:pPr>
      <w:hyperlink w:anchor="_Toc69305683" w:history="1">
        <w:r w:rsidR="004B3EA2" w:rsidRPr="00102C74">
          <w:rPr>
            <w:rStyle w:val="Hyperlink"/>
          </w:rPr>
          <w:t>Table 42</w:t>
        </w:r>
        <w:r w:rsidR="004B3EA2">
          <w:rPr>
            <w:rFonts w:asciiTheme="minorHAnsi" w:eastAsiaTheme="minorEastAsia" w:hAnsiTheme="minorHAnsi" w:cstheme="minorBidi"/>
          </w:rPr>
          <w:tab/>
        </w:r>
        <w:r w:rsidR="004B3EA2" w:rsidRPr="00102C74">
          <w:rPr>
            <w:rStyle w:val="Hyperlink"/>
          </w:rPr>
          <w:t>Cost associated with moderate AEs observed with chronic use of steroids</w:t>
        </w:r>
        <w:r w:rsidR="004B3EA2">
          <w:rPr>
            <w:webHidden/>
          </w:rPr>
          <w:tab/>
        </w:r>
        <w:r w:rsidR="004B3EA2">
          <w:rPr>
            <w:webHidden/>
          </w:rPr>
          <w:fldChar w:fldCharType="begin"/>
        </w:r>
        <w:r w:rsidR="004B3EA2">
          <w:rPr>
            <w:webHidden/>
          </w:rPr>
          <w:instrText xml:space="preserve"> PAGEREF _Toc69305683 \h </w:instrText>
        </w:r>
        <w:r w:rsidR="004B3EA2">
          <w:rPr>
            <w:webHidden/>
          </w:rPr>
        </w:r>
        <w:r w:rsidR="004B3EA2">
          <w:rPr>
            <w:webHidden/>
          </w:rPr>
          <w:fldChar w:fldCharType="separate"/>
        </w:r>
        <w:r w:rsidR="004B3EA2">
          <w:rPr>
            <w:webHidden/>
          </w:rPr>
          <w:t>115</w:t>
        </w:r>
        <w:r w:rsidR="004B3EA2">
          <w:rPr>
            <w:webHidden/>
          </w:rPr>
          <w:fldChar w:fldCharType="end"/>
        </w:r>
      </w:hyperlink>
    </w:p>
    <w:p w14:paraId="09A28FF6" w14:textId="621FFC6F" w:rsidR="004B3EA2" w:rsidRDefault="00003BA5">
      <w:pPr>
        <w:pStyle w:val="TableofFigures"/>
        <w:rPr>
          <w:rFonts w:asciiTheme="minorHAnsi" w:eastAsiaTheme="minorEastAsia" w:hAnsiTheme="minorHAnsi" w:cstheme="minorBidi"/>
        </w:rPr>
      </w:pPr>
      <w:hyperlink w:anchor="_Toc69305684" w:history="1">
        <w:r w:rsidR="004B3EA2" w:rsidRPr="00102C74">
          <w:rPr>
            <w:rStyle w:val="Hyperlink"/>
          </w:rPr>
          <w:t>Table 43: Resource prices associated with Plasma exchange</w:t>
        </w:r>
        <w:r w:rsidR="004B3EA2">
          <w:rPr>
            <w:webHidden/>
          </w:rPr>
          <w:tab/>
        </w:r>
        <w:r w:rsidR="004B3EA2">
          <w:rPr>
            <w:webHidden/>
          </w:rPr>
          <w:fldChar w:fldCharType="begin"/>
        </w:r>
        <w:r w:rsidR="004B3EA2">
          <w:rPr>
            <w:webHidden/>
          </w:rPr>
          <w:instrText xml:space="preserve"> PAGEREF _Toc69305684 \h </w:instrText>
        </w:r>
        <w:r w:rsidR="004B3EA2">
          <w:rPr>
            <w:webHidden/>
          </w:rPr>
        </w:r>
        <w:r w:rsidR="004B3EA2">
          <w:rPr>
            <w:webHidden/>
          </w:rPr>
          <w:fldChar w:fldCharType="separate"/>
        </w:r>
        <w:r w:rsidR="004B3EA2">
          <w:rPr>
            <w:webHidden/>
          </w:rPr>
          <w:t>116</w:t>
        </w:r>
        <w:r w:rsidR="004B3EA2">
          <w:rPr>
            <w:webHidden/>
          </w:rPr>
          <w:fldChar w:fldCharType="end"/>
        </w:r>
      </w:hyperlink>
    </w:p>
    <w:p w14:paraId="3C799527" w14:textId="33ED9473" w:rsidR="004B3EA2" w:rsidRDefault="00003BA5">
      <w:pPr>
        <w:pStyle w:val="TableofFigures"/>
        <w:rPr>
          <w:rFonts w:asciiTheme="minorHAnsi" w:eastAsiaTheme="minorEastAsia" w:hAnsiTheme="minorHAnsi" w:cstheme="minorBidi"/>
        </w:rPr>
      </w:pPr>
      <w:hyperlink w:anchor="_Toc69305685" w:history="1">
        <w:r w:rsidR="004B3EA2" w:rsidRPr="00102C74">
          <w:rPr>
            <w:rStyle w:val="Hyperlink"/>
          </w:rPr>
          <w:t>Table 44</w:t>
        </w:r>
        <w:r w:rsidR="004B3EA2">
          <w:rPr>
            <w:rFonts w:asciiTheme="minorHAnsi" w:eastAsiaTheme="minorEastAsia" w:hAnsiTheme="minorHAnsi" w:cstheme="minorBidi"/>
          </w:rPr>
          <w:tab/>
        </w:r>
        <w:r w:rsidR="004B3EA2" w:rsidRPr="00102C74">
          <w:rPr>
            <w:rStyle w:val="Hyperlink"/>
          </w:rPr>
          <w:t>Utility weights</w:t>
        </w:r>
        <w:r w:rsidR="004B3EA2" w:rsidRPr="00102C74">
          <w:rPr>
            <w:rStyle w:val="Hyperlink"/>
            <w:vertAlign w:val="superscript"/>
          </w:rPr>
          <w:t>a</w:t>
        </w:r>
        <w:r w:rsidR="004B3EA2" w:rsidRPr="00102C74">
          <w:rPr>
            <w:rStyle w:val="Hyperlink"/>
          </w:rPr>
          <w:t xml:space="preserve"> used in the modelled base-case economic evaluation</w:t>
        </w:r>
        <w:r w:rsidR="004B3EA2">
          <w:rPr>
            <w:webHidden/>
          </w:rPr>
          <w:tab/>
        </w:r>
        <w:r w:rsidR="004B3EA2">
          <w:rPr>
            <w:webHidden/>
          </w:rPr>
          <w:fldChar w:fldCharType="begin"/>
        </w:r>
        <w:r w:rsidR="004B3EA2">
          <w:rPr>
            <w:webHidden/>
          </w:rPr>
          <w:instrText xml:space="preserve"> PAGEREF _Toc69305685 \h </w:instrText>
        </w:r>
        <w:r w:rsidR="004B3EA2">
          <w:rPr>
            <w:webHidden/>
          </w:rPr>
        </w:r>
        <w:r w:rsidR="004B3EA2">
          <w:rPr>
            <w:webHidden/>
          </w:rPr>
          <w:fldChar w:fldCharType="separate"/>
        </w:r>
        <w:r w:rsidR="004B3EA2">
          <w:rPr>
            <w:webHidden/>
          </w:rPr>
          <w:t>117</w:t>
        </w:r>
        <w:r w:rsidR="004B3EA2">
          <w:rPr>
            <w:webHidden/>
          </w:rPr>
          <w:fldChar w:fldCharType="end"/>
        </w:r>
      </w:hyperlink>
    </w:p>
    <w:p w14:paraId="1F5BC945" w14:textId="07CB5823" w:rsidR="004B3EA2" w:rsidRDefault="00003BA5">
      <w:pPr>
        <w:pStyle w:val="TableofFigures"/>
        <w:rPr>
          <w:rFonts w:asciiTheme="minorHAnsi" w:eastAsiaTheme="minorEastAsia" w:hAnsiTheme="minorHAnsi" w:cstheme="minorBidi"/>
        </w:rPr>
      </w:pPr>
      <w:hyperlink w:anchor="_Toc69305686" w:history="1">
        <w:r w:rsidR="004B3EA2" w:rsidRPr="00102C74">
          <w:rPr>
            <w:rStyle w:val="Hyperlink"/>
          </w:rPr>
          <w:t>Table 45</w:t>
        </w:r>
        <w:r w:rsidR="004B3EA2">
          <w:rPr>
            <w:rFonts w:asciiTheme="minorHAnsi" w:eastAsiaTheme="minorEastAsia" w:hAnsiTheme="minorHAnsi" w:cstheme="minorBidi"/>
          </w:rPr>
          <w:tab/>
        </w:r>
        <w:r w:rsidR="004B3EA2" w:rsidRPr="00102C74">
          <w:rPr>
            <w:rStyle w:val="Hyperlink"/>
          </w:rPr>
          <w:t>Results of the stepped economic analysis: IVIg vs corticosteroids</w:t>
        </w:r>
        <w:r w:rsidR="004B3EA2">
          <w:rPr>
            <w:webHidden/>
          </w:rPr>
          <w:tab/>
        </w:r>
        <w:r w:rsidR="004B3EA2">
          <w:rPr>
            <w:webHidden/>
          </w:rPr>
          <w:fldChar w:fldCharType="begin"/>
        </w:r>
        <w:r w:rsidR="004B3EA2">
          <w:rPr>
            <w:webHidden/>
          </w:rPr>
          <w:instrText xml:space="preserve"> PAGEREF _Toc69305686 \h </w:instrText>
        </w:r>
        <w:r w:rsidR="004B3EA2">
          <w:rPr>
            <w:webHidden/>
          </w:rPr>
        </w:r>
        <w:r w:rsidR="004B3EA2">
          <w:rPr>
            <w:webHidden/>
          </w:rPr>
          <w:fldChar w:fldCharType="separate"/>
        </w:r>
        <w:r w:rsidR="004B3EA2">
          <w:rPr>
            <w:webHidden/>
          </w:rPr>
          <w:t>118</w:t>
        </w:r>
        <w:r w:rsidR="004B3EA2">
          <w:rPr>
            <w:webHidden/>
          </w:rPr>
          <w:fldChar w:fldCharType="end"/>
        </w:r>
      </w:hyperlink>
    </w:p>
    <w:p w14:paraId="1F451637" w14:textId="3DFF89F3" w:rsidR="004B3EA2" w:rsidRDefault="00003BA5">
      <w:pPr>
        <w:pStyle w:val="TableofFigures"/>
        <w:rPr>
          <w:rFonts w:asciiTheme="minorHAnsi" w:eastAsiaTheme="minorEastAsia" w:hAnsiTheme="minorHAnsi" w:cstheme="minorBidi"/>
        </w:rPr>
      </w:pPr>
      <w:hyperlink w:anchor="_Toc69305687" w:history="1">
        <w:r w:rsidR="004B3EA2" w:rsidRPr="00102C74">
          <w:rPr>
            <w:rStyle w:val="Hyperlink"/>
          </w:rPr>
          <w:t>Table 46</w:t>
        </w:r>
        <w:r w:rsidR="004B3EA2">
          <w:rPr>
            <w:rFonts w:asciiTheme="minorHAnsi" w:eastAsiaTheme="minorEastAsia" w:hAnsiTheme="minorHAnsi" w:cstheme="minorBidi"/>
          </w:rPr>
          <w:tab/>
        </w:r>
        <w:r w:rsidR="004B3EA2" w:rsidRPr="00102C74">
          <w:rPr>
            <w:rStyle w:val="Hyperlink"/>
          </w:rPr>
          <w:t>Disaggregated costs, Ig versus corticosteroids</w:t>
        </w:r>
        <w:r w:rsidR="004B3EA2">
          <w:rPr>
            <w:webHidden/>
          </w:rPr>
          <w:tab/>
        </w:r>
        <w:r w:rsidR="004B3EA2">
          <w:rPr>
            <w:webHidden/>
          </w:rPr>
          <w:fldChar w:fldCharType="begin"/>
        </w:r>
        <w:r w:rsidR="004B3EA2">
          <w:rPr>
            <w:webHidden/>
          </w:rPr>
          <w:instrText xml:space="preserve"> PAGEREF _Toc69305687 \h </w:instrText>
        </w:r>
        <w:r w:rsidR="004B3EA2">
          <w:rPr>
            <w:webHidden/>
          </w:rPr>
        </w:r>
        <w:r w:rsidR="004B3EA2">
          <w:rPr>
            <w:webHidden/>
          </w:rPr>
          <w:fldChar w:fldCharType="separate"/>
        </w:r>
        <w:r w:rsidR="004B3EA2">
          <w:rPr>
            <w:webHidden/>
          </w:rPr>
          <w:t>119</w:t>
        </w:r>
        <w:r w:rsidR="004B3EA2">
          <w:rPr>
            <w:webHidden/>
          </w:rPr>
          <w:fldChar w:fldCharType="end"/>
        </w:r>
      </w:hyperlink>
    </w:p>
    <w:p w14:paraId="3871EDA9" w14:textId="7F1E7587" w:rsidR="004B3EA2" w:rsidRDefault="00003BA5">
      <w:pPr>
        <w:pStyle w:val="TableofFigures"/>
        <w:rPr>
          <w:rFonts w:asciiTheme="minorHAnsi" w:eastAsiaTheme="minorEastAsia" w:hAnsiTheme="minorHAnsi" w:cstheme="minorBidi"/>
        </w:rPr>
      </w:pPr>
      <w:hyperlink w:anchor="_Toc69305688" w:history="1">
        <w:r w:rsidR="004B3EA2" w:rsidRPr="00102C74">
          <w:rPr>
            <w:rStyle w:val="Hyperlink"/>
          </w:rPr>
          <w:t>Table 47</w:t>
        </w:r>
        <w:r w:rsidR="004B3EA2">
          <w:rPr>
            <w:rFonts w:asciiTheme="minorHAnsi" w:eastAsiaTheme="minorEastAsia" w:hAnsiTheme="minorHAnsi" w:cstheme="minorBidi"/>
          </w:rPr>
          <w:tab/>
        </w:r>
        <w:r w:rsidR="004B3EA2" w:rsidRPr="00102C74">
          <w:rPr>
            <w:rStyle w:val="Hyperlink"/>
          </w:rPr>
          <w:t>Disaggregated QALYs, Ig versus corticosteroids</w:t>
        </w:r>
        <w:r w:rsidR="004B3EA2">
          <w:rPr>
            <w:webHidden/>
          </w:rPr>
          <w:tab/>
        </w:r>
        <w:r w:rsidR="004B3EA2">
          <w:rPr>
            <w:webHidden/>
          </w:rPr>
          <w:fldChar w:fldCharType="begin"/>
        </w:r>
        <w:r w:rsidR="004B3EA2">
          <w:rPr>
            <w:webHidden/>
          </w:rPr>
          <w:instrText xml:space="preserve"> PAGEREF _Toc69305688 \h </w:instrText>
        </w:r>
        <w:r w:rsidR="004B3EA2">
          <w:rPr>
            <w:webHidden/>
          </w:rPr>
        </w:r>
        <w:r w:rsidR="004B3EA2">
          <w:rPr>
            <w:webHidden/>
          </w:rPr>
          <w:fldChar w:fldCharType="separate"/>
        </w:r>
        <w:r w:rsidR="004B3EA2">
          <w:rPr>
            <w:webHidden/>
          </w:rPr>
          <w:t>119</w:t>
        </w:r>
        <w:r w:rsidR="004B3EA2">
          <w:rPr>
            <w:webHidden/>
          </w:rPr>
          <w:fldChar w:fldCharType="end"/>
        </w:r>
      </w:hyperlink>
    </w:p>
    <w:p w14:paraId="05B73049" w14:textId="6E855EEC" w:rsidR="004B3EA2" w:rsidRDefault="00003BA5">
      <w:pPr>
        <w:pStyle w:val="TableofFigures"/>
        <w:rPr>
          <w:rFonts w:asciiTheme="minorHAnsi" w:eastAsiaTheme="minorEastAsia" w:hAnsiTheme="minorHAnsi" w:cstheme="minorBidi"/>
        </w:rPr>
      </w:pPr>
      <w:hyperlink w:anchor="_Toc69305689" w:history="1">
        <w:r w:rsidR="004B3EA2" w:rsidRPr="00102C74">
          <w:rPr>
            <w:rStyle w:val="Hyperlink"/>
          </w:rPr>
          <w:t>Table 48</w:t>
        </w:r>
        <w:r w:rsidR="004B3EA2">
          <w:rPr>
            <w:rFonts w:asciiTheme="minorHAnsi" w:eastAsiaTheme="minorEastAsia" w:hAnsiTheme="minorHAnsi" w:cstheme="minorBidi"/>
          </w:rPr>
          <w:tab/>
        </w:r>
        <w:r w:rsidR="004B3EA2" w:rsidRPr="00102C74">
          <w:rPr>
            <w:rStyle w:val="Hyperlink"/>
          </w:rPr>
          <w:t>Incremental cost-effectiveness ratios, Ig versus corticosteroids</w:t>
        </w:r>
        <w:r w:rsidR="004B3EA2">
          <w:rPr>
            <w:webHidden/>
          </w:rPr>
          <w:tab/>
        </w:r>
        <w:r w:rsidR="004B3EA2">
          <w:rPr>
            <w:webHidden/>
          </w:rPr>
          <w:fldChar w:fldCharType="begin"/>
        </w:r>
        <w:r w:rsidR="004B3EA2">
          <w:rPr>
            <w:webHidden/>
          </w:rPr>
          <w:instrText xml:space="preserve"> PAGEREF _Toc69305689 \h </w:instrText>
        </w:r>
        <w:r w:rsidR="004B3EA2">
          <w:rPr>
            <w:webHidden/>
          </w:rPr>
        </w:r>
        <w:r w:rsidR="004B3EA2">
          <w:rPr>
            <w:webHidden/>
          </w:rPr>
          <w:fldChar w:fldCharType="separate"/>
        </w:r>
        <w:r w:rsidR="004B3EA2">
          <w:rPr>
            <w:webHidden/>
          </w:rPr>
          <w:t>119</w:t>
        </w:r>
        <w:r w:rsidR="004B3EA2">
          <w:rPr>
            <w:webHidden/>
          </w:rPr>
          <w:fldChar w:fldCharType="end"/>
        </w:r>
      </w:hyperlink>
    </w:p>
    <w:p w14:paraId="5FC4035C" w14:textId="13F19F50" w:rsidR="004B3EA2" w:rsidRDefault="00003BA5">
      <w:pPr>
        <w:pStyle w:val="TableofFigures"/>
        <w:rPr>
          <w:rFonts w:asciiTheme="minorHAnsi" w:eastAsiaTheme="minorEastAsia" w:hAnsiTheme="minorHAnsi" w:cstheme="minorBidi"/>
        </w:rPr>
      </w:pPr>
      <w:hyperlink w:anchor="_Toc69305690" w:history="1">
        <w:r w:rsidR="004B3EA2" w:rsidRPr="00102C74">
          <w:rPr>
            <w:rStyle w:val="Hyperlink"/>
          </w:rPr>
          <w:t>Table 49</w:t>
        </w:r>
        <w:r w:rsidR="004B3EA2">
          <w:rPr>
            <w:rFonts w:asciiTheme="minorHAnsi" w:eastAsiaTheme="minorEastAsia" w:hAnsiTheme="minorHAnsi" w:cstheme="minorBidi"/>
          </w:rPr>
          <w:tab/>
        </w:r>
        <w:r w:rsidR="004B3EA2" w:rsidRPr="00102C74">
          <w:rPr>
            <w:rStyle w:val="Hyperlink"/>
          </w:rPr>
          <w:t>Scenario analyses, Ig versus corticosteroids, alternative cost per g of Ig and alternative maintenance dose</w:t>
        </w:r>
        <w:r w:rsidR="004B3EA2">
          <w:rPr>
            <w:webHidden/>
          </w:rPr>
          <w:tab/>
        </w:r>
        <w:r w:rsidR="004B3EA2">
          <w:rPr>
            <w:webHidden/>
          </w:rPr>
          <w:fldChar w:fldCharType="begin"/>
        </w:r>
        <w:r w:rsidR="004B3EA2">
          <w:rPr>
            <w:webHidden/>
          </w:rPr>
          <w:instrText xml:space="preserve"> PAGEREF _Toc69305690 \h </w:instrText>
        </w:r>
        <w:r w:rsidR="004B3EA2">
          <w:rPr>
            <w:webHidden/>
          </w:rPr>
        </w:r>
        <w:r w:rsidR="004B3EA2">
          <w:rPr>
            <w:webHidden/>
          </w:rPr>
          <w:fldChar w:fldCharType="separate"/>
        </w:r>
        <w:r w:rsidR="004B3EA2">
          <w:rPr>
            <w:webHidden/>
          </w:rPr>
          <w:t>120</w:t>
        </w:r>
        <w:r w:rsidR="004B3EA2">
          <w:rPr>
            <w:webHidden/>
          </w:rPr>
          <w:fldChar w:fldCharType="end"/>
        </w:r>
      </w:hyperlink>
    </w:p>
    <w:p w14:paraId="7DC1CC04" w14:textId="1B6F9EC3" w:rsidR="004B3EA2" w:rsidRDefault="00003BA5">
      <w:pPr>
        <w:pStyle w:val="TableofFigures"/>
        <w:rPr>
          <w:rFonts w:asciiTheme="minorHAnsi" w:eastAsiaTheme="minorEastAsia" w:hAnsiTheme="minorHAnsi" w:cstheme="minorBidi"/>
        </w:rPr>
      </w:pPr>
      <w:hyperlink w:anchor="_Toc69305691" w:history="1">
        <w:r w:rsidR="004B3EA2" w:rsidRPr="00102C74">
          <w:rPr>
            <w:rStyle w:val="Hyperlink"/>
          </w:rPr>
          <w:t>Table 50</w:t>
        </w:r>
        <w:r w:rsidR="004B3EA2">
          <w:rPr>
            <w:rFonts w:asciiTheme="minorHAnsi" w:eastAsiaTheme="minorEastAsia" w:hAnsiTheme="minorHAnsi" w:cstheme="minorBidi"/>
          </w:rPr>
          <w:tab/>
        </w:r>
        <w:r w:rsidR="004B3EA2" w:rsidRPr="00102C74">
          <w:rPr>
            <w:rStyle w:val="Hyperlink"/>
          </w:rPr>
          <w:t>Results for step 1 of the analysis, immunoglobulin versus plasma exchange</w:t>
        </w:r>
        <w:r w:rsidR="004B3EA2">
          <w:rPr>
            <w:webHidden/>
          </w:rPr>
          <w:tab/>
        </w:r>
        <w:r w:rsidR="004B3EA2">
          <w:rPr>
            <w:webHidden/>
          </w:rPr>
          <w:fldChar w:fldCharType="begin"/>
        </w:r>
        <w:r w:rsidR="004B3EA2">
          <w:rPr>
            <w:webHidden/>
          </w:rPr>
          <w:instrText xml:space="preserve"> PAGEREF _Toc69305691 \h </w:instrText>
        </w:r>
        <w:r w:rsidR="004B3EA2">
          <w:rPr>
            <w:webHidden/>
          </w:rPr>
        </w:r>
        <w:r w:rsidR="004B3EA2">
          <w:rPr>
            <w:webHidden/>
          </w:rPr>
          <w:fldChar w:fldCharType="separate"/>
        </w:r>
        <w:r w:rsidR="004B3EA2">
          <w:rPr>
            <w:webHidden/>
          </w:rPr>
          <w:t>121</w:t>
        </w:r>
        <w:r w:rsidR="004B3EA2">
          <w:rPr>
            <w:webHidden/>
          </w:rPr>
          <w:fldChar w:fldCharType="end"/>
        </w:r>
      </w:hyperlink>
    </w:p>
    <w:p w14:paraId="0EBCAF5D" w14:textId="1D5F1A92" w:rsidR="004B3EA2" w:rsidRDefault="00003BA5">
      <w:pPr>
        <w:pStyle w:val="TableofFigures"/>
        <w:rPr>
          <w:rFonts w:asciiTheme="minorHAnsi" w:eastAsiaTheme="minorEastAsia" w:hAnsiTheme="minorHAnsi" w:cstheme="minorBidi"/>
        </w:rPr>
      </w:pPr>
      <w:hyperlink w:anchor="_Toc69305692" w:history="1">
        <w:r w:rsidR="004B3EA2" w:rsidRPr="00102C74">
          <w:rPr>
            <w:rStyle w:val="Hyperlink"/>
          </w:rPr>
          <w:t>Table 51</w:t>
        </w:r>
        <w:r w:rsidR="004B3EA2">
          <w:rPr>
            <w:rFonts w:asciiTheme="minorHAnsi" w:eastAsiaTheme="minorEastAsia" w:hAnsiTheme="minorHAnsi" w:cstheme="minorBidi"/>
          </w:rPr>
          <w:tab/>
        </w:r>
        <w:r w:rsidR="004B3EA2" w:rsidRPr="00102C74">
          <w:rPr>
            <w:rStyle w:val="Hyperlink"/>
          </w:rPr>
          <w:t>Results of the stepped economic analysis: IVIg vs PE</w:t>
        </w:r>
        <w:r w:rsidR="004B3EA2">
          <w:rPr>
            <w:webHidden/>
          </w:rPr>
          <w:tab/>
        </w:r>
        <w:r w:rsidR="004B3EA2">
          <w:rPr>
            <w:webHidden/>
          </w:rPr>
          <w:fldChar w:fldCharType="begin"/>
        </w:r>
        <w:r w:rsidR="004B3EA2">
          <w:rPr>
            <w:webHidden/>
          </w:rPr>
          <w:instrText xml:space="preserve"> PAGEREF _Toc69305692 \h </w:instrText>
        </w:r>
        <w:r w:rsidR="004B3EA2">
          <w:rPr>
            <w:webHidden/>
          </w:rPr>
        </w:r>
        <w:r w:rsidR="004B3EA2">
          <w:rPr>
            <w:webHidden/>
          </w:rPr>
          <w:fldChar w:fldCharType="separate"/>
        </w:r>
        <w:r w:rsidR="004B3EA2">
          <w:rPr>
            <w:webHidden/>
          </w:rPr>
          <w:t>122</w:t>
        </w:r>
        <w:r w:rsidR="004B3EA2">
          <w:rPr>
            <w:webHidden/>
          </w:rPr>
          <w:fldChar w:fldCharType="end"/>
        </w:r>
      </w:hyperlink>
    </w:p>
    <w:p w14:paraId="77A04AA3" w14:textId="40299414" w:rsidR="004B3EA2" w:rsidRDefault="00003BA5">
      <w:pPr>
        <w:pStyle w:val="TableofFigures"/>
        <w:rPr>
          <w:rFonts w:asciiTheme="minorHAnsi" w:eastAsiaTheme="minorEastAsia" w:hAnsiTheme="minorHAnsi" w:cstheme="minorBidi"/>
        </w:rPr>
      </w:pPr>
      <w:hyperlink w:anchor="_Toc69305693" w:history="1">
        <w:r w:rsidR="004B3EA2" w:rsidRPr="00102C74">
          <w:rPr>
            <w:rStyle w:val="Hyperlink"/>
          </w:rPr>
          <w:t>Table 52</w:t>
        </w:r>
        <w:r w:rsidR="004B3EA2">
          <w:rPr>
            <w:rFonts w:asciiTheme="minorHAnsi" w:eastAsiaTheme="minorEastAsia" w:hAnsiTheme="minorHAnsi" w:cstheme="minorBidi"/>
          </w:rPr>
          <w:tab/>
        </w:r>
        <w:r w:rsidR="004B3EA2" w:rsidRPr="00102C74">
          <w:rPr>
            <w:rStyle w:val="Hyperlink"/>
          </w:rPr>
          <w:t>Disaggregated costs, immunoglobulin versus plasma exchange</w:t>
        </w:r>
        <w:r w:rsidR="004B3EA2">
          <w:rPr>
            <w:webHidden/>
          </w:rPr>
          <w:tab/>
        </w:r>
        <w:r w:rsidR="004B3EA2">
          <w:rPr>
            <w:webHidden/>
          </w:rPr>
          <w:fldChar w:fldCharType="begin"/>
        </w:r>
        <w:r w:rsidR="004B3EA2">
          <w:rPr>
            <w:webHidden/>
          </w:rPr>
          <w:instrText xml:space="preserve"> PAGEREF _Toc69305693 \h </w:instrText>
        </w:r>
        <w:r w:rsidR="004B3EA2">
          <w:rPr>
            <w:webHidden/>
          </w:rPr>
        </w:r>
        <w:r w:rsidR="004B3EA2">
          <w:rPr>
            <w:webHidden/>
          </w:rPr>
          <w:fldChar w:fldCharType="separate"/>
        </w:r>
        <w:r w:rsidR="004B3EA2">
          <w:rPr>
            <w:webHidden/>
          </w:rPr>
          <w:t>122</w:t>
        </w:r>
        <w:r w:rsidR="004B3EA2">
          <w:rPr>
            <w:webHidden/>
          </w:rPr>
          <w:fldChar w:fldCharType="end"/>
        </w:r>
      </w:hyperlink>
    </w:p>
    <w:p w14:paraId="5B5C56D5" w14:textId="577E018E" w:rsidR="004B3EA2" w:rsidRDefault="00003BA5">
      <w:pPr>
        <w:pStyle w:val="TableofFigures"/>
        <w:rPr>
          <w:rFonts w:asciiTheme="minorHAnsi" w:eastAsiaTheme="minorEastAsia" w:hAnsiTheme="minorHAnsi" w:cstheme="minorBidi"/>
        </w:rPr>
      </w:pPr>
      <w:hyperlink w:anchor="_Toc69305694" w:history="1">
        <w:r w:rsidR="004B3EA2" w:rsidRPr="00102C74">
          <w:rPr>
            <w:rStyle w:val="Hyperlink"/>
          </w:rPr>
          <w:t>Table 53</w:t>
        </w:r>
        <w:r w:rsidR="004B3EA2">
          <w:rPr>
            <w:rFonts w:asciiTheme="minorHAnsi" w:eastAsiaTheme="minorEastAsia" w:hAnsiTheme="minorHAnsi" w:cstheme="minorBidi"/>
          </w:rPr>
          <w:tab/>
        </w:r>
        <w:r w:rsidR="004B3EA2" w:rsidRPr="00102C74">
          <w:rPr>
            <w:rStyle w:val="Hyperlink"/>
          </w:rPr>
          <w:t>Disaggregated QALYs, immunoglobulin versus plasma exchange</w:t>
        </w:r>
        <w:r w:rsidR="004B3EA2">
          <w:rPr>
            <w:webHidden/>
          </w:rPr>
          <w:tab/>
        </w:r>
        <w:r w:rsidR="004B3EA2">
          <w:rPr>
            <w:webHidden/>
          </w:rPr>
          <w:fldChar w:fldCharType="begin"/>
        </w:r>
        <w:r w:rsidR="004B3EA2">
          <w:rPr>
            <w:webHidden/>
          </w:rPr>
          <w:instrText xml:space="preserve"> PAGEREF _Toc69305694 \h </w:instrText>
        </w:r>
        <w:r w:rsidR="004B3EA2">
          <w:rPr>
            <w:webHidden/>
          </w:rPr>
        </w:r>
        <w:r w:rsidR="004B3EA2">
          <w:rPr>
            <w:webHidden/>
          </w:rPr>
          <w:fldChar w:fldCharType="separate"/>
        </w:r>
        <w:r w:rsidR="004B3EA2">
          <w:rPr>
            <w:webHidden/>
          </w:rPr>
          <w:t>122</w:t>
        </w:r>
        <w:r w:rsidR="004B3EA2">
          <w:rPr>
            <w:webHidden/>
          </w:rPr>
          <w:fldChar w:fldCharType="end"/>
        </w:r>
      </w:hyperlink>
    </w:p>
    <w:p w14:paraId="007C20E5" w14:textId="0AA1C6EA" w:rsidR="004B3EA2" w:rsidRDefault="00003BA5">
      <w:pPr>
        <w:pStyle w:val="TableofFigures"/>
        <w:rPr>
          <w:rFonts w:asciiTheme="minorHAnsi" w:eastAsiaTheme="minorEastAsia" w:hAnsiTheme="minorHAnsi" w:cstheme="minorBidi"/>
        </w:rPr>
      </w:pPr>
      <w:hyperlink w:anchor="_Toc69305695" w:history="1">
        <w:r w:rsidR="004B3EA2" w:rsidRPr="00102C74">
          <w:rPr>
            <w:rStyle w:val="Hyperlink"/>
          </w:rPr>
          <w:t>Table 54</w:t>
        </w:r>
        <w:r w:rsidR="004B3EA2">
          <w:rPr>
            <w:rFonts w:asciiTheme="minorHAnsi" w:eastAsiaTheme="minorEastAsia" w:hAnsiTheme="minorHAnsi" w:cstheme="minorBidi"/>
          </w:rPr>
          <w:tab/>
        </w:r>
        <w:r w:rsidR="004B3EA2" w:rsidRPr="00102C74">
          <w:rPr>
            <w:rStyle w:val="Hyperlink"/>
          </w:rPr>
          <w:t>Incremental cost-effectiveness ratios, immunoglobulin versus plasma exchange</w:t>
        </w:r>
        <w:r w:rsidR="004B3EA2">
          <w:rPr>
            <w:webHidden/>
          </w:rPr>
          <w:tab/>
        </w:r>
        <w:r w:rsidR="004B3EA2">
          <w:rPr>
            <w:webHidden/>
          </w:rPr>
          <w:fldChar w:fldCharType="begin"/>
        </w:r>
        <w:r w:rsidR="004B3EA2">
          <w:rPr>
            <w:webHidden/>
          </w:rPr>
          <w:instrText xml:space="preserve"> PAGEREF _Toc69305695 \h </w:instrText>
        </w:r>
        <w:r w:rsidR="004B3EA2">
          <w:rPr>
            <w:webHidden/>
          </w:rPr>
        </w:r>
        <w:r w:rsidR="004B3EA2">
          <w:rPr>
            <w:webHidden/>
          </w:rPr>
          <w:fldChar w:fldCharType="separate"/>
        </w:r>
        <w:r w:rsidR="004B3EA2">
          <w:rPr>
            <w:webHidden/>
          </w:rPr>
          <w:t>123</w:t>
        </w:r>
        <w:r w:rsidR="004B3EA2">
          <w:rPr>
            <w:webHidden/>
          </w:rPr>
          <w:fldChar w:fldCharType="end"/>
        </w:r>
      </w:hyperlink>
    </w:p>
    <w:p w14:paraId="350699CE" w14:textId="47713F6E" w:rsidR="004B3EA2" w:rsidRDefault="00003BA5">
      <w:pPr>
        <w:pStyle w:val="TableofFigures"/>
        <w:rPr>
          <w:rFonts w:asciiTheme="minorHAnsi" w:eastAsiaTheme="minorEastAsia" w:hAnsiTheme="minorHAnsi" w:cstheme="minorBidi"/>
        </w:rPr>
      </w:pPr>
      <w:hyperlink w:anchor="_Toc69305696" w:history="1">
        <w:r w:rsidR="004B3EA2" w:rsidRPr="00102C74">
          <w:rPr>
            <w:rStyle w:val="Hyperlink"/>
          </w:rPr>
          <w:t>Table 55</w:t>
        </w:r>
        <w:r w:rsidR="004B3EA2">
          <w:rPr>
            <w:rFonts w:asciiTheme="minorHAnsi" w:eastAsiaTheme="minorEastAsia" w:hAnsiTheme="minorHAnsi" w:cstheme="minorBidi"/>
          </w:rPr>
          <w:tab/>
        </w:r>
        <w:r w:rsidR="004B3EA2" w:rsidRPr="00102C74">
          <w:rPr>
            <w:rStyle w:val="Hyperlink"/>
          </w:rPr>
          <w:t>Scenario analyses, Ig versus PE, alternative cost per g of Ig and alternative maintenance dose</w:t>
        </w:r>
        <w:r w:rsidR="004B3EA2">
          <w:rPr>
            <w:webHidden/>
          </w:rPr>
          <w:tab/>
        </w:r>
        <w:r w:rsidR="004B3EA2">
          <w:rPr>
            <w:webHidden/>
          </w:rPr>
          <w:fldChar w:fldCharType="begin"/>
        </w:r>
        <w:r w:rsidR="004B3EA2">
          <w:rPr>
            <w:webHidden/>
          </w:rPr>
          <w:instrText xml:space="preserve"> PAGEREF _Toc69305696 \h </w:instrText>
        </w:r>
        <w:r w:rsidR="004B3EA2">
          <w:rPr>
            <w:webHidden/>
          </w:rPr>
        </w:r>
        <w:r w:rsidR="004B3EA2">
          <w:rPr>
            <w:webHidden/>
          </w:rPr>
          <w:fldChar w:fldCharType="separate"/>
        </w:r>
        <w:r w:rsidR="004B3EA2">
          <w:rPr>
            <w:webHidden/>
          </w:rPr>
          <w:t>123</w:t>
        </w:r>
        <w:r w:rsidR="004B3EA2">
          <w:rPr>
            <w:webHidden/>
          </w:rPr>
          <w:fldChar w:fldCharType="end"/>
        </w:r>
      </w:hyperlink>
    </w:p>
    <w:p w14:paraId="5947388C" w14:textId="11669637" w:rsidR="004B3EA2" w:rsidRDefault="00003BA5">
      <w:pPr>
        <w:pStyle w:val="TableofFigures"/>
        <w:rPr>
          <w:rFonts w:asciiTheme="minorHAnsi" w:eastAsiaTheme="minorEastAsia" w:hAnsiTheme="minorHAnsi" w:cstheme="minorBidi"/>
        </w:rPr>
      </w:pPr>
      <w:hyperlink w:anchor="_Toc69305697" w:history="1">
        <w:r w:rsidR="004B3EA2" w:rsidRPr="00102C74">
          <w:rPr>
            <w:rStyle w:val="Hyperlink"/>
          </w:rPr>
          <w:t>Table 56</w:t>
        </w:r>
        <w:r w:rsidR="004B3EA2">
          <w:rPr>
            <w:rFonts w:asciiTheme="minorHAnsi" w:eastAsiaTheme="minorEastAsia" w:hAnsiTheme="minorHAnsi" w:cstheme="minorBidi"/>
          </w:rPr>
          <w:tab/>
        </w:r>
        <w:r w:rsidR="004B3EA2" w:rsidRPr="00102C74">
          <w:rPr>
            <w:rStyle w:val="Hyperlink"/>
          </w:rPr>
          <w:t>Results of the stepped economic analysis: Ig vs best supportive care</w:t>
        </w:r>
        <w:r w:rsidR="004B3EA2">
          <w:rPr>
            <w:webHidden/>
          </w:rPr>
          <w:tab/>
        </w:r>
        <w:r w:rsidR="004B3EA2">
          <w:rPr>
            <w:webHidden/>
          </w:rPr>
          <w:fldChar w:fldCharType="begin"/>
        </w:r>
        <w:r w:rsidR="004B3EA2">
          <w:rPr>
            <w:webHidden/>
          </w:rPr>
          <w:instrText xml:space="preserve"> PAGEREF _Toc69305697 \h </w:instrText>
        </w:r>
        <w:r w:rsidR="004B3EA2">
          <w:rPr>
            <w:webHidden/>
          </w:rPr>
        </w:r>
        <w:r w:rsidR="004B3EA2">
          <w:rPr>
            <w:webHidden/>
          </w:rPr>
          <w:fldChar w:fldCharType="separate"/>
        </w:r>
        <w:r w:rsidR="004B3EA2">
          <w:rPr>
            <w:webHidden/>
          </w:rPr>
          <w:t>124</w:t>
        </w:r>
        <w:r w:rsidR="004B3EA2">
          <w:rPr>
            <w:webHidden/>
          </w:rPr>
          <w:fldChar w:fldCharType="end"/>
        </w:r>
      </w:hyperlink>
    </w:p>
    <w:p w14:paraId="1C51277E" w14:textId="06EADF56" w:rsidR="004B3EA2" w:rsidRDefault="00003BA5">
      <w:pPr>
        <w:pStyle w:val="TableofFigures"/>
        <w:rPr>
          <w:rFonts w:asciiTheme="minorHAnsi" w:eastAsiaTheme="minorEastAsia" w:hAnsiTheme="minorHAnsi" w:cstheme="minorBidi"/>
        </w:rPr>
      </w:pPr>
      <w:hyperlink w:anchor="_Toc69305698" w:history="1">
        <w:r w:rsidR="004B3EA2" w:rsidRPr="00102C74">
          <w:rPr>
            <w:rStyle w:val="Hyperlink"/>
          </w:rPr>
          <w:t>Table 57</w:t>
        </w:r>
        <w:r w:rsidR="004B3EA2">
          <w:rPr>
            <w:rFonts w:asciiTheme="minorHAnsi" w:eastAsiaTheme="minorEastAsia" w:hAnsiTheme="minorHAnsi" w:cstheme="minorBidi"/>
          </w:rPr>
          <w:tab/>
        </w:r>
        <w:r w:rsidR="004B3EA2" w:rsidRPr="00102C74">
          <w:rPr>
            <w:rStyle w:val="Hyperlink"/>
          </w:rPr>
          <w:t>Disaggregated costs, Ig vs best supportive care</w:t>
        </w:r>
        <w:r w:rsidR="004B3EA2">
          <w:rPr>
            <w:webHidden/>
          </w:rPr>
          <w:tab/>
        </w:r>
        <w:r w:rsidR="004B3EA2">
          <w:rPr>
            <w:webHidden/>
          </w:rPr>
          <w:fldChar w:fldCharType="begin"/>
        </w:r>
        <w:r w:rsidR="004B3EA2">
          <w:rPr>
            <w:webHidden/>
          </w:rPr>
          <w:instrText xml:space="preserve"> PAGEREF _Toc69305698 \h </w:instrText>
        </w:r>
        <w:r w:rsidR="004B3EA2">
          <w:rPr>
            <w:webHidden/>
          </w:rPr>
        </w:r>
        <w:r w:rsidR="004B3EA2">
          <w:rPr>
            <w:webHidden/>
          </w:rPr>
          <w:fldChar w:fldCharType="separate"/>
        </w:r>
        <w:r w:rsidR="004B3EA2">
          <w:rPr>
            <w:webHidden/>
          </w:rPr>
          <w:t>125</w:t>
        </w:r>
        <w:r w:rsidR="004B3EA2">
          <w:rPr>
            <w:webHidden/>
          </w:rPr>
          <w:fldChar w:fldCharType="end"/>
        </w:r>
      </w:hyperlink>
    </w:p>
    <w:p w14:paraId="7064D9A6" w14:textId="5612F3C0" w:rsidR="004B3EA2" w:rsidRDefault="00003BA5">
      <w:pPr>
        <w:pStyle w:val="TableofFigures"/>
        <w:rPr>
          <w:rFonts w:asciiTheme="minorHAnsi" w:eastAsiaTheme="minorEastAsia" w:hAnsiTheme="minorHAnsi" w:cstheme="minorBidi"/>
        </w:rPr>
      </w:pPr>
      <w:hyperlink w:anchor="_Toc69305699" w:history="1">
        <w:r w:rsidR="004B3EA2" w:rsidRPr="00102C74">
          <w:rPr>
            <w:rStyle w:val="Hyperlink"/>
          </w:rPr>
          <w:t>Table 58</w:t>
        </w:r>
        <w:r w:rsidR="004B3EA2">
          <w:rPr>
            <w:rFonts w:asciiTheme="minorHAnsi" w:eastAsiaTheme="minorEastAsia" w:hAnsiTheme="minorHAnsi" w:cstheme="minorBidi"/>
          </w:rPr>
          <w:tab/>
        </w:r>
        <w:r w:rsidR="004B3EA2" w:rsidRPr="00102C74">
          <w:rPr>
            <w:rStyle w:val="Hyperlink"/>
          </w:rPr>
          <w:t>Disaggregated QALYs, Ig vs best supportive care</w:t>
        </w:r>
        <w:r w:rsidR="004B3EA2">
          <w:rPr>
            <w:webHidden/>
          </w:rPr>
          <w:tab/>
        </w:r>
        <w:r w:rsidR="004B3EA2">
          <w:rPr>
            <w:webHidden/>
          </w:rPr>
          <w:fldChar w:fldCharType="begin"/>
        </w:r>
        <w:r w:rsidR="004B3EA2">
          <w:rPr>
            <w:webHidden/>
          </w:rPr>
          <w:instrText xml:space="preserve"> PAGEREF _Toc69305699 \h </w:instrText>
        </w:r>
        <w:r w:rsidR="004B3EA2">
          <w:rPr>
            <w:webHidden/>
          </w:rPr>
        </w:r>
        <w:r w:rsidR="004B3EA2">
          <w:rPr>
            <w:webHidden/>
          </w:rPr>
          <w:fldChar w:fldCharType="separate"/>
        </w:r>
        <w:r w:rsidR="004B3EA2">
          <w:rPr>
            <w:webHidden/>
          </w:rPr>
          <w:t>125</w:t>
        </w:r>
        <w:r w:rsidR="004B3EA2">
          <w:rPr>
            <w:webHidden/>
          </w:rPr>
          <w:fldChar w:fldCharType="end"/>
        </w:r>
      </w:hyperlink>
    </w:p>
    <w:p w14:paraId="67FE9D14" w14:textId="723F0CE9" w:rsidR="004B3EA2" w:rsidRDefault="00003BA5">
      <w:pPr>
        <w:pStyle w:val="TableofFigures"/>
        <w:rPr>
          <w:rFonts w:asciiTheme="minorHAnsi" w:eastAsiaTheme="minorEastAsia" w:hAnsiTheme="minorHAnsi" w:cstheme="minorBidi"/>
        </w:rPr>
      </w:pPr>
      <w:hyperlink w:anchor="_Toc69305700" w:history="1">
        <w:r w:rsidR="004B3EA2" w:rsidRPr="00102C74">
          <w:rPr>
            <w:rStyle w:val="Hyperlink"/>
          </w:rPr>
          <w:t>Table 59</w:t>
        </w:r>
        <w:r w:rsidR="004B3EA2">
          <w:rPr>
            <w:rFonts w:asciiTheme="minorHAnsi" w:eastAsiaTheme="minorEastAsia" w:hAnsiTheme="minorHAnsi" w:cstheme="minorBidi"/>
          </w:rPr>
          <w:tab/>
        </w:r>
        <w:r w:rsidR="004B3EA2" w:rsidRPr="00102C74">
          <w:rPr>
            <w:rStyle w:val="Hyperlink"/>
          </w:rPr>
          <w:t>Incremental cost-effectiveness ratios Ig vs best supportive care</w:t>
        </w:r>
        <w:r w:rsidR="004B3EA2">
          <w:rPr>
            <w:webHidden/>
          </w:rPr>
          <w:tab/>
        </w:r>
        <w:r w:rsidR="004B3EA2">
          <w:rPr>
            <w:webHidden/>
          </w:rPr>
          <w:fldChar w:fldCharType="begin"/>
        </w:r>
        <w:r w:rsidR="004B3EA2">
          <w:rPr>
            <w:webHidden/>
          </w:rPr>
          <w:instrText xml:space="preserve"> PAGEREF _Toc69305700 \h </w:instrText>
        </w:r>
        <w:r w:rsidR="004B3EA2">
          <w:rPr>
            <w:webHidden/>
          </w:rPr>
        </w:r>
        <w:r w:rsidR="004B3EA2">
          <w:rPr>
            <w:webHidden/>
          </w:rPr>
          <w:fldChar w:fldCharType="separate"/>
        </w:r>
        <w:r w:rsidR="004B3EA2">
          <w:rPr>
            <w:webHidden/>
          </w:rPr>
          <w:t>125</w:t>
        </w:r>
        <w:r w:rsidR="004B3EA2">
          <w:rPr>
            <w:webHidden/>
          </w:rPr>
          <w:fldChar w:fldCharType="end"/>
        </w:r>
      </w:hyperlink>
    </w:p>
    <w:p w14:paraId="2DDCF823" w14:textId="46794A4F" w:rsidR="004B3EA2" w:rsidRDefault="00003BA5">
      <w:pPr>
        <w:pStyle w:val="TableofFigures"/>
        <w:rPr>
          <w:rFonts w:asciiTheme="minorHAnsi" w:eastAsiaTheme="minorEastAsia" w:hAnsiTheme="minorHAnsi" w:cstheme="minorBidi"/>
        </w:rPr>
      </w:pPr>
      <w:hyperlink w:anchor="_Toc69305701" w:history="1">
        <w:r w:rsidR="004B3EA2" w:rsidRPr="00102C74">
          <w:rPr>
            <w:rStyle w:val="Hyperlink"/>
          </w:rPr>
          <w:t>Table 60</w:t>
        </w:r>
        <w:r w:rsidR="004B3EA2">
          <w:rPr>
            <w:rFonts w:asciiTheme="minorHAnsi" w:eastAsiaTheme="minorEastAsia" w:hAnsiTheme="minorHAnsi" w:cstheme="minorBidi"/>
          </w:rPr>
          <w:tab/>
        </w:r>
        <w:r w:rsidR="004B3EA2" w:rsidRPr="00102C74">
          <w:rPr>
            <w:rStyle w:val="Hyperlink"/>
          </w:rPr>
          <w:t>Scenario analyses, Ig vs BSC, alternative cost per g of Ig and alternative maintenance dose</w:t>
        </w:r>
        <w:r w:rsidR="004B3EA2">
          <w:rPr>
            <w:webHidden/>
          </w:rPr>
          <w:tab/>
        </w:r>
        <w:r w:rsidR="004B3EA2">
          <w:rPr>
            <w:webHidden/>
          </w:rPr>
          <w:fldChar w:fldCharType="begin"/>
        </w:r>
        <w:r w:rsidR="004B3EA2">
          <w:rPr>
            <w:webHidden/>
          </w:rPr>
          <w:instrText xml:space="preserve"> PAGEREF _Toc69305701 \h </w:instrText>
        </w:r>
        <w:r w:rsidR="004B3EA2">
          <w:rPr>
            <w:webHidden/>
          </w:rPr>
        </w:r>
        <w:r w:rsidR="004B3EA2">
          <w:rPr>
            <w:webHidden/>
          </w:rPr>
          <w:fldChar w:fldCharType="separate"/>
        </w:r>
        <w:r w:rsidR="004B3EA2">
          <w:rPr>
            <w:webHidden/>
          </w:rPr>
          <w:t>125</w:t>
        </w:r>
        <w:r w:rsidR="004B3EA2">
          <w:rPr>
            <w:webHidden/>
          </w:rPr>
          <w:fldChar w:fldCharType="end"/>
        </w:r>
      </w:hyperlink>
    </w:p>
    <w:p w14:paraId="11281176" w14:textId="1667164C" w:rsidR="004B3EA2" w:rsidRDefault="00003BA5">
      <w:pPr>
        <w:pStyle w:val="TableofFigures"/>
        <w:rPr>
          <w:rFonts w:asciiTheme="minorHAnsi" w:eastAsiaTheme="minorEastAsia" w:hAnsiTheme="minorHAnsi" w:cstheme="minorBidi"/>
        </w:rPr>
      </w:pPr>
      <w:hyperlink w:anchor="_Toc69305702" w:history="1">
        <w:r w:rsidR="004B3EA2" w:rsidRPr="00102C74">
          <w:rPr>
            <w:rStyle w:val="Hyperlink"/>
          </w:rPr>
          <w:t>Table 61</w:t>
        </w:r>
        <w:r w:rsidR="004B3EA2">
          <w:rPr>
            <w:rFonts w:asciiTheme="minorHAnsi" w:eastAsiaTheme="minorEastAsia" w:hAnsiTheme="minorHAnsi" w:cstheme="minorBidi"/>
          </w:rPr>
          <w:tab/>
        </w:r>
        <w:r w:rsidR="004B3EA2" w:rsidRPr="00102C74">
          <w:rPr>
            <w:rStyle w:val="Hyperlink"/>
          </w:rPr>
          <w:t>Sensitivity analyses, administration costs per Ig infusion</w:t>
        </w:r>
        <w:r w:rsidR="004B3EA2">
          <w:rPr>
            <w:webHidden/>
          </w:rPr>
          <w:tab/>
        </w:r>
        <w:r w:rsidR="004B3EA2">
          <w:rPr>
            <w:webHidden/>
          </w:rPr>
          <w:fldChar w:fldCharType="begin"/>
        </w:r>
        <w:r w:rsidR="004B3EA2">
          <w:rPr>
            <w:webHidden/>
          </w:rPr>
          <w:instrText xml:space="preserve"> PAGEREF _Toc69305702 \h </w:instrText>
        </w:r>
        <w:r w:rsidR="004B3EA2">
          <w:rPr>
            <w:webHidden/>
          </w:rPr>
        </w:r>
        <w:r w:rsidR="004B3EA2">
          <w:rPr>
            <w:webHidden/>
          </w:rPr>
          <w:fldChar w:fldCharType="separate"/>
        </w:r>
        <w:r w:rsidR="004B3EA2">
          <w:rPr>
            <w:webHidden/>
          </w:rPr>
          <w:t>126</w:t>
        </w:r>
        <w:r w:rsidR="004B3EA2">
          <w:rPr>
            <w:webHidden/>
          </w:rPr>
          <w:fldChar w:fldCharType="end"/>
        </w:r>
      </w:hyperlink>
    </w:p>
    <w:p w14:paraId="49329EEE" w14:textId="402EA4F4" w:rsidR="004B3EA2" w:rsidRDefault="00003BA5">
      <w:pPr>
        <w:pStyle w:val="TableofFigures"/>
        <w:rPr>
          <w:rFonts w:asciiTheme="minorHAnsi" w:eastAsiaTheme="minorEastAsia" w:hAnsiTheme="minorHAnsi" w:cstheme="minorBidi"/>
        </w:rPr>
      </w:pPr>
      <w:hyperlink w:anchor="_Toc69305703" w:history="1">
        <w:r w:rsidR="004B3EA2" w:rsidRPr="00102C74">
          <w:rPr>
            <w:rStyle w:val="Hyperlink"/>
          </w:rPr>
          <w:t>Table 62</w:t>
        </w:r>
        <w:r w:rsidR="004B3EA2">
          <w:rPr>
            <w:rFonts w:asciiTheme="minorHAnsi" w:eastAsiaTheme="minorEastAsia" w:hAnsiTheme="minorHAnsi" w:cstheme="minorBidi"/>
          </w:rPr>
          <w:tab/>
        </w:r>
        <w:r w:rsidR="004B3EA2" w:rsidRPr="00102C74">
          <w:rPr>
            <w:rStyle w:val="Hyperlink"/>
          </w:rPr>
          <w:t>Key sensitivity analyses, Ig versus corticosteroids</w:t>
        </w:r>
        <w:r w:rsidR="004B3EA2">
          <w:rPr>
            <w:webHidden/>
          </w:rPr>
          <w:tab/>
        </w:r>
        <w:r w:rsidR="004B3EA2">
          <w:rPr>
            <w:webHidden/>
          </w:rPr>
          <w:fldChar w:fldCharType="begin"/>
        </w:r>
        <w:r w:rsidR="004B3EA2">
          <w:rPr>
            <w:webHidden/>
          </w:rPr>
          <w:instrText xml:space="preserve"> PAGEREF _Toc69305703 \h </w:instrText>
        </w:r>
        <w:r w:rsidR="004B3EA2">
          <w:rPr>
            <w:webHidden/>
          </w:rPr>
        </w:r>
        <w:r w:rsidR="004B3EA2">
          <w:rPr>
            <w:webHidden/>
          </w:rPr>
          <w:fldChar w:fldCharType="separate"/>
        </w:r>
        <w:r w:rsidR="004B3EA2">
          <w:rPr>
            <w:webHidden/>
          </w:rPr>
          <w:t>127</w:t>
        </w:r>
        <w:r w:rsidR="004B3EA2">
          <w:rPr>
            <w:webHidden/>
          </w:rPr>
          <w:fldChar w:fldCharType="end"/>
        </w:r>
      </w:hyperlink>
    </w:p>
    <w:p w14:paraId="3607D9BE" w14:textId="46AD644E" w:rsidR="004B3EA2" w:rsidRDefault="00003BA5">
      <w:pPr>
        <w:pStyle w:val="TableofFigures"/>
        <w:rPr>
          <w:rFonts w:asciiTheme="minorHAnsi" w:eastAsiaTheme="minorEastAsia" w:hAnsiTheme="minorHAnsi" w:cstheme="minorBidi"/>
        </w:rPr>
      </w:pPr>
      <w:hyperlink w:anchor="_Toc69305704" w:history="1">
        <w:r w:rsidR="004B3EA2" w:rsidRPr="00102C74">
          <w:rPr>
            <w:rStyle w:val="Hyperlink"/>
          </w:rPr>
          <w:t>Table 63</w:t>
        </w:r>
        <w:r w:rsidR="004B3EA2">
          <w:rPr>
            <w:rFonts w:asciiTheme="minorHAnsi" w:eastAsiaTheme="minorEastAsia" w:hAnsiTheme="minorHAnsi" w:cstheme="minorBidi"/>
          </w:rPr>
          <w:tab/>
        </w:r>
        <w:r w:rsidR="004B3EA2" w:rsidRPr="00102C74">
          <w:rPr>
            <w:rStyle w:val="Hyperlink"/>
          </w:rPr>
          <w:t>Key sensitivity analyses, Ig versus plasma exchange</w:t>
        </w:r>
        <w:r w:rsidR="004B3EA2">
          <w:rPr>
            <w:webHidden/>
          </w:rPr>
          <w:tab/>
        </w:r>
        <w:r w:rsidR="004B3EA2">
          <w:rPr>
            <w:webHidden/>
          </w:rPr>
          <w:fldChar w:fldCharType="begin"/>
        </w:r>
        <w:r w:rsidR="004B3EA2">
          <w:rPr>
            <w:webHidden/>
          </w:rPr>
          <w:instrText xml:space="preserve"> PAGEREF _Toc69305704 \h </w:instrText>
        </w:r>
        <w:r w:rsidR="004B3EA2">
          <w:rPr>
            <w:webHidden/>
          </w:rPr>
        </w:r>
        <w:r w:rsidR="004B3EA2">
          <w:rPr>
            <w:webHidden/>
          </w:rPr>
          <w:fldChar w:fldCharType="separate"/>
        </w:r>
        <w:r w:rsidR="004B3EA2">
          <w:rPr>
            <w:webHidden/>
          </w:rPr>
          <w:t>128</w:t>
        </w:r>
        <w:r w:rsidR="004B3EA2">
          <w:rPr>
            <w:webHidden/>
          </w:rPr>
          <w:fldChar w:fldCharType="end"/>
        </w:r>
      </w:hyperlink>
    </w:p>
    <w:p w14:paraId="66391A39" w14:textId="331663BC" w:rsidR="004B3EA2" w:rsidRDefault="00003BA5">
      <w:pPr>
        <w:pStyle w:val="TableofFigures"/>
        <w:rPr>
          <w:rFonts w:asciiTheme="minorHAnsi" w:eastAsiaTheme="minorEastAsia" w:hAnsiTheme="minorHAnsi" w:cstheme="minorBidi"/>
        </w:rPr>
      </w:pPr>
      <w:hyperlink w:anchor="_Toc69305705" w:history="1">
        <w:r w:rsidR="004B3EA2" w:rsidRPr="00102C74">
          <w:rPr>
            <w:rStyle w:val="Hyperlink"/>
          </w:rPr>
          <w:t>Table 64</w:t>
        </w:r>
        <w:r w:rsidR="004B3EA2">
          <w:rPr>
            <w:rFonts w:asciiTheme="minorHAnsi" w:eastAsiaTheme="minorEastAsia" w:hAnsiTheme="minorHAnsi" w:cstheme="minorBidi"/>
          </w:rPr>
          <w:tab/>
        </w:r>
        <w:r w:rsidR="004B3EA2" w:rsidRPr="00102C74">
          <w:rPr>
            <w:rStyle w:val="Hyperlink"/>
          </w:rPr>
          <w:t>Number of patients and grams issued for patients with CIDP who received Ig, 2011-12 to 2017-18</w:t>
        </w:r>
        <w:r w:rsidR="004B3EA2">
          <w:rPr>
            <w:webHidden/>
          </w:rPr>
          <w:tab/>
        </w:r>
        <w:r w:rsidR="004B3EA2">
          <w:rPr>
            <w:webHidden/>
          </w:rPr>
          <w:fldChar w:fldCharType="begin"/>
        </w:r>
        <w:r w:rsidR="004B3EA2">
          <w:rPr>
            <w:webHidden/>
          </w:rPr>
          <w:instrText xml:space="preserve"> PAGEREF _Toc69305705 \h </w:instrText>
        </w:r>
        <w:r w:rsidR="004B3EA2">
          <w:rPr>
            <w:webHidden/>
          </w:rPr>
        </w:r>
        <w:r w:rsidR="004B3EA2">
          <w:rPr>
            <w:webHidden/>
          </w:rPr>
          <w:fldChar w:fldCharType="separate"/>
        </w:r>
        <w:r w:rsidR="004B3EA2">
          <w:rPr>
            <w:webHidden/>
          </w:rPr>
          <w:t>131</w:t>
        </w:r>
        <w:r w:rsidR="004B3EA2">
          <w:rPr>
            <w:webHidden/>
          </w:rPr>
          <w:fldChar w:fldCharType="end"/>
        </w:r>
      </w:hyperlink>
    </w:p>
    <w:p w14:paraId="37AFF27F" w14:textId="58EB3D96" w:rsidR="004B3EA2" w:rsidRDefault="00003BA5">
      <w:pPr>
        <w:pStyle w:val="TableofFigures"/>
        <w:rPr>
          <w:rFonts w:asciiTheme="minorHAnsi" w:eastAsiaTheme="minorEastAsia" w:hAnsiTheme="minorHAnsi" w:cstheme="minorBidi"/>
        </w:rPr>
      </w:pPr>
      <w:hyperlink w:anchor="_Toc69305706" w:history="1">
        <w:r w:rsidR="004B3EA2" w:rsidRPr="00102C74">
          <w:rPr>
            <w:rStyle w:val="Hyperlink"/>
          </w:rPr>
          <w:t>Table 65</w:t>
        </w:r>
        <w:r w:rsidR="004B3EA2">
          <w:rPr>
            <w:rFonts w:asciiTheme="minorHAnsi" w:eastAsiaTheme="minorEastAsia" w:hAnsiTheme="minorHAnsi" w:cstheme="minorBidi"/>
          </w:rPr>
          <w:tab/>
        </w:r>
        <w:r w:rsidR="004B3EA2" w:rsidRPr="00102C74">
          <w:rPr>
            <w:rStyle w:val="Hyperlink"/>
          </w:rPr>
          <w:t>Number of patients with CIDP projected to receive Ig, 2021–22 to 2025–26</w:t>
        </w:r>
        <w:r w:rsidR="004B3EA2">
          <w:rPr>
            <w:webHidden/>
          </w:rPr>
          <w:tab/>
        </w:r>
        <w:r w:rsidR="004B3EA2">
          <w:rPr>
            <w:webHidden/>
          </w:rPr>
          <w:fldChar w:fldCharType="begin"/>
        </w:r>
        <w:r w:rsidR="004B3EA2">
          <w:rPr>
            <w:webHidden/>
          </w:rPr>
          <w:instrText xml:space="preserve"> PAGEREF _Toc69305706 \h </w:instrText>
        </w:r>
        <w:r w:rsidR="004B3EA2">
          <w:rPr>
            <w:webHidden/>
          </w:rPr>
        </w:r>
        <w:r w:rsidR="004B3EA2">
          <w:rPr>
            <w:webHidden/>
          </w:rPr>
          <w:fldChar w:fldCharType="separate"/>
        </w:r>
        <w:r w:rsidR="004B3EA2">
          <w:rPr>
            <w:webHidden/>
          </w:rPr>
          <w:t>132</w:t>
        </w:r>
        <w:r w:rsidR="004B3EA2">
          <w:rPr>
            <w:webHidden/>
          </w:rPr>
          <w:fldChar w:fldCharType="end"/>
        </w:r>
      </w:hyperlink>
    </w:p>
    <w:p w14:paraId="73F6BA4A" w14:textId="402373DC" w:rsidR="004B3EA2" w:rsidRDefault="00003BA5">
      <w:pPr>
        <w:pStyle w:val="TableofFigures"/>
        <w:rPr>
          <w:rFonts w:asciiTheme="minorHAnsi" w:eastAsiaTheme="minorEastAsia" w:hAnsiTheme="minorHAnsi" w:cstheme="minorBidi"/>
        </w:rPr>
      </w:pPr>
      <w:hyperlink w:anchor="_Toc69305707" w:history="1">
        <w:r w:rsidR="004B3EA2" w:rsidRPr="00102C74">
          <w:rPr>
            <w:rStyle w:val="Hyperlink"/>
          </w:rPr>
          <w:t>Table 66</w:t>
        </w:r>
        <w:r w:rsidR="004B3EA2">
          <w:rPr>
            <w:rFonts w:asciiTheme="minorHAnsi" w:eastAsiaTheme="minorEastAsia" w:hAnsiTheme="minorHAnsi" w:cstheme="minorBidi"/>
          </w:rPr>
          <w:tab/>
        </w:r>
        <w:r w:rsidR="004B3EA2" w:rsidRPr="00102C74">
          <w:rPr>
            <w:rStyle w:val="Hyperlink"/>
          </w:rPr>
          <w:t>Projected number of Ig grams issued for CIDP, 2021–22 to 2025–26</w:t>
        </w:r>
        <w:r w:rsidR="004B3EA2">
          <w:rPr>
            <w:webHidden/>
          </w:rPr>
          <w:tab/>
        </w:r>
        <w:r w:rsidR="004B3EA2">
          <w:rPr>
            <w:webHidden/>
          </w:rPr>
          <w:fldChar w:fldCharType="begin"/>
        </w:r>
        <w:r w:rsidR="004B3EA2">
          <w:rPr>
            <w:webHidden/>
          </w:rPr>
          <w:instrText xml:space="preserve"> PAGEREF _Toc69305707 \h </w:instrText>
        </w:r>
        <w:r w:rsidR="004B3EA2">
          <w:rPr>
            <w:webHidden/>
          </w:rPr>
        </w:r>
        <w:r w:rsidR="004B3EA2">
          <w:rPr>
            <w:webHidden/>
          </w:rPr>
          <w:fldChar w:fldCharType="separate"/>
        </w:r>
        <w:r w:rsidR="004B3EA2">
          <w:rPr>
            <w:webHidden/>
          </w:rPr>
          <w:t>134</w:t>
        </w:r>
        <w:r w:rsidR="004B3EA2">
          <w:rPr>
            <w:webHidden/>
          </w:rPr>
          <w:fldChar w:fldCharType="end"/>
        </w:r>
      </w:hyperlink>
    </w:p>
    <w:p w14:paraId="5B55A603" w14:textId="69909410" w:rsidR="004B3EA2" w:rsidRDefault="00003BA5">
      <w:pPr>
        <w:pStyle w:val="TableofFigures"/>
        <w:rPr>
          <w:rFonts w:asciiTheme="minorHAnsi" w:eastAsiaTheme="minorEastAsia" w:hAnsiTheme="minorHAnsi" w:cstheme="minorBidi"/>
        </w:rPr>
      </w:pPr>
      <w:hyperlink w:anchor="_Toc69305708" w:history="1">
        <w:r w:rsidR="004B3EA2" w:rsidRPr="00102C74">
          <w:rPr>
            <w:rStyle w:val="Hyperlink"/>
          </w:rPr>
          <w:t>Table 67</w:t>
        </w:r>
        <w:r w:rsidR="004B3EA2">
          <w:rPr>
            <w:rFonts w:asciiTheme="minorHAnsi" w:eastAsiaTheme="minorEastAsia" w:hAnsiTheme="minorHAnsi" w:cstheme="minorBidi"/>
          </w:rPr>
          <w:tab/>
        </w:r>
        <w:r w:rsidR="004B3EA2" w:rsidRPr="00102C74">
          <w:rPr>
            <w:rStyle w:val="Hyperlink"/>
          </w:rPr>
          <w:t>Average Ig use (grams) per patient per year</w:t>
        </w:r>
        <w:r w:rsidR="004B3EA2">
          <w:rPr>
            <w:webHidden/>
          </w:rPr>
          <w:tab/>
        </w:r>
        <w:r w:rsidR="004B3EA2">
          <w:rPr>
            <w:webHidden/>
          </w:rPr>
          <w:fldChar w:fldCharType="begin"/>
        </w:r>
        <w:r w:rsidR="004B3EA2">
          <w:rPr>
            <w:webHidden/>
          </w:rPr>
          <w:instrText xml:space="preserve"> PAGEREF _Toc69305708 \h </w:instrText>
        </w:r>
        <w:r w:rsidR="004B3EA2">
          <w:rPr>
            <w:webHidden/>
          </w:rPr>
        </w:r>
        <w:r w:rsidR="004B3EA2">
          <w:rPr>
            <w:webHidden/>
          </w:rPr>
          <w:fldChar w:fldCharType="separate"/>
        </w:r>
        <w:r w:rsidR="004B3EA2">
          <w:rPr>
            <w:webHidden/>
          </w:rPr>
          <w:t>134</w:t>
        </w:r>
        <w:r w:rsidR="004B3EA2">
          <w:rPr>
            <w:webHidden/>
          </w:rPr>
          <w:fldChar w:fldCharType="end"/>
        </w:r>
      </w:hyperlink>
    </w:p>
    <w:p w14:paraId="7FCEA81D" w14:textId="4CF13F73" w:rsidR="004B3EA2" w:rsidRDefault="00003BA5">
      <w:pPr>
        <w:pStyle w:val="TableofFigures"/>
        <w:rPr>
          <w:rFonts w:asciiTheme="minorHAnsi" w:eastAsiaTheme="minorEastAsia" w:hAnsiTheme="minorHAnsi" w:cstheme="minorBidi"/>
        </w:rPr>
      </w:pPr>
      <w:hyperlink w:anchor="_Toc69305709" w:history="1">
        <w:r w:rsidR="004B3EA2" w:rsidRPr="00102C74">
          <w:rPr>
            <w:rStyle w:val="Hyperlink"/>
          </w:rPr>
          <w:t>Table 68</w:t>
        </w:r>
        <w:r w:rsidR="004B3EA2">
          <w:rPr>
            <w:rFonts w:asciiTheme="minorHAnsi" w:eastAsiaTheme="minorEastAsia" w:hAnsiTheme="minorHAnsi" w:cstheme="minorBidi"/>
          </w:rPr>
          <w:tab/>
        </w:r>
        <w:r w:rsidR="004B3EA2" w:rsidRPr="00102C74">
          <w:rPr>
            <w:rStyle w:val="Hyperlink"/>
          </w:rPr>
          <w:t>Projected cost of Ig for CIDP, 2021–22 to 2025–26</w:t>
        </w:r>
        <w:r w:rsidR="004B3EA2">
          <w:rPr>
            <w:webHidden/>
          </w:rPr>
          <w:tab/>
        </w:r>
        <w:r w:rsidR="004B3EA2">
          <w:rPr>
            <w:webHidden/>
          </w:rPr>
          <w:fldChar w:fldCharType="begin"/>
        </w:r>
        <w:r w:rsidR="004B3EA2">
          <w:rPr>
            <w:webHidden/>
          </w:rPr>
          <w:instrText xml:space="preserve"> PAGEREF _Toc69305709 \h </w:instrText>
        </w:r>
        <w:r w:rsidR="004B3EA2">
          <w:rPr>
            <w:webHidden/>
          </w:rPr>
        </w:r>
        <w:r w:rsidR="004B3EA2">
          <w:rPr>
            <w:webHidden/>
          </w:rPr>
          <w:fldChar w:fldCharType="separate"/>
        </w:r>
        <w:r w:rsidR="004B3EA2">
          <w:rPr>
            <w:webHidden/>
          </w:rPr>
          <w:t>135</w:t>
        </w:r>
        <w:r w:rsidR="004B3EA2">
          <w:rPr>
            <w:webHidden/>
          </w:rPr>
          <w:fldChar w:fldCharType="end"/>
        </w:r>
      </w:hyperlink>
    </w:p>
    <w:p w14:paraId="3614575F" w14:textId="425B3AA9" w:rsidR="004B3EA2" w:rsidRDefault="00003BA5">
      <w:pPr>
        <w:pStyle w:val="TableofFigures"/>
        <w:rPr>
          <w:rFonts w:asciiTheme="minorHAnsi" w:eastAsiaTheme="minorEastAsia" w:hAnsiTheme="minorHAnsi" w:cstheme="minorBidi"/>
        </w:rPr>
      </w:pPr>
      <w:hyperlink w:anchor="_Toc69305710" w:history="1">
        <w:r w:rsidR="004B3EA2" w:rsidRPr="00102C74">
          <w:rPr>
            <w:rStyle w:val="Hyperlink"/>
          </w:rPr>
          <w:t>Table 69</w:t>
        </w:r>
        <w:r w:rsidR="004B3EA2">
          <w:rPr>
            <w:rFonts w:asciiTheme="minorHAnsi" w:eastAsiaTheme="minorEastAsia" w:hAnsiTheme="minorHAnsi" w:cstheme="minorBidi"/>
          </w:rPr>
          <w:tab/>
        </w:r>
        <w:r w:rsidR="004B3EA2" w:rsidRPr="00102C74">
          <w:rPr>
            <w:rStyle w:val="Hyperlink"/>
          </w:rPr>
          <w:t>Resource use and costs associated with SCIg administration per patient per year</w:t>
        </w:r>
        <w:r w:rsidR="004B3EA2">
          <w:rPr>
            <w:webHidden/>
          </w:rPr>
          <w:tab/>
        </w:r>
        <w:r w:rsidR="004B3EA2">
          <w:rPr>
            <w:webHidden/>
          </w:rPr>
          <w:fldChar w:fldCharType="begin"/>
        </w:r>
        <w:r w:rsidR="004B3EA2">
          <w:rPr>
            <w:webHidden/>
          </w:rPr>
          <w:instrText xml:space="preserve"> PAGEREF _Toc69305710 \h </w:instrText>
        </w:r>
        <w:r w:rsidR="004B3EA2">
          <w:rPr>
            <w:webHidden/>
          </w:rPr>
        </w:r>
        <w:r w:rsidR="004B3EA2">
          <w:rPr>
            <w:webHidden/>
          </w:rPr>
          <w:fldChar w:fldCharType="separate"/>
        </w:r>
        <w:r w:rsidR="004B3EA2">
          <w:rPr>
            <w:webHidden/>
          </w:rPr>
          <w:t>136</w:t>
        </w:r>
        <w:r w:rsidR="004B3EA2">
          <w:rPr>
            <w:webHidden/>
          </w:rPr>
          <w:fldChar w:fldCharType="end"/>
        </w:r>
      </w:hyperlink>
    </w:p>
    <w:p w14:paraId="4568B4A6" w14:textId="509EEAF1" w:rsidR="004B3EA2" w:rsidRDefault="00003BA5">
      <w:pPr>
        <w:pStyle w:val="TableofFigures"/>
        <w:rPr>
          <w:rFonts w:asciiTheme="minorHAnsi" w:eastAsiaTheme="minorEastAsia" w:hAnsiTheme="minorHAnsi" w:cstheme="minorBidi"/>
        </w:rPr>
      </w:pPr>
      <w:hyperlink w:anchor="_Toc69305711" w:history="1">
        <w:r w:rsidR="004B3EA2" w:rsidRPr="00102C74">
          <w:rPr>
            <w:rStyle w:val="Hyperlink"/>
          </w:rPr>
          <w:t>Table 70</w:t>
        </w:r>
        <w:r w:rsidR="004B3EA2">
          <w:rPr>
            <w:rFonts w:asciiTheme="minorHAnsi" w:eastAsiaTheme="minorEastAsia" w:hAnsiTheme="minorHAnsi" w:cstheme="minorBidi"/>
          </w:rPr>
          <w:tab/>
        </w:r>
        <w:r w:rsidR="004B3EA2" w:rsidRPr="00102C74">
          <w:rPr>
            <w:rStyle w:val="Hyperlink"/>
          </w:rPr>
          <w:t>Average number of treatment episodes per year</w:t>
        </w:r>
        <w:r w:rsidR="004B3EA2">
          <w:rPr>
            <w:webHidden/>
          </w:rPr>
          <w:tab/>
        </w:r>
        <w:r w:rsidR="004B3EA2">
          <w:rPr>
            <w:webHidden/>
          </w:rPr>
          <w:fldChar w:fldCharType="begin"/>
        </w:r>
        <w:r w:rsidR="004B3EA2">
          <w:rPr>
            <w:webHidden/>
          </w:rPr>
          <w:instrText xml:space="preserve"> PAGEREF _Toc69305711 \h </w:instrText>
        </w:r>
        <w:r w:rsidR="004B3EA2">
          <w:rPr>
            <w:webHidden/>
          </w:rPr>
        </w:r>
        <w:r w:rsidR="004B3EA2">
          <w:rPr>
            <w:webHidden/>
          </w:rPr>
          <w:fldChar w:fldCharType="separate"/>
        </w:r>
        <w:r w:rsidR="004B3EA2">
          <w:rPr>
            <w:webHidden/>
          </w:rPr>
          <w:t>137</w:t>
        </w:r>
        <w:r w:rsidR="004B3EA2">
          <w:rPr>
            <w:webHidden/>
          </w:rPr>
          <w:fldChar w:fldCharType="end"/>
        </w:r>
      </w:hyperlink>
    </w:p>
    <w:p w14:paraId="5CE715AD" w14:textId="30E266E0" w:rsidR="004B3EA2" w:rsidRDefault="00003BA5">
      <w:pPr>
        <w:pStyle w:val="TableofFigures"/>
        <w:rPr>
          <w:rFonts w:asciiTheme="minorHAnsi" w:eastAsiaTheme="minorEastAsia" w:hAnsiTheme="minorHAnsi" w:cstheme="minorBidi"/>
        </w:rPr>
      </w:pPr>
      <w:hyperlink w:anchor="_Toc69305712" w:history="1">
        <w:r w:rsidR="004B3EA2" w:rsidRPr="00102C74">
          <w:rPr>
            <w:rStyle w:val="Hyperlink"/>
          </w:rPr>
          <w:t>Table 71</w:t>
        </w:r>
        <w:r w:rsidR="004B3EA2">
          <w:rPr>
            <w:rFonts w:asciiTheme="minorHAnsi" w:eastAsiaTheme="minorEastAsia" w:hAnsiTheme="minorHAnsi" w:cstheme="minorBidi"/>
          </w:rPr>
          <w:tab/>
        </w:r>
        <w:r w:rsidR="004B3EA2" w:rsidRPr="00102C74">
          <w:rPr>
            <w:rStyle w:val="Hyperlink"/>
          </w:rPr>
          <w:t>Additional costs due to Ig administration</w:t>
        </w:r>
        <w:r w:rsidR="004B3EA2">
          <w:rPr>
            <w:webHidden/>
          </w:rPr>
          <w:tab/>
        </w:r>
        <w:r w:rsidR="004B3EA2">
          <w:rPr>
            <w:webHidden/>
          </w:rPr>
          <w:fldChar w:fldCharType="begin"/>
        </w:r>
        <w:r w:rsidR="004B3EA2">
          <w:rPr>
            <w:webHidden/>
          </w:rPr>
          <w:instrText xml:space="preserve"> PAGEREF _Toc69305712 \h </w:instrText>
        </w:r>
        <w:r w:rsidR="004B3EA2">
          <w:rPr>
            <w:webHidden/>
          </w:rPr>
        </w:r>
        <w:r w:rsidR="004B3EA2">
          <w:rPr>
            <w:webHidden/>
          </w:rPr>
          <w:fldChar w:fldCharType="separate"/>
        </w:r>
        <w:r w:rsidR="004B3EA2">
          <w:rPr>
            <w:webHidden/>
          </w:rPr>
          <w:t>137</w:t>
        </w:r>
        <w:r w:rsidR="004B3EA2">
          <w:rPr>
            <w:webHidden/>
          </w:rPr>
          <w:fldChar w:fldCharType="end"/>
        </w:r>
      </w:hyperlink>
    </w:p>
    <w:p w14:paraId="283771BB" w14:textId="73BFA358" w:rsidR="004B3EA2" w:rsidRDefault="00003BA5">
      <w:pPr>
        <w:pStyle w:val="TableofFigures"/>
        <w:rPr>
          <w:rFonts w:asciiTheme="minorHAnsi" w:eastAsiaTheme="minorEastAsia" w:hAnsiTheme="minorHAnsi" w:cstheme="minorBidi"/>
        </w:rPr>
      </w:pPr>
      <w:hyperlink w:anchor="_Toc69305713" w:history="1">
        <w:r w:rsidR="004B3EA2" w:rsidRPr="00102C74">
          <w:rPr>
            <w:rStyle w:val="Hyperlink"/>
          </w:rPr>
          <w:t>Table 72</w:t>
        </w:r>
        <w:r w:rsidR="004B3EA2">
          <w:rPr>
            <w:rFonts w:asciiTheme="minorHAnsi" w:eastAsiaTheme="minorEastAsia" w:hAnsiTheme="minorHAnsi" w:cstheme="minorBidi"/>
          </w:rPr>
          <w:tab/>
        </w:r>
        <w:r w:rsidR="004B3EA2" w:rsidRPr="00102C74">
          <w:rPr>
            <w:rStyle w:val="Hyperlink"/>
          </w:rPr>
          <w:t>Net financial implications to government associated with Ig for CIDP</w:t>
        </w:r>
        <w:r w:rsidR="004B3EA2">
          <w:rPr>
            <w:webHidden/>
          </w:rPr>
          <w:tab/>
        </w:r>
        <w:r w:rsidR="004B3EA2">
          <w:rPr>
            <w:webHidden/>
          </w:rPr>
          <w:fldChar w:fldCharType="begin"/>
        </w:r>
        <w:r w:rsidR="004B3EA2">
          <w:rPr>
            <w:webHidden/>
          </w:rPr>
          <w:instrText xml:space="preserve"> PAGEREF _Toc69305713 \h </w:instrText>
        </w:r>
        <w:r w:rsidR="004B3EA2">
          <w:rPr>
            <w:webHidden/>
          </w:rPr>
        </w:r>
        <w:r w:rsidR="004B3EA2">
          <w:rPr>
            <w:webHidden/>
          </w:rPr>
          <w:fldChar w:fldCharType="separate"/>
        </w:r>
        <w:r w:rsidR="004B3EA2">
          <w:rPr>
            <w:webHidden/>
          </w:rPr>
          <w:t>138</w:t>
        </w:r>
        <w:r w:rsidR="004B3EA2">
          <w:rPr>
            <w:webHidden/>
          </w:rPr>
          <w:fldChar w:fldCharType="end"/>
        </w:r>
      </w:hyperlink>
    </w:p>
    <w:p w14:paraId="7212CB47" w14:textId="217FCF35" w:rsidR="004B3EA2" w:rsidRDefault="00003BA5">
      <w:pPr>
        <w:pStyle w:val="TableofFigures"/>
        <w:rPr>
          <w:rFonts w:asciiTheme="minorHAnsi" w:eastAsiaTheme="minorEastAsia" w:hAnsiTheme="minorHAnsi" w:cstheme="minorBidi"/>
        </w:rPr>
      </w:pPr>
      <w:hyperlink w:anchor="_Toc69305714" w:history="1">
        <w:r w:rsidR="004B3EA2" w:rsidRPr="00102C74">
          <w:rPr>
            <w:rStyle w:val="Hyperlink"/>
          </w:rPr>
          <w:t>Table 73</w:t>
        </w:r>
        <w:r w:rsidR="004B3EA2">
          <w:rPr>
            <w:rFonts w:asciiTheme="minorHAnsi" w:eastAsiaTheme="minorEastAsia" w:hAnsiTheme="minorHAnsi" w:cstheme="minorBidi"/>
          </w:rPr>
          <w:tab/>
        </w:r>
        <w:r w:rsidR="004B3EA2" w:rsidRPr="00102C74">
          <w:rPr>
            <w:rStyle w:val="Hyperlink"/>
          </w:rPr>
          <w:t>Sensitivity analyses around the financial implication estimates</w:t>
        </w:r>
        <w:r w:rsidR="004B3EA2">
          <w:rPr>
            <w:webHidden/>
          </w:rPr>
          <w:tab/>
        </w:r>
        <w:r w:rsidR="004B3EA2">
          <w:rPr>
            <w:webHidden/>
          </w:rPr>
          <w:fldChar w:fldCharType="begin"/>
        </w:r>
        <w:r w:rsidR="004B3EA2">
          <w:rPr>
            <w:webHidden/>
          </w:rPr>
          <w:instrText xml:space="preserve"> PAGEREF _Toc69305714 \h </w:instrText>
        </w:r>
        <w:r w:rsidR="004B3EA2">
          <w:rPr>
            <w:webHidden/>
          </w:rPr>
        </w:r>
        <w:r w:rsidR="004B3EA2">
          <w:rPr>
            <w:webHidden/>
          </w:rPr>
          <w:fldChar w:fldCharType="separate"/>
        </w:r>
        <w:r w:rsidR="004B3EA2">
          <w:rPr>
            <w:webHidden/>
          </w:rPr>
          <w:t>138</w:t>
        </w:r>
        <w:r w:rsidR="004B3EA2">
          <w:rPr>
            <w:webHidden/>
          </w:rPr>
          <w:fldChar w:fldCharType="end"/>
        </w:r>
      </w:hyperlink>
    </w:p>
    <w:p w14:paraId="560D5369" w14:textId="63A5F069" w:rsidR="004B3EA2" w:rsidRDefault="00003BA5">
      <w:pPr>
        <w:pStyle w:val="TableofFigures"/>
        <w:rPr>
          <w:rFonts w:asciiTheme="minorHAnsi" w:eastAsiaTheme="minorEastAsia" w:hAnsiTheme="minorHAnsi" w:cstheme="minorBidi"/>
        </w:rPr>
      </w:pPr>
      <w:hyperlink w:anchor="_Toc69305715" w:history="1">
        <w:r w:rsidR="004B3EA2" w:rsidRPr="00102C74">
          <w:rPr>
            <w:rStyle w:val="Hyperlink"/>
          </w:rPr>
          <w:t xml:space="preserve">Table 74 </w:t>
        </w:r>
        <w:r w:rsidR="004B3EA2">
          <w:rPr>
            <w:rFonts w:asciiTheme="minorHAnsi" w:eastAsiaTheme="minorEastAsia" w:hAnsiTheme="minorHAnsi" w:cstheme="minorBidi"/>
          </w:rPr>
          <w:tab/>
        </w:r>
        <w:r w:rsidR="004B3EA2" w:rsidRPr="00102C74">
          <w:rPr>
            <w:rStyle w:val="Hyperlink"/>
          </w:rPr>
          <w:t>Bibliographic databases used in the literature search</w:t>
        </w:r>
        <w:r w:rsidR="004B3EA2">
          <w:rPr>
            <w:webHidden/>
          </w:rPr>
          <w:tab/>
        </w:r>
        <w:r w:rsidR="004B3EA2">
          <w:rPr>
            <w:webHidden/>
          </w:rPr>
          <w:fldChar w:fldCharType="begin"/>
        </w:r>
        <w:r w:rsidR="004B3EA2">
          <w:rPr>
            <w:webHidden/>
          </w:rPr>
          <w:instrText xml:space="preserve"> PAGEREF _Toc69305715 \h </w:instrText>
        </w:r>
        <w:r w:rsidR="004B3EA2">
          <w:rPr>
            <w:webHidden/>
          </w:rPr>
        </w:r>
        <w:r w:rsidR="004B3EA2">
          <w:rPr>
            <w:webHidden/>
          </w:rPr>
          <w:fldChar w:fldCharType="separate"/>
        </w:r>
        <w:r w:rsidR="004B3EA2">
          <w:rPr>
            <w:webHidden/>
          </w:rPr>
          <w:t>141</w:t>
        </w:r>
        <w:r w:rsidR="004B3EA2">
          <w:rPr>
            <w:webHidden/>
          </w:rPr>
          <w:fldChar w:fldCharType="end"/>
        </w:r>
      </w:hyperlink>
    </w:p>
    <w:p w14:paraId="5845BD48" w14:textId="329BB913" w:rsidR="004B3EA2" w:rsidRDefault="00003BA5">
      <w:pPr>
        <w:pStyle w:val="TableofFigures"/>
        <w:rPr>
          <w:rFonts w:asciiTheme="minorHAnsi" w:eastAsiaTheme="minorEastAsia" w:hAnsiTheme="minorHAnsi" w:cstheme="minorBidi"/>
        </w:rPr>
      </w:pPr>
      <w:hyperlink w:anchor="_Toc69305716" w:history="1">
        <w:r w:rsidR="004B3EA2" w:rsidRPr="00102C74">
          <w:rPr>
            <w:rStyle w:val="Hyperlink"/>
          </w:rPr>
          <w:t>Table 75</w:t>
        </w:r>
        <w:r w:rsidR="004B3EA2">
          <w:rPr>
            <w:rFonts w:asciiTheme="minorHAnsi" w:eastAsiaTheme="minorEastAsia" w:hAnsiTheme="minorHAnsi" w:cstheme="minorBidi"/>
          </w:rPr>
          <w:tab/>
        </w:r>
        <w:r w:rsidR="004B3EA2" w:rsidRPr="00102C74">
          <w:rPr>
            <w:rStyle w:val="Hyperlink"/>
          </w:rPr>
          <w:t>Study selection criteria</w:t>
        </w:r>
        <w:r w:rsidR="004B3EA2">
          <w:rPr>
            <w:webHidden/>
          </w:rPr>
          <w:tab/>
        </w:r>
        <w:r w:rsidR="004B3EA2">
          <w:rPr>
            <w:webHidden/>
          </w:rPr>
          <w:fldChar w:fldCharType="begin"/>
        </w:r>
        <w:r w:rsidR="004B3EA2">
          <w:rPr>
            <w:webHidden/>
          </w:rPr>
          <w:instrText xml:space="preserve"> PAGEREF _Toc69305716 \h </w:instrText>
        </w:r>
        <w:r w:rsidR="004B3EA2">
          <w:rPr>
            <w:webHidden/>
          </w:rPr>
        </w:r>
        <w:r w:rsidR="004B3EA2">
          <w:rPr>
            <w:webHidden/>
          </w:rPr>
          <w:fldChar w:fldCharType="separate"/>
        </w:r>
        <w:r w:rsidR="004B3EA2">
          <w:rPr>
            <w:webHidden/>
          </w:rPr>
          <w:t>141</w:t>
        </w:r>
        <w:r w:rsidR="004B3EA2">
          <w:rPr>
            <w:webHidden/>
          </w:rPr>
          <w:fldChar w:fldCharType="end"/>
        </w:r>
      </w:hyperlink>
    </w:p>
    <w:p w14:paraId="067B60B5" w14:textId="3ACB9C9C" w:rsidR="004B3EA2" w:rsidRDefault="00003BA5">
      <w:pPr>
        <w:pStyle w:val="TableofFigures"/>
        <w:rPr>
          <w:rFonts w:asciiTheme="minorHAnsi" w:eastAsiaTheme="minorEastAsia" w:hAnsiTheme="minorHAnsi" w:cstheme="minorBidi"/>
        </w:rPr>
      </w:pPr>
      <w:hyperlink w:anchor="_Toc69305717" w:history="1">
        <w:r w:rsidR="004B3EA2" w:rsidRPr="00102C74">
          <w:rPr>
            <w:rStyle w:val="Hyperlink"/>
          </w:rPr>
          <w:t>Table 76</w:t>
        </w:r>
        <w:r w:rsidR="004B3EA2">
          <w:rPr>
            <w:rFonts w:asciiTheme="minorHAnsi" w:eastAsiaTheme="minorEastAsia" w:hAnsiTheme="minorHAnsi" w:cstheme="minorBidi"/>
          </w:rPr>
          <w:tab/>
        </w:r>
        <w:r w:rsidR="004B3EA2" w:rsidRPr="00102C74">
          <w:rPr>
            <w:rStyle w:val="Hyperlink"/>
            <w:snapToGrid w:val="0"/>
            <w:lang w:eastAsia="en-US"/>
          </w:rPr>
          <w:t>Key features of the randomised controlled trials included for comparative safety and effectiveness of Ig for CIDP</w:t>
        </w:r>
        <w:r w:rsidR="004B3EA2">
          <w:rPr>
            <w:webHidden/>
          </w:rPr>
          <w:tab/>
        </w:r>
        <w:r w:rsidR="004B3EA2">
          <w:rPr>
            <w:webHidden/>
          </w:rPr>
          <w:fldChar w:fldCharType="begin"/>
        </w:r>
        <w:r w:rsidR="004B3EA2">
          <w:rPr>
            <w:webHidden/>
          </w:rPr>
          <w:instrText xml:space="preserve"> PAGEREF _Toc69305717 \h </w:instrText>
        </w:r>
        <w:r w:rsidR="004B3EA2">
          <w:rPr>
            <w:webHidden/>
          </w:rPr>
        </w:r>
        <w:r w:rsidR="004B3EA2">
          <w:rPr>
            <w:webHidden/>
          </w:rPr>
          <w:fldChar w:fldCharType="separate"/>
        </w:r>
        <w:r w:rsidR="004B3EA2">
          <w:rPr>
            <w:webHidden/>
          </w:rPr>
          <w:t>142</w:t>
        </w:r>
        <w:r w:rsidR="004B3EA2">
          <w:rPr>
            <w:webHidden/>
          </w:rPr>
          <w:fldChar w:fldCharType="end"/>
        </w:r>
      </w:hyperlink>
    </w:p>
    <w:p w14:paraId="4639A24C" w14:textId="54627479" w:rsidR="004B3EA2" w:rsidRDefault="00003BA5">
      <w:pPr>
        <w:pStyle w:val="TableofFigures"/>
        <w:rPr>
          <w:rFonts w:asciiTheme="minorHAnsi" w:eastAsiaTheme="minorEastAsia" w:hAnsiTheme="minorHAnsi" w:cstheme="minorBidi"/>
        </w:rPr>
      </w:pPr>
      <w:hyperlink w:anchor="_Toc69305718" w:history="1">
        <w:r w:rsidR="004B3EA2" w:rsidRPr="00102C74">
          <w:rPr>
            <w:rStyle w:val="Hyperlink"/>
          </w:rPr>
          <w:t>Table 77</w:t>
        </w:r>
        <w:r w:rsidR="004B3EA2">
          <w:rPr>
            <w:rFonts w:asciiTheme="minorHAnsi" w:eastAsiaTheme="minorEastAsia" w:hAnsiTheme="minorHAnsi" w:cstheme="minorBidi"/>
          </w:rPr>
          <w:tab/>
        </w:r>
        <w:r w:rsidR="004B3EA2" w:rsidRPr="00102C74">
          <w:rPr>
            <w:rStyle w:val="Hyperlink"/>
          </w:rPr>
          <w:t>Studies included for the extended assessment of harms, key characteristics and safety data</w:t>
        </w:r>
        <w:r w:rsidR="004B3EA2">
          <w:rPr>
            <w:webHidden/>
          </w:rPr>
          <w:tab/>
        </w:r>
        <w:r w:rsidR="004B3EA2">
          <w:rPr>
            <w:webHidden/>
          </w:rPr>
          <w:fldChar w:fldCharType="begin"/>
        </w:r>
        <w:r w:rsidR="004B3EA2">
          <w:rPr>
            <w:webHidden/>
          </w:rPr>
          <w:instrText xml:space="preserve"> PAGEREF _Toc69305718 \h </w:instrText>
        </w:r>
        <w:r w:rsidR="004B3EA2">
          <w:rPr>
            <w:webHidden/>
          </w:rPr>
        </w:r>
        <w:r w:rsidR="004B3EA2">
          <w:rPr>
            <w:webHidden/>
          </w:rPr>
          <w:fldChar w:fldCharType="separate"/>
        </w:r>
        <w:r w:rsidR="004B3EA2">
          <w:rPr>
            <w:webHidden/>
          </w:rPr>
          <w:t>143</w:t>
        </w:r>
        <w:r w:rsidR="004B3EA2">
          <w:rPr>
            <w:webHidden/>
          </w:rPr>
          <w:fldChar w:fldCharType="end"/>
        </w:r>
      </w:hyperlink>
    </w:p>
    <w:p w14:paraId="2C140D56" w14:textId="7001DA1D" w:rsidR="004B3EA2" w:rsidRDefault="00003BA5">
      <w:pPr>
        <w:pStyle w:val="TableofFigures"/>
        <w:rPr>
          <w:rFonts w:asciiTheme="minorHAnsi" w:eastAsiaTheme="minorEastAsia" w:hAnsiTheme="minorHAnsi" w:cstheme="minorBidi"/>
        </w:rPr>
      </w:pPr>
      <w:hyperlink w:anchor="_Toc69305719" w:history="1">
        <w:r w:rsidR="004B3EA2" w:rsidRPr="00102C74">
          <w:rPr>
            <w:rStyle w:val="Hyperlink"/>
          </w:rPr>
          <w:t>Table 78</w:t>
        </w:r>
        <w:r w:rsidR="004B3EA2">
          <w:rPr>
            <w:rFonts w:asciiTheme="minorHAnsi" w:eastAsiaTheme="minorEastAsia" w:hAnsiTheme="minorHAnsi" w:cstheme="minorBidi"/>
          </w:rPr>
          <w:tab/>
        </w:r>
        <w:r w:rsidR="004B3EA2" w:rsidRPr="00102C74">
          <w:rPr>
            <w:rStyle w:val="Hyperlink"/>
          </w:rPr>
          <w:t>IVIg dose (g) supplied between first and second clinical review of Ig for CIDP, excluding patients who switched to SCIg</w:t>
        </w:r>
        <w:r w:rsidR="004B3EA2">
          <w:rPr>
            <w:webHidden/>
          </w:rPr>
          <w:tab/>
        </w:r>
        <w:r w:rsidR="004B3EA2">
          <w:rPr>
            <w:webHidden/>
          </w:rPr>
          <w:fldChar w:fldCharType="begin"/>
        </w:r>
        <w:r w:rsidR="004B3EA2">
          <w:rPr>
            <w:webHidden/>
          </w:rPr>
          <w:instrText xml:space="preserve"> PAGEREF _Toc69305719 \h </w:instrText>
        </w:r>
        <w:r w:rsidR="004B3EA2">
          <w:rPr>
            <w:webHidden/>
          </w:rPr>
        </w:r>
        <w:r w:rsidR="004B3EA2">
          <w:rPr>
            <w:webHidden/>
          </w:rPr>
          <w:fldChar w:fldCharType="separate"/>
        </w:r>
        <w:r w:rsidR="004B3EA2">
          <w:rPr>
            <w:webHidden/>
          </w:rPr>
          <w:t>151</w:t>
        </w:r>
        <w:r w:rsidR="004B3EA2">
          <w:rPr>
            <w:webHidden/>
          </w:rPr>
          <w:fldChar w:fldCharType="end"/>
        </w:r>
      </w:hyperlink>
    </w:p>
    <w:p w14:paraId="185059E9" w14:textId="1E1A8C00" w:rsidR="004B3EA2" w:rsidRDefault="00003BA5">
      <w:pPr>
        <w:pStyle w:val="TableofFigures"/>
        <w:rPr>
          <w:rFonts w:asciiTheme="minorHAnsi" w:eastAsiaTheme="minorEastAsia" w:hAnsiTheme="minorHAnsi" w:cstheme="minorBidi"/>
        </w:rPr>
      </w:pPr>
      <w:hyperlink w:anchor="_Toc69305720" w:history="1">
        <w:r w:rsidR="004B3EA2" w:rsidRPr="00102C74">
          <w:rPr>
            <w:rStyle w:val="Hyperlink"/>
          </w:rPr>
          <w:t>Table 79</w:t>
        </w:r>
        <w:r w:rsidR="004B3EA2">
          <w:rPr>
            <w:rFonts w:asciiTheme="minorHAnsi" w:eastAsiaTheme="minorEastAsia" w:hAnsiTheme="minorHAnsi" w:cstheme="minorBidi"/>
          </w:rPr>
          <w:tab/>
        </w:r>
        <w:r w:rsidR="004B3EA2" w:rsidRPr="00102C74">
          <w:rPr>
            <w:rStyle w:val="Hyperlink"/>
          </w:rPr>
          <w:t>Summary of data extracted from the randomised controlled trials and observational studies in CIDP patients</w:t>
        </w:r>
        <w:r w:rsidR="004B3EA2">
          <w:rPr>
            <w:webHidden/>
          </w:rPr>
          <w:tab/>
        </w:r>
        <w:r w:rsidR="004B3EA2">
          <w:rPr>
            <w:webHidden/>
          </w:rPr>
          <w:fldChar w:fldCharType="begin"/>
        </w:r>
        <w:r w:rsidR="004B3EA2">
          <w:rPr>
            <w:webHidden/>
          </w:rPr>
          <w:instrText xml:space="preserve"> PAGEREF _Toc69305720 \h </w:instrText>
        </w:r>
        <w:r w:rsidR="004B3EA2">
          <w:rPr>
            <w:webHidden/>
          </w:rPr>
        </w:r>
        <w:r w:rsidR="004B3EA2">
          <w:rPr>
            <w:webHidden/>
          </w:rPr>
          <w:fldChar w:fldCharType="separate"/>
        </w:r>
        <w:r w:rsidR="004B3EA2">
          <w:rPr>
            <w:webHidden/>
          </w:rPr>
          <w:t>151</w:t>
        </w:r>
        <w:r w:rsidR="004B3EA2">
          <w:rPr>
            <w:webHidden/>
          </w:rPr>
          <w:fldChar w:fldCharType="end"/>
        </w:r>
      </w:hyperlink>
    </w:p>
    <w:p w14:paraId="5D9605ED" w14:textId="00CE4181" w:rsidR="004B3EA2" w:rsidRDefault="00003BA5">
      <w:pPr>
        <w:pStyle w:val="TableofFigures"/>
        <w:rPr>
          <w:rFonts w:asciiTheme="minorHAnsi" w:eastAsiaTheme="minorEastAsia" w:hAnsiTheme="minorHAnsi" w:cstheme="minorBidi"/>
        </w:rPr>
      </w:pPr>
      <w:hyperlink w:anchor="_Toc69305721" w:history="1">
        <w:r w:rsidR="004B3EA2" w:rsidRPr="00102C74">
          <w:rPr>
            <w:rStyle w:val="Hyperlink"/>
          </w:rPr>
          <w:t>Table 80</w:t>
        </w:r>
        <w:r w:rsidR="004B3EA2">
          <w:rPr>
            <w:rFonts w:asciiTheme="minorHAnsi" w:eastAsiaTheme="minorEastAsia" w:hAnsiTheme="minorHAnsi" w:cstheme="minorBidi"/>
          </w:rPr>
          <w:tab/>
        </w:r>
        <w:r w:rsidR="004B3EA2" w:rsidRPr="00102C74">
          <w:rPr>
            <w:rStyle w:val="Hyperlink"/>
          </w:rPr>
          <w:t>Estimation of Ig costs*</w:t>
        </w:r>
        <w:r w:rsidR="004B3EA2">
          <w:rPr>
            <w:webHidden/>
          </w:rPr>
          <w:tab/>
        </w:r>
        <w:r w:rsidR="004B3EA2">
          <w:rPr>
            <w:webHidden/>
          </w:rPr>
          <w:fldChar w:fldCharType="begin"/>
        </w:r>
        <w:r w:rsidR="004B3EA2">
          <w:rPr>
            <w:webHidden/>
          </w:rPr>
          <w:instrText xml:space="preserve"> PAGEREF _Toc69305721 \h </w:instrText>
        </w:r>
        <w:r w:rsidR="004B3EA2">
          <w:rPr>
            <w:webHidden/>
          </w:rPr>
        </w:r>
        <w:r w:rsidR="004B3EA2">
          <w:rPr>
            <w:webHidden/>
          </w:rPr>
          <w:fldChar w:fldCharType="separate"/>
        </w:r>
        <w:r w:rsidR="004B3EA2">
          <w:rPr>
            <w:webHidden/>
          </w:rPr>
          <w:t>156</w:t>
        </w:r>
        <w:r w:rsidR="004B3EA2">
          <w:rPr>
            <w:webHidden/>
          </w:rPr>
          <w:fldChar w:fldCharType="end"/>
        </w:r>
      </w:hyperlink>
    </w:p>
    <w:p w14:paraId="5F6E3D79" w14:textId="3A90F678" w:rsidR="004B3EA2" w:rsidRDefault="00003BA5">
      <w:pPr>
        <w:pStyle w:val="TableofFigures"/>
        <w:rPr>
          <w:rFonts w:asciiTheme="minorHAnsi" w:eastAsiaTheme="minorEastAsia" w:hAnsiTheme="minorHAnsi" w:cstheme="minorBidi"/>
        </w:rPr>
      </w:pPr>
      <w:hyperlink w:anchor="_Toc69305722" w:history="1">
        <w:r w:rsidR="004B3EA2" w:rsidRPr="00102C74">
          <w:rPr>
            <w:rStyle w:val="Hyperlink"/>
          </w:rPr>
          <w:t>Table 81</w:t>
        </w:r>
        <w:r w:rsidR="004B3EA2">
          <w:rPr>
            <w:rFonts w:asciiTheme="minorHAnsi" w:eastAsiaTheme="minorEastAsia" w:hAnsiTheme="minorHAnsi" w:cstheme="minorBidi"/>
          </w:rPr>
          <w:tab/>
        </w:r>
        <w:r w:rsidR="004B3EA2" w:rsidRPr="00102C74">
          <w:rPr>
            <w:rStyle w:val="Hyperlink"/>
          </w:rPr>
          <w:t>Resource use and costs associated with vascular access</w:t>
        </w:r>
        <w:r w:rsidR="004B3EA2">
          <w:rPr>
            <w:webHidden/>
          </w:rPr>
          <w:tab/>
        </w:r>
        <w:r w:rsidR="004B3EA2">
          <w:rPr>
            <w:webHidden/>
          </w:rPr>
          <w:fldChar w:fldCharType="begin"/>
        </w:r>
        <w:r w:rsidR="004B3EA2">
          <w:rPr>
            <w:webHidden/>
          </w:rPr>
          <w:instrText xml:space="preserve"> PAGEREF _Toc69305722 \h </w:instrText>
        </w:r>
        <w:r w:rsidR="004B3EA2">
          <w:rPr>
            <w:webHidden/>
          </w:rPr>
        </w:r>
        <w:r w:rsidR="004B3EA2">
          <w:rPr>
            <w:webHidden/>
          </w:rPr>
          <w:fldChar w:fldCharType="separate"/>
        </w:r>
        <w:r w:rsidR="004B3EA2">
          <w:rPr>
            <w:webHidden/>
          </w:rPr>
          <w:t>156</w:t>
        </w:r>
        <w:r w:rsidR="004B3EA2">
          <w:rPr>
            <w:webHidden/>
          </w:rPr>
          <w:fldChar w:fldCharType="end"/>
        </w:r>
      </w:hyperlink>
    </w:p>
    <w:p w14:paraId="233925C6" w14:textId="0A304617" w:rsidR="004B3EA2" w:rsidRDefault="00003BA5">
      <w:pPr>
        <w:pStyle w:val="TableofFigures"/>
        <w:rPr>
          <w:rFonts w:asciiTheme="minorHAnsi" w:eastAsiaTheme="minorEastAsia" w:hAnsiTheme="minorHAnsi" w:cstheme="minorBidi"/>
        </w:rPr>
      </w:pPr>
      <w:hyperlink w:anchor="_Toc69305723" w:history="1">
        <w:r w:rsidR="004B3EA2" w:rsidRPr="00102C74">
          <w:rPr>
            <w:rStyle w:val="Hyperlink"/>
          </w:rPr>
          <w:t>Table 82</w:t>
        </w:r>
        <w:r w:rsidR="004B3EA2">
          <w:rPr>
            <w:rFonts w:asciiTheme="minorHAnsi" w:eastAsiaTheme="minorEastAsia" w:hAnsiTheme="minorHAnsi" w:cstheme="minorBidi"/>
          </w:rPr>
          <w:tab/>
        </w:r>
        <w:r w:rsidR="004B3EA2" w:rsidRPr="00102C74">
          <w:rPr>
            <w:rStyle w:val="Hyperlink"/>
          </w:rPr>
          <w:t>Estimated vascular access use and associated costs in patients treated with IVIg or PE</w:t>
        </w:r>
        <w:r w:rsidR="004B3EA2">
          <w:rPr>
            <w:webHidden/>
          </w:rPr>
          <w:tab/>
        </w:r>
        <w:r w:rsidR="004B3EA2">
          <w:rPr>
            <w:webHidden/>
          </w:rPr>
          <w:fldChar w:fldCharType="begin"/>
        </w:r>
        <w:r w:rsidR="004B3EA2">
          <w:rPr>
            <w:webHidden/>
          </w:rPr>
          <w:instrText xml:space="preserve"> PAGEREF _Toc69305723 \h </w:instrText>
        </w:r>
        <w:r w:rsidR="004B3EA2">
          <w:rPr>
            <w:webHidden/>
          </w:rPr>
        </w:r>
        <w:r w:rsidR="004B3EA2">
          <w:rPr>
            <w:webHidden/>
          </w:rPr>
          <w:fldChar w:fldCharType="separate"/>
        </w:r>
        <w:r w:rsidR="004B3EA2">
          <w:rPr>
            <w:webHidden/>
          </w:rPr>
          <w:t>157</w:t>
        </w:r>
        <w:r w:rsidR="004B3EA2">
          <w:rPr>
            <w:webHidden/>
          </w:rPr>
          <w:fldChar w:fldCharType="end"/>
        </w:r>
      </w:hyperlink>
    </w:p>
    <w:p w14:paraId="626AD619" w14:textId="604286E9" w:rsidR="004B3EA2" w:rsidRDefault="00003BA5">
      <w:pPr>
        <w:pStyle w:val="TableofFigures"/>
        <w:rPr>
          <w:rFonts w:asciiTheme="minorHAnsi" w:eastAsiaTheme="minorEastAsia" w:hAnsiTheme="minorHAnsi" w:cstheme="minorBidi"/>
        </w:rPr>
      </w:pPr>
      <w:hyperlink w:anchor="_Toc69305724" w:history="1">
        <w:r w:rsidR="004B3EA2" w:rsidRPr="00102C74">
          <w:rPr>
            <w:rStyle w:val="Hyperlink"/>
          </w:rPr>
          <w:t>Table 83</w:t>
        </w:r>
        <w:r w:rsidR="004B3EA2">
          <w:rPr>
            <w:rFonts w:asciiTheme="minorHAnsi" w:eastAsiaTheme="minorEastAsia" w:hAnsiTheme="minorHAnsi" w:cstheme="minorBidi"/>
          </w:rPr>
          <w:tab/>
        </w:r>
        <w:r w:rsidR="004B3EA2" w:rsidRPr="00102C74">
          <w:rPr>
            <w:rStyle w:val="Hyperlink"/>
          </w:rPr>
          <w:t>Estimated costs for managing osteoporosis</w:t>
        </w:r>
        <w:r w:rsidR="004B3EA2">
          <w:rPr>
            <w:webHidden/>
          </w:rPr>
          <w:tab/>
        </w:r>
        <w:r w:rsidR="004B3EA2">
          <w:rPr>
            <w:webHidden/>
          </w:rPr>
          <w:fldChar w:fldCharType="begin"/>
        </w:r>
        <w:r w:rsidR="004B3EA2">
          <w:rPr>
            <w:webHidden/>
          </w:rPr>
          <w:instrText xml:space="preserve"> PAGEREF _Toc69305724 \h </w:instrText>
        </w:r>
        <w:r w:rsidR="004B3EA2">
          <w:rPr>
            <w:webHidden/>
          </w:rPr>
        </w:r>
        <w:r w:rsidR="004B3EA2">
          <w:rPr>
            <w:webHidden/>
          </w:rPr>
          <w:fldChar w:fldCharType="separate"/>
        </w:r>
        <w:r w:rsidR="004B3EA2">
          <w:rPr>
            <w:webHidden/>
          </w:rPr>
          <w:t>157</w:t>
        </w:r>
        <w:r w:rsidR="004B3EA2">
          <w:rPr>
            <w:webHidden/>
          </w:rPr>
          <w:fldChar w:fldCharType="end"/>
        </w:r>
      </w:hyperlink>
    </w:p>
    <w:p w14:paraId="37A46DA0" w14:textId="11CF051A" w:rsidR="004B3EA2" w:rsidRDefault="00003BA5">
      <w:pPr>
        <w:pStyle w:val="TableofFigures"/>
        <w:rPr>
          <w:rFonts w:asciiTheme="minorHAnsi" w:eastAsiaTheme="minorEastAsia" w:hAnsiTheme="minorHAnsi" w:cstheme="minorBidi"/>
        </w:rPr>
      </w:pPr>
      <w:hyperlink w:anchor="_Toc69305725" w:history="1">
        <w:r w:rsidR="004B3EA2" w:rsidRPr="00102C74">
          <w:rPr>
            <w:rStyle w:val="Hyperlink"/>
          </w:rPr>
          <w:t>Table 84</w:t>
        </w:r>
        <w:r w:rsidR="004B3EA2">
          <w:rPr>
            <w:rFonts w:asciiTheme="minorHAnsi" w:eastAsiaTheme="minorEastAsia" w:hAnsiTheme="minorHAnsi" w:cstheme="minorBidi"/>
          </w:rPr>
          <w:tab/>
        </w:r>
        <w:r w:rsidR="004B3EA2" w:rsidRPr="00102C74">
          <w:rPr>
            <w:rStyle w:val="Hyperlink"/>
          </w:rPr>
          <w:t>Estimated costs for managing severe infections</w:t>
        </w:r>
        <w:r w:rsidR="004B3EA2">
          <w:rPr>
            <w:webHidden/>
          </w:rPr>
          <w:tab/>
        </w:r>
        <w:r w:rsidR="004B3EA2">
          <w:rPr>
            <w:webHidden/>
          </w:rPr>
          <w:fldChar w:fldCharType="begin"/>
        </w:r>
        <w:r w:rsidR="004B3EA2">
          <w:rPr>
            <w:webHidden/>
          </w:rPr>
          <w:instrText xml:space="preserve"> PAGEREF _Toc69305725 \h </w:instrText>
        </w:r>
        <w:r w:rsidR="004B3EA2">
          <w:rPr>
            <w:webHidden/>
          </w:rPr>
        </w:r>
        <w:r w:rsidR="004B3EA2">
          <w:rPr>
            <w:webHidden/>
          </w:rPr>
          <w:fldChar w:fldCharType="separate"/>
        </w:r>
        <w:r w:rsidR="004B3EA2">
          <w:rPr>
            <w:webHidden/>
          </w:rPr>
          <w:t>158</w:t>
        </w:r>
        <w:r w:rsidR="004B3EA2">
          <w:rPr>
            <w:webHidden/>
          </w:rPr>
          <w:fldChar w:fldCharType="end"/>
        </w:r>
      </w:hyperlink>
    </w:p>
    <w:p w14:paraId="3A0E6639" w14:textId="7BAED607" w:rsidR="004B3EA2" w:rsidRDefault="00003BA5">
      <w:pPr>
        <w:pStyle w:val="TableofFigures"/>
        <w:rPr>
          <w:rFonts w:asciiTheme="minorHAnsi" w:eastAsiaTheme="minorEastAsia" w:hAnsiTheme="minorHAnsi" w:cstheme="minorBidi"/>
        </w:rPr>
      </w:pPr>
      <w:hyperlink w:anchor="_Toc69305726" w:history="1">
        <w:r w:rsidR="004B3EA2" w:rsidRPr="00102C74">
          <w:rPr>
            <w:rStyle w:val="Hyperlink"/>
          </w:rPr>
          <w:t>Table 85</w:t>
        </w:r>
        <w:r w:rsidR="004B3EA2">
          <w:rPr>
            <w:rFonts w:asciiTheme="minorHAnsi" w:eastAsiaTheme="minorEastAsia" w:hAnsiTheme="minorHAnsi" w:cstheme="minorBidi"/>
          </w:rPr>
          <w:tab/>
        </w:r>
        <w:r w:rsidR="004B3EA2" w:rsidRPr="00102C74">
          <w:rPr>
            <w:rStyle w:val="Hyperlink"/>
          </w:rPr>
          <w:t>Costs associated with adverse events per procedure for Plasma Exchange</w:t>
        </w:r>
        <w:r w:rsidR="004B3EA2">
          <w:rPr>
            <w:webHidden/>
          </w:rPr>
          <w:tab/>
        </w:r>
        <w:r w:rsidR="004B3EA2">
          <w:rPr>
            <w:webHidden/>
          </w:rPr>
          <w:fldChar w:fldCharType="begin"/>
        </w:r>
        <w:r w:rsidR="004B3EA2">
          <w:rPr>
            <w:webHidden/>
          </w:rPr>
          <w:instrText xml:space="preserve"> PAGEREF _Toc69305726 \h </w:instrText>
        </w:r>
        <w:r w:rsidR="004B3EA2">
          <w:rPr>
            <w:webHidden/>
          </w:rPr>
        </w:r>
        <w:r w:rsidR="004B3EA2">
          <w:rPr>
            <w:webHidden/>
          </w:rPr>
          <w:fldChar w:fldCharType="separate"/>
        </w:r>
        <w:r w:rsidR="004B3EA2">
          <w:rPr>
            <w:webHidden/>
          </w:rPr>
          <w:t>158</w:t>
        </w:r>
        <w:r w:rsidR="004B3EA2">
          <w:rPr>
            <w:webHidden/>
          </w:rPr>
          <w:fldChar w:fldCharType="end"/>
        </w:r>
      </w:hyperlink>
    </w:p>
    <w:p w14:paraId="55745D0A" w14:textId="16261677" w:rsidR="004B3EA2" w:rsidRDefault="00003BA5">
      <w:pPr>
        <w:pStyle w:val="TableofFigures"/>
        <w:rPr>
          <w:rFonts w:asciiTheme="minorHAnsi" w:eastAsiaTheme="minorEastAsia" w:hAnsiTheme="minorHAnsi" w:cstheme="minorBidi"/>
        </w:rPr>
      </w:pPr>
      <w:hyperlink w:anchor="_Toc69305727" w:history="1">
        <w:r w:rsidR="004B3EA2" w:rsidRPr="00102C74">
          <w:rPr>
            <w:rStyle w:val="Hyperlink"/>
          </w:rPr>
          <w:t>Table 86</w:t>
        </w:r>
        <w:r w:rsidR="004B3EA2">
          <w:rPr>
            <w:rFonts w:asciiTheme="minorHAnsi" w:eastAsiaTheme="minorEastAsia" w:hAnsiTheme="minorHAnsi" w:cstheme="minorBidi"/>
          </w:rPr>
          <w:tab/>
        </w:r>
        <w:r w:rsidR="004B3EA2" w:rsidRPr="00102C74">
          <w:rPr>
            <w:rStyle w:val="Hyperlink"/>
          </w:rPr>
          <w:t>Sensitivity analyses, Ig versus corticosteroids</w:t>
        </w:r>
        <w:r w:rsidR="004B3EA2">
          <w:rPr>
            <w:webHidden/>
          </w:rPr>
          <w:tab/>
        </w:r>
        <w:r w:rsidR="004B3EA2">
          <w:rPr>
            <w:webHidden/>
          </w:rPr>
          <w:fldChar w:fldCharType="begin"/>
        </w:r>
        <w:r w:rsidR="004B3EA2">
          <w:rPr>
            <w:webHidden/>
          </w:rPr>
          <w:instrText xml:space="preserve"> PAGEREF _Toc69305727 \h </w:instrText>
        </w:r>
        <w:r w:rsidR="004B3EA2">
          <w:rPr>
            <w:webHidden/>
          </w:rPr>
        </w:r>
        <w:r w:rsidR="004B3EA2">
          <w:rPr>
            <w:webHidden/>
          </w:rPr>
          <w:fldChar w:fldCharType="separate"/>
        </w:r>
        <w:r w:rsidR="004B3EA2">
          <w:rPr>
            <w:webHidden/>
          </w:rPr>
          <w:t>161</w:t>
        </w:r>
        <w:r w:rsidR="004B3EA2">
          <w:rPr>
            <w:webHidden/>
          </w:rPr>
          <w:fldChar w:fldCharType="end"/>
        </w:r>
      </w:hyperlink>
    </w:p>
    <w:p w14:paraId="6C223BA5" w14:textId="48FCE7AF" w:rsidR="004B3EA2" w:rsidRDefault="00003BA5">
      <w:pPr>
        <w:pStyle w:val="TableofFigures"/>
        <w:rPr>
          <w:rFonts w:asciiTheme="minorHAnsi" w:eastAsiaTheme="minorEastAsia" w:hAnsiTheme="minorHAnsi" w:cstheme="minorBidi"/>
        </w:rPr>
      </w:pPr>
      <w:hyperlink w:anchor="_Toc69305728" w:history="1">
        <w:r w:rsidR="004B3EA2" w:rsidRPr="00102C74">
          <w:rPr>
            <w:rStyle w:val="Hyperlink"/>
          </w:rPr>
          <w:t>Table 87</w:t>
        </w:r>
        <w:r w:rsidR="004B3EA2">
          <w:rPr>
            <w:rFonts w:asciiTheme="minorHAnsi" w:eastAsiaTheme="minorEastAsia" w:hAnsiTheme="minorHAnsi" w:cstheme="minorBidi"/>
          </w:rPr>
          <w:tab/>
        </w:r>
        <w:r w:rsidR="004B3EA2" w:rsidRPr="00102C74">
          <w:rPr>
            <w:rStyle w:val="Hyperlink"/>
          </w:rPr>
          <w:t>Sensitivity analyses, Ig versus plasma exchange</w:t>
        </w:r>
        <w:r w:rsidR="004B3EA2">
          <w:rPr>
            <w:webHidden/>
          </w:rPr>
          <w:tab/>
        </w:r>
        <w:r w:rsidR="004B3EA2">
          <w:rPr>
            <w:webHidden/>
          </w:rPr>
          <w:fldChar w:fldCharType="begin"/>
        </w:r>
        <w:r w:rsidR="004B3EA2">
          <w:rPr>
            <w:webHidden/>
          </w:rPr>
          <w:instrText xml:space="preserve"> PAGEREF _Toc69305728 \h </w:instrText>
        </w:r>
        <w:r w:rsidR="004B3EA2">
          <w:rPr>
            <w:webHidden/>
          </w:rPr>
        </w:r>
        <w:r w:rsidR="004B3EA2">
          <w:rPr>
            <w:webHidden/>
          </w:rPr>
          <w:fldChar w:fldCharType="separate"/>
        </w:r>
        <w:r w:rsidR="004B3EA2">
          <w:rPr>
            <w:webHidden/>
          </w:rPr>
          <w:t>163</w:t>
        </w:r>
        <w:r w:rsidR="004B3EA2">
          <w:rPr>
            <w:webHidden/>
          </w:rPr>
          <w:fldChar w:fldCharType="end"/>
        </w:r>
      </w:hyperlink>
    </w:p>
    <w:p w14:paraId="7857222C" w14:textId="6FB31F76" w:rsidR="004B3EA2" w:rsidRDefault="00003BA5">
      <w:pPr>
        <w:pStyle w:val="TableofFigures"/>
        <w:rPr>
          <w:rFonts w:asciiTheme="minorHAnsi" w:eastAsiaTheme="minorEastAsia" w:hAnsiTheme="minorHAnsi" w:cstheme="minorBidi"/>
        </w:rPr>
      </w:pPr>
      <w:hyperlink w:anchor="_Toc69305729" w:history="1">
        <w:r w:rsidR="004B3EA2" w:rsidRPr="00102C74">
          <w:rPr>
            <w:rStyle w:val="Hyperlink"/>
          </w:rPr>
          <w:t>Table 88</w:t>
        </w:r>
        <w:r w:rsidR="004B3EA2">
          <w:rPr>
            <w:rFonts w:asciiTheme="minorHAnsi" w:eastAsiaTheme="minorEastAsia" w:hAnsiTheme="minorHAnsi" w:cstheme="minorBidi"/>
          </w:rPr>
          <w:tab/>
        </w:r>
        <w:r w:rsidR="004B3EA2" w:rsidRPr="00102C74">
          <w:rPr>
            <w:rStyle w:val="Hyperlink"/>
          </w:rPr>
          <w:t>Sensitivity analyses, Ig versus best supportive care</w:t>
        </w:r>
        <w:r w:rsidR="004B3EA2">
          <w:rPr>
            <w:webHidden/>
          </w:rPr>
          <w:tab/>
        </w:r>
        <w:r w:rsidR="004B3EA2">
          <w:rPr>
            <w:webHidden/>
          </w:rPr>
          <w:fldChar w:fldCharType="begin"/>
        </w:r>
        <w:r w:rsidR="004B3EA2">
          <w:rPr>
            <w:webHidden/>
          </w:rPr>
          <w:instrText xml:space="preserve"> PAGEREF _Toc69305729 \h </w:instrText>
        </w:r>
        <w:r w:rsidR="004B3EA2">
          <w:rPr>
            <w:webHidden/>
          </w:rPr>
        </w:r>
        <w:r w:rsidR="004B3EA2">
          <w:rPr>
            <w:webHidden/>
          </w:rPr>
          <w:fldChar w:fldCharType="separate"/>
        </w:r>
        <w:r w:rsidR="004B3EA2">
          <w:rPr>
            <w:webHidden/>
          </w:rPr>
          <w:t>165</w:t>
        </w:r>
        <w:r w:rsidR="004B3EA2">
          <w:rPr>
            <w:webHidden/>
          </w:rPr>
          <w:fldChar w:fldCharType="end"/>
        </w:r>
      </w:hyperlink>
    </w:p>
    <w:p w14:paraId="41C6EE4A" w14:textId="299A7B4E" w:rsidR="004B3EA2" w:rsidRDefault="00003BA5">
      <w:pPr>
        <w:pStyle w:val="TableofFigures"/>
        <w:rPr>
          <w:rFonts w:asciiTheme="minorHAnsi" w:eastAsiaTheme="minorEastAsia" w:hAnsiTheme="minorHAnsi" w:cstheme="minorBidi"/>
        </w:rPr>
      </w:pPr>
      <w:hyperlink w:anchor="_Toc69305730" w:history="1">
        <w:r w:rsidR="004B3EA2" w:rsidRPr="00102C74">
          <w:rPr>
            <w:rStyle w:val="Hyperlink"/>
          </w:rPr>
          <w:t>Table 89</w:t>
        </w:r>
        <w:r w:rsidR="004B3EA2">
          <w:rPr>
            <w:rFonts w:asciiTheme="minorHAnsi" w:eastAsiaTheme="minorEastAsia" w:hAnsiTheme="minorHAnsi" w:cstheme="minorBidi"/>
          </w:rPr>
          <w:tab/>
        </w:r>
        <w:r w:rsidR="004B3EA2" w:rsidRPr="00102C74">
          <w:rPr>
            <w:rStyle w:val="Hyperlink"/>
          </w:rPr>
          <w:t>Estimation of the average weighted cost per gram within the CIDP indications</w:t>
        </w:r>
        <w:r w:rsidR="004B3EA2">
          <w:rPr>
            <w:webHidden/>
          </w:rPr>
          <w:tab/>
        </w:r>
        <w:r w:rsidR="004B3EA2">
          <w:rPr>
            <w:webHidden/>
          </w:rPr>
          <w:fldChar w:fldCharType="begin"/>
        </w:r>
        <w:r w:rsidR="004B3EA2">
          <w:rPr>
            <w:webHidden/>
          </w:rPr>
          <w:instrText xml:space="preserve"> PAGEREF _Toc69305730 \h </w:instrText>
        </w:r>
        <w:r w:rsidR="004B3EA2">
          <w:rPr>
            <w:webHidden/>
          </w:rPr>
        </w:r>
        <w:r w:rsidR="004B3EA2">
          <w:rPr>
            <w:webHidden/>
          </w:rPr>
          <w:fldChar w:fldCharType="separate"/>
        </w:r>
        <w:r w:rsidR="004B3EA2">
          <w:rPr>
            <w:webHidden/>
          </w:rPr>
          <w:t>168</w:t>
        </w:r>
        <w:r w:rsidR="004B3EA2">
          <w:rPr>
            <w:webHidden/>
          </w:rPr>
          <w:fldChar w:fldCharType="end"/>
        </w:r>
      </w:hyperlink>
    </w:p>
    <w:p w14:paraId="1ACC2556" w14:textId="65143295" w:rsidR="00310008" w:rsidRPr="00E3331A" w:rsidRDefault="00503C5B" w:rsidP="003E4E1F">
      <w:pPr>
        <w:pStyle w:val="Heading2"/>
      </w:pPr>
      <w:r w:rsidRPr="00E3331A">
        <w:rPr>
          <w:rFonts w:eastAsia="MS Mincho" w:cs="Times New Roman"/>
          <w:noProof/>
          <w:sz w:val="22"/>
        </w:rPr>
        <w:fldChar w:fldCharType="end"/>
      </w:r>
      <w:bookmarkStart w:id="26" w:name="_Toc399247192"/>
      <w:bookmarkStart w:id="27" w:name="_Toc402884711"/>
      <w:bookmarkStart w:id="28" w:name="_Toc69305521"/>
      <w:r w:rsidR="00310008" w:rsidRPr="00E3331A">
        <w:t>Boxes</w:t>
      </w:r>
      <w:bookmarkEnd w:id="24"/>
      <w:bookmarkEnd w:id="25"/>
      <w:bookmarkEnd w:id="26"/>
      <w:bookmarkEnd w:id="27"/>
      <w:bookmarkEnd w:id="28"/>
    </w:p>
    <w:p w14:paraId="429758B6" w14:textId="0D95EB9A" w:rsidR="004B3EA2" w:rsidRDefault="0086593E">
      <w:pPr>
        <w:pStyle w:val="TableofFigures"/>
        <w:rPr>
          <w:rFonts w:asciiTheme="minorHAnsi" w:eastAsiaTheme="minorEastAsia" w:hAnsiTheme="minorHAnsi" w:cstheme="minorBidi"/>
        </w:rPr>
      </w:pPr>
      <w:r w:rsidRPr="00E3331A">
        <w:rPr>
          <w:rFonts w:eastAsia="MS Mincho" w:cs="Times New Roman"/>
        </w:rPr>
        <w:fldChar w:fldCharType="begin"/>
      </w:r>
      <w:r w:rsidR="008A46A4" w:rsidRPr="00E3331A">
        <w:rPr>
          <w:rFonts w:eastAsia="MS Mincho" w:cs="Times New Roman"/>
        </w:rPr>
        <w:instrText xml:space="preserve"> TOC \h \z \c "Box" </w:instrText>
      </w:r>
      <w:r w:rsidRPr="00E3331A">
        <w:rPr>
          <w:rFonts w:eastAsia="MS Mincho" w:cs="Times New Roman"/>
        </w:rPr>
        <w:fldChar w:fldCharType="separate"/>
      </w:r>
      <w:hyperlink w:anchor="_Toc69305731" w:history="1">
        <w:r w:rsidR="004B3EA2" w:rsidRPr="004831B8">
          <w:rPr>
            <w:rStyle w:val="Hyperlink"/>
          </w:rPr>
          <w:t>Box 1</w:t>
        </w:r>
        <w:r w:rsidR="004B3EA2">
          <w:rPr>
            <w:rFonts w:asciiTheme="minorHAnsi" w:eastAsiaTheme="minorEastAsia" w:hAnsiTheme="minorHAnsi" w:cstheme="minorBidi"/>
          </w:rPr>
          <w:tab/>
        </w:r>
        <w:r w:rsidR="004B3EA2" w:rsidRPr="004831B8">
          <w:rPr>
            <w:rStyle w:val="Hyperlink"/>
          </w:rPr>
          <w:t>Criteria for identifying and selecting studies to determine the safety of Ig in patients with CIDP</w:t>
        </w:r>
        <w:r w:rsidR="004B3EA2">
          <w:rPr>
            <w:webHidden/>
          </w:rPr>
          <w:tab/>
        </w:r>
        <w:r w:rsidR="004B3EA2">
          <w:rPr>
            <w:webHidden/>
          </w:rPr>
          <w:fldChar w:fldCharType="begin"/>
        </w:r>
        <w:r w:rsidR="004B3EA2">
          <w:rPr>
            <w:webHidden/>
          </w:rPr>
          <w:instrText xml:space="preserve"> PAGEREF _Toc69305731 \h </w:instrText>
        </w:r>
        <w:r w:rsidR="004B3EA2">
          <w:rPr>
            <w:webHidden/>
          </w:rPr>
        </w:r>
        <w:r w:rsidR="004B3EA2">
          <w:rPr>
            <w:webHidden/>
          </w:rPr>
          <w:fldChar w:fldCharType="separate"/>
        </w:r>
        <w:r w:rsidR="004B3EA2">
          <w:rPr>
            <w:webHidden/>
          </w:rPr>
          <w:t>30</w:t>
        </w:r>
        <w:r w:rsidR="004B3EA2">
          <w:rPr>
            <w:webHidden/>
          </w:rPr>
          <w:fldChar w:fldCharType="end"/>
        </w:r>
      </w:hyperlink>
    </w:p>
    <w:p w14:paraId="433312C9" w14:textId="480977B5" w:rsidR="004B3EA2" w:rsidRDefault="00003BA5">
      <w:pPr>
        <w:pStyle w:val="TableofFigures"/>
        <w:rPr>
          <w:rFonts w:asciiTheme="minorHAnsi" w:eastAsiaTheme="minorEastAsia" w:hAnsiTheme="minorHAnsi" w:cstheme="minorBidi"/>
        </w:rPr>
      </w:pPr>
      <w:hyperlink w:anchor="_Toc69305732" w:history="1">
        <w:r w:rsidR="004B3EA2" w:rsidRPr="004831B8">
          <w:rPr>
            <w:rStyle w:val="Hyperlink"/>
          </w:rPr>
          <w:t>Box 2</w:t>
        </w:r>
        <w:r w:rsidR="004B3EA2">
          <w:rPr>
            <w:rFonts w:asciiTheme="minorHAnsi" w:eastAsiaTheme="minorEastAsia" w:hAnsiTheme="minorHAnsi" w:cstheme="minorBidi"/>
          </w:rPr>
          <w:tab/>
        </w:r>
        <w:r w:rsidR="004B3EA2" w:rsidRPr="004831B8">
          <w:rPr>
            <w:rStyle w:val="Hyperlink"/>
          </w:rPr>
          <w:t>Criteria for identifying and selecting studies to determine the efficacy of Ig in patients with CIDP</w:t>
        </w:r>
        <w:r w:rsidR="004B3EA2">
          <w:rPr>
            <w:webHidden/>
          </w:rPr>
          <w:tab/>
        </w:r>
        <w:r w:rsidR="004B3EA2">
          <w:rPr>
            <w:webHidden/>
          </w:rPr>
          <w:fldChar w:fldCharType="begin"/>
        </w:r>
        <w:r w:rsidR="004B3EA2">
          <w:rPr>
            <w:webHidden/>
          </w:rPr>
          <w:instrText xml:space="preserve"> PAGEREF _Toc69305732 \h </w:instrText>
        </w:r>
        <w:r w:rsidR="004B3EA2">
          <w:rPr>
            <w:webHidden/>
          </w:rPr>
        </w:r>
        <w:r w:rsidR="004B3EA2">
          <w:rPr>
            <w:webHidden/>
          </w:rPr>
          <w:fldChar w:fldCharType="separate"/>
        </w:r>
        <w:r w:rsidR="004B3EA2">
          <w:rPr>
            <w:webHidden/>
          </w:rPr>
          <w:t>30</w:t>
        </w:r>
        <w:r w:rsidR="004B3EA2">
          <w:rPr>
            <w:webHidden/>
          </w:rPr>
          <w:fldChar w:fldCharType="end"/>
        </w:r>
      </w:hyperlink>
    </w:p>
    <w:p w14:paraId="33D7A1BC" w14:textId="349E93C2" w:rsidR="008A46A4" w:rsidRPr="00E3331A" w:rsidRDefault="0086593E" w:rsidP="00A27881">
      <w:pPr>
        <w:pStyle w:val="TableofFigures"/>
        <w:tabs>
          <w:tab w:val="clear" w:pos="1800"/>
          <w:tab w:val="left" w:pos="1276"/>
        </w:tabs>
        <w:ind w:left="1276" w:hanging="1276"/>
        <w:jc w:val="both"/>
        <w:rPr>
          <w:rFonts w:eastAsia="MS Mincho" w:cs="Times New Roman"/>
        </w:rPr>
      </w:pPr>
      <w:r w:rsidRPr="00E3331A">
        <w:rPr>
          <w:rFonts w:eastAsia="MS Mincho" w:cs="Times New Roman"/>
        </w:rPr>
        <w:fldChar w:fldCharType="end"/>
      </w:r>
    </w:p>
    <w:p w14:paraId="72646BE8" w14:textId="77777777" w:rsidR="00452F32" w:rsidRPr="00E3331A" w:rsidRDefault="008F59A8" w:rsidP="003E4E1F">
      <w:pPr>
        <w:pStyle w:val="Heading2"/>
      </w:pPr>
      <w:bookmarkStart w:id="29" w:name="_Toc381796427"/>
      <w:bookmarkStart w:id="30" w:name="_Toc395200738"/>
      <w:bookmarkStart w:id="31" w:name="_Toc399247193"/>
      <w:bookmarkStart w:id="32" w:name="_Toc402884712"/>
      <w:bookmarkStart w:id="33" w:name="_Toc69305522"/>
      <w:r w:rsidRPr="00E3331A">
        <w:t>Figures</w:t>
      </w:r>
      <w:bookmarkEnd w:id="29"/>
      <w:bookmarkEnd w:id="30"/>
      <w:bookmarkEnd w:id="31"/>
      <w:bookmarkEnd w:id="32"/>
      <w:bookmarkEnd w:id="33"/>
    </w:p>
    <w:p w14:paraId="63792F26" w14:textId="60BFD434" w:rsidR="004B3EA2" w:rsidRDefault="0086593E">
      <w:pPr>
        <w:pStyle w:val="TableofFigures"/>
        <w:rPr>
          <w:rFonts w:asciiTheme="minorHAnsi" w:eastAsiaTheme="minorEastAsia" w:hAnsiTheme="minorHAnsi" w:cstheme="minorBidi"/>
        </w:rPr>
      </w:pPr>
      <w:r w:rsidRPr="00E3331A">
        <w:rPr>
          <w:szCs w:val="24"/>
        </w:rPr>
        <w:fldChar w:fldCharType="begin"/>
      </w:r>
      <w:r w:rsidR="00452F32" w:rsidRPr="00E3331A">
        <w:rPr>
          <w:szCs w:val="24"/>
        </w:rPr>
        <w:instrText xml:space="preserve"> TOC \h \z \c "Figure" </w:instrText>
      </w:r>
      <w:r w:rsidRPr="00E3331A">
        <w:rPr>
          <w:szCs w:val="24"/>
        </w:rPr>
        <w:fldChar w:fldCharType="separate"/>
      </w:r>
      <w:hyperlink w:anchor="_Toc69305733" w:history="1">
        <w:r w:rsidR="004B3EA2" w:rsidRPr="00966AA9">
          <w:rPr>
            <w:rStyle w:val="Hyperlink"/>
          </w:rPr>
          <w:t xml:space="preserve">Figure 1 </w:t>
        </w:r>
        <w:r w:rsidR="004B3EA2">
          <w:rPr>
            <w:rFonts w:asciiTheme="minorHAnsi" w:eastAsiaTheme="minorEastAsia" w:hAnsiTheme="minorHAnsi" w:cstheme="minorBidi"/>
          </w:rPr>
          <w:tab/>
        </w:r>
        <w:r w:rsidR="004B3EA2" w:rsidRPr="00966AA9">
          <w:rPr>
            <w:rStyle w:val="Hyperlink"/>
          </w:rPr>
          <w:t>Summary of the process used to identify and select studies for A – Update of safety and effectiveness of Ig for CIDP, and B – Extended assessment of harms</w:t>
        </w:r>
        <w:r w:rsidR="004B3EA2">
          <w:rPr>
            <w:webHidden/>
          </w:rPr>
          <w:tab/>
        </w:r>
        <w:r w:rsidR="004B3EA2">
          <w:rPr>
            <w:webHidden/>
          </w:rPr>
          <w:fldChar w:fldCharType="begin"/>
        </w:r>
        <w:r w:rsidR="004B3EA2">
          <w:rPr>
            <w:webHidden/>
          </w:rPr>
          <w:instrText xml:space="preserve"> PAGEREF _Toc69305733 \h </w:instrText>
        </w:r>
        <w:r w:rsidR="004B3EA2">
          <w:rPr>
            <w:webHidden/>
          </w:rPr>
        </w:r>
        <w:r w:rsidR="004B3EA2">
          <w:rPr>
            <w:webHidden/>
          </w:rPr>
          <w:fldChar w:fldCharType="separate"/>
        </w:r>
        <w:r w:rsidR="004B3EA2">
          <w:rPr>
            <w:webHidden/>
          </w:rPr>
          <w:t>35</w:t>
        </w:r>
        <w:r w:rsidR="004B3EA2">
          <w:rPr>
            <w:webHidden/>
          </w:rPr>
          <w:fldChar w:fldCharType="end"/>
        </w:r>
      </w:hyperlink>
    </w:p>
    <w:p w14:paraId="3B12A4B7" w14:textId="625B5DF3" w:rsidR="004B3EA2" w:rsidRDefault="00003BA5">
      <w:pPr>
        <w:pStyle w:val="TableofFigures"/>
        <w:rPr>
          <w:rFonts w:asciiTheme="minorHAnsi" w:eastAsiaTheme="minorEastAsia" w:hAnsiTheme="minorHAnsi" w:cstheme="minorBidi"/>
        </w:rPr>
      </w:pPr>
      <w:hyperlink w:anchor="_Toc69305734" w:history="1">
        <w:r w:rsidR="004B3EA2" w:rsidRPr="00966AA9">
          <w:rPr>
            <w:rStyle w:val="Hyperlink"/>
          </w:rPr>
          <w:t>Figure 2</w:t>
        </w:r>
        <w:r w:rsidR="004B3EA2">
          <w:rPr>
            <w:rFonts w:asciiTheme="minorHAnsi" w:eastAsiaTheme="minorEastAsia" w:hAnsiTheme="minorHAnsi" w:cstheme="minorBidi"/>
          </w:rPr>
          <w:tab/>
        </w:r>
        <w:r w:rsidR="004B3EA2" w:rsidRPr="00966AA9">
          <w:rPr>
            <w:rStyle w:val="Hyperlink"/>
          </w:rPr>
          <w:t>Adverse events reported in the PATH trial (van Schaik, Ivo N. et al. 2018)</w:t>
        </w:r>
        <w:r w:rsidR="004B3EA2">
          <w:rPr>
            <w:webHidden/>
          </w:rPr>
          <w:tab/>
        </w:r>
        <w:r w:rsidR="004B3EA2">
          <w:rPr>
            <w:webHidden/>
          </w:rPr>
          <w:fldChar w:fldCharType="begin"/>
        </w:r>
        <w:r w:rsidR="004B3EA2">
          <w:rPr>
            <w:webHidden/>
          </w:rPr>
          <w:instrText xml:space="preserve"> PAGEREF _Toc69305734 \h </w:instrText>
        </w:r>
        <w:r w:rsidR="004B3EA2">
          <w:rPr>
            <w:webHidden/>
          </w:rPr>
        </w:r>
        <w:r w:rsidR="004B3EA2">
          <w:rPr>
            <w:webHidden/>
          </w:rPr>
          <w:fldChar w:fldCharType="separate"/>
        </w:r>
        <w:r w:rsidR="004B3EA2">
          <w:rPr>
            <w:webHidden/>
          </w:rPr>
          <w:t>45</w:t>
        </w:r>
        <w:r w:rsidR="004B3EA2">
          <w:rPr>
            <w:webHidden/>
          </w:rPr>
          <w:fldChar w:fldCharType="end"/>
        </w:r>
      </w:hyperlink>
    </w:p>
    <w:p w14:paraId="5545C723" w14:textId="6F4C7D5E" w:rsidR="004B3EA2" w:rsidRDefault="00003BA5">
      <w:pPr>
        <w:pStyle w:val="TableofFigures"/>
        <w:rPr>
          <w:rFonts w:asciiTheme="minorHAnsi" w:eastAsiaTheme="minorEastAsia" w:hAnsiTheme="minorHAnsi" w:cstheme="minorBidi"/>
        </w:rPr>
      </w:pPr>
      <w:hyperlink w:anchor="_Toc69305735" w:history="1">
        <w:r w:rsidR="004B3EA2" w:rsidRPr="00966AA9">
          <w:rPr>
            <w:rStyle w:val="Hyperlink"/>
          </w:rPr>
          <w:t>Figure 3</w:t>
        </w:r>
        <w:r w:rsidR="004B3EA2">
          <w:rPr>
            <w:rFonts w:asciiTheme="minorHAnsi" w:eastAsiaTheme="minorEastAsia" w:hAnsiTheme="minorHAnsi" w:cstheme="minorBidi"/>
          </w:rPr>
          <w:tab/>
        </w:r>
        <w:r w:rsidR="004B3EA2" w:rsidRPr="00966AA9">
          <w:rPr>
            <w:rStyle w:val="Hyperlink"/>
          </w:rPr>
          <w:t>Adverse events by severity and cause (van Schaik, Ivo N. et al. 2018)</w:t>
        </w:r>
        <w:r w:rsidR="004B3EA2">
          <w:rPr>
            <w:webHidden/>
          </w:rPr>
          <w:tab/>
        </w:r>
        <w:r w:rsidR="004B3EA2">
          <w:rPr>
            <w:webHidden/>
          </w:rPr>
          <w:fldChar w:fldCharType="begin"/>
        </w:r>
        <w:r w:rsidR="004B3EA2">
          <w:rPr>
            <w:webHidden/>
          </w:rPr>
          <w:instrText xml:space="preserve"> PAGEREF _Toc69305735 \h </w:instrText>
        </w:r>
        <w:r w:rsidR="004B3EA2">
          <w:rPr>
            <w:webHidden/>
          </w:rPr>
        </w:r>
        <w:r w:rsidR="004B3EA2">
          <w:rPr>
            <w:webHidden/>
          </w:rPr>
          <w:fldChar w:fldCharType="separate"/>
        </w:r>
        <w:r w:rsidR="004B3EA2">
          <w:rPr>
            <w:webHidden/>
          </w:rPr>
          <w:t>46</w:t>
        </w:r>
        <w:r w:rsidR="004B3EA2">
          <w:rPr>
            <w:webHidden/>
          </w:rPr>
          <w:fldChar w:fldCharType="end"/>
        </w:r>
      </w:hyperlink>
    </w:p>
    <w:p w14:paraId="70F56E91" w14:textId="35E6F205" w:rsidR="004B3EA2" w:rsidRDefault="00003BA5">
      <w:pPr>
        <w:pStyle w:val="TableofFigures"/>
        <w:rPr>
          <w:rFonts w:asciiTheme="minorHAnsi" w:eastAsiaTheme="minorEastAsia" w:hAnsiTheme="minorHAnsi" w:cstheme="minorBidi"/>
        </w:rPr>
      </w:pPr>
      <w:hyperlink w:anchor="_Toc69305736" w:history="1">
        <w:r w:rsidR="004B3EA2" w:rsidRPr="00966AA9">
          <w:rPr>
            <w:rStyle w:val="Hyperlink"/>
          </w:rPr>
          <w:t>Figure 4</w:t>
        </w:r>
        <w:r w:rsidR="004B3EA2">
          <w:rPr>
            <w:rFonts w:asciiTheme="minorHAnsi" w:eastAsiaTheme="minorEastAsia" w:hAnsiTheme="minorHAnsi" w:cstheme="minorBidi"/>
          </w:rPr>
          <w:tab/>
        </w:r>
        <w:r w:rsidR="004B3EA2" w:rsidRPr="00966AA9">
          <w:rPr>
            <w:rStyle w:val="Hyperlink"/>
          </w:rPr>
          <w:t>Adverse events in relation to infusion volume and infusion rate (van Schaik, Ivo N. et al. 2018)</w:t>
        </w:r>
        <w:r w:rsidR="004B3EA2">
          <w:rPr>
            <w:webHidden/>
          </w:rPr>
          <w:tab/>
        </w:r>
        <w:r w:rsidR="004B3EA2">
          <w:rPr>
            <w:webHidden/>
          </w:rPr>
          <w:fldChar w:fldCharType="begin"/>
        </w:r>
        <w:r w:rsidR="004B3EA2">
          <w:rPr>
            <w:webHidden/>
          </w:rPr>
          <w:instrText xml:space="preserve"> PAGEREF _Toc69305736 \h </w:instrText>
        </w:r>
        <w:r w:rsidR="004B3EA2">
          <w:rPr>
            <w:webHidden/>
          </w:rPr>
        </w:r>
        <w:r w:rsidR="004B3EA2">
          <w:rPr>
            <w:webHidden/>
          </w:rPr>
          <w:fldChar w:fldCharType="separate"/>
        </w:r>
        <w:r w:rsidR="004B3EA2">
          <w:rPr>
            <w:webHidden/>
          </w:rPr>
          <w:t>47</w:t>
        </w:r>
        <w:r w:rsidR="004B3EA2">
          <w:rPr>
            <w:webHidden/>
          </w:rPr>
          <w:fldChar w:fldCharType="end"/>
        </w:r>
      </w:hyperlink>
    </w:p>
    <w:p w14:paraId="129F9D40" w14:textId="59D339FA" w:rsidR="004B3EA2" w:rsidRDefault="00003BA5">
      <w:pPr>
        <w:pStyle w:val="TableofFigures"/>
        <w:rPr>
          <w:rFonts w:asciiTheme="minorHAnsi" w:eastAsiaTheme="minorEastAsia" w:hAnsiTheme="minorHAnsi" w:cstheme="minorBidi"/>
        </w:rPr>
      </w:pPr>
      <w:hyperlink w:anchor="_Toc69305737" w:history="1">
        <w:r w:rsidR="004B3EA2" w:rsidRPr="00966AA9">
          <w:rPr>
            <w:rStyle w:val="Hyperlink"/>
          </w:rPr>
          <w:t>Figure 5</w:t>
        </w:r>
        <w:r w:rsidR="004B3EA2">
          <w:rPr>
            <w:rFonts w:asciiTheme="minorHAnsi" w:eastAsiaTheme="minorEastAsia" w:hAnsiTheme="minorHAnsi" w:cstheme="minorBidi"/>
          </w:rPr>
          <w:tab/>
        </w:r>
        <w:r w:rsidR="004B3EA2" w:rsidRPr="00966AA9">
          <w:rPr>
            <w:rStyle w:val="Hyperlink"/>
          </w:rPr>
          <w:t>EQ-VAS: median change from baseline to past post-dose observation (Hartung et al. 2019)</w:t>
        </w:r>
        <w:r w:rsidR="004B3EA2">
          <w:rPr>
            <w:webHidden/>
          </w:rPr>
          <w:tab/>
        </w:r>
        <w:r w:rsidR="004B3EA2">
          <w:rPr>
            <w:webHidden/>
          </w:rPr>
          <w:fldChar w:fldCharType="begin"/>
        </w:r>
        <w:r w:rsidR="004B3EA2">
          <w:rPr>
            <w:webHidden/>
          </w:rPr>
          <w:instrText xml:space="preserve"> PAGEREF _Toc69305737 \h </w:instrText>
        </w:r>
        <w:r w:rsidR="004B3EA2">
          <w:rPr>
            <w:webHidden/>
          </w:rPr>
        </w:r>
        <w:r w:rsidR="004B3EA2">
          <w:rPr>
            <w:webHidden/>
          </w:rPr>
          <w:fldChar w:fldCharType="separate"/>
        </w:r>
        <w:r w:rsidR="004B3EA2">
          <w:rPr>
            <w:webHidden/>
          </w:rPr>
          <w:t>54</w:t>
        </w:r>
        <w:r w:rsidR="004B3EA2">
          <w:rPr>
            <w:webHidden/>
          </w:rPr>
          <w:fldChar w:fldCharType="end"/>
        </w:r>
      </w:hyperlink>
    </w:p>
    <w:p w14:paraId="10605B5F" w14:textId="0B6F97FA" w:rsidR="004B3EA2" w:rsidRDefault="00003BA5">
      <w:pPr>
        <w:pStyle w:val="TableofFigures"/>
        <w:rPr>
          <w:rFonts w:asciiTheme="minorHAnsi" w:eastAsiaTheme="minorEastAsia" w:hAnsiTheme="minorHAnsi" w:cstheme="minorBidi"/>
        </w:rPr>
      </w:pPr>
      <w:hyperlink w:anchor="_Toc69305738" w:history="1">
        <w:r w:rsidR="004B3EA2" w:rsidRPr="00966AA9">
          <w:rPr>
            <w:rStyle w:val="Hyperlink"/>
          </w:rPr>
          <w:t>Figure 6</w:t>
        </w:r>
        <w:r w:rsidR="004B3EA2">
          <w:rPr>
            <w:rFonts w:asciiTheme="minorHAnsi" w:eastAsiaTheme="minorEastAsia" w:hAnsiTheme="minorHAnsi" w:cstheme="minorBidi"/>
          </w:rPr>
          <w:tab/>
        </w:r>
        <w:r w:rsidR="004B3EA2" w:rsidRPr="00966AA9">
          <w:rPr>
            <w:rStyle w:val="Hyperlink"/>
          </w:rPr>
          <w:t>Median change in TSQM from baseline to last post-dose observation for    (a) overall satisfaction and (b) effectiveness (Hartung et al. 2019)</w:t>
        </w:r>
        <w:r w:rsidR="004B3EA2">
          <w:rPr>
            <w:webHidden/>
          </w:rPr>
          <w:tab/>
        </w:r>
        <w:r w:rsidR="004B3EA2">
          <w:rPr>
            <w:webHidden/>
          </w:rPr>
          <w:fldChar w:fldCharType="begin"/>
        </w:r>
        <w:r w:rsidR="004B3EA2">
          <w:rPr>
            <w:webHidden/>
          </w:rPr>
          <w:instrText xml:space="preserve"> PAGEREF _Toc69305738 \h </w:instrText>
        </w:r>
        <w:r w:rsidR="004B3EA2">
          <w:rPr>
            <w:webHidden/>
          </w:rPr>
        </w:r>
        <w:r w:rsidR="004B3EA2">
          <w:rPr>
            <w:webHidden/>
          </w:rPr>
          <w:fldChar w:fldCharType="separate"/>
        </w:r>
        <w:r w:rsidR="004B3EA2">
          <w:rPr>
            <w:webHidden/>
          </w:rPr>
          <w:t>54</w:t>
        </w:r>
        <w:r w:rsidR="004B3EA2">
          <w:rPr>
            <w:webHidden/>
          </w:rPr>
          <w:fldChar w:fldCharType="end"/>
        </w:r>
      </w:hyperlink>
    </w:p>
    <w:p w14:paraId="5B9E0B0D" w14:textId="39E30DB6" w:rsidR="004B3EA2" w:rsidRDefault="00003BA5">
      <w:pPr>
        <w:pStyle w:val="TableofFigures"/>
        <w:rPr>
          <w:rFonts w:asciiTheme="minorHAnsi" w:eastAsiaTheme="minorEastAsia" w:hAnsiTheme="minorHAnsi" w:cstheme="minorBidi"/>
        </w:rPr>
      </w:pPr>
      <w:hyperlink w:anchor="_Toc69305739" w:history="1">
        <w:r w:rsidR="004B3EA2" w:rsidRPr="00966AA9">
          <w:rPr>
            <w:rStyle w:val="Hyperlink"/>
          </w:rPr>
          <w:t>Figure 7</w:t>
        </w:r>
        <w:r w:rsidR="004B3EA2">
          <w:rPr>
            <w:rFonts w:asciiTheme="minorHAnsi" w:eastAsiaTheme="minorEastAsia" w:hAnsiTheme="minorHAnsi" w:cstheme="minorBidi"/>
          </w:rPr>
          <w:tab/>
        </w:r>
        <w:r w:rsidR="004B3EA2" w:rsidRPr="00966AA9">
          <w:rPr>
            <w:rStyle w:val="Hyperlink"/>
          </w:rPr>
          <w:t>Median change in WPAI-GH from baseline to last post-dose observation for   (a) activity impairment (b) work impairment and (c) work productivity loss (Hartung et al. 2019)</w:t>
        </w:r>
        <w:r w:rsidR="004B3EA2">
          <w:rPr>
            <w:webHidden/>
          </w:rPr>
          <w:tab/>
        </w:r>
        <w:r w:rsidR="004B3EA2">
          <w:rPr>
            <w:webHidden/>
          </w:rPr>
          <w:fldChar w:fldCharType="begin"/>
        </w:r>
        <w:r w:rsidR="004B3EA2">
          <w:rPr>
            <w:webHidden/>
          </w:rPr>
          <w:instrText xml:space="preserve"> PAGEREF _Toc69305739 \h </w:instrText>
        </w:r>
        <w:r w:rsidR="004B3EA2">
          <w:rPr>
            <w:webHidden/>
          </w:rPr>
        </w:r>
        <w:r w:rsidR="004B3EA2">
          <w:rPr>
            <w:webHidden/>
          </w:rPr>
          <w:fldChar w:fldCharType="separate"/>
        </w:r>
        <w:r w:rsidR="004B3EA2">
          <w:rPr>
            <w:webHidden/>
          </w:rPr>
          <w:t>55</w:t>
        </w:r>
        <w:r w:rsidR="004B3EA2">
          <w:rPr>
            <w:webHidden/>
          </w:rPr>
          <w:fldChar w:fldCharType="end"/>
        </w:r>
      </w:hyperlink>
    </w:p>
    <w:p w14:paraId="591ACCC2" w14:textId="103367EA" w:rsidR="004B3EA2" w:rsidRDefault="00003BA5">
      <w:pPr>
        <w:pStyle w:val="TableofFigures"/>
        <w:rPr>
          <w:rFonts w:asciiTheme="minorHAnsi" w:eastAsiaTheme="minorEastAsia" w:hAnsiTheme="minorHAnsi" w:cstheme="minorBidi"/>
        </w:rPr>
      </w:pPr>
      <w:hyperlink w:anchor="_Toc69305740" w:history="1">
        <w:r w:rsidR="004B3EA2" w:rsidRPr="00966AA9">
          <w:rPr>
            <w:rStyle w:val="Hyperlink"/>
          </w:rPr>
          <w:t>Figure 8</w:t>
        </w:r>
        <w:r w:rsidR="004B3EA2">
          <w:rPr>
            <w:rFonts w:asciiTheme="minorHAnsi" w:eastAsiaTheme="minorEastAsia" w:hAnsiTheme="minorHAnsi" w:cstheme="minorBidi"/>
          </w:rPr>
          <w:tab/>
        </w:r>
        <w:r w:rsidR="004B3EA2" w:rsidRPr="00966AA9">
          <w:rPr>
            <w:rStyle w:val="Hyperlink"/>
          </w:rPr>
          <w:t>Time to reach primary endpoint for high-dose-SCIg versus low-dose SCIg versus placebo (van Schaik, Ivo N. et al. 2018)</w:t>
        </w:r>
        <w:r w:rsidR="004B3EA2">
          <w:rPr>
            <w:webHidden/>
          </w:rPr>
          <w:tab/>
        </w:r>
        <w:r w:rsidR="004B3EA2">
          <w:rPr>
            <w:webHidden/>
          </w:rPr>
          <w:fldChar w:fldCharType="begin"/>
        </w:r>
        <w:r w:rsidR="004B3EA2">
          <w:rPr>
            <w:webHidden/>
          </w:rPr>
          <w:instrText xml:space="preserve"> PAGEREF _Toc69305740 \h </w:instrText>
        </w:r>
        <w:r w:rsidR="004B3EA2">
          <w:rPr>
            <w:webHidden/>
          </w:rPr>
        </w:r>
        <w:r w:rsidR="004B3EA2">
          <w:rPr>
            <w:webHidden/>
          </w:rPr>
          <w:fldChar w:fldCharType="separate"/>
        </w:r>
        <w:r w:rsidR="004B3EA2">
          <w:rPr>
            <w:webHidden/>
          </w:rPr>
          <w:t>56</w:t>
        </w:r>
        <w:r w:rsidR="004B3EA2">
          <w:rPr>
            <w:webHidden/>
          </w:rPr>
          <w:fldChar w:fldCharType="end"/>
        </w:r>
      </w:hyperlink>
    </w:p>
    <w:p w14:paraId="742E22EA" w14:textId="598289FE" w:rsidR="004B3EA2" w:rsidRDefault="00003BA5">
      <w:pPr>
        <w:pStyle w:val="TableofFigures"/>
        <w:rPr>
          <w:rFonts w:asciiTheme="minorHAnsi" w:eastAsiaTheme="minorEastAsia" w:hAnsiTheme="minorHAnsi" w:cstheme="minorBidi"/>
        </w:rPr>
      </w:pPr>
      <w:hyperlink w:anchor="_Toc69305741" w:history="1">
        <w:r w:rsidR="004B3EA2" w:rsidRPr="00966AA9">
          <w:rPr>
            <w:rStyle w:val="Hyperlink"/>
          </w:rPr>
          <w:t>Figure 9</w:t>
        </w:r>
        <w:r w:rsidR="004B3EA2">
          <w:rPr>
            <w:rFonts w:asciiTheme="minorHAnsi" w:eastAsiaTheme="minorEastAsia" w:hAnsiTheme="minorHAnsi" w:cstheme="minorBidi"/>
          </w:rPr>
          <w:tab/>
        </w:r>
        <w:r w:rsidR="004B3EA2" w:rsidRPr="00966AA9">
          <w:rPr>
            <w:rStyle w:val="Hyperlink"/>
          </w:rPr>
          <w:t>Probability of primary outcome or relapse at 24 weeks (van Schaik, Ivo N. et al. 2018)</w:t>
        </w:r>
        <w:r w:rsidR="004B3EA2">
          <w:rPr>
            <w:webHidden/>
          </w:rPr>
          <w:tab/>
        </w:r>
        <w:r w:rsidR="004B3EA2">
          <w:rPr>
            <w:webHidden/>
          </w:rPr>
          <w:fldChar w:fldCharType="begin"/>
        </w:r>
        <w:r w:rsidR="004B3EA2">
          <w:rPr>
            <w:webHidden/>
          </w:rPr>
          <w:instrText xml:space="preserve"> PAGEREF _Toc69305741 \h </w:instrText>
        </w:r>
        <w:r w:rsidR="004B3EA2">
          <w:rPr>
            <w:webHidden/>
          </w:rPr>
        </w:r>
        <w:r w:rsidR="004B3EA2">
          <w:rPr>
            <w:webHidden/>
          </w:rPr>
          <w:fldChar w:fldCharType="separate"/>
        </w:r>
        <w:r w:rsidR="004B3EA2">
          <w:rPr>
            <w:webHidden/>
          </w:rPr>
          <w:t>57</w:t>
        </w:r>
        <w:r w:rsidR="004B3EA2">
          <w:rPr>
            <w:webHidden/>
          </w:rPr>
          <w:fldChar w:fldCharType="end"/>
        </w:r>
      </w:hyperlink>
    </w:p>
    <w:p w14:paraId="28FE4F30" w14:textId="7D8FB43E" w:rsidR="004B3EA2" w:rsidRDefault="00003BA5">
      <w:pPr>
        <w:pStyle w:val="TableofFigures"/>
        <w:rPr>
          <w:rFonts w:asciiTheme="minorHAnsi" w:eastAsiaTheme="minorEastAsia" w:hAnsiTheme="minorHAnsi" w:cstheme="minorBidi"/>
        </w:rPr>
      </w:pPr>
      <w:hyperlink w:anchor="_Toc69305742" w:history="1">
        <w:r w:rsidR="004B3EA2" w:rsidRPr="00966AA9">
          <w:rPr>
            <w:rStyle w:val="Hyperlink"/>
          </w:rPr>
          <w:t>Figure 10</w:t>
        </w:r>
        <w:r w:rsidR="004B3EA2">
          <w:rPr>
            <w:rFonts w:asciiTheme="minorHAnsi" w:eastAsiaTheme="minorEastAsia" w:hAnsiTheme="minorHAnsi" w:cstheme="minorBidi"/>
          </w:rPr>
          <w:tab/>
        </w:r>
        <w:r w:rsidR="004B3EA2" w:rsidRPr="00966AA9">
          <w:rPr>
            <w:rStyle w:val="Hyperlink"/>
          </w:rPr>
          <w:t>Secondary outcomes for the PATH trial (van Schaik, Ivo N. et al. 2018)</w:t>
        </w:r>
        <w:r w:rsidR="004B3EA2">
          <w:rPr>
            <w:webHidden/>
          </w:rPr>
          <w:tab/>
        </w:r>
        <w:r w:rsidR="004B3EA2">
          <w:rPr>
            <w:webHidden/>
          </w:rPr>
          <w:fldChar w:fldCharType="begin"/>
        </w:r>
        <w:r w:rsidR="004B3EA2">
          <w:rPr>
            <w:webHidden/>
          </w:rPr>
          <w:instrText xml:space="preserve"> PAGEREF _Toc69305742 \h </w:instrText>
        </w:r>
        <w:r w:rsidR="004B3EA2">
          <w:rPr>
            <w:webHidden/>
          </w:rPr>
        </w:r>
        <w:r w:rsidR="004B3EA2">
          <w:rPr>
            <w:webHidden/>
          </w:rPr>
          <w:fldChar w:fldCharType="separate"/>
        </w:r>
        <w:r w:rsidR="004B3EA2">
          <w:rPr>
            <w:webHidden/>
          </w:rPr>
          <w:t>57</w:t>
        </w:r>
        <w:r w:rsidR="004B3EA2">
          <w:rPr>
            <w:webHidden/>
          </w:rPr>
          <w:fldChar w:fldCharType="end"/>
        </w:r>
      </w:hyperlink>
    </w:p>
    <w:p w14:paraId="3F30B8BB" w14:textId="6B8DBD98" w:rsidR="004B3EA2" w:rsidRDefault="00003BA5">
      <w:pPr>
        <w:pStyle w:val="TableofFigures"/>
        <w:rPr>
          <w:rFonts w:asciiTheme="minorHAnsi" w:eastAsiaTheme="minorEastAsia" w:hAnsiTheme="minorHAnsi" w:cstheme="minorBidi"/>
        </w:rPr>
      </w:pPr>
      <w:hyperlink w:anchor="_Toc69305743" w:history="1">
        <w:r w:rsidR="004B3EA2" w:rsidRPr="00966AA9">
          <w:rPr>
            <w:rStyle w:val="Hyperlink"/>
          </w:rPr>
          <w:t>Figure 11</w:t>
        </w:r>
        <w:r w:rsidR="004B3EA2">
          <w:rPr>
            <w:rFonts w:asciiTheme="minorHAnsi" w:eastAsiaTheme="minorEastAsia" w:hAnsiTheme="minorHAnsi" w:cstheme="minorBidi"/>
          </w:rPr>
          <w:tab/>
        </w:r>
        <w:r w:rsidR="004B3EA2" w:rsidRPr="00966AA9">
          <w:rPr>
            <w:rStyle w:val="Hyperlink"/>
          </w:rPr>
          <w:t>A: Comparison of AEs for IVIg versus PE in clinical trials for GBS; B: Comparison of AEs for IVIg   versus PE in clinical trials for MG</w:t>
        </w:r>
        <w:r w:rsidR="004B3EA2">
          <w:rPr>
            <w:webHidden/>
          </w:rPr>
          <w:tab/>
        </w:r>
        <w:r w:rsidR="004B3EA2">
          <w:rPr>
            <w:webHidden/>
          </w:rPr>
          <w:fldChar w:fldCharType="begin"/>
        </w:r>
        <w:r w:rsidR="004B3EA2">
          <w:rPr>
            <w:webHidden/>
          </w:rPr>
          <w:instrText xml:space="preserve"> PAGEREF _Toc69305743 \h </w:instrText>
        </w:r>
        <w:r w:rsidR="004B3EA2">
          <w:rPr>
            <w:webHidden/>
          </w:rPr>
        </w:r>
        <w:r w:rsidR="004B3EA2">
          <w:rPr>
            <w:webHidden/>
          </w:rPr>
          <w:fldChar w:fldCharType="separate"/>
        </w:r>
        <w:r w:rsidR="004B3EA2">
          <w:rPr>
            <w:webHidden/>
          </w:rPr>
          <w:t>61</w:t>
        </w:r>
        <w:r w:rsidR="004B3EA2">
          <w:rPr>
            <w:webHidden/>
          </w:rPr>
          <w:fldChar w:fldCharType="end"/>
        </w:r>
      </w:hyperlink>
    </w:p>
    <w:p w14:paraId="4B2BC509" w14:textId="4A89A4FE" w:rsidR="004B3EA2" w:rsidRDefault="00003BA5">
      <w:pPr>
        <w:pStyle w:val="TableofFigures"/>
        <w:rPr>
          <w:rFonts w:asciiTheme="minorHAnsi" w:eastAsiaTheme="minorEastAsia" w:hAnsiTheme="minorHAnsi" w:cstheme="minorBidi"/>
        </w:rPr>
      </w:pPr>
      <w:hyperlink w:anchor="_Toc69305744" w:history="1">
        <w:r w:rsidR="004B3EA2" w:rsidRPr="00966AA9">
          <w:rPr>
            <w:rStyle w:val="Hyperlink"/>
          </w:rPr>
          <w:t>Figure 12</w:t>
        </w:r>
        <w:r w:rsidR="004B3EA2">
          <w:rPr>
            <w:rFonts w:asciiTheme="minorHAnsi" w:eastAsiaTheme="minorEastAsia" w:hAnsiTheme="minorHAnsi" w:cstheme="minorBidi"/>
          </w:rPr>
          <w:tab/>
        </w:r>
        <w:r w:rsidR="004B3EA2" w:rsidRPr="00966AA9">
          <w:rPr>
            <w:rStyle w:val="Hyperlink"/>
          </w:rPr>
          <w:t>State transition diagram for the Markov model</w:t>
        </w:r>
        <w:r w:rsidR="004B3EA2">
          <w:rPr>
            <w:webHidden/>
          </w:rPr>
          <w:tab/>
        </w:r>
        <w:r w:rsidR="004B3EA2">
          <w:rPr>
            <w:webHidden/>
          </w:rPr>
          <w:fldChar w:fldCharType="begin"/>
        </w:r>
        <w:r w:rsidR="004B3EA2">
          <w:rPr>
            <w:webHidden/>
          </w:rPr>
          <w:instrText xml:space="preserve"> PAGEREF _Toc69305744 \h </w:instrText>
        </w:r>
        <w:r w:rsidR="004B3EA2">
          <w:rPr>
            <w:webHidden/>
          </w:rPr>
        </w:r>
        <w:r w:rsidR="004B3EA2">
          <w:rPr>
            <w:webHidden/>
          </w:rPr>
          <w:fldChar w:fldCharType="separate"/>
        </w:r>
        <w:r w:rsidR="004B3EA2">
          <w:rPr>
            <w:webHidden/>
          </w:rPr>
          <w:t>102</w:t>
        </w:r>
        <w:r w:rsidR="004B3EA2">
          <w:rPr>
            <w:webHidden/>
          </w:rPr>
          <w:fldChar w:fldCharType="end"/>
        </w:r>
      </w:hyperlink>
    </w:p>
    <w:p w14:paraId="6932C1B5" w14:textId="00C9A715" w:rsidR="004B3EA2" w:rsidRDefault="00003BA5">
      <w:pPr>
        <w:pStyle w:val="TableofFigures"/>
        <w:rPr>
          <w:rFonts w:asciiTheme="minorHAnsi" w:eastAsiaTheme="minorEastAsia" w:hAnsiTheme="minorHAnsi" w:cstheme="minorBidi"/>
        </w:rPr>
      </w:pPr>
      <w:hyperlink w:anchor="_Toc69305745" w:history="1">
        <w:r w:rsidR="004B3EA2" w:rsidRPr="00966AA9">
          <w:rPr>
            <w:rStyle w:val="Hyperlink"/>
          </w:rPr>
          <w:t>Figure 13</w:t>
        </w:r>
        <w:r w:rsidR="004B3EA2">
          <w:rPr>
            <w:rFonts w:asciiTheme="minorHAnsi" w:eastAsiaTheme="minorEastAsia" w:hAnsiTheme="minorHAnsi" w:cstheme="minorBidi"/>
          </w:rPr>
          <w:tab/>
        </w:r>
        <w:r w:rsidR="004B3EA2" w:rsidRPr="00966AA9">
          <w:rPr>
            <w:rStyle w:val="Hyperlink"/>
          </w:rPr>
          <w:t>Markov model traces, Ig versus corticosteroids</w:t>
        </w:r>
        <w:r w:rsidR="004B3EA2">
          <w:rPr>
            <w:webHidden/>
          </w:rPr>
          <w:tab/>
        </w:r>
        <w:r w:rsidR="004B3EA2">
          <w:rPr>
            <w:webHidden/>
          </w:rPr>
          <w:fldChar w:fldCharType="begin"/>
        </w:r>
        <w:r w:rsidR="004B3EA2">
          <w:rPr>
            <w:webHidden/>
          </w:rPr>
          <w:instrText xml:space="preserve"> PAGEREF _Toc69305745 \h </w:instrText>
        </w:r>
        <w:r w:rsidR="004B3EA2">
          <w:rPr>
            <w:webHidden/>
          </w:rPr>
        </w:r>
        <w:r w:rsidR="004B3EA2">
          <w:rPr>
            <w:webHidden/>
          </w:rPr>
          <w:fldChar w:fldCharType="separate"/>
        </w:r>
        <w:r w:rsidR="004B3EA2">
          <w:rPr>
            <w:webHidden/>
          </w:rPr>
          <w:t>120</w:t>
        </w:r>
        <w:r w:rsidR="004B3EA2">
          <w:rPr>
            <w:webHidden/>
          </w:rPr>
          <w:fldChar w:fldCharType="end"/>
        </w:r>
      </w:hyperlink>
    </w:p>
    <w:p w14:paraId="5B3E3BFB" w14:textId="1445C82B" w:rsidR="004B3EA2" w:rsidRDefault="00003BA5">
      <w:pPr>
        <w:pStyle w:val="TableofFigures"/>
        <w:rPr>
          <w:rFonts w:asciiTheme="minorHAnsi" w:eastAsiaTheme="minorEastAsia" w:hAnsiTheme="minorHAnsi" w:cstheme="minorBidi"/>
        </w:rPr>
      </w:pPr>
      <w:hyperlink w:anchor="_Toc69305746" w:history="1">
        <w:r w:rsidR="004B3EA2" w:rsidRPr="00966AA9">
          <w:rPr>
            <w:rStyle w:val="Hyperlink"/>
          </w:rPr>
          <w:t>Figure 14</w:t>
        </w:r>
        <w:r w:rsidR="004B3EA2">
          <w:rPr>
            <w:rFonts w:asciiTheme="minorHAnsi" w:eastAsiaTheme="minorEastAsia" w:hAnsiTheme="minorHAnsi" w:cstheme="minorBidi"/>
          </w:rPr>
          <w:tab/>
        </w:r>
        <w:r w:rsidR="004B3EA2" w:rsidRPr="00966AA9">
          <w:rPr>
            <w:rStyle w:val="Hyperlink"/>
          </w:rPr>
          <w:t>Number of patients with CIDP requiring Ig therapy; projected patient numbers to 2025–2026</w:t>
        </w:r>
        <w:r w:rsidR="004B3EA2">
          <w:rPr>
            <w:webHidden/>
          </w:rPr>
          <w:tab/>
        </w:r>
        <w:r w:rsidR="004B3EA2">
          <w:rPr>
            <w:webHidden/>
          </w:rPr>
          <w:fldChar w:fldCharType="begin"/>
        </w:r>
        <w:r w:rsidR="004B3EA2">
          <w:rPr>
            <w:webHidden/>
          </w:rPr>
          <w:instrText xml:space="preserve"> PAGEREF _Toc69305746 \h </w:instrText>
        </w:r>
        <w:r w:rsidR="004B3EA2">
          <w:rPr>
            <w:webHidden/>
          </w:rPr>
        </w:r>
        <w:r w:rsidR="004B3EA2">
          <w:rPr>
            <w:webHidden/>
          </w:rPr>
          <w:fldChar w:fldCharType="separate"/>
        </w:r>
        <w:r w:rsidR="004B3EA2">
          <w:rPr>
            <w:webHidden/>
          </w:rPr>
          <w:t>132</w:t>
        </w:r>
        <w:r w:rsidR="004B3EA2">
          <w:rPr>
            <w:webHidden/>
          </w:rPr>
          <w:fldChar w:fldCharType="end"/>
        </w:r>
      </w:hyperlink>
    </w:p>
    <w:p w14:paraId="7D8FF65B" w14:textId="54EEBBB0" w:rsidR="004B3EA2" w:rsidRDefault="00003BA5">
      <w:pPr>
        <w:pStyle w:val="TableofFigures"/>
        <w:rPr>
          <w:rFonts w:asciiTheme="minorHAnsi" w:eastAsiaTheme="minorEastAsia" w:hAnsiTheme="minorHAnsi" w:cstheme="minorBidi"/>
        </w:rPr>
      </w:pPr>
      <w:hyperlink w:anchor="_Toc69305747" w:history="1">
        <w:r w:rsidR="004B3EA2" w:rsidRPr="00966AA9">
          <w:rPr>
            <w:rStyle w:val="Hyperlink"/>
          </w:rPr>
          <w:t>Figure 15</w:t>
        </w:r>
        <w:r w:rsidR="004B3EA2">
          <w:rPr>
            <w:rFonts w:asciiTheme="minorHAnsi" w:eastAsiaTheme="minorEastAsia" w:hAnsiTheme="minorHAnsi" w:cstheme="minorBidi"/>
          </w:rPr>
          <w:tab/>
        </w:r>
        <w:r w:rsidR="004B3EA2" w:rsidRPr="00966AA9">
          <w:rPr>
            <w:rStyle w:val="Hyperlink"/>
          </w:rPr>
          <w:t>Ig for CIDP, use projections to 2025–2026</w:t>
        </w:r>
        <w:r w:rsidR="004B3EA2">
          <w:rPr>
            <w:webHidden/>
          </w:rPr>
          <w:tab/>
        </w:r>
        <w:r w:rsidR="004B3EA2">
          <w:rPr>
            <w:webHidden/>
          </w:rPr>
          <w:fldChar w:fldCharType="begin"/>
        </w:r>
        <w:r w:rsidR="004B3EA2">
          <w:rPr>
            <w:webHidden/>
          </w:rPr>
          <w:instrText xml:space="preserve"> PAGEREF _Toc69305747 \h </w:instrText>
        </w:r>
        <w:r w:rsidR="004B3EA2">
          <w:rPr>
            <w:webHidden/>
          </w:rPr>
        </w:r>
        <w:r w:rsidR="004B3EA2">
          <w:rPr>
            <w:webHidden/>
          </w:rPr>
          <w:fldChar w:fldCharType="separate"/>
        </w:r>
        <w:r w:rsidR="004B3EA2">
          <w:rPr>
            <w:webHidden/>
          </w:rPr>
          <w:t>134</w:t>
        </w:r>
        <w:r w:rsidR="004B3EA2">
          <w:rPr>
            <w:webHidden/>
          </w:rPr>
          <w:fldChar w:fldCharType="end"/>
        </w:r>
      </w:hyperlink>
    </w:p>
    <w:p w14:paraId="16EAE9A9" w14:textId="7914C712" w:rsidR="004B3EA2" w:rsidRDefault="00003BA5">
      <w:pPr>
        <w:pStyle w:val="TableofFigures"/>
        <w:rPr>
          <w:rFonts w:asciiTheme="minorHAnsi" w:eastAsiaTheme="minorEastAsia" w:hAnsiTheme="minorHAnsi" w:cstheme="minorBidi"/>
        </w:rPr>
      </w:pPr>
      <w:hyperlink w:anchor="_Toc69305748" w:history="1">
        <w:r w:rsidR="004B3EA2" w:rsidRPr="00966AA9">
          <w:rPr>
            <w:rStyle w:val="Hyperlink"/>
          </w:rPr>
          <w:t>Figure 16</w:t>
        </w:r>
        <w:r w:rsidR="004B3EA2">
          <w:rPr>
            <w:rFonts w:asciiTheme="minorHAnsi" w:eastAsiaTheme="minorEastAsia" w:hAnsiTheme="minorHAnsi" w:cstheme="minorBidi"/>
          </w:rPr>
          <w:tab/>
        </w:r>
        <w:r w:rsidR="004B3EA2" w:rsidRPr="00966AA9">
          <w:rPr>
            <w:rStyle w:val="Hyperlink"/>
          </w:rPr>
          <w:t>Current management algorithm for CIDP patients eligible for Ig therapy</w:t>
        </w:r>
        <w:r w:rsidR="004B3EA2">
          <w:rPr>
            <w:webHidden/>
          </w:rPr>
          <w:tab/>
        </w:r>
        <w:r w:rsidR="004B3EA2">
          <w:rPr>
            <w:webHidden/>
          </w:rPr>
          <w:fldChar w:fldCharType="begin"/>
        </w:r>
        <w:r w:rsidR="004B3EA2">
          <w:rPr>
            <w:webHidden/>
          </w:rPr>
          <w:instrText xml:space="preserve"> PAGEREF _Toc69305748 \h </w:instrText>
        </w:r>
        <w:r w:rsidR="004B3EA2">
          <w:rPr>
            <w:webHidden/>
          </w:rPr>
        </w:r>
        <w:r w:rsidR="004B3EA2">
          <w:rPr>
            <w:webHidden/>
          </w:rPr>
          <w:fldChar w:fldCharType="separate"/>
        </w:r>
        <w:r w:rsidR="004B3EA2">
          <w:rPr>
            <w:webHidden/>
          </w:rPr>
          <w:t>149</w:t>
        </w:r>
        <w:r w:rsidR="004B3EA2">
          <w:rPr>
            <w:webHidden/>
          </w:rPr>
          <w:fldChar w:fldCharType="end"/>
        </w:r>
      </w:hyperlink>
    </w:p>
    <w:p w14:paraId="4D12C1C0" w14:textId="0244C2A0" w:rsidR="004B3EA2" w:rsidRDefault="00003BA5">
      <w:pPr>
        <w:pStyle w:val="TableofFigures"/>
        <w:rPr>
          <w:rFonts w:asciiTheme="minorHAnsi" w:eastAsiaTheme="minorEastAsia" w:hAnsiTheme="minorHAnsi" w:cstheme="minorBidi"/>
        </w:rPr>
      </w:pPr>
      <w:hyperlink w:anchor="_Toc69305749" w:history="1">
        <w:r w:rsidR="004B3EA2" w:rsidRPr="00966AA9">
          <w:rPr>
            <w:rStyle w:val="Hyperlink"/>
            <w:lang w:val="en-GB" w:eastAsia="ja-JP"/>
          </w:rPr>
          <w:t>Figure 17</w:t>
        </w:r>
        <w:r w:rsidR="004B3EA2">
          <w:rPr>
            <w:rFonts w:asciiTheme="minorHAnsi" w:eastAsiaTheme="minorEastAsia" w:hAnsiTheme="minorHAnsi" w:cstheme="minorBidi"/>
          </w:rPr>
          <w:tab/>
        </w:r>
        <w:r w:rsidR="004B3EA2" w:rsidRPr="00966AA9">
          <w:rPr>
            <w:rStyle w:val="Hyperlink"/>
            <w:lang w:val="en-GB" w:eastAsia="ja-JP"/>
          </w:rPr>
          <w:t>Proposed algorithm for treatment of patients in the absence (or failure) of Ig.</w:t>
        </w:r>
        <w:r w:rsidR="004B3EA2">
          <w:rPr>
            <w:webHidden/>
          </w:rPr>
          <w:tab/>
        </w:r>
        <w:r w:rsidR="004B3EA2">
          <w:rPr>
            <w:webHidden/>
          </w:rPr>
          <w:fldChar w:fldCharType="begin"/>
        </w:r>
        <w:r w:rsidR="004B3EA2">
          <w:rPr>
            <w:webHidden/>
          </w:rPr>
          <w:instrText xml:space="preserve"> PAGEREF _Toc69305749 \h </w:instrText>
        </w:r>
        <w:r w:rsidR="004B3EA2">
          <w:rPr>
            <w:webHidden/>
          </w:rPr>
        </w:r>
        <w:r w:rsidR="004B3EA2">
          <w:rPr>
            <w:webHidden/>
          </w:rPr>
          <w:fldChar w:fldCharType="separate"/>
        </w:r>
        <w:r w:rsidR="004B3EA2">
          <w:rPr>
            <w:webHidden/>
          </w:rPr>
          <w:t>150</w:t>
        </w:r>
        <w:r w:rsidR="004B3EA2">
          <w:rPr>
            <w:webHidden/>
          </w:rPr>
          <w:fldChar w:fldCharType="end"/>
        </w:r>
      </w:hyperlink>
    </w:p>
    <w:p w14:paraId="639FB5EB" w14:textId="3EE0813F" w:rsidR="004B3EA2" w:rsidRDefault="00003BA5">
      <w:pPr>
        <w:pStyle w:val="TableofFigures"/>
        <w:rPr>
          <w:rFonts w:asciiTheme="minorHAnsi" w:eastAsiaTheme="minorEastAsia" w:hAnsiTheme="minorHAnsi" w:cstheme="minorBidi"/>
        </w:rPr>
      </w:pPr>
      <w:hyperlink w:anchor="_Toc69305750" w:history="1">
        <w:r w:rsidR="004B3EA2" w:rsidRPr="00966AA9">
          <w:rPr>
            <w:rStyle w:val="Hyperlink"/>
          </w:rPr>
          <w:t>Figure 18</w:t>
        </w:r>
        <w:r w:rsidR="004B3EA2">
          <w:rPr>
            <w:rFonts w:asciiTheme="minorHAnsi" w:eastAsiaTheme="minorEastAsia" w:hAnsiTheme="minorHAnsi" w:cstheme="minorBidi"/>
          </w:rPr>
          <w:tab/>
        </w:r>
        <w:r w:rsidR="004B3EA2" w:rsidRPr="00966AA9">
          <w:rPr>
            <w:rStyle w:val="Hyperlink"/>
          </w:rPr>
          <w:t>Markov model traces, Ig arm</w:t>
        </w:r>
        <w:r w:rsidR="004B3EA2">
          <w:rPr>
            <w:webHidden/>
          </w:rPr>
          <w:tab/>
        </w:r>
        <w:r w:rsidR="004B3EA2">
          <w:rPr>
            <w:webHidden/>
          </w:rPr>
          <w:fldChar w:fldCharType="begin"/>
        </w:r>
        <w:r w:rsidR="004B3EA2">
          <w:rPr>
            <w:webHidden/>
          </w:rPr>
          <w:instrText xml:space="preserve"> PAGEREF _Toc69305750 \h </w:instrText>
        </w:r>
        <w:r w:rsidR="004B3EA2">
          <w:rPr>
            <w:webHidden/>
          </w:rPr>
        </w:r>
        <w:r w:rsidR="004B3EA2">
          <w:rPr>
            <w:webHidden/>
          </w:rPr>
          <w:fldChar w:fldCharType="separate"/>
        </w:r>
        <w:r w:rsidR="004B3EA2">
          <w:rPr>
            <w:webHidden/>
          </w:rPr>
          <w:t>159</w:t>
        </w:r>
        <w:r w:rsidR="004B3EA2">
          <w:rPr>
            <w:webHidden/>
          </w:rPr>
          <w:fldChar w:fldCharType="end"/>
        </w:r>
      </w:hyperlink>
    </w:p>
    <w:p w14:paraId="0112EA0B" w14:textId="2D0FA87C" w:rsidR="004B3EA2" w:rsidRDefault="00003BA5">
      <w:pPr>
        <w:pStyle w:val="TableofFigures"/>
        <w:rPr>
          <w:rFonts w:asciiTheme="minorHAnsi" w:eastAsiaTheme="minorEastAsia" w:hAnsiTheme="minorHAnsi" w:cstheme="minorBidi"/>
        </w:rPr>
      </w:pPr>
      <w:hyperlink w:anchor="_Toc69305751" w:history="1">
        <w:r w:rsidR="004B3EA2" w:rsidRPr="00966AA9">
          <w:rPr>
            <w:rStyle w:val="Hyperlink"/>
          </w:rPr>
          <w:t>Figure 19</w:t>
        </w:r>
        <w:r w:rsidR="004B3EA2">
          <w:rPr>
            <w:rFonts w:asciiTheme="minorHAnsi" w:eastAsiaTheme="minorEastAsia" w:hAnsiTheme="minorHAnsi" w:cstheme="minorBidi"/>
          </w:rPr>
          <w:tab/>
        </w:r>
        <w:r w:rsidR="004B3EA2" w:rsidRPr="00966AA9">
          <w:rPr>
            <w:rStyle w:val="Hyperlink"/>
          </w:rPr>
          <w:t>Markov model traces, corticosteroids arm</w:t>
        </w:r>
        <w:r w:rsidR="004B3EA2">
          <w:rPr>
            <w:webHidden/>
          </w:rPr>
          <w:tab/>
        </w:r>
        <w:r w:rsidR="004B3EA2">
          <w:rPr>
            <w:webHidden/>
          </w:rPr>
          <w:fldChar w:fldCharType="begin"/>
        </w:r>
        <w:r w:rsidR="004B3EA2">
          <w:rPr>
            <w:webHidden/>
          </w:rPr>
          <w:instrText xml:space="preserve"> PAGEREF _Toc69305751 \h </w:instrText>
        </w:r>
        <w:r w:rsidR="004B3EA2">
          <w:rPr>
            <w:webHidden/>
          </w:rPr>
        </w:r>
        <w:r w:rsidR="004B3EA2">
          <w:rPr>
            <w:webHidden/>
          </w:rPr>
          <w:fldChar w:fldCharType="separate"/>
        </w:r>
        <w:r w:rsidR="004B3EA2">
          <w:rPr>
            <w:webHidden/>
          </w:rPr>
          <w:t>160</w:t>
        </w:r>
        <w:r w:rsidR="004B3EA2">
          <w:rPr>
            <w:webHidden/>
          </w:rPr>
          <w:fldChar w:fldCharType="end"/>
        </w:r>
      </w:hyperlink>
    </w:p>
    <w:p w14:paraId="4DA94A2A" w14:textId="4A319123" w:rsidR="004B3EA2" w:rsidRDefault="00003BA5">
      <w:pPr>
        <w:pStyle w:val="TableofFigures"/>
        <w:rPr>
          <w:rFonts w:asciiTheme="minorHAnsi" w:eastAsiaTheme="minorEastAsia" w:hAnsiTheme="minorHAnsi" w:cstheme="minorBidi"/>
        </w:rPr>
      </w:pPr>
      <w:hyperlink w:anchor="_Toc69305752" w:history="1">
        <w:r w:rsidR="004B3EA2" w:rsidRPr="00966AA9">
          <w:rPr>
            <w:rStyle w:val="Hyperlink"/>
          </w:rPr>
          <w:t>Figure 20</w:t>
        </w:r>
        <w:r w:rsidR="004B3EA2">
          <w:rPr>
            <w:rFonts w:asciiTheme="minorHAnsi" w:eastAsiaTheme="minorEastAsia" w:hAnsiTheme="minorHAnsi" w:cstheme="minorBidi"/>
          </w:rPr>
          <w:tab/>
        </w:r>
        <w:r w:rsidR="004B3EA2" w:rsidRPr="00966AA9">
          <w:rPr>
            <w:rStyle w:val="Hyperlink"/>
          </w:rPr>
          <w:t>Markov model traces, plasma exchange arm</w:t>
        </w:r>
        <w:r w:rsidR="004B3EA2">
          <w:rPr>
            <w:webHidden/>
          </w:rPr>
          <w:tab/>
        </w:r>
        <w:r w:rsidR="004B3EA2">
          <w:rPr>
            <w:webHidden/>
          </w:rPr>
          <w:fldChar w:fldCharType="begin"/>
        </w:r>
        <w:r w:rsidR="004B3EA2">
          <w:rPr>
            <w:webHidden/>
          </w:rPr>
          <w:instrText xml:space="preserve"> PAGEREF _Toc69305752 \h </w:instrText>
        </w:r>
        <w:r w:rsidR="004B3EA2">
          <w:rPr>
            <w:webHidden/>
          </w:rPr>
        </w:r>
        <w:r w:rsidR="004B3EA2">
          <w:rPr>
            <w:webHidden/>
          </w:rPr>
          <w:fldChar w:fldCharType="separate"/>
        </w:r>
        <w:r w:rsidR="004B3EA2">
          <w:rPr>
            <w:webHidden/>
          </w:rPr>
          <w:t>160</w:t>
        </w:r>
        <w:r w:rsidR="004B3EA2">
          <w:rPr>
            <w:webHidden/>
          </w:rPr>
          <w:fldChar w:fldCharType="end"/>
        </w:r>
      </w:hyperlink>
    </w:p>
    <w:p w14:paraId="728F0080" w14:textId="4D7E306C" w:rsidR="004B3EA2" w:rsidRDefault="00003BA5">
      <w:pPr>
        <w:pStyle w:val="TableofFigures"/>
        <w:rPr>
          <w:rFonts w:asciiTheme="minorHAnsi" w:eastAsiaTheme="minorEastAsia" w:hAnsiTheme="minorHAnsi" w:cstheme="minorBidi"/>
        </w:rPr>
      </w:pPr>
      <w:hyperlink w:anchor="_Toc69305753" w:history="1">
        <w:r w:rsidR="004B3EA2" w:rsidRPr="00966AA9">
          <w:rPr>
            <w:rStyle w:val="Hyperlink"/>
          </w:rPr>
          <w:t>Figure 21</w:t>
        </w:r>
        <w:r w:rsidR="004B3EA2">
          <w:rPr>
            <w:rFonts w:asciiTheme="minorHAnsi" w:eastAsiaTheme="minorEastAsia" w:hAnsiTheme="minorHAnsi" w:cstheme="minorBidi"/>
          </w:rPr>
          <w:tab/>
        </w:r>
        <w:r w:rsidR="004B3EA2" w:rsidRPr="00966AA9">
          <w:rPr>
            <w:rStyle w:val="Hyperlink"/>
          </w:rPr>
          <w:t>Markov model traces, best supportive care arm</w:t>
        </w:r>
        <w:r w:rsidR="004B3EA2">
          <w:rPr>
            <w:webHidden/>
          </w:rPr>
          <w:tab/>
        </w:r>
        <w:r w:rsidR="004B3EA2">
          <w:rPr>
            <w:webHidden/>
          </w:rPr>
          <w:fldChar w:fldCharType="begin"/>
        </w:r>
        <w:r w:rsidR="004B3EA2">
          <w:rPr>
            <w:webHidden/>
          </w:rPr>
          <w:instrText xml:space="preserve"> PAGEREF _Toc69305753 \h </w:instrText>
        </w:r>
        <w:r w:rsidR="004B3EA2">
          <w:rPr>
            <w:webHidden/>
          </w:rPr>
        </w:r>
        <w:r w:rsidR="004B3EA2">
          <w:rPr>
            <w:webHidden/>
          </w:rPr>
          <w:fldChar w:fldCharType="separate"/>
        </w:r>
        <w:r w:rsidR="004B3EA2">
          <w:rPr>
            <w:webHidden/>
          </w:rPr>
          <w:t>161</w:t>
        </w:r>
        <w:r w:rsidR="004B3EA2">
          <w:rPr>
            <w:webHidden/>
          </w:rPr>
          <w:fldChar w:fldCharType="end"/>
        </w:r>
      </w:hyperlink>
    </w:p>
    <w:p w14:paraId="36D28D6D" w14:textId="05E2A8FA" w:rsidR="00452F32" w:rsidRPr="00E3331A" w:rsidRDefault="0086593E" w:rsidP="00A27881">
      <w:pPr>
        <w:tabs>
          <w:tab w:val="left" w:pos="1276"/>
        </w:tabs>
        <w:ind w:left="1276" w:hanging="1276"/>
        <w:jc w:val="both"/>
      </w:pPr>
      <w:r w:rsidRPr="00E3331A">
        <w:rPr>
          <w:szCs w:val="24"/>
        </w:rPr>
        <w:fldChar w:fldCharType="end"/>
      </w:r>
    </w:p>
    <w:p w14:paraId="46885D92" w14:textId="77777777" w:rsidR="008F59A8" w:rsidRPr="00E3331A" w:rsidRDefault="008F59A8" w:rsidP="00DF343F">
      <w:pPr>
        <w:jc w:val="both"/>
        <w:sectPr w:rsidR="008F59A8" w:rsidRPr="00E3331A" w:rsidSect="0080059D">
          <w:headerReference w:type="even" r:id="rId18"/>
          <w:headerReference w:type="default" r:id="rId19"/>
          <w:footerReference w:type="even" r:id="rId20"/>
          <w:footerReference w:type="default" r:id="rId21"/>
          <w:headerReference w:type="first" r:id="rId22"/>
          <w:type w:val="oddPage"/>
          <w:pgSz w:w="11906" w:h="16838"/>
          <w:pgMar w:top="1440" w:right="1440" w:bottom="1440" w:left="1440" w:header="720" w:footer="720" w:gutter="0"/>
          <w:paperSrc w:first="2" w:other="2"/>
          <w:pgNumType w:fmt="lowerRoman"/>
          <w:cols w:space="720"/>
          <w:docGrid w:linePitch="299"/>
        </w:sectPr>
      </w:pPr>
    </w:p>
    <w:p w14:paraId="787A951C" w14:textId="77777777" w:rsidR="002F5F9B" w:rsidRPr="00E3331A" w:rsidRDefault="000D1300" w:rsidP="00DF343F">
      <w:pPr>
        <w:pStyle w:val="Heading1"/>
        <w:jc w:val="both"/>
      </w:pPr>
      <w:bookmarkStart w:id="34" w:name="_Toc236559502"/>
      <w:bookmarkStart w:id="35" w:name="_Toc379118056"/>
      <w:bookmarkStart w:id="36" w:name="_Toc381796428"/>
      <w:bookmarkStart w:id="37" w:name="_Toc69305523"/>
      <w:r w:rsidRPr="00E3331A">
        <w:t>Executive S</w:t>
      </w:r>
      <w:r w:rsidR="002F5F9B" w:rsidRPr="00E3331A">
        <w:t>ummary</w:t>
      </w:r>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323A3" w:rsidRPr="00E3331A" w14:paraId="3E855863" w14:textId="77777777" w:rsidTr="0007007F">
        <w:trPr>
          <w:tblHeader/>
        </w:trPr>
        <w:tc>
          <w:tcPr>
            <w:tcW w:w="9016" w:type="dxa"/>
            <w:tcBorders>
              <w:top w:val="single" w:sz="4" w:space="0" w:color="auto"/>
              <w:left w:val="single" w:sz="4" w:space="0" w:color="auto"/>
              <w:bottom w:val="nil"/>
              <w:right w:val="single" w:sz="4" w:space="0" w:color="auto"/>
            </w:tcBorders>
            <w:shd w:val="clear" w:color="auto" w:fill="auto"/>
            <w:hideMark/>
          </w:tcPr>
          <w:p w14:paraId="11B742AB" w14:textId="77777777" w:rsidR="000323A3" w:rsidRPr="00E3331A" w:rsidRDefault="000323A3" w:rsidP="0007007F">
            <w:pPr>
              <w:pStyle w:val="Heading5"/>
              <w:ind w:left="720"/>
            </w:pPr>
            <w:bookmarkStart w:id="38" w:name="_Toc381796429"/>
            <w:r w:rsidRPr="00E3331A">
              <w:t xml:space="preserve">Main issues for </w:t>
            </w:r>
            <w:r w:rsidR="00A91058" w:rsidRPr="00E3331A">
              <w:t xml:space="preserve">MSAC </w:t>
            </w:r>
            <w:r w:rsidRPr="00E3331A">
              <w:t>consideration</w:t>
            </w:r>
          </w:p>
        </w:tc>
      </w:tr>
      <w:tr w:rsidR="000323A3" w:rsidRPr="00E3331A" w14:paraId="0952E13F" w14:textId="77777777" w:rsidTr="00E17C3C">
        <w:tc>
          <w:tcPr>
            <w:tcW w:w="9016" w:type="dxa"/>
            <w:tcBorders>
              <w:top w:val="nil"/>
              <w:left w:val="single" w:sz="4" w:space="0" w:color="auto"/>
              <w:bottom w:val="nil"/>
              <w:right w:val="single" w:sz="4" w:space="0" w:color="auto"/>
            </w:tcBorders>
            <w:shd w:val="clear" w:color="auto" w:fill="auto"/>
            <w:hideMark/>
          </w:tcPr>
          <w:p w14:paraId="1C9CA5A2" w14:textId="02FC0DE4" w:rsidR="00CD081A" w:rsidRDefault="00107AA7" w:rsidP="000B596E">
            <w:pPr>
              <w:pStyle w:val="BodyTextSTD"/>
              <w:numPr>
                <w:ilvl w:val="0"/>
                <w:numId w:val="18"/>
              </w:numPr>
            </w:pPr>
            <w:r>
              <w:t>T</w:t>
            </w:r>
            <w:r w:rsidR="002324F9">
              <w:t>hat t</w:t>
            </w:r>
            <w:r w:rsidR="00C224E9">
              <w:t xml:space="preserve">he requests made by MSAC </w:t>
            </w:r>
            <w:r>
              <w:t xml:space="preserve">in this </w:t>
            </w:r>
            <w:r w:rsidRPr="00107AA7">
              <w:rPr>
                <w:i/>
              </w:rPr>
              <w:t>fit-for purpose</w:t>
            </w:r>
            <w:r>
              <w:t xml:space="preserve"> resubmission have been addressed</w:t>
            </w:r>
            <w:r w:rsidR="0030164F">
              <w:t>.</w:t>
            </w:r>
          </w:p>
          <w:p w14:paraId="408AFF42" w14:textId="58CA56B5" w:rsidR="00BD5568" w:rsidRPr="00E11A7D" w:rsidRDefault="00CD081A" w:rsidP="000B596E">
            <w:pPr>
              <w:pStyle w:val="BodyTextSTD"/>
              <w:numPr>
                <w:ilvl w:val="0"/>
                <w:numId w:val="18"/>
              </w:numPr>
            </w:pPr>
            <w:r w:rsidRPr="00E11A7D">
              <w:t>Overall the evidence base for</w:t>
            </w:r>
            <w:r w:rsidR="005F58D8">
              <w:t xml:space="preserve"> </w:t>
            </w:r>
            <w:r w:rsidR="0030164F">
              <w:t>immunoglobulin</w:t>
            </w:r>
            <w:r w:rsidRPr="00E11A7D">
              <w:t xml:space="preserve"> </w:t>
            </w:r>
            <w:r w:rsidR="0030164F">
              <w:t>(</w:t>
            </w:r>
            <w:r w:rsidRPr="00E11A7D">
              <w:t>Ig</w:t>
            </w:r>
            <w:r w:rsidR="0030164F">
              <w:t>)</w:t>
            </w:r>
            <w:r w:rsidRPr="00E11A7D">
              <w:t xml:space="preserve"> therapy in patients with </w:t>
            </w:r>
            <w:r w:rsidR="00C26825">
              <w:t>Chronic Inflammatory Demyelinating Polyneuropathy (</w:t>
            </w:r>
            <w:r w:rsidRPr="00E11A7D">
              <w:t>CIDP</w:t>
            </w:r>
            <w:r w:rsidR="00C26825">
              <w:t>)</w:t>
            </w:r>
            <w:r w:rsidRPr="00E11A7D">
              <w:t xml:space="preserve"> is very small, and of low quality. Similarly, there is only a small evidence base for plasma exchange (PE) and glucocorticoid therapy</w:t>
            </w:r>
            <w:r w:rsidR="00107AA7" w:rsidRPr="00E11A7D">
              <w:t xml:space="preserve"> </w:t>
            </w:r>
            <w:r w:rsidRPr="00E11A7D">
              <w:t>(GC). The lack of quality data limits the conclusions that can be made about effectiveness, impact of adverse events and long-term safety compared to PE or GC.</w:t>
            </w:r>
          </w:p>
          <w:p w14:paraId="2F6F64CA" w14:textId="77777777" w:rsidR="00107AA7" w:rsidRPr="00107AA7" w:rsidRDefault="00107AA7" w:rsidP="00107AA7">
            <w:pPr>
              <w:pStyle w:val="BodyTextSTD"/>
              <w:ind w:left="360"/>
              <w:rPr>
                <w:u w:val="single"/>
              </w:rPr>
            </w:pPr>
            <w:r w:rsidRPr="00107AA7">
              <w:rPr>
                <w:u w:val="single"/>
              </w:rPr>
              <w:t>Update of the systematic literature review</w:t>
            </w:r>
          </w:p>
          <w:p w14:paraId="5F7A5CBE" w14:textId="23B73336" w:rsidR="00C224E9" w:rsidRDefault="00107AA7" w:rsidP="000B596E">
            <w:pPr>
              <w:pStyle w:val="BodyTextSTD"/>
              <w:numPr>
                <w:ilvl w:val="0"/>
                <w:numId w:val="18"/>
              </w:numPr>
            </w:pPr>
            <w:r>
              <w:t>In the update of the systematic literature review of comparative safety and effectiveness of Ig for CIDP, there was no</w:t>
            </w:r>
            <w:r w:rsidRPr="00107AA7">
              <w:t xml:space="preserve"> additional </w:t>
            </w:r>
            <w:r w:rsidR="00606209">
              <w:t>r</w:t>
            </w:r>
            <w:r w:rsidR="00C26825">
              <w:t>andomi</w:t>
            </w:r>
            <w:r w:rsidR="001446A4">
              <w:t>s</w:t>
            </w:r>
            <w:r w:rsidR="00C26825">
              <w:t xml:space="preserve">ed </w:t>
            </w:r>
            <w:r w:rsidR="00606209">
              <w:t>c</w:t>
            </w:r>
            <w:r w:rsidR="00C26825">
              <w:t xml:space="preserve">ontrol </w:t>
            </w:r>
            <w:r w:rsidR="00606209">
              <w:t>t</w:t>
            </w:r>
            <w:r w:rsidR="00C26825">
              <w:t>rial (</w:t>
            </w:r>
            <w:r w:rsidRPr="00107AA7">
              <w:t>RCT</w:t>
            </w:r>
            <w:r w:rsidR="00C26825">
              <w:t>)</w:t>
            </w:r>
            <w:r w:rsidRPr="00107AA7">
              <w:t xml:space="preserve"> evidence identified </w:t>
            </w:r>
            <w:r>
              <w:t>comparing</w:t>
            </w:r>
            <w:r w:rsidRPr="00107AA7">
              <w:t xml:space="preserve"> Ig </w:t>
            </w:r>
            <w:r>
              <w:t>with</w:t>
            </w:r>
            <w:r w:rsidRPr="00107AA7">
              <w:t xml:space="preserve"> steroids, PE, immunosuppressants, or combination therapies for CIDP</w:t>
            </w:r>
            <w:r>
              <w:t xml:space="preserve">. </w:t>
            </w:r>
          </w:p>
          <w:p w14:paraId="7444CA2C" w14:textId="4CFA4E57" w:rsidR="00107AA7" w:rsidRDefault="00FB2963" w:rsidP="000B596E">
            <w:pPr>
              <w:pStyle w:val="BodyTextSTD"/>
              <w:numPr>
                <w:ilvl w:val="0"/>
                <w:numId w:val="18"/>
              </w:numPr>
            </w:pPr>
            <w:r>
              <w:t>In a</w:t>
            </w:r>
            <w:r w:rsidR="002E2D50">
              <w:t xml:space="preserve"> RCT </w:t>
            </w:r>
            <w:r>
              <w:t xml:space="preserve">that evaluated </w:t>
            </w:r>
            <w:r w:rsidR="002E2D50">
              <w:t>two doses of subcutaneous Ig (SCIg)</w:t>
            </w:r>
            <w:r>
              <w:t xml:space="preserve"> in stabilised patients,</w:t>
            </w:r>
            <w:r w:rsidR="002E2D50">
              <w:t xml:space="preserve"> </w:t>
            </w:r>
            <w:r>
              <w:t>b</w:t>
            </w:r>
            <w:r w:rsidR="002E2D50">
              <w:t xml:space="preserve">oth </w:t>
            </w:r>
            <w:r w:rsidR="00107AA7">
              <w:t>SCIg</w:t>
            </w:r>
            <w:r w:rsidR="002E2D50">
              <w:t xml:space="preserve"> doses</w:t>
            </w:r>
            <w:r w:rsidR="00107AA7">
              <w:t xml:space="preserve"> (0.2 g/kg and 0.4 g/kg) performed better than placebo for improving relapse rate, time to relapse, and patient reported outcome scores</w:t>
            </w:r>
            <w:r w:rsidR="00E17C3C">
              <w:t xml:space="preserve"> in patients with CIDP</w:t>
            </w:r>
            <w:r w:rsidR="00107AA7">
              <w:t>. There were more adverse events associated with SCIg treatment (either dose)</w:t>
            </w:r>
            <w:r w:rsidR="00C26825">
              <w:t>,</w:t>
            </w:r>
            <w:r w:rsidR="00107AA7">
              <w:t xml:space="preserve"> </w:t>
            </w:r>
            <w:r w:rsidR="00E17C3C">
              <w:t>than</w:t>
            </w:r>
            <w:r w:rsidR="00107AA7">
              <w:t xml:space="preserve"> placebo. There were few differences in effectiveness or safety between the two SCIg doses. </w:t>
            </w:r>
          </w:p>
          <w:p w14:paraId="0E0D026F" w14:textId="77777777" w:rsidR="00CD081A" w:rsidRPr="00E11A7D" w:rsidRDefault="00CD081A" w:rsidP="000B596E">
            <w:pPr>
              <w:pStyle w:val="BodyTextSTD"/>
              <w:numPr>
                <w:ilvl w:val="0"/>
                <w:numId w:val="18"/>
              </w:numPr>
            </w:pPr>
            <w:r w:rsidRPr="00E11A7D">
              <w:t xml:space="preserve">MSAC may want to consider whether it should be recommended to start treatment at the lower SCIg dose </w:t>
            </w:r>
            <w:r w:rsidR="00315674" w:rsidRPr="00E11A7D">
              <w:t>(0.2</w:t>
            </w:r>
            <w:r w:rsidRPr="00E11A7D">
              <w:t> g/kg) and increase if required, or start at the higher dose (0.4 g</w:t>
            </w:r>
            <w:r w:rsidR="00D60529" w:rsidRPr="00E11A7D">
              <w:t>/</w:t>
            </w:r>
            <w:r w:rsidRPr="00E11A7D">
              <w:t>kg) and reduce the dose when the patient is ready.</w:t>
            </w:r>
          </w:p>
          <w:p w14:paraId="242306F6" w14:textId="3517F0D9" w:rsidR="00107AA7" w:rsidRDefault="00107AA7" w:rsidP="000B596E">
            <w:pPr>
              <w:pStyle w:val="BodyTextSTD"/>
              <w:numPr>
                <w:ilvl w:val="0"/>
                <w:numId w:val="18"/>
              </w:numPr>
            </w:pPr>
            <w:r>
              <w:t xml:space="preserve">Two </w:t>
            </w:r>
            <w:r w:rsidR="00C26825">
              <w:t>intravenous Ig (</w:t>
            </w:r>
            <w:r>
              <w:t>IVIg</w:t>
            </w:r>
            <w:r w:rsidR="00C26825">
              <w:t>)</w:t>
            </w:r>
            <w:r>
              <w:t xml:space="preserve"> dose and interval regimens (normal </w:t>
            </w:r>
            <w:r w:rsidR="0033744F">
              <w:t xml:space="preserve">individualised </w:t>
            </w:r>
            <w:r>
              <w:t>dose and interval</w:t>
            </w:r>
            <w:r w:rsidR="002324F9">
              <w:t>,</w:t>
            </w:r>
            <w:r>
              <w:t xml:space="preserve"> and half </w:t>
            </w:r>
            <w:r w:rsidR="0033744F">
              <w:t xml:space="preserve">the individualised </w:t>
            </w:r>
            <w:r>
              <w:t xml:space="preserve">dose </w:t>
            </w:r>
            <w:r w:rsidR="00BE542E">
              <w:t xml:space="preserve">at half the </w:t>
            </w:r>
            <w:r w:rsidR="00E17C3C">
              <w:t>interval</w:t>
            </w:r>
            <w:r>
              <w:t xml:space="preserve">) showed </w:t>
            </w:r>
            <w:r w:rsidR="00E17C3C">
              <w:t>similar</w:t>
            </w:r>
            <w:r>
              <w:t xml:space="preserve"> safety and effectiveness</w:t>
            </w:r>
            <w:r w:rsidR="00E17C3C">
              <w:t xml:space="preserve"> when compared in a cross-over RCT. More flexible dosing regimens could be offered to patient</w:t>
            </w:r>
            <w:r w:rsidR="00C82168">
              <w:t>s</w:t>
            </w:r>
            <w:r w:rsidR="00E17C3C">
              <w:t xml:space="preserve"> with CIDP receiving IVIg.</w:t>
            </w:r>
          </w:p>
          <w:p w14:paraId="6ECECC67" w14:textId="77777777" w:rsidR="00E17C3C" w:rsidRDefault="00E17C3C" w:rsidP="00E17C3C">
            <w:pPr>
              <w:pStyle w:val="BodyTextSTD"/>
              <w:ind w:firstLine="306"/>
              <w:rPr>
                <w:u w:val="single"/>
              </w:rPr>
            </w:pPr>
            <w:r w:rsidRPr="00E17C3C">
              <w:rPr>
                <w:u w:val="single"/>
              </w:rPr>
              <w:t>Extended assessment of harms</w:t>
            </w:r>
          </w:p>
          <w:p w14:paraId="0E847EBC" w14:textId="64F84170" w:rsidR="00E17C3C" w:rsidRDefault="00034497" w:rsidP="000B596E">
            <w:pPr>
              <w:pStyle w:val="BodyTextSTD"/>
              <w:numPr>
                <w:ilvl w:val="0"/>
                <w:numId w:val="31"/>
              </w:numPr>
            </w:pPr>
            <w:r w:rsidRPr="00CD081A">
              <w:rPr>
                <w:b/>
              </w:rPr>
              <w:t>Plasma Exchange</w:t>
            </w:r>
            <w:r w:rsidR="00105686">
              <w:rPr>
                <w:b/>
              </w:rPr>
              <w:t>:</w:t>
            </w:r>
            <w:r>
              <w:t xml:space="preserve"> </w:t>
            </w:r>
            <w:r w:rsidR="00C911EF">
              <w:t>Based on one systematic review</w:t>
            </w:r>
            <w:r w:rsidR="00E53D50">
              <w:t xml:space="preserve"> (SR)</w:t>
            </w:r>
            <w:r w:rsidR="00E85F32">
              <w:t>,</w:t>
            </w:r>
            <w:r w:rsidR="00C911EF">
              <w:t xml:space="preserve"> t</w:t>
            </w:r>
            <w:r w:rsidR="00E17C3C">
              <w:t>he frequency of mild or moderate adverse events</w:t>
            </w:r>
            <w:r w:rsidR="00C26825">
              <w:t xml:space="preserve"> (AEs)</w:t>
            </w:r>
            <w:r w:rsidR="00E17C3C">
              <w:t xml:space="preserve"> </w:t>
            </w:r>
            <w:r w:rsidR="00C82168">
              <w:t xml:space="preserve">was </w:t>
            </w:r>
            <w:r w:rsidR="0021326D">
              <w:t xml:space="preserve">low </w:t>
            </w:r>
            <w:r w:rsidR="00105686">
              <w:t>(</w:t>
            </w:r>
            <w:r w:rsidR="00047DC5">
              <w:t>2.05%</w:t>
            </w:r>
            <w:r w:rsidR="00105686">
              <w:t>)</w:t>
            </w:r>
            <w:r w:rsidR="00047DC5">
              <w:t xml:space="preserve"> </w:t>
            </w:r>
            <w:r w:rsidR="00C911EF">
              <w:t xml:space="preserve">in </w:t>
            </w:r>
            <w:r w:rsidR="0021326D">
              <w:t xml:space="preserve">patients with neurological conditions </w:t>
            </w:r>
            <w:r w:rsidR="00047DC5">
              <w:t>receiving PE</w:t>
            </w:r>
            <w:r w:rsidR="0021326D">
              <w:t>, and ranged from 5.31% to 40% per PE procedure in</w:t>
            </w:r>
            <w:r w:rsidR="00C911EF">
              <w:t xml:space="preserve"> three other</w:t>
            </w:r>
            <w:r w:rsidR="0021326D">
              <w:t xml:space="preserve"> retrospective studies. The rate of serious</w:t>
            </w:r>
            <w:r w:rsidR="00C26825">
              <w:t xml:space="preserve"> AEs</w:t>
            </w:r>
            <w:r w:rsidR="0021326D">
              <w:t xml:space="preserve"> </w:t>
            </w:r>
            <w:r w:rsidR="002324F9">
              <w:t xml:space="preserve">was reported in two studies as 0.12% and 1.68% </w:t>
            </w:r>
            <w:r w:rsidR="0021326D">
              <w:t>of procedures.</w:t>
            </w:r>
            <w:r w:rsidR="00E17C3C">
              <w:t xml:space="preserve"> </w:t>
            </w:r>
            <w:r w:rsidR="0021326D">
              <w:t xml:space="preserve">Common </w:t>
            </w:r>
            <w:r w:rsidR="00C26825">
              <w:t>AEs</w:t>
            </w:r>
            <w:r w:rsidR="0021326D">
              <w:t xml:space="preserve"> were hypotension, and problems with venous access.</w:t>
            </w:r>
          </w:p>
          <w:p w14:paraId="0BFEBAC2" w14:textId="1C6542E1" w:rsidR="0021326D" w:rsidRDefault="00034497" w:rsidP="000B596E">
            <w:pPr>
              <w:pStyle w:val="BodyTextSTD"/>
              <w:numPr>
                <w:ilvl w:val="0"/>
                <w:numId w:val="31"/>
              </w:numPr>
            </w:pPr>
            <w:r w:rsidRPr="00CD081A">
              <w:rPr>
                <w:b/>
              </w:rPr>
              <w:t>Glucocorticoids</w:t>
            </w:r>
            <w:r w:rsidR="00105686">
              <w:rPr>
                <w:b/>
              </w:rPr>
              <w:t>:</w:t>
            </w:r>
            <w:r>
              <w:t xml:space="preserve"> </w:t>
            </w:r>
            <w:r w:rsidR="0021326D">
              <w:t xml:space="preserve">The frequency of </w:t>
            </w:r>
            <w:r w:rsidR="00C26825">
              <w:t>AEs</w:t>
            </w:r>
            <w:r w:rsidR="0021326D">
              <w:t xml:space="preserve"> was high for patients taking steroids long-term, however the data is less certain due to widely </w:t>
            </w:r>
            <w:r w:rsidR="005A3A35">
              <w:t xml:space="preserve">varying </w:t>
            </w:r>
            <w:r w:rsidR="0021326D">
              <w:t xml:space="preserve">populations considered, and because only the most frequent events were reported. The most frequent </w:t>
            </w:r>
            <w:r w:rsidR="00C26825">
              <w:t>AEs</w:t>
            </w:r>
            <w:r w:rsidR="0021326D">
              <w:t xml:space="preserve"> recorded were serious infection (37% of patients) and hypertension (&gt; 30% of patients). There was a dosage effect in the use of long-term steroids, with several </w:t>
            </w:r>
            <w:r w:rsidR="00C26825">
              <w:t>AEs</w:t>
            </w:r>
            <w:r w:rsidR="0021326D">
              <w:t xml:space="preserve"> increasing in rate linearly with dosage.</w:t>
            </w:r>
          </w:p>
          <w:p w14:paraId="464F4A64" w14:textId="4C997618" w:rsidR="007A4CE5" w:rsidRDefault="00CD081A" w:rsidP="000B596E">
            <w:pPr>
              <w:pStyle w:val="BodyTextSTD"/>
              <w:numPr>
                <w:ilvl w:val="0"/>
                <w:numId w:val="31"/>
              </w:numPr>
            </w:pPr>
            <w:r w:rsidRPr="00CD081A">
              <w:rPr>
                <w:b/>
              </w:rPr>
              <w:t>IVIg</w:t>
            </w:r>
            <w:r w:rsidR="00C911EF">
              <w:t xml:space="preserve">: </w:t>
            </w:r>
            <w:r w:rsidR="007A4CE5">
              <w:t xml:space="preserve">AEs occurred in 2.9% of </w:t>
            </w:r>
            <w:r w:rsidR="00C911EF">
              <w:t xml:space="preserve">all </w:t>
            </w:r>
            <w:r w:rsidR="007A4CE5">
              <w:t xml:space="preserve">infusions and 16.9% of patients with autoimmune neurological conditions receiving IVIg in an outpatient setting. In </w:t>
            </w:r>
            <w:r w:rsidR="00C911EF">
              <w:t xml:space="preserve">the sub-group with </w:t>
            </w:r>
            <w:r w:rsidR="007A4CE5">
              <w:t>CIDP, AEs occurred in 1.9% of infusions and 12.2% of patients. The most frequent AEs were headache, hypertension, rash and nausea, but the rates of these were generally low. Serious AEs were rare.</w:t>
            </w:r>
          </w:p>
          <w:p w14:paraId="6AE5B4B8" w14:textId="77777777" w:rsidR="00C224E9" w:rsidRPr="007A4CE5" w:rsidRDefault="007A4CE5" w:rsidP="007A4CE5">
            <w:pPr>
              <w:pStyle w:val="BodyTextSTD"/>
              <w:ind w:firstLine="306"/>
              <w:rPr>
                <w:u w:val="single"/>
              </w:rPr>
            </w:pPr>
            <w:r w:rsidRPr="007A4CE5">
              <w:rPr>
                <w:u w:val="single"/>
              </w:rPr>
              <w:t>Economic analysis</w:t>
            </w:r>
          </w:p>
        </w:tc>
      </w:tr>
      <w:tr w:rsidR="00E17C3C" w:rsidRPr="00E3331A" w14:paraId="572994C4" w14:textId="77777777" w:rsidTr="0007007F">
        <w:tc>
          <w:tcPr>
            <w:tcW w:w="9016" w:type="dxa"/>
            <w:tcBorders>
              <w:top w:val="nil"/>
              <w:left w:val="single" w:sz="4" w:space="0" w:color="auto"/>
              <w:bottom w:val="single" w:sz="4" w:space="0" w:color="auto"/>
              <w:right w:val="single" w:sz="4" w:space="0" w:color="auto"/>
            </w:tcBorders>
            <w:shd w:val="clear" w:color="auto" w:fill="auto"/>
          </w:tcPr>
          <w:p w14:paraId="4B97DEAA" w14:textId="1CE260C2" w:rsidR="008E7EAD" w:rsidRDefault="008E7EAD" w:rsidP="008E7EAD">
            <w:pPr>
              <w:pStyle w:val="BodyTextSTD"/>
              <w:numPr>
                <w:ilvl w:val="0"/>
                <w:numId w:val="18"/>
              </w:numPr>
            </w:pPr>
            <w:r w:rsidRPr="00910E25">
              <w:t>Given the underlying uncertainty associated with the estimates of treatment effectiveness</w:t>
            </w:r>
            <w:r>
              <w:t xml:space="preserve"> and safety for both intervention and comparators</w:t>
            </w:r>
            <w:r w:rsidRPr="00910E25">
              <w:t>, the economic model is therefore also associated with uncertainty</w:t>
            </w:r>
            <w:r>
              <w:t>.</w:t>
            </w:r>
          </w:p>
          <w:p w14:paraId="38E3028A" w14:textId="77777777" w:rsidR="001C4FDD" w:rsidRDefault="008D07F7" w:rsidP="008D07F7">
            <w:pPr>
              <w:pStyle w:val="BodyTextSTD"/>
              <w:numPr>
                <w:ilvl w:val="0"/>
                <w:numId w:val="18"/>
              </w:numPr>
            </w:pPr>
            <w:r>
              <w:t xml:space="preserve">The previous economic evaluation only presented a cost-utility study for Ig therapy versus corticosteroids in patients with CIDP (comparisons with PE or placebo were not presented in the last report). </w:t>
            </w:r>
          </w:p>
          <w:p w14:paraId="7BB9A8E9" w14:textId="34CB3542" w:rsidR="008D07F7" w:rsidRDefault="008D07F7" w:rsidP="008D07F7">
            <w:pPr>
              <w:pStyle w:val="BodyTextSTD"/>
              <w:numPr>
                <w:ilvl w:val="0"/>
                <w:numId w:val="18"/>
              </w:numPr>
            </w:pPr>
            <w:r>
              <w:t xml:space="preserve">A </w:t>
            </w:r>
            <w:r w:rsidRPr="009B62BA">
              <w:rPr>
                <w:i/>
              </w:rPr>
              <w:t>de novo</w:t>
            </w:r>
            <w:r>
              <w:t xml:space="preserve"> model </w:t>
            </w:r>
            <w:r w:rsidR="001C4FDD">
              <w:t>has been</w:t>
            </w:r>
            <w:r>
              <w:t xml:space="preserve"> structured </w:t>
            </w:r>
            <w:r w:rsidR="00C911EF">
              <w:t xml:space="preserve">in this revised DCAR </w:t>
            </w:r>
            <w:r>
              <w:t xml:space="preserve">to address ESC’s concerns. The new model allows for treatment stopping and withdrawal and incorporates the additional safety evidence (long-term and short-term) for steroids and PE treatments. </w:t>
            </w:r>
          </w:p>
          <w:p w14:paraId="44F243D4" w14:textId="15D2B354" w:rsidR="00E17C3C" w:rsidRDefault="008D07F7" w:rsidP="008D07F7">
            <w:pPr>
              <w:pStyle w:val="BodyTextSTD"/>
              <w:numPr>
                <w:ilvl w:val="0"/>
                <w:numId w:val="18"/>
              </w:numPr>
            </w:pPr>
            <w:r>
              <w:t xml:space="preserve">The resulting costs and outcomes associated with the Ig therapy in the current evaluation are reasonably similar to the previous report, despite the differences in the modelling approach, as average annual dose per patient used in the previous evaluation would have indirectly captured treatment stopping in the model. However, the base-case </w:t>
            </w:r>
            <w:r w:rsidR="00687B9C">
              <w:t xml:space="preserve">incremental </w:t>
            </w:r>
            <w:r w:rsidR="00703D4A">
              <w:t xml:space="preserve">cost-effectiveness ratio </w:t>
            </w:r>
            <w:r w:rsidR="00687B9C">
              <w:t>(</w:t>
            </w:r>
            <w:r>
              <w:t>ICER</w:t>
            </w:r>
            <w:r w:rsidR="00687B9C">
              <w:t>)</w:t>
            </w:r>
            <w:r>
              <w:t xml:space="preserve"> in this report is significantly lower compared with the previous DCAR for Ig versus corticosteroids ($116,088 vs $197,472). This can be attributed to the incorporation of severe/long-term </w:t>
            </w:r>
            <w:r w:rsidR="00C26825">
              <w:t>AEs</w:t>
            </w:r>
            <w:r>
              <w:t xml:space="preserve"> associated with steroids driving the larger difference in </w:t>
            </w:r>
            <w:r w:rsidR="00C26825">
              <w:t>quality-adjusted life years (</w:t>
            </w:r>
            <w:r>
              <w:t>QALYs</w:t>
            </w:r>
            <w:r w:rsidR="00C26825">
              <w:t>)</w:t>
            </w:r>
            <w:r>
              <w:t xml:space="preserve"> (1.184 in the present report vs 0.66 in the previous DCAR).</w:t>
            </w:r>
          </w:p>
          <w:p w14:paraId="1D21031F" w14:textId="77777777" w:rsidR="001D4D06" w:rsidRPr="00C83E0D" w:rsidRDefault="001D4D06" w:rsidP="001D4D06">
            <w:pPr>
              <w:pStyle w:val="BodyTextSTD"/>
              <w:ind w:left="360"/>
              <w:rPr>
                <w:u w:val="single"/>
              </w:rPr>
            </w:pPr>
            <w:r w:rsidRPr="00C83E0D">
              <w:rPr>
                <w:u w:val="single"/>
              </w:rPr>
              <w:t>Financial analysis</w:t>
            </w:r>
          </w:p>
          <w:p w14:paraId="16816D58" w14:textId="7AF20440" w:rsidR="005053CC" w:rsidRDefault="005053CC" w:rsidP="005053CC">
            <w:pPr>
              <w:pStyle w:val="BodyTextSTD"/>
              <w:numPr>
                <w:ilvl w:val="0"/>
                <w:numId w:val="18"/>
              </w:numPr>
            </w:pPr>
            <w:r w:rsidRPr="005053CC">
              <w:t xml:space="preserve">A market-based approach has been used to estimate the financial implications of Ig in CIDP, based on current utilisation of Ig products in patients with CIDP. As data available on utilisation were only available for use under the Criteria </w:t>
            </w:r>
            <w:r>
              <w:t xml:space="preserve">V2 </w:t>
            </w:r>
            <w:r w:rsidRPr="005053CC">
              <w:t>or when patients were transitioning to the Criteria</w:t>
            </w:r>
            <w:r>
              <w:t xml:space="preserve"> V3</w:t>
            </w:r>
            <w:r w:rsidRPr="005053CC">
              <w:t>, the impact of transitioning to the Criteria</w:t>
            </w:r>
            <w:r>
              <w:t xml:space="preserve"> V3</w:t>
            </w:r>
            <w:r w:rsidRPr="005053CC">
              <w:t xml:space="preserve"> could not be captured in the analysis. There is also uncertainty as to whether the trends observed in the </w:t>
            </w:r>
            <w:r w:rsidR="00B10B67">
              <w:t>Criteria V2 period</w:t>
            </w:r>
            <w:r w:rsidR="00B10B67" w:rsidRPr="005053CC">
              <w:t xml:space="preserve"> </w:t>
            </w:r>
            <w:r w:rsidRPr="005053CC">
              <w:t>would continue</w:t>
            </w:r>
            <w:r w:rsidR="00B10B67">
              <w:t xml:space="preserve"> under the Criteria V3</w:t>
            </w:r>
            <w:r w:rsidRPr="005053CC">
              <w:t>.</w:t>
            </w:r>
          </w:p>
          <w:p w14:paraId="7E4C7B78" w14:textId="18AF5251" w:rsidR="001D4D06" w:rsidRDefault="005053CC" w:rsidP="005053CC">
            <w:pPr>
              <w:pStyle w:val="BodyTextSTD"/>
              <w:numPr>
                <w:ilvl w:val="0"/>
                <w:numId w:val="18"/>
              </w:numPr>
            </w:pPr>
            <w:r>
              <w:t>T</w:t>
            </w:r>
            <w:r w:rsidRPr="005053CC">
              <w:t xml:space="preserve">he cost of Ig is the main driver in the financial analysis; higher cost per gram of Ig results in higher budget impact and the lower cost of Ig per gram reduces the </w:t>
            </w:r>
            <w:r>
              <w:t xml:space="preserve">estimated </w:t>
            </w:r>
            <w:r w:rsidRPr="005053CC">
              <w:t>net cost to the Government</w:t>
            </w:r>
            <w:r>
              <w:t>.</w:t>
            </w:r>
          </w:p>
        </w:tc>
      </w:tr>
    </w:tbl>
    <w:p w14:paraId="713D0BE0" w14:textId="77777777" w:rsidR="008C7152" w:rsidRPr="00E3331A" w:rsidRDefault="00236B1B" w:rsidP="003E4E1F">
      <w:pPr>
        <w:pStyle w:val="Heading2"/>
      </w:pPr>
      <w:bookmarkStart w:id="39" w:name="_Toc69305524"/>
      <w:bookmarkEnd w:id="38"/>
      <w:r w:rsidRPr="00E3331A">
        <w:t>Chronic Inflammatory Demyelinating Polyneuropathy</w:t>
      </w:r>
      <w:bookmarkEnd w:id="39"/>
    </w:p>
    <w:p w14:paraId="4DFD8710" w14:textId="77777777" w:rsidR="00EB4DCD" w:rsidRPr="00E3331A" w:rsidRDefault="002A6A68" w:rsidP="00A00618">
      <w:pPr>
        <w:jc w:val="both"/>
      </w:pPr>
      <w:r w:rsidRPr="002A6A68">
        <w:t xml:space="preserve">This Contracted Assessment is a resubmission of the DCAR 1564 Review. It examines recent evidence on the safety and effectiveness of Ig for the management of CIDP, and examines new evidence on the safety of comparator treatments for CIDP. It also provides new economic modelling for the management of CIDP. This resubmission is a </w:t>
      </w:r>
      <w:r w:rsidRPr="002A6A68">
        <w:rPr>
          <w:i/>
        </w:rPr>
        <w:t>fit-for-purpose</w:t>
      </w:r>
      <w:r w:rsidRPr="002A6A68">
        <w:t xml:space="preserve"> report, conducted as part of the Review of Immunoglobulin use in Australia.</w:t>
      </w:r>
    </w:p>
    <w:p w14:paraId="12333FDD" w14:textId="77777777" w:rsidR="007D7A19" w:rsidRPr="00E3331A" w:rsidRDefault="007D7A19" w:rsidP="00AA2C7A">
      <w:pPr>
        <w:pStyle w:val="ESNumberedSectionHeading"/>
        <w:numPr>
          <w:ilvl w:val="0"/>
          <w:numId w:val="0"/>
        </w:numPr>
        <w:ind w:left="1134" w:hanging="1134"/>
      </w:pPr>
      <w:bookmarkStart w:id="40" w:name="_Toc69305525"/>
      <w:r w:rsidRPr="00E3331A">
        <w:t xml:space="preserve">Alignment with agreed </w:t>
      </w:r>
      <w:r w:rsidR="002A6A68">
        <w:t>Protocol</w:t>
      </w:r>
      <w:bookmarkEnd w:id="40"/>
    </w:p>
    <w:p w14:paraId="5325CCF6" w14:textId="37EAC9B4" w:rsidR="00B21175" w:rsidRDefault="00B21175" w:rsidP="00B21175">
      <w:pPr>
        <w:jc w:val="both"/>
      </w:pPr>
      <w:r>
        <w:t>A protocol was written a priori for this resubmission to address the specific requests of MSAC. Only these requests were covered in the Protocol (methodology for the update of the systematic literature review was based on the PICO Confirmation agreed to for DCAR 1564). This Contracted Assessment resubmission (DCAR 1564 Update) addresses all of the elements pre-specified in the Protocol. MSAC’s requests were the objectives of this report:</w:t>
      </w:r>
    </w:p>
    <w:p w14:paraId="6C34E4BD" w14:textId="4B146287" w:rsidR="00B21175" w:rsidRDefault="00B21175" w:rsidP="00B21175">
      <w:pPr>
        <w:ind w:left="567"/>
        <w:jc w:val="both"/>
      </w:pPr>
      <w:r>
        <w:t>•</w:t>
      </w:r>
      <w:r>
        <w:tab/>
        <w:t>an update of the systematic literature review on the safety and effectiveness of Ig for CIDP (including IVIg and SCIg), especially with relation to the safety of comparators</w:t>
      </w:r>
    </w:p>
    <w:p w14:paraId="44380BAA" w14:textId="77777777" w:rsidR="002A6A68" w:rsidRPr="00E3331A" w:rsidRDefault="00B21175" w:rsidP="00B21175">
      <w:pPr>
        <w:ind w:left="567"/>
        <w:jc w:val="both"/>
      </w:pPr>
      <w:r>
        <w:t>•</w:t>
      </w:r>
      <w:r>
        <w:tab/>
        <w:t xml:space="preserve">revised economic modelling and evaluation of Ig for the management of patients with CIDP, including the development of three distinct models </w:t>
      </w:r>
      <w:r w:rsidR="000C5D3C">
        <w:t xml:space="preserve">using </w:t>
      </w:r>
      <w:r>
        <w:t>three different comparators, and addressing specific issues raised by MSAC.</w:t>
      </w:r>
    </w:p>
    <w:p w14:paraId="35244CE7" w14:textId="77777777" w:rsidR="008C7152" w:rsidRPr="00E3331A" w:rsidRDefault="008A6152" w:rsidP="009F7373">
      <w:pPr>
        <w:pStyle w:val="Heading3"/>
      </w:pPr>
      <w:bookmarkStart w:id="41" w:name="_Toc395200742"/>
      <w:bookmarkStart w:id="42" w:name="_Toc69305526"/>
      <w:r w:rsidRPr="00E3331A">
        <w:t xml:space="preserve">Proposed </w:t>
      </w:r>
      <w:r w:rsidR="00630910" w:rsidRPr="00E3331A">
        <w:t>M</w:t>
      </w:r>
      <w:r w:rsidRPr="00E3331A">
        <w:t xml:space="preserve">edical </w:t>
      </w:r>
      <w:r w:rsidR="00630910" w:rsidRPr="00E3331A">
        <w:t>S</w:t>
      </w:r>
      <w:r w:rsidRPr="00E3331A">
        <w:t>ervice</w:t>
      </w:r>
      <w:bookmarkEnd w:id="41"/>
      <w:bookmarkEnd w:id="42"/>
    </w:p>
    <w:p w14:paraId="4CA71315" w14:textId="02CAEB51" w:rsidR="00F6383E" w:rsidRPr="00F6383E" w:rsidRDefault="00B21175" w:rsidP="00A00618">
      <w:pPr>
        <w:jc w:val="both"/>
      </w:pPr>
      <w:bookmarkStart w:id="43" w:name="_Toc379118248"/>
      <w:bookmarkStart w:id="44" w:name="_Toc381796432"/>
      <w:r w:rsidRPr="00B21175">
        <w:t xml:space="preserve">The proposed medical service is Ig therapy. Ig may be administered either intravenously or subcutaneously. </w:t>
      </w:r>
      <w:r w:rsidR="000C5D3C" w:rsidRPr="00DF718B">
        <w:t xml:space="preserve">At the commencement of </w:t>
      </w:r>
      <w:r w:rsidR="000C5D3C">
        <w:t xml:space="preserve">the </w:t>
      </w:r>
      <w:r w:rsidR="000C5D3C" w:rsidRPr="00DF718B">
        <w:t xml:space="preserve">Review of </w:t>
      </w:r>
      <w:r w:rsidR="000C5D3C">
        <w:t>Ig</w:t>
      </w:r>
      <w:r w:rsidR="000C5D3C" w:rsidRPr="00DF718B">
        <w:t xml:space="preserve"> use for </w:t>
      </w:r>
      <w:r w:rsidR="000C5D3C">
        <w:t>CIDP,</w:t>
      </w:r>
      <w:r w:rsidR="000C5D3C" w:rsidRPr="00DF718B">
        <w:t xml:space="preserve"> only </w:t>
      </w:r>
      <w:r w:rsidR="00736AB0">
        <w:t>IVIg</w:t>
      </w:r>
      <w:r w:rsidR="000C5D3C" w:rsidRPr="00DF718B">
        <w:t xml:space="preserve"> was funded for CIDP</w:t>
      </w:r>
      <w:r w:rsidR="000C5D3C">
        <w:t xml:space="preserve">. </w:t>
      </w:r>
      <w:r w:rsidR="000C5D3C" w:rsidRPr="00B04451">
        <w:t xml:space="preserve">SCIg was approved for the treatment of CIDP </w:t>
      </w:r>
      <w:r w:rsidR="000C5D3C">
        <w:t>from</w:t>
      </w:r>
      <w:r w:rsidR="000C5D3C" w:rsidRPr="00B04451">
        <w:t xml:space="preserve"> 1 August 2019</w:t>
      </w:r>
      <w:r w:rsidR="000C5D3C">
        <w:t>.</w:t>
      </w:r>
      <w:r w:rsidRPr="00B21175">
        <w:t xml:space="preserve"> Ig is a purified plasma product, sourced from the Australian Red Cross </w:t>
      </w:r>
      <w:r w:rsidR="002324F9">
        <w:t>Life</w:t>
      </w:r>
      <w:r w:rsidRPr="00B21175">
        <w:t xml:space="preserve">Blood </w:t>
      </w:r>
      <w:r w:rsidR="002324F9">
        <w:t>s</w:t>
      </w:r>
      <w:r w:rsidRPr="00B21175">
        <w:t>ervice and imported supplies</w:t>
      </w:r>
      <w:r w:rsidR="002C7D52">
        <w:t>;</w:t>
      </w:r>
      <w:r w:rsidRPr="00B21175">
        <w:t xml:space="preserve"> </w:t>
      </w:r>
      <w:r w:rsidR="002C7D52">
        <w:t>i</w:t>
      </w:r>
      <w:r w:rsidRPr="00B21175">
        <w:t>t is funded by the National Blood Authority (NBA).</w:t>
      </w:r>
    </w:p>
    <w:p w14:paraId="4093EC50" w14:textId="77777777" w:rsidR="008F1D1C" w:rsidRPr="00E3331A" w:rsidRDefault="008F1D1C" w:rsidP="005C061E">
      <w:pPr>
        <w:pStyle w:val="Heading3"/>
      </w:pPr>
      <w:bookmarkStart w:id="45" w:name="_Toc69305527"/>
      <w:bookmarkStart w:id="46" w:name="_Toc395200743"/>
      <w:r w:rsidRPr="00E3331A">
        <w:t>Population</w:t>
      </w:r>
      <w:bookmarkEnd w:id="45"/>
    </w:p>
    <w:p w14:paraId="05DD912F" w14:textId="77777777" w:rsidR="00F6383E" w:rsidRPr="00F6383E" w:rsidRDefault="00F6383E" w:rsidP="00A00618">
      <w:pPr>
        <w:jc w:val="both"/>
      </w:pPr>
      <w:r w:rsidRPr="00F6383E">
        <w:t xml:space="preserve">The eligible population in Australia are patients with CIDP who meet Version 3 of the </w:t>
      </w:r>
      <w:r w:rsidRPr="00F6383E">
        <w:rPr>
          <w:i/>
        </w:rPr>
        <w:t>C</w:t>
      </w:r>
      <w:r w:rsidRPr="00A00618">
        <w:rPr>
          <w:i/>
        </w:rPr>
        <w:t>riteria</w:t>
      </w:r>
      <w:r w:rsidRPr="00F6383E">
        <w:rPr>
          <w:i/>
        </w:rPr>
        <w:t>,</w:t>
      </w:r>
      <w:r w:rsidRPr="00F6383E">
        <w:t xml:space="preserve"> a list of requirements of Ig us</w:t>
      </w:r>
      <w:r w:rsidR="00A00618">
        <w:t>ag</w:t>
      </w:r>
      <w:r w:rsidRPr="00F6383E">
        <w:t xml:space="preserve">e developed by the NBA and updated between 2014 and 2018. Version 3 of the Criteria for CIDP can be seen in </w:t>
      </w:r>
      <w:r w:rsidRPr="00135C51">
        <w:rPr>
          <w:b/>
        </w:rPr>
        <w:t xml:space="preserve">Appendix </w:t>
      </w:r>
      <w:r w:rsidR="00BD440B" w:rsidRPr="00135C51">
        <w:rPr>
          <w:b/>
        </w:rPr>
        <w:t>E</w:t>
      </w:r>
      <w:r w:rsidRPr="00F6383E">
        <w:t>.</w:t>
      </w:r>
    </w:p>
    <w:p w14:paraId="20175C91" w14:textId="77777777" w:rsidR="00F6383E" w:rsidRDefault="00F6383E" w:rsidP="00A00618">
      <w:pPr>
        <w:jc w:val="both"/>
      </w:pPr>
      <w:r w:rsidRPr="00F6383E">
        <w:t xml:space="preserve">In a broader setting, the European Federation of Neurological Societies and Peripheral Nerve Society (EFNS/PNS) guidelines are applied </w:t>
      </w:r>
      <w:r w:rsidR="002C7D52">
        <w:t>to establish</w:t>
      </w:r>
      <w:r w:rsidRPr="00F6383E">
        <w:t xml:space="preserve"> the diagnosis of CIDP. These criteria are widely used in the published literature on CIDP (</w:t>
      </w:r>
      <w:r w:rsidRPr="00135C51">
        <w:rPr>
          <w:b/>
        </w:rPr>
        <w:t xml:space="preserve">Appendix </w:t>
      </w:r>
      <w:r w:rsidR="00BD440B" w:rsidRPr="00135C51">
        <w:rPr>
          <w:b/>
        </w:rPr>
        <w:t>E</w:t>
      </w:r>
      <w:r w:rsidRPr="00F6383E">
        <w:t>)</w:t>
      </w:r>
      <w:r>
        <w:t>.</w:t>
      </w:r>
    </w:p>
    <w:p w14:paraId="3B46EBC3" w14:textId="77777777" w:rsidR="00753141" w:rsidRPr="00E3331A" w:rsidRDefault="005602D3" w:rsidP="009F7373">
      <w:pPr>
        <w:pStyle w:val="Heading3"/>
      </w:pPr>
      <w:bookmarkStart w:id="47" w:name="_Toc395200744"/>
      <w:bookmarkStart w:id="48" w:name="_Toc69305528"/>
      <w:bookmarkStart w:id="49" w:name="_Toc379118249"/>
      <w:bookmarkStart w:id="50" w:name="_Toc381796433"/>
      <w:bookmarkEnd w:id="43"/>
      <w:bookmarkEnd w:id="44"/>
      <w:bookmarkEnd w:id="46"/>
      <w:r w:rsidRPr="00E3331A">
        <w:t xml:space="preserve">Comparator </w:t>
      </w:r>
      <w:r w:rsidR="00630910" w:rsidRPr="00E3331A">
        <w:t>D</w:t>
      </w:r>
      <w:r w:rsidRPr="00E3331A">
        <w:t>etail</w:t>
      </w:r>
      <w:r w:rsidR="00753141" w:rsidRPr="00E3331A">
        <w:t>s</w:t>
      </w:r>
      <w:bookmarkEnd w:id="47"/>
      <w:bookmarkEnd w:id="48"/>
      <w:r w:rsidRPr="00E3331A">
        <w:t xml:space="preserve"> </w:t>
      </w:r>
    </w:p>
    <w:p w14:paraId="2ACF5D73" w14:textId="77777777" w:rsidR="00F6383E" w:rsidRPr="00E3331A" w:rsidRDefault="00F6383E" w:rsidP="00F6383E">
      <w:pPr>
        <w:jc w:val="both"/>
      </w:pPr>
      <w:r w:rsidRPr="00E3331A">
        <w:t xml:space="preserve">Comparators </w:t>
      </w:r>
      <w:r>
        <w:t>required in the resubmission</w:t>
      </w:r>
      <w:r w:rsidRPr="00E3331A">
        <w:t xml:space="preserve"> </w:t>
      </w:r>
      <w:r w:rsidR="00736AB0">
        <w:t xml:space="preserve">as identified by MSAC </w:t>
      </w:r>
      <w:r w:rsidRPr="00E3331A">
        <w:t xml:space="preserve">are: </w:t>
      </w:r>
    </w:p>
    <w:p w14:paraId="7040D4CC" w14:textId="38CF6EF3" w:rsidR="00F6383E" w:rsidRPr="00E3331A" w:rsidRDefault="00F6383E" w:rsidP="000B596E">
      <w:pPr>
        <w:pStyle w:val="ColorfulList-Accent11"/>
        <w:numPr>
          <w:ilvl w:val="0"/>
          <w:numId w:val="14"/>
        </w:numPr>
        <w:jc w:val="both"/>
      </w:pPr>
      <w:r w:rsidRPr="00E3331A">
        <w:t>Steroids</w:t>
      </w:r>
      <w:r>
        <w:t>/</w:t>
      </w:r>
      <w:r w:rsidR="000B7852">
        <w:t>GC</w:t>
      </w:r>
      <w:r w:rsidR="000B7852" w:rsidRPr="00E3331A">
        <w:t xml:space="preserve"> </w:t>
      </w:r>
      <w:r w:rsidRPr="00E3331A">
        <w:t>(oral and IV)</w:t>
      </w:r>
    </w:p>
    <w:p w14:paraId="02309604" w14:textId="07D82A79" w:rsidR="00F6383E" w:rsidRDefault="00F6383E" w:rsidP="000B596E">
      <w:pPr>
        <w:pStyle w:val="ColorfulList-Accent11"/>
        <w:numPr>
          <w:ilvl w:val="0"/>
          <w:numId w:val="14"/>
        </w:numPr>
        <w:jc w:val="both"/>
      </w:pPr>
      <w:r w:rsidRPr="00E3331A">
        <w:t xml:space="preserve">Plasma exchange </w:t>
      </w:r>
    </w:p>
    <w:p w14:paraId="1CF7CD54" w14:textId="212B4233" w:rsidR="00753141" w:rsidRPr="00E3331A" w:rsidRDefault="000B7852" w:rsidP="00A00618">
      <w:pPr>
        <w:jc w:val="both"/>
      </w:pPr>
      <w:r>
        <w:t>GCs</w:t>
      </w:r>
      <w:r w:rsidR="00F6383E" w:rsidRPr="00F6383E">
        <w:t xml:space="preserve"> and </w:t>
      </w:r>
      <w:r>
        <w:t>PE</w:t>
      </w:r>
      <w:r w:rsidR="00F6383E" w:rsidRPr="00F6383E">
        <w:t xml:space="preserve"> have been re-examined in the extended assessment of harms section (B.7.) of this document. In the systematic literature review (Section B.6.), all comparators agreed to in the PICO </w:t>
      </w:r>
      <w:r w:rsidR="00736AB0" w:rsidRPr="00F6383E">
        <w:t>Conf</w:t>
      </w:r>
      <w:r w:rsidR="00736AB0">
        <w:t>i</w:t>
      </w:r>
      <w:r w:rsidR="00736AB0" w:rsidRPr="00F6383E">
        <w:t xml:space="preserve">rmation </w:t>
      </w:r>
      <w:r w:rsidR="00F6383E" w:rsidRPr="00F6383E">
        <w:t>for DCAR 1564 were considered if data were identified. Ig dose comparisons and Ig dosing regimen comparisons were also considered for Section B.6.</w:t>
      </w:r>
    </w:p>
    <w:p w14:paraId="698CD9FF" w14:textId="77777777" w:rsidR="008C7152" w:rsidRPr="00E3331A" w:rsidRDefault="008C7152" w:rsidP="009F7373">
      <w:pPr>
        <w:pStyle w:val="Heading3"/>
      </w:pPr>
      <w:bookmarkStart w:id="51" w:name="_Toc395200745"/>
      <w:bookmarkStart w:id="52" w:name="_Toc69305529"/>
      <w:r w:rsidRPr="00E3331A">
        <w:t xml:space="preserve">Clinical </w:t>
      </w:r>
      <w:bookmarkEnd w:id="49"/>
      <w:bookmarkEnd w:id="50"/>
      <w:bookmarkEnd w:id="51"/>
      <w:r w:rsidR="00D544ED" w:rsidRPr="00E3331A">
        <w:t>management algorithm(s)</w:t>
      </w:r>
      <w:bookmarkEnd w:id="52"/>
    </w:p>
    <w:p w14:paraId="5B93EB3E" w14:textId="77777777" w:rsidR="00F6383E" w:rsidRPr="00F6383E" w:rsidRDefault="00F6383E" w:rsidP="00F6383E">
      <w:r w:rsidRPr="00F6383E">
        <w:t xml:space="preserve">The current and proposed clinical management algorithms can be found in Appendix </w:t>
      </w:r>
      <w:r w:rsidR="00BD440B">
        <w:t>F</w:t>
      </w:r>
      <w:r w:rsidRPr="00F6383E">
        <w:t>.</w:t>
      </w:r>
    </w:p>
    <w:p w14:paraId="54B4A108" w14:textId="77777777" w:rsidR="00FB6A8A" w:rsidRPr="00E3331A" w:rsidRDefault="00630910" w:rsidP="009F7373">
      <w:pPr>
        <w:pStyle w:val="Heading3"/>
      </w:pPr>
      <w:bookmarkStart w:id="53" w:name="_Toc395200746"/>
      <w:bookmarkStart w:id="54" w:name="_Toc69305530"/>
      <w:bookmarkStart w:id="55" w:name="_Toc379118058"/>
      <w:bookmarkStart w:id="56" w:name="_Toc379118250"/>
      <w:bookmarkStart w:id="57" w:name="_Toc381796434"/>
      <w:r w:rsidRPr="00E3331A">
        <w:t>Key Differences in the D</w:t>
      </w:r>
      <w:r w:rsidR="00FB6A8A" w:rsidRPr="00E3331A">
        <w:t xml:space="preserve">elivery of the </w:t>
      </w:r>
      <w:r w:rsidRPr="00E3331A">
        <w:t>Medical Service and the Main C</w:t>
      </w:r>
      <w:r w:rsidR="00FB6A8A" w:rsidRPr="00E3331A">
        <w:t>omparator</w:t>
      </w:r>
      <w:bookmarkEnd w:id="53"/>
      <w:bookmarkEnd w:id="54"/>
      <w:r w:rsidR="00FB6A8A" w:rsidRPr="00E3331A">
        <w:t xml:space="preserve"> </w:t>
      </w:r>
    </w:p>
    <w:p w14:paraId="3092A53F" w14:textId="7D146B0F" w:rsidR="000118D8" w:rsidRDefault="000118D8" w:rsidP="00DF343F">
      <w:pPr>
        <w:jc w:val="both"/>
      </w:pPr>
      <w:r w:rsidRPr="000118D8">
        <w:t>As reported in DCAR 1564, treatments for CIDP differ in their mode of action, speed of control, degree of invasiveness, side effect profile and costs</w:t>
      </w:r>
      <w:r w:rsidR="00B21175">
        <w:t xml:space="preserve"> </w:t>
      </w:r>
      <w:r w:rsidR="00B727D6">
        <w:fldChar w:fldCharType="begin"/>
      </w:r>
      <w:r w:rsidR="00B727D6">
        <w:instrText xml:space="preserve"> ADDIN EN.CITE &lt;EndNote&gt;&lt;Cite&gt;&lt;Author&gt;Duncan J&lt;/Author&gt;&lt;Year&gt;2019&lt;/Year&gt;&lt;RecNum&gt;25&lt;/RecNum&gt;&lt;DisplayText&gt;(Duncan J et al. 2019)&lt;/DisplayText&gt;&lt;record&gt;&lt;rec-number&gt;25&lt;/rec-number&gt;&lt;foreign-keys&gt;&lt;key app="EN" db-id="p29e2t021fx2sker0f4p99xad5t02xpedpxr" timestamp="1607395971"&gt;25&lt;/key&gt;&lt;/foreign-keys&gt;&lt;ref-type name="Report"&gt;27&lt;/ref-type&gt;&lt;contributors&gt;&lt;authors&gt;&lt;author&gt;Duncan J, &lt;/author&gt;&lt;author&gt;McLeod R, &lt;/author&gt;&lt;author&gt;Lambert R, &lt;/author&gt;&lt;author&gt;Vanderpeer M, &lt;/author&gt;&lt;author&gt;Tivey D, &lt;/author&gt;&lt;/authors&gt;&lt;secondary-authors&gt;&lt;author&gt;MSAC&lt;/author&gt;&lt;/secondary-authors&gt;&lt;/contributors&gt;&lt;titles&gt;&lt;title&gt;Immunoglobulin for chronic inflammatory demyelinating polyneuropathy&lt;/title&gt;&lt;secondary-title&gt;MSAC Application 1564 Assessment Report&lt;/secondary-title&gt;&lt;/titles&gt;&lt;dates&gt;&lt;year&gt;2019&lt;/year&gt;&lt;/dates&gt;&lt;pub-location&gt;Canberra&lt;/pub-location&gt;&lt;publisher&gt;Department of Health&lt;/publisher&gt;&lt;urls&gt;&lt;/urls&gt;&lt;/record&gt;&lt;/Cite&gt;&lt;/EndNote&gt;</w:instrText>
      </w:r>
      <w:r w:rsidR="00B727D6">
        <w:fldChar w:fldCharType="separate"/>
      </w:r>
      <w:r w:rsidR="00B727D6">
        <w:rPr>
          <w:noProof/>
        </w:rPr>
        <w:t>(</w:t>
      </w:r>
      <w:hyperlink w:anchor="_ENREF_16" w:tooltip="Duncan J, 2019 #25" w:history="1">
        <w:r w:rsidR="00D726F6">
          <w:rPr>
            <w:noProof/>
          </w:rPr>
          <w:t>Duncan J et al. 2019</w:t>
        </w:r>
      </w:hyperlink>
      <w:r w:rsidR="00B727D6">
        <w:rPr>
          <w:noProof/>
        </w:rPr>
        <w:t>)</w:t>
      </w:r>
      <w:r w:rsidR="00B727D6">
        <w:fldChar w:fldCharType="end"/>
      </w:r>
      <w:r w:rsidRPr="000118D8">
        <w:t xml:space="preserve">. Ig </w:t>
      </w:r>
      <w:r w:rsidR="00736AB0">
        <w:t>may be</w:t>
      </w:r>
      <w:r w:rsidRPr="000118D8">
        <w:t xml:space="preserve"> administered intravenously, usually in a hospital </w:t>
      </w:r>
      <w:r w:rsidR="00C224E9" w:rsidRPr="000118D8">
        <w:t>day-care</w:t>
      </w:r>
      <w:r w:rsidR="00A00618">
        <w:t xml:space="preserve"> </w:t>
      </w:r>
      <w:r w:rsidRPr="000118D8">
        <w:t>setting</w:t>
      </w:r>
      <w:r w:rsidR="00A71434">
        <w:t>,</w:t>
      </w:r>
      <w:r w:rsidR="00736AB0" w:rsidRPr="00736AB0">
        <w:t xml:space="preserve"> </w:t>
      </w:r>
      <w:r w:rsidR="00736AB0">
        <w:t xml:space="preserve">or may be </w:t>
      </w:r>
      <w:r w:rsidR="00A71434">
        <w:t xml:space="preserve">subcutaneously self-administered at home </w:t>
      </w:r>
      <w:r w:rsidR="00736AB0" w:rsidRPr="00500B3D">
        <w:t>following appropriate training</w:t>
      </w:r>
      <w:r w:rsidRPr="000118D8">
        <w:t>. PE is administered in a similar setting</w:t>
      </w:r>
      <w:r w:rsidR="00A71434">
        <w:t xml:space="preserve"> to IVIg</w:t>
      </w:r>
      <w:r w:rsidRPr="000118D8">
        <w:t>, although its availability is restricted to major hospitals in Australia. GC can be taken orally and are the least invasive treatment</w:t>
      </w:r>
      <w:r w:rsidR="002C7D52">
        <w:t>; t</w:t>
      </w:r>
      <w:r w:rsidRPr="000118D8">
        <w:t xml:space="preserve">hey can be </w:t>
      </w:r>
      <w:r w:rsidR="002C7D52">
        <w:t>self-administered</w:t>
      </w:r>
      <w:r w:rsidRPr="000118D8">
        <w:t xml:space="preserve"> at home.</w:t>
      </w:r>
    </w:p>
    <w:p w14:paraId="04DA269A" w14:textId="77777777" w:rsidR="00224E39" w:rsidRPr="00E3331A" w:rsidRDefault="00224E39" w:rsidP="00224E39">
      <w:pPr>
        <w:pStyle w:val="ESNumberedSectionHeading"/>
        <w:numPr>
          <w:ilvl w:val="0"/>
          <w:numId w:val="0"/>
        </w:numPr>
        <w:jc w:val="both"/>
      </w:pPr>
      <w:bookmarkStart w:id="58" w:name="_Toc395200747"/>
      <w:bookmarkStart w:id="59" w:name="_Toc426968105"/>
      <w:bookmarkStart w:id="60" w:name="_Toc69305531"/>
      <w:r w:rsidRPr="00E3331A">
        <w:t>Clinical Claim</w:t>
      </w:r>
      <w:bookmarkEnd w:id="58"/>
      <w:bookmarkEnd w:id="59"/>
      <w:bookmarkEnd w:id="60"/>
    </w:p>
    <w:p w14:paraId="400784B6" w14:textId="77777777" w:rsidR="00B21175" w:rsidRDefault="00B21175" w:rsidP="00A00618">
      <w:pPr>
        <w:jc w:val="both"/>
      </w:pPr>
      <w:bookmarkStart w:id="61" w:name="_Toc395200748"/>
      <w:r>
        <w:t xml:space="preserve">The Clinical claim in the original DCAR 1564 was: </w:t>
      </w:r>
    </w:p>
    <w:p w14:paraId="7B7B1EBE" w14:textId="77777777" w:rsidR="000118D8" w:rsidRDefault="000118D8" w:rsidP="00B21175">
      <w:pPr>
        <w:ind w:left="567"/>
        <w:jc w:val="both"/>
      </w:pPr>
      <w:r w:rsidRPr="000118D8">
        <w:t>Ig has at least non-inferior effectiveness and superior safety than the comparator interventions of GC (oral and IV), and PE, in the management of CIDP.</w:t>
      </w:r>
    </w:p>
    <w:p w14:paraId="3D575D0E" w14:textId="77777777" w:rsidR="00B21175" w:rsidRPr="000118D8" w:rsidRDefault="00B21175" w:rsidP="00B21175">
      <w:pPr>
        <w:jc w:val="both"/>
      </w:pPr>
      <w:r>
        <w:t>No change has been made to the clinical claim in this update report.</w:t>
      </w:r>
    </w:p>
    <w:p w14:paraId="5B99A9A4" w14:textId="77777777" w:rsidR="00C96FE9" w:rsidRPr="00E3331A" w:rsidRDefault="00630910" w:rsidP="00DF343F">
      <w:pPr>
        <w:pStyle w:val="Heading3"/>
        <w:jc w:val="both"/>
      </w:pPr>
      <w:bookmarkStart w:id="62" w:name="_Toc69305532"/>
      <w:r w:rsidRPr="00E3331A">
        <w:rPr>
          <w:rStyle w:val="Heading3Char"/>
          <w:b/>
          <w:smallCaps/>
        </w:rPr>
        <w:t>Approach T</w:t>
      </w:r>
      <w:r w:rsidR="00AE1CBE" w:rsidRPr="00E3331A">
        <w:t xml:space="preserve">aken to the </w:t>
      </w:r>
      <w:r w:rsidRPr="00E3331A">
        <w:rPr>
          <w:rStyle w:val="Heading3Char"/>
          <w:b/>
          <w:smallCaps/>
        </w:rPr>
        <w:t>E</w:t>
      </w:r>
      <w:r w:rsidR="00AE1CBE" w:rsidRPr="00E3331A">
        <w:t xml:space="preserve">vidence </w:t>
      </w:r>
      <w:r w:rsidRPr="00E3331A">
        <w:rPr>
          <w:rStyle w:val="Heading3Char"/>
          <w:b/>
          <w:smallCaps/>
        </w:rPr>
        <w:t>A</w:t>
      </w:r>
      <w:r w:rsidR="00AE1CBE" w:rsidRPr="00E3331A">
        <w:t>ssessment</w:t>
      </w:r>
      <w:bookmarkEnd w:id="61"/>
      <w:bookmarkEnd w:id="62"/>
    </w:p>
    <w:p w14:paraId="310DE454" w14:textId="61C7CECA" w:rsidR="000118D8" w:rsidRPr="000118D8" w:rsidRDefault="000118D8" w:rsidP="00A00618">
      <w:pPr>
        <w:jc w:val="both"/>
      </w:pPr>
      <w:r w:rsidRPr="000118D8">
        <w:t>The medical literature was searched on 7 October 2020 to update the systematic literature review on the treatment of CIDP</w:t>
      </w:r>
      <w:r w:rsidR="00A00618">
        <w:t xml:space="preserve"> </w:t>
      </w:r>
      <w:r w:rsidRPr="000118D8">
        <w:t xml:space="preserve">with Ig. Evidence was limited to </w:t>
      </w:r>
      <w:r w:rsidR="00D73F83">
        <w:t>RCTs</w:t>
      </w:r>
      <w:r w:rsidRPr="000118D8">
        <w:t xml:space="preserve"> </w:t>
      </w:r>
      <w:r w:rsidR="00A00618" w:rsidRPr="000118D8">
        <w:t>comparing</w:t>
      </w:r>
      <w:r w:rsidRPr="000118D8">
        <w:t xml:space="preserve"> Ig therapy with an appropriate comparator.</w:t>
      </w:r>
    </w:p>
    <w:p w14:paraId="7CFD25A1" w14:textId="77777777" w:rsidR="000118D8" w:rsidRPr="000118D8" w:rsidRDefault="000118D8" w:rsidP="00A00618">
      <w:pPr>
        <w:jc w:val="both"/>
      </w:pPr>
      <w:r w:rsidRPr="000118D8">
        <w:t>For the extended assessment of harms related to Ig comparators, an additional literature search was conducted on the 26 October 2020, in a broader population base than CIDP alone. Large cohort studies</w:t>
      </w:r>
      <w:r w:rsidR="00A00618">
        <w:t xml:space="preserve"> were considered for inclusion, and for GC therapy </w:t>
      </w:r>
      <w:r w:rsidR="00B049AC">
        <w:t xml:space="preserve">studies </w:t>
      </w:r>
      <w:r w:rsidR="00A00618">
        <w:t>with</w:t>
      </w:r>
      <w:r w:rsidRPr="000118D8">
        <w:t xml:space="preserve"> long-term follow-up were </w:t>
      </w:r>
      <w:r w:rsidR="00A00618">
        <w:t>sought</w:t>
      </w:r>
      <w:r w:rsidR="004B12C0">
        <w:t>.</w:t>
      </w:r>
      <w:r w:rsidRPr="000118D8">
        <w:t xml:space="preserve"> </w:t>
      </w:r>
      <w:r w:rsidR="004B12C0">
        <w:t>S</w:t>
      </w:r>
      <w:r w:rsidRPr="000118D8">
        <w:t>ystematic reviews (SRs) of RCTs or cohort studies</w:t>
      </w:r>
      <w:r w:rsidR="004B12C0">
        <w:t xml:space="preserve"> were also considered</w:t>
      </w:r>
      <w:r w:rsidRPr="000118D8">
        <w:t xml:space="preserve">. Studies were selected on the basis of the quality and relevance of the evidence they reported. </w:t>
      </w:r>
    </w:p>
    <w:p w14:paraId="16999DC2" w14:textId="77777777" w:rsidR="008C7152" w:rsidRPr="00E3331A" w:rsidRDefault="00630910" w:rsidP="00DF343F">
      <w:pPr>
        <w:pStyle w:val="Heading3"/>
        <w:jc w:val="both"/>
      </w:pPr>
      <w:bookmarkStart w:id="63" w:name="_Toc395200749"/>
      <w:bookmarkStart w:id="64" w:name="_Toc69305533"/>
      <w:r w:rsidRPr="00E3331A">
        <w:rPr>
          <w:rStyle w:val="Heading3Char"/>
          <w:b/>
          <w:smallCaps/>
        </w:rPr>
        <w:t>Characteristics of the Evidence B</w:t>
      </w:r>
      <w:r w:rsidR="00A36EB9" w:rsidRPr="00E3331A">
        <w:rPr>
          <w:rStyle w:val="Heading3Char"/>
          <w:b/>
          <w:smallCaps/>
        </w:rPr>
        <w:t>ase</w:t>
      </w:r>
      <w:bookmarkEnd w:id="55"/>
      <w:bookmarkEnd w:id="56"/>
      <w:bookmarkEnd w:id="57"/>
      <w:bookmarkEnd w:id="63"/>
      <w:bookmarkEnd w:id="64"/>
    </w:p>
    <w:p w14:paraId="1E45D027" w14:textId="04FA3341" w:rsidR="00CD081A" w:rsidRDefault="00CD081A" w:rsidP="00A00618">
      <w:pPr>
        <w:jc w:val="both"/>
      </w:pPr>
      <w:r w:rsidRPr="00E11A7D">
        <w:t>The evidence base for the use of Ig, PE or GC in patients with CIDP was very small. No additional RCTs were identified for Ig therapy compared to PE or GC therapy in CIDP patients in the updated literature search. Study populations of CIDP patients receiving Ig were too small to provide accurate safety data in particular, or to accurately determine the effectiveness of Ig in sub-populations such as those receiving multiple medications or in specific age groups. Evidence sought from populations receiving PE or corticosteroids at similar doses to what CIDP patients might receive, filled some gaps in the safety evidence base, albeit with lower applicability than direct evidence. Confounding due to patients receiving multiple medications could not be ruled out in the low-level observational studies included for evidence on safety.</w:t>
      </w:r>
    </w:p>
    <w:p w14:paraId="774F363D" w14:textId="4F084A50" w:rsidR="000118D8" w:rsidRPr="000118D8" w:rsidRDefault="000118D8" w:rsidP="00A00618">
      <w:pPr>
        <w:jc w:val="both"/>
      </w:pPr>
      <w:r w:rsidRPr="000118D8">
        <w:t xml:space="preserve">Evidence from two RCTs reported in three articles, was included to update the review on the safety and effectiveness of Ig for CIDP. Both </w:t>
      </w:r>
      <w:r w:rsidR="005B5FCE">
        <w:t xml:space="preserve">trials </w:t>
      </w:r>
      <w:r w:rsidRPr="000118D8">
        <w:t>were conducted in patients with CIDP who had been stabilised on IVIg, and were assessing Ig as maintenance therapy. One of the RCTs (rated low for risk of bias) compared two doses of SCIg with each other and with placebo</w:t>
      </w:r>
      <w:r w:rsidR="00E04535">
        <w:t xml:space="preserve"> (the </w:t>
      </w:r>
      <w:r w:rsidR="005B5FCE">
        <w:t>P</w:t>
      </w:r>
      <w:r w:rsidR="00E04535">
        <w:t xml:space="preserve">olyneuropathy and </w:t>
      </w:r>
      <w:r w:rsidR="005B5FCE">
        <w:t>T</w:t>
      </w:r>
      <w:r w:rsidR="00E04535">
        <w:t>reatment with Hizentra trial; PATH)</w:t>
      </w:r>
      <w:r w:rsidR="005B5FCE">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r w:rsidR="00B727D6">
        <w:fldChar w:fldCharType="end"/>
      </w:r>
      <w:r w:rsidRPr="000118D8">
        <w:t>. The second RCT was a cross-over design (rated moderate for risk of bias) and compared two IVIg dosing regimens in patients on individual</w:t>
      </w:r>
      <w:r w:rsidR="000A19FC">
        <w:t>ised</w:t>
      </w:r>
      <w:r w:rsidRPr="000118D8">
        <w:t xml:space="preserve"> doses and schedules</w:t>
      </w:r>
      <w:r w:rsidR="00E04535">
        <w:t xml:space="preserve"> (IVIg DOSE)</w:t>
      </w:r>
      <w:r w:rsidR="001F10F7">
        <w:rPr>
          <w:rStyle w:val="FootnoteReference"/>
        </w:rPr>
        <w:footnoteReference w:id="2"/>
      </w:r>
      <w:r w:rsidR="005B5FCE">
        <w:t xml:space="preserve"> </w: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 </w:instrTex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33" w:tooltip="Kuitwaard, 2020 #16" w:history="1">
        <w:r w:rsidR="00D726F6">
          <w:rPr>
            <w:noProof/>
          </w:rPr>
          <w:t>Kuitwaard et al. 2020b</w:t>
        </w:r>
      </w:hyperlink>
      <w:r w:rsidR="00B727D6">
        <w:rPr>
          <w:noProof/>
        </w:rPr>
        <w:t>)</w:t>
      </w:r>
      <w:r w:rsidR="00B727D6">
        <w:fldChar w:fldCharType="end"/>
      </w:r>
      <w:r w:rsidRPr="000118D8">
        <w:t xml:space="preserve">. </w:t>
      </w:r>
    </w:p>
    <w:p w14:paraId="34E0CCB4" w14:textId="3F434F8B" w:rsidR="000118D8" w:rsidRDefault="000118D8" w:rsidP="00A00618">
      <w:pPr>
        <w:jc w:val="both"/>
      </w:pPr>
      <w:r w:rsidRPr="000118D8">
        <w:t>For the extended assessment of harms, evidence from nine articles was included. To assess the harms of PE, one SR and three retrospective observational studies provided evidence. To assess the harms of GC</w:t>
      </w:r>
      <w:r w:rsidR="005B5FCE" w:rsidRPr="005B5FCE">
        <w:t xml:space="preserve"> </w:t>
      </w:r>
      <w:r w:rsidR="005B5FCE">
        <w:t xml:space="preserve">included </w:t>
      </w:r>
      <w:r w:rsidR="005B5FCE" w:rsidRPr="000118D8">
        <w:t xml:space="preserve">studies </w:t>
      </w:r>
      <w:r w:rsidR="005B5FCE">
        <w:t xml:space="preserve">were limited to those </w:t>
      </w:r>
      <w:r w:rsidR="005B5FCE" w:rsidRPr="000118D8">
        <w:t>with long-term follow-up</w:t>
      </w:r>
      <w:r w:rsidR="005B5FCE">
        <w:t>.</w:t>
      </w:r>
      <w:r w:rsidRPr="000118D8">
        <w:t xml:space="preserve"> </w:t>
      </w:r>
      <w:r w:rsidR="005B5FCE">
        <w:t>O</w:t>
      </w:r>
      <w:r w:rsidR="005B5FCE" w:rsidRPr="000118D8">
        <w:t xml:space="preserve">ne </w:t>
      </w:r>
      <w:r w:rsidR="00AA3A54">
        <w:t xml:space="preserve">further </w:t>
      </w:r>
      <w:r w:rsidRPr="000118D8">
        <w:t>SR and three retrospective observational studies were included</w:t>
      </w:r>
      <w:r w:rsidR="007944B6">
        <w:t xml:space="preserve"> for GC</w:t>
      </w:r>
      <w:r w:rsidR="00AA3A54">
        <w:t>. A</w:t>
      </w:r>
      <w:r w:rsidR="00B049AC">
        <w:t>ll</w:t>
      </w:r>
      <w:r w:rsidR="00B049AC" w:rsidRPr="000118D8">
        <w:t xml:space="preserve"> </w:t>
      </w:r>
      <w:r w:rsidR="00AA3A54">
        <w:t xml:space="preserve">were </w:t>
      </w:r>
      <w:r w:rsidRPr="000118D8">
        <w:t>rated as moderate for risk of bias</w:t>
      </w:r>
      <w:r w:rsidR="005B5FCE">
        <w:t>,</w:t>
      </w:r>
      <w:r w:rsidRPr="000118D8">
        <w:t xml:space="preserve"> </w:t>
      </w:r>
      <w:r w:rsidR="005B5FCE">
        <w:t>and the</w:t>
      </w:r>
      <w:r w:rsidRPr="000118D8">
        <w:t xml:space="preserve"> follow-up periods ranged from </w:t>
      </w:r>
      <w:r w:rsidR="00444F73">
        <w:t>six</w:t>
      </w:r>
      <w:r w:rsidRPr="000118D8">
        <w:t xml:space="preserve"> months to </w:t>
      </w:r>
      <w:r w:rsidR="00444F73">
        <w:t>five</w:t>
      </w:r>
      <w:r w:rsidRPr="000118D8">
        <w:t xml:space="preserve"> years. One additional retrospective study was included that assessed the safety of IVIg over a median follow-up period of 21 weeks.</w:t>
      </w:r>
    </w:p>
    <w:p w14:paraId="2F19E9B0" w14:textId="77777777" w:rsidR="00A36EB9" w:rsidRPr="00E3331A" w:rsidRDefault="00A36EB9" w:rsidP="00DF343F">
      <w:pPr>
        <w:pStyle w:val="Heading3"/>
        <w:jc w:val="both"/>
      </w:pPr>
      <w:bookmarkStart w:id="65" w:name="_Toc395200750"/>
      <w:bookmarkStart w:id="66" w:name="_Toc69305534"/>
      <w:r w:rsidRPr="00E3331A">
        <w:t>Results</w:t>
      </w:r>
      <w:bookmarkEnd w:id="65"/>
      <w:bookmarkEnd w:id="66"/>
    </w:p>
    <w:p w14:paraId="1026C5AE" w14:textId="77777777" w:rsidR="00B21175" w:rsidRPr="00E3331A" w:rsidRDefault="00B21175" w:rsidP="00B21175">
      <w:pPr>
        <w:pStyle w:val="Heading4"/>
        <w:jc w:val="both"/>
      </w:pPr>
      <w:bookmarkStart w:id="67" w:name="_Ref421184437"/>
      <w:r>
        <w:t xml:space="preserve">Comparative </w:t>
      </w:r>
      <w:r w:rsidRPr="00E3331A">
        <w:t xml:space="preserve">Safety </w:t>
      </w:r>
      <w:r>
        <w:t>and Effectiveness of Ig therapy for CIDP</w:t>
      </w:r>
    </w:p>
    <w:p w14:paraId="3A7A554A" w14:textId="77777777" w:rsidR="00B21175" w:rsidRDefault="00B21175" w:rsidP="00B21175">
      <w:pPr>
        <w:pStyle w:val="Heading5"/>
      </w:pPr>
      <w:r>
        <w:t>0.2 g/kg SCIg compared to 0.4 g/kg of SCIg or placebo</w:t>
      </w:r>
    </w:p>
    <w:p w14:paraId="0226D0C0" w14:textId="77777777" w:rsidR="00B21175" w:rsidRPr="00CD4D93" w:rsidRDefault="00B21175" w:rsidP="00B21175">
      <w:pPr>
        <w:rPr>
          <w:u w:val="single"/>
        </w:rPr>
      </w:pPr>
      <w:r w:rsidRPr="00CD4D93">
        <w:rPr>
          <w:u w:val="single"/>
        </w:rPr>
        <w:t xml:space="preserve">Safety </w:t>
      </w:r>
    </w:p>
    <w:p w14:paraId="26231990" w14:textId="0C17BAEE" w:rsidR="00B21175" w:rsidRDefault="00B21175" w:rsidP="00B21175">
      <w:pPr>
        <w:jc w:val="both"/>
      </w:pPr>
      <w:r>
        <w:t xml:space="preserve">The frequency of </w:t>
      </w:r>
      <w:r w:rsidR="00D73F83">
        <w:t>AEs</w:t>
      </w:r>
      <w:r>
        <w:t xml:space="preserve"> was higher in patients receiving either 0.2 g/kg or 0.4 g/kg of SCIg when compared to placebo, however there </w:t>
      </w:r>
      <w:r w:rsidR="00B049AC">
        <w:t>w</w:t>
      </w:r>
      <w:r>
        <w:t xml:space="preserve">as only a small difference between the two SCIg treated groups. Treatment related AEs occurred in 18% of patients receiving placebo, 30% of patients given low-dose </w:t>
      </w:r>
      <w:r w:rsidR="00B049AC">
        <w:t xml:space="preserve">SCIg </w:t>
      </w:r>
      <w:r>
        <w:t>and 35% of patients given high-dose SCIg. There were 11 serious AEs, 10 of which occurred in patients given SCIg, but only one was considered related to treatment</w:t>
      </w:r>
      <w:r w:rsidR="00C53293">
        <w:t xml:space="preserve">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r w:rsidR="00B727D6">
        <w:fldChar w:fldCharType="end"/>
      </w:r>
      <w:r>
        <w:t xml:space="preserve">. </w:t>
      </w:r>
    </w:p>
    <w:p w14:paraId="2B986B8E" w14:textId="77777777" w:rsidR="00B21175" w:rsidRPr="00CD4D93" w:rsidRDefault="00B21175" w:rsidP="00B21175">
      <w:pPr>
        <w:rPr>
          <w:u w:val="single"/>
        </w:rPr>
      </w:pPr>
      <w:r w:rsidRPr="00CD4D93">
        <w:rPr>
          <w:u w:val="single"/>
        </w:rPr>
        <w:t>Effectiveness</w:t>
      </w:r>
    </w:p>
    <w:p w14:paraId="1162E095" w14:textId="056AE41A" w:rsidR="00B21175" w:rsidRDefault="00B21175" w:rsidP="00B21175">
      <w:pPr>
        <w:jc w:val="both"/>
      </w:pPr>
      <w:r>
        <w:t xml:space="preserve">There were few differences in effectiveness found between the two SCIg treated groups, but significantly better effectiveness was found when </w:t>
      </w:r>
      <w:r w:rsidR="00B049AC">
        <w:t xml:space="preserve">either </w:t>
      </w:r>
      <w:r>
        <w:t>0.2 g/kg and 0.4 g/kg w</w:t>
      </w:r>
      <w:r w:rsidR="00B049AC">
        <w:t>as</w:t>
      </w:r>
      <w:r>
        <w:t xml:space="preserve"> compared to placebo. There was a statistically significant greater proportion of patients who relapsed or withdrew in the placebo group compared to either SCIg treated group. The relapse rate was 58% in the placebo group, 35% in the low-dose group, and 22.4% in the high-dose group, showing an inverse trend of dose dependent reduction for relapse rate. In addition, time to relapse or withdrawal was significantly shorter for the placebo group compared to </w:t>
      </w:r>
      <w:r w:rsidR="00B049AC">
        <w:t>e</w:t>
      </w:r>
      <w:r>
        <w:t>ither SCIg treated group</w:t>
      </w:r>
      <w:r w:rsidR="00C53293">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r w:rsidR="00B727D6">
        <w:fldChar w:fldCharType="end"/>
      </w:r>
      <w:r>
        <w:t>.</w:t>
      </w:r>
    </w:p>
    <w:p w14:paraId="194E7E3C" w14:textId="70BD704A" w:rsidR="00B21175" w:rsidRDefault="00B21175" w:rsidP="00B21175">
      <w:pPr>
        <w:jc w:val="both"/>
      </w:pPr>
      <w:r>
        <w:t>Patient reported outcomes (PROs) were reported for the trial. There were differences favouring SCIg treatment (either dose) over placebo for Health-related quality of life (EQ-5D), health status (EQ-VAS), treatment satisfaction (TSQM), and work productivity (WPAI-GH)</w:t>
      </w:r>
      <w:r w:rsidR="00C53293">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r w:rsidR="00B727D6">
        <w:fldChar w:fldCharType="end"/>
      </w:r>
      <w:r>
        <w:t xml:space="preserve">. </w:t>
      </w:r>
    </w:p>
    <w:p w14:paraId="734D8FEC" w14:textId="77777777" w:rsidR="00B21175" w:rsidRDefault="00B21175" w:rsidP="00B21175">
      <w:pPr>
        <w:pStyle w:val="Heading5"/>
      </w:pPr>
      <w:r>
        <w:t xml:space="preserve">Normal </w:t>
      </w:r>
      <w:r w:rsidR="0033744F">
        <w:t xml:space="preserve">individualised </w:t>
      </w:r>
      <w:r>
        <w:t xml:space="preserve">IVIg dose and interval compared to half </w:t>
      </w:r>
      <w:r w:rsidR="0033744F">
        <w:t xml:space="preserve">individualised </w:t>
      </w:r>
      <w:r>
        <w:t xml:space="preserve">IVIg dose </w:t>
      </w:r>
      <w:r w:rsidR="007944B6">
        <w:t xml:space="preserve">at half the </w:t>
      </w:r>
      <w:r>
        <w:t>interval</w:t>
      </w:r>
    </w:p>
    <w:p w14:paraId="01973F8F" w14:textId="77777777" w:rsidR="00B21175" w:rsidRPr="00CD4D93" w:rsidRDefault="00B21175" w:rsidP="00B21175">
      <w:pPr>
        <w:rPr>
          <w:u w:val="single"/>
        </w:rPr>
      </w:pPr>
      <w:r w:rsidRPr="00CD4D93">
        <w:rPr>
          <w:u w:val="single"/>
        </w:rPr>
        <w:t xml:space="preserve">Safety </w:t>
      </w:r>
    </w:p>
    <w:p w14:paraId="226DF6F1" w14:textId="2E89C597" w:rsidR="00B21175" w:rsidRDefault="00B21175" w:rsidP="00B21175">
      <w:pPr>
        <w:jc w:val="both"/>
      </w:pPr>
      <w:r>
        <w:t xml:space="preserve">There was a similar frequency in AEs for patients </w:t>
      </w:r>
      <w:r w:rsidR="002E0050">
        <w:t>receiving</w:t>
      </w:r>
      <w:r>
        <w:t xml:space="preserve"> </w:t>
      </w:r>
      <w:r w:rsidR="002E0050">
        <w:t>their individual</w:t>
      </w:r>
      <w:r w:rsidR="000A19FC">
        <w:t>ised</w:t>
      </w:r>
      <w:r w:rsidR="002E0050">
        <w:t xml:space="preserve"> </w:t>
      </w:r>
      <w:r>
        <w:t xml:space="preserve">normal dose and interval </w:t>
      </w:r>
      <w:r w:rsidR="00B049AC">
        <w:t>versus</w:t>
      </w:r>
      <w:r>
        <w:t xml:space="preserve"> half </w:t>
      </w:r>
      <w:r w:rsidR="002E0050">
        <w:t>their individual</w:t>
      </w:r>
      <w:r w:rsidR="000A19FC">
        <w:t>ised</w:t>
      </w:r>
      <w:r w:rsidR="002E0050">
        <w:t xml:space="preserve"> </w:t>
      </w:r>
      <w:r>
        <w:t xml:space="preserve">dose </w:t>
      </w:r>
      <w:r w:rsidR="00EB520F">
        <w:t xml:space="preserve">at half </w:t>
      </w:r>
      <w:r w:rsidR="001F10F7">
        <w:t xml:space="preserve">the </w:t>
      </w:r>
      <w:r>
        <w:t>interval IVIg. The most common events were fatigue, muscle and joint ache, headache, and warm feeling. These occurred at rates of 50% to 91% of patients. There were no serious AEs reported</w:t>
      </w:r>
      <w:r w:rsidR="00C53293">
        <w:t xml:space="preserve"> </w: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 </w:instrTex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33" w:tooltip="Kuitwaard, 2020 #16" w:history="1">
        <w:r w:rsidR="00D726F6">
          <w:rPr>
            <w:noProof/>
          </w:rPr>
          <w:t>Kuitwaard et al. 2020b</w:t>
        </w:r>
      </w:hyperlink>
      <w:r w:rsidR="00B727D6">
        <w:rPr>
          <w:noProof/>
        </w:rPr>
        <w:t>)</w:t>
      </w:r>
      <w:r w:rsidR="00B727D6">
        <w:fldChar w:fldCharType="end"/>
      </w:r>
      <w:r>
        <w:t>.</w:t>
      </w:r>
    </w:p>
    <w:p w14:paraId="6FA7328C" w14:textId="77777777" w:rsidR="00B21175" w:rsidRPr="00CD4D93" w:rsidRDefault="00B21175" w:rsidP="00B21175">
      <w:pPr>
        <w:jc w:val="both"/>
        <w:rPr>
          <w:u w:val="single"/>
        </w:rPr>
      </w:pPr>
      <w:r w:rsidRPr="00CD4D93">
        <w:rPr>
          <w:u w:val="single"/>
        </w:rPr>
        <w:t xml:space="preserve">Effectiveness </w:t>
      </w:r>
    </w:p>
    <w:p w14:paraId="7C4B16A2" w14:textId="766DEB53" w:rsidR="00B21175" w:rsidRDefault="00B21175" w:rsidP="00B21175">
      <w:pPr>
        <w:jc w:val="both"/>
      </w:pPr>
      <w:r>
        <w:t>Effectiveness was measured by change from baseline measures of hand-grip strength, overall disability (</w:t>
      </w:r>
      <w:r w:rsidR="00C224E9">
        <w:t>IRODS</w:t>
      </w:r>
      <w:r>
        <w:t>), fatigue severity (</w:t>
      </w:r>
      <w:r w:rsidR="00C224E9">
        <w:t>RFSS</w:t>
      </w:r>
      <w:r>
        <w:t xml:space="preserve">), and overall health (SF-36) in patients receiving either their normal dose and interval regime, or half dose </w:t>
      </w:r>
      <w:r w:rsidR="0033744F">
        <w:t xml:space="preserve">at half the </w:t>
      </w:r>
      <w:r>
        <w:t xml:space="preserve">interval regime. Hand-grip strength favoured the normal dose and interval regime but the difference when compared to the half dose </w:t>
      </w:r>
      <w:r w:rsidR="0033744F">
        <w:t xml:space="preserve">at half the </w:t>
      </w:r>
      <w:r>
        <w:t>interval regime did not reach statistical significance (p = 0.07). There was very little difference in results when effectiveness was measured with the other tools</w:t>
      </w:r>
      <w:r w:rsidR="00C53293">
        <w:t xml:space="preserve"> </w: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 </w:instrTex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33" w:tooltip="Kuitwaard, 2020 #16" w:history="1">
        <w:r w:rsidR="00D726F6">
          <w:rPr>
            <w:noProof/>
          </w:rPr>
          <w:t>Kuitwaard et al. 2020b</w:t>
        </w:r>
      </w:hyperlink>
      <w:r w:rsidR="00B727D6">
        <w:rPr>
          <w:noProof/>
        </w:rPr>
        <w:t>)</w:t>
      </w:r>
      <w:r w:rsidR="00B727D6">
        <w:fldChar w:fldCharType="end"/>
      </w:r>
      <w:r>
        <w:t>.</w:t>
      </w:r>
    </w:p>
    <w:p w14:paraId="67B0517D" w14:textId="77777777" w:rsidR="00B21175" w:rsidRDefault="00B21175" w:rsidP="00B21175">
      <w:pPr>
        <w:pStyle w:val="Heading4"/>
        <w:jc w:val="both"/>
      </w:pPr>
      <w:r>
        <w:t>Extended assessment of harms</w:t>
      </w:r>
    </w:p>
    <w:p w14:paraId="7233265D" w14:textId="77777777" w:rsidR="00B21175" w:rsidRPr="00E3331A" w:rsidRDefault="00B21175" w:rsidP="00B21175">
      <w:pPr>
        <w:pStyle w:val="Heading5"/>
      </w:pPr>
      <w:r w:rsidRPr="00E3331A">
        <w:t xml:space="preserve">Adverse events associated with </w:t>
      </w:r>
      <w:r w:rsidR="00EB520F">
        <w:t xml:space="preserve">plasma </w:t>
      </w:r>
      <w:r>
        <w:t>exchange</w:t>
      </w:r>
    </w:p>
    <w:p w14:paraId="2F53A497" w14:textId="4344BD44" w:rsidR="00B21175" w:rsidRDefault="00C53293" w:rsidP="00B21175">
      <w:pPr>
        <w:jc w:val="both"/>
      </w:pPr>
      <w:r w:rsidRPr="00C53293">
        <w:t xml:space="preserve">AE rates were considered from four studies:, one SR and meta-analysis </w:t>
      </w:r>
      <w:r w:rsidR="00B727D6">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rsidR="00B727D6">
        <w:instrText xml:space="preserve"> ADDIN EN.CITE </w:instrText>
      </w:r>
      <w:r w:rsidR="00B727D6">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rsidR="00B727D6">
        <w:instrText xml:space="preserve"> ADDIN EN.CITE.DATA </w:instrText>
      </w:r>
      <w:r w:rsidR="00B727D6">
        <w:fldChar w:fldCharType="end"/>
      </w:r>
      <w:r w:rsidR="00B727D6">
        <w:fldChar w:fldCharType="separate"/>
      </w:r>
      <w:r w:rsidR="00B727D6">
        <w:rPr>
          <w:noProof/>
        </w:rPr>
        <w:t>(</w:t>
      </w:r>
      <w:hyperlink w:anchor="_ENREF_56" w:tooltip="Ortiz-Salas, 2016 #10" w:history="1">
        <w:r w:rsidR="00D726F6">
          <w:rPr>
            <w:noProof/>
          </w:rPr>
          <w:t>Ortiz-Salas et al. 2016</w:t>
        </w:r>
      </w:hyperlink>
      <w:r w:rsidR="00B727D6">
        <w:rPr>
          <w:noProof/>
        </w:rPr>
        <w:t>)</w:t>
      </w:r>
      <w:r w:rsidR="00B727D6">
        <w:fldChar w:fldCharType="end"/>
      </w:r>
      <w:r w:rsidRPr="00C53293">
        <w:t xml:space="preserve">, and three retrospective studies </w:t>
      </w:r>
      <w:r w:rsidR="00B727D6">
        <w:fldChar w:fldCharType="begin">
          <w:fldData xml:space="preserve">PEVuZE5vdGU+PENpdGU+PEF1dGhvcj5CYXNpYy1KdWtpYzwvQXV0aG9yPjxZZWFyPjIwMDU8L1ll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=
</w:fldData>
        </w:fldChar>
      </w:r>
      <w:r w:rsidR="00B727D6">
        <w:instrText xml:space="preserve"> ADDIN EN.CITE </w:instrText>
      </w:r>
      <w:r w:rsidR="00B727D6">
        <w:fldChar w:fldCharType="begin">
          <w:fldData xml:space="preserve">PEVuZE5vdGU+PENpdGU+PEF1dGhvcj5CYXNpYy1KdWtpYzwvQXV0aG9yPjxZZWFyPjIwMDU8L1ll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=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 w:tooltip="Basic-Jukic, 2005 #7" w:history="1">
        <w:r w:rsidR="00D726F6">
          <w:rPr>
            <w:noProof/>
          </w:rPr>
          <w:t>Basic-Jukic et al. 2005</w:t>
        </w:r>
      </w:hyperlink>
      <w:r w:rsidR="00B727D6">
        <w:rPr>
          <w:noProof/>
        </w:rPr>
        <w:t xml:space="preserve">; </w:t>
      </w:r>
      <w:hyperlink w:anchor="_ENREF_46" w:tooltip="Mörtzell Henriksson, 2016 #8" w:history="1">
        <w:r w:rsidR="00D726F6">
          <w:rPr>
            <w:noProof/>
          </w:rPr>
          <w:t>Mörtzell Henriksson et al. 2016</w:t>
        </w:r>
      </w:hyperlink>
      <w:r w:rsidR="00B727D6">
        <w:rPr>
          <w:noProof/>
        </w:rPr>
        <w:t xml:space="preserve">; </w:t>
      </w:r>
      <w:hyperlink w:anchor="_ENREF_53" w:tooltip="Nieto-Aristizábal, 2020 #9" w:history="1">
        <w:r w:rsidR="00D726F6">
          <w:rPr>
            <w:noProof/>
          </w:rPr>
          <w:t>Nieto-Aristizábal, Vivas, et al. 2020</w:t>
        </w:r>
      </w:hyperlink>
      <w:r w:rsidR="00B727D6">
        <w:rPr>
          <w:noProof/>
        </w:rPr>
        <w:t>)</w:t>
      </w:r>
      <w:r w:rsidR="00B727D6">
        <w:fldChar w:fldCharType="end"/>
      </w:r>
      <w:r w:rsidRPr="00C53293">
        <w:t xml:space="preserve">. </w:t>
      </w:r>
      <w:r w:rsidR="00B21175">
        <w:t>The</w:t>
      </w:r>
      <w:r w:rsidR="00B049AC">
        <w:t xml:space="preserve"> studies</w:t>
      </w:r>
      <w:r w:rsidR="00B21175">
        <w:t xml:space="preserve"> were conducted in </w:t>
      </w:r>
      <w:r w:rsidR="00B049AC">
        <w:t xml:space="preserve">mixed </w:t>
      </w:r>
      <w:r w:rsidR="00B21175">
        <w:t xml:space="preserve">populations </w:t>
      </w:r>
      <w:r w:rsidR="00B049AC">
        <w:t>with</w:t>
      </w:r>
      <w:r w:rsidR="00B21175">
        <w:t xml:space="preserve"> neurological diseases, </w:t>
      </w:r>
      <w:r w:rsidR="00B049AC">
        <w:t>with</w:t>
      </w:r>
      <w:r w:rsidR="00B21175">
        <w:t xml:space="preserve"> two </w:t>
      </w:r>
      <w:r w:rsidR="00B049AC">
        <w:t>studies</w:t>
      </w:r>
      <w:r w:rsidR="00B21175">
        <w:t xml:space="preserve"> includ</w:t>
      </w:r>
      <w:r w:rsidR="00B049AC">
        <w:t>ing</w:t>
      </w:r>
      <w:r w:rsidR="00B21175">
        <w:t xml:space="preserve"> a proportion of patients with CIDP. Mild or moderate AE rates were 2.</w:t>
      </w:r>
      <w:r w:rsidR="001F32A1">
        <w:t>05</w:t>
      </w:r>
      <w:r w:rsidR="00B21175">
        <w:t xml:space="preserve">% of patients (reported in one SR), and </w:t>
      </w:r>
      <w:r w:rsidR="00B21175" w:rsidRPr="00285279">
        <w:t>4.75</w:t>
      </w:r>
      <w:r w:rsidR="00285279">
        <w:t>%</w:t>
      </w:r>
      <w:r w:rsidR="00B21175">
        <w:t xml:space="preserve"> to 40% of procedures (reported in three retrospective studies). The study reporting a 40% AE rate per procedure, also reported an AE rate of 38.2% per procedure in CIDP patients. Both of these rates were considerably higher than those reported in other studies. This may be explained by a more severe</w:t>
      </w:r>
      <w:r w:rsidR="00EB520F">
        <w:t>ly affected</w:t>
      </w:r>
      <w:r w:rsidR="00B21175">
        <w:t xml:space="preserve"> population in the study than in others, but cannot be confirmed. In the two other studies which reported a per procedure rate, the mild and moderate AE rates were </w:t>
      </w:r>
      <w:r w:rsidR="00B21175" w:rsidRPr="00285279">
        <w:t>4.75% and 5.31%.</w:t>
      </w:r>
    </w:p>
    <w:p w14:paraId="36DDF06D" w14:textId="77777777" w:rsidR="00B21175" w:rsidRDefault="00B21175" w:rsidP="00B21175">
      <w:pPr>
        <w:jc w:val="both"/>
      </w:pPr>
      <w:r>
        <w:t xml:space="preserve">Serious AE rates were 0.1% and 1.68% of procedures in two retrospective studies. </w:t>
      </w:r>
    </w:p>
    <w:p w14:paraId="7B5D4895" w14:textId="77777777" w:rsidR="00B21175" w:rsidRDefault="00B21175" w:rsidP="00B21175">
      <w:pPr>
        <w:jc w:val="both"/>
      </w:pPr>
      <w:r>
        <w:t xml:space="preserve">The most common mild or moderate AEs associated with PE were poor venous access, tingling or </w:t>
      </w:r>
      <w:r w:rsidR="00EB520F">
        <w:t>paresthesia</w:t>
      </w:r>
      <w:r>
        <w:t>, hypotension and urticaria. Serious cases of hypotension and anaphylactic reaction were the most commonly reported serious AEs. Three deaths in one study were reportedly the result of “patients’ neurological disease and septic shock”. One large retrospective database analysis found that procedures performed by central access were associated with more severe AEs, but more access problems were associated with peripheral access.</w:t>
      </w:r>
    </w:p>
    <w:p w14:paraId="44B664CE" w14:textId="77777777" w:rsidR="00B21175" w:rsidRDefault="00B21175" w:rsidP="00B21175">
      <w:pPr>
        <w:pStyle w:val="Heading5"/>
      </w:pPr>
      <w:r w:rsidRPr="00E3331A">
        <w:t xml:space="preserve">Adverse events associated with </w:t>
      </w:r>
      <w:r>
        <w:t>glucocorticoids</w:t>
      </w:r>
    </w:p>
    <w:p w14:paraId="2446033C" w14:textId="4F3FA715" w:rsidR="00B21175" w:rsidRDefault="00C53293" w:rsidP="00B21175">
      <w:pPr>
        <w:jc w:val="both"/>
      </w:pPr>
      <w:r w:rsidRPr="00C53293">
        <w:t xml:space="preserve">One SR reported AEs in patients on long-term GCs </w:t>
      </w:r>
      <w:r w:rsidR="00B727D6">
        <w:fldChar w:fldCharType="begin"/>
      </w:r>
      <w:r w:rsidR="00B727D6">
        <w:instrText xml:space="preserve"> ADDIN EN.CITE &lt;EndNote&gt;&lt;Cite&gt;&lt;Author&gt;Rice&lt;/Author&gt;&lt;Year&gt;2017&lt;/Year&gt;&lt;RecNum&gt;11&lt;/RecNum&gt;&lt;DisplayText&gt;(Rice et al. 2017)&lt;/DisplayText&gt;&lt;record&gt;&lt;rec-number&gt;11&lt;/rec-number&gt;&lt;foreign-keys&gt;&lt;key app="EN" db-id="p29e2t021fx2sker0f4p99xad5t02xpedpxr" timestamp="1605656000"&gt;11&lt;/key&gt;&lt;/foreign-keys&gt;&lt;ref-type name="Journal Article"&gt;17&lt;/ref-type&gt;&lt;contributors&gt;&lt;authors&gt;&lt;author&gt;Rice, J. B.&lt;/author&gt;&lt;author&gt;White, A. G.&lt;/author&gt;&lt;author&gt;Scarpati, L. M.&lt;/author&gt;&lt;author&gt;Wan, G.&lt;/author&gt;&lt;author&gt;Nelson, W. W.&lt;/author&gt;&lt;/authors&gt;&lt;/contributors&gt;&lt;auth-address&gt;Analysis Group, Inc, Boston, Massachusetts. Electronic address: Brad.Rice@analysisgroup.com.&amp;#xD;Analysis Group, Inc, Boston, Massachusetts.&amp;#xD;Mallinckrodt Pharmaceuticals, Hampton, New Jersey.&lt;/auth-address&gt;&lt;titles&gt;&lt;title&gt;Long-term Systemic Corticosteroid Exposure: A Systematic Literature Review&lt;/title&gt;&lt;secondary-title&gt;Clin Ther&lt;/secondary-title&gt;&lt;/titles&gt;&lt;periodical&gt;&lt;full-title&gt;Clin Ther&lt;/full-title&gt;&lt;/periodical&gt;&lt;pages&gt;2216-2229&lt;/pages&gt;&lt;volume&gt;39&lt;/volume&gt;&lt;number&gt;11&lt;/number&gt;&lt;keywords&gt;&lt;keyword&gt;Adrenal Cortex Hormones/*administration &amp;amp; dosage/adverse effects/therapeutic use&lt;/keyword&gt;&lt;keyword&gt;Asthma/drug therapy&lt;/keyword&gt;&lt;keyword&gt;Costs and Cost Analysis&lt;/keyword&gt;&lt;keyword&gt;Diabetes Mellitus, Type 2/epidemiology&lt;/keyword&gt;&lt;keyword&gt;Gastrointestinal Diseases/chemically induced&lt;/keyword&gt;&lt;keyword&gt;Humans&lt;/keyword&gt;&lt;keyword&gt;Outcome Assessment, Health Care&lt;/keyword&gt;&lt;keyword&gt;Time Factors&lt;/keyword&gt;&lt;keyword&gt;adverse events&lt;/keyword&gt;&lt;keyword&gt;corticosteroids&lt;/keyword&gt;&lt;keyword&gt;costs&lt;/keyword&gt;&lt;keyword&gt;economic burden&lt;/keyword&gt;&lt;keyword&gt;long-term corticosteroid exposure&lt;/keyword&gt;&lt;/keywords&gt;&lt;dates&gt;&lt;year&gt;2017&lt;/year&gt;&lt;pub-dates&gt;&lt;date&gt;Nov&lt;/date&gt;&lt;/pub-dates&gt;&lt;/dates&gt;&lt;isbn&gt;1879-114X (Electronic)&amp;#xD;0149-2918 (Linking)&lt;/isbn&gt;&lt;accession-num&gt;29055500&lt;/accession-num&gt;&lt;urls&gt;&lt;related-urls&gt;&lt;url&gt;https://www.ncbi.nlm.nih.gov/pubmed/29055500&lt;/url&gt;&lt;/related-urls&gt;&lt;/urls&gt;&lt;electronic-resource-num&gt;10.1016/j.clinthera.2017.09.011&lt;/electronic-resource-num&gt;&lt;/record&gt;&lt;/Cite&gt;&lt;/EndNote&gt;</w:instrText>
      </w:r>
      <w:r w:rsidR="00B727D6">
        <w:fldChar w:fldCharType="separate"/>
      </w:r>
      <w:r w:rsidR="00B727D6">
        <w:rPr>
          <w:noProof/>
        </w:rPr>
        <w:t>(</w:t>
      </w:r>
      <w:hyperlink w:anchor="_ENREF_61" w:tooltip="Rice, 2017 #11" w:history="1">
        <w:r w:rsidR="00D726F6">
          <w:rPr>
            <w:noProof/>
          </w:rPr>
          <w:t>Rice et al. 2017</w:t>
        </w:r>
      </w:hyperlink>
      <w:r w:rsidR="00B727D6">
        <w:rPr>
          <w:noProof/>
        </w:rPr>
        <w:t>)</w:t>
      </w:r>
      <w:r w:rsidR="00B727D6">
        <w:fldChar w:fldCharType="end"/>
      </w:r>
      <w:r w:rsidRPr="00C53293">
        <w:t xml:space="preserve">. Large retrospective studies reporting AEs associated with long-term GC treatment were identified in populations of rheumatoid arthritis (RA) </w:t>
      </w:r>
      <w:r w:rsidR="00B727D6">
        <w:fldChar w:fldCharType="begin"/>
      </w:r>
      <w:r w:rsidR="00B727D6">
        <w:instrText xml:space="preserve"> ADDIN EN.CITE &lt;EndNote&gt;&lt;Cite&gt;&lt;Author&gt;Huscher&lt;/Author&gt;&lt;Year&gt;2009&lt;/Year&gt;&lt;RecNum&gt;12&lt;/RecNum&gt;&lt;DisplayText&gt;(Huscher et al. 2009)&lt;/DisplayText&gt;&lt;record&gt;&lt;rec-number&gt;12&lt;/rec-number&gt;&lt;foreign-keys&gt;&lt;key app="EN" db-id="p29e2t021fx2sker0f4p99xad5t02xpedpxr" timestamp="1605656036"&gt;12&lt;/key&gt;&lt;/foreign-keys&gt;&lt;ref-type name="Journal Article"&gt;17&lt;/ref-type&gt;&lt;contributors&gt;&lt;authors&gt;&lt;author&gt;Huscher, D.&lt;/author&gt;&lt;author&gt;Thiele, K.&lt;/author&gt;&lt;author&gt;Gromnica-Ihle, E.&lt;/author&gt;&lt;author&gt;Hein, G.&lt;/author&gt;&lt;author&gt;Demary, W.&lt;/author&gt;&lt;author&gt;Dreher, R.&lt;/author&gt;&lt;author&gt;Zink, A.&lt;/author&gt;&lt;author&gt;Buttgereit, F.&lt;/author&gt;&lt;/authors&gt;&lt;/contributors&gt;&lt;auth-address&gt;German Rheumatism Research Centre Berlin, Epidemiology Unit, Berlin, Germany. huscher@drfz.de&lt;/auth-address&gt;&lt;titles&gt;&lt;title&gt;Dose-related patterns of glucocorticoid-induced side effects&lt;/title&gt;&lt;secondary-title&gt;Ann Rheum Dis&lt;/secondary-title&gt;&lt;/titles&gt;&lt;periodical&gt;&lt;full-title&gt;Ann Rheum Dis&lt;/full-title&gt;&lt;/periodical&gt;&lt;pages&gt;1119-24&lt;/pages&gt;&lt;volume&gt;68&lt;/volume&gt;&lt;number&gt;7&lt;/number&gt;&lt;edition&gt;2008/08/08&lt;/edition&gt;&lt;keywords&gt;&lt;keyword&gt;Arthritis, Rheumatoid/ drug therapy&lt;/keyword&gt;&lt;keyword&gt;Data Collection&lt;/keyword&gt;&lt;keyword&gt;Dose-Response Relationship, Drug&lt;/keyword&gt;&lt;keyword&gt;Female&lt;/keyword&gt;&lt;keyword&gt;Glucocorticoids/administration &amp;amp; dosage/ adverse effects&lt;/keyword&gt;&lt;keyword&gt;Humans&lt;/keyword&gt;&lt;keyword&gt;Male&lt;/keyword&gt;&lt;keyword&gt;Middle Aged&lt;/keyword&gt;&lt;keyword&gt;Risk Factors&lt;/keyword&gt;&lt;keyword&gt;Time Factors&lt;/keyword&gt;&lt;/keywords&gt;&lt;dates&gt;&lt;year&gt;2009&lt;/year&gt;&lt;pub-dates&gt;&lt;date&gt;Jul&lt;/date&gt;&lt;/pub-dates&gt;&lt;/dates&gt;&lt;isbn&gt;1468-2060 (Electronic)&amp;#xD;0003-4967 (Linking)&lt;/isbn&gt;&lt;accession-num&gt;18684744&lt;/accession-num&gt;&lt;urls&gt;&lt;related-urls&gt;&lt;url&gt;https://ard.bmj.com/content/annrheumdis/68/7/1119.full.pdf&lt;/url&gt;&lt;/related-urls&gt;&lt;/urls&gt;&lt;electronic-resource-num&gt;10.1136/ard.2008.092163&lt;/electronic-resource-num&gt;&lt;remote-database-provider&gt;NLM&lt;/remote-database-provider&gt;&lt;language&gt;eng&lt;/language&gt;&lt;/record&gt;&lt;/Cite&gt;&lt;/EndNote&gt;</w:instrText>
      </w:r>
      <w:r w:rsidR="00B727D6">
        <w:fldChar w:fldCharType="separate"/>
      </w:r>
      <w:r w:rsidR="00B727D6">
        <w:rPr>
          <w:noProof/>
        </w:rPr>
        <w:t>(</w:t>
      </w:r>
      <w:hyperlink w:anchor="_ENREF_29" w:tooltip="Huscher, 2009 #12" w:history="1">
        <w:r w:rsidR="00D726F6">
          <w:rPr>
            <w:noProof/>
          </w:rPr>
          <w:t>Huscher et al. 2009</w:t>
        </w:r>
      </w:hyperlink>
      <w:r w:rsidR="00B727D6">
        <w:rPr>
          <w:noProof/>
        </w:rPr>
        <w:t>)</w:t>
      </w:r>
      <w:r w:rsidR="00B727D6">
        <w:fldChar w:fldCharType="end"/>
      </w:r>
      <w:r w:rsidRPr="00C53293">
        <w:t xml:space="preserve">, and giant-cell arteritis (GCA) </w:t>
      </w:r>
      <w:r w:rsidR="00B727D6">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sidR="00B727D6">
        <w:instrText xml:space="preserve"> ADDIN EN.CITE </w:instrText>
      </w:r>
      <w:r w:rsidR="00B727D6">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80" w:tooltip="Wilson, 2017 #5" w:history="1">
        <w:r w:rsidR="00D726F6">
          <w:rPr>
            <w:noProof/>
          </w:rPr>
          <w:t>Wilson, J. C. et al. 2017a</w:t>
        </w:r>
      </w:hyperlink>
      <w:r w:rsidR="00B727D6">
        <w:rPr>
          <w:noProof/>
        </w:rPr>
        <w:t>)</w:t>
      </w:r>
      <w:r w:rsidR="00B727D6">
        <w:fldChar w:fldCharType="end"/>
      </w:r>
      <w:r w:rsidRPr="00C53293">
        <w:t xml:space="preserve">, and one smaller retrospective study of CIDP patients </w:t>
      </w:r>
      <w:r w:rsidR="00B727D6">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rsidR="00B727D6">
        <w:instrText xml:space="preserve"> ADDIN EN.CITE </w:instrText>
      </w:r>
      <w:r w:rsidR="00B727D6">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3" w:tooltip="van Lieverloo, 2018 #13" w:history="1">
        <w:r w:rsidR="00D726F6">
          <w:rPr>
            <w:noProof/>
          </w:rPr>
          <w:t>van Lieverloo et al. 2018</w:t>
        </w:r>
      </w:hyperlink>
      <w:r w:rsidR="00B727D6">
        <w:rPr>
          <w:noProof/>
        </w:rPr>
        <w:t>)</w:t>
      </w:r>
      <w:r w:rsidR="00B727D6">
        <w:fldChar w:fldCharType="end"/>
      </w:r>
      <w:r w:rsidRPr="00C53293">
        <w:t xml:space="preserve">. </w:t>
      </w:r>
      <w:r w:rsidR="00B21175">
        <w:t xml:space="preserve">The studies consistently reported only the most common AEs, so it is not possible to determine overall AE rates. One study reported incidence rates </w:t>
      </w:r>
      <w:r w:rsidR="001F10F7">
        <w:t xml:space="preserve">of specific AEs </w:t>
      </w:r>
      <w:r w:rsidR="00B21175">
        <w:t>in patients with GCA who had a median prednisolone duration of 0.8 (IQR 1.9) years. The incidence rates were 37.9% for serious infection, 22.9% for osteoporosis, and 16.5% for fractures</w:t>
      </w:r>
      <w:r w:rsidR="003010E3">
        <w:t xml:space="preserve"> </w:t>
      </w:r>
      <w:r w:rsidR="00B727D6">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sidR="00B727D6">
        <w:instrText xml:space="preserve"> ADDIN EN.CITE </w:instrText>
      </w:r>
      <w:r w:rsidR="00B727D6">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2" w:tooltip="Wilson, 2017 #3" w:history="1">
        <w:r w:rsidR="00D726F6">
          <w:rPr>
            <w:noProof/>
          </w:rPr>
          <w:t>Wilson, J. C. et al. 2017b</w:t>
        </w:r>
      </w:hyperlink>
      <w:r w:rsidR="00B727D6">
        <w:rPr>
          <w:noProof/>
        </w:rPr>
        <w:t>)</w:t>
      </w:r>
      <w:r w:rsidR="00B727D6">
        <w:fldChar w:fldCharType="end"/>
      </w:r>
      <w:r w:rsidR="00B21175">
        <w:t xml:space="preserve">. </w:t>
      </w:r>
    </w:p>
    <w:p w14:paraId="2CF6EAD1" w14:textId="57F9BC99" w:rsidR="00B21175" w:rsidRDefault="00B21175" w:rsidP="00B21175">
      <w:pPr>
        <w:jc w:val="both"/>
      </w:pPr>
      <w:r>
        <w:t xml:space="preserve">One retrospective study in CIDP patients reported a moderate AE rate of 8% of patients, and a severe AE rate of 1.6% of patients. Moderate AEs included hypertension, diabetes </w:t>
      </w:r>
      <w:r w:rsidR="00BD440B">
        <w:t>mellitus</w:t>
      </w:r>
      <w:r>
        <w:t xml:space="preserve"> </w:t>
      </w:r>
      <w:r w:rsidRPr="004C621D">
        <w:rPr>
          <w:i/>
        </w:rPr>
        <w:t>de novo</w:t>
      </w:r>
      <w:r>
        <w:t>, glaucoma, and depression. Of the two severe adverse events, one was severe hypertension, and the other was an acute myocardial infarction</w:t>
      </w:r>
      <w:r w:rsidR="003010E3">
        <w:t xml:space="preserve"> </w:t>
      </w:r>
      <w:r w:rsidR="00B727D6">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rsidR="00B727D6">
        <w:instrText xml:space="preserve"> ADDIN EN.CITE </w:instrText>
      </w:r>
      <w:r w:rsidR="00B727D6">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3" w:tooltip="van Lieverloo, 2018 #13" w:history="1">
        <w:r w:rsidR="00D726F6">
          <w:rPr>
            <w:noProof/>
          </w:rPr>
          <w:t>van Lieverloo et al. 2018</w:t>
        </w:r>
      </w:hyperlink>
      <w:r w:rsidR="00B727D6">
        <w:rPr>
          <w:noProof/>
        </w:rPr>
        <w:t>)</w:t>
      </w:r>
      <w:r w:rsidR="00B727D6">
        <w:fldChar w:fldCharType="end"/>
      </w:r>
      <w:r>
        <w:t>.</w:t>
      </w:r>
    </w:p>
    <w:p w14:paraId="179B1B7C" w14:textId="22C52FF9" w:rsidR="00B21175" w:rsidRPr="00AF7165" w:rsidRDefault="00B21175" w:rsidP="00B21175">
      <w:pPr>
        <w:jc w:val="both"/>
      </w:pPr>
      <w:r>
        <w:t xml:space="preserve">In a large retrospective database analysis of dose effects of GC in RA patients, </w:t>
      </w:r>
      <w:r w:rsidR="003010E3">
        <w:t xml:space="preserve">Huscher et al </w:t>
      </w:r>
      <w:r w:rsidR="00B727D6">
        <w:fldChar w:fldCharType="begin"/>
      </w:r>
      <w:r w:rsidR="00B727D6">
        <w:instrText xml:space="preserve"> ADDIN EN.CITE &lt;EndNote&gt;&lt;Cite&gt;&lt;Author&gt;Huscher&lt;/Author&gt;&lt;Year&gt;2009&lt;/Year&gt;&lt;RecNum&gt;12&lt;/RecNum&gt;&lt;DisplayText&gt;(Huscher et al. 2009)&lt;/DisplayText&gt;&lt;record&gt;&lt;rec-number&gt;12&lt;/rec-number&gt;&lt;foreign-keys&gt;&lt;key app="EN" db-id="p29e2t021fx2sker0f4p99xad5t02xpedpxr" timestamp="1605656036"&gt;12&lt;/key&gt;&lt;/foreign-keys&gt;&lt;ref-type name="Journal Article"&gt;17&lt;/ref-type&gt;&lt;contributors&gt;&lt;authors&gt;&lt;author&gt;Huscher, D.&lt;/author&gt;&lt;author&gt;Thiele, K.&lt;/author&gt;&lt;author&gt;Gromnica-Ihle, E.&lt;/author&gt;&lt;author&gt;Hein, G.&lt;/author&gt;&lt;author&gt;Demary, W.&lt;/author&gt;&lt;author&gt;Dreher, R.&lt;/author&gt;&lt;author&gt;Zink, A.&lt;/author&gt;&lt;author&gt;Buttgereit, F.&lt;/author&gt;&lt;/authors&gt;&lt;/contributors&gt;&lt;auth-address&gt;German Rheumatism Research Centre Berlin, Epidemiology Unit, Berlin, Germany. huscher@drfz.de&lt;/auth-address&gt;&lt;titles&gt;&lt;title&gt;Dose-related patterns of glucocorticoid-induced side effects&lt;/title&gt;&lt;secondary-title&gt;Ann Rheum Dis&lt;/secondary-title&gt;&lt;/titles&gt;&lt;periodical&gt;&lt;full-title&gt;Ann Rheum Dis&lt;/full-title&gt;&lt;/periodical&gt;&lt;pages&gt;1119-24&lt;/pages&gt;&lt;volume&gt;68&lt;/volume&gt;&lt;number&gt;7&lt;/number&gt;&lt;edition&gt;2008/08/08&lt;/edition&gt;&lt;keywords&gt;&lt;keyword&gt;Arthritis, Rheumatoid/ drug therapy&lt;/keyword&gt;&lt;keyword&gt;Data Collection&lt;/keyword&gt;&lt;keyword&gt;Dose-Response Relationship, Drug&lt;/keyword&gt;&lt;keyword&gt;Female&lt;/keyword&gt;&lt;keyword&gt;Glucocorticoids/administration &amp;amp; dosage/ adverse effects&lt;/keyword&gt;&lt;keyword&gt;Humans&lt;/keyword&gt;&lt;keyword&gt;Male&lt;/keyword&gt;&lt;keyword&gt;Middle Aged&lt;/keyword&gt;&lt;keyword&gt;Risk Factors&lt;/keyword&gt;&lt;keyword&gt;Time Factors&lt;/keyword&gt;&lt;/keywords&gt;&lt;dates&gt;&lt;year&gt;2009&lt;/year&gt;&lt;pub-dates&gt;&lt;date&gt;Jul&lt;/date&gt;&lt;/pub-dates&gt;&lt;/dates&gt;&lt;isbn&gt;1468-2060 (Electronic)&amp;#xD;0003-4967 (Linking)&lt;/isbn&gt;&lt;accession-num&gt;18684744&lt;/accession-num&gt;&lt;urls&gt;&lt;related-urls&gt;&lt;url&gt;https://ard.bmj.com/content/annrheumdis/68/7/1119.full.pdf&lt;/url&gt;&lt;/related-urls&gt;&lt;/urls&gt;&lt;electronic-resource-num&gt;10.1136/ard.2008.092163&lt;/electronic-resource-num&gt;&lt;remote-database-provider&gt;NLM&lt;/remote-database-provider&gt;&lt;language&gt;eng&lt;/language&gt;&lt;/record&gt;&lt;/Cite&gt;&lt;/EndNote&gt;</w:instrText>
      </w:r>
      <w:r w:rsidR="00B727D6">
        <w:fldChar w:fldCharType="separate"/>
      </w:r>
      <w:r w:rsidR="00B727D6">
        <w:rPr>
          <w:noProof/>
        </w:rPr>
        <w:t>(</w:t>
      </w:r>
      <w:hyperlink w:anchor="_ENREF_29" w:tooltip="Huscher, 2009 #12" w:history="1">
        <w:r w:rsidR="00D726F6">
          <w:rPr>
            <w:noProof/>
          </w:rPr>
          <w:t>Huscher et al. 2009</w:t>
        </w:r>
      </w:hyperlink>
      <w:r w:rsidR="00B727D6">
        <w:rPr>
          <w:noProof/>
        </w:rPr>
        <w:t>)</w:t>
      </w:r>
      <w:r w:rsidR="00B727D6">
        <w:fldChar w:fldCharType="end"/>
      </w:r>
      <w:r>
        <w:t xml:space="preserve"> found that some AEs increased in a linear pattern with increasing doses from &lt; 5 mg/day to 5 – 7.5 mg/day, and &gt; 7.5 mg/day. The AEs were Cushingoid phenotype, ecchymosis, leg oedema, mycosis, and sleep disturbance. Other AEs occurred at dose thresholds, including cataracts (threshold of &lt; 5 mg/day), </w:t>
      </w:r>
      <w:r w:rsidR="003010E3">
        <w:t xml:space="preserve">epistaxis </w:t>
      </w:r>
      <w:r>
        <w:t>and weight gain (threshold of 5 – 7.5 mg/day), and increased blood pressure, depression or listlessness, and glaucoma (threshold of &gt; 7.5 mg/day).</w:t>
      </w:r>
    </w:p>
    <w:p w14:paraId="347A296E" w14:textId="77777777" w:rsidR="00B21175" w:rsidRDefault="00B21175" w:rsidP="00B21175">
      <w:pPr>
        <w:pStyle w:val="Heading5"/>
      </w:pPr>
      <w:r>
        <w:t>Adverse events associated with IVIg</w:t>
      </w:r>
    </w:p>
    <w:p w14:paraId="4D944271" w14:textId="01CE16A3" w:rsidR="00B21175" w:rsidRDefault="00C53293" w:rsidP="00B21175">
      <w:r w:rsidRPr="00C53293">
        <w:t xml:space="preserve">One retrospective study </w:t>
      </w:r>
      <w:r w:rsidR="00B727D6">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sidR="00B727D6">
        <w:instrText xml:space="preserve"> ADDIN EN.CITE </w:instrText>
      </w:r>
      <w:r w:rsidR="00B727D6">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7" w:tooltip="Waheed, 2019 #14" w:history="1">
        <w:r w:rsidR="00D726F6">
          <w:rPr>
            <w:noProof/>
          </w:rPr>
          <w:t>Waheed et al. 2019</w:t>
        </w:r>
      </w:hyperlink>
      <w:r w:rsidR="00B727D6">
        <w:rPr>
          <w:noProof/>
        </w:rPr>
        <w:t>)</w:t>
      </w:r>
      <w:r w:rsidR="00B727D6">
        <w:fldChar w:fldCharType="end"/>
      </w:r>
      <w:r w:rsidRPr="00C53293">
        <w:t xml:space="preserve"> analysed AEs in patients with neuromuscular diseases, 50.5% of whom had CIDP. </w:t>
      </w:r>
      <w:r w:rsidR="00B21175">
        <w:t xml:space="preserve">The median follow-up period was 21 weeks. AEs were found to occur in 16.9% of patients and 2.9% of infusions. The most common AE was headache (7.2% of patients), followed by hypertension (4.1% of patients), rash (2.7% of patients), and flu-like symptoms (2.7% of patients). </w:t>
      </w:r>
    </w:p>
    <w:p w14:paraId="4BC5CEF4" w14:textId="77777777" w:rsidR="00B21175" w:rsidRDefault="00B21175" w:rsidP="00B21175">
      <w:r>
        <w:t>There were four serious AEs recorded. Four serious cases of aseptic meningitis occurred (0.9% of patients), one in a patient with CIDP (0.5%).</w:t>
      </w:r>
    </w:p>
    <w:p w14:paraId="7EA141AD" w14:textId="77777777" w:rsidR="00A73B4B" w:rsidRPr="00E3331A" w:rsidRDefault="00A73B4B" w:rsidP="00A73B4B">
      <w:pPr>
        <w:pStyle w:val="Heading3"/>
        <w:jc w:val="both"/>
      </w:pPr>
      <w:bookmarkStart w:id="68" w:name="_Toc69305535"/>
      <w:r w:rsidRPr="00E3331A">
        <w:t>Translation Issues</w:t>
      </w:r>
      <w:bookmarkEnd w:id="68"/>
    </w:p>
    <w:p w14:paraId="0B617E4A" w14:textId="2D5CC72B" w:rsidR="00A73B4B" w:rsidRDefault="00A73B4B" w:rsidP="00A73B4B">
      <w:pPr>
        <w:pStyle w:val="BodyTextSTD"/>
      </w:pPr>
      <w:bookmarkStart w:id="69" w:name="_Toc395200751"/>
      <w:bookmarkStart w:id="70" w:name="_Toc379118059"/>
      <w:bookmarkStart w:id="71" w:name="_Toc379118251"/>
      <w:bookmarkStart w:id="72" w:name="_Toc381796435"/>
      <w:bookmarkEnd w:id="67"/>
      <w:r w:rsidRPr="007728E2">
        <w:t xml:space="preserve">The economic model presented is a cost-utility analysis, where Ig therapy is associated with </w:t>
      </w:r>
      <w:r>
        <w:t xml:space="preserve">non-inferior effectiveness and better safety profile compared with corticosteroids and </w:t>
      </w:r>
      <w:r w:rsidR="00B30BDF">
        <w:t>PE</w:t>
      </w:r>
      <w:r>
        <w:t xml:space="preserve"> therapy</w:t>
      </w:r>
      <w:r w:rsidRPr="007728E2">
        <w:t xml:space="preserve">. Ig therapy is already in use in Australia and </w:t>
      </w:r>
      <w:r>
        <w:t>eight</w:t>
      </w:r>
      <w:r w:rsidRPr="007728E2">
        <w:t xml:space="preserve"> translation studies were conducted to address issues regarding the applicability, extrapolation and transformation of the evidence to the proposed setting. These are summarised in</w:t>
      </w:r>
      <w:r>
        <w:t xml:space="preserve"> </w:t>
      </w:r>
      <w:r>
        <w:fldChar w:fldCharType="begin"/>
      </w:r>
      <w:r>
        <w:instrText xml:space="preserve"> REF _Ref67390583 \h </w:instrText>
      </w:r>
      <w:r>
        <w:fldChar w:fldCharType="separate"/>
      </w:r>
      <w:r w:rsidR="004B3EA2" w:rsidRPr="00E3331A">
        <w:t xml:space="preserve">Table </w:t>
      </w:r>
      <w:r w:rsidR="004B3EA2">
        <w:rPr>
          <w:noProof/>
        </w:rPr>
        <w:t>1</w:t>
      </w:r>
      <w:r>
        <w:fldChar w:fldCharType="end"/>
      </w:r>
    </w:p>
    <w:p w14:paraId="36369AD9" w14:textId="2B1E4BB7" w:rsidR="00A73B4B" w:rsidRPr="00E3331A" w:rsidRDefault="00A73B4B" w:rsidP="00A73B4B">
      <w:pPr>
        <w:pStyle w:val="Caption"/>
      </w:pPr>
      <w:bookmarkStart w:id="73" w:name="_Ref67390583"/>
      <w:bookmarkStart w:id="74" w:name="_Toc69305642"/>
      <w:r w:rsidRPr="00E3331A">
        <w:t xml:space="preserve">Table </w:t>
      </w:r>
      <w:r w:rsidRPr="00E3331A">
        <w:rPr>
          <w:noProof/>
        </w:rPr>
        <w:fldChar w:fldCharType="begin"/>
      </w:r>
      <w:r w:rsidRPr="00E3331A">
        <w:rPr>
          <w:noProof/>
        </w:rPr>
        <w:instrText xml:space="preserve"> SEQ Table \* ARABIC </w:instrText>
      </w:r>
      <w:r w:rsidRPr="00E3331A">
        <w:rPr>
          <w:noProof/>
        </w:rPr>
        <w:fldChar w:fldCharType="separate"/>
      </w:r>
      <w:r w:rsidR="004B3EA2">
        <w:rPr>
          <w:noProof/>
        </w:rPr>
        <w:t>1</w:t>
      </w:r>
      <w:r w:rsidRPr="00E3331A">
        <w:rPr>
          <w:noProof/>
        </w:rPr>
        <w:fldChar w:fldCharType="end"/>
      </w:r>
      <w:bookmarkEnd w:id="73"/>
      <w:r>
        <w:rPr>
          <w:noProof/>
        </w:rPr>
        <w:tab/>
      </w:r>
      <w:r w:rsidRPr="00E3331A">
        <w:rPr>
          <w:noProof/>
        </w:rPr>
        <w:tab/>
      </w:r>
      <w:r w:rsidRPr="00E3331A">
        <w:t>Summary of results of pre-modelling studies and their uses in the economic evaluation</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Caption w:val="Summary of results of pre-modelling studies and their uses in the economic evaluation"/>
        <w:tblDescription w:val="Summary of results of pre-modelling studies and their uses in the economic evaluation"/>
      </w:tblPr>
      <w:tblGrid>
        <w:gridCol w:w="3397"/>
        <w:gridCol w:w="2835"/>
        <w:gridCol w:w="2784"/>
      </w:tblGrid>
      <w:tr w:rsidR="00A73B4B" w:rsidRPr="000C21C2" w14:paraId="506AF577" w14:textId="77777777" w:rsidTr="00CA4CBD">
        <w:trPr>
          <w:cantSplit/>
        </w:trPr>
        <w:tc>
          <w:tcPr>
            <w:tcW w:w="1884" w:type="pct"/>
            <w:tcBorders>
              <w:bottom w:val="single" w:sz="4" w:space="0" w:color="auto"/>
            </w:tcBorders>
            <w:shd w:val="clear" w:color="auto" w:fill="auto"/>
            <w:vAlign w:val="bottom"/>
          </w:tcPr>
          <w:p w14:paraId="67DF58FC" w14:textId="77777777" w:rsidR="00A73B4B" w:rsidRPr="000C21C2" w:rsidRDefault="00A73B4B" w:rsidP="00CA4CBD">
            <w:pPr>
              <w:pStyle w:val="TableHeading"/>
            </w:pPr>
            <w:r w:rsidRPr="000C21C2">
              <w:t>Pre-modelling study</w:t>
            </w:r>
          </w:p>
        </w:tc>
        <w:tc>
          <w:tcPr>
            <w:tcW w:w="1572" w:type="pct"/>
            <w:tcBorders>
              <w:bottom w:val="single" w:sz="4" w:space="0" w:color="auto"/>
            </w:tcBorders>
            <w:shd w:val="clear" w:color="auto" w:fill="auto"/>
            <w:vAlign w:val="bottom"/>
          </w:tcPr>
          <w:p w14:paraId="7E65B9CC" w14:textId="77777777" w:rsidR="00A73B4B" w:rsidRPr="000C21C2" w:rsidRDefault="00A73B4B" w:rsidP="00CA4CBD">
            <w:pPr>
              <w:pStyle w:val="TableHeading"/>
            </w:pPr>
            <w:r w:rsidRPr="000C21C2">
              <w:t>Results used in Section D</w:t>
            </w:r>
          </w:p>
        </w:tc>
        <w:tc>
          <w:tcPr>
            <w:tcW w:w="1544" w:type="pct"/>
            <w:tcBorders>
              <w:bottom w:val="single" w:sz="4" w:space="0" w:color="auto"/>
            </w:tcBorders>
            <w:shd w:val="clear" w:color="auto" w:fill="auto"/>
            <w:vAlign w:val="bottom"/>
          </w:tcPr>
          <w:p w14:paraId="1F95C9C9" w14:textId="77777777" w:rsidR="00A73B4B" w:rsidRPr="000C21C2" w:rsidRDefault="00A73B4B" w:rsidP="00CA4CBD">
            <w:pPr>
              <w:pStyle w:val="TableHeading"/>
            </w:pPr>
            <w:r w:rsidRPr="000C21C2">
              <w:t>Results used in sensitivity analyses</w:t>
            </w:r>
          </w:p>
        </w:tc>
      </w:tr>
      <w:tr w:rsidR="00A73B4B" w:rsidRPr="000C21C2" w14:paraId="36F2D9FB" w14:textId="77777777" w:rsidTr="00CA4CBD">
        <w:trPr>
          <w:cantSplit/>
        </w:trPr>
        <w:tc>
          <w:tcPr>
            <w:tcW w:w="1884" w:type="pct"/>
            <w:tcBorders>
              <w:right w:val="nil"/>
            </w:tcBorders>
            <w:vAlign w:val="center"/>
          </w:tcPr>
          <w:p w14:paraId="3257C114" w14:textId="77777777" w:rsidR="00A73B4B" w:rsidRPr="000C21C2" w:rsidRDefault="00A73B4B" w:rsidP="00CA4CBD">
            <w:pPr>
              <w:pStyle w:val="Tabletext1"/>
              <w:rPr>
                <w:b/>
              </w:rPr>
            </w:pPr>
            <w:r w:rsidRPr="000C21C2">
              <w:rPr>
                <w:b/>
              </w:rPr>
              <w:t>Applicability issues</w:t>
            </w:r>
          </w:p>
        </w:tc>
        <w:tc>
          <w:tcPr>
            <w:tcW w:w="1572" w:type="pct"/>
            <w:tcBorders>
              <w:left w:val="nil"/>
              <w:right w:val="nil"/>
            </w:tcBorders>
            <w:vAlign w:val="center"/>
          </w:tcPr>
          <w:p w14:paraId="6B96F6DA" w14:textId="77777777" w:rsidR="00A73B4B" w:rsidRPr="000C21C2" w:rsidRDefault="00A73B4B" w:rsidP="00CA4CBD">
            <w:pPr>
              <w:pStyle w:val="Tabletext1"/>
            </w:pPr>
          </w:p>
        </w:tc>
        <w:tc>
          <w:tcPr>
            <w:tcW w:w="1544" w:type="pct"/>
            <w:tcBorders>
              <w:left w:val="nil"/>
              <w:right w:val="single" w:sz="4" w:space="0" w:color="auto"/>
            </w:tcBorders>
            <w:vAlign w:val="center"/>
          </w:tcPr>
          <w:p w14:paraId="1988FA31" w14:textId="77777777" w:rsidR="00A73B4B" w:rsidRPr="000C21C2" w:rsidRDefault="00A73B4B" w:rsidP="00CA4CBD">
            <w:pPr>
              <w:pStyle w:val="Tabletext1"/>
            </w:pPr>
          </w:p>
        </w:tc>
      </w:tr>
      <w:tr w:rsidR="00A73B4B" w:rsidRPr="000C21C2" w14:paraId="126173DB" w14:textId="77777777" w:rsidTr="00171CCE">
        <w:trPr>
          <w:cantSplit/>
        </w:trPr>
        <w:tc>
          <w:tcPr>
            <w:tcW w:w="1884" w:type="pct"/>
          </w:tcPr>
          <w:p w14:paraId="1DA14428" w14:textId="77777777" w:rsidR="00A73B4B" w:rsidRPr="000C21C2" w:rsidRDefault="00A73B4B" w:rsidP="00171CCE">
            <w:pPr>
              <w:pStyle w:val="Tabletext1"/>
            </w:pPr>
            <w:r w:rsidRPr="000C21C2">
              <w:t>Does the patient profile in the clinical evidence match the demographic characteristics of patients with CIDP in Australia?</w:t>
            </w:r>
          </w:p>
        </w:tc>
        <w:tc>
          <w:tcPr>
            <w:tcW w:w="1572" w:type="pct"/>
          </w:tcPr>
          <w:p w14:paraId="4EC0816E" w14:textId="77777777" w:rsidR="00A73B4B" w:rsidRPr="000C21C2" w:rsidRDefault="00A73B4B" w:rsidP="00171CCE">
            <w:pPr>
              <w:pStyle w:val="Tabletext1"/>
            </w:pPr>
            <w:r w:rsidRPr="000C21C2">
              <w:t>Patient weight: 78 kgs</w:t>
            </w:r>
          </w:p>
          <w:p w14:paraId="4A323D11" w14:textId="77777777" w:rsidR="00A73B4B" w:rsidRPr="000C21C2" w:rsidRDefault="00A73B4B" w:rsidP="00171CCE">
            <w:pPr>
              <w:pStyle w:val="Tabletext1"/>
            </w:pPr>
            <w:r w:rsidRPr="000C21C2">
              <w:t>Patient age: 65 years</w:t>
            </w:r>
          </w:p>
        </w:tc>
        <w:tc>
          <w:tcPr>
            <w:tcW w:w="1544" w:type="pct"/>
          </w:tcPr>
          <w:p w14:paraId="045D826E" w14:textId="77777777" w:rsidR="00A73B4B" w:rsidRPr="000C21C2" w:rsidRDefault="00A73B4B" w:rsidP="00171CCE">
            <w:pPr>
              <w:pStyle w:val="Tabletext1"/>
            </w:pPr>
            <w:r w:rsidRPr="000C21C2">
              <w:t>-</w:t>
            </w:r>
          </w:p>
        </w:tc>
      </w:tr>
      <w:tr w:rsidR="00773FEB" w:rsidRPr="000C21C2" w14:paraId="529C636D" w14:textId="77777777" w:rsidTr="00171CCE">
        <w:trPr>
          <w:cantSplit/>
          <w:trHeight w:val="688"/>
        </w:trPr>
        <w:tc>
          <w:tcPr>
            <w:tcW w:w="1884" w:type="pct"/>
          </w:tcPr>
          <w:p w14:paraId="3FA64D62" w14:textId="16C2323F" w:rsidR="00773FEB" w:rsidRPr="000C21C2" w:rsidRDefault="00773FEB" w:rsidP="00171CCE">
            <w:pPr>
              <w:pStyle w:val="Tabletext1"/>
            </w:pPr>
            <w:r w:rsidRPr="000C21C2">
              <w:t>Is the Ig dosing and frequency of administration schedule in the clinical trials consistent with the current recommendation in Australia (</w:t>
            </w:r>
            <w:r>
              <w:t>C</w:t>
            </w:r>
            <w:r w:rsidRPr="000C21C2">
              <w:t>riteria</w:t>
            </w:r>
            <w:r>
              <w:t xml:space="preserve"> V3</w:t>
            </w:r>
            <w:r w:rsidRPr="000C21C2">
              <w:t>)?</w:t>
            </w:r>
          </w:p>
        </w:tc>
        <w:tc>
          <w:tcPr>
            <w:tcW w:w="1572" w:type="pct"/>
          </w:tcPr>
          <w:p w14:paraId="69F3849C" w14:textId="5F87D160" w:rsidR="00773FEB" w:rsidRPr="000C21C2" w:rsidRDefault="00773FEB" w:rsidP="00171CCE">
            <w:pPr>
              <w:pStyle w:val="Tabletext1"/>
            </w:pPr>
            <w:r w:rsidRPr="000C21C2">
              <w:t>Treatment doses and frequency vary across trial and clinical practice.</w:t>
            </w:r>
            <w:r>
              <w:t xml:space="preserve"> The base case uses doses based on the Australian BloodStar Criteria V3 and NBA data rather than clinical trial doses.</w:t>
            </w:r>
            <w:r w:rsidRPr="000C21C2">
              <w:t xml:space="preserve"> </w:t>
            </w:r>
            <w:r w:rsidRPr="000C21C2">
              <w:fldChar w:fldCharType="begin"/>
            </w:r>
            <w:r w:rsidRPr="000C21C2">
              <w:instrText xml:space="preserve"> REF _Ref65086945 \h  \* MERGEFORMAT </w:instrText>
            </w:r>
            <w:r w:rsidRPr="000C21C2">
              <w:fldChar w:fldCharType="separate"/>
            </w:r>
            <w:r w:rsidR="004B3EA2">
              <w:t>Table 28</w:t>
            </w:r>
            <w:r w:rsidRPr="000C21C2">
              <w:fldChar w:fldCharType="end"/>
            </w:r>
            <w:r w:rsidRPr="000C21C2">
              <w:t xml:space="preserve"> summarises</w:t>
            </w:r>
            <w:r>
              <w:t xml:space="preserve"> the</w:t>
            </w:r>
            <w:r w:rsidRPr="000C21C2">
              <w:t xml:space="preserve"> values used in the analys</w:t>
            </w:r>
            <w:r>
              <w:t>e</w:t>
            </w:r>
            <w:r w:rsidRPr="000C21C2">
              <w:t xml:space="preserve">s. </w:t>
            </w:r>
          </w:p>
        </w:tc>
        <w:tc>
          <w:tcPr>
            <w:tcW w:w="1544" w:type="pct"/>
          </w:tcPr>
          <w:p w14:paraId="3E3356F9" w14:textId="647100F1" w:rsidR="00773FEB" w:rsidRPr="000C21C2" w:rsidRDefault="00773FEB" w:rsidP="00171CCE">
            <w:pPr>
              <w:pStyle w:val="Tabletext1"/>
            </w:pPr>
            <w:r>
              <w:t xml:space="preserve">Alternative estimates of IVIg dosing (higher and lower per infusion doses and higher and lower infusion frequency) are tested in sensitivity analyses. </w:t>
            </w:r>
          </w:p>
        </w:tc>
      </w:tr>
      <w:tr w:rsidR="00773FEB" w:rsidRPr="000C21C2" w14:paraId="20A559D6" w14:textId="77777777" w:rsidTr="00171CCE">
        <w:trPr>
          <w:cantSplit/>
        </w:trPr>
        <w:tc>
          <w:tcPr>
            <w:tcW w:w="1884" w:type="pct"/>
          </w:tcPr>
          <w:p w14:paraId="549F25B0" w14:textId="77777777" w:rsidR="00773FEB" w:rsidRPr="000C21C2" w:rsidRDefault="00773FEB" w:rsidP="00171CCE">
            <w:pPr>
              <w:pStyle w:val="Tabletext1"/>
            </w:pPr>
            <w:r w:rsidRPr="000C21C2">
              <w:t>Is the duration of Ig treatment in the clinical evidence consistent with use in the current Australian population?</w:t>
            </w:r>
          </w:p>
        </w:tc>
        <w:tc>
          <w:tcPr>
            <w:tcW w:w="1572" w:type="pct"/>
          </w:tcPr>
          <w:p w14:paraId="7875A9A6" w14:textId="6DEE6F5D" w:rsidR="00773FEB" w:rsidRPr="000C21C2" w:rsidRDefault="00773FEB" w:rsidP="00171CCE">
            <w:pPr>
              <w:pStyle w:val="Tabletext1"/>
            </w:pPr>
            <w:r>
              <w:t>There is little information on duration of treatment, therefore the modelled duration of treatment is driven by response, relapse and remission d</w:t>
            </w:r>
            <w:r w:rsidRPr="000C21C2">
              <w:t>ata synthesised from RCTs, observational studies and BloodStar data.</w:t>
            </w:r>
            <w:r>
              <w:t xml:space="preserve"> </w:t>
            </w:r>
          </w:p>
        </w:tc>
        <w:tc>
          <w:tcPr>
            <w:tcW w:w="1544" w:type="pct"/>
          </w:tcPr>
          <w:p w14:paraId="54FA47E7" w14:textId="18D7E11D" w:rsidR="00773FEB" w:rsidRPr="000C21C2" w:rsidRDefault="00773FEB" w:rsidP="00171CCE">
            <w:pPr>
              <w:pStyle w:val="Tabletext1"/>
            </w:pPr>
            <w:r w:rsidRPr="000C21C2">
              <w:t>-</w:t>
            </w:r>
          </w:p>
        </w:tc>
      </w:tr>
      <w:tr w:rsidR="00773FEB" w:rsidRPr="000C21C2" w14:paraId="27DF11BC" w14:textId="77777777" w:rsidTr="00171CCE">
        <w:trPr>
          <w:cantSplit/>
        </w:trPr>
        <w:tc>
          <w:tcPr>
            <w:tcW w:w="1884" w:type="pct"/>
            <w:tcBorders>
              <w:bottom w:val="single" w:sz="4" w:space="0" w:color="auto"/>
            </w:tcBorders>
          </w:tcPr>
          <w:p w14:paraId="02743652" w14:textId="77777777" w:rsidR="00773FEB" w:rsidRPr="000C21C2" w:rsidRDefault="00773FEB" w:rsidP="00171CCE">
            <w:pPr>
              <w:pStyle w:val="Tabletext1"/>
            </w:pPr>
            <w:r w:rsidRPr="000C21C2">
              <w:t>What is the optimum period of disease stability that would trigger a decision to reduce the maintenance dose, in order to inform the Criteria?</w:t>
            </w:r>
          </w:p>
        </w:tc>
        <w:tc>
          <w:tcPr>
            <w:tcW w:w="1572" w:type="pct"/>
            <w:tcBorders>
              <w:bottom w:val="single" w:sz="4" w:space="0" w:color="auto"/>
            </w:tcBorders>
          </w:tcPr>
          <w:p w14:paraId="3F549785" w14:textId="3B2A382D" w:rsidR="00773FEB" w:rsidRPr="000C21C2" w:rsidRDefault="00773FEB" w:rsidP="00171CCE">
            <w:pPr>
              <w:pStyle w:val="Tabletext1"/>
            </w:pPr>
            <w:r>
              <w:t xml:space="preserve">The base case dosing is based on </w:t>
            </w:r>
            <w:r w:rsidRPr="000C21C2">
              <w:t xml:space="preserve">Criteria </w:t>
            </w:r>
            <w:r>
              <w:t>V</w:t>
            </w:r>
            <w:r w:rsidRPr="000C21C2">
              <w:t>3.</w:t>
            </w:r>
          </w:p>
        </w:tc>
        <w:tc>
          <w:tcPr>
            <w:tcW w:w="1544" w:type="pct"/>
            <w:tcBorders>
              <w:bottom w:val="single" w:sz="4" w:space="0" w:color="auto"/>
            </w:tcBorders>
          </w:tcPr>
          <w:p w14:paraId="2B4597D8" w14:textId="709AE4F3" w:rsidR="00773FEB" w:rsidRPr="000C21C2" w:rsidRDefault="00773FEB" w:rsidP="00171CCE">
            <w:pPr>
              <w:pStyle w:val="Tabletext1"/>
            </w:pPr>
            <w:r>
              <w:t xml:space="preserve">An </w:t>
            </w:r>
            <w:r w:rsidRPr="000C21C2">
              <w:t xml:space="preserve">Ig dose reduction by 20% per </w:t>
            </w:r>
            <w:r>
              <w:t xml:space="preserve">treatment </w:t>
            </w:r>
            <w:r w:rsidRPr="000C21C2">
              <w:t xml:space="preserve">course for 6 cycles for </w:t>
            </w:r>
            <w:r>
              <w:t>Ig</w:t>
            </w:r>
            <w:r w:rsidRPr="000C21C2">
              <w:t xml:space="preserve"> </w:t>
            </w:r>
            <w:r w:rsidR="00053381">
              <w:t>maintenance treatment</w:t>
            </w:r>
            <w:r>
              <w:t xml:space="preserve"> is presented.</w:t>
            </w:r>
          </w:p>
        </w:tc>
      </w:tr>
      <w:tr w:rsidR="00A73B4B" w:rsidRPr="000C21C2" w14:paraId="5C663072" w14:textId="77777777" w:rsidTr="00171CCE">
        <w:trPr>
          <w:cantSplit/>
        </w:trPr>
        <w:tc>
          <w:tcPr>
            <w:tcW w:w="1884" w:type="pct"/>
            <w:tcBorders>
              <w:right w:val="nil"/>
            </w:tcBorders>
          </w:tcPr>
          <w:p w14:paraId="33B83217" w14:textId="77777777" w:rsidR="00A73B4B" w:rsidRPr="000C21C2" w:rsidRDefault="00A73B4B" w:rsidP="00171CCE">
            <w:pPr>
              <w:pStyle w:val="Tabletext1"/>
              <w:rPr>
                <w:b/>
              </w:rPr>
            </w:pPr>
            <w:r w:rsidRPr="000C21C2">
              <w:rPr>
                <w:b/>
              </w:rPr>
              <w:t>Extrapolation issues</w:t>
            </w:r>
          </w:p>
        </w:tc>
        <w:tc>
          <w:tcPr>
            <w:tcW w:w="1572" w:type="pct"/>
            <w:tcBorders>
              <w:left w:val="nil"/>
              <w:right w:val="nil"/>
            </w:tcBorders>
          </w:tcPr>
          <w:p w14:paraId="3C665933" w14:textId="77777777" w:rsidR="00A73B4B" w:rsidRPr="000C21C2" w:rsidRDefault="00A73B4B" w:rsidP="00171CCE">
            <w:pPr>
              <w:pStyle w:val="Tabletext1"/>
            </w:pPr>
          </w:p>
        </w:tc>
        <w:tc>
          <w:tcPr>
            <w:tcW w:w="1544" w:type="pct"/>
            <w:tcBorders>
              <w:left w:val="nil"/>
              <w:right w:val="nil"/>
            </w:tcBorders>
          </w:tcPr>
          <w:p w14:paraId="3D78BFE3" w14:textId="77777777" w:rsidR="00A73B4B" w:rsidRPr="000C21C2" w:rsidRDefault="00A73B4B" w:rsidP="00171CCE">
            <w:pPr>
              <w:pStyle w:val="Tabletext1"/>
            </w:pPr>
          </w:p>
        </w:tc>
      </w:tr>
      <w:tr w:rsidR="00773FEB" w:rsidRPr="000C21C2" w14:paraId="555C7263" w14:textId="77777777" w:rsidTr="00171CCE">
        <w:trPr>
          <w:cantSplit/>
        </w:trPr>
        <w:tc>
          <w:tcPr>
            <w:tcW w:w="1884" w:type="pct"/>
          </w:tcPr>
          <w:p w14:paraId="6F14BD97" w14:textId="77777777" w:rsidR="00773FEB" w:rsidRPr="000C21C2" w:rsidRDefault="00773FEB" w:rsidP="00171CCE">
            <w:pPr>
              <w:pStyle w:val="Tabletext1"/>
            </w:pPr>
            <w:r w:rsidRPr="000C21C2">
              <w:t>What is the appropriate time horizon for the economic analysis of maintenance IVIg?</w:t>
            </w:r>
          </w:p>
        </w:tc>
        <w:tc>
          <w:tcPr>
            <w:tcW w:w="1572" w:type="pct"/>
          </w:tcPr>
          <w:p w14:paraId="09BA3648" w14:textId="77777777" w:rsidR="00773FEB" w:rsidRPr="000C21C2" w:rsidRDefault="00773FEB" w:rsidP="00171CCE">
            <w:pPr>
              <w:pStyle w:val="Tabletext1"/>
            </w:pPr>
            <w:r w:rsidRPr="000C21C2">
              <w:t>Follow-up in key trials and 10 year</w:t>
            </w:r>
          </w:p>
        </w:tc>
        <w:tc>
          <w:tcPr>
            <w:tcW w:w="1544" w:type="pct"/>
          </w:tcPr>
          <w:p w14:paraId="47C11556" w14:textId="77777777" w:rsidR="00773FEB" w:rsidRPr="000C21C2" w:rsidRDefault="00773FEB" w:rsidP="00171CCE">
            <w:pPr>
              <w:pStyle w:val="Tabletext1"/>
            </w:pPr>
            <w:r w:rsidRPr="000C21C2">
              <w:t>Results across variable time horizons</w:t>
            </w:r>
          </w:p>
        </w:tc>
      </w:tr>
      <w:tr w:rsidR="00A73B4B" w:rsidRPr="000C21C2" w14:paraId="0178B75C" w14:textId="77777777" w:rsidTr="00171CCE">
        <w:trPr>
          <w:cantSplit/>
        </w:trPr>
        <w:tc>
          <w:tcPr>
            <w:tcW w:w="1884" w:type="pct"/>
          </w:tcPr>
          <w:p w14:paraId="575D5C1B" w14:textId="77777777" w:rsidR="00A73B4B" w:rsidRPr="000C21C2" w:rsidRDefault="00A73B4B" w:rsidP="00171CCE">
            <w:pPr>
              <w:pStyle w:val="Tabletext1"/>
            </w:pPr>
            <w:r w:rsidRPr="000C21C2">
              <w:t xml:space="preserve">What is the duration of the treatment effect </w:t>
            </w:r>
            <w:r w:rsidR="003D5405">
              <w:t xml:space="preserve">(Ig and comparators) </w:t>
            </w:r>
            <w:r w:rsidRPr="000C21C2">
              <w:t>in patients with CIDP and was the duration of effect expected in the Australian setting captured in the available clinical evidence?</w:t>
            </w:r>
          </w:p>
        </w:tc>
        <w:tc>
          <w:tcPr>
            <w:tcW w:w="1572" w:type="pct"/>
          </w:tcPr>
          <w:p w14:paraId="33A357B8" w14:textId="4A432F3E" w:rsidR="00A73B4B" w:rsidRPr="000C21C2" w:rsidRDefault="00D755AB" w:rsidP="00171CCE">
            <w:pPr>
              <w:pStyle w:val="Tabletext1"/>
            </w:pPr>
            <w:r>
              <w:t>On and off-treatment t</w:t>
            </w:r>
            <w:r w:rsidRPr="000C21C2">
              <w:t xml:space="preserve">ransition </w:t>
            </w:r>
            <w:r w:rsidR="00A73B4B" w:rsidRPr="000C21C2">
              <w:t>probabilities estimated from RCTs, observational studies and BloodStar data (</w:t>
            </w:r>
            <w:r w:rsidR="00A73B4B" w:rsidRPr="000C21C2">
              <w:fldChar w:fldCharType="begin"/>
            </w:r>
            <w:r w:rsidR="00A73B4B" w:rsidRPr="000C21C2">
              <w:instrText xml:space="preserve"> REF _Ref65856839 \h  \* MERGEFORMAT </w:instrText>
            </w:r>
            <w:r w:rsidR="00A73B4B" w:rsidRPr="000C21C2">
              <w:fldChar w:fldCharType="separate"/>
            </w:r>
            <w:r w:rsidR="004B3EA2" w:rsidRPr="001977C9">
              <w:t xml:space="preserve">Table </w:t>
            </w:r>
            <w:r w:rsidR="004B3EA2">
              <w:t>31</w:t>
            </w:r>
            <w:r w:rsidR="00A73B4B" w:rsidRPr="000C21C2">
              <w:fldChar w:fldCharType="end"/>
            </w:r>
            <w:r w:rsidR="00A73B4B" w:rsidRPr="000C21C2">
              <w:t>)</w:t>
            </w:r>
            <w:r>
              <w:t xml:space="preserve"> and are extrapolated over the modelled time horizon</w:t>
            </w:r>
            <w:r w:rsidRPr="000C21C2">
              <w:t>.</w:t>
            </w:r>
          </w:p>
        </w:tc>
        <w:tc>
          <w:tcPr>
            <w:tcW w:w="1544" w:type="pct"/>
          </w:tcPr>
          <w:p w14:paraId="1C68F481" w14:textId="3F942B00" w:rsidR="00A73B4B" w:rsidRPr="000C21C2" w:rsidRDefault="00D755AB" w:rsidP="00171CCE">
            <w:pPr>
              <w:pStyle w:val="Tabletext1"/>
            </w:pPr>
            <w:r>
              <w:t>A r</w:t>
            </w:r>
            <w:r w:rsidR="00A73B4B" w:rsidRPr="000C21C2">
              <w:t>ange of</w:t>
            </w:r>
            <w:r>
              <w:t xml:space="preserve"> alternative transition</w:t>
            </w:r>
            <w:r w:rsidR="00A73B4B" w:rsidRPr="000C21C2">
              <w:t xml:space="preserve"> values </w:t>
            </w:r>
            <w:r>
              <w:t>(</w:t>
            </w:r>
            <w:r w:rsidR="00A73B4B" w:rsidRPr="000C21C2">
              <w:t xml:space="preserve">summarised in </w:t>
            </w:r>
            <w:r w:rsidR="00A73B4B" w:rsidRPr="000C21C2">
              <w:fldChar w:fldCharType="begin"/>
            </w:r>
            <w:r w:rsidR="00A73B4B" w:rsidRPr="000C21C2">
              <w:instrText xml:space="preserve"> REF _Ref65856839 \h  \* MERGEFORMAT </w:instrText>
            </w:r>
            <w:r w:rsidR="00A73B4B" w:rsidRPr="000C21C2">
              <w:fldChar w:fldCharType="separate"/>
            </w:r>
            <w:r w:rsidR="004B3EA2" w:rsidRPr="001977C9">
              <w:t xml:space="preserve">Table </w:t>
            </w:r>
            <w:r w:rsidR="004B3EA2">
              <w:t>31</w:t>
            </w:r>
            <w:r w:rsidR="00A73B4B" w:rsidRPr="000C21C2">
              <w:fldChar w:fldCharType="end"/>
            </w:r>
            <w:r>
              <w:t>) are tested</w:t>
            </w:r>
            <w:r w:rsidR="00A73B4B" w:rsidRPr="000C21C2">
              <w:t>.</w:t>
            </w:r>
          </w:p>
        </w:tc>
      </w:tr>
      <w:tr w:rsidR="00A73B4B" w:rsidRPr="000C21C2" w14:paraId="063F31A1" w14:textId="77777777" w:rsidTr="00171CCE">
        <w:trPr>
          <w:cantSplit/>
        </w:trPr>
        <w:tc>
          <w:tcPr>
            <w:tcW w:w="1884" w:type="pct"/>
            <w:tcBorders>
              <w:bottom w:val="single" w:sz="4" w:space="0" w:color="auto"/>
            </w:tcBorders>
          </w:tcPr>
          <w:p w14:paraId="44B64F03" w14:textId="77777777" w:rsidR="00A73B4B" w:rsidRPr="000C21C2" w:rsidRDefault="00A73B4B" w:rsidP="00171CCE">
            <w:pPr>
              <w:pStyle w:val="Tabletext1"/>
            </w:pPr>
            <w:r w:rsidRPr="000C21C2">
              <w:t>What safety implications and adverse events are associated with the intervention and comparator drugs treatments when used for longer durations?</w:t>
            </w:r>
          </w:p>
        </w:tc>
        <w:tc>
          <w:tcPr>
            <w:tcW w:w="1572" w:type="pct"/>
            <w:tcBorders>
              <w:bottom w:val="single" w:sz="4" w:space="0" w:color="auto"/>
            </w:tcBorders>
          </w:tcPr>
          <w:p w14:paraId="2101FA93" w14:textId="39E4B848" w:rsidR="00A73B4B" w:rsidRPr="000C21C2" w:rsidRDefault="00D755AB" w:rsidP="00171CCE">
            <w:pPr>
              <w:pStyle w:val="Tabletext1"/>
            </w:pPr>
            <w:r>
              <w:t>Adverse events associated with long-term corticosteroids and ongoing PE are included in the base case economic models. A s</w:t>
            </w:r>
            <w:r w:rsidR="00A73B4B" w:rsidRPr="000C21C2">
              <w:t xml:space="preserve">ummary </w:t>
            </w:r>
            <w:r>
              <w:t xml:space="preserve">is </w:t>
            </w:r>
            <w:r w:rsidR="00A73B4B" w:rsidRPr="000C21C2">
              <w:t xml:space="preserve">presented in </w:t>
            </w:r>
            <w:r w:rsidR="00A73B4B" w:rsidRPr="000C21C2">
              <w:fldChar w:fldCharType="begin"/>
            </w:r>
            <w:r w:rsidR="00A73B4B" w:rsidRPr="000C21C2">
              <w:instrText xml:space="preserve"> REF _Ref65252255 \h  \* MERGEFORMAT </w:instrText>
            </w:r>
            <w:r w:rsidR="00A73B4B" w:rsidRPr="000C21C2">
              <w:fldChar w:fldCharType="separate"/>
            </w:r>
            <w:r w:rsidR="004B3EA2">
              <w:t>Table 32</w:t>
            </w:r>
            <w:r w:rsidR="00A73B4B" w:rsidRPr="000C21C2">
              <w:fldChar w:fldCharType="end"/>
            </w:r>
          </w:p>
        </w:tc>
        <w:tc>
          <w:tcPr>
            <w:tcW w:w="1544" w:type="pct"/>
            <w:tcBorders>
              <w:bottom w:val="single" w:sz="4" w:space="0" w:color="auto"/>
            </w:tcBorders>
          </w:tcPr>
          <w:p w14:paraId="63F69857" w14:textId="188CC519" w:rsidR="00A73B4B" w:rsidRPr="000C21C2" w:rsidRDefault="00D755AB" w:rsidP="00171CCE">
            <w:pPr>
              <w:pStyle w:val="Tabletext1"/>
            </w:pPr>
            <w:r w:rsidRPr="00D755AB">
              <w:t>Alternative estimates of long-term adverse event rates are tested.</w:t>
            </w:r>
          </w:p>
        </w:tc>
      </w:tr>
      <w:tr w:rsidR="00A73B4B" w:rsidRPr="000C21C2" w14:paraId="1F1D99FE" w14:textId="77777777" w:rsidTr="00171CCE">
        <w:trPr>
          <w:cantSplit/>
        </w:trPr>
        <w:tc>
          <w:tcPr>
            <w:tcW w:w="1884" w:type="pct"/>
            <w:tcBorders>
              <w:right w:val="nil"/>
            </w:tcBorders>
          </w:tcPr>
          <w:p w14:paraId="415F8FCE" w14:textId="77777777" w:rsidR="00A73B4B" w:rsidRPr="000C21C2" w:rsidRDefault="00A73B4B" w:rsidP="00171CCE">
            <w:pPr>
              <w:pStyle w:val="Tabletext1"/>
              <w:rPr>
                <w:b/>
              </w:rPr>
            </w:pPr>
            <w:r w:rsidRPr="000C21C2">
              <w:rPr>
                <w:b/>
              </w:rPr>
              <w:t>Transformation issues</w:t>
            </w:r>
          </w:p>
        </w:tc>
        <w:tc>
          <w:tcPr>
            <w:tcW w:w="1572" w:type="pct"/>
            <w:tcBorders>
              <w:left w:val="nil"/>
              <w:right w:val="nil"/>
            </w:tcBorders>
          </w:tcPr>
          <w:p w14:paraId="0A1CB306" w14:textId="77777777" w:rsidR="00A73B4B" w:rsidRPr="000C21C2" w:rsidRDefault="00A73B4B" w:rsidP="00171CCE">
            <w:pPr>
              <w:pStyle w:val="Tabletext1"/>
            </w:pPr>
          </w:p>
        </w:tc>
        <w:tc>
          <w:tcPr>
            <w:tcW w:w="1544" w:type="pct"/>
            <w:tcBorders>
              <w:left w:val="nil"/>
              <w:right w:val="nil"/>
            </w:tcBorders>
          </w:tcPr>
          <w:p w14:paraId="0A0C90D9" w14:textId="77777777" w:rsidR="00A73B4B" w:rsidRPr="000C21C2" w:rsidRDefault="00A73B4B" w:rsidP="00171CCE">
            <w:pPr>
              <w:pStyle w:val="Tabletext1"/>
            </w:pPr>
          </w:p>
        </w:tc>
      </w:tr>
      <w:tr w:rsidR="00A73B4B" w:rsidRPr="000C21C2" w14:paraId="1EEEEB47" w14:textId="77777777" w:rsidTr="00171CCE">
        <w:trPr>
          <w:cantSplit/>
        </w:trPr>
        <w:tc>
          <w:tcPr>
            <w:tcW w:w="1884" w:type="pct"/>
          </w:tcPr>
          <w:p w14:paraId="4DA971DA" w14:textId="77777777" w:rsidR="00A73B4B" w:rsidRPr="000C21C2" w:rsidRDefault="00A73B4B" w:rsidP="00171CCE">
            <w:pPr>
              <w:pStyle w:val="Tabletext1"/>
            </w:pPr>
            <w:r w:rsidRPr="000C21C2">
              <w:t>What are the utility/disutility values associated with various treatments and health states for patients with CIDP?</w:t>
            </w:r>
          </w:p>
        </w:tc>
        <w:tc>
          <w:tcPr>
            <w:tcW w:w="1572" w:type="pct"/>
          </w:tcPr>
          <w:p w14:paraId="78818418" w14:textId="677983B3" w:rsidR="00A73B4B" w:rsidRPr="000C21C2" w:rsidRDefault="00D755AB" w:rsidP="00171CCE">
            <w:pPr>
              <w:pStyle w:val="Tabletext1"/>
            </w:pPr>
            <w:r>
              <w:t>External literature identified estimates of utility and utility decrements associated with modelled health states and adverse events. A su</w:t>
            </w:r>
            <w:r w:rsidR="00A73B4B" w:rsidRPr="000C21C2">
              <w:t xml:space="preserve">mmary presented in </w:t>
            </w:r>
            <w:r w:rsidR="00A73B4B" w:rsidRPr="000C21C2">
              <w:fldChar w:fldCharType="begin"/>
            </w:r>
            <w:r w:rsidR="00A73B4B" w:rsidRPr="000C21C2">
              <w:instrText xml:space="preserve"> REF _Ref65174909 \h  \* MERGEFORMAT </w:instrText>
            </w:r>
            <w:r w:rsidR="00A73B4B" w:rsidRPr="000C21C2">
              <w:fldChar w:fldCharType="separate"/>
            </w:r>
            <w:r w:rsidR="004B3EA2">
              <w:t>Table 33</w:t>
            </w:r>
            <w:r w:rsidR="00A73B4B" w:rsidRPr="000C21C2">
              <w:fldChar w:fldCharType="end"/>
            </w:r>
            <w:r w:rsidR="00A73B4B" w:rsidRPr="000C21C2">
              <w:t xml:space="preserve"> and </w:t>
            </w:r>
            <w:r w:rsidR="00A73B4B" w:rsidRPr="000C21C2">
              <w:fldChar w:fldCharType="begin"/>
            </w:r>
            <w:r w:rsidR="00A73B4B" w:rsidRPr="000C21C2">
              <w:instrText xml:space="preserve"> REF _Ref65237150 \h  \* MERGEFORMAT </w:instrText>
            </w:r>
            <w:r w:rsidR="00A73B4B" w:rsidRPr="000C21C2">
              <w:fldChar w:fldCharType="separate"/>
            </w:r>
            <w:r w:rsidR="004B3EA2">
              <w:t>Table 34</w:t>
            </w:r>
            <w:r w:rsidR="00A73B4B" w:rsidRPr="000C21C2">
              <w:fldChar w:fldCharType="end"/>
            </w:r>
          </w:p>
        </w:tc>
        <w:tc>
          <w:tcPr>
            <w:tcW w:w="1544" w:type="pct"/>
          </w:tcPr>
          <w:p w14:paraId="1BB58D00" w14:textId="34B04298" w:rsidR="00A73B4B" w:rsidRPr="000C21C2" w:rsidRDefault="00D755AB" w:rsidP="00171CCE">
            <w:pPr>
              <w:pStyle w:val="Tabletext1"/>
            </w:pPr>
            <w:r>
              <w:t>Alternative health state utility values and decrements are tested</w:t>
            </w:r>
            <w:r w:rsidRPr="000C21C2">
              <w:t xml:space="preserve"> </w:t>
            </w:r>
            <w:r>
              <w:t>A s</w:t>
            </w:r>
            <w:r w:rsidR="00A73B4B" w:rsidRPr="000C21C2">
              <w:t xml:space="preserve">ummary </w:t>
            </w:r>
            <w:r>
              <w:t xml:space="preserve">is </w:t>
            </w:r>
            <w:r w:rsidR="00A73B4B" w:rsidRPr="000C21C2">
              <w:t xml:space="preserve">presented in </w:t>
            </w:r>
            <w:r w:rsidR="00A73B4B" w:rsidRPr="000C21C2">
              <w:fldChar w:fldCharType="begin"/>
            </w:r>
            <w:r w:rsidR="00A73B4B" w:rsidRPr="000C21C2">
              <w:instrText xml:space="preserve"> REF _Ref65174909 \h  \* MERGEFORMAT </w:instrText>
            </w:r>
            <w:r w:rsidR="00A73B4B" w:rsidRPr="000C21C2">
              <w:fldChar w:fldCharType="separate"/>
            </w:r>
            <w:r w:rsidR="004B3EA2">
              <w:t>Table 33</w:t>
            </w:r>
            <w:r w:rsidR="00A73B4B" w:rsidRPr="000C21C2">
              <w:fldChar w:fldCharType="end"/>
            </w:r>
            <w:r w:rsidR="00A73B4B" w:rsidRPr="000C21C2">
              <w:t xml:space="preserve"> and </w:t>
            </w:r>
            <w:r w:rsidR="00A73B4B" w:rsidRPr="000C21C2">
              <w:fldChar w:fldCharType="begin"/>
            </w:r>
            <w:r w:rsidR="00A73B4B" w:rsidRPr="000C21C2">
              <w:instrText xml:space="preserve"> REF _Ref65237150 \h  \* MERGEFORMAT </w:instrText>
            </w:r>
            <w:r w:rsidR="00A73B4B" w:rsidRPr="000C21C2">
              <w:fldChar w:fldCharType="separate"/>
            </w:r>
            <w:r w:rsidR="004B3EA2">
              <w:t>Table 34</w:t>
            </w:r>
            <w:r w:rsidR="00A73B4B" w:rsidRPr="000C21C2">
              <w:fldChar w:fldCharType="end"/>
            </w:r>
            <w:r>
              <w:t>.</w:t>
            </w:r>
          </w:p>
        </w:tc>
      </w:tr>
    </w:tbl>
    <w:p w14:paraId="4EC4D810" w14:textId="540E05CE" w:rsidR="00A73B4B" w:rsidRDefault="00A73B4B" w:rsidP="00A73B4B">
      <w:pPr>
        <w:pStyle w:val="Tablenote"/>
      </w:pPr>
      <w:r>
        <w:t xml:space="preserve">CIDP = chronic inflammatory demyelinating polyneuropathy; IVIg = intravenous immunoglobulin; </w:t>
      </w:r>
      <w:r w:rsidR="00D755AB">
        <w:t xml:space="preserve">PE = plasma exchange; </w:t>
      </w:r>
      <w:r>
        <w:t>RCT = randomised controlled trials</w:t>
      </w:r>
    </w:p>
    <w:p w14:paraId="70A1AC69" w14:textId="77777777" w:rsidR="00A73B4B" w:rsidRPr="00E3331A" w:rsidRDefault="00A73B4B" w:rsidP="00A73B4B">
      <w:pPr>
        <w:pStyle w:val="Heading3"/>
        <w:jc w:val="both"/>
      </w:pPr>
      <w:bookmarkStart w:id="75" w:name="_Toc69305536"/>
      <w:r w:rsidRPr="00E3331A">
        <w:t>Economic Evaluation</w:t>
      </w:r>
      <w:bookmarkEnd w:id="75"/>
    </w:p>
    <w:p w14:paraId="375AC969" w14:textId="1ADB1B35" w:rsidR="00053381" w:rsidRDefault="00053381" w:rsidP="00053381">
      <w:pPr>
        <w:pStyle w:val="BodyTextSTD"/>
        <w:rPr>
          <w:noProof/>
        </w:rPr>
      </w:pPr>
      <w:r>
        <w:rPr>
          <w:noProof/>
        </w:rPr>
        <w:t>A number of the revisions that t</w:t>
      </w:r>
      <w:r w:rsidRPr="003A1934">
        <w:rPr>
          <w:noProof/>
        </w:rPr>
        <w:t xml:space="preserve">he MSAC </w:t>
      </w:r>
      <w:r>
        <w:rPr>
          <w:noProof/>
        </w:rPr>
        <w:t xml:space="preserve">requested for the </w:t>
      </w:r>
      <w:r w:rsidRPr="003A1934">
        <w:rPr>
          <w:noProof/>
        </w:rPr>
        <w:t xml:space="preserve"> </w:t>
      </w:r>
      <w:r>
        <w:rPr>
          <w:noProof/>
        </w:rPr>
        <w:t xml:space="preserve">economic model in the </w:t>
      </w:r>
      <w:r w:rsidRPr="003A1934">
        <w:rPr>
          <w:noProof/>
        </w:rPr>
        <w:t>original DCAR</w:t>
      </w:r>
      <w:r>
        <w:rPr>
          <w:noProof/>
        </w:rPr>
        <w:t xml:space="preserve"> 1564</w:t>
      </w:r>
      <w:r w:rsidRPr="003A1934">
        <w:rPr>
          <w:noProof/>
        </w:rPr>
        <w:t xml:space="preserve"> required </w:t>
      </w:r>
      <w:r>
        <w:rPr>
          <w:noProof/>
        </w:rPr>
        <w:t>significant changes to the model structure and application of inputs. Th</w:t>
      </w:r>
      <w:r w:rsidRPr="003A1934">
        <w:rPr>
          <w:noProof/>
        </w:rPr>
        <w:t xml:space="preserve">ree </w:t>
      </w:r>
      <w:r>
        <w:rPr>
          <w:noProof/>
        </w:rPr>
        <w:t xml:space="preserve">distinct </w:t>
      </w:r>
      <w:r w:rsidRPr="003A1934">
        <w:rPr>
          <w:noProof/>
        </w:rPr>
        <w:t>models</w:t>
      </w:r>
      <w:r>
        <w:rPr>
          <w:noProof/>
        </w:rPr>
        <w:t xml:space="preserve"> were developed; one for each of the three different comparators – </w:t>
      </w:r>
      <w:r w:rsidRPr="003A1934">
        <w:rPr>
          <w:noProof/>
        </w:rPr>
        <w:t>Ig versus steroids</w:t>
      </w:r>
      <w:r>
        <w:rPr>
          <w:noProof/>
        </w:rPr>
        <w:t xml:space="preserve">; Ig versus therapeutic </w:t>
      </w:r>
      <w:r w:rsidR="000B7852">
        <w:rPr>
          <w:noProof/>
        </w:rPr>
        <w:t>PE</w:t>
      </w:r>
      <w:r>
        <w:rPr>
          <w:noProof/>
        </w:rPr>
        <w:t>; and second line use of Ig in a steroid-resistant population versus placebo. The first two models are based on assumptions of non-inferior efficacy of Ig, but incorporating  further investigation of the comparative safety of the therapies. The third model assumes superior effectiveness and likely inferior or non-inferior safety for Ig use.</w:t>
      </w:r>
    </w:p>
    <w:p w14:paraId="056026BE" w14:textId="68F78A7F" w:rsidR="00A73B4B" w:rsidRDefault="00053381" w:rsidP="00053381">
      <w:pPr>
        <w:pStyle w:val="BodyTextSTD"/>
        <w:rPr>
          <w:noProof/>
        </w:rPr>
      </w:pPr>
      <w:r>
        <w:rPr>
          <w:noProof/>
        </w:rPr>
        <w:t xml:space="preserve">A stepped approach is used, moving from a trial-based analysis (Step 1) to the modelled Australian setting (based on BloodStar data and clinical opinion </w:t>
      </w:r>
      <w:r>
        <w:rPr>
          <w:noProof/>
        </w:rPr>
        <w:fldChar w:fldCharType="begin"/>
      </w:r>
      <w:r w:rsidR="00B727D6">
        <w:rPr>
          <w:noProof/>
        </w:rPr>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Pr>
          <w:noProof/>
        </w:rPr>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Pr>
          <w:noProof/>
        </w:rPr>
        <w:fldChar w:fldCharType="end"/>
      </w:r>
      <w:r>
        <w:rPr>
          <w:noProof/>
        </w:rPr>
        <w:t>), and incorporating important long-term structural assumptions.</w:t>
      </w:r>
    </w:p>
    <w:p w14:paraId="54BAFE65" w14:textId="75C1D071" w:rsidR="00A73B4B" w:rsidRPr="009F18F5" w:rsidRDefault="00A73B4B" w:rsidP="00A73B4B">
      <w:pPr>
        <w:pStyle w:val="BodyTextSTD"/>
      </w:pPr>
      <w:r w:rsidRPr="009F18F5">
        <w:t xml:space="preserve">A summary of the key characteristics of the economic evaluation is </w:t>
      </w:r>
      <w:r>
        <w:t>provided</w:t>
      </w:r>
      <w:r w:rsidRPr="009F18F5">
        <w:t xml:space="preserve"> in</w:t>
      </w:r>
      <w:r>
        <w:t xml:space="preserve"> </w:t>
      </w:r>
      <w:r>
        <w:fldChar w:fldCharType="begin"/>
      </w:r>
      <w:r>
        <w:instrText xml:space="preserve"> REF _Ref67390939 \h </w:instrText>
      </w:r>
      <w:r>
        <w:fldChar w:fldCharType="separate"/>
      </w:r>
      <w:r w:rsidR="004B3EA2" w:rsidRPr="004D32EA">
        <w:t xml:space="preserve">Table </w:t>
      </w:r>
      <w:r w:rsidR="004B3EA2">
        <w:rPr>
          <w:noProof/>
        </w:rPr>
        <w:t>2</w:t>
      </w:r>
      <w:r>
        <w:fldChar w:fldCharType="end"/>
      </w:r>
      <w:r w:rsidRPr="009F18F5">
        <w:t>.</w:t>
      </w:r>
    </w:p>
    <w:p w14:paraId="24BE4B73" w14:textId="0A630266" w:rsidR="00A73B4B" w:rsidRDefault="00A73B4B" w:rsidP="00A73B4B">
      <w:pPr>
        <w:pStyle w:val="Caption"/>
        <w:tabs>
          <w:tab w:val="left" w:pos="1134"/>
        </w:tabs>
        <w:ind w:left="1134" w:hanging="1134"/>
      </w:pPr>
      <w:bookmarkStart w:id="76" w:name="_Ref67390939"/>
      <w:bookmarkStart w:id="77" w:name="_Toc69305643"/>
      <w:r w:rsidRPr="004D32EA">
        <w:t xml:space="preserve">Table </w:t>
      </w:r>
      <w:r>
        <w:rPr>
          <w:noProof/>
        </w:rPr>
        <w:fldChar w:fldCharType="begin"/>
      </w:r>
      <w:r>
        <w:rPr>
          <w:noProof/>
        </w:rPr>
        <w:instrText xml:space="preserve"> SEQ Table \* ARABIC </w:instrText>
      </w:r>
      <w:r>
        <w:rPr>
          <w:noProof/>
        </w:rPr>
        <w:fldChar w:fldCharType="separate"/>
      </w:r>
      <w:r w:rsidR="004B3EA2">
        <w:rPr>
          <w:noProof/>
        </w:rPr>
        <w:t>2</w:t>
      </w:r>
      <w:r>
        <w:rPr>
          <w:noProof/>
        </w:rPr>
        <w:fldChar w:fldCharType="end"/>
      </w:r>
      <w:bookmarkEnd w:id="76"/>
      <w:r w:rsidRPr="004D32EA">
        <w:tab/>
        <w:t>Summary of the economic evaluation</w:t>
      </w:r>
      <w:bookmarkEnd w:id="77"/>
      <w:r w:rsidRPr="00183E4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the economic evaluation "/>
        <w:tblDescription w:val="This table describes the key constructs of the economic evaluation that is provided in the assessment report."/>
      </w:tblPr>
      <w:tblGrid>
        <w:gridCol w:w="2546"/>
        <w:gridCol w:w="6470"/>
      </w:tblGrid>
      <w:tr w:rsidR="00A73B4B" w:rsidRPr="00183E4D" w14:paraId="70701062" w14:textId="77777777" w:rsidTr="00171CCE">
        <w:trPr>
          <w:trHeight w:val="20"/>
          <w:tblHeader/>
        </w:trPr>
        <w:tc>
          <w:tcPr>
            <w:tcW w:w="1412" w:type="pct"/>
            <w:tcBorders>
              <w:top w:val="single" w:sz="4" w:space="0" w:color="auto"/>
              <w:left w:val="single" w:sz="4" w:space="0" w:color="auto"/>
              <w:bottom w:val="single" w:sz="4" w:space="0" w:color="auto"/>
              <w:right w:val="single" w:sz="4" w:space="0" w:color="auto"/>
            </w:tcBorders>
          </w:tcPr>
          <w:p w14:paraId="33613DB0" w14:textId="77777777" w:rsidR="00A73B4B" w:rsidRPr="00183E4D" w:rsidRDefault="00A73B4B" w:rsidP="00CA4CBD">
            <w:pPr>
              <w:pStyle w:val="Tabletext1"/>
              <w:keepNext/>
              <w:rPr>
                <w:b/>
              </w:rPr>
            </w:pPr>
            <w:r w:rsidRPr="00183E4D">
              <w:rPr>
                <w:b/>
              </w:rPr>
              <w:t>Perspective</w:t>
            </w:r>
          </w:p>
        </w:tc>
        <w:tc>
          <w:tcPr>
            <w:tcW w:w="3588" w:type="pct"/>
            <w:tcBorders>
              <w:top w:val="single" w:sz="4" w:space="0" w:color="auto"/>
              <w:left w:val="single" w:sz="4" w:space="0" w:color="auto"/>
              <w:bottom w:val="single" w:sz="4" w:space="0" w:color="auto"/>
              <w:right w:val="single" w:sz="4" w:space="0" w:color="auto"/>
            </w:tcBorders>
          </w:tcPr>
          <w:p w14:paraId="34886AA5" w14:textId="77777777" w:rsidR="00A73B4B" w:rsidRPr="00E9672D" w:rsidRDefault="00A73B4B" w:rsidP="00CA4CBD">
            <w:pPr>
              <w:pStyle w:val="Tabletext1"/>
            </w:pPr>
            <w:r w:rsidRPr="00C74C59">
              <w:t>Australian healthcare</w:t>
            </w:r>
            <w:r>
              <w:t xml:space="preserve"> system</w:t>
            </w:r>
          </w:p>
        </w:tc>
      </w:tr>
      <w:tr w:rsidR="00A73B4B" w:rsidRPr="00183E4D" w14:paraId="04E4E54F" w14:textId="77777777" w:rsidTr="00171CCE">
        <w:trPr>
          <w:trHeight w:val="20"/>
        </w:trPr>
        <w:tc>
          <w:tcPr>
            <w:tcW w:w="1412" w:type="pct"/>
            <w:tcBorders>
              <w:top w:val="single" w:sz="4" w:space="0" w:color="auto"/>
              <w:left w:val="single" w:sz="4" w:space="0" w:color="auto"/>
              <w:bottom w:val="single" w:sz="4" w:space="0" w:color="auto"/>
              <w:right w:val="single" w:sz="4" w:space="0" w:color="auto"/>
            </w:tcBorders>
          </w:tcPr>
          <w:p w14:paraId="163174A4" w14:textId="77777777" w:rsidR="00A73B4B" w:rsidRPr="00183E4D" w:rsidRDefault="00A73B4B" w:rsidP="00CA4CBD">
            <w:pPr>
              <w:pStyle w:val="Tabletext1"/>
              <w:keepNext/>
              <w:rPr>
                <w:b/>
              </w:rPr>
            </w:pPr>
            <w:r w:rsidRPr="00183E4D">
              <w:rPr>
                <w:b/>
              </w:rPr>
              <w:t>Comparator</w:t>
            </w:r>
            <w:r>
              <w:rPr>
                <w:b/>
              </w:rPr>
              <w:t>(s)</w:t>
            </w:r>
          </w:p>
        </w:tc>
        <w:tc>
          <w:tcPr>
            <w:tcW w:w="3588" w:type="pct"/>
            <w:tcBorders>
              <w:top w:val="single" w:sz="4" w:space="0" w:color="auto"/>
              <w:left w:val="single" w:sz="4" w:space="0" w:color="auto"/>
              <w:bottom w:val="single" w:sz="4" w:space="0" w:color="auto"/>
              <w:right w:val="single" w:sz="4" w:space="0" w:color="auto"/>
            </w:tcBorders>
          </w:tcPr>
          <w:p w14:paraId="025486EE" w14:textId="77777777" w:rsidR="00A73B4B" w:rsidRDefault="00A73B4B" w:rsidP="00CA4CBD">
            <w:pPr>
              <w:pStyle w:val="Tabletext1"/>
              <w:numPr>
                <w:ilvl w:val="0"/>
                <w:numId w:val="28"/>
              </w:numPr>
              <w:jc w:val="both"/>
            </w:pPr>
            <w:r>
              <w:t>Steroids</w:t>
            </w:r>
          </w:p>
          <w:p w14:paraId="7FC919A5" w14:textId="77777777" w:rsidR="00A73B4B" w:rsidRDefault="00A73B4B" w:rsidP="00CA4CBD">
            <w:pPr>
              <w:pStyle w:val="Tabletext1"/>
              <w:numPr>
                <w:ilvl w:val="0"/>
                <w:numId w:val="28"/>
              </w:numPr>
              <w:jc w:val="both"/>
            </w:pPr>
            <w:r>
              <w:t>Therapeutic plasma exchange</w:t>
            </w:r>
          </w:p>
          <w:p w14:paraId="60E9D032" w14:textId="77777777" w:rsidR="00A73B4B" w:rsidRPr="00E9672D" w:rsidRDefault="00A73B4B" w:rsidP="00CA4CBD">
            <w:pPr>
              <w:pStyle w:val="Tabletext1"/>
              <w:numPr>
                <w:ilvl w:val="0"/>
                <w:numId w:val="28"/>
              </w:numPr>
              <w:jc w:val="both"/>
            </w:pPr>
            <w:r>
              <w:t>Placebo (in steroids resistant subgroup)</w:t>
            </w:r>
          </w:p>
        </w:tc>
      </w:tr>
      <w:tr w:rsidR="00A73B4B" w:rsidRPr="00183E4D" w14:paraId="11FE4453" w14:textId="77777777" w:rsidTr="00171CCE">
        <w:trPr>
          <w:trHeight w:val="20"/>
        </w:trPr>
        <w:tc>
          <w:tcPr>
            <w:tcW w:w="1412" w:type="pct"/>
            <w:tcBorders>
              <w:top w:val="single" w:sz="4" w:space="0" w:color="auto"/>
              <w:left w:val="single" w:sz="4" w:space="0" w:color="auto"/>
              <w:bottom w:val="single" w:sz="4" w:space="0" w:color="auto"/>
              <w:right w:val="single" w:sz="4" w:space="0" w:color="auto"/>
            </w:tcBorders>
          </w:tcPr>
          <w:p w14:paraId="5C3DC4B1" w14:textId="77777777" w:rsidR="00A73B4B" w:rsidRPr="00183E4D" w:rsidRDefault="00A73B4B" w:rsidP="00CA4CBD">
            <w:pPr>
              <w:pStyle w:val="Tabletext1"/>
              <w:keepNext/>
              <w:rPr>
                <w:b/>
              </w:rPr>
            </w:pPr>
            <w:r w:rsidRPr="00183E4D">
              <w:rPr>
                <w:b/>
              </w:rPr>
              <w:t>Type of economic evaluation</w:t>
            </w:r>
          </w:p>
        </w:tc>
        <w:tc>
          <w:tcPr>
            <w:tcW w:w="3588" w:type="pct"/>
            <w:tcBorders>
              <w:top w:val="single" w:sz="4" w:space="0" w:color="auto"/>
              <w:left w:val="single" w:sz="4" w:space="0" w:color="auto"/>
              <w:bottom w:val="single" w:sz="4" w:space="0" w:color="auto"/>
              <w:right w:val="single" w:sz="4" w:space="0" w:color="auto"/>
            </w:tcBorders>
          </w:tcPr>
          <w:p w14:paraId="48AF8E98" w14:textId="77777777" w:rsidR="00A73B4B" w:rsidRPr="00E9672D" w:rsidRDefault="00A73B4B" w:rsidP="00CA4CBD">
            <w:pPr>
              <w:pStyle w:val="Tabletext1"/>
            </w:pPr>
            <w:r>
              <w:t>Stepped c</w:t>
            </w:r>
            <w:r w:rsidRPr="00C74C59">
              <w:t>ost-utility</w:t>
            </w:r>
            <w:r>
              <w:t xml:space="preserve"> analysis</w:t>
            </w:r>
          </w:p>
        </w:tc>
      </w:tr>
      <w:tr w:rsidR="00A73B4B" w:rsidRPr="00183E4D" w14:paraId="28487AC9" w14:textId="77777777" w:rsidTr="00171CCE">
        <w:trPr>
          <w:trHeight w:val="20"/>
        </w:trPr>
        <w:tc>
          <w:tcPr>
            <w:tcW w:w="1412" w:type="pct"/>
            <w:tcBorders>
              <w:top w:val="single" w:sz="4" w:space="0" w:color="auto"/>
              <w:left w:val="single" w:sz="4" w:space="0" w:color="auto"/>
              <w:bottom w:val="single" w:sz="4" w:space="0" w:color="auto"/>
              <w:right w:val="single" w:sz="4" w:space="0" w:color="auto"/>
            </w:tcBorders>
          </w:tcPr>
          <w:p w14:paraId="628FD53B" w14:textId="77777777" w:rsidR="00A73B4B" w:rsidRPr="00183E4D" w:rsidRDefault="00A73B4B" w:rsidP="00CA4CBD">
            <w:pPr>
              <w:pStyle w:val="Tabletext1"/>
              <w:keepNext/>
              <w:rPr>
                <w:b/>
              </w:rPr>
            </w:pPr>
            <w:r w:rsidRPr="00183E4D">
              <w:rPr>
                <w:b/>
              </w:rPr>
              <w:t>Sources of evidence</w:t>
            </w:r>
          </w:p>
        </w:tc>
        <w:tc>
          <w:tcPr>
            <w:tcW w:w="3588" w:type="pct"/>
            <w:tcBorders>
              <w:top w:val="single" w:sz="4" w:space="0" w:color="auto"/>
              <w:left w:val="single" w:sz="4" w:space="0" w:color="auto"/>
              <w:bottom w:val="single" w:sz="4" w:space="0" w:color="auto"/>
              <w:right w:val="single" w:sz="4" w:space="0" w:color="auto"/>
            </w:tcBorders>
          </w:tcPr>
          <w:p w14:paraId="42F4114C" w14:textId="77777777" w:rsidR="00A73B4B" w:rsidRPr="00E9672D" w:rsidRDefault="00A73B4B" w:rsidP="00CA4CBD">
            <w:pPr>
              <w:pStyle w:val="Tabletext1"/>
            </w:pPr>
            <w:r w:rsidRPr="00C74C59">
              <w:t>Systematic review</w:t>
            </w:r>
            <w:r>
              <w:t xml:space="preserve">, </w:t>
            </w:r>
            <w:r w:rsidRPr="00DA3C6E">
              <w:t>expert opini</w:t>
            </w:r>
            <w:r>
              <w:t>on (Ig review reference group) and data provided by NBA and Department of Health</w:t>
            </w:r>
          </w:p>
        </w:tc>
      </w:tr>
      <w:tr w:rsidR="00A73B4B" w:rsidRPr="00183E4D" w14:paraId="22867420" w14:textId="77777777" w:rsidTr="00171CCE">
        <w:trPr>
          <w:trHeight w:val="20"/>
        </w:trPr>
        <w:tc>
          <w:tcPr>
            <w:tcW w:w="1412" w:type="pct"/>
            <w:tcBorders>
              <w:top w:val="single" w:sz="4" w:space="0" w:color="auto"/>
              <w:left w:val="single" w:sz="4" w:space="0" w:color="auto"/>
              <w:bottom w:val="single" w:sz="4" w:space="0" w:color="auto"/>
              <w:right w:val="single" w:sz="4" w:space="0" w:color="auto"/>
            </w:tcBorders>
            <w:hideMark/>
          </w:tcPr>
          <w:p w14:paraId="7F9B3341" w14:textId="77777777" w:rsidR="00A73B4B" w:rsidRPr="00183E4D" w:rsidRDefault="00A73B4B" w:rsidP="00CA4CBD">
            <w:pPr>
              <w:pStyle w:val="Tabletext1"/>
              <w:keepNext/>
              <w:rPr>
                <w:b/>
              </w:rPr>
            </w:pPr>
            <w:r w:rsidRPr="00183E4D">
              <w:rPr>
                <w:b/>
              </w:rPr>
              <w:t>Time horizon</w:t>
            </w:r>
          </w:p>
        </w:tc>
        <w:tc>
          <w:tcPr>
            <w:tcW w:w="3588" w:type="pct"/>
            <w:tcBorders>
              <w:top w:val="single" w:sz="4" w:space="0" w:color="auto"/>
              <w:left w:val="single" w:sz="4" w:space="0" w:color="auto"/>
              <w:bottom w:val="single" w:sz="4" w:space="0" w:color="auto"/>
              <w:right w:val="single" w:sz="4" w:space="0" w:color="auto"/>
            </w:tcBorders>
            <w:hideMark/>
          </w:tcPr>
          <w:p w14:paraId="000A3456" w14:textId="010DD26A" w:rsidR="00A73B4B" w:rsidRPr="00914144" w:rsidRDefault="00053381" w:rsidP="00053381">
            <w:pPr>
              <w:pStyle w:val="Tabletext1"/>
            </w:pPr>
            <w:r>
              <w:t>10 years</w:t>
            </w:r>
          </w:p>
        </w:tc>
      </w:tr>
      <w:tr w:rsidR="00A73B4B" w:rsidRPr="00183E4D" w14:paraId="3824F7D0" w14:textId="77777777" w:rsidTr="00171CCE">
        <w:trPr>
          <w:trHeight w:val="20"/>
        </w:trPr>
        <w:tc>
          <w:tcPr>
            <w:tcW w:w="1412" w:type="pct"/>
            <w:tcBorders>
              <w:top w:val="single" w:sz="4" w:space="0" w:color="auto"/>
              <w:left w:val="single" w:sz="4" w:space="0" w:color="auto"/>
              <w:bottom w:val="single" w:sz="4" w:space="0" w:color="auto"/>
              <w:right w:val="single" w:sz="4" w:space="0" w:color="auto"/>
            </w:tcBorders>
            <w:hideMark/>
          </w:tcPr>
          <w:p w14:paraId="1B21C1E6" w14:textId="77777777" w:rsidR="00A73B4B" w:rsidRPr="00183E4D" w:rsidRDefault="00A73B4B" w:rsidP="00CA4CBD">
            <w:pPr>
              <w:pStyle w:val="Tabletext1"/>
              <w:keepNext/>
              <w:rPr>
                <w:b/>
              </w:rPr>
            </w:pPr>
            <w:r w:rsidRPr="00183E4D">
              <w:rPr>
                <w:b/>
              </w:rPr>
              <w:t>Outcomes</w:t>
            </w:r>
          </w:p>
        </w:tc>
        <w:tc>
          <w:tcPr>
            <w:tcW w:w="3588" w:type="pct"/>
            <w:tcBorders>
              <w:top w:val="single" w:sz="4" w:space="0" w:color="auto"/>
              <w:left w:val="single" w:sz="4" w:space="0" w:color="auto"/>
              <w:bottom w:val="single" w:sz="4" w:space="0" w:color="auto"/>
              <w:right w:val="single" w:sz="4" w:space="0" w:color="auto"/>
            </w:tcBorders>
          </w:tcPr>
          <w:p w14:paraId="79186699" w14:textId="77777777" w:rsidR="00A73B4B" w:rsidRPr="00E9672D" w:rsidRDefault="00A73B4B" w:rsidP="00CA4CBD">
            <w:pPr>
              <w:pStyle w:val="Tabletext1"/>
            </w:pPr>
            <w:r>
              <w:t>Cost per QALYs gained</w:t>
            </w:r>
          </w:p>
        </w:tc>
      </w:tr>
      <w:tr w:rsidR="00A73B4B" w:rsidRPr="00183E4D" w14:paraId="740667B5" w14:textId="77777777" w:rsidTr="00171CCE">
        <w:trPr>
          <w:trHeight w:val="20"/>
        </w:trPr>
        <w:tc>
          <w:tcPr>
            <w:tcW w:w="1412" w:type="pct"/>
            <w:tcBorders>
              <w:top w:val="single" w:sz="4" w:space="0" w:color="auto"/>
              <w:left w:val="single" w:sz="4" w:space="0" w:color="auto"/>
              <w:bottom w:val="single" w:sz="4" w:space="0" w:color="auto"/>
              <w:right w:val="single" w:sz="4" w:space="0" w:color="auto"/>
            </w:tcBorders>
            <w:hideMark/>
          </w:tcPr>
          <w:p w14:paraId="7D43C6B1" w14:textId="77777777" w:rsidR="00A73B4B" w:rsidRPr="00183E4D" w:rsidRDefault="00A73B4B" w:rsidP="00CA4CBD">
            <w:pPr>
              <w:pStyle w:val="Tabletext1"/>
              <w:keepNext/>
              <w:rPr>
                <w:b/>
              </w:rPr>
            </w:pPr>
            <w:r w:rsidRPr="00183E4D">
              <w:rPr>
                <w:b/>
              </w:rPr>
              <w:t>Methods used to generate results</w:t>
            </w:r>
          </w:p>
        </w:tc>
        <w:tc>
          <w:tcPr>
            <w:tcW w:w="3588" w:type="pct"/>
            <w:tcBorders>
              <w:top w:val="single" w:sz="4" w:space="0" w:color="auto"/>
              <w:left w:val="single" w:sz="4" w:space="0" w:color="auto"/>
              <w:bottom w:val="single" w:sz="4" w:space="0" w:color="auto"/>
              <w:right w:val="single" w:sz="4" w:space="0" w:color="auto"/>
            </w:tcBorders>
          </w:tcPr>
          <w:p w14:paraId="2C2A763A" w14:textId="77777777" w:rsidR="00A73B4B" w:rsidRPr="00E9672D" w:rsidRDefault="00A73B4B" w:rsidP="00CA4CBD">
            <w:pPr>
              <w:pStyle w:val="Tabletext1"/>
            </w:pPr>
            <w:r>
              <w:t xml:space="preserve">Decision analytic </w:t>
            </w:r>
            <w:r w:rsidRPr="00C74C59">
              <w:t>Markov model</w:t>
            </w:r>
          </w:p>
        </w:tc>
      </w:tr>
      <w:tr w:rsidR="00A73B4B" w:rsidRPr="00183E4D" w14:paraId="7E2866A2" w14:textId="77777777" w:rsidTr="00171CCE">
        <w:trPr>
          <w:trHeight w:val="20"/>
        </w:trPr>
        <w:tc>
          <w:tcPr>
            <w:tcW w:w="1412" w:type="pct"/>
            <w:tcBorders>
              <w:top w:val="single" w:sz="4" w:space="0" w:color="auto"/>
              <w:left w:val="single" w:sz="4" w:space="0" w:color="auto"/>
              <w:bottom w:val="single" w:sz="4" w:space="0" w:color="auto"/>
              <w:right w:val="single" w:sz="4" w:space="0" w:color="auto"/>
            </w:tcBorders>
          </w:tcPr>
          <w:p w14:paraId="34C58663" w14:textId="77777777" w:rsidR="00A73B4B" w:rsidRPr="00183E4D" w:rsidRDefault="00A73B4B" w:rsidP="00CA4CBD">
            <w:pPr>
              <w:pStyle w:val="Tabletext1"/>
              <w:keepNext/>
              <w:rPr>
                <w:b/>
              </w:rPr>
            </w:pPr>
            <w:r>
              <w:rPr>
                <w:b/>
              </w:rPr>
              <w:t>Health states</w:t>
            </w:r>
          </w:p>
        </w:tc>
        <w:tc>
          <w:tcPr>
            <w:tcW w:w="3588" w:type="pct"/>
            <w:tcBorders>
              <w:top w:val="single" w:sz="4" w:space="0" w:color="auto"/>
              <w:left w:val="single" w:sz="4" w:space="0" w:color="auto"/>
              <w:bottom w:val="single" w:sz="4" w:space="0" w:color="auto"/>
              <w:right w:val="single" w:sz="4" w:space="0" w:color="auto"/>
            </w:tcBorders>
          </w:tcPr>
          <w:p w14:paraId="74163C9C" w14:textId="77777777" w:rsidR="00171CCE" w:rsidRDefault="00171CCE" w:rsidP="00171CCE">
            <w:pPr>
              <w:pStyle w:val="Tabletext1"/>
              <w:numPr>
                <w:ilvl w:val="0"/>
                <w:numId w:val="48"/>
              </w:numPr>
            </w:pPr>
            <w:r>
              <w:t>Active disease: treatment induction or a relapse after more than 6 months off treatment</w:t>
            </w:r>
          </w:p>
          <w:p w14:paraId="14202768" w14:textId="77777777" w:rsidR="00171CCE" w:rsidRDefault="00171CCE" w:rsidP="00171CCE">
            <w:pPr>
              <w:pStyle w:val="Tabletext1"/>
              <w:numPr>
                <w:ilvl w:val="0"/>
                <w:numId w:val="48"/>
              </w:numPr>
            </w:pPr>
            <w:r>
              <w:t>Active but stable disease: maintenance phase (on treatment more than 4 months)</w:t>
            </w:r>
          </w:p>
          <w:p w14:paraId="309488A4" w14:textId="77777777" w:rsidR="00171CCE" w:rsidRDefault="00171CCE" w:rsidP="00171CCE">
            <w:pPr>
              <w:pStyle w:val="Tabletext1"/>
              <w:numPr>
                <w:ilvl w:val="0"/>
                <w:numId w:val="48"/>
              </w:numPr>
            </w:pPr>
            <w:r>
              <w:t>No active disease: in remission (off treatment)</w:t>
            </w:r>
          </w:p>
          <w:p w14:paraId="4D4AB679" w14:textId="77777777" w:rsidR="00171CCE" w:rsidRDefault="00171CCE" w:rsidP="00171CCE">
            <w:pPr>
              <w:pStyle w:val="Tabletext1"/>
              <w:numPr>
                <w:ilvl w:val="0"/>
                <w:numId w:val="48"/>
              </w:numPr>
            </w:pPr>
            <w:r>
              <w:t xml:space="preserve">Treatment resistant/intolerant disease: best supportive care </w:t>
            </w:r>
          </w:p>
          <w:p w14:paraId="3EB34344" w14:textId="464710F4" w:rsidR="00A73B4B" w:rsidRPr="00E9672D" w:rsidRDefault="00171CCE" w:rsidP="00171CCE">
            <w:pPr>
              <w:pStyle w:val="Tabletext1"/>
              <w:numPr>
                <w:ilvl w:val="0"/>
                <w:numId w:val="48"/>
              </w:numPr>
            </w:pPr>
            <w:r>
              <w:t>Dead</w:t>
            </w:r>
          </w:p>
        </w:tc>
      </w:tr>
      <w:tr w:rsidR="00A73B4B" w:rsidRPr="00183E4D" w14:paraId="2307C8EC" w14:textId="77777777" w:rsidTr="00171CCE">
        <w:trPr>
          <w:trHeight w:val="20"/>
        </w:trPr>
        <w:tc>
          <w:tcPr>
            <w:tcW w:w="1412" w:type="pct"/>
            <w:tcBorders>
              <w:top w:val="single" w:sz="4" w:space="0" w:color="auto"/>
              <w:left w:val="single" w:sz="4" w:space="0" w:color="auto"/>
              <w:bottom w:val="single" w:sz="4" w:space="0" w:color="auto"/>
              <w:right w:val="single" w:sz="4" w:space="0" w:color="auto"/>
            </w:tcBorders>
            <w:hideMark/>
          </w:tcPr>
          <w:p w14:paraId="6EF65A5F" w14:textId="77777777" w:rsidR="00A73B4B" w:rsidRPr="00183E4D" w:rsidRDefault="00A73B4B" w:rsidP="00CA4CBD">
            <w:pPr>
              <w:pStyle w:val="Tabletext1"/>
              <w:keepNext/>
              <w:rPr>
                <w:b/>
              </w:rPr>
            </w:pPr>
            <w:r w:rsidRPr="00183E4D">
              <w:rPr>
                <w:b/>
              </w:rPr>
              <w:t>Cycle length</w:t>
            </w:r>
          </w:p>
        </w:tc>
        <w:tc>
          <w:tcPr>
            <w:tcW w:w="3588" w:type="pct"/>
            <w:tcBorders>
              <w:top w:val="single" w:sz="4" w:space="0" w:color="auto"/>
              <w:left w:val="single" w:sz="4" w:space="0" w:color="auto"/>
              <w:bottom w:val="single" w:sz="4" w:space="0" w:color="auto"/>
              <w:right w:val="single" w:sz="4" w:space="0" w:color="auto"/>
            </w:tcBorders>
          </w:tcPr>
          <w:p w14:paraId="7BF5E2B9" w14:textId="77777777" w:rsidR="00A73B4B" w:rsidRPr="00E9672D" w:rsidRDefault="00A73B4B" w:rsidP="00CA4CBD">
            <w:pPr>
              <w:pStyle w:val="Tabletext1"/>
            </w:pPr>
            <w:r>
              <w:t>Four weeks</w:t>
            </w:r>
          </w:p>
        </w:tc>
      </w:tr>
      <w:tr w:rsidR="00A73B4B" w:rsidRPr="00183E4D" w14:paraId="6E93F24D" w14:textId="77777777" w:rsidTr="00171CCE">
        <w:trPr>
          <w:trHeight w:val="20"/>
        </w:trPr>
        <w:tc>
          <w:tcPr>
            <w:tcW w:w="1412" w:type="pct"/>
            <w:tcBorders>
              <w:top w:val="single" w:sz="4" w:space="0" w:color="auto"/>
              <w:left w:val="single" w:sz="4" w:space="0" w:color="auto"/>
              <w:bottom w:val="single" w:sz="4" w:space="0" w:color="auto"/>
              <w:right w:val="single" w:sz="4" w:space="0" w:color="auto"/>
            </w:tcBorders>
            <w:hideMark/>
          </w:tcPr>
          <w:p w14:paraId="7CB3C6FE" w14:textId="77777777" w:rsidR="00A73B4B" w:rsidRPr="00183E4D" w:rsidRDefault="00A73B4B" w:rsidP="00CA4CBD">
            <w:pPr>
              <w:pStyle w:val="Tabletext1"/>
              <w:keepNext/>
              <w:rPr>
                <w:b/>
              </w:rPr>
            </w:pPr>
            <w:r w:rsidRPr="00183E4D">
              <w:rPr>
                <w:b/>
              </w:rPr>
              <w:t>Discount rate</w:t>
            </w:r>
          </w:p>
        </w:tc>
        <w:tc>
          <w:tcPr>
            <w:tcW w:w="3588" w:type="pct"/>
            <w:tcBorders>
              <w:top w:val="single" w:sz="4" w:space="0" w:color="auto"/>
              <w:left w:val="single" w:sz="4" w:space="0" w:color="auto"/>
              <w:bottom w:val="single" w:sz="4" w:space="0" w:color="auto"/>
              <w:right w:val="single" w:sz="4" w:space="0" w:color="auto"/>
            </w:tcBorders>
          </w:tcPr>
          <w:p w14:paraId="17E6067F" w14:textId="77777777" w:rsidR="00A73B4B" w:rsidRPr="00E9672D" w:rsidRDefault="00A73B4B" w:rsidP="00CA4CBD">
            <w:pPr>
              <w:pStyle w:val="Tabletext1"/>
            </w:pPr>
            <w:r>
              <w:t>5%</w:t>
            </w:r>
          </w:p>
        </w:tc>
      </w:tr>
      <w:tr w:rsidR="00A73B4B" w:rsidRPr="00183E4D" w14:paraId="74948AED" w14:textId="77777777" w:rsidTr="00171CCE">
        <w:trPr>
          <w:trHeight w:val="20"/>
        </w:trPr>
        <w:tc>
          <w:tcPr>
            <w:tcW w:w="1412" w:type="pct"/>
            <w:tcBorders>
              <w:top w:val="single" w:sz="4" w:space="0" w:color="auto"/>
              <w:left w:val="single" w:sz="4" w:space="0" w:color="auto"/>
              <w:bottom w:val="single" w:sz="4" w:space="0" w:color="auto"/>
              <w:right w:val="single" w:sz="4" w:space="0" w:color="auto"/>
            </w:tcBorders>
            <w:hideMark/>
          </w:tcPr>
          <w:p w14:paraId="3CC36EB5" w14:textId="77777777" w:rsidR="00A73B4B" w:rsidRPr="00183E4D" w:rsidRDefault="00A73B4B" w:rsidP="00CA4CBD">
            <w:pPr>
              <w:pStyle w:val="Tabletext1"/>
              <w:rPr>
                <w:b/>
              </w:rPr>
            </w:pPr>
            <w:r w:rsidRPr="00183E4D">
              <w:rPr>
                <w:b/>
              </w:rPr>
              <w:t>Software packages used</w:t>
            </w:r>
          </w:p>
        </w:tc>
        <w:tc>
          <w:tcPr>
            <w:tcW w:w="3588" w:type="pct"/>
            <w:tcBorders>
              <w:top w:val="single" w:sz="4" w:space="0" w:color="auto"/>
              <w:left w:val="single" w:sz="4" w:space="0" w:color="auto"/>
              <w:bottom w:val="single" w:sz="4" w:space="0" w:color="auto"/>
              <w:right w:val="single" w:sz="4" w:space="0" w:color="auto"/>
            </w:tcBorders>
          </w:tcPr>
          <w:p w14:paraId="307ADD9D" w14:textId="77777777" w:rsidR="00A73B4B" w:rsidRPr="00E9672D" w:rsidRDefault="00A73B4B" w:rsidP="00CA4CBD">
            <w:pPr>
              <w:pStyle w:val="Tabletext1"/>
            </w:pPr>
            <w:r>
              <w:t>Microsoft Excel and TreeAge Pro</w:t>
            </w:r>
          </w:p>
        </w:tc>
      </w:tr>
    </w:tbl>
    <w:p w14:paraId="01A29D76" w14:textId="77777777" w:rsidR="00A73B4B" w:rsidRDefault="00A73B4B" w:rsidP="00A73B4B">
      <w:pPr>
        <w:pStyle w:val="Tablenotes1"/>
      </w:pPr>
      <w:r>
        <w:t xml:space="preserve">AE = adverse event; Ig = immunoglobulin; </w:t>
      </w:r>
      <w:r w:rsidRPr="00DA3C6E">
        <w:t>NBA = National Blood Authority</w:t>
      </w:r>
      <w:r>
        <w:t>; QALY = quality-adjusted life year.</w:t>
      </w:r>
    </w:p>
    <w:p w14:paraId="567F78FB" w14:textId="77777777" w:rsidR="00A73B4B" w:rsidRPr="0070331E" w:rsidRDefault="00A73B4B" w:rsidP="00A73B4B">
      <w:pPr>
        <w:pStyle w:val="BodyTextSTD"/>
      </w:pPr>
      <w:r w:rsidRPr="00183E4D">
        <w:t>Key structural assumptions of the model are:</w:t>
      </w:r>
    </w:p>
    <w:p w14:paraId="7351091A" w14:textId="77777777" w:rsidR="00A73B4B" w:rsidRDefault="00A73B4B" w:rsidP="00A73B4B">
      <w:pPr>
        <w:pStyle w:val="BodyTextSTD"/>
        <w:numPr>
          <w:ilvl w:val="0"/>
          <w:numId w:val="32"/>
        </w:numPr>
      </w:pPr>
      <w:r>
        <w:t>Treatment effects are assumed to be constant throughout the model.</w:t>
      </w:r>
    </w:p>
    <w:p w14:paraId="06D72089" w14:textId="5113C602" w:rsidR="00A73B4B" w:rsidRDefault="00A73B4B" w:rsidP="00A73B4B">
      <w:pPr>
        <w:pStyle w:val="BodyTextSTD"/>
        <w:numPr>
          <w:ilvl w:val="0"/>
          <w:numId w:val="32"/>
        </w:numPr>
      </w:pPr>
      <w:r>
        <w:t xml:space="preserve">Transient (mild) </w:t>
      </w:r>
      <w:r w:rsidR="00B30BDF">
        <w:t>AEs</w:t>
      </w:r>
      <w:r>
        <w:t xml:space="preserve"> are not included in the model as these are considered to have no or very low cost or health consequences.</w:t>
      </w:r>
    </w:p>
    <w:p w14:paraId="0607E570" w14:textId="666A7C7A" w:rsidR="00A73B4B" w:rsidRDefault="00A73B4B" w:rsidP="00A73B4B">
      <w:pPr>
        <w:pStyle w:val="BodyTextSTD"/>
        <w:numPr>
          <w:ilvl w:val="0"/>
          <w:numId w:val="32"/>
        </w:numPr>
      </w:pPr>
      <w:r>
        <w:t xml:space="preserve">Moderate </w:t>
      </w:r>
      <w:r w:rsidR="00B30BDF">
        <w:t>AEs</w:t>
      </w:r>
      <w:r>
        <w:t xml:space="preserve"> associated with chronic steroids use (diabetes, glaucoma, fractures, osteoporosis and serious infections) are assumed to have a health impact for one year after stopping the treatment. It is assumed that patients with these </w:t>
      </w:r>
      <w:r w:rsidR="00B30BDF">
        <w:t>AEs</w:t>
      </w:r>
      <w:r>
        <w:t xml:space="preserve"> will revert back to their original health one year after ceasing steroids therapy.</w:t>
      </w:r>
    </w:p>
    <w:p w14:paraId="77F9BFF8" w14:textId="09F32567" w:rsidR="00A73B4B" w:rsidRDefault="00A73B4B" w:rsidP="00A73B4B">
      <w:pPr>
        <w:pStyle w:val="BodyTextSTD"/>
        <w:numPr>
          <w:ilvl w:val="0"/>
          <w:numId w:val="32"/>
        </w:numPr>
      </w:pPr>
      <w:r>
        <w:t>No clinical evidence was identified regarding long-term treatment effect of PE. Utility gain with PE treatment is considered similar to IVIg and the transition probabilities for</w:t>
      </w:r>
      <w:r w:rsidRPr="00732B1D">
        <w:t xml:space="preserve"> </w:t>
      </w:r>
      <w:r>
        <w:t>relapse are from Ig studies.</w:t>
      </w:r>
    </w:p>
    <w:p w14:paraId="43467578" w14:textId="48BFE704" w:rsidR="00A73B4B" w:rsidRDefault="00A73B4B" w:rsidP="00A73B4B">
      <w:r>
        <w:t xml:space="preserve">The results of the modelled base-case economic analyses for three comparisons are presented in </w:t>
      </w:r>
      <w:r>
        <w:fldChar w:fldCharType="begin"/>
      </w:r>
      <w:r>
        <w:instrText xml:space="preserve"> REF _Ref14268960 \h </w:instrText>
      </w:r>
      <w:r>
        <w:fldChar w:fldCharType="separate"/>
      </w:r>
      <w:r w:rsidR="004B3EA2" w:rsidRPr="00674869">
        <w:t xml:space="preserve">Table </w:t>
      </w:r>
      <w:r w:rsidR="004B3EA2">
        <w:rPr>
          <w:noProof/>
        </w:rPr>
        <w:t>3</w:t>
      </w:r>
      <w:r>
        <w:fldChar w:fldCharType="end"/>
      </w:r>
      <w:r>
        <w:t xml:space="preserve">. </w:t>
      </w:r>
    </w:p>
    <w:p w14:paraId="0115577C" w14:textId="137632A6" w:rsidR="00A73B4B" w:rsidRPr="00183E4D" w:rsidRDefault="00A73B4B" w:rsidP="00A73B4B">
      <w:pPr>
        <w:pStyle w:val="Caption"/>
      </w:pPr>
      <w:bookmarkStart w:id="78" w:name="_Ref14268960"/>
      <w:bookmarkStart w:id="79" w:name="_Toc14348838"/>
      <w:bookmarkStart w:id="80" w:name="_Toc14429550"/>
      <w:bookmarkStart w:id="81" w:name="_Toc16671605"/>
      <w:bookmarkStart w:id="82" w:name="_Toc69305644"/>
      <w:r w:rsidRPr="00674869">
        <w:t xml:space="preserve">Table </w:t>
      </w:r>
      <w:r>
        <w:rPr>
          <w:noProof/>
        </w:rPr>
        <w:fldChar w:fldCharType="begin"/>
      </w:r>
      <w:r>
        <w:rPr>
          <w:noProof/>
        </w:rPr>
        <w:instrText xml:space="preserve"> SEQ Table \* ARABIC </w:instrText>
      </w:r>
      <w:r>
        <w:rPr>
          <w:noProof/>
        </w:rPr>
        <w:fldChar w:fldCharType="separate"/>
      </w:r>
      <w:r w:rsidR="004B3EA2">
        <w:rPr>
          <w:noProof/>
        </w:rPr>
        <w:t>3</w:t>
      </w:r>
      <w:r>
        <w:rPr>
          <w:noProof/>
        </w:rPr>
        <w:fldChar w:fldCharType="end"/>
      </w:r>
      <w:bookmarkEnd w:id="78"/>
      <w:r w:rsidRPr="00674869">
        <w:t xml:space="preserve"> </w:t>
      </w:r>
      <w:r w:rsidRPr="00674869">
        <w:tab/>
        <w:t xml:space="preserve">Results of the </w:t>
      </w:r>
      <w:r w:rsidR="00C83E0D">
        <w:t>modelled base-case</w:t>
      </w:r>
      <w:r w:rsidR="00C83E0D" w:rsidRPr="00674869">
        <w:t xml:space="preserve"> </w:t>
      </w:r>
      <w:r w:rsidRPr="00674869">
        <w:t>economic analys</w:t>
      </w:r>
      <w:r>
        <w:t>i</w:t>
      </w:r>
      <w:r w:rsidRPr="00674869">
        <w:t>s</w:t>
      </w:r>
      <w:bookmarkEnd w:id="79"/>
      <w:bookmarkEnd w:id="80"/>
      <w:bookmarkEnd w:id="81"/>
      <w:bookmarkEnd w:id="82"/>
    </w:p>
    <w:tbl>
      <w:tblPr>
        <w:tblStyle w:val="TableGrid1"/>
        <w:tblW w:w="5000" w:type="pct"/>
        <w:tblLayout w:type="fixed"/>
        <w:tblLook w:val="04A0" w:firstRow="1" w:lastRow="0" w:firstColumn="1" w:lastColumn="0" w:noHBand="0" w:noVBand="1"/>
        <w:tblCaption w:val="Results of the modelled base-case economic analysis"/>
        <w:tblDescription w:val="Results of the modelled base-case economic analysis"/>
      </w:tblPr>
      <w:tblGrid>
        <w:gridCol w:w="5382"/>
        <w:gridCol w:w="1205"/>
        <w:gridCol w:w="1205"/>
        <w:gridCol w:w="1224"/>
      </w:tblGrid>
      <w:tr w:rsidR="00A73B4B" w:rsidRPr="007B7239" w14:paraId="0CD8A4AD" w14:textId="77777777" w:rsidTr="00CA4CBD">
        <w:trPr>
          <w:cnfStyle w:val="100000000000" w:firstRow="1" w:lastRow="0" w:firstColumn="0" w:lastColumn="0" w:oddVBand="0" w:evenVBand="0" w:oddHBand="0" w:evenHBand="0" w:firstRowFirstColumn="0" w:firstRowLastColumn="0" w:lastRowFirstColumn="0" w:lastRowLastColumn="0"/>
          <w:cantSplit/>
          <w:trHeight w:val="300"/>
          <w:tblHeader/>
        </w:trPr>
        <w:tc>
          <w:tcPr>
            <w:tcW w:w="2985" w:type="pct"/>
            <w:noWrap/>
            <w:hideMark/>
          </w:tcPr>
          <w:p w14:paraId="2AC9F030" w14:textId="77777777" w:rsidR="00A73B4B" w:rsidRPr="007B7239" w:rsidRDefault="00A73B4B" w:rsidP="00CA4CBD">
            <w:pPr>
              <w:pStyle w:val="TableHeading"/>
            </w:pPr>
            <w:r w:rsidRPr="00EF530F">
              <w:t xml:space="preserve">Modelled </w:t>
            </w:r>
            <w:r>
              <w:t xml:space="preserve">base case </w:t>
            </w:r>
            <w:r w:rsidRPr="00EF530F">
              <w:t>economic evaluation</w:t>
            </w:r>
          </w:p>
        </w:tc>
        <w:tc>
          <w:tcPr>
            <w:tcW w:w="668" w:type="pct"/>
            <w:noWrap/>
            <w:hideMark/>
          </w:tcPr>
          <w:p w14:paraId="20102780" w14:textId="77777777" w:rsidR="00A73B4B" w:rsidRPr="007B7239" w:rsidRDefault="00A73B4B" w:rsidP="00CA4CBD">
            <w:pPr>
              <w:pStyle w:val="TableHeading"/>
              <w:jc w:val="center"/>
            </w:pPr>
            <w:r w:rsidRPr="007B7239">
              <w:t>Inc. cost</w:t>
            </w:r>
          </w:p>
        </w:tc>
        <w:tc>
          <w:tcPr>
            <w:tcW w:w="668" w:type="pct"/>
            <w:noWrap/>
            <w:hideMark/>
          </w:tcPr>
          <w:p w14:paraId="26C8121C" w14:textId="77777777" w:rsidR="00A73B4B" w:rsidRPr="007B7239" w:rsidRDefault="00A73B4B" w:rsidP="00CA4CBD">
            <w:pPr>
              <w:pStyle w:val="TableHeading"/>
              <w:jc w:val="center"/>
            </w:pPr>
            <w:r w:rsidRPr="007B7239">
              <w:t>Inc. QALYs</w:t>
            </w:r>
          </w:p>
        </w:tc>
        <w:tc>
          <w:tcPr>
            <w:tcW w:w="679" w:type="pct"/>
            <w:noWrap/>
            <w:hideMark/>
          </w:tcPr>
          <w:p w14:paraId="646B8BA2" w14:textId="77777777" w:rsidR="00A73B4B" w:rsidRPr="007B7239" w:rsidRDefault="00A73B4B" w:rsidP="00CA4CBD">
            <w:pPr>
              <w:pStyle w:val="TableHeading"/>
              <w:jc w:val="center"/>
            </w:pPr>
            <w:r w:rsidRPr="007B7239">
              <w:t>ICER</w:t>
            </w:r>
          </w:p>
        </w:tc>
      </w:tr>
      <w:tr w:rsidR="00453BFD" w:rsidRPr="007B7239" w14:paraId="49AC898D" w14:textId="77777777" w:rsidTr="00CA4CBD">
        <w:trPr>
          <w:cantSplit/>
          <w:trHeight w:val="300"/>
        </w:trPr>
        <w:tc>
          <w:tcPr>
            <w:tcW w:w="2985" w:type="pct"/>
            <w:noWrap/>
            <w:hideMark/>
          </w:tcPr>
          <w:p w14:paraId="6E324255" w14:textId="77777777" w:rsidR="00453BFD" w:rsidRPr="0022515F" w:rsidRDefault="00453BFD" w:rsidP="00453BFD">
            <w:pPr>
              <w:pStyle w:val="Tabletext1"/>
              <w:rPr>
                <w:b/>
                <w:u w:val="single"/>
              </w:rPr>
            </w:pPr>
            <w:r w:rsidRPr="0022515F">
              <w:rPr>
                <w:b/>
                <w:u w:val="single"/>
              </w:rPr>
              <w:t>Ig versus corticosteroids</w:t>
            </w:r>
          </w:p>
          <w:p w14:paraId="1927ADA5" w14:textId="44116372" w:rsidR="00453BFD" w:rsidRPr="007B7239" w:rsidRDefault="00453BFD" w:rsidP="00453BFD">
            <w:pPr>
              <w:pStyle w:val="Tabletext1"/>
            </w:pPr>
            <w:r w:rsidRPr="00EF530F">
              <w:t xml:space="preserve">Applies the dose and frequency based on the Criteria version 3 (2g/kg loading dose and 0.7g/kg maintenance dose for Ig), the best estimates of transitions for remission, relapse and adverse events as described in </w:t>
            </w:r>
            <w:r w:rsidR="00DD1ECC" w:rsidRPr="00EF530F">
              <w:t>section C.3.</w:t>
            </w:r>
            <w:r w:rsidR="00DD1ECC">
              <w:t xml:space="preserve">2 and </w:t>
            </w:r>
            <w:r w:rsidR="00DD1ECC">
              <w:fldChar w:fldCharType="begin"/>
            </w:r>
            <w:r w:rsidR="00DD1ECC">
              <w:instrText xml:space="preserve"> REF _Ref68178130 \h </w:instrText>
            </w:r>
            <w:r w:rsidR="00DD1ECC">
              <w:fldChar w:fldCharType="separate"/>
            </w:r>
            <w:r w:rsidR="004B3EA2" w:rsidRPr="00DA3C6E">
              <w:t xml:space="preserve">Table </w:t>
            </w:r>
            <w:r w:rsidR="004B3EA2">
              <w:rPr>
                <w:noProof/>
              </w:rPr>
              <w:t>39</w:t>
            </w:r>
            <w:r w:rsidR="00DD1ECC">
              <w:fldChar w:fldCharType="end"/>
            </w:r>
            <w:r w:rsidRPr="00EF530F">
              <w:t>, with the model time horizon of 10 years.</w:t>
            </w:r>
          </w:p>
        </w:tc>
        <w:tc>
          <w:tcPr>
            <w:tcW w:w="668" w:type="pct"/>
            <w:noWrap/>
            <w:hideMark/>
          </w:tcPr>
          <w:p w14:paraId="223D42AC" w14:textId="77777777" w:rsidR="00453BFD" w:rsidRPr="007B7239" w:rsidRDefault="00453BFD" w:rsidP="00453BFD">
            <w:pPr>
              <w:pStyle w:val="Tabletext1"/>
              <w:jc w:val="right"/>
            </w:pPr>
            <w:r>
              <w:t>$137,443</w:t>
            </w:r>
          </w:p>
        </w:tc>
        <w:tc>
          <w:tcPr>
            <w:tcW w:w="668" w:type="pct"/>
            <w:noWrap/>
            <w:hideMark/>
          </w:tcPr>
          <w:p w14:paraId="23338F03" w14:textId="52EE32AF" w:rsidR="00453BFD" w:rsidRPr="007B7239" w:rsidRDefault="00453BFD" w:rsidP="00453BFD">
            <w:pPr>
              <w:pStyle w:val="Tabletext1"/>
              <w:jc w:val="right"/>
            </w:pPr>
            <w:r w:rsidRPr="00C669BD">
              <w:t>1.1840</w:t>
            </w:r>
          </w:p>
        </w:tc>
        <w:tc>
          <w:tcPr>
            <w:tcW w:w="679" w:type="pct"/>
            <w:noWrap/>
            <w:hideMark/>
          </w:tcPr>
          <w:p w14:paraId="0C02275B" w14:textId="0D3AA439" w:rsidR="00453BFD" w:rsidRPr="007B7239" w:rsidRDefault="00453BFD" w:rsidP="00453BFD">
            <w:pPr>
              <w:pStyle w:val="Tabletext1"/>
              <w:jc w:val="right"/>
            </w:pPr>
            <w:r w:rsidRPr="00C669BD">
              <w:t>$116,088</w:t>
            </w:r>
          </w:p>
        </w:tc>
      </w:tr>
      <w:tr w:rsidR="00453BFD" w:rsidRPr="007B7239" w14:paraId="5F0AB90A" w14:textId="77777777" w:rsidTr="00CA4CBD">
        <w:trPr>
          <w:cantSplit/>
          <w:trHeight w:val="300"/>
        </w:trPr>
        <w:tc>
          <w:tcPr>
            <w:tcW w:w="2985" w:type="pct"/>
            <w:noWrap/>
            <w:hideMark/>
          </w:tcPr>
          <w:p w14:paraId="7B25C89A" w14:textId="77777777" w:rsidR="00453BFD" w:rsidRPr="0022515F" w:rsidRDefault="00453BFD" w:rsidP="00453BFD">
            <w:pPr>
              <w:pStyle w:val="Tabletext1"/>
              <w:rPr>
                <w:b/>
                <w:u w:val="single"/>
              </w:rPr>
            </w:pPr>
            <w:r w:rsidRPr="0022515F">
              <w:rPr>
                <w:b/>
                <w:u w:val="single"/>
              </w:rPr>
              <w:t>Ig versus plasma exchange</w:t>
            </w:r>
          </w:p>
          <w:p w14:paraId="738DA8BD" w14:textId="2CEE63C5" w:rsidR="00453BFD" w:rsidRPr="007B7239" w:rsidRDefault="00453BFD" w:rsidP="00AA07C7">
            <w:pPr>
              <w:pStyle w:val="Tabletext1"/>
            </w:pPr>
            <w:r w:rsidRPr="00EF530F">
              <w:t xml:space="preserve">Applies the dose and frequency based on the Criteria version 3 </w:t>
            </w:r>
            <w:r>
              <w:t xml:space="preserve">for Ig and for PE from Gwathmey et al </w:t>
            </w:r>
            <w:r>
              <w:fldChar w:fldCharType="begin"/>
            </w:r>
            <w:r>
              <w:instrText xml:space="preserve"> ADDIN EN.CITE &lt;EndNote&gt;&lt;Cite ExcludeAuth="1"&gt;&lt;Author&gt;Gwathmey&lt;/Author&gt;&lt;Year&gt;2020&lt;/Year&gt;&lt;RecNum&gt;489&lt;/RecNum&gt;&lt;DisplayText&gt;(2020)&lt;/DisplayText&gt;&lt;record&gt;&lt;rec-number&gt;489&lt;/rec-number&gt;&lt;foreign-keys&gt;&lt;key app="EN" db-id="xtr5xfx2xf0wd7e0s2qvst2ietxxf0tpzr9v" timestamp="1602225824"&gt;489&lt;/key&gt;&lt;/foreign-keys&gt;&lt;ref-type name="Journal Article"&gt;17&lt;/ref-type&gt;&lt;contributors&gt;&lt;authors&gt;&lt;author&gt;Gwathmey, K.&lt;/author&gt;&lt;/authors&gt;&lt;/contributors&gt;&lt;titles&gt;&lt;title&gt;Chronic Inflammatory Demyelinating Polyradiculoneuropathy and Its Variants&lt;/title&gt;&lt;secondary-title&gt;Continuum (Minneap Minn)&lt;/secondary-title&gt;&lt;/titles&gt;&lt;periodical&gt;&lt;full-title&gt;Continuum (Minneap Minn)&lt;/full-title&gt;&lt;/periodical&gt;&lt;pages&gt;1205-1223&lt;/pages&gt;&lt;volume&gt;26&lt;/volume&gt;&lt;number&gt;5&lt;/number&gt;&lt;edition&gt;2020/10/02&lt;/edition&gt;&lt;dates&gt;&lt;year&gt;2020&lt;/year&gt;&lt;pub-dates&gt;&lt;date&gt;Oct&lt;/date&gt;&lt;/pub-dates&gt;&lt;/dates&gt;&lt;isbn&gt;1538-6899 (Electronic)&amp;#xD;1080-2371 (Linking)&lt;/isbn&gt;&lt;accession-num&gt;33002999&lt;/accession-num&gt;&lt;urls&gt;&lt;/urls&gt;&lt;electronic-resource-num&gt;10.1212/con.0000000000000907&lt;/electronic-resource-num&gt;&lt;remote-database-provider&gt;NLM&lt;/remote-database-provider&gt;&lt;language&gt;eng&lt;/language&gt;&lt;/record&gt;&lt;/Cite&gt;&lt;/EndNote&gt;</w:instrText>
            </w:r>
            <w:r>
              <w:fldChar w:fldCharType="separate"/>
            </w:r>
            <w:r>
              <w:rPr>
                <w:noProof/>
              </w:rPr>
              <w:t>(</w:t>
            </w:r>
            <w:hyperlink w:anchor="_ENREF_22" w:tooltip="Gwathmey, 2020 #489" w:history="1">
              <w:r w:rsidR="00D726F6">
                <w:rPr>
                  <w:noProof/>
                </w:rPr>
                <w:t>2020</w:t>
              </w:r>
            </w:hyperlink>
            <w:r>
              <w:rPr>
                <w:noProof/>
              </w:rPr>
              <w:t>)</w:t>
            </w:r>
            <w:r>
              <w:fldChar w:fldCharType="end"/>
            </w:r>
            <w:r>
              <w:t xml:space="preserve"> (</w:t>
            </w:r>
            <w:r>
              <w:fldChar w:fldCharType="begin"/>
            </w:r>
            <w:r>
              <w:instrText xml:space="preserve"> REF _Ref65086945 \h </w:instrText>
            </w:r>
            <w:r>
              <w:fldChar w:fldCharType="separate"/>
            </w:r>
            <w:r w:rsidR="004B3EA2">
              <w:t xml:space="preserve">Table </w:t>
            </w:r>
            <w:r w:rsidR="004B3EA2">
              <w:rPr>
                <w:noProof/>
              </w:rPr>
              <w:t>28</w:t>
            </w:r>
            <w:r>
              <w:fldChar w:fldCharType="end"/>
            </w:r>
            <w:r>
              <w:t xml:space="preserve">), </w:t>
            </w:r>
            <w:r w:rsidRPr="00EF530F">
              <w:t>the best estimates of transitions for remission, relapse and adverse events as described in section C.3.</w:t>
            </w:r>
            <w:r w:rsidR="00DB71A4">
              <w:t>2</w:t>
            </w:r>
            <w:r>
              <w:t xml:space="preserve"> and </w:t>
            </w:r>
            <w:r w:rsidR="00AA07C7">
              <w:fldChar w:fldCharType="begin"/>
            </w:r>
            <w:r w:rsidR="00AA07C7">
              <w:instrText xml:space="preserve"> REF _Ref68178130 \h </w:instrText>
            </w:r>
            <w:r w:rsidR="00AA07C7">
              <w:fldChar w:fldCharType="separate"/>
            </w:r>
            <w:r w:rsidR="004B3EA2" w:rsidRPr="00DA3C6E">
              <w:t xml:space="preserve">Table </w:t>
            </w:r>
            <w:r w:rsidR="004B3EA2">
              <w:rPr>
                <w:noProof/>
              </w:rPr>
              <w:t>39</w:t>
            </w:r>
            <w:r w:rsidR="00AA07C7">
              <w:fldChar w:fldCharType="end"/>
            </w:r>
            <w:r w:rsidR="00AA07C7">
              <w:t xml:space="preserve"> </w:t>
            </w:r>
            <w:r w:rsidRPr="00EF530F">
              <w:t>with the model time horizon of 10 years.</w:t>
            </w:r>
          </w:p>
        </w:tc>
        <w:tc>
          <w:tcPr>
            <w:tcW w:w="668" w:type="pct"/>
            <w:noWrap/>
            <w:hideMark/>
          </w:tcPr>
          <w:p w14:paraId="1C8F50F9" w14:textId="51A0512A" w:rsidR="00453BFD" w:rsidRPr="007B7239" w:rsidRDefault="00453BFD" w:rsidP="00453BFD">
            <w:pPr>
              <w:pStyle w:val="Tabletext1"/>
              <w:jc w:val="right"/>
            </w:pPr>
            <w:r w:rsidRPr="000E5B94">
              <w:t>$49,991</w:t>
            </w:r>
          </w:p>
        </w:tc>
        <w:tc>
          <w:tcPr>
            <w:tcW w:w="668" w:type="pct"/>
            <w:noWrap/>
            <w:hideMark/>
          </w:tcPr>
          <w:p w14:paraId="4122331A" w14:textId="2C4EE250" w:rsidR="00453BFD" w:rsidRPr="007B7239" w:rsidRDefault="00453BFD" w:rsidP="00453BFD">
            <w:pPr>
              <w:pStyle w:val="Tabletext1"/>
              <w:jc w:val="right"/>
            </w:pPr>
            <w:r w:rsidRPr="000E5B94">
              <w:t>0.5316</w:t>
            </w:r>
          </w:p>
        </w:tc>
        <w:tc>
          <w:tcPr>
            <w:tcW w:w="679" w:type="pct"/>
            <w:noWrap/>
            <w:hideMark/>
          </w:tcPr>
          <w:p w14:paraId="580F53B2" w14:textId="45F3D469" w:rsidR="00453BFD" w:rsidRPr="007B7239" w:rsidRDefault="00453BFD" w:rsidP="00453BFD">
            <w:pPr>
              <w:pStyle w:val="Tabletext1"/>
              <w:jc w:val="right"/>
            </w:pPr>
            <w:r w:rsidRPr="000E5B94">
              <w:t>$94,038</w:t>
            </w:r>
          </w:p>
        </w:tc>
      </w:tr>
      <w:tr w:rsidR="00453BFD" w:rsidRPr="007B7239" w14:paraId="1B5761A2" w14:textId="77777777" w:rsidTr="00CA4CBD">
        <w:trPr>
          <w:cantSplit/>
          <w:trHeight w:val="300"/>
        </w:trPr>
        <w:tc>
          <w:tcPr>
            <w:tcW w:w="2985" w:type="pct"/>
            <w:tcBorders>
              <w:bottom w:val="single" w:sz="4" w:space="0" w:color="auto"/>
            </w:tcBorders>
            <w:noWrap/>
            <w:hideMark/>
          </w:tcPr>
          <w:p w14:paraId="3969AB9F" w14:textId="59ED90A7" w:rsidR="00453BFD" w:rsidRPr="0022515F" w:rsidRDefault="007F1E8F" w:rsidP="00453BFD">
            <w:pPr>
              <w:pStyle w:val="Tabletext1"/>
              <w:rPr>
                <w:b/>
                <w:u w:val="single"/>
              </w:rPr>
            </w:pPr>
            <w:r>
              <w:rPr>
                <w:b/>
                <w:u w:val="single"/>
              </w:rPr>
              <w:t xml:space="preserve">Second line </w:t>
            </w:r>
            <w:r w:rsidR="00453BFD" w:rsidRPr="0022515F">
              <w:rPr>
                <w:b/>
                <w:u w:val="single"/>
              </w:rPr>
              <w:t>Ig versus placebo</w:t>
            </w:r>
          </w:p>
          <w:p w14:paraId="25E9B753" w14:textId="05775C11" w:rsidR="00453BFD" w:rsidRPr="007B7239" w:rsidRDefault="00453BFD" w:rsidP="00AA07C7">
            <w:pPr>
              <w:pStyle w:val="Tabletext1"/>
            </w:pPr>
            <w:r w:rsidRPr="00EF530F">
              <w:t xml:space="preserve">Applies the dose and frequency based on the Criteria version 3 </w:t>
            </w:r>
            <w:r>
              <w:t xml:space="preserve">for Ig and no treatment for placebo, </w:t>
            </w:r>
            <w:r w:rsidRPr="00EF530F">
              <w:t>the best estimates of transitions for remission, relapse and adverse events as described in section C.3.</w:t>
            </w:r>
            <w:r w:rsidR="00DB71A4">
              <w:t>2</w:t>
            </w:r>
            <w:r>
              <w:t xml:space="preserve"> and </w:t>
            </w:r>
            <w:r w:rsidR="00AA07C7">
              <w:fldChar w:fldCharType="begin"/>
            </w:r>
            <w:r w:rsidR="00AA07C7">
              <w:instrText xml:space="preserve"> REF _Ref68178130 \h </w:instrText>
            </w:r>
            <w:r w:rsidR="00AA07C7">
              <w:fldChar w:fldCharType="separate"/>
            </w:r>
            <w:r w:rsidR="004B3EA2" w:rsidRPr="00DA3C6E">
              <w:t xml:space="preserve">Table </w:t>
            </w:r>
            <w:r w:rsidR="004B3EA2">
              <w:rPr>
                <w:noProof/>
              </w:rPr>
              <w:t>39</w:t>
            </w:r>
            <w:r w:rsidR="00AA07C7">
              <w:fldChar w:fldCharType="end"/>
            </w:r>
            <w:r w:rsidR="00AA07C7">
              <w:t xml:space="preserve"> </w:t>
            </w:r>
            <w:r w:rsidRPr="00EF530F">
              <w:t>with the model time horizon of 10 years.</w:t>
            </w:r>
          </w:p>
        </w:tc>
        <w:tc>
          <w:tcPr>
            <w:tcW w:w="668" w:type="pct"/>
            <w:tcBorders>
              <w:bottom w:val="single" w:sz="4" w:space="0" w:color="auto"/>
            </w:tcBorders>
            <w:noWrap/>
            <w:hideMark/>
          </w:tcPr>
          <w:p w14:paraId="122AA659" w14:textId="77777777" w:rsidR="00453BFD" w:rsidRPr="006362C6" w:rsidRDefault="00453BFD" w:rsidP="00453BFD">
            <w:pPr>
              <w:pStyle w:val="Tabletext1"/>
              <w:jc w:val="right"/>
              <w:rPr>
                <w:b/>
              </w:rPr>
            </w:pPr>
            <w:r w:rsidRPr="00A61250">
              <w:t>$159,573</w:t>
            </w:r>
          </w:p>
        </w:tc>
        <w:tc>
          <w:tcPr>
            <w:tcW w:w="668" w:type="pct"/>
            <w:tcBorders>
              <w:bottom w:val="single" w:sz="4" w:space="0" w:color="auto"/>
            </w:tcBorders>
            <w:noWrap/>
            <w:hideMark/>
          </w:tcPr>
          <w:p w14:paraId="093C6AD8" w14:textId="7CC2D5CE" w:rsidR="00453BFD" w:rsidRPr="006362C6" w:rsidRDefault="00453BFD" w:rsidP="00453BFD">
            <w:pPr>
              <w:pStyle w:val="Tabletext1"/>
              <w:jc w:val="right"/>
              <w:rPr>
                <w:b/>
              </w:rPr>
            </w:pPr>
            <w:r w:rsidRPr="007469FD">
              <w:t>1.7162</w:t>
            </w:r>
          </w:p>
        </w:tc>
        <w:tc>
          <w:tcPr>
            <w:tcW w:w="679" w:type="pct"/>
            <w:tcBorders>
              <w:bottom w:val="single" w:sz="4" w:space="0" w:color="auto"/>
            </w:tcBorders>
            <w:noWrap/>
            <w:hideMark/>
          </w:tcPr>
          <w:p w14:paraId="6DDB9105" w14:textId="35BCC116" w:rsidR="00453BFD" w:rsidRPr="006362C6" w:rsidRDefault="00453BFD" w:rsidP="00453BFD">
            <w:pPr>
              <w:pStyle w:val="Tabletext1"/>
              <w:jc w:val="right"/>
              <w:rPr>
                <w:b/>
              </w:rPr>
            </w:pPr>
            <w:r w:rsidRPr="007469FD">
              <w:t>$92,983</w:t>
            </w:r>
          </w:p>
        </w:tc>
      </w:tr>
    </w:tbl>
    <w:p w14:paraId="02493E3A" w14:textId="0B2912E5" w:rsidR="00A73B4B" w:rsidRDefault="00A73B4B" w:rsidP="00A73B4B">
      <w:pPr>
        <w:pStyle w:val="Tablenotes1"/>
      </w:pPr>
      <w:r>
        <w:t xml:space="preserve">ICER = incremental cost-effectiveness ratio; Inc = incremental; Ig = immunoglobulin; </w:t>
      </w:r>
      <w:r w:rsidR="00015EDD">
        <w:t xml:space="preserve">PE = plasma exchange; </w:t>
      </w:r>
      <w:r>
        <w:t>QALY = quality-adjusted life years.</w:t>
      </w:r>
    </w:p>
    <w:p w14:paraId="4EE4D74A" w14:textId="3A1E6D80" w:rsidR="00A73B4B" w:rsidRDefault="00A73B4B" w:rsidP="00A73B4B">
      <w:pPr>
        <w:pStyle w:val="BodyTextSTD"/>
      </w:pPr>
      <w:r>
        <w:t>In all analyses, t</w:t>
      </w:r>
      <w:r w:rsidRPr="00EF530F">
        <w:t>he cost of Ig was the main driver of the incremental cost, with offsets related to a reduction in the number of adverse events and costs associated with it.</w:t>
      </w:r>
      <w:r>
        <w:t xml:space="preserve"> </w:t>
      </w:r>
      <w:r w:rsidRPr="00EF530F">
        <w:t>The incremental QALYs</w:t>
      </w:r>
      <w:r w:rsidR="00682744">
        <w:t xml:space="preserve"> were primarily accrued in the ‘</w:t>
      </w:r>
      <w:r w:rsidRPr="00EF530F">
        <w:t>on treatment</w:t>
      </w:r>
      <w:r w:rsidR="00682744">
        <w:t xml:space="preserve"> (induction phase or maintenance phase)</w:t>
      </w:r>
      <w:r w:rsidRPr="00EF530F">
        <w:t>’ health state</w:t>
      </w:r>
      <w:r w:rsidR="00682744">
        <w:t>s</w:t>
      </w:r>
      <w:r w:rsidRPr="00EF530F">
        <w:t xml:space="preserve"> due to improved QALYs with Ig treatment. As Ig was associated with higher response rate and fewer </w:t>
      </w:r>
      <w:r w:rsidR="00B30BDF">
        <w:t>AEs</w:t>
      </w:r>
      <w:r w:rsidRPr="00EF530F">
        <w:t xml:space="preserve">, less time was spent in the </w:t>
      </w:r>
      <w:r w:rsidR="00053381">
        <w:t>‘Treatment resistant/intolerant: best supportive care’</w:t>
      </w:r>
      <w:r w:rsidRPr="00EF530F">
        <w:t xml:space="preserve"> health state with Ig.</w:t>
      </w:r>
    </w:p>
    <w:p w14:paraId="1DC16FC8" w14:textId="31A88D6B" w:rsidR="00C83E0D" w:rsidRDefault="00053381" w:rsidP="00A73B4B">
      <w:pPr>
        <w:pStyle w:val="BodyTextSTD"/>
        <w:rPr>
          <w:rFonts w:eastAsia="Calibri"/>
        </w:rPr>
      </w:pPr>
      <w:r>
        <w:rPr>
          <w:rFonts w:eastAsia="Calibri"/>
        </w:rPr>
        <w:t>A n</w:t>
      </w:r>
      <w:r w:rsidR="00C83E0D">
        <w:rPr>
          <w:rFonts w:eastAsia="Calibri"/>
        </w:rPr>
        <w:t xml:space="preserve">umber of univariate sensitivity analyses were performed to address the uncertainty associated with the </w:t>
      </w:r>
      <w:r w:rsidR="00682744">
        <w:rPr>
          <w:rFonts w:eastAsia="Calibri"/>
        </w:rPr>
        <w:t>model</w:t>
      </w:r>
      <w:r w:rsidR="00C83E0D">
        <w:rPr>
          <w:rFonts w:eastAsia="Calibri"/>
        </w:rPr>
        <w:t xml:space="preserve"> inputs. The cost of Ig</w:t>
      </w:r>
      <w:r w:rsidR="00682744">
        <w:rPr>
          <w:rFonts w:eastAsia="Calibri"/>
        </w:rPr>
        <w:t xml:space="preserve"> per gram</w:t>
      </w:r>
      <w:r w:rsidR="00C83E0D">
        <w:rPr>
          <w:rFonts w:eastAsia="Calibri"/>
        </w:rPr>
        <w:t xml:space="preserve"> is a key cost driver in the model. Any reduction in the Ig doses either by increasing the interval length between doses or decreasing the maintenance dose (such as with weaning off trial or using lower maintenance dose of 0.4g/kg) favours Ig and reduces the ICERs substantially. The base case modelled time horizon is ten years. Decreasing the time horizon below five years increases the ICERs substantially.</w:t>
      </w:r>
      <w:r w:rsidR="00F577B3">
        <w:rPr>
          <w:rFonts w:eastAsia="Calibri"/>
        </w:rPr>
        <w:t xml:space="preserve"> Varying transition probabilities for treatment response, treatment effect and treatment associated severe adverse effects for intervention and comparators have variable effects across the three models.</w:t>
      </w:r>
    </w:p>
    <w:p w14:paraId="26D5D68D" w14:textId="1759660F" w:rsidR="00682744" w:rsidRDefault="007A0513" w:rsidP="00A73B4B">
      <w:pPr>
        <w:pStyle w:val="BodyTextSTD"/>
        <w:rPr>
          <w:rFonts w:eastAsia="Calibri"/>
        </w:rPr>
      </w:pPr>
      <w:r>
        <w:rPr>
          <w:rFonts w:eastAsia="Calibri"/>
        </w:rPr>
        <w:t>The administration cost per PE procedure ($1,477) is the key cost driver in the Ig versus PE comparison</w:t>
      </w:r>
      <w:r w:rsidR="00053381">
        <w:rPr>
          <w:rFonts w:eastAsia="Calibri"/>
        </w:rPr>
        <w:t>, r</w:t>
      </w:r>
      <w:r>
        <w:rPr>
          <w:rFonts w:eastAsia="Calibri"/>
        </w:rPr>
        <w:t xml:space="preserve">educing the administration cost </w:t>
      </w:r>
      <w:r w:rsidR="00053381">
        <w:rPr>
          <w:rFonts w:eastAsia="Calibri"/>
        </w:rPr>
        <w:t>of PE by 50% increases the ICER by 67%.</w:t>
      </w:r>
    </w:p>
    <w:p w14:paraId="40AD769C" w14:textId="21D73FB4" w:rsidR="00563672" w:rsidRDefault="00563672" w:rsidP="00A73B4B">
      <w:pPr>
        <w:pStyle w:val="BodyTextSTD"/>
      </w:pPr>
      <w:r>
        <w:rPr>
          <w:rFonts w:eastAsia="Calibri"/>
        </w:rPr>
        <w:fldChar w:fldCharType="begin"/>
      </w:r>
      <w:r>
        <w:instrText xml:space="preserve"> REF _Ref14270085 \h </w:instrText>
      </w:r>
      <w:r>
        <w:rPr>
          <w:rFonts w:eastAsia="Calibri"/>
        </w:rPr>
      </w:r>
      <w:r>
        <w:rPr>
          <w:rFonts w:eastAsia="Calibri"/>
        </w:rPr>
        <w:fldChar w:fldCharType="separate"/>
      </w:r>
      <w:r w:rsidR="004B3EA2">
        <w:t xml:space="preserve">Table </w:t>
      </w:r>
      <w:r w:rsidR="004B3EA2">
        <w:rPr>
          <w:noProof/>
        </w:rPr>
        <w:t>4</w:t>
      </w:r>
      <w:r>
        <w:rPr>
          <w:rFonts w:eastAsia="Calibri"/>
        </w:rPr>
        <w:fldChar w:fldCharType="end"/>
      </w:r>
      <w:r>
        <w:rPr>
          <w:rFonts w:eastAsia="Calibri"/>
        </w:rPr>
        <w:t xml:space="preserve"> presents key sensitivity analyses.</w:t>
      </w:r>
    </w:p>
    <w:p w14:paraId="4E7DD9E6" w14:textId="3E5C186D" w:rsidR="00A73B4B" w:rsidRDefault="00A73B4B" w:rsidP="00A73B4B">
      <w:pPr>
        <w:pStyle w:val="Caption"/>
      </w:pPr>
      <w:bookmarkStart w:id="83" w:name="_Ref14270085"/>
      <w:bookmarkStart w:id="84" w:name="_Toc14348839"/>
      <w:bookmarkStart w:id="85" w:name="_Toc14429551"/>
      <w:bookmarkStart w:id="86" w:name="_Toc16671606"/>
      <w:bookmarkStart w:id="87" w:name="_Toc69305645"/>
      <w:r>
        <w:t xml:space="preserve">Table </w:t>
      </w:r>
      <w:r>
        <w:rPr>
          <w:noProof/>
        </w:rPr>
        <w:fldChar w:fldCharType="begin"/>
      </w:r>
      <w:r>
        <w:rPr>
          <w:noProof/>
        </w:rPr>
        <w:instrText xml:space="preserve"> SEQ Table \* ARABIC </w:instrText>
      </w:r>
      <w:r>
        <w:rPr>
          <w:noProof/>
        </w:rPr>
        <w:fldChar w:fldCharType="separate"/>
      </w:r>
      <w:r w:rsidR="004B3EA2">
        <w:rPr>
          <w:noProof/>
        </w:rPr>
        <w:t>4</w:t>
      </w:r>
      <w:r>
        <w:rPr>
          <w:noProof/>
        </w:rPr>
        <w:fldChar w:fldCharType="end"/>
      </w:r>
      <w:bookmarkEnd w:id="83"/>
      <w:r>
        <w:tab/>
      </w:r>
      <w:r>
        <w:tab/>
        <w:t>Key sensitivity analyses</w:t>
      </w:r>
      <w:bookmarkEnd w:id="84"/>
      <w:bookmarkEnd w:id="85"/>
      <w:bookmarkEnd w:id="86"/>
      <w:bookmarkEnd w:id="87"/>
    </w:p>
    <w:tbl>
      <w:tblPr>
        <w:tblStyle w:val="TableGrid1"/>
        <w:tblW w:w="5000" w:type="pct"/>
        <w:tblLayout w:type="fixed"/>
        <w:tblLook w:val="04A0" w:firstRow="1" w:lastRow="0" w:firstColumn="1" w:lastColumn="0" w:noHBand="0" w:noVBand="1"/>
        <w:tblCaption w:val="Key sensitivity analyses"/>
        <w:tblDescription w:val="Key sensitivity analyses"/>
      </w:tblPr>
      <w:tblGrid>
        <w:gridCol w:w="4814"/>
        <w:gridCol w:w="709"/>
        <w:gridCol w:w="426"/>
        <w:gridCol w:w="1134"/>
        <w:gridCol w:w="1134"/>
        <w:gridCol w:w="799"/>
      </w:tblGrid>
      <w:tr w:rsidR="00053381" w:rsidRPr="008B0DF4" w14:paraId="39C8EA97" w14:textId="77777777" w:rsidTr="00E2648D">
        <w:trPr>
          <w:cnfStyle w:val="100000000000" w:firstRow="1" w:lastRow="0" w:firstColumn="0" w:lastColumn="0" w:oddVBand="0" w:evenVBand="0" w:oddHBand="0" w:evenHBand="0" w:firstRowFirstColumn="0" w:firstRowLastColumn="0" w:lastRowFirstColumn="0" w:lastRowLastColumn="0"/>
          <w:trHeight w:val="300"/>
          <w:tblHeader/>
        </w:trPr>
        <w:tc>
          <w:tcPr>
            <w:tcW w:w="2670" w:type="pct"/>
            <w:noWrap/>
          </w:tcPr>
          <w:p w14:paraId="4602F04A" w14:textId="77777777" w:rsidR="00053381" w:rsidRPr="008B0DF4" w:rsidRDefault="00053381" w:rsidP="00E2648D">
            <w:pPr>
              <w:pStyle w:val="TableHeading"/>
            </w:pPr>
          </w:p>
        </w:tc>
        <w:tc>
          <w:tcPr>
            <w:tcW w:w="629" w:type="pct"/>
            <w:gridSpan w:val="2"/>
            <w:noWrap/>
          </w:tcPr>
          <w:p w14:paraId="79C91C73" w14:textId="77777777" w:rsidR="00053381" w:rsidRPr="008B0DF4" w:rsidRDefault="00053381" w:rsidP="00E2648D">
            <w:pPr>
              <w:pStyle w:val="TableHeading"/>
              <w:jc w:val="center"/>
            </w:pPr>
            <w:r w:rsidRPr="00FA1F59">
              <w:t>Inc. cost</w:t>
            </w:r>
          </w:p>
        </w:tc>
        <w:tc>
          <w:tcPr>
            <w:tcW w:w="629" w:type="pct"/>
            <w:noWrap/>
          </w:tcPr>
          <w:p w14:paraId="33555240" w14:textId="77777777" w:rsidR="00053381" w:rsidRPr="008B0DF4" w:rsidRDefault="00053381" w:rsidP="00E2648D">
            <w:pPr>
              <w:pStyle w:val="TableHeading"/>
              <w:jc w:val="center"/>
            </w:pPr>
            <w:r w:rsidRPr="00FA1F59">
              <w:t>Inc. QALYs</w:t>
            </w:r>
          </w:p>
        </w:tc>
        <w:tc>
          <w:tcPr>
            <w:tcW w:w="629" w:type="pct"/>
            <w:noWrap/>
          </w:tcPr>
          <w:p w14:paraId="6B413F6F" w14:textId="77777777" w:rsidR="00053381" w:rsidRPr="008B0DF4" w:rsidRDefault="00053381" w:rsidP="00E2648D">
            <w:pPr>
              <w:pStyle w:val="TableHeading"/>
              <w:jc w:val="center"/>
            </w:pPr>
            <w:r w:rsidRPr="00FA1F59">
              <w:t>ICER</w:t>
            </w:r>
          </w:p>
        </w:tc>
        <w:tc>
          <w:tcPr>
            <w:tcW w:w="443" w:type="pct"/>
            <w:noWrap/>
          </w:tcPr>
          <w:p w14:paraId="412B6B87" w14:textId="77777777" w:rsidR="00053381" w:rsidRPr="008B0DF4" w:rsidRDefault="00053381" w:rsidP="00E2648D">
            <w:pPr>
              <w:pStyle w:val="TableHeading"/>
              <w:jc w:val="center"/>
            </w:pPr>
            <w:r>
              <w:t>% change</w:t>
            </w:r>
          </w:p>
        </w:tc>
      </w:tr>
      <w:tr w:rsidR="00053381" w:rsidRPr="00E86C72" w14:paraId="4843B65E" w14:textId="77777777" w:rsidTr="00E2648D">
        <w:trPr>
          <w:trHeight w:val="300"/>
        </w:trPr>
        <w:tc>
          <w:tcPr>
            <w:tcW w:w="2670" w:type="pct"/>
            <w:tcBorders>
              <w:bottom w:val="single" w:sz="4" w:space="0" w:color="auto"/>
              <w:right w:val="nil"/>
            </w:tcBorders>
            <w:noWrap/>
          </w:tcPr>
          <w:p w14:paraId="6BDC86CF" w14:textId="77777777" w:rsidR="00053381" w:rsidRPr="003572B4" w:rsidRDefault="00053381" w:rsidP="00E2648D">
            <w:pPr>
              <w:pStyle w:val="Tabletext1"/>
              <w:rPr>
                <w:b/>
              </w:rPr>
            </w:pPr>
            <w:r w:rsidRPr="003572B4">
              <w:rPr>
                <w:b/>
              </w:rPr>
              <w:t>Ig versus corticosteroids</w:t>
            </w:r>
          </w:p>
        </w:tc>
        <w:tc>
          <w:tcPr>
            <w:tcW w:w="629" w:type="pct"/>
            <w:gridSpan w:val="2"/>
            <w:tcBorders>
              <w:left w:val="nil"/>
              <w:bottom w:val="single" w:sz="4" w:space="0" w:color="auto"/>
              <w:right w:val="nil"/>
            </w:tcBorders>
            <w:noWrap/>
          </w:tcPr>
          <w:p w14:paraId="062C98E1" w14:textId="77777777" w:rsidR="00053381" w:rsidRPr="00E86C72" w:rsidRDefault="00053381" w:rsidP="00E2648D">
            <w:pPr>
              <w:pStyle w:val="Tabletext1"/>
              <w:jc w:val="right"/>
            </w:pPr>
          </w:p>
        </w:tc>
        <w:tc>
          <w:tcPr>
            <w:tcW w:w="629" w:type="pct"/>
            <w:tcBorders>
              <w:left w:val="nil"/>
              <w:bottom w:val="single" w:sz="4" w:space="0" w:color="auto"/>
              <w:right w:val="nil"/>
            </w:tcBorders>
            <w:noWrap/>
          </w:tcPr>
          <w:p w14:paraId="77F1B5F1" w14:textId="77777777" w:rsidR="00053381" w:rsidRPr="00E86C72" w:rsidRDefault="00053381" w:rsidP="00E2648D">
            <w:pPr>
              <w:pStyle w:val="Tabletext1"/>
              <w:jc w:val="right"/>
            </w:pPr>
          </w:p>
        </w:tc>
        <w:tc>
          <w:tcPr>
            <w:tcW w:w="629" w:type="pct"/>
            <w:tcBorders>
              <w:left w:val="nil"/>
              <w:bottom w:val="single" w:sz="4" w:space="0" w:color="auto"/>
              <w:right w:val="nil"/>
            </w:tcBorders>
            <w:noWrap/>
          </w:tcPr>
          <w:p w14:paraId="0EDDE653" w14:textId="77777777" w:rsidR="00053381" w:rsidRPr="00E86C72" w:rsidRDefault="00053381" w:rsidP="00E2648D">
            <w:pPr>
              <w:pStyle w:val="Tabletext1"/>
              <w:jc w:val="right"/>
            </w:pPr>
          </w:p>
        </w:tc>
        <w:tc>
          <w:tcPr>
            <w:tcW w:w="443" w:type="pct"/>
            <w:tcBorders>
              <w:left w:val="nil"/>
              <w:bottom w:val="single" w:sz="4" w:space="0" w:color="auto"/>
            </w:tcBorders>
            <w:noWrap/>
          </w:tcPr>
          <w:p w14:paraId="71D9B6B8" w14:textId="77777777" w:rsidR="00053381" w:rsidRPr="00E86C72" w:rsidRDefault="00053381" w:rsidP="00E2648D">
            <w:pPr>
              <w:pStyle w:val="Tabletext1"/>
              <w:jc w:val="right"/>
            </w:pPr>
          </w:p>
        </w:tc>
      </w:tr>
      <w:tr w:rsidR="00053381" w:rsidRPr="008B0DF4" w14:paraId="67594D16" w14:textId="77777777" w:rsidTr="00E2648D">
        <w:trPr>
          <w:trHeight w:val="300"/>
          <w:tblHeader/>
        </w:trPr>
        <w:tc>
          <w:tcPr>
            <w:tcW w:w="2670" w:type="pct"/>
            <w:tcBorders>
              <w:bottom w:val="single" w:sz="4" w:space="0" w:color="auto"/>
            </w:tcBorders>
            <w:noWrap/>
            <w:hideMark/>
          </w:tcPr>
          <w:p w14:paraId="68B801FF" w14:textId="77777777" w:rsidR="00053381" w:rsidRPr="003572B4" w:rsidRDefault="00053381" w:rsidP="00E2648D">
            <w:pPr>
              <w:pStyle w:val="TableHeading"/>
              <w:rPr>
                <w:b w:val="0"/>
              </w:rPr>
            </w:pPr>
            <w:r w:rsidRPr="003572B4">
              <w:rPr>
                <w:b w:val="0"/>
              </w:rPr>
              <w:t>Base case analysis</w:t>
            </w:r>
            <w:r>
              <w:rPr>
                <w:b w:val="0"/>
              </w:rPr>
              <w:t xml:space="preserve"> </w:t>
            </w:r>
          </w:p>
        </w:tc>
        <w:tc>
          <w:tcPr>
            <w:tcW w:w="629" w:type="pct"/>
            <w:gridSpan w:val="2"/>
            <w:tcBorders>
              <w:bottom w:val="single" w:sz="4" w:space="0" w:color="auto"/>
            </w:tcBorders>
            <w:noWrap/>
          </w:tcPr>
          <w:p w14:paraId="76318945" w14:textId="77777777" w:rsidR="00053381" w:rsidRPr="00436879" w:rsidRDefault="00053381" w:rsidP="00E2648D">
            <w:pPr>
              <w:pStyle w:val="TableHeading"/>
              <w:jc w:val="right"/>
              <w:rPr>
                <w:b w:val="0"/>
              </w:rPr>
            </w:pPr>
            <w:r w:rsidRPr="00436879">
              <w:rPr>
                <w:b w:val="0"/>
              </w:rPr>
              <w:t>$137,443</w:t>
            </w:r>
          </w:p>
        </w:tc>
        <w:tc>
          <w:tcPr>
            <w:tcW w:w="629" w:type="pct"/>
            <w:tcBorders>
              <w:bottom w:val="single" w:sz="4" w:space="0" w:color="auto"/>
            </w:tcBorders>
            <w:noWrap/>
          </w:tcPr>
          <w:p w14:paraId="656C2303" w14:textId="77777777" w:rsidR="00053381" w:rsidRPr="00436879" w:rsidRDefault="00053381" w:rsidP="00E2648D">
            <w:pPr>
              <w:pStyle w:val="TableHeading"/>
              <w:jc w:val="right"/>
              <w:rPr>
                <w:b w:val="0"/>
              </w:rPr>
            </w:pPr>
            <w:r w:rsidRPr="00436879">
              <w:rPr>
                <w:b w:val="0"/>
              </w:rPr>
              <w:t>1.1840</w:t>
            </w:r>
          </w:p>
        </w:tc>
        <w:tc>
          <w:tcPr>
            <w:tcW w:w="629" w:type="pct"/>
            <w:tcBorders>
              <w:bottom w:val="single" w:sz="4" w:space="0" w:color="auto"/>
            </w:tcBorders>
            <w:noWrap/>
          </w:tcPr>
          <w:p w14:paraId="0088092E" w14:textId="77777777" w:rsidR="00053381" w:rsidRPr="00436879" w:rsidRDefault="00053381" w:rsidP="00E2648D">
            <w:pPr>
              <w:pStyle w:val="TableHeading"/>
              <w:jc w:val="right"/>
              <w:rPr>
                <w:b w:val="0"/>
              </w:rPr>
            </w:pPr>
            <w:r w:rsidRPr="00436879">
              <w:rPr>
                <w:b w:val="0"/>
              </w:rPr>
              <w:t>$116,088</w:t>
            </w:r>
          </w:p>
        </w:tc>
        <w:tc>
          <w:tcPr>
            <w:tcW w:w="443" w:type="pct"/>
            <w:tcBorders>
              <w:bottom w:val="single" w:sz="4" w:space="0" w:color="auto"/>
            </w:tcBorders>
            <w:noWrap/>
            <w:hideMark/>
          </w:tcPr>
          <w:p w14:paraId="7DD4CA14" w14:textId="77777777" w:rsidR="00053381" w:rsidRPr="00436879" w:rsidRDefault="00053381" w:rsidP="00E2648D">
            <w:pPr>
              <w:pStyle w:val="TableHeading"/>
              <w:jc w:val="right"/>
              <w:rPr>
                <w:b w:val="0"/>
              </w:rPr>
            </w:pPr>
            <w:r w:rsidRPr="00436879">
              <w:rPr>
                <w:b w:val="0"/>
              </w:rPr>
              <w:t>-</w:t>
            </w:r>
          </w:p>
        </w:tc>
      </w:tr>
      <w:tr w:rsidR="00053381" w:rsidRPr="008B0DF4" w14:paraId="35F56574" w14:textId="77777777" w:rsidTr="00E2648D">
        <w:trPr>
          <w:trHeight w:val="300"/>
          <w:tblHeader/>
        </w:trPr>
        <w:tc>
          <w:tcPr>
            <w:tcW w:w="2670" w:type="pct"/>
            <w:tcBorders>
              <w:bottom w:val="single" w:sz="4" w:space="0" w:color="auto"/>
              <w:right w:val="nil"/>
            </w:tcBorders>
            <w:noWrap/>
          </w:tcPr>
          <w:p w14:paraId="67EF390E" w14:textId="77777777" w:rsidR="00053381" w:rsidRPr="0099589D" w:rsidRDefault="00053381" w:rsidP="00E2648D">
            <w:pPr>
              <w:pStyle w:val="TableHeading"/>
              <w:rPr>
                <w:b w:val="0"/>
                <w:i/>
              </w:rPr>
            </w:pPr>
            <w:r w:rsidRPr="0099589D">
              <w:rPr>
                <w:b w:val="0"/>
                <w:i/>
              </w:rPr>
              <w:t>Cost per gram of Ig (base case: $60.41</w:t>
            </w:r>
            <w:r>
              <w:rPr>
                <w:b w:val="0"/>
                <w:i/>
              </w:rPr>
              <w:t>/</w:t>
            </w:r>
            <w:r w:rsidRPr="0099589D">
              <w:rPr>
                <w:b w:val="0"/>
                <w:i/>
              </w:rPr>
              <w:t>g of Ig )</w:t>
            </w:r>
          </w:p>
        </w:tc>
        <w:tc>
          <w:tcPr>
            <w:tcW w:w="629" w:type="pct"/>
            <w:gridSpan w:val="2"/>
            <w:tcBorders>
              <w:left w:val="nil"/>
              <w:bottom w:val="single" w:sz="4" w:space="0" w:color="auto"/>
              <w:right w:val="nil"/>
            </w:tcBorders>
            <w:noWrap/>
          </w:tcPr>
          <w:p w14:paraId="5F6CB5C9" w14:textId="77777777" w:rsidR="00053381" w:rsidRPr="00436879" w:rsidRDefault="00053381" w:rsidP="00E2648D">
            <w:pPr>
              <w:pStyle w:val="TableHeading"/>
              <w:jc w:val="right"/>
              <w:rPr>
                <w:b w:val="0"/>
              </w:rPr>
            </w:pPr>
          </w:p>
        </w:tc>
        <w:tc>
          <w:tcPr>
            <w:tcW w:w="629" w:type="pct"/>
            <w:tcBorders>
              <w:left w:val="nil"/>
              <w:bottom w:val="single" w:sz="4" w:space="0" w:color="auto"/>
              <w:right w:val="nil"/>
            </w:tcBorders>
            <w:noWrap/>
          </w:tcPr>
          <w:p w14:paraId="6886C8D8" w14:textId="77777777" w:rsidR="00053381" w:rsidRPr="00436879" w:rsidRDefault="00053381" w:rsidP="00E2648D">
            <w:pPr>
              <w:pStyle w:val="TableHeading"/>
              <w:jc w:val="right"/>
              <w:rPr>
                <w:b w:val="0"/>
              </w:rPr>
            </w:pPr>
          </w:p>
        </w:tc>
        <w:tc>
          <w:tcPr>
            <w:tcW w:w="629" w:type="pct"/>
            <w:tcBorders>
              <w:left w:val="nil"/>
              <w:bottom w:val="single" w:sz="4" w:space="0" w:color="auto"/>
              <w:right w:val="nil"/>
            </w:tcBorders>
            <w:noWrap/>
          </w:tcPr>
          <w:p w14:paraId="15D3E4BB" w14:textId="77777777" w:rsidR="00053381" w:rsidRPr="00436879" w:rsidRDefault="00053381" w:rsidP="00E2648D">
            <w:pPr>
              <w:pStyle w:val="TableHeading"/>
              <w:jc w:val="right"/>
              <w:rPr>
                <w:b w:val="0"/>
              </w:rPr>
            </w:pPr>
          </w:p>
        </w:tc>
        <w:tc>
          <w:tcPr>
            <w:tcW w:w="443" w:type="pct"/>
            <w:tcBorders>
              <w:left w:val="nil"/>
              <w:bottom w:val="single" w:sz="4" w:space="0" w:color="auto"/>
            </w:tcBorders>
            <w:noWrap/>
          </w:tcPr>
          <w:p w14:paraId="7CFAA0BD" w14:textId="77777777" w:rsidR="00053381" w:rsidRPr="00436879" w:rsidRDefault="00053381" w:rsidP="00E2648D">
            <w:pPr>
              <w:pStyle w:val="TableHeading"/>
              <w:jc w:val="right"/>
              <w:rPr>
                <w:b w:val="0"/>
              </w:rPr>
            </w:pPr>
          </w:p>
        </w:tc>
      </w:tr>
      <w:tr w:rsidR="00053381" w:rsidRPr="00E86C72" w14:paraId="176D742F" w14:textId="77777777" w:rsidTr="00E2648D">
        <w:trPr>
          <w:trHeight w:val="300"/>
        </w:trPr>
        <w:tc>
          <w:tcPr>
            <w:tcW w:w="2670" w:type="pct"/>
            <w:tcBorders>
              <w:top w:val="nil"/>
              <w:bottom w:val="nil"/>
            </w:tcBorders>
            <w:noWrap/>
          </w:tcPr>
          <w:p w14:paraId="2241D11C" w14:textId="77777777" w:rsidR="00053381" w:rsidRPr="00E86C72" w:rsidRDefault="00053381" w:rsidP="00E2648D">
            <w:pPr>
              <w:pStyle w:val="Tabletext1"/>
              <w:ind w:left="284"/>
            </w:pPr>
            <w:r w:rsidRPr="006C63DA">
              <w:t>High cost (domestic IVIg, including cost of plasma), $140.18</w:t>
            </w:r>
            <w:r>
              <w:t>/g</w:t>
            </w:r>
          </w:p>
        </w:tc>
        <w:tc>
          <w:tcPr>
            <w:tcW w:w="629" w:type="pct"/>
            <w:gridSpan w:val="2"/>
            <w:tcBorders>
              <w:top w:val="nil"/>
              <w:bottom w:val="nil"/>
            </w:tcBorders>
            <w:noWrap/>
          </w:tcPr>
          <w:p w14:paraId="51FFDAF7" w14:textId="77777777" w:rsidR="00053381" w:rsidRPr="00E86C72" w:rsidRDefault="00053381" w:rsidP="00E2648D">
            <w:pPr>
              <w:pStyle w:val="Tabletext1"/>
              <w:jc w:val="right"/>
            </w:pPr>
            <w:r w:rsidRPr="006C63DA">
              <w:t>$310,795</w:t>
            </w:r>
          </w:p>
        </w:tc>
        <w:tc>
          <w:tcPr>
            <w:tcW w:w="629" w:type="pct"/>
            <w:tcBorders>
              <w:top w:val="nil"/>
              <w:bottom w:val="nil"/>
            </w:tcBorders>
            <w:noWrap/>
          </w:tcPr>
          <w:p w14:paraId="5F800D9F" w14:textId="77777777" w:rsidR="00053381" w:rsidRPr="00E86C72" w:rsidRDefault="00053381" w:rsidP="00E2648D">
            <w:pPr>
              <w:pStyle w:val="Tabletext1"/>
              <w:jc w:val="right"/>
            </w:pPr>
            <w:r w:rsidRPr="006C63DA">
              <w:t>1.1840</w:t>
            </w:r>
          </w:p>
        </w:tc>
        <w:tc>
          <w:tcPr>
            <w:tcW w:w="629" w:type="pct"/>
            <w:tcBorders>
              <w:top w:val="nil"/>
              <w:bottom w:val="nil"/>
            </w:tcBorders>
            <w:noWrap/>
          </w:tcPr>
          <w:p w14:paraId="4E976913" w14:textId="77777777" w:rsidR="00053381" w:rsidRPr="00E86C72" w:rsidRDefault="00053381" w:rsidP="00E2648D">
            <w:pPr>
              <w:pStyle w:val="Tabletext1"/>
              <w:jc w:val="right"/>
            </w:pPr>
            <w:r w:rsidRPr="006C63DA">
              <w:t>$262,505</w:t>
            </w:r>
          </w:p>
        </w:tc>
        <w:tc>
          <w:tcPr>
            <w:tcW w:w="443" w:type="pct"/>
            <w:tcBorders>
              <w:top w:val="nil"/>
              <w:bottom w:val="nil"/>
            </w:tcBorders>
            <w:noWrap/>
          </w:tcPr>
          <w:p w14:paraId="21A6CF5A" w14:textId="77777777" w:rsidR="00053381" w:rsidRPr="00E86C72" w:rsidRDefault="00053381" w:rsidP="00E2648D">
            <w:pPr>
              <w:pStyle w:val="Tabletext1"/>
              <w:jc w:val="right"/>
            </w:pPr>
            <w:r w:rsidRPr="006C63DA">
              <w:t>126%</w:t>
            </w:r>
          </w:p>
        </w:tc>
      </w:tr>
      <w:tr w:rsidR="00053381" w:rsidRPr="00E86C72" w14:paraId="0F5D9A59" w14:textId="77777777" w:rsidTr="00E2648D">
        <w:trPr>
          <w:trHeight w:val="300"/>
        </w:trPr>
        <w:tc>
          <w:tcPr>
            <w:tcW w:w="2670" w:type="pct"/>
            <w:tcBorders>
              <w:top w:val="nil"/>
              <w:bottom w:val="nil"/>
            </w:tcBorders>
            <w:noWrap/>
          </w:tcPr>
          <w:p w14:paraId="5D0EE34C" w14:textId="77777777" w:rsidR="00053381" w:rsidRPr="00E86C72" w:rsidRDefault="00053381" w:rsidP="00E2648D">
            <w:pPr>
              <w:pStyle w:val="Tabletext1"/>
              <w:ind w:left="284"/>
            </w:pPr>
            <w:r>
              <w:t>W</w:t>
            </w:r>
            <w:r w:rsidRPr="000C367F">
              <w:t>eighted average across all indications, $94.51</w:t>
            </w:r>
            <w:r>
              <w:t>/</w:t>
            </w:r>
            <w:r w:rsidRPr="000C367F">
              <w:t>g</w:t>
            </w:r>
          </w:p>
        </w:tc>
        <w:tc>
          <w:tcPr>
            <w:tcW w:w="629" w:type="pct"/>
            <w:gridSpan w:val="2"/>
            <w:tcBorders>
              <w:top w:val="nil"/>
              <w:bottom w:val="nil"/>
            </w:tcBorders>
            <w:noWrap/>
          </w:tcPr>
          <w:p w14:paraId="1F32CB9B" w14:textId="77777777" w:rsidR="00053381" w:rsidRPr="00E86C72" w:rsidRDefault="00053381" w:rsidP="00E2648D">
            <w:pPr>
              <w:pStyle w:val="Tabletext1"/>
              <w:jc w:val="right"/>
            </w:pPr>
            <w:r w:rsidRPr="000C367F">
              <w:t>$211,540</w:t>
            </w:r>
          </w:p>
        </w:tc>
        <w:tc>
          <w:tcPr>
            <w:tcW w:w="629" w:type="pct"/>
            <w:tcBorders>
              <w:top w:val="nil"/>
              <w:bottom w:val="nil"/>
            </w:tcBorders>
            <w:noWrap/>
          </w:tcPr>
          <w:p w14:paraId="7AB9A97C" w14:textId="77777777" w:rsidR="00053381" w:rsidRPr="00E86C72" w:rsidRDefault="00053381" w:rsidP="00E2648D">
            <w:pPr>
              <w:pStyle w:val="Tabletext1"/>
              <w:jc w:val="right"/>
            </w:pPr>
            <w:r w:rsidRPr="000C367F">
              <w:t>1.1840</w:t>
            </w:r>
          </w:p>
        </w:tc>
        <w:tc>
          <w:tcPr>
            <w:tcW w:w="629" w:type="pct"/>
            <w:tcBorders>
              <w:top w:val="nil"/>
              <w:bottom w:val="nil"/>
            </w:tcBorders>
            <w:noWrap/>
          </w:tcPr>
          <w:p w14:paraId="3FA7F262" w14:textId="77777777" w:rsidR="00053381" w:rsidRPr="00E86C72" w:rsidRDefault="00053381" w:rsidP="00E2648D">
            <w:pPr>
              <w:pStyle w:val="Tabletext1"/>
              <w:jc w:val="right"/>
            </w:pPr>
            <w:r w:rsidRPr="000C367F">
              <w:t>$178,672</w:t>
            </w:r>
          </w:p>
        </w:tc>
        <w:tc>
          <w:tcPr>
            <w:tcW w:w="443" w:type="pct"/>
            <w:tcBorders>
              <w:top w:val="nil"/>
              <w:bottom w:val="nil"/>
            </w:tcBorders>
            <w:noWrap/>
          </w:tcPr>
          <w:p w14:paraId="290A68A7" w14:textId="77777777" w:rsidR="00053381" w:rsidRPr="00E86C72" w:rsidRDefault="00053381" w:rsidP="00E2648D">
            <w:pPr>
              <w:pStyle w:val="Tabletext1"/>
              <w:jc w:val="right"/>
            </w:pPr>
            <w:r w:rsidRPr="000C367F">
              <w:t>54%</w:t>
            </w:r>
          </w:p>
        </w:tc>
      </w:tr>
      <w:tr w:rsidR="00053381" w:rsidRPr="00E86C72" w14:paraId="0A1A3FD4" w14:textId="77777777" w:rsidTr="00E2648D">
        <w:trPr>
          <w:trHeight w:val="300"/>
        </w:trPr>
        <w:tc>
          <w:tcPr>
            <w:tcW w:w="3063" w:type="pct"/>
            <w:gridSpan w:val="2"/>
            <w:tcBorders>
              <w:bottom w:val="single" w:sz="4" w:space="0" w:color="auto"/>
              <w:right w:val="nil"/>
            </w:tcBorders>
            <w:noWrap/>
          </w:tcPr>
          <w:p w14:paraId="14F70D58" w14:textId="77777777" w:rsidR="00053381" w:rsidRPr="0099589D" w:rsidRDefault="00053381" w:rsidP="00E2648D">
            <w:pPr>
              <w:pStyle w:val="Tabletext1"/>
              <w:rPr>
                <w:i/>
              </w:rPr>
            </w:pPr>
            <w:r w:rsidRPr="0099589D">
              <w:rPr>
                <w:i/>
              </w:rPr>
              <w:t>Maintenance IVIg dose per treatment course (base case: 0.7 g/kg)</w:t>
            </w:r>
          </w:p>
        </w:tc>
        <w:tc>
          <w:tcPr>
            <w:tcW w:w="236" w:type="pct"/>
            <w:tcBorders>
              <w:left w:val="nil"/>
              <w:bottom w:val="single" w:sz="4" w:space="0" w:color="auto"/>
              <w:right w:val="nil"/>
            </w:tcBorders>
            <w:noWrap/>
          </w:tcPr>
          <w:p w14:paraId="64C7A79B" w14:textId="77777777" w:rsidR="00053381" w:rsidRPr="00E86C72" w:rsidRDefault="00053381" w:rsidP="00E2648D">
            <w:pPr>
              <w:pStyle w:val="Tabletext1"/>
              <w:jc w:val="right"/>
            </w:pPr>
          </w:p>
        </w:tc>
        <w:tc>
          <w:tcPr>
            <w:tcW w:w="629" w:type="pct"/>
            <w:tcBorders>
              <w:left w:val="nil"/>
              <w:bottom w:val="single" w:sz="4" w:space="0" w:color="auto"/>
              <w:right w:val="nil"/>
            </w:tcBorders>
            <w:noWrap/>
          </w:tcPr>
          <w:p w14:paraId="5A75DFD1" w14:textId="77777777" w:rsidR="00053381" w:rsidRPr="00E86C72" w:rsidRDefault="00053381" w:rsidP="00E2648D">
            <w:pPr>
              <w:pStyle w:val="Tabletext1"/>
              <w:jc w:val="right"/>
            </w:pPr>
          </w:p>
        </w:tc>
        <w:tc>
          <w:tcPr>
            <w:tcW w:w="629" w:type="pct"/>
            <w:tcBorders>
              <w:left w:val="nil"/>
              <w:bottom w:val="single" w:sz="4" w:space="0" w:color="auto"/>
              <w:right w:val="nil"/>
            </w:tcBorders>
            <w:noWrap/>
          </w:tcPr>
          <w:p w14:paraId="77182E16" w14:textId="77777777" w:rsidR="00053381" w:rsidRPr="00E86C72" w:rsidRDefault="00053381" w:rsidP="00E2648D">
            <w:pPr>
              <w:pStyle w:val="Tabletext1"/>
              <w:jc w:val="right"/>
            </w:pPr>
          </w:p>
        </w:tc>
        <w:tc>
          <w:tcPr>
            <w:tcW w:w="443" w:type="pct"/>
            <w:tcBorders>
              <w:left w:val="nil"/>
              <w:bottom w:val="single" w:sz="4" w:space="0" w:color="auto"/>
            </w:tcBorders>
            <w:noWrap/>
          </w:tcPr>
          <w:p w14:paraId="75AD0809" w14:textId="77777777" w:rsidR="00053381" w:rsidRPr="00E86C72" w:rsidRDefault="00053381" w:rsidP="00E2648D">
            <w:pPr>
              <w:pStyle w:val="Tabletext1"/>
              <w:jc w:val="right"/>
            </w:pPr>
          </w:p>
        </w:tc>
      </w:tr>
      <w:tr w:rsidR="00053381" w:rsidRPr="00E86C72" w14:paraId="22107C93" w14:textId="77777777" w:rsidTr="00E2648D">
        <w:trPr>
          <w:trHeight w:val="300"/>
        </w:trPr>
        <w:tc>
          <w:tcPr>
            <w:tcW w:w="2670" w:type="pct"/>
            <w:tcBorders>
              <w:top w:val="nil"/>
              <w:bottom w:val="nil"/>
            </w:tcBorders>
            <w:noWrap/>
          </w:tcPr>
          <w:p w14:paraId="2C0F538D" w14:textId="77777777" w:rsidR="00053381" w:rsidRPr="00E86C72" w:rsidRDefault="00053381" w:rsidP="00E2648D">
            <w:pPr>
              <w:pStyle w:val="Tabletext1"/>
            </w:pPr>
            <w:r>
              <w:t xml:space="preserve">     </w:t>
            </w:r>
            <w:r w:rsidRPr="00036F96">
              <w:t>0.4 g/kg</w:t>
            </w:r>
          </w:p>
        </w:tc>
        <w:tc>
          <w:tcPr>
            <w:tcW w:w="629" w:type="pct"/>
            <w:gridSpan w:val="2"/>
            <w:tcBorders>
              <w:top w:val="nil"/>
              <w:bottom w:val="nil"/>
            </w:tcBorders>
            <w:noWrap/>
          </w:tcPr>
          <w:p w14:paraId="63051027" w14:textId="77777777" w:rsidR="00053381" w:rsidRPr="00E86C72" w:rsidRDefault="00053381" w:rsidP="00E2648D">
            <w:pPr>
              <w:pStyle w:val="Tabletext1"/>
              <w:jc w:val="right"/>
            </w:pPr>
            <w:r w:rsidRPr="00036F96">
              <w:t>$87,628</w:t>
            </w:r>
          </w:p>
        </w:tc>
        <w:tc>
          <w:tcPr>
            <w:tcW w:w="629" w:type="pct"/>
            <w:tcBorders>
              <w:top w:val="nil"/>
              <w:bottom w:val="nil"/>
            </w:tcBorders>
            <w:noWrap/>
          </w:tcPr>
          <w:p w14:paraId="54499064" w14:textId="77777777" w:rsidR="00053381" w:rsidRPr="00E86C72" w:rsidRDefault="00053381" w:rsidP="00E2648D">
            <w:pPr>
              <w:pStyle w:val="Tabletext1"/>
              <w:jc w:val="right"/>
            </w:pPr>
            <w:r w:rsidRPr="00036F96">
              <w:t>1.1840</w:t>
            </w:r>
          </w:p>
        </w:tc>
        <w:tc>
          <w:tcPr>
            <w:tcW w:w="629" w:type="pct"/>
            <w:tcBorders>
              <w:top w:val="nil"/>
              <w:bottom w:val="nil"/>
            </w:tcBorders>
            <w:noWrap/>
          </w:tcPr>
          <w:p w14:paraId="25353F92" w14:textId="77777777" w:rsidR="00053381" w:rsidRPr="00E86C72" w:rsidRDefault="00053381" w:rsidP="00E2648D">
            <w:pPr>
              <w:pStyle w:val="Tabletext1"/>
              <w:jc w:val="right"/>
            </w:pPr>
            <w:r w:rsidRPr="00036F96">
              <w:t>$74,013</w:t>
            </w:r>
          </w:p>
        </w:tc>
        <w:tc>
          <w:tcPr>
            <w:tcW w:w="443" w:type="pct"/>
            <w:tcBorders>
              <w:top w:val="nil"/>
              <w:bottom w:val="nil"/>
            </w:tcBorders>
            <w:noWrap/>
          </w:tcPr>
          <w:p w14:paraId="06D48575" w14:textId="77777777" w:rsidR="00053381" w:rsidRPr="00E86C72" w:rsidRDefault="00053381" w:rsidP="00E2648D">
            <w:pPr>
              <w:pStyle w:val="Tabletext1"/>
              <w:jc w:val="right"/>
            </w:pPr>
            <w:r w:rsidRPr="00036F96">
              <w:t>-36%</w:t>
            </w:r>
          </w:p>
        </w:tc>
      </w:tr>
      <w:tr w:rsidR="00053381" w:rsidRPr="00E86C72" w14:paraId="703BFB56" w14:textId="77777777" w:rsidTr="00E2648D">
        <w:trPr>
          <w:trHeight w:val="300"/>
        </w:trPr>
        <w:tc>
          <w:tcPr>
            <w:tcW w:w="2670" w:type="pct"/>
            <w:tcBorders>
              <w:top w:val="nil"/>
              <w:bottom w:val="nil"/>
            </w:tcBorders>
            <w:noWrap/>
          </w:tcPr>
          <w:p w14:paraId="6D87C72D" w14:textId="77777777" w:rsidR="00053381" w:rsidRPr="00E86C72" w:rsidRDefault="00053381" w:rsidP="00E2648D">
            <w:pPr>
              <w:pStyle w:val="Tabletext1"/>
            </w:pPr>
            <w:r>
              <w:t xml:space="preserve">     </w:t>
            </w:r>
            <w:r w:rsidRPr="00036F96">
              <w:t>1.0 g/kg</w:t>
            </w:r>
          </w:p>
        </w:tc>
        <w:tc>
          <w:tcPr>
            <w:tcW w:w="629" w:type="pct"/>
            <w:gridSpan w:val="2"/>
            <w:tcBorders>
              <w:top w:val="nil"/>
              <w:bottom w:val="nil"/>
            </w:tcBorders>
            <w:noWrap/>
          </w:tcPr>
          <w:p w14:paraId="0CF0F6E5" w14:textId="77777777" w:rsidR="00053381" w:rsidRPr="00E86C72" w:rsidRDefault="00053381" w:rsidP="00E2648D">
            <w:pPr>
              <w:pStyle w:val="Tabletext1"/>
              <w:jc w:val="right"/>
            </w:pPr>
            <w:r w:rsidRPr="00036F96">
              <w:t>$187,259</w:t>
            </w:r>
          </w:p>
        </w:tc>
        <w:tc>
          <w:tcPr>
            <w:tcW w:w="629" w:type="pct"/>
            <w:tcBorders>
              <w:top w:val="nil"/>
              <w:bottom w:val="nil"/>
            </w:tcBorders>
            <w:noWrap/>
          </w:tcPr>
          <w:p w14:paraId="133C7840" w14:textId="77777777" w:rsidR="00053381" w:rsidRPr="00E86C72" w:rsidRDefault="00053381" w:rsidP="00E2648D">
            <w:pPr>
              <w:pStyle w:val="Tabletext1"/>
              <w:jc w:val="right"/>
            </w:pPr>
            <w:r w:rsidRPr="00036F96">
              <w:t>1.1840</w:t>
            </w:r>
          </w:p>
        </w:tc>
        <w:tc>
          <w:tcPr>
            <w:tcW w:w="629" w:type="pct"/>
            <w:tcBorders>
              <w:top w:val="nil"/>
              <w:bottom w:val="nil"/>
            </w:tcBorders>
            <w:noWrap/>
          </w:tcPr>
          <w:p w14:paraId="11DDE68D" w14:textId="77777777" w:rsidR="00053381" w:rsidRPr="00E86C72" w:rsidRDefault="00053381" w:rsidP="00E2648D">
            <w:pPr>
              <w:pStyle w:val="Tabletext1"/>
              <w:jc w:val="right"/>
            </w:pPr>
            <w:r w:rsidRPr="00036F96">
              <w:t>$158,163</w:t>
            </w:r>
          </w:p>
        </w:tc>
        <w:tc>
          <w:tcPr>
            <w:tcW w:w="443" w:type="pct"/>
            <w:tcBorders>
              <w:top w:val="nil"/>
              <w:bottom w:val="nil"/>
            </w:tcBorders>
            <w:noWrap/>
          </w:tcPr>
          <w:p w14:paraId="08E264A6" w14:textId="77777777" w:rsidR="00053381" w:rsidRPr="00E86C72" w:rsidRDefault="00053381" w:rsidP="00E2648D">
            <w:pPr>
              <w:pStyle w:val="Tabletext1"/>
              <w:jc w:val="right"/>
            </w:pPr>
            <w:r w:rsidRPr="00036F96">
              <w:t>36%</w:t>
            </w:r>
          </w:p>
        </w:tc>
      </w:tr>
      <w:tr w:rsidR="00053381" w:rsidRPr="00E86C72" w14:paraId="72FE2671" w14:textId="77777777" w:rsidTr="00E2648D">
        <w:trPr>
          <w:trHeight w:val="300"/>
        </w:trPr>
        <w:tc>
          <w:tcPr>
            <w:tcW w:w="5000" w:type="pct"/>
            <w:gridSpan w:val="6"/>
            <w:tcBorders>
              <w:bottom w:val="single" w:sz="4" w:space="0" w:color="auto"/>
            </w:tcBorders>
            <w:noWrap/>
          </w:tcPr>
          <w:p w14:paraId="4825F393" w14:textId="77777777" w:rsidR="00053381" w:rsidRPr="00E86C72" w:rsidRDefault="00053381" w:rsidP="00E2648D">
            <w:pPr>
              <w:pStyle w:val="Tabletext1"/>
            </w:pPr>
            <w:r>
              <w:rPr>
                <w:i/>
              </w:rPr>
              <w:t>Transition from ‘</w:t>
            </w:r>
            <w:r w:rsidRPr="0099589D">
              <w:rPr>
                <w:i/>
              </w:rPr>
              <w:t>in remission</w:t>
            </w:r>
            <w:r>
              <w:rPr>
                <w:i/>
              </w:rPr>
              <w:t>’</w:t>
            </w:r>
            <w:r w:rsidRPr="0099589D">
              <w:rPr>
                <w:i/>
              </w:rPr>
              <w:t xml:space="preserve"> health state</w:t>
            </w:r>
            <w:r>
              <w:rPr>
                <w:i/>
              </w:rPr>
              <w:t xml:space="preserve"> to treatment health states</w:t>
            </w:r>
            <w:r w:rsidRPr="0099589D">
              <w:rPr>
                <w:i/>
              </w:rPr>
              <w:t xml:space="preserve"> </w:t>
            </w:r>
            <w:r>
              <w:rPr>
                <w:i/>
              </w:rPr>
              <w:t xml:space="preserve">in Ig arm </w:t>
            </w:r>
            <w:r w:rsidRPr="0099589D">
              <w:rPr>
                <w:i/>
              </w:rPr>
              <w:t>(base case: 3.8%)</w:t>
            </w:r>
          </w:p>
        </w:tc>
      </w:tr>
      <w:tr w:rsidR="00053381" w:rsidRPr="00E86C72" w14:paraId="3ADD0155" w14:textId="77777777" w:rsidTr="00E2648D">
        <w:trPr>
          <w:trHeight w:val="300"/>
        </w:trPr>
        <w:tc>
          <w:tcPr>
            <w:tcW w:w="2670" w:type="pct"/>
            <w:tcBorders>
              <w:top w:val="nil"/>
              <w:bottom w:val="nil"/>
            </w:tcBorders>
            <w:noWrap/>
          </w:tcPr>
          <w:p w14:paraId="1B15A74D" w14:textId="77777777" w:rsidR="00053381" w:rsidRPr="00E86C72" w:rsidRDefault="00053381" w:rsidP="00E2648D">
            <w:pPr>
              <w:pStyle w:val="Tabletext1"/>
            </w:pPr>
            <w:r>
              <w:t xml:space="preserve">     </w:t>
            </w:r>
            <w:r w:rsidRPr="001C007A">
              <w:t>1.50%</w:t>
            </w:r>
          </w:p>
        </w:tc>
        <w:tc>
          <w:tcPr>
            <w:tcW w:w="629" w:type="pct"/>
            <w:gridSpan w:val="2"/>
            <w:tcBorders>
              <w:top w:val="nil"/>
              <w:bottom w:val="nil"/>
            </w:tcBorders>
            <w:noWrap/>
          </w:tcPr>
          <w:p w14:paraId="28BFFE54" w14:textId="77777777" w:rsidR="00053381" w:rsidRPr="00E86C72" w:rsidRDefault="00053381" w:rsidP="00E2648D">
            <w:pPr>
              <w:pStyle w:val="Tabletext1"/>
              <w:jc w:val="right"/>
            </w:pPr>
            <w:r w:rsidRPr="001C007A">
              <w:t>$91,384</w:t>
            </w:r>
          </w:p>
        </w:tc>
        <w:tc>
          <w:tcPr>
            <w:tcW w:w="629" w:type="pct"/>
            <w:tcBorders>
              <w:top w:val="nil"/>
              <w:bottom w:val="nil"/>
            </w:tcBorders>
            <w:noWrap/>
          </w:tcPr>
          <w:p w14:paraId="688CAFAF" w14:textId="77777777" w:rsidR="00053381" w:rsidRPr="00E86C72" w:rsidRDefault="00053381" w:rsidP="00E2648D">
            <w:pPr>
              <w:pStyle w:val="Tabletext1"/>
              <w:jc w:val="right"/>
            </w:pPr>
            <w:r w:rsidRPr="001C007A">
              <w:t>1.3294</w:t>
            </w:r>
          </w:p>
        </w:tc>
        <w:tc>
          <w:tcPr>
            <w:tcW w:w="629" w:type="pct"/>
            <w:tcBorders>
              <w:top w:val="nil"/>
              <w:bottom w:val="nil"/>
            </w:tcBorders>
            <w:noWrap/>
          </w:tcPr>
          <w:p w14:paraId="783CBE3D" w14:textId="77777777" w:rsidR="00053381" w:rsidRPr="00E86C72" w:rsidRDefault="00053381" w:rsidP="00E2648D">
            <w:pPr>
              <w:pStyle w:val="Tabletext1"/>
              <w:jc w:val="right"/>
            </w:pPr>
            <w:r w:rsidRPr="001C007A">
              <w:t>$68,740</w:t>
            </w:r>
          </w:p>
        </w:tc>
        <w:tc>
          <w:tcPr>
            <w:tcW w:w="443" w:type="pct"/>
            <w:tcBorders>
              <w:top w:val="nil"/>
              <w:bottom w:val="nil"/>
            </w:tcBorders>
            <w:noWrap/>
          </w:tcPr>
          <w:p w14:paraId="4D5B190E" w14:textId="77777777" w:rsidR="00053381" w:rsidRPr="00E86C72" w:rsidRDefault="00053381" w:rsidP="00E2648D">
            <w:pPr>
              <w:pStyle w:val="Tabletext1"/>
              <w:jc w:val="right"/>
            </w:pPr>
            <w:r w:rsidRPr="001C007A">
              <w:t>-41%</w:t>
            </w:r>
          </w:p>
        </w:tc>
      </w:tr>
      <w:tr w:rsidR="00053381" w:rsidRPr="00E86C72" w14:paraId="5ED85893" w14:textId="77777777" w:rsidTr="00E2648D">
        <w:trPr>
          <w:trHeight w:val="300"/>
        </w:trPr>
        <w:tc>
          <w:tcPr>
            <w:tcW w:w="5000" w:type="pct"/>
            <w:gridSpan w:val="6"/>
            <w:tcBorders>
              <w:bottom w:val="single" w:sz="4" w:space="0" w:color="auto"/>
            </w:tcBorders>
            <w:noWrap/>
          </w:tcPr>
          <w:p w14:paraId="4B88EC26" w14:textId="77777777" w:rsidR="00053381" w:rsidRPr="00E86C72" w:rsidRDefault="00053381" w:rsidP="00E2648D">
            <w:pPr>
              <w:pStyle w:val="Tabletext1"/>
            </w:pPr>
            <w:r>
              <w:rPr>
                <w:i/>
              </w:rPr>
              <w:t xml:space="preserve">Transition from treatment health states to ‘in remission’ </w:t>
            </w:r>
            <w:r w:rsidRPr="00EA2155">
              <w:rPr>
                <w:i/>
              </w:rPr>
              <w:t>health state</w:t>
            </w:r>
            <w:r w:rsidRPr="008613A3">
              <w:t xml:space="preserve"> </w:t>
            </w:r>
            <w:r w:rsidRPr="00EA2155">
              <w:rPr>
                <w:i/>
              </w:rPr>
              <w:t>(base case: 5.3%)</w:t>
            </w:r>
          </w:p>
        </w:tc>
      </w:tr>
      <w:tr w:rsidR="00053381" w:rsidRPr="00E86C72" w14:paraId="09A53291" w14:textId="77777777" w:rsidTr="00E2648D">
        <w:trPr>
          <w:trHeight w:val="300"/>
        </w:trPr>
        <w:tc>
          <w:tcPr>
            <w:tcW w:w="2670" w:type="pct"/>
            <w:tcBorders>
              <w:bottom w:val="nil"/>
            </w:tcBorders>
            <w:noWrap/>
          </w:tcPr>
          <w:p w14:paraId="2CCAF963" w14:textId="77777777" w:rsidR="00053381" w:rsidRPr="00E86C72" w:rsidRDefault="00053381" w:rsidP="00E2648D">
            <w:pPr>
              <w:pStyle w:val="Tabletext1"/>
            </w:pPr>
            <w:r>
              <w:t xml:space="preserve">     </w:t>
            </w:r>
            <w:r w:rsidRPr="008613A3">
              <w:t>0.57%</w:t>
            </w:r>
          </w:p>
        </w:tc>
        <w:tc>
          <w:tcPr>
            <w:tcW w:w="629" w:type="pct"/>
            <w:gridSpan w:val="2"/>
            <w:tcBorders>
              <w:bottom w:val="nil"/>
            </w:tcBorders>
            <w:noWrap/>
          </w:tcPr>
          <w:p w14:paraId="01CE19B8" w14:textId="77777777" w:rsidR="00053381" w:rsidRPr="00E86C72" w:rsidRDefault="00053381" w:rsidP="00E2648D">
            <w:pPr>
              <w:pStyle w:val="Tabletext1"/>
              <w:jc w:val="right"/>
            </w:pPr>
            <w:r w:rsidRPr="008613A3">
              <w:t>$276,595</w:t>
            </w:r>
          </w:p>
        </w:tc>
        <w:tc>
          <w:tcPr>
            <w:tcW w:w="629" w:type="pct"/>
            <w:tcBorders>
              <w:bottom w:val="nil"/>
            </w:tcBorders>
            <w:noWrap/>
          </w:tcPr>
          <w:p w14:paraId="5ABD57A6" w14:textId="77777777" w:rsidR="00053381" w:rsidRPr="00E86C72" w:rsidRDefault="00053381" w:rsidP="00E2648D">
            <w:pPr>
              <w:pStyle w:val="Tabletext1"/>
              <w:jc w:val="right"/>
            </w:pPr>
            <w:r w:rsidRPr="008613A3">
              <w:t>1.0566</w:t>
            </w:r>
          </w:p>
        </w:tc>
        <w:tc>
          <w:tcPr>
            <w:tcW w:w="629" w:type="pct"/>
            <w:tcBorders>
              <w:bottom w:val="nil"/>
            </w:tcBorders>
            <w:noWrap/>
          </w:tcPr>
          <w:p w14:paraId="2CD850CD" w14:textId="77777777" w:rsidR="00053381" w:rsidRPr="00E86C72" w:rsidRDefault="00053381" w:rsidP="00E2648D">
            <w:pPr>
              <w:pStyle w:val="Tabletext1"/>
              <w:jc w:val="right"/>
            </w:pPr>
            <w:r w:rsidRPr="008613A3">
              <w:t>$261,775</w:t>
            </w:r>
          </w:p>
        </w:tc>
        <w:tc>
          <w:tcPr>
            <w:tcW w:w="443" w:type="pct"/>
            <w:tcBorders>
              <w:bottom w:val="nil"/>
            </w:tcBorders>
            <w:noWrap/>
          </w:tcPr>
          <w:p w14:paraId="01A09C9F" w14:textId="77777777" w:rsidR="00053381" w:rsidRPr="00E86C72" w:rsidRDefault="00053381" w:rsidP="00E2648D">
            <w:pPr>
              <w:pStyle w:val="Tabletext1"/>
              <w:jc w:val="right"/>
            </w:pPr>
            <w:r w:rsidRPr="008613A3">
              <w:t>125%</w:t>
            </w:r>
          </w:p>
        </w:tc>
      </w:tr>
      <w:tr w:rsidR="00053381" w:rsidRPr="00F70D40" w14:paraId="6E212FE5" w14:textId="77777777" w:rsidTr="00E2648D">
        <w:trPr>
          <w:trHeight w:val="300"/>
        </w:trPr>
        <w:tc>
          <w:tcPr>
            <w:tcW w:w="2670" w:type="pct"/>
            <w:tcBorders>
              <w:top w:val="single" w:sz="4" w:space="0" w:color="auto"/>
              <w:bottom w:val="single" w:sz="4" w:space="0" w:color="auto"/>
              <w:right w:val="nil"/>
            </w:tcBorders>
            <w:noWrap/>
          </w:tcPr>
          <w:p w14:paraId="21919E00" w14:textId="77777777" w:rsidR="00053381" w:rsidRPr="00F70D40" w:rsidRDefault="00053381" w:rsidP="00E2648D">
            <w:pPr>
              <w:pStyle w:val="Tabletext1"/>
            </w:pPr>
            <w:r w:rsidRPr="00FD42CD">
              <w:t>Weaning off trial for Ig</w:t>
            </w:r>
          </w:p>
        </w:tc>
        <w:tc>
          <w:tcPr>
            <w:tcW w:w="629" w:type="pct"/>
            <w:gridSpan w:val="2"/>
            <w:tcBorders>
              <w:top w:val="single" w:sz="4" w:space="0" w:color="auto"/>
              <w:left w:val="nil"/>
              <w:bottom w:val="single" w:sz="4" w:space="0" w:color="auto"/>
              <w:right w:val="nil"/>
            </w:tcBorders>
            <w:noWrap/>
          </w:tcPr>
          <w:p w14:paraId="6A672340" w14:textId="77777777" w:rsidR="00053381" w:rsidRPr="00F70D40" w:rsidRDefault="00053381" w:rsidP="00E2648D">
            <w:pPr>
              <w:pStyle w:val="Tabletext1"/>
              <w:jc w:val="right"/>
            </w:pPr>
          </w:p>
        </w:tc>
        <w:tc>
          <w:tcPr>
            <w:tcW w:w="629" w:type="pct"/>
            <w:tcBorders>
              <w:top w:val="single" w:sz="4" w:space="0" w:color="auto"/>
              <w:left w:val="nil"/>
              <w:bottom w:val="single" w:sz="4" w:space="0" w:color="auto"/>
              <w:right w:val="nil"/>
            </w:tcBorders>
            <w:noWrap/>
          </w:tcPr>
          <w:p w14:paraId="11C04E1E" w14:textId="77777777" w:rsidR="00053381" w:rsidRPr="00F70D40" w:rsidRDefault="00053381" w:rsidP="00E2648D">
            <w:pPr>
              <w:pStyle w:val="Tabletext1"/>
              <w:jc w:val="right"/>
            </w:pPr>
          </w:p>
        </w:tc>
        <w:tc>
          <w:tcPr>
            <w:tcW w:w="629" w:type="pct"/>
            <w:tcBorders>
              <w:top w:val="single" w:sz="4" w:space="0" w:color="auto"/>
              <w:left w:val="nil"/>
              <w:bottom w:val="single" w:sz="4" w:space="0" w:color="auto"/>
              <w:right w:val="nil"/>
            </w:tcBorders>
            <w:noWrap/>
          </w:tcPr>
          <w:p w14:paraId="19819A6F" w14:textId="77777777" w:rsidR="00053381" w:rsidRPr="00F70D40" w:rsidRDefault="00053381" w:rsidP="00E2648D">
            <w:pPr>
              <w:pStyle w:val="Tabletext1"/>
              <w:jc w:val="right"/>
            </w:pPr>
          </w:p>
        </w:tc>
        <w:tc>
          <w:tcPr>
            <w:tcW w:w="443" w:type="pct"/>
            <w:tcBorders>
              <w:top w:val="single" w:sz="4" w:space="0" w:color="auto"/>
              <w:left w:val="nil"/>
              <w:bottom w:val="single" w:sz="4" w:space="0" w:color="auto"/>
            </w:tcBorders>
            <w:noWrap/>
          </w:tcPr>
          <w:p w14:paraId="1C0E5D62" w14:textId="77777777" w:rsidR="00053381" w:rsidRPr="00F70D40" w:rsidRDefault="00053381" w:rsidP="00E2648D">
            <w:pPr>
              <w:pStyle w:val="Tabletext1"/>
              <w:jc w:val="right"/>
            </w:pPr>
          </w:p>
        </w:tc>
      </w:tr>
      <w:tr w:rsidR="00053381" w:rsidRPr="00E86C72" w14:paraId="4307B572" w14:textId="77777777" w:rsidTr="00E2648D">
        <w:trPr>
          <w:trHeight w:val="300"/>
        </w:trPr>
        <w:tc>
          <w:tcPr>
            <w:tcW w:w="2670" w:type="pct"/>
            <w:tcBorders>
              <w:top w:val="nil"/>
              <w:bottom w:val="nil"/>
            </w:tcBorders>
            <w:noWrap/>
          </w:tcPr>
          <w:p w14:paraId="0A376658" w14:textId="77777777" w:rsidR="00053381" w:rsidRPr="00E86C72" w:rsidRDefault="00053381" w:rsidP="00E2648D">
            <w:pPr>
              <w:pStyle w:val="Tabletext1"/>
              <w:ind w:left="284"/>
            </w:pPr>
            <w:r w:rsidRPr="00FD42CD">
              <w:t>Starting dose in maintenance phase- 1g/kg, then applying 20% dose reduction for 5 cycles</w:t>
            </w:r>
          </w:p>
        </w:tc>
        <w:tc>
          <w:tcPr>
            <w:tcW w:w="629" w:type="pct"/>
            <w:gridSpan w:val="2"/>
            <w:tcBorders>
              <w:top w:val="nil"/>
              <w:bottom w:val="nil"/>
            </w:tcBorders>
            <w:noWrap/>
          </w:tcPr>
          <w:p w14:paraId="0A5E0514" w14:textId="77777777" w:rsidR="00053381" w:rsidRPr="00E86C72" w:rsidRDefault="00053381" w:rsidP="00E2648D">
            <w:pPr>
              <w:pStyle w:val="Tabletext1"/>
              <w:jc w:val="right"/>
            </w:pPr>
            <w:r w:rsidRPr="00490223">
              <w:t>$100,559</w:t>
            </w:r>
          </w:p>
        </w:tc>
        <w:tc>
          <w:tcPr>
            <w:tcW w:w="629" w:type="pct"/>
            <w:tcBorders>
              <w:top w:val="nil"/>
              <w:bottom w:val="nil"/>
            </w:tcBorders>
            <w:noWrap/>
          </w:tcPr>
          <w:p w14:paraId="53F59234" w14:textId="77777777" w:rsidR="00053381" w:rsidRPr="00E86C72" w:rsidRDefault="00053381" w:rsidP="00E2648D">
            <w:pPr>
              <w:pStyle w:val="Tabletext1"/>
              <w:jc w:val="right"/>
            </w:pPr>
            <w:r w:rsidRPr="00490223">
              <w:t>1.1840</w:t>
            </w:r>
          </w:p>
        </w:tc>
        <w:tc>
          <w:tcPr>
            <w:tcW w:w="629" w:type="pct"/>
            <w:tcBorders>
              <w:top w:val="nil"/>
              <w:bottom w:val="nil"/>
            </w:tcBorders>
            <w:noWrap/>
          </w:tcPr>
          <w:p w14:paraId="0EF6A8BD" w14:textId="77777777" w:rsidR="00053381" w:rsidRPr="00E86C72" w:rsidRDefault="00053381" w:rsidP="00E2648D">
            <w:pPr>
              <w:pStyle w:val="Tabletext1"/>
              <w:jc w:val="right"/>
            </w:pPr>
            <w:r w:rsidRPr="00490223">
              <w:t>$84,934</w:t>
            </w:r>
          </w:p>
        </w:tc>
        <w:tc>
          <w:tcPr>
            <w:tcW w:w="443" w:type="pct"/>
            <w:tcBorders>
              <w:top w:val="nil"/>
              <w:bottom w:val="nil"/>
            </w:tcBorders>
            <w:noWrap/>
          </w:tcPr>
          <w:p w14:paraId="27B417F4" w14:textId="77777777" w:rsidR="00053381" w:rsidRPr="00E86C72" w:rsidRDefault="00053381" w:rsidP="00E2648D">
            <w:pPr>
              <w:pStyle w:val="Tabletext1"/>
              <w:jc w:val="right"/>
            </w:pPr>
            <w:r w:rsidRPr="00490223">
              <w:t>-27%</w:t>
            </w:r>
          </w:p>
        </w:tc>
      </w:tr>
      <w:tr w:rsidR="00053381" w:rsidRPr="00E86C72" w14:paraId="419A8013" w14:textId="77777777" w:rsidTr="00E2648D">
        <w:trPr>
          <w:trHeight w:val="300"/>
        </w:trPr>
        <w:tc>
          <w:tcPr>
            <w:tcW w:w="2670" w:type="pct"/>
            <w:tcBorders>
              <w:bottom w:val="single" w:sz="4" w:space="0" w:color="auto"/>
              <w:right w:val="nil"/>
            </w:tcBorders>
            <w:noWrap/>
          </w:tcPr>
          <w:p w14:paraId="19C8AD09" w14:textId="77777777" w:rsidR="00053381" w:rsidRPr="00E86C72" w:rsidRDefault="00053381" w:rsidP="00E2648D">
            <w:pPr>
              <w:pStyle w:val="Tabletext1"/>
            </w:pPr>
            <w:r w:rsidRPr="003572B4">
              <w:rPr>
                <w:b/>
              </w:rPr>
              <w:t>Ig versus</w:t>
            </w:r>
            <w:r>
              <w:rPr>
                <w:b/>
              </w:rPr>
              <w:t xml:space="preserve"> plasma exchange</w:t>
            </w:r>
          </w:p>
        </w:tc>
        <w:tc>
          <w:tcPr>
            <w:tcW w:w="629" w:type="pct"/>
            <w:gridSpan w:val="2"/>
            <w:tcBorders>
              <w:left w:val="nil"/>
              <w:bottom w:val="single" w:sz="4" w:space="0" w:color="auto"/>
              <w:right w:val="nil"/>
            </w:tcBorders>
            <w:noWrap/>
          </w:tcPr>
          <w:p w14:paraId="42A2E4D9" w14:textId="77777777" w:rsidR="00053381" w:rsidRPr="00E86C72" w:rsidRDefault="00053381" w:rsidP="00E2648D">
            <w:pPr>
              <w:pStyle w:val="Tabletext1"/>
              <w:jc w:val="right"/>
            </w:pPr>
          </w:p>
        </w:tc>
        <w:tc>
          <w:tcPr>
            <w:tcW w:w="629" w:type="pct"/>
            <w:tcBorders>
              <w:left w:val="nil"/>
              <w:bottom w:val="single" w:sz="4" w:space="0" w:color="auto"/>
              <w:right w:val="nil"/>
            </w:tcBorders>
            <w:noWrap/>
          </w:tcPr>
          <w:p w14:paraId="7E32239B" w14:textId="77777777" w:rsidR="00053381" w:rsidRPr="00E86C72" w:rsidRDefault="00053381" w:rsidP="00E2648D">
            <w:pPr>
              <w:pStyle w:val="Tabletext1"/>
              <w:jc w:val="right"/>
            </w:pPr>
          </w:p>
        </w:tc>
        <w:tc>
          <w:tcPr>
            <w:tcW w:w="629" w:type="pct"/>
            <w:tcBorders>
              <w:left w:val="nil"/>
              <w:bottom w:val="single" w:sz="4" w:space="0" w:color="auto"/>
              <w:right w:val="nil"/>
            </w:tcBorders>
            <w:noWrap/>
          </w:tcPr>
          <w:p w14:paraId="648CFC26" w14:textId="77777777" w:rsidR="00053381" w:rsidRPr="00E86C72" w:rsidRDefault="00053381" w:rsidP="00E2648D">
            <w:pPr>
              <w:pStyle w:val="Tabletext1"/>
              <w:jc w:val="right"/>
            </w:pPr>
          </w:p>
        </w:tc>
        <w:tc>
          <w:tcPr>
            <w:tcW w:w="443" w:type="pct"/>
            <w:tcBorders>
              <w:left w:val="nil"/>
              <w:bottom w:val="single" w:sz="4" w:space="0" w:color="auto"/>
            </w:tcBorders>
            <w:noWrap/>
          </w:tcPr>
          <w:p w14:paraId="0FB22DFA" w14:textId="77777777" w:rsidR="00053381" w:rsidRPr="00E86C72" w:rsidRDefault="00053381" w:rsidP="00E2648D">
            <w:pPr>
              <w:pStyle w:val="Tabletext1"/>
              <w:jc w:val="right"/>
            </w:pPr>
          </w:p>
        </w:tc>
      </w:tr>
      <w:tr w:rsidR="00053381" w:rsidRPr="008B0DF4" w14:paraId="3897541A" w14:textId="77777777" w:rsidTr="00E2648D">
        <w:trPr>
          <w:trHeight w:val="300"/>
          <w:tblHeader/>
        </w:trPr>
        <w:tc>
          <w:tcPr>
            <w:tcW w:w="2670" w:type="pct"/>
            <w:tcBorders>
              <w:bottom w:val="single" w:sz="4" w:space="0" w:color="auto"/>
            </w:tcBorders>
            <w:noWrap/>
            <w:hideMark/>
          </w:tcPr>
          <w:p w14:paraId="5F3031D7" w14:textId="77777777" w:rsidR="00053381" w:rsidRPr="003572B4" w:rsidRDefault="00053381" w:rsidP="00E2648D">
            <w:pPr>
              <w:pStyle w:val="TableHeading"/>
              <w:rPr>
                <w:b w:val="0"/>
              </w:rPr>
            </w:pPr>
            <w:r w:rsidRPr="003572B4">
              <w:rPr>
                <w:b w:val="0"/>
              </w:rPr>
              <w:t>Base case analysis</w:t>
            </w:r>
            <w:r>
              <w:rPr>
                <w:b w:val="0"/>
              </w:rPr>
              <w:t xml:space="preserve"> </w:t>
            </w:r>
          </w:p>
        </w:tc>
        <w:tc>
          <w:tcPr>
            <w:tcW w:w="629" w:type="pct"/>
            <w:gridSpan w:val="2"/>
            <w:tcBorders>
              <w:bottom w:val="single" w:sz="4" w:space="0" w:color="auto"/>
            </w:tcBorders>
            <w:noWrap/>
          </w:tcPr>
          <w:p w14:paraId="56F4F63F" w14:textId="77777777" w:rsidR="00053381" w:rsidRPr="00436879" w:rsidRDefault="00053381" w:rsidP="00E2648D">
            <w:pPr>
              <w:pStyle w:val="TableHeading"/>
              <w:jc w:val="right"/>
              <w:rPr>
                <w:b w:val="0"/>
              </w:rPr>
            </w:pPr>
            <w:r w:rsidRPr="00436879">
              <w:rPr>
                <w:b w:val="0"/>
              </w:rPr>
              <w:t>$49,991</w:t>
            </w:r>
          </w:p>
        </w:tc>
        <w:tc>
          <w:tcPr>
            <w:tcW w:w="629" w:type="pct"/>
            <w:tcBorders>
              <w:bottom w:val="single" w:sz="4" w:space="0" w:color="auto"/>
            </w:tcBorders>
            <w:noWrap/>
          </w:tcPr>
          <w:p w14:paraId="0E97B35E" w14:textId="77777777" w:rsidR="00053381" w:rsidRPr="00436879" w:rsidRDefault="00053381" w:rsidP="00E2648D">
            <w:pPr>
              <w:pStyle w:val="TableHeading"/>
              <w:jc w:val="right"/>
              <w:rPr>
                <w:b w:val="0"/>
              </w:rPr>
            </w:pPr>
            <w:r w:rsidRPr="00436879">
              <w:rPr>
                <w:b w:val="0"/>
              </w:rPr>
              <w:t>0.5316</w:t>
            </w:r>
          </w:p>
        </w:tc>
        <w:tc>
          <w:tcPr>
            <w:tcW w:w="629" w:type="pct"/>
            <w:tcBorders>
              <w:bottom w:val="single" w:sz="4" w:space="0" w:color="auto"/>
            </w:tcBorders>
            <w:noWrap/>
          </w:tcPr>
          <w:p w14:paraId="6CC8E6E0" w14:textId="77777777" w:rsidR="00053381" w:rsidRPr="00436879" w:rsidRDefault="00053381" w:rsidP="00E2648D">
            <w:pPr>
              <w:pStyle w:val="TableHeading"/>
              <w:jc w:val="right"/>
              <w:rPr>
                <w:b w:val="0"/>
              </w:rPr>
            </w:pPr>
            <w:r w:rsidRPr="00436879">
              <w:rPr>
                <w:b w:val="0"/>
              </w:rPr>
              <w:t>$94,038</w:t>
            </w:r>
          </w:p>
        </w:tc>
        <w:tc>
          <w:tcPr>
            <w:tcW w:w="443" w:type="pct"/>
            <w:tcBorders>
              <w:bottom w:val="single" w:sz="4" w:space="0" w:color="auto"/>
            </w:tcBorders>
            <w:noWrap/>
            <w:hideMark/>
          </w:tcPr>
          <w:p w14:paraId="724E1562" w14:textId="77777777" w:rsidR="00053381" w:rsidRPr="00436879" w:rsidRDefault="00053381" w:rsidP="00E2648D">
            <w:pPr>
              <w:pStyle w:val="TableHeading"/>
              <w:jc w:val="right"/>
              <w:rPr>
                <w:b w:val="0"/>
              </w:rPr>
            </w:pPr>
            <w:r w:rsidRPr="00436879">
              <w:rPr>
                <w:b w:val="0"/>
              </w:rPr>
              <w:t>-</w:t>
            </w:r>
          </w:p>
        </w:tc>
      </w:tr>
      <w:tr w:rsidR="00053381" w:rsidRPr="008B0DF4" w14:paraId="373E9611" w14:textId="77777777" w:rsidTr="00E2648D">
        <w:trPr>
          <w:trHeight w:val="300"/>
          <w:tblHeader/>
        </w:trPr>
        <w:tc>
          <w:tcPr>
            <w:tcW w:w="2670" w:type="pct"/>
            <w:tcBorders>
              <w:bottom w:val="single" w:sz="4" w:space="0" w:color="auto"/>
              <w:right w:val="nil"/>
            </w:tcBorders>
            <w:noWrap/>
          </w:tcPr>
          <w:p w14:paraId="20823AE5" w14:textId="77777777" w:rsidR="00053381" w:rsidRPr="0099589D" w:rsidRDefault="00053381" w:rsidP="00E2648D">
            <w:pPr>
              <w:pStyle w:val="TableHeading"/>
              <w:rPr>
                <w:b w:val="0"/>
                <w:i/>
              </w:rPr>
            </w:pPr>
            <w:r w:rsidRPr="0099589D">
              <w:rPr>
                <w:b w:val="0"/>
                <w:i/>
              </w:rPr>
              <w:t>Cost per gram of Ig (base case: $60.41 per gram of Ig )</w:t>
            </w:r>
          </w:p>
        </w:tc>
        <w:tc>
          <w:tcPr>
            <w:tcW w:w="629" w:type="pct"/>
            <w:gridSpan w:val="2"/>
            <w:tcBorders>
              <w:left w:val="nil"/>
              <w:bottom w:val="single" w:sz="4" w:space="0" w:color="auto"/>
              <w:right w:val="nil"/>
            </w:tcBorders>
            <w:noWrap/>
          </w:tcPr>
          <w:p w14:paraId="3F1A27AD" w14:textId="77777777" w:rsidR="00053381" w:rsidRPr="00436879" w:rsidRDefault="00053381" w:rsidP="00E2648D">
            <w:pPr>
              <w:pStyle w:val="TableHeading"/>
              <w:jc w:val="right"/>
              <w:rPr>
                <w:b w:val="0"/>
              </w:rPr>
            </w:pPr>
          </w:p>
        </w:tc>
        <w:tc>
          <w:tcPr>
            <w:tcW w:w="629" w:type="pct"/>
            <w:tcBorders>
              <w:left w:val="nil"/>
              <w:bottom w:val="single" w:sz="4" w:space="0" w:color="auto"/>
              <w:right w:val="nil"/>
            </w:tcBorders>
            <w:noWrap/>
          </w:tcPr>
          <w:p w14:paraId="6970F26F" w14:textId="77777777" w:rsidR="00053381" w:rsidRPr="00436879" w:rsidRDefault="00053381" w:rsidP="00E2648D">
            <w:pPr>
              <w:pStyle w:val="TableHeading"/>
              <w:jc w:val="right"/>
              <w:rPr>
                <w:b w:val="0"/>
              </w:rPr>
            </w:pPr>
          </w:p>
        </w:tc>
        <w:tc>
          <w:tcPr>
            <w:tcW w:w="629" w:type="pct"/>
            <w:tcBorders>
              <w:left w:val="nil"/>
              <w:bottom w:val="single" w:sz="4" w:space="0" w:color="auto"/>
              <w:right w:val="nil"/>
            </w:tcBorders>
            <w:noWrap/>
          </w:tcPr>
          <w:p w14:paraId="2D117D51" w14:textId="77777777" w:rsidR="00053381" w:rsidRPr="00436879" w:rsidRDefault="00053381" w:rsidP="00E2648D">
            <w:pPr>
              <w:pStyle w:val="TableHeading"/>
              <w:jc w:val="right"/>
              <w:rPr>
                <w:b w:val="0"/>
              </w:rPr>
            </w:pPr>
          </w:p>
        </w:tc>
        <w:tc>
          <w:tcPr>
            <w:tcW w:w="443" w:type="pct"/>
            <w:tcBorders>
              <w:left w:val="nil"/>
              <w:bottom w:val="single" w:sz="4" w:space="0" w:color="auto"/>
            </w:tcBorders>
            <w:noWrap/>
          </w:tcPr>
          <w:p w14:paraId="130162F9" w14:textId="77777777" w:rsidR="00053381" w:rsidRPr="00436879" w:rsidRDefault="00053381" w:rsidP="00E2648D">
            <w:pPr>
              <w:pStyle w:val="TableHeading"/>
              <w:jc w:val="right"/>
              <w:rPr>
                <w:b w:val="0"/>
              </w:rPr>
            </w:pPr>
          </w:p>
        </w:tc>
      </w:tr>
      <w:tr w:rsidR="00053381" w:rsidRPr="00E86C72" w14:paraId="76EAD45D" w14:textId="77777777" w:rsidTr="00E2648D">
        <w:trPr>
          <w:trHeight w:val="300"/>
        </w:trPr>
        <w:tc>
          <w:tcPr>
            <w:tcW w:w="2670" w:type="pct"/>
            <w:tcBorders>
              <w:top w:val="nil"/>
              <w:bottom w:val="nil"/>
            </w:tcBorders>
            <w:noWrap/>
          </w:tcPr>
          <w:p w14:paraId="770FD912" w14:textId="77777777" w:rsidR="00053381" w:rsidRPr="00E86C72" w:rsidRDefault="00053381" w:rsidP="00E2648D">
            <w:pPr>
              <w:pStyle w:val="Tabletext1"/>
              <w:ind w:left="284"/>
            </w:pPr>
            <w:r w:rsidRPr="006C63DA">
              <w:t>High cost (domestic IVIg, including cost of plasma), $140.18</w:t>
            </w:r>
            <w:r>
              <w:t>/</w:t>
            </w:r>
            <w:r w:rsidRPr="006C63DA">
              <w:t>g</w:t>
            </w:r>
          </w:p>
        </w:tc>
        <w:tc>
          <w:tcPr>
            <w:tcW w:w="629" w:type="pct"/>
            <w:gridSpan w:val="2"/>
            <w:tcBorders>
              <w:top w:val="nil"/>
              <w:bottom w:val="nil"/>
            </w:tcBorders>
            <w:noWrap/>
          </w:tcPr>
          <w:p w14:paraId="36079202" w14:textId="77777777" w:rsidR="00053381" w:rsidRPr="00E86C72" w:rsidRDefault="00053381" w:rsidP="00E2648D">
            <w:pPr>
              <w:pStyle w:val="Tabletext1"/>
              <w:jc w:val="right"/>
            </w:pPr>
            <w:r w:rsidRPr="00B079BB">
              <w:t>$223,343</w:t>
            </w:r>
          </w:p>
        </w:tc>
        <w:tc>
          <w:tcPr>
            <w:tcW w:w="629" w:type="pct"/>
            <w:tcBorders>
              <w:top w:val="nil"/>
              <w:bottom w:val="nil"/>
            </w:tcBorders>
            <w:noWrap/>
          </w:tcPr>
          <w:p w14:paraId="5B7923FA" w14:textId="77777777" w:rsidR="00053381" w:rsidRPr="00E86C72" w:rsidRDefault="00053381" w:rsidP="00E2648D">
            <w:pPr>
              <w:pStyle w:val="Tabletext1"/>
              <w:jc w:val="right"/>
            </w:pPr>
            <w:r w:rsidRPr="00B079BB">
              <w:t>0.5316</w:t>
            </w:r>
          </w:p>
        </w:tc>
        <w:tc>
          <w:tcPr>
            <w:tcW w:w="629" w:type="pct"/>
            <w:tcBorders>
              <w:top w:val="nil"/>
              <w:bottom w:val="nil"/>
            </w:tcBorders>
            <w:noWrap/>
          </w:tcPr>
          <w:p w14:paraId="51661213" w14:textId="77777777" w:rsidR="00053381" w:rsidRPr="00E86C72" w:rsidRDefault="00053381" w:rsidP="00E2648D">
            <w:pPr>
              <w:pStyle w:val="Tabletext1"/>
              <w:jc w:val="right"/>
            </w:pPr>
            <w:r w:rsidRPr="00B079BB">
              <w:t>$420,129</w:t>
            </w:r>
          </w:p>
        </w:tc>
        <w:tc>
          <w:tcPr>
            <w:tcW w:w="443" w:type="pct"/>
            <w:tcBorders>
              <w:top w:val="nil"/>
              <w:bottom w:val="nil"/>
            </w:tcBorders>
            <w:noWrap/>
          </w:tcPr>
          <w:p w14:paraId="53D03E17" w14:textId="77777777" w:rsidR="00053381" w:rsidRPr="00E86C72" w:rsidRDefault="00053381" w:rsidP="00E2648D">
            <w:pPr>
              <w:pStyle w:val="Tabletext1"/>
              <w:jc w:val="right"/>
            </w:pPr>
            <w:r w:rsidRPr="00B079BB">
              <w:t>347%</w:t>
            </w:r>
          </w:p>
        </w:tc>
      </w:tr>
      <w:tr w:rsidR="00053381" w:rsidRPr="00E86C72" w14:paraId="177ECAFB" w14:textId="77777777" w:rsidTr="00E2648D">
        <w:trPr>
          <w:trHeight w:val="300"/>
        </w:trPr>
        <w:tc>
          <w:tcPr>
            <w:tcW w:w="2670" w:type="pct"/>
            <w:tcBorders>
              <w:top w:val="nil"/>
              <w:bottom w:val="single" w:sz="4" w:space="0" w:color="auto"/>
            </w:tcBorders>
            <w:noWrap/>
          </w:tcPr>
          <w:p w14:paraId="29E1F616" w14:textId="77777777" w:rsidR="00053381" w:rsidRPr="00E86C72" w:rsidRDefault="00053381" w:rsidP="00E2648D">
            <w:pPr>
              <w:pStyle w:val="Tabletext1"/>
              <w:ind w:left="284"/>
            </w:pPr>
            <w:r>
              <w:t>W</w:t>
            </w:r>
            <w:r w:rsidRPr="000C367F">
              <w:t>eighted average across all indications, $94.51</w:t>
            </w:r>
            <w:r>
              <w:t>/</w:t>
            </w:r>
            <w:r w:rsidRPr="000C367F">
              <w:t>g</w:t>
            </w:r>
          </w:p>
        </w:tc>
        <w:tc>
          <w:tcPr>
            <w:tcW w:w="629" w:type="pct"/>
            <w:gridSpan w:val="2"/>
            <w:tcBorders>
              <w:top w:val="nil"/>
              <w:bottom w:val="single" w:sz="4" w:space="0" w:color="auto"/>
            </w:tcBorders>
            <w:noWrap/>
          </w:tcPr>
          <w:p w14:paraId="5CAA7F09" w14:textId="77777777" w:rsidR="00053381" w:rsidRPr="00E86C72" w:rsidRDefault="00053381" w:rsidP="00E2648D">
            <w:pPr>
              <w:pStyle w:val="Tabletext1"/>
              <w:jc w:val="right"/>
            </w:pPr>
            <w:r w:rsidRPr="003A5753">
              <w:t>$124,088</w:t>
            </w:r>
          </w:p>
        </w:tc>
        <w:tc>
          <w:tcPr>
            <w:tcW w:w="629" w:type="pct"/>
            <w:tcBorders>
              <w:top w:val="nil"/>
              <w:bottom w:val="single" w:sz="4" w:space="0" w:color="auto"/>
            </w:tcBorders>
            <w:noWrap/>
          </w:tcPr>
          <w:p w14:paraId="13D85C55" w14:textId="77777777" w:rsidR="00053381" w:rsidRPr="00E86C72" w:rsidRDefault="00053381" w:rsidP="00E2648D">
            <w:pPr>
              <w:pStyle w:val="Tabletext1"/>
              <w:jc w:val="right"/>
            </w:pPr>
            <w:r w:rsidRPr="003A5753">
              <w:t>0.5316</w:t>
            </w:r>
          </w:p>
        </w:tc>
        <w:tc>
          <w:tcPr>
            <w:tcW w:w="629" w:type="pct"/>
            <w:tcBorders>
              <w:top w:val="nil"/>
              <w:bottom w:val="single" w:sz="4" w:space="0" w:color="auto"/>
            </w:tcBorders>
            <w:noWrap/>
          </w:tcPr>
          <w:p w14:paraId="6E5AD71B" w14:textId="77777777" w:rsidR="00053381" w:rsidRPr="00E86C72" w:rsidRDefault="00053381" w:rsidP="00E2648D">
            <w:pPr>
              <w:pStyle w:val="Tabletext1"/>
              <w:jc w:val="right"/>
            </w:pPr>
            <w:r w:rsidRPr="003A5753">
              <w:t>$233,422</w:t>
            </w:r>
          </w:p>
        </w:tc>
        <w:tc>
          <w:tcPr>
            <w:tcW w:w="443" w:type="pct"/>
            <w:tcBorders>
              <w:top w:val="nil"/>
              <w:bottom w:val="single" w:sz="4" w:space="0" w:color="auto"/>
            </w:tcBorders>
            <w:noWrap/>
          </w:tcPr>
          <w:p w14:paraId="2DFB29C9" w14:textId="77777777" w:rsidR="00053381" w:rsidRPr="00E86C72" w:rsidRDefault="00053381" w:rsidP="00E2648D">
            <w:pPr>
              <w:pStyle w:val="Tabletext1"/>
              <w:jc w:val="right"/>
            </w:pPr>
            <w:r w:rsidRPr="003A5753">
              <w:t>148%</w:t>
            </w:r>
          </w:p>
        </w:tc>
      </w:tr>
      <w:tr w:rsidR="00053381" w:rsidRPr="00E86C72" w14:paraId="79A49C02" w14:textId="77777777" w:rsidTr="00E2648D">
        <w:trPr>
          <w:trHeight w:val="300"/>
        </w:trPr>
        <w:tc>
          <w:tcPr>
            <w:tcW w:w="2670" w:type="pct"/>
            <w:tcBorders>
              <w:top w:val="single" w:sz="4" w:space="0" w:color="auto"/>
              <w:bottom w:val="single" w:sz="4" w:space="0" w:color="auto"/>
              <w:right w:val="nil"/>
            </w:tcBorders>
            <w:noWrap/>
          </w:tcPr>
          <w:p w14:paraId="763DB32E" w14:textId="77777777" w:rsidR="00053381" w:rsidRPr="00E86C72" w:rsidRDefault="00053381" w:rsidP="00E2648D">
            <w:pPr>
              <w:pStyle w:val="Tabletext1"/>
            </w:pPr>
            <w:r w:rsidRPr="0099589D">
              <w:rPr>
                <w:i/>
              </w:rPr>
              <w:t>Maintenance IVIg dose per treatment course (base case: 0.7 g/kg)</w:t>
            </w:r>
          </w:p>
        </w:tc>
        <w:tc>
          <w:tcPr>
            <w:tcW w:w="629" w:type="pct"/>
            <w:gridSpan w:val="2"/>
            <w:tcBorders>
              <w:top w:val="single" w:sz="4" w:space="0" w:color="auto"/>
              <w:left w:val="nil"/>
              <w:bottom w:val="single" w:sz="4" w:space="0" w:color="auto"/>
              <w:right w:val="nil"/>
            </w:tcBorders>
            <w:noWrap/>
          </w:tcPr>
          <w:p w14:paraId="380FEE29" w14:textId="77777777" w:rsidR="00053381" w:rsidRPr="00E86C72" w:rsidRDefault="00053381" w:rsidP="00E2648D">
            <w:pPr>
              <w:pStyle w:val="Tabletext1"/>
              <w:jc w:val="right"/>
            </w:pPr>
          </w:p>
        </w:tc>
        <w:tc>
          <w:tcPr>
            <w:tcW w:w="629" w:type="pct"/>
            <w:tcBorders>
              <w:top w:val="single" w:sz="4" w:space="0" w:color="auto"/>
              <w:left w:val="nil"/>
              <w:bottom w:val="single" w:sz="4" w:space="0" w:color="auto"/>
              <w:right w:val="nil"/>
            </w:tcBorders>
            <w:noWrap/>
          </w:tcPr>
          <w:p w14:paraId="56307DE0" w14:textId="77777777" w:rsidR="00053381" w:rsidRPr="00E86C72" w:rsidRDefault="00053381" w:rsidP="00E2648D">
            <w:pPr>
              <w:pStyle w:val="Tabletext1"/>
              <w:jc w:val="right"/>
            </w:pPr>
          </w:p>
        </w:tc>
        <w:tc>
          <w:tcPr>
            <w:tcW w:w="629" w:type="pct"/>
            <w:tcBorders>
              <w:top w:val="single" w:sz="4" w:space="0" w:color="auto"/>
              <w:left w:val="nil"/>
              <w:bottom w:val="single" w:sz="4" w:space="0" w:color="auto"/>
              <w:right w:val="nil"/>
            </w:tcBorders>
            <w:noWrap/>
          </w:tcPr>
          <w:p w14:paraId="1D59D232" w14:textId="77777777" w:rsidR="00053381" w:rsidRPr="00E86C72" w:rsidRDefault="00053381" w:rsidP="00E2648D">
            <w:pPr>
              <w:pStyle w:val="Tabletext1"/>
              <w:jc w:val="right"/>
            </w:pPr>
          </w:p>
        </w:tc>
        <w:tc>
          <w:tcPr>
            <w:tcW w:w="443" w:type="pct"/>
            <w:tcBorders>
              <w:top w:val="single" w:sz="4" w:space="0" w:color="auto"/>
              <w:left w:val="nil"/>
              <w:bottom w:val="single" w:sz="4" w:space="0" w:color="auto"/>
            </w:tcBorders>
            <w:noWrap/>
          </w:tcPr>
          <w:p w14:paraId="19E17726" w14:textId="77777777" w:rsidR="00053381" w:rsidRPr="00E86C72" w:rsidRDefault="00053381" w:rsidP="00E2648D">
            <w:pPr>
              <w:pStyle w:val="Tabletext1"/>
              <w:jc w:val="right"/>
            </w:pPr>
          </w:p>
        </w:tc>
      </w:tr>
      <w:tr w:rsidR="00053381" w:rsidRPr="00E86C72" w14:paraId="138B3DD8" w14:textId="77777777" w:rsidTr="00E2648D">
        <w:trPr>
          <w:trHeight w:val="315"/>
        </w:trPr>
        <w:tc>
          <w:tcPr>
            <w:tcW w:w="2670" w:type="pct"/>
            <w:tcBorders>
              <w:top w:val="single" w:sz="4" w:space="0" w:color="auto"/>
              <w:bottom w:val="nil"/>
            </w:tcBorders>
            <w:noWrap/>
          </w:tcPr>
          <w:p w14:paraId="3B01E333" w14:textId="77777777" w:rsidR="00053381" w:rsidRPr="00E86C72" w:rsidRDefault="00053381" w:rsidP="00E2648D">
            <w:pPr>
              <w:pStyle w:val="Tabletext1"/>
              <w:ind w:left="284"/>
            </w:pPr>
            <w:r w:rsidRPr="00036F96">
              <w:t>0.4 g/kg</w:t>
            </w:r>
          </w:p>
        </w:tc>
        <w:tc>
          <w:tcPr>
            <w:tcW w:w="629" w:type="pct"/>
            <w:gridSpan w:val="2"/>
            <w:tcBorders>
              <w:top w:val="single" w:sz="4" w:space="0" w:color="auto"/>
              <w:bottom w:val="nil"/>
            </w:tcBorders>
            <w:noWrap/>
          </w:tcPr>
          <w:p w14:paraId="5275F9B6" w14:textId="77777777" w:rsidR="00053381" w:rsidRPr="00E86C72" w:rsidRDefault="00053381" w:rsidP="00E2648D">
            <w:pPr>
              <w:pStyle w:val="Tabletext1"/>
              <w:jc w:val="right"/>
            </w:pPr>
            <w:r w:rsidRPr="00D8319D">
              <w:t>$176</w:t>
            </w:r>
          </w:p>
        </w:tc>
        <w:tc>
          <w:tcPr>
            <w:tcW w:w="629" w:type="pct"/>
            <w:tcBorders>
              <w:top w:val="single" w:sz="4" w:space="0" w:color="auto"/>
              <w:bottom w:val="nil"/>
            </w:tcBorders>
            <w:noWrap/>
          </w:tcPr>
          <w:p w14:paraId="12F9A153" w14:textId="77777777" w:rsidR="00053381" w:rsidRPr="00E86C72" w:rsidRDefault="00053381" w:rsidP="00E2648D">
            <w:pPr>
              <w:pStyle w:val="Tabletext1"/>
              <w:jc w:val="right"/>
            </w:pPr>
            <w:r w:rsidRPr="00D8319D">
              <w:t>0.5316</w:t>
            </w:r>
          </w:p>
        </w:tc>
        <w:tc>
          <w:tcPr>
            <w:tcW w:w="629" w:type="pct"/>
            <w:tcBorders>
              <w:top w:val="single" w:sz="4" w:space="0" w:color="auto"/>
              <w:bottom w:val="nil"/>
            </w:tcBorders>
            <w:noWrap/>
          </w:tcPr>
          <w:p w14:paraId="0DAE9757" w14:textId="77777777" w:rsidR="00053381" w:rsidRPr="00E86C72" w:rsidRDefault="00053381" w:rsidP="00E2648D">
            <w:pPr>
              <w:pStyle w:val="Tabletext1"/>
              <w:jc w:val="right"/>
            </w:pPr>
            <w:r w:rsidRPr="00D8319D">
              <w:t>$331</w:t>
            </w:r>
          </w:p>
        </w:tc>
        <w:tc>
          <w:tcPr>
            <w:tcW w:w="443" w:type="pct"/>
            <w:tcBorders>
              <w:top w:val="single" w:sz="4" w:space="0" w:color="auto"/>
              <w:bottom w:val="nil"/>
            </w:tcBorders>
            <w:noWrap/>
          </w:tcPr>
          <w:p w14:paraId="7DF0A231" w14:textId="77777777" w:rsidR="00053381" w:rsidRPr="00E86C72" w:rsidRDefault="00053381" w:rsidP="00E2648D">
            <w:pPr>
              <w:pStyle w:val="Tabletext1"/>
              <w:jc w:val="right"/>
            </w:pPr>
            <w:r w:rsidRPr="00D8319D">
              <w:t>-100%</w:t>
            </w:r>
          </w:p>
        </w:tc>
      </w:tr>
      <w:tr w:rsidR="00053381" w:rsidRPr="00E86C72" w14:paraId="32C595A8" w14:textId="77777777" w:rsidTr="00E2648D">
        <w:trPr>
          <w:trHeight w:val="300"/>
        </w:trPr>
        <w:tc>
          <w:tcPr>
            <w:tcW w:w="2670" w:type="pct"/>
            <w:tcBorders>
              <w:top w:val="nil"/>
              <w:bottom w:val="single" w:sz="4" w:space="0" w:color="auto"/>
            </w:tcBorders>
            <w:noWrap/>
          </w:tcPr>
          <w:p w14:paraId="5FD04DAD" w14:textId="77777777" w:rsidR="00053381" w:rsidRPr="00E86C72" w:rsidRDefault="00053381" w:rsidP="00E2648D">
            <w:pPr>
              <w:pStyle w:val="Tabletext1"/>
              <w:ind w:left="284"/>
            </w:pPr>
            <w:r w:rsidRPr="00036F96">
              <w:t>1.0 g/kg</w:t>
            </w:r>
          </w:p>
        </w:tc>
        <w:tc>
          <w:tcPr>
            <w:tcW w:w="629" w:type="pct"/>
            <w:gridSpan w:val="2"/>
            <w:tcBorders>
              <w:top w:val="nil"/>
              <w:bottom w:val="single" w:sz="4" w:space="0" w:color="auto"/>
            </w:tcBorders>
            <w:noWrap/>
          </w:tcPr>
          <w:p w14:paraId="5540C741" w14:textId="77777777" w:rsidR="00053381" w:rsidRPr="00E86C72" w:rsidRDefault="00053381" w:rsidP="00E2648D">
            <w:pPr>
              <w:pStyle w:val="Tabletext1"/>
              <w:jc w:val="right"/>
            </w:pPr>
            <w:r w:rsidRPr="00D8319D">
              <w:t>$99,807</w:t>
            </w:r>
          </w:p>
        </w:tc>
        <w:tc>
          <w:tcPr>
            <w:tcW w:w="629" w:type="pct"/>
            <w:tcBorders>
              <w:top w:val="nil"/>
              <w:bottom w:val="single" w:sz="4" w:space="0" w:color="auto"/>
            </w:tcBorders>
            <w:noWrap/>
          </w:tcPr>
          <w:p w14:paraId="3128E78C" w14:textId="77777777" w:rsidR="00053381" w:rsidRPr="00E86C72" w:rsidRDefault="00053381" w:rsidP="00E2648D">
            <w:pPr>
              <w:pStyle w:val="Tabletext1"/>
              <w:jc w:val="right"/>
            </w:pPr>
            <w:r w:rsidRPr="00D8319D">
              <w:t>0.5316</w:t>
            </w:r>
          </w:p>
        </w:tc>
        <w:tc>
          <w:tcPr>
            <w:tcW w:w="629" w:type="pct"/>
            <w:tcBorders>
              <w:top w:val="nil"/>
              <w:bottom w:val="single" w:sz="4" w:space="0" w:color="auto"/>
            </w:tcBorders>
            <w:noWrap/>
          </w:tcPr>
          <w:p w14:paraId="0947C506" w14:textId="77777777" w:rsidR="00053381" w:rsidRPr="00E86C72" w:rsidRDefault="00053381" w:rsidP="00E2648D">
            <w:pPr>
              <w:pStyle w:val="Tabletext1"/>
              <w:jc w:val="right"/>
            </w:pPr>
            <w:r w:rsidRPr="00D8319D">
              <w:t>$187,745</w:t>
            </w:r>
          </w:p>
        </w:tc>
        <w:tc>
          <w:tcPr>
            <w:tcW w:w="443" w:type="pct"/>
            <w:tcBorders>
              <w:top w:val="nil"/>
              <w:bottom w:val="single" w:sz="4" w:space="0" w:color="auto"/>
            </w:tcBorders>
            <w:noWrap/>
          </w:tcPr>
          <w:p w14:paraId="215E1E85" w14:textId="77777777" w:rsidR="00053381" w:rsidRPr="00E86C72" w:rsidRDefault="00053381" w:rsidP="00E2648D">
            <w:pPr>
              <w:pStyle w:val="Tabletext1"/>
              <w:jc w:val="right"/>
            </w:pPr>
            <w:r w:rsidRPr="00D8319D">
              <w:t>100%</w:t>
            </w:r>
          </w:p>
        </w:tc>
      </w:tr>
      <w:tr w:rsidR="00053381" w:rsidRPr="00F70D40" w14:paraId="63A2C3BA" w14:textId="77777777" w:rsidTr="00E2648D">
        <w:trPr>
          <w:trHeight w:val="300"/>
        </w:trPr>
        <w:tc>
          <w:tcPr>
            <w:tcW w:w="2670" w:type="pct"/>
            <w:tcBorders>
              <w:top w:val="single" w:sz="4" w:space="0" w:color="auto"/>
              <w:bottom w:val="single" w:sz="4" w:space="0" w:color="auto"/>
              <w:right w:val="nil"/>
            </w:tcBorders>
            <w:noWrap/>
          </w:tcPr>
          <w:p w14:paraId="610B107E" w14:textId="77777777" w:rsidR="00053381" w:rsidRPr="00924DC2" w:rsidRDefault="00053381" w:rsidP="00E2648D">
            <w:pPr>
              <w:pStyle w:val="Tabletext1"/>
              <w:rPr>
                <w:i/>
              </w:rPr>
            </w:pPr>
            <w:r w:rsidRPr="00924DC2">
              <w:rPr>
                <w:i/>
              </w:rPr>
              <w:t>Weaning off trial for Ig</w:t>
            </w:r>
          </w:p>
        </w:tc>
        <w:tc>
          <w:tcPr>
            <w:tcW w:w="629" w:type="pct"/>
            <w:gridSpan w:val="2"/>
            <w:tcBorders>
              <w:top w:val="single" w:sz="4" w:space="0" w:color="auto"/>
              <w:left w:val="nil"/>
              <w:bottom w:val="single" w:sz="4" w:space="0" w:color="auto"/>
              <w:right w:val="nil"/>
            </w:tcBorders>
            <w:noWrap/>
          </w:tcPr>
          <w:p w14:paraId="0084900A" w14:textId="77777777" w:rsidR="00053381" w:rsidRPr="00F70D40" w:rsidRDefault="00053381" w:rsidP="00E2648D">
            <w:pPr>
              <w:pStyle w:val="Tabletext1"/>
              <w:jc w:val="right"/>
            </w:pPr>
          </w:p>
        </w:tc>
        <w:tc>
          <w:tcPr>
            <w:tcW w:w="629" w:type="pct"/>
            <w:tcBorders>
              <w:top w:val="single" w:sz="4" w:space="0" w:color="auto"/>
              <w:left w:val="nil"/>
              <w:bottom w:val="single" w:sz="4" w:space="0" w:color="auto"/>
              <w:right w:val="nil"/>
            </w:tcBorders>
            <w:noWrap/>
          </w:tcPr>
          <w:p w14:paraId="78967013" w14:textId="77777777" w:rsidR="00053381" w:rsidRPr="00F70D40" w:rsidRDefault="00053381" w:rsidP="00E2648D">
            <w:pPr>
              <w:pStyle w:val="Tabletext1"/>
              <w:jc w:val="right"/>
            </w:pPr>
          </w:p>
        </w:tc>
        <w:tc>
          <w:tcPr>
            <w:tcW w:w="629" w:type="pct"/>
            <w:tcBorders>
              <w:top w:val="single" w:sz="4" w:space="0" w:color="auto"/>
              <w:left w:val="nil"/>
              <w:bottom w:val="single" w:sz="4" w:space="0" w:color="auto"/>
              <w:right w:val="nil"/>
            </w:tcBorders>
            <w:noWrap/>
          </w:tcPr>
          <w:p w14:paraId="3E567BB2" w14:textId="77777777" w:rsidR="00053381" w:rsidRPr="00F70D40" w:rsidRDefault="00053381" w:rsidP="00E2648D">
            <w:pPr>
              <w:pStyle w:val="Tabletext1"/>
              <w:jc w:val="right"/>
            </w:pPr>
          </w:p>
        </w:tc>
        <w:tc>
          <w:tcPr>
            <w:tcW w:w="443" w:type="pct"/>
            <w:tcBorders>
              <w:top w:val="single" w:sz="4" w:space="0" w:color="auto"/>
              <w:left w:val="nil"/>
              <w:bottom w:val="single" w:sz="4" w:space="0" w:color="auto"/>
            </w:tcBorders>
            <w:noWrap/>
          </w:tcPr>
          <w:p w14:paraId="16D4252C" w14:textId="77777777" w:rsidR="00053381" w:rsidRPr="00F70D40" w:rsidRDefault="00053381" w:rsidP="00E2648D">
            <w:pPr>
              <w:pStyle w:val="Tabletext1"/>
              <w:jc w:val="right"/>
            </w:pPr>
          </w:p>
        </w:tc>
      </w:tr>
      <w:tr w:rsidR="00053381" w:rsidRPr="00E86C72" w14:paraId="3A9ABF28" w14:textId="77777777" w:rsidTr="00E2648D">
        <w:trPr>
          <w:trHeight w:val="300"/>
        </w:trPr>
        <w:tc>
          <w:tcPr>
            <w:tcW w:w="2670" w:type="pct"/>
            <w:tcBorders>
              <w:top w:val="single" w:sz="4" w:space="0" w:color="auto"/>
              <w:bottom w:val="single" w:sz="4" w:space="0" w:color="auto"/>
            </w:tcBorders>
            <w:noWrap/>
          </w:tcPr>
          <w:p w14:paraId="763B9FFE" w14:textId="77777777" w:rsidR="00053381" w:rsidRPr="00E86C72" w:rsidRDefault="00053381" w:rsidP="00E2648D">
            <w:pPr>
              <w:pStyle w:val="Tabletext1"/>
              <w:ind w:left="284"/>
            </w:pPr>
            <w:r w:rsidRPr="00FD42CD">
              <w:t>Starting dose in maintenance phase- 1g/kg, then applying 20% dose reduction for 5 cycles</w:t>
            </w:r>
          </w:p>
        </w:tc>
        <w:tc>
          <w:tcPr>
            <w:tcW w:w="629" w:type="pct"/>
            <w:gridSpan w:val="2"/>
            <w:tcBorders>
              <w:top w:val="single" w:sz="4" w:space="0" w:color="auto"/>
              <w:bottom w:val="single" w:sz="4" w:space="0" w:color="auto"/>
            </w:tcBorders>
            <w:noWrap/>
          </w:tcPr>
          <w:p w14:paraId="6875C2EA" w14:textId="77777777" w:rsidR="00053381" w:rsidRPr="00E86C72" w:rsidRDefault="00053381" w:rsidP="00E2648D">
            <w:pPr>
              <w:pStyle w:val="Tabletext1"/>
              <w:jc w:val="right"/>
            </w:pPr>
            <w:r w:rsidRPr="0001393F">
              <w:t>$13,107</w:t>
            </w:r>
          </w:p>
        </w:tc>
        <w:tc>
          <w:tcPr>
            <w:tcW w:w="629" w:type="pct"/>
            <w:tcBorders>
              <w:top w:val="single" w:sz="4" w:space="0" w:color="auto"/>
              <w:bottom w:val="single" w:sz="4" w:space="0" w:color="auto"/>
            </w:tcBorders>
            <w:noWrap/>
          </w:tcPr>
          <w:p w14:paraId="08C37DBA" w14:textId="77777777" w:rsidR="00053381" w:rsidRPr="00E86C72" w:rsidRDefault="00053381" w:rsidP="00E2648D">
            <w:pPr>
              <w:pStyle w:val="Tabletext1"/>
              <w:jc w:val="right"/>
            </w:pPr>
            <w:r w:rsidRPr="0001393F">
              <w:t>0.5316</w:t>
            </w:r>
          </w:p>
        </w:tc>
        <w:tc>
          <w:tcPr>
            <w:tcW w:w="629" w:type="pct"/>
            <w:tcBorders>
              <w:top w:val="single" w:sz="4" w:space="0" w:color="auto"/>
              <w:bottom w:val="single" w:sz="4" w:space="0" w:color="auto"/>
            </w:tcBorders>
            <w:noWrap/>
          </w:tcPr>
          <w:p w14:paraId="4EBAFF91" w14:textId="77777777" w:rsidR="00053381" w:rsidRPr="00E86C72" w:rsidRDefault="00053381" w:rsidP="00E2648D">
            <w:pPr>
              <w:pStyle w:val="Tabletext1"/>
              <w:jc w:val="right"/>
            </w:pPr>
            <w:r w:rsidRPr="0001393F">
              <w:t>$24,656</w:t>
            </w:r>
          </w:p>
        </w:tc>
        <w:tc>
          <w:tcPr>
            <w:tcW w:w="443" w:type="pct"/>
            <w:tcBorders>
              <w:top w:val="single" w:sz="4" w:space="0" w:color="auto"/>
              <w:bottom w:val="single" w:sz="4" w:space="0" w:color="auto"/>
            </w:tcBorders>
            <w:noWrap/>
          </w:tcPr>
          <w:p w14:paraId="76EB43F3" w14:textId="77777777" w:rsidR="00053381" w:rsidRPr="00E86C72" w:rsidRDefault="00053381" w:rsidP="00E2648D">
            <w:pPr>
              <w:pStyle w:val="Tabletext1"/>
              <w:jc w:val="right"/>
            </w:pPr>
            <w:r w:rsidRPr="0001393F">
              <w:t>-74%</w:t>
            </w:r>
          </w:p>
        </w:tc>
      </w:tr>
    </w:tbl>
    <w:p w14:paraId="680C0B3F" w14:textId="3B22A24F" w:rsidR="00A73B4B" w:rsidRPr="00183E4D" w:rsidRDefault="00A73B4B" w:rsidP="00A73B4B">
      <w:pPr>
        <w:pStyle w:val="Tablenotes1"/>
      </w:pPr>
      <w:r>
        <w:t xml:space="preserve">ICER = incremental cost-effectiveness ratio; </w:t>
      </w:r>
      <w:r w:rsidR="00924DC2">
        <w:t xml:space="preserve">g = grams; </w:t>
      </w:r>
      <w:r>
        <w:t xml:space="preserve">Ig = immunoglobulin; Inc = incremental; </w:t>
      </w:r>
      <w:r w:rsidR="00924DC2">
        <w:t xml:space="preserve">IV = intravenous; </w:t>
      </w:r>
      <w:r>
        <w:t>QALY = quality-adjusted life year.</w:t>
      </w:r>
      <w:r w:rsidRPr="00AF32E4">
        <w:t xml:space="preserve"> </w:t>
      </w:r>
    </w:p>
    <w:p w14:paraId="31187197" w14:textId="77777777" w:rsidR="00A73B4B" w:rsidRDefault="00A73B4B" w:rsidP="00A73B4B">
      <w:pPr>
        <w:pStyle w:val="Heading3"/>
      </w:pPr>
      <w:bookmarkStart w:id="88" w:name="_Toc69305537"/>
      <w:r w:rsidRPr="00E3331A">
        <w:t>Estimated Extent of Use and Financial Implications</w:t>
      </w:r>
      <w:bookmarkEnd w:id="88"/>
    </w:p>
    <w:p w14:paraId="11CA7172" w14:textId="5CF28EA6" w:rsidR="00A73B4B" w:rsidRDefault="00637044" w:rsidP="00A73B4B">
      <w:pPr>
        <w:pStyle w:val="BodyTextSTD"/>
      </w:pPr>
      <w:r w:rsidRPr="007E4E80">
        <w:t xml:space="preserve">A market-based approach has been used to estimate the financial implications of Ig in </w:t>
      </w:r>
      <w:r>
        <w:t>CIDP</w:t>
      </w:r>
      <w:r w:rsidRPr="007E4E80">
        <w:t xml:space="preserve">, based on current utilisation </w:t>
      </w:r>
      <w:r>
        <w:t>data available for</w:t>
      </w:r>
      <w:r w:rsidRPr="007E4E80">
        <w:t xml:space="preserve"> Ig products in patients with </w:t>
      </w:r>
      <w:r>
        <w:t>CIDP</w:t>
      </w:r>
      <w:r w:rsidRPr="007E4E80">
        <w:t xml:space="preserve">. As </w:t>
      </w:r>
      <w:r>
        <w:t xml:space="preserve">most </w:t>
      </w:r>
      <w:r w:rsidRPr="007E4E80">
        <w:t xml:space="preserve">data available </w:t>
      </w:r>
      <w:r>
        <w:t>was collected under the Criteria</w:t>
      </w:r>
      <w:r w:rsidRPr="007E4E80">
        <w:t xml:space="preserve"> </w:t>
      </w:r>
      <w:r>
        <w:t xml:space="preserve">V2, or when patients were transitioning to the Criteria V3, </w:t>
      </w:r>
      <w:r w:rsidRPr="007E4E80">
        <w:t xml:space="preserve">the impact of Criteria </w:t>
      </w:r>
      <w:r>
        <w:t>V3 is</w:t>
      </w:r>
      <w:r w:rsidRPr="007E4E80">
        <w:t xml:space="preserve"> not </w:t>
      </w:r>
      <w:r>
        <w:t xml:space="preserve">properly </w:t>
      </w:r>
      <w:r w:rsidRPr="007E4E80">
        <w:t>captured in the analysis. There is also uncertainty as to whether the trends observed in the past would continue in the future.</w:t>
      </w:r>
    </w:p>
    <w:p w14:paraId="1E6ECFC0" w14:textId="5A3B36F4" w:rsidR="00A73B4B" w:rsidRDefault="00A73B4B" w:rsidP="00A73B4B">
      <w:pPr>
        <w:pStyle w:val="BodyTextSTD"/>
      </w:pPr>
      <w:r w:rsidRPr="00E07567">
        <w:t xml:space="preserve">The primary sources of data used in the estimates of the financial impact of Ig in </w:t>
      </w:r>
      <w:r>
        <w:t>CIDP</w:t>
      </w:r>
      <w:r w:rsidRPr="00E07567">
        <w:t xml:space="preserve"> are:</w:t>
      </w:r>
      <w:r>
        <w:t xml:space="preserve"> </w:t>
      </w:r>
      <w:r w:rsidRPr="00E07567">
        <w:t>NBA</w:t>
      </w:r>
      <w:r>
        <w:t xml:space="preserve"> </w:t>
      </w:r>
      <w:r w:rsidR="00B727D6">
        <w:fldChar w:fldCharType="begin"/>
      </w:r>
      <w:r w:rsidR="00B727D6">
        <w:instrText xml:space="preserve"> ADDIN EN.CITE &lt;EndNote&gt;&lt;Cite ExcludeAuth="1"&gt;&lt;Author&gt;NBA&lt;/Author&gt;&lt;Year&gt;2021&lt;/Year&gt;&lt;RecNum&gt;1965&lt;/RecNum&gt;&lt;DisplayText&gt;(2021a)&lt;/DisplayText&gt;&lt;record&gt;&lt;rec-number&gt;1965&lt;/rec-number&gt;&lt;foreign-keys&gt;&lt;key app="EN" db-id="xtr5xfx2xf0wd7e0s2qvst2ietxxf0tpzr9v" timestamp="1616109208"&gt;1965&lt;/key&gt;&lt;/foreign-keys&gt;&lt;ref-type name="Web Page"&gt;12&lt;/ref-type&gt;&lt;contributors&gt;&lt;authors&gt;&lt;author&gt;NBA&lt;/author&gt;&lt;/authors&gt;&lt;/contributors&gt;&lt;titles&gt;&lt;title&gt;Data Analysis and Reporting, National Blood Authority Australia&lt;/title&gt;&lt;/titles&gt;&lt;dates&gt;&lt;year&gt;2021&lt;/year&gt;&lt;/dates&gt;&lt;publisher&gt;National Blood Authority&lt;/publisher&gt;&lt;urls&gt;&lt;related-urls&gt;&lt;url&gt;https://www.blood.gov.au/data-analysis-reporting&lt;/url&gt;&lt;/related-urls&gt;&lt;/urls&gt;&lt;access-date&gt;18 March 2021&lt;/access-date&gt;&lt;/record&gt;&lt;/Cite&gt;&lt;/EndNote&gt;</w:instrText>
      </w:r>
      <w:r w:rsidR="00B727D6">
        <w:fldChar w:fldCharType="separate"/>
      </w:r>
      <w:r w:rsidR="00B727D6">
        <w:rPr>
          <w:noProof/>
        </w:rPr>
        <w:t>(</w:t>
      </w:r>
      <w:hyperlink w:anchor="_ENREF_50" w:tooltip="NBA, 2021 #1965" w:history="1">
        <w:r w:rsidR="00D726F6">
          <w:rPr>
            <w:noProof/>
          </w:rPr>
          <w:t>2021a</w:t>
        </w:r>
      </w:hyperlink>
      <w:r w:rsidR="00B727D6">
        <w:rPr>
          <w:noProof/>
        </w:rPr>
        <w:t>)</w:t>
      </w:r>
      <w:r w:rsidR="00B727D6">
        <w:fldChar w:fldCharType="end"/>
      </w:r>
      <w:r w:rsidRPr="00E07567">
        <w:t xml:space="preserve"> National reports on the issue and use of immunoglobulin (Ig),</w:t>
      </w:r>
      <w:r>
        <w:t xml:space="preserve"> and t</w:t>
      </w:r>
      <w:r w:rsidRPr="00E07567">
        <w:t xml:space="preserve">he 'HTA Data </w:t>
      </w:r>
      <w:r>
        <w:t>31 Dec 2020</w:t>
      </w:r>
      <w:r w:rsidRPr="00E07567">
        <w:t>.xlsx' workb</w:t>
      </w:r>
      <w:r>
        <w:t xml:space="preserve">ook provided by the Department </w:t>
      </w:r>
      <w:r w:rsidR="00B727D6">
        <w:fldChar w:fldCharType="begin"/>
      </w:r>
      <w:r w:rsidR="00B727D6">
        <w:instrText xml:space="preserve"> ADDIN EN.CITE &lt;EndNote&gt;&lt;Cite&gt;&lt;Author&gt;NBA&lt;/Author&gt;&lt;Year&gt;2021&lt;/Year&gt;&lt;RecNum&gt;1955&lt;/RecNum&gt;&lt;DisplayText&gt;(NBA 2021b)&lt;/DisplayText&gt;&lt;record&gt;&lt;rec-number&gt;1955&lt;/rec-number&gt;&lt;foreign-keys&gt;&lt;key app="EN" db-id="xtr5xfx2xf0wd7e0s2qvst2ietxxf0tpzr9v" timestamp="1614733867"&gt;1955&lt;/key&gt;&lt;/foreign-keys&gt;&lt;ref-type name="Personal Communication"&gt;26&lt;/ref-type&gt;&lt;contributors&gt;&lt;authors&gt;&lt;author&gt;NBA,&lt;/author&gt;&lt;/authors&gt;&lt;secondary-authors&gt;&lt;author&gt;Deaprtment of Health&lt;/author&gt;&lt;/secondary-authors&gt;&lt;/contributors&gt;&lt;titles&gt;&lt;title&gt;Summary of BloodSTAR Data for IVIg use in patiets with CIDP Provided by National Blood Authority (NBA) for MSAC Application 1564.1&lt;/title&gt;&lt;/titles&gt;&lt;edition&gt;summary level data from BloodStar for CIDP.&lt;/edition&gt;&lt;dates&gt;&lt;year&gt;2021&lt;/year&gt;&lt;pub-dates&gt;&lt;date&gt;11 February 2021&lt;/date&gt;&lt;/pub-dates&gt;&lt;/dates&gt;&lt;work-type&gt;Summary level data&lt;/work-type&gt;&lt;urls&gt;&lt;/urls&gt;&lt;/record&gt;&lt;/Cite&gt;&lt;/EndNote&gt;</w:instrText>
      </w:r>
      <w:r w:rsidR="00B727D6">
        <w:fldChar w:fldCharType="separate"/>
      </w:r>
      <w:r w:rsidR="00B727D6">
        <w:rPr>
          <w:noProof/>
        </w:rPr>
        <w:t>(</w:t>
      </w:r>
      <w:hyperlink w:anchor="_ENREF_51" w:tooltip="NBA, 2021 #1955" w:history="1">
        <w:r w:rsidR="00D726F6">
          <w:rPr>
            <w:noProof/>
          </w:rPr>
          <w:t>NBA 2021b</w:t>
        </w:r>
      </w:hyperlink>
      <w:r w:rsidR="00B727D6">
        <w:rPr>
          <w:noProof/>
        </w:rPr>
        <w:t>)</w:t>
      </w:r>
      <w:r w:rsidR="00B727D6">
        <w:fldChar w:fldCharType="end"/>
      </w:r>
      <w:r>
        <w:t xml:space="preserve">. </w:t>
      </w:r>
    </w:p>
    <w:p w14:paraId="1C24A81B" w14:textId="034319C6" w:rsidR="00A73B4B" w:rsidRPr="00037A0F" w:rsidRDefault="00A73B4B" w:rsidP="00A73B4B">
      <w:pPr>
        <w:pStyle w:val="BodyTextSTD"/>
      </w:pPr>
      <w:r>
        <w:t xml:space="preserve">The financial implications associated with funding Ig for </w:t>
      </w:r>
      <w:r w:rsidRPr="00037A0F">
        <w:t>CIDP are presented in</w:t>
      </w:r>
      <w:r>
        <w:t xml:space="preserve"> </w:t>
      </w:r>
      <w:r>
        <w:fldChar w:fldCharType="begin"/>
      </w:r>
      <w:r>
        <w:instrText xml:space="preserve"> REF _Ref67392132 \h </w:instrText>
      </w:r>
      <w:r>
        <w:fldChar w:fldCharType="separate"/>
      </w:r>
      <w:r w:rsidR="004B3EA2">
        <w:t xml:space="preserve">Table </w:t>
      </w:r>
      <w:r w:rsidR="004B3EA2">
        <w:rPr>
          <w:noProof/>
        </w:rPr>
        <w:t>5</w:t>
      </w:r>
      <w:r>
        <w:fldChar w:fldCharType="end"/>
      </w:r>
      <w:r w:rsidRPr="00037A0F">
        <w:t>.</w:t>
      </w:r>
    </w:p>
    <w:p w14:paraId="4551E5DB" w14:textId="15DC4A3F" w:rsidR="00A73B4B" w:rsidRDefault="00A73B4B" w:rsidP="00A73B4B">
      <w:pPr>
        <w:pStyle w:val="Caption"/>
      </w:pPr>
      <w:bookmarkStart w:id="89" w:name="_Ref67392132"/>
      <w:bookmarkStart w:id="90" w:name="_Toc69305646"/>
      <w:r>
        <w:t xml:space="preserve">Table </w:t>
      </w:r>
      <w:r>
        <w:rPr>
          <w:noProof/>
        </w:rPr>
        <w:fldChar w:fldCharType="begin"/>
      </w:r>
      <w:r>
        <w:rPr>
          <w:noProof/>
        </w:rPr>
        <w:instrText xml:space="preserve"> SEQ Table \* ARABIC </w:instrText>
      </w:r>
      <w:r>
        <w:rPr>
          <w:noProof/>
        </w:rPr>
        <w:fldChar w:fldCharType="separate"/>
      </w:r>
      <w:r w:rsidR="004B3EA2">
        <w:rPr>
          <w:noProof/>
        </w:rPr>
        <w:t>5</w:t>
      </w:r>
      <w:r>
        <w:rPr>
          <w:noProof/>
        </w:rPr>
        <w:fldChar w:fldCharType="end"/>
      </w:r>
      <w:bookmarkEnd w:id="89"/>
      <w:r>
        <w:rPr>
          <w:noProof/>
        </w:rPr>
        <w:tab/>
      </w:r>
      <w:r>
        <w:tab/>
        <w:t>Net financial implications to government associated with Ig for CIDP</w:t>
      </w:r>
      <w:bookmarkEnd w:id="90"/>
    </w:p>
    <w:tbl>
      <w:tblPr>
        <w:tblStyle w:val="TableGrid1"/>
        <w:tblW w:w="5000" w:type="pct"/>
        <w:tblLayout w:type="fixed"/>
        <w:tblLook w:val="04A0" w:firstRow="1" w:lastRow="0" w:firstColumn="1" w:lastColumn="0" w:noHBand="0" w:noVBand="1"/>
        <w:tblCaption w:val="Net financial implications to government associated with Ig for CIDP"/>
        <w:tblDescription w:val="Net financial implications to government associated with Ig for CIDP"/>
      </w:tblPr>
      <w:tblGrid>
        <w:gridCol w:w="2829"/>
        <w:gridCol w:w="1237"/>
        <w:gridCol w:w="1237"/>
        <w:gridCol w:w="1237"/>
        <w:gridCol w:w="1237"/>
        <w:gridCol w:w="1239"/>
      </w:tblGrid>
      <w:tr w:rsidR="00A73B4B" w:rsidRPr="002C55F2" w14:paraId="4A0045E4" w14:textId="77777777" w:rsidTr="00CA4CBD">
        <w:trPr>
          <w:cnfStyle w:val="100000000000" w:firstRow="1" w:lastRow="0" w:firstColumn="0" w:lastColumn="0" w:oddVBand="0" w:evenVBand="0" w:oddHBand="0" w:evenHBand="0" w:firstRowFirstColumn="0" w:firstRowLastColumn="0" w:lastRowFirstColumn="0" w:lastRowLastColumn="0"/>
          <w:trHeight w:val="300"/>
          <w:tblHeader/>
        </w:trPr>
        <w:tc>
          <w:tcPr>
            <w:tcW w:w="1569" w:type="pct"/>
            <w:tcBorders>
              <w:bottom w:val="single" w:sz="4" w:space="0" w:color="auto"/>
            </w:tcBorders>
            <w:noWrap/>
          </w:tcPr>
          <w:p w14:paraId="71EBD86C" w14:textId="77777777" w:rsidR="00A73B4B" w:rsidRPr="002C55F2" w:rsidRDefault="00A73B4B" w:rsidP="00CA4CBD">
            <w:pPr>
              <w:pStyle w:val="TableHeading"/>
            </w:pPr>
          </w:p>
        </w:tc>
        <w:tc>
          <w:tcPr>
            <w:tcW w:w="686" w:type="pct"/>
            <w:tcBorders>
              <w:bottom w:val="single" w:sz="4" w:space="0" w:color="auto"/>
            </w:tcBorders>
            <w:noWrap/>
          </w:tcPr>
          <w:p w14:paraId="7FDAAD94" w14:textId="77777777" w:rsidR="00A73B4B" w:rsidRPr="002C55F2" w:rsidRDefault="00A73B4B" w:rsidP="00CA4CBD">
            <w:pPr>
              <w:pStyle w:val="TableHeading"/>
            </w:pPr>
            <w:r w:rsidRPr="006110F1">
              <w:t>2021–22</w:t>
            </w:r>
          </w:p>
        </w:tc>
        <w:tc>
          <w:tcPr>
            <w:tcW w:w="686" w:type="pct"/>
            <w:tcBorders>
              <w:bottom w:val="single" w:sz="4" w:space="0" w:color="auto"/>
            </w:tcBorders>
            <w:noWrap/>
          </w:tcPr>
          <w:p w14:paraId="0341FAD5" w14:textId="77777777" w:rsidR="00A73B4B" w:rsidRPr="002C55F2" w:rsidRDefault="00A73B4B" w:rsidP="00CA4CBD">
            <w:pPr>
              <w:pStyle w:val="TableHeading"/>
            </w:pPr>
            <w:r w:rsidRPr="006110F1">
              <w:t>2022–23</w:t>
            </w:r>
          </w:p>
        </w:tc>
        <w:tc>
          <w:tcPr>
            <w:tcW w:w="686" w:type="pct"/>
            <w:tcBorders>
              <w:bottom w:val="single" w:sz="4" w:space="0" w:color="auto"/>
            </w:tcBorders>
            <w:noWrap/>
          </w:tcPr>
          <w:p w14:paraId="15407ECB" w14:textId="77777777" w:rsidR="00A73B4B" w:rsidRPr="002C55F2" w:rsidRDefault="00A73B4B" w:rsidP="00CA4CBD">
            <w:pPr>
              <w:pStyle w:val="TableHeading"/>
              <w:rPr>
                <w:rFonts w:ascii="Times New Roman" w:hAnsi="Times New Roman" w:cs="Times New Roman"/>
              </w:rPr>
            </w:pPr>
            <w:r w:rsidRPr="006110F1">
              <w:t>2023–24</w:t>
            </w:r>
          </w:p>
        </w:tc>
        <w:tc>
          <w:tcPr>
            <w:tcW w:w="686" w:type="pct"/>
            <w:tcBorders>
              <w:bottom w:val="single" w:sz="4" w:space="0" w:color="auto"/>
            </w:tcBorders>
            <w:noWrap/>
          </w:tcPr>
          <w:p w14:paraId="664CFB2D" w14:textId="77777777" w:rsidR="00A73B4B" w:rsidRPr="002C55F2" w:rsidRDefault="00A73B4B" w:rsidP="00CA4CBD">
            <w:pPr>
              <w:pStyle w:val="TableHeading"/>
              <w:rPr>
                <w:rFonts w:ascii="Times New Roman" w:hAnsi="Times New Roman" w:cs="Times New Roman"/>
              </w:rPr>
            </w:pPr>
            <w:r w:rsidRPr="006110F1">
              <w:t>2024–25</w:t>
            </w:r>
          </w:p>
        </w:tc>
        <w:tc>
          <w:tcPr>
            <w:tcW w:w="687" w:type="pct"/>
            <w:tcBorders>
              <w:bottom w:val="single" w:sz="4" w:space="0" w:color="auto"/>
            </w:tcBorders>
            <w:noWrap/>
          </w:tcPr>
          <w:p w14:paraId="324CDE7E" w14:textId="77777777" w:rsidR="00A73B4B" w:rsidRPr="002C55F2" w:rsidRDefault="00A73B4B" w:rsidP="00CA4CBD">
            <w:pPr>
              <w:pStyle w:val="TableHeading"/>
              <w:rPr>
                <w:rFonts w:ascii="Times New Roman" w:hAnsi="Times New Roman" w:cs="Times New Roman"/>
              </w:rPr>
            </w:pPr>
            <w:r w:rsidRPr="006110F1">
              <w:t>2025–26</w:t>
            </w:r>
          </w:p>
        </w:tc>
      </w:tr>
      <w:tr w:rsidR="00A73B4B" w:rsidRPr="001B1EEE" w14:paraId="00EFB4BE" w14:textId="77777777" w:rsidTr="00CA4CBD">
        <w:trPr>
          <w:trHeight w:val="300"/>
        </w:trPr>
        <w:tc>
          <w:tcPr>
            <w:tcW w:w="1569" w:type="pct"/>
            <w:tcBorders>
              <w:bottom w:val="nil"/>
            </w:tcBorders>
            <w:noWrap/>
          </w:tcPr>
          <w:p w14:paraId="07860590" w14:textId="77777777" w:rsidR="00A73B4B" w:rsidRPr="001B1EEE" w:rsidRDefault="00A73B4B" w:rsidP="00CA4CBD">
            <w:pPr>
              <w:pStyle w:val="Tabletext1"/>
              <w:rPr>
                <w:b/>
              </w:rPr>
            </w:pPr>
            <w:r w:rsidRPr="001B1EEE">
              <w:t>Total cost of Ig</w:t>
            </w:r>
          </w:p>
        </w:tc>
        <w:tc>
          <w:tcPr>
            <w:tcW w:w="686" w:type="pct"/>
            <w:tcBorders>
              <w:bottom w:val="nil"/>
            </w:tcBorders>
            <w:noWrap/>
          </w:tcPr>
          <w:p w14:paraId="3B900E99" w14:textId="77777777" w:rsidR="00A73B4B" w:rsidRPr="00637044" w:rsidRDefault="00A73B4B" w:rsidP="00637044">
            <w:pPr>
              <w:pStyle w:val="Tabletext1"/>
              <w:jc w:val="right"/>
              <w:rPr>
                <w:b/>
              </w:rPr>
            </w:pPr>
            <w:r w:rsidRPr="00637044">
              <w:t>$100,373,758</w:t>
            </w:r>
          </w:p>
        </w:tc>
        <w:tc>
          <w:tcPr>
            <w:tcW w:w="686" w:type="pct"/>
            <w:tcBorders>
              <w:bottom w:val="nil"/>
            </w:tcBorders>
            <w:noWrap/>
          </w:tcPr>
          <w:p w14:paraId="208CE0A5" w14:textId="77777777" w:rsidR="00A73B4B" w:rsidRPr="00637044" w:rsidRDefault="00A73B4B" w:rsidP="00637044">
            <w:pPr>
              <w:pStyle w:val="Tabletext1"/>
              <w:jc w:val="right"/>
              <w:rPr>
                <w:b/>
              </w:rPr>
            </w:pPr>
            <w:r w:rsidRPr="00637044">
              <w:t>$106,243,380</w:t>
            </w:r>
          </w:p>
        </w:tc>
        <w:tc>
          <w:tcPr>
            <w:tcW w:w="686" w:type="pct"/>
            <w:tcBorders>
              <w:bottom w:val="nil"/>
            </w:tcBorders>
            <w:noWrap/>
          </w:tcPr>
          <w:p w14:paraId="5792E458" w14:textId="77777777" w:rsidR="00A73B4B" w:rsidRPr="00637044" w:rsidRDefault="00A73B4B" w:rsidP="00637044">
            <w:pPr>
              <w:pStyle w:val="Tabletext1"/>
              <w:jc w:val="right"/>
              <w:rPr>
                <w:b/>
              </w:rPr>
            </w:pPr>
            <w:r w:rsidRPr="00637044">
              <w:t>$112,113,002</w:t>
            </w:r>
          </w:p>
        </w:tc>
        <w:tc>
          <w:tcPr>
            <w:tcW w:w="686" w:type="pct"/>
            <w:tcBorders>
              <w:bottom w:val="nil"/>
            </w:tcBorders>
            <w:noWrap/>
          </w:tcPr>
          <w:p w14:paraId="394EEBF8" w14:textId="77777777" w:rsidR="00A73B4B" w:rsidRPr="00637044" w:rsidRDefault="00A73B4B" w:rsidP="00637044">
            <w:pPr>
              <w:pStyle w:val="Tabletext1"/>
              <w:jc w:val="right"/>
              <w:rPr>
                <w:b/>
              </w:rPr>
            </w:pPr>
            <w:r w:rsidRPr="00637044">
              <w:t>$117,982,625</w:t>
            </w:r>
          </w:p>
        </w:tc>
        <w:tc>
          <w:tcPr>
            <w:tcW w:w="687" w:type="pct"/>
            <w:tcBorders>
              <w:bottom w:val="nil"/>
            </w:tcBorders>
            <w:noWrap/>
          </w:tcPr>
          <w:p w14:paraId="23BF676E" w14:textId="77777777" w:rsidR="00A73B4B" w:rsidRPr="00637044" w:rsidRDefault="00A73B4B" w:rsidP="00637044">
            <w:pPr>
              <w:pStyle w:val="Tabletext1"/>
              <w:jc w:val="right"/>
              <w:rPr>
                <w:b/>
              </w:rPr>
            </w:pPr>
            <w:r w:rsidRPr="00637044">
              <w:t>$123,852,247</w:t>
            </w:r>
          </w:p>
        </w:tc>
      </w:tr>
      <w:tr w:rsidR="00A73B4B" w:rsidRPr="001B1EEE" w14:paraId="6A3113AD" w14:textId="77777777" w:rsidTr="00CA4CBD">
        <w:trPr>
          <w:trHeight w:val="300"/>
        </w:trPr>
        <w:tc>
          <w:tcPr>
            <w:tcW w:w="1569" w:type="pct"/>
            <w:tcBorders>
              <w:top w:val="nil"/>
              <w:bottom w:val="nil"/>
            </w:tcBorders>
            <w:noWrap/>
          </w:tcPr>
          <w:p w14:paraId="06F57EF8" w14:textId="77777777" w:rsidR="00A73B4B" w:rsidRPr="001B1EEE" w:rsidRDefault="00A73B4B" w:rsidP="00CA4CBD">
            <w:pPr>
              <w:pStyle w:val="Tabletext1"/>
              <w:rPr>
                <w:b/>
              </w:rPr>
            </w:pPr>
            <w:r w:rsidRPr="001B1EEE">
              <w:t>Cost of Ig to the Commonwealth</w:t>
            </w:r>
          </w:p>
        </w:tc>
        <w:tc>
          <w:tcPr>
            <w:tcW w:w="686" w:type="pct"/>
            <w:tcBorders>
              <w:top w:val="nil"/>
              <w:bottom w:val="nil"/>
            </w:tcBorders>
            <w:noWrap/>
          </w:tcPr>
          <w:p w14:paraId="1314AE70" w14:textId="77777777" w:rsidR="00A73B4B" w:rsidRPr="00637044" w:rsidRDefault="00A73B4B" w:rsidP="00637044">
            <w:pPr>
              <w:pStyle w:val="Tabletext1"/>
              <w:jc w:val="right"/>
              <w:rPr>
                <w:b/>
              </w:rPr>
            </w:pPr>
            <w:r w:rsidRPr="00637044">
              <w:t>$63,235,467</w:t>
            </w:r>
          </w:p>
        </w:tc>
        <w:tc>
          <w:tcPr>
            <w:tcW w:w="686" w:type="pct"/>
            <w:tcBorders>
              <w:top w:val="nil"/>
              <w:bottom w:val="nil"/>
            </w:tcBorders>
            <w:noWrap/>
          </w:tcPr>
          <w:p w14:paraId="1B74C276" w14:textId="77777777" w:rsidR="00A73B4B" w:rsidRPr="00637044" w:rsidRDefault="00A73B4B" w:rsidP="00637044">
            <w:pPr>
              <w:pStyle w:val="Tabletext1"/>
              <w:jc w:val="right"/>
              <w:rPr>
                <w:b/>
              </w:rPr>
            </w:pPr>
            <w:r w:rsidRPr="00637044">
              <w:t>$66,933,329</w:t>
            </w:r>
          </w:p>
        </w:tc>
        <w:tc>
          <w:tcPr>
            <w:tcW w:w="686" w:type="pct"/>
            <w:tcBorders>
              <w:top w:val="nil"/>
              <w:bottom w:val="nil"/>
            </w:tcBorders>
            <w:noWrap/>
          </w:tcPr>
          <w:p w14:paraId="6954FACD" w14:textId="77777777" w:rsidR="00A73B4B" w:rsidRPr="00637044" w:rsidRDefault="00A73B4B" w:rsidP="00637044">
            <w:pPr>
              <w:pStyle w:val="Tabletext1"/>
              <w:jc w:val="right"/>
              <w:rPr>
                <w:b/>
              </w:rPr>
            </w:pPr>
            <w:r w:rsidRPr="00637044">
              <w:t>$70,631,191</w:t>
            </w:r>
          </w:p>
        </w:tc>
        <w:tc>
          <w:tcPr>
            <w:tcW w:w="686" w:type="pct"/>
            <w:tcBorders>
              <w:top w:val="nil"/>
              <w:bottom w:val="nil"/>
            </w:tcBorders>
            <w:noWrap/>
          </w:tcPr>
          <w:p w14:paraId="7C266911" w14:textId="77777777" w:rsidR="00A73B4B" w:rsidRPr="00637044" w:rsidRDefault="00A73B4B" w:rsidP="00637044">
            <w:pPr>
              <w:pStyle w:val="Tabletext1"/>
              <w:jc w:val="right"/>
              <w:rPr>
                <w:b/>
              </w:rPr>
            </w:pPr>
            <w:r w:rsidRPr="00637044">
              <w:t>$74,329,054</w:t>
            </w:r>
          </w:p>
        </w:tc>
        <w:tc>
          <w:tcPr>
            <w:tcW w:w="687" w:type="pct"/>
            <w:tcBorders>
              <w:top w:val="nil"/>
              <w:bottom w:val="nil"/>
            </w:tcBorders>
            <w:noWrap/>
          </w:tcPr>
          <w:p w14:paraId="6899AA8F" w14:textId="77777777" w:rsidR="00A73B4B" w:rsidRPr="00637044" w:rsidRDefault="00A73B4B" w:rsidP="00637044">
            <w:pPr>
              <w:pStyle w:val="Tabletext1"/>
              <w:jc w:val="right"/>
              <w:rPr>
                <w:b/>
              </w:rPr>
            </w:pPr>
            <w:r w:rsidRPr="00637044">
              <w:t>$78,026,916</w:t>
            </w:r>
          </w:p>
        </w:tc>
      </w:tr>
      <w:tr w:rsidR="00A73B4B" w:rsidRPr="001B1EEE" w14:paraId="2BB15232" w14:textId="77777777" w:rsidTr="00CA4CBD">
        <w:trPr>
          <w:trHeight w:val="300"/>
        </w:trPr>
        <w:tc>
          <w:tcPr>
            <w:tcW w:w="1569" w:type="pct"/>
            <w:tcBorders>
              <w:top w:val="nil"/>
              <w:bottom w:val="single" w:sz="4" w:space="0" w:color="auto"/>
            </w:tcBorders>
            <w:noWrap/>
          </w:tcPr>
          <w:p w14:paraId="77CCCAFB" w14:textId="77777777" w:rsidR="00A73B4B" w:rsidRPr="001B1EEE" w:rsidRDefault="00A73B4B" w:rsidP="00CA4CBD">
            <w:pPr>
              <w:pStyle w:val="Tabletext1"/>
              <w:rPr>
                <w:b/>
              </w:rPr>
            </w:pPr>
            <w:r w:rsidRPr="001B1EEE">
              <w:t>Cost of Ig to the States</w:t>
            </w:r>
          </w:p>
        </w:tc>
        <w:tc>
          <w:tcPr>
            <w:tcW w:w="686" w:type="pct"/>
            <w:tcBorders>
              <w:top w:val="nil"/>
              <w:bottom w:val="single" w:sz="4" w:space="0" w:color="auto"/>
            </w:tcBorders>
            <w:noWrap/>
          </w:tcPr>
          <w:p w14:paraId="0693F80C" w14:textId="77777777" w:rsidR="00A73B4B" w:rsidRPr="00637044" w:rsidRDefault="00A73B4B" w:rsidP="00637044">
            <w:pPr>
              <w:pStyle w:val="Tabletext1"/>
              <w:jc w:val="right"/>
              <w:rPr>
                <w:b/>
              </w:rPr>
            </w:pPr>
            <w:r w:rsidRPr="00637044">
              <w:t>$37,138,290</w:t>
            </w:r>
          </w:p>
        </w:tc>
        <w:tc>
          <w:tcPr>
            <w:tcW w:w="686" w:type="pct"/>
            <w:tcBorders>
              <w:top w:val="nil"/>
              <w:bottom w:val="single" w:sz="4" w:space="0" w:color="auto"/>
            </w:tcBorders>
            <w:noWrap/>
          </w:tcPr>
          <w:p w14:paraId="759F9762" w14:textId="77777777" w:rsidR="00A73B4B" w:rsidRPr="00637044" w:rsidRDefault="00A73B4B" w:rsidP="00637044">
            <w:pPr>
              <w:pStyle w:val="Tabletext1"/>
              <w:jc w:val="right"/>
              <w:rPr>
                <w:b/>
              </w:rPr>
            </w:pPr>
            <w:r w:rsidRPr="00637044">
              <w:t>$39,310,051</w:t>
            </w:r>
          </w:p>
        </w:tc>
        <w:tc>
          <w:tcPr>
            <w:tcW w:w="686" w:type="pct"/>
            <w:tcBorders>
              <w:top w:val="nil"/>
              <w:bottom w:val="single" w:sz="4" w:space="0" w:color="auto"/>
            </w:tcBorders>
            <w:noWrap/>
          </w:tcPr>
          <w:p w14:paraId="067F7F32" w14:textId="77777777" w:rsidR="00A73B4B" w:rsidRPr="00637044" w:rsidRDefault="00A73B4B" w:rsidP="00637044">
            <w:pPr>
              <w:pStyle w:val="Tabletext1"/>
              <w:jc w:val="right"/>
              <w:rPr>
                <w:b/>
              </w:rPr>
            </w:pPr>
            <w:r w:rsidRPr="00637044">
              <w:t>$41,481,811</w:t>
            </w:r>
          </w:p>
        </w:tc>
        <w:tc>
          <w:tcPr>
            <w:tcW w:w="686" w:type="pct"/>
            <w:tcBorders>
              <w:top w:val="nil"/>
              <w:bottom w:val="single" w:sz="4" w:space="0" w:color="auto"/>
            </w:tcBorders>
            <w:noWrap/>
          </w:tcPr>
          <w:p w14:paraId="643F468D" w14:textId="77777777" w:rsidR="00A73B4B" w:rsidRPr="00637044" w:rsidRDefault="00A73B4B" w:rsidP="00637044">
            <w:pPr>
              <w:pStyle w:val="Tabletext1"/>
              <w:jc w:val="right"/>
              <w:rPr>
                <w:b/>
              </w:rPr>
            </w:pPr>
            <w:r w:rsidRPr="00637044">
              <w:t>$43,653,571</w:t>
            </w:r>
          </w:p>
        </w:tc>
        <w:tc>
          <w:tcPr>
            <w:tcW w:w="687" w:type="pct"/>
            <w:tcBorders>
              <w:top w:val="nil"/>
              <w:bottom w:val="single" w:sz="4" w:space="0" w:color="auto"/>
            </w:tcBorders>
            <w:noWrap/>
          </w:tcPr>
          <w:p w14:paraId="6A828190" w14:textId="77777777" w:rsidR="00A73B4B" w:rsidRPr="00637044" w:rsidRDefault="00A73B4B" w:rsidP="00637044">
            <w:pPr>
              <w:pStyle w:val="Tabletext1"/>
              <w:jc w:val="right"/>
              <w:rPr>
                <w:b/>
              </w:rPr>
            </w:pPr>
            <w:r w:rsidRPr="00637044">
              <w:t>$45,825,331</w:t>
            </w:r>
          </w:p>
        </w:tc>
      </w:tr>
      <w:tr w:rsidR="00A73B4B" w:rsidRPr="001B1EEE" w14:paraId="07EDDF61" w14:textId="77777777" w:rsidTr="00CA4CBD">
        <w:trPr>
          <w:trHeight w:val="300"/>
        </w:trPr>
        <w:tc>
          <w:tcPr>
            <w:tcW w:w="1569" w:type="pct"/>
            <w:tcBorders>
              <w:top w:val="nil"/>
              <w:bottom w:val="single" w:sz="4" w:space="0" w:color="auto"/>
            </w:tcBorders>
            <w:noWrap/>
          </w:tcPr>
          <w:p w14:paraId="4CAB1CAF" w14:textId="77777777" w:rsidR="00A73B4B" w:rsidRPr="001B1EEE" w:rsidRDefault="00A73B4B" w:rsidP="00CA4CBD">
            <w:pPr>
              <w:pStyle w:val="Tabletext1"/>
              <w:rPr>
                <w:b/>
              </w:rPr>
            </w:pPr>
            <w:r w:rsidRPr="00680DD5">
              <w:t>Cost of Ig administration to the States</w:t>
            </w:r>
          </w:p>
        </w:tc>
        <w:tc>
          <w:tcPr>
            <w:tcW w:w="686" w:type="pct"/>
            <w:tcBorders>
              <w:top w:val="nil"/>
              <w:bottom w:val="single" w:sz="4" w:space="0" w:color="auto"/>
            </w:tcBorders>
            <w:noWrap/>
          </w:tcPr>
          <w:p w14:paraId="5B783B37" w14:textId="77777777" w:rsidR="00A73B4B" w:rsidRPr="00637044" w:rsidRDefault="00A73B4B" w:rsidP="00637044">
            <w:pPr>
              <w:pStyle w:val="Tabletext1"/>
              <w:jc w:val="right"/>
              <w:rPr>
                <w:b/>
              </w:rPr>
            </w:pPr>
            <w:r w:rsidRPr="00637044">
              <w:t>$27,807,744</w:t>
            </w:r>
          </w:p>
        </w:tc>
        <w:tc>
          <w:tcPr>
            <w:tcW w:w="686" w:type="pct"/>
            <w:tcBorders>
              <w:top w:val="nil"/>
              <w:bottom w:val="single" w:sz="4" w:space="0" w:color="auto"/>
            </w:tcBorders>
            <w:noWrap/>
          </w:tcPr>
          <w:p w14:paraId="2E849E6C" w14:textId="77777777" w:rsidR="00A73B4B" w:rsidRPr="00637044" w:rsidRDefault="00A73B4B" w:rsidP="00637044">
            <w:pPr>
              <w:pStyle w:val="Tabletext1"/>
              <w:jc w:val="right"/>
              <w:rPr>
                <w:b/>
              </w:rPr>
            </w:pPr>
            <w:r w:rsidRPr="00637044">
              <w:t>$28,241,137</w:t>
            </w:r>
          </w:p>
        </w:tc>
        <w:tc>
          <w:tcPr>
            <w:tcW w:w="686" w:type="pct"/>
            <w:tcBorders>
              <w:top w:val="nil"/>
              <w:bottom w:val="single" w:sz="4" w:space="0" w:color="auto"/>
            </w:tcBorders>
            <w:noWrap/>
          </w:tcPr>
          <w:p w14:paraId="30BE6F39" w14:textId="77777777" w:rsidR="00A73B4B" w:rsidRPr="00637044" w:rsidRDefault="00A73B4B" w:rsidP="00637044">
            <w:pPr>
              <w:pStyle w:val="Tabletext1"/>
              <w:jc w:val="right"/>
              <w:rPr>
                <w:b/>
              </w:rPr>
            </w:pPr>
            <w:r w:rsidRPr="00637044">
              <w:t>$28,544,731</w:t>
            </w:r>
          </w:p>
        </w:tc>
        <w:tc>
          <w:tcPr>
            <w:tcW w:w="686" w:type="pct"/>
            <w:tcBorders>
              <w:top w:val="nil"/>
              <w:bottom w:val="single" w:sz="4" w:space="0" w:color="auto"/>
            </w:tcBorders>
            <w:noWrap/>
          </w:tcPr>
          <w:p w14:paraId="14BDBD52" w14:textId="77777777" w:rsidR="00A73B4B" w:rsidRPr="00637044" w:rsidRDefault="00A73B4B" w:rsidP="00637044">
            <w:pPr>
              <w:pStyle w:val="Tabletext1"/>
              <w:jc w:val="right"/>
              <w:rPr>
                <w:b/>
              </w:rPr>
            </w:pPr>
            <w:r w:rsidRPr="00637044">
              <w:t>$28,721,337</w:t>
            </w:r>
          </w:p>
        </w:tc>
        <w:tc>
          <w:tcPr>
            <w:tcW w:w="687" w:type="pct"/>
            <w:tcBorders>
              <w:top w:val="nil"/>
              <w:bottom w:val="single" w:sz="4" w:space="0" w:color="auto"/>
            </w:tcBorders>
            <w:noWrap/>
          </w:tcPr>
          <w:p w14:paraId="4E149D93" w14:textId="77777777" w:rsidR="00A73B4B" w:rsidRPr="00637044" w:rsidRDefault="00A73B4B" w:rsidP="00637044">
            <w:pPr>
              <w:pStyle w:val="Tabletext1"/>
              <w:jc w:val="right"/>
              <w:rPr>
                <w:b/>
              </w:rPr>
            </w:pPr>
            <w:r w:rsidRPr="00637044">
              <w:t>$28,773,765</w:t>
            </w:r>
          </w:p>
        </w:tc>
      </w:tr>
      <w:tr w:rsidR="00A73B4B" w:rsidRPr="001A376A" w14:paraId="5169686C" w14:textId="77777777" w:rsidTr="00CA4CBD">
        <w:trPr>
          <w:trHeight w:val="300"/>
        </w:trPr>
        <w:tc>
          <w:tcPr>
            <w:tcW w:w="1569" w:type="pct"/>
            <w:tcBorders>
              <w:bottom w:val="nil"/>
            </w:tcBorders>
            <w:noWrap/>
          </w:tcPr>
          <w:p w14:paraId="4B9F50F2" w14:textId="77777777" w:rsidR="00A73B4B" w:rsidRPr="001A376A" w:rsidRDefault="00A73B4B" w:rsidP="00CA4CBD">
            <w:pPr>
              <w:pStyle w:val="Tabletext1"/>
              <w:rPr>
                <w:b/>
              </w:rPr>
            </w:pPr>
            <w:r w:rsidRPr="001A376A">
              <w:rPr>
                <w:b/>
              </w:rPr>
              <w:t>Net cost</w:t>
            </w:r>
          </w:p>
        </w:tc>
        <w:tc>
          <w:tcPr>
            <w:tcW w:w="686" w:type="pct"/>
            <w:tcBorders>
              <w:bottom w:val="nil"/>
            </w:tcBorders>
            <w:noWrap/>
          </w:tcPr>
          <w:p w14:paraId="39F14368" w14:textId="77777777" w:rsidR="00A73B4B" w:rsidRPr="00637044" w:rsidRDefault="00A73B4B" w:rsidP="00637044">
            <w:pPr>
              <w:pStyle w:val="Tabletext1"/>
              <w:jc w:val="right"/>
              <w:rPr>
                <w:b/>
              </w:rPr>
            </w:pPr>
            <w:r w:rsidRPr="00637044">
              <w:rPr>
                <w:b/>
              </w:rPr>
              <w:t>$128,181,501</w:t>
            </w:r>
          </w:p>
        </w:tc>
        <w:tc>
          <w:tcPr>
            <w:tcW w:w="686" w:type="pct"/>
            <w:tcBorders>
              <w:bottom w:val="nil"/>
            </w:tcBorders>
            <w:noWrap/>
          </w:tcPr>
          <w:p w14:paraId="77B3D168" w14:textId="77777777" w:rsidR="00A73B4B" w:rsidRPr="00637044" w:rsidRDefault="00A73B4B" w:rsidP="00637044">
            <w:pPr>
              <w:pStyle w:val="Tabletext1"/>
              <w:jc w:val="right"/>
              <w:rPr>
                <w:b/>
              </w:rPr>
            </w:pPr>
            <w:r w:rsidRPr="00637044">
              <w:rPr>
                <w:b/>
              </w:rPr>
              <w:t>$134,484,517</w:t>
            </w:r>
          </w:p>
        </w:tc>
        <w:tc>
          <w:tcPr>
            <w:tcW w:w="686" w:type="pct"/>
            <w:tcBorders>
              <w:bottom w:val="nil"/>
            </w:tcBorders>
            <w:noWrap/>
          </w:tcPr>
          <w:p w14:paraId="487580CF" w14:textId="77777777" w:rsidR="00A73B4B" w:rsidRPr="00637044" w:rsidRDefault="00A73B4B" w:rsidP="00637044">
            <w:pPr>
              <w:pStyle w:val="Tabletext1"/>
              <w:jc w:val="right"/>
              <w:rPr>
                <w:b/>
              </w:rPr>
            </w:pPr>
            <w:r w:rsidRPr="00637044">
              <w:rPr>
                <w:b/>
              </w:rPr>
              <w:t>$140,657,733</w:t>
            </w:r>
          </w:p>
        </w:tc>
        <w:tc>
          <w:tcPr>
            <w:tcW w:w="686" w:type="pct"/>
            <w:tcBorders>
              <w:bottom w:val="nil"/>
            </w:tcBorders>
            <w:noWrap/>
          </w:tcPr>
          <w:p w14:paraId="5EDB731E" w14:textId="77777777" w:rsidR="00A73B4B" w:rsidRPr="00637044" w:rsidRDefault="00A73B4B" w:rsidP="00637044">
            <w:pPr>
              <w:pStyle w:val="Tabletext1"/>
              <w:jc w:val="right"/>
              <w:rPr>
                <w:b/>
              </w:rPr>
            </w:pPr>
            <w:r w:rsidRPr="00637044">
              <w:rPr>
                <w:b/>
              </w:rPr>
              <w:t>$146,703,962</w:t>
            </w:r>
          </w:p>
        </w:tc>
        <w:tc>
          <w:tcPr>
            <w:tcW w:w="687" w:type="pct"/>
            <w:tcBorders>
              <w:bottom w:val="nil"/>
            </w:tcBorders>
            <w:noWrap/>
          </w:tcPr>
          <w:p w14:paraId="23DC31A6" w14:textId="77777777" w:rsidR="00A73B4B" w:rsidRPr="00637044" w:rsidRDefault="00A73B4B" w:rsidP="00637044">
            <w:pPr>
              <w:pStyle w:val="Tabletext1"/>
              <w:jc w:val="right"/>
              <w:rPr>
                <w:b/>
              </w:rPr>
            </w:pPr>
            <w:r w:rsidRPr="00637044">
              <w:rPr>
                <w:b/>
              </w:rPr>
              <w:t>$152,626,012</w:t>
            </w:r>
          </w:p>
        </w:tc>
      </w:tr>
      <w:tr w:rsidR="00A73B4B" w:rsidRPr="002C55F2" w14:paraId="60B1BBF8" w14:textId="77777777" w:rsidTr="00CA4CBD">
        <w:trPr>
          <w:trHeight w:val="300"/>
        </w:trPr>
        <w:tc>
          <w:tcPr>
            <w:tcW w:w="1569" w:type="pct"/>
            <w:tcBorders>
              <w:top w:val="nil"/>
              <w:bottom w:val="nil"/>
            </w:tcBorders>
            <w:noWrap/>
          </w:tcPr>
          <w:p w14:paraId="53D7DD23" w14:textId="77777777" w:rsidR="00A73B4B" w:rsidRPr="001B1EEE" w:rsidRDefault="00A73B4B" w:rsidP="00CA4CBD">
            <w:pPr>
              <w:pStyle w:val="Tabletext1"/>
              <w:rPr>
                <w:b/>
              </w:rPr>
            </w:pPr>
            <w:r w:rsidRPr="001B1EEE">
              <w:t>Net cost to the Commonwealth</w:t>
            </w:r>
          </w:p>
        </w:tc>
        <w:tc>
          <w:tcPr>
            <w:tcW w:w="686" w:type="pct"/>
            <w:tcBorders>
              <w:top w:val="nil"/>
              <w:bottom w:val="nil"/>
            </w:tcBorders>
            <w:noWrap/>
          </w:tcPr>
          <w:p w14:paraId="1B4B62C1" w14:textId="77777777" w:rsidR="00A73B4B" w:rsidRPr="00637044" w:rsidRDefault="00A73B4B" w:rsidP="00637044">
            <w:pPr>
              <w:pStyle w:val="Tabletext1"/>
              <w:jc w:val="right"/>
              <w:rPr>
                <w:b/>
              </w:rPr>
            </w:pPr>
            <w:r w:rsidRPr="00637044">
              <w:t>$63,235,467</w:t>
            </w:r>
          </w:p>
        </w:tc>
        <w:tc>
          <w:tcPr>
            <w:tcW w:w="686" w:type="pct"/>
            <w:tcBorders>
              <w:top w:val="nil"/>
              <w:bottom w:val="nil"/>
            </w:tcBorders>
            <w:noWrap/>
          </w:tcPr>
          <w:p w14:paraId="36185431" w14:textId="77777777" w:rsidR="00A73B4B" w:rsidRPr="00637044" w:rsidRDefault="00A73B4B" w:rsidP="00637044">
            <w:pPr>
              <w:pStyle w:val="Tabletext1"/>
              <w:jc w:val="right"/>
              <w:rPr>
                <w:b/>
              </w:rPr>
            </w:pPr>
            <w:r w:rsidRPr="00637044">
              <w:t>$66,933,329</w:t>
            </w:r>
          </w:p>
        </w:tc>
        <w:tc>
          <w:tcPr>
            <w:tcW w:w="686" w:type="pct"/>
            <w:tcBorders>
              <w:top w:val="nil"/>
              <w:bottom w:val="nil"/>
            </w:tcBorders>
            <w:noWrap/>
          </w:tcPr>
          <w:p w14:paraId="5E62999D" w14:textId="77777777" w:rsidR="00A73B4B" w:rsidRPr="00637044" w:rsidRDefault="00A73B4B" w:rsidP="00637044">
            <w:pPr>
              <w:pStyle w:val="Tabletext1"/>
              <w:jc w:val="right"/>
              <w:rPr>
                <w:b/>
              </w:rPr>
            </w:pPr>
            <w:r w:rsidRPr="00637044">
              <w:t>$70,631,191</w:t>
            </w:r>
          </w:p>
        </w:tc>
        <w:tc>
          <w:tcPr>
            <w:tcW w:w="686" w:type="pct"/>
            <w:tcBorders>
              <w:top w:val="nil"/>
              <w:bottom w:val="nil"/>
            </w:tcBorders>
            <w:noWrap/>
          </w:tcPr>
          <w:p w14:paraId="07AC169F" w14:textId="77777777" w:rsidR="00A73B4B" w:rsidRPr="00637044" w:rsidRDefault="00A73B4B" w:rsidP="00637044">
            <w:pPr>
              <w:pStyle w:val="Tabletext1"/>
              <w:jc w:val="right"/>
              <w:rPr>
                <w:b/>
              </w:rPr>
            </w:pPr>
            <w:r w:rsidRPr="00637044">
              <w:t>$74,329,054</w:t>
            </w:r>
          </w:p>
        </w:tc>
        <w:tc>
          <w:tcPr>
            <w:tcW w:w="687" w:type="pct"/>
            <w:tcBorders>
              <w:top w:val="nil"/>
              <w:bottom w:val="nil"/>
            </w:tcBorders>
            <w:noWrap/>
          </w:tcPr>
          <w:p w14:paraId="6FEC8B87" w14:textId="77777777" w:rsidR="00A73B4B" w:rsidRPr="00637044" w:rsidRDefault="00A73B4B" w:rsidP="00637044">
            <w:pPr>
              <w:pStyle w:val="Tabletext1"/>
              <w:jc w:val="right"/>
              <w:rPr>
                <w:b/>
              </w:rPr>
            </w:pPr>
            <w:r w:rsidRPr="00637044">
              <w:t>$78,026,916</w:t>
            </w:r>
          </w:p>
        </w:tc>
      </w:tr>
      <w:tr w:rsidR="00A73B4B" w:rsidRPr="002C55F2" w14:paraId="0C10061C" w14:textId="77777777" w:rsidTr="00CA4CBD">
        <w:trPr>
          <w:trHeight w:val="300"/>
        </w:trPr>
        <w:tc>
          <w:tcPr>
            <w:tcW w:w="1569" w:type="pct"/>
            <w:tcBorders>
              <w:top w:val="nil"/>
              <w:bottom w:val="single" w:sz="4" w:space="0" w:color="auto"/>
            </w:tcBorders>
            <w:noWrap/>
          </w:tcPr>
          <w:p w14:paraId="1D84F1BD" w14:textId="77777777" w:rsidR="00A73B4B" w:rsidRPr="001B1EEE" w:rsidRDefault="00A73B4B" w:rsidP="00CA4CBD">
            <w:pPr>
              <w:pStyle w:val="Tabletext1"/>
              <w:rPr>
                <w:b/>
              </w:rPr>
            </w:pPr>
            <w:r w:rsidRPr="001B1EEE">
              <w:t>Net cost to States</w:t>
            </w:r>
          </w:p>
        </w:tc>
        <w:tc>
          <w:tcPr>
            <w:tcW w:w="686" w:type="pct"/>
            <w:tcBorders>
              <w:top w:val="nil"/>
              <w:bottom w:val="single" w:sz="4" w:space="0" w:color="auto"/>
            </w:tcBorders>
            <w:noWrap/>
          </w:tcPr>
          <w:p w14:paraId="103A8E92" w14:textId="77777777" w:rsidR="00A73B4B" w:rsidRPr="00637044" w:rsidRDefault="00A73B4B" w:rsidP="00637044">
            <w:pPr>
              <w:pStyle w:val="Tabletext1"/>
              <w:jc w:val="right"/>
              <w:rPr>
                <w:b/>
              </w:rPr>
            </w:pPr>
            <w:r w:rsidRPr="00637044">
              <w:t>$64,946,034</w:t>
            </w:r>
          </w:p>
        </w:tc>
        <w:tc>
          <w:tcPr>
            <w:tcW w:w="686" w:type="pct"/>
            <w:tcBorders>
              <w:top w:val="nil"/>
              <w:bottom w:val="single" w:sz="4" w:space="0" w:color="auto"/>
            </w:tcBorders>
            <w:noWrap/>
          </w:tcPr>
          <w:p w14:paraId="317C1F47" w14:textId="77777777" w:rsidR="00A73B4B" w:rsidRPr="00637044" w:rsidRDefault="00A73B4B" w:rsidP="00637044">
            <w:pPr>
              <w:pStyle w:val="Tabletext1"/>
              <w:jc w:val="right"/>
              <w:rPr>
                <w:b/>
              </w:rPr>
            </w:pPr>
            <w:r w:rsidRPr="00637044">
              <w:t>$67,551,187</w:t>
            </w:r>
          </w:p>
        </w:tc>
        <w:tc>
          <w:tcPr>
            <w:tcW w:w="686" w:type="pct"/>
            <w:tcBorders>
              <w:top w:val="nil"/>
              <w:bottom w:val="single" w:sz="4" w:space="0" w:color="auto"/>
            </w:tcBorders>
            <w:noWrap/>
          </w:tcPr>
          <w:p w14:paraId="01C8AF07" w14:textId="77777777" w:rsidR="00A73B4B" w:rsidRPr="00637044" w:rsidRDefault="00A73B4B" w:rsidP="00637044">
            <w:pPr>
              <w:pStyle w:val="Tabletext1"/>
              <w:jc w:val="right"/>
              <w:rPr>
                <w:b/>
              </w:rPr>
            </w:pPr>
            <w:r w:rsidRPr="00637044">
              <w:t>$70,026,542</w:t>
            </w:r>
          </w:p>
        </w:tc>
        <w:tc>
          <w:tcPr>
            <w:tcW w:w="686" w:type="pct"/>
            <w:tcBorders>
              <w:top w:val="nil"/>
              <w:bottom w:val="single" w:sz="4" w:space="0" w:color="auto"/>
            </w:tcBorders>
            <w:noWrap/>
          </w:tcPr>
          <w:p w14:paraId="0AEF56EB" w14:textId="77777777" w:rsidR="00A73B4B" w:rsidRPr="00637044" w:rsidRDefault="00A73B4B" w:rsidP="00637044">
            <w:pPr>
              <w:pStyle w:val="Tabletext1"/>
              <w:jc w:val="right"/>
              <w:rPr>
                <w:b/>
              </w:rPr>
            </w:pPr>
            <w:r w:rsidRPr="00637044">
              <w:t>$72,374,908</w:t>
            </w:r>
          </w:p>
        </w:tc>
        <w:tc>
          <w:tcPr>
            <w:tcW w:w="687" w:type="pct"/>
            <w:tcBorders>
              <w:top w:val="nil"/>
              <w:bottom w:val="single" w:sz="4" w:space="0" w:color="auto"/>
            </w:tcBorders>
            <w:noWrap/>
          </w:tcPr>
          <w:p w14:paraId="1AE631C5" w14:textId="77777777" w:rsidR="00A73B4B" w:rsidRPr="00637044" w:rsidRDefault="00A73B4B" w:rsidP="00637044">
            <w:pPr>
              <w:pStyle w:val="Tabletext1"/>
              <w:jc w:val="right"/>
              <w:rPr>
                <w:b/>
              </w:rPr>
            </w:pPr>
            <w:r w:rsidRPr="00637044">
              <w:t>$74,599,096</w:t>
            </w:r>
          </w:p>
        </w:tc>
      </w:tr>
      <w:tr w:rsidR="00A73B4B" w:rsidRPr="002C55F2" w14:paraId="35FECC52" w14:textId="77777777" w:rsidTr="00CA4CBD">
        <w:trPr>
          <w:trHeight w:val="300"/>
        </w:trPr>
        <w:tc>
          <w:tcPr>
            <w:tcW w:w="1569" w:type="pct"/>
            <w:tcBorders>
              <w:right w:val="nil"/>
            </w:tcBorders>
            <w:noWrap/>
          </w:tcPr>
          <w:p w14:paraId="5DC72990" w14:textId="77777777" w:rsidR="00A73B4B" w:rsidRPr="001B1EEE" w:rsidRDefault="00A73B4B" w:rsidP="00CA4CBD">
            <w:pPr>
              <w:pStyle w:val="Tabletext1"/>
              <w:rPr>
                <w:b/>
              </w:rPr>
            </w:pPr>
            <w:r>
              <w:t>Sensitivity</w:t>
            </w:r>
            <w:r w:rsidRPr="00932BDA">
              <w:t xml:space="preserve"> analyses for the cost per gram of Ig (base case: $60.41)</w:t>
            </w:r>
          </w:p>
        </w:tc>
        <w:tc>
          <w:tcPr>
            <w:tcW w:w="686" w:type="pct"/>
            <w:tcBorders>
              <w:left w:val="nil"/>
              <w:right w:val="nil"/>
            </w:tcBorders>
            <w:noWrap/>
          </w:tcPr>
          <w:p w14:paraId="3C926326" w14:textId="77777777" w:rsidR="00A73B4B" w:rsidRPr="00637044" w:rsidRDefault="00A73B4B" w:rsidP="00637044">
            <w:pPr>
              <w:pStyle w:val="Tabletext1"/>
              <w:jc w:val="right"/>
              <w:rPr>
                <w:b/>
              </w:rPr>
            </w:pPr>
          </w:p>
        </w:tc>
        <w:tc>
          <w:tcPr>
            <w:tcW w:w="686" w:type="pct"/>
            <w:tcBorders>
              <w:left w:val="nil"/>
              <w:right w:val="nil"/>
            </w:tcBorders>
            <w:noWrap/>
          </w:tcPr>
          <w:p w14:paraId="56F28544" w14:textId="77777777" w:rsidR="00A73B4B" w:rsidRPr="00637044" w:rsidRDefault="00A73B4B" w:rsidP="00637044">
            <w:pPr>
              <w:pStyle w:val="Tabletext1"/>
              <w:jc w:val="right"/>
              <w:rPr>
                <w:b/>
              </w:rPr>
            </w:pPr>
          </w:p>
        </w:tc>
        <w:tc>
          <w:tcPr>
            <w:tcW w:w="686" w:type="pct"/>
            <w:tcBorders>
              <w:left w:val="nil"/>
              <w:right w:val="nil"/>
            </w:tcBorders>
            <w:noWrap/>
          </w:tcPr>
          <w:p w14:paraId="30EF6117" w14:textId="77777777" w:rsidR="00A73B4B" w:rsidRPr="00637044" w:rsidRDefault="00A73B4B" w:rsidP="00637044">
            <w:pPr>
              <w:pStyle w:val="Tabletext1"/>
              <w:jc w:val="right"/>
              <w:rPr>
                <w:b/>
              </w:rPr>
            </w:pPr>
          </w:p>
        </w:tc>
        <w:tc>
          <w:tcPr>
            <w:tcW w:w="686" w:type="pct"/>
            <w:tcBorders>
              <w:left w:val="nil"/>
              <w:right w:val="nil"/>
            </w:tcBorders>
            <w:noWrap/>
          </w:tcPr>
          <w:p w14:paraId="6A6C6B98" w14:textId="77777777" w:rsidR="00A73B4B" w:rsidRPr="00637044" w:rsidRDefault="00A73B4B" w:rsidP="00637044">
            <w:pPr>
              <w:pStyle w:val="Tabletext1"/>
              <w:jc w:val="right"/>
              <w:rPr>
                <w:b/>
              </w:rPr>
            </w:pPr>
          </w:p>
        </w:tc>
        <w:tc>
          <w:tcPr>
            <w:tcW w:w="687" w:type="pct"/>
            <w:tcBorders>
              <w:left w:val="nil"/>
            </w:tcBorders>
            <w:noWrap/>
          </w:tcPr>
          <w:p w14:paraId="5C68A7EB" w14:textId="77777777" w:rsidR="00A73B4B" w:rsidRPr="00637044" w:rsidRDefault="00A73B4B" w:rsidP="00637044">
            <w:pPr>
              <w:pStyle w:val="Tabletext1"/>
              <w:jc w:val="right"/>
              <w:rPr>
                <w:b/>
              </w:rPr>
            </w:pPr>
          </w:p>
        </w:tc>
      </w:tr>
      <w:tr w:rsidR="00A73B4B" w:rsidRPr="002C55F2" w14:paraId="2F17622D" w14:textId="77777777" w:rsidTr="00CA4CBD">
        <w:trPr>
          <w:trHeight w:val="300"/>
        </w:trPr>
        <w:tc>
          <w:tcPr>
            <w:tcW w:w="1569" w:type="pct"/>
            <w:noWrap/>
          </w:tcPr>
          <w:p w14:paraId="0AF1397D" w14:textId="77777777" w:rsidR="00A73B4B" w:rsidRPr="001B1EEE" w:rsidRDefault="00A73B4B" w:rsidP="00CA4CBD">
            <w:pPr>
              <w:pStyle w:val="Tabletext1"/>
              <w:rPr>
                <w:b/>
              </w:rPr>
            </w:pPr>
            <w:r w:rsidRPr="00AB4E3E">
              <w:t>High cost</w:t>
            </w:r>
            <w:r>
              <w:t xml:space="preserve"> of Ig</w:t>
            </w:r>
            <w:r w:rsidRPr="00AB4E3E">
              <w:t xml:space="preserve"> $140.18</w:t>
            </w:r>
          </w:p>
        </w:tc>
        <w:tc>
          <w:tcPr>
            <w:tcW w:w="686" w:type="pct"/>
            <w:noWrap/>
          </w:tcPr>
          <w:p w14:paraId="63371FC3" w14:textId="77777777" w:rsidR="00A73B4B" w:rsidRPr="00637044" w:rsidRDefault="00A73B4B" w:rsidP="00637044">
            <w:pPr>
              <w:pStyle w:val="Tabletext1"/>
              <w:jc w:val="right"/>
            </w:pPr>
            <w:r w:rsidRPr="00637044">
              <w:t>$260,722,714</w:t>
            </w:r>
          </w:p>
        </w:tc>
        <w:tc>
          <w:tcPr>
            <w:tcW w:w="686" w:type="pct"/>
            <w:noWrap/>
          </w:tcPr>
          <w:p w14:paraId="54CA7440" w14:textId="77777777" w:rsidR="00A73B4B" w:rsidRPr="00637044" w:rsidRDefault="00A73B4B" w:rsidP="00637044">
            <w:pPr>
              <w:pStyle w:val="Tabletext1"/>
              <w:jc w:val="right"/>
            </w:pPr>
            <w:r w:rsidRPr="00637044">
              <w:t>$274,776,429</w:t>
            </w:r>
          </w:p>
        </w:tc>
        <w:tc>
          <w:tcPr>
            <w:tcW w:w="686" w:type="pct"/>
            <w:noWrap/>
          </w:tcPr>
          <w:p w14:paraId="75DA911D" w14:textId="77777777" w:rsidR="00A73B4B" w:rsidRPr="00637044" w:rsidRDefault="00A73B4B" w:rsidP="00637044">
            <w:pPr>
              <w:pStyle w:val="Tabletext1"/>
              <w:jc w:val="right"/>
            </w:pPr>
            <w:r w:rsidRPr="00637044">
              <w:t>$288,700,345</w:t>
            </w:r>
          </w:p>
        </w:tc>
        <w:tc>
          <w:tcPr>
            <w:tcW w:w="686" w:type="pct"/>
            <w:noWrap/>
          </w:tcPr>
          <w:p w14:paraId="5CFE0BE1" w14:textId="77777777" w:rsidR="00A73B4B" w:rsidRPr="00637044" w:rsidRDefault="00A73B4B" w:rsidP="00637044">
            <w:pPr>
              <w:pStyle w:val="Tabletext1"/>
              <w:jc w:val="right"/>
            </w:pPr>
            <w:r w:rsidRPr="00637044">
              <w:t>$302,497,273</w:t>
            </w:r>
          </w:p>
        </w:tc>
        <w:tc>
          <w:tcPr>
            <w:tcW w:w="687" w:type="pct"/>
            <w:noWrap/>
          </w:tcPr>
          <w:p w14:paraId="191AAACE" w14:textId="77777777" w:rsidR="00A73B4B" w:rsidRPr="00637044" w:rsidRDefault="00A73B4B" w:rsidP="00637044">
            <w:pPr>
              <w:pStyle w:val="Tabletext1"/>
              <w:jc w:val="right"/>
            </w:pPr>
            <w:r w:rsidRPr="00637044">
              <w:t>$316,170,024</w:t>
            </w:r>
          </w:p>
        </w:tc>
      </w:tr>
      <w:tr w:rsidR="00A73B4B" w:rsidRPr="002C55F2" w14:paraId="20359E9E" w14:textId="77777777" w:rsidTr="00CA4CBD">
        <w:trPr>
          <w:trHeight w:val="300"/>
        </w:trPr>
        <w:tc>
          <w:tcPr>
            <w:tcW w:w="1569" w:type="pct"/>
            <w:noWrap/>
          </w:tcPr>
          <w:p w14:paraId="2F1E1ACF" w14:textId="77777777" w:rsidR="00A73B4B" w:rsidRPr="001B1EEE" w:rsidRDefault="00A73B4B" w:rsidP="00CA4CBD">
            <w:pPr>
              <w:pStyle w:val="Tabletext1"/>
              <w:rPr>
                <w:b/>
              </w:rPr>
            </w:pPr>
            <w:r w:rsidRPr="00AB4E3E">
              <w:t>Low cost</w:t>
            </w:r>
            <w:r>
              <w:t xml:space="preserve"> of Ig</w:t>
            </w:r>
            <w:r w:rsidRPr="00AB4E3E">
              <w:t>, $44.94</w:t>
            </w:r>
          </w:p>
        </w:tc>
        <w:tc>
          <w:tcPr>
            <w:tcW w:w="686" w:type="pct"/>
            <w:noWrap/>
          </w:tcPr>
          <w:p w14:paraId="30F75576" w14:textId="77777777" w:rsidR="00A73B4B" w:rsidRPr="00637044" w:rsidRDefault="00A73B4B" w:rsidP="00637044">
            <w:pPr>
              <w:pStyle w:val="Tabletext1"/>
              <w:jc w:val="right"/>
            </w:pPr>
            <w:r w:rsidRPr="00637044">
              <w:t>$102,477,445</w:t>
            </w:r>
          </w:p>
        </w:tc>
        <w:tc>
          <w:tcPr>
            <w:tcW w:w="686" w:type="pct"/>
            <w:noWrap/>
          </w:tcPr>
          <w:p w14:paraId="1B9656AD" w14:textId="77777777" w:rsidR="00A73B4B" w:rsidRPr="00637044" w:rsidRDefault="00A73B4B" w:rsidP="00637044">
            <w:pPr>
              <w:pStyle w:val="Tabletext1"/>
              <w:jc w:val="right"/>
            </w:pPr>
            <w:r w:rsidRPr="00637044">
              <w:t>$107,277,348</w:t>
            </w:r>
          </w:p>
        </w:tc>
        <w:tc>
          <w:tcPr>
            <w:tcW w:w="686" w:type="pct"/>
            <w:noWrap/>
          </w:tcPr>
          <w:p w14:paraId="7187F746" w14:textId="77777777" w:rsidR="00A73B4B" w:rsidRPr="00637044" w:rsidRDefault="00A73B4B" w:rsidP="00637044">
            <w:pPr>
              <w:pStyle w:val="Tabletext1"/>
              <w:jc w:val="right"/>
            </w:pPr>
            <w:r w:rsidRPr="00637044">
              <w:t>$111,947,451</w:t>
            </w:r>
          </w:p>
        </w:tc>
        <w:tc>
          <w:tcPr>
            <w:tcW w:w="686" w:type="pct"/>
            <w:noWrap/>
          </w:tcPr>
          <w:p w14:paraId="08261CC3" w14:textId="77777777" w:rsidR="00A73B4B" w:rsidRPr="00637044" w:rsidRDefault="00A73B4B" w:rsidP="00637044">
            <w:pPr>
              <w:pStyle w:val="Tabletext1"/>
              <w:jc w:val="right"/>
            </w:pPr>
            <w:r w:rsidRPr="00637044">
              <w:t>$116,490,566</w:t>
            </w:r>
          </w:p>
        </w:tc>
        <w:tc>
          <w:tcPr>
            <w:tcW w:w="687" w:type="pct"/>
            <w:noWrap/>
          </w:tcPr>
          <w:p w14:paraId="392A20B5" w14:textId="77777777" w:rsidR="00A73B4B" w:rsidRPr="00637044" w:rsidRDefault="00A73B4B" w:rsidP="00637044">
            <w:pPr>
              <w:pStyle w:val="Tabletext1"/>
              <w:jc w:val="right"/>
            </w:pPr>
            <w:r w:rsidRPr="00637044">
              <w:t>$120,909,504</w:t>
            </w:r>
          </w:p>
        </w:tc>
      </w:tr>
      <w:tr w:rsidR="00A73B4B" w:rsidRPr="002C55F2" w14:paraId="2E65A473" w14:textId="77777777" w:rsidTr="00CA4CBD">
        <w:trPr>
          <w:trHeight w:val="300"/>
        </w:trPr>
        <w:tc>
          <w:tcPr>
            <w:tcW w:w="1569" w:type="pct"/>
            <w:noWrap/>
          </w:tcPr>
          <w:p w14:paraId="4412C53A" w14:textId="61A7C2BF" w:rsidR="00A73B4B" w:rsidRPr="001B1EEE" w:rsidRDefault="00A73B4B" w:rsidP="00CA4CBD">
            <w:pPr>
              <w:pStyle w:val="Tabletext1"/>
              <w:rPr>
                <w:b/>
              </w:rPr>
            </w:pPr>
            <w:r w:rsidRPr="00AB4E3E">
              <w:t>Weighted average</w:t>
            </w:r>
            <w:r>
              <w:t xml:space="preserve"> cost of Ig</w:t>
            </w:r>
            <w:r w:rsidRPr="00AB4E3E">
              <w:t>, $94.51</w:t>
            </w:r>
          </w:p>
        </w:tc>
        <w:tc>
          <w:tcPr>
            <w:tcW w:w="686" w:type="pct"/>
            <w:noWrap/>
          </w:tcPr>
          <w:p w14:paraId="1F2513E5" w14:textId="77777777" w:rsidR="00A73B4B" w:rsidRPr="00637044" w:rsidRDefault="00A73B4B" w:rsidP="00637044">
            <w:pPr>
              <w:pStyle w:val="Tabletext1"/>
              <w:jc w:val="right"/>
            </w:pPr>
            <w:r w:rsidRPr="00637044">
              <w:t>$184,834,531</w:t>
            </w:r>
          </w:p>
        </w:tc>
        <w:tc>
          <w:tcPr>
            <w:tcW w:w="686" w:type="pct"/>
            <w:noWrap/>
          </w:tcPr>
          <w:p w14:paraId="6C78F927" w14:textId="77777777" w:rsidR="00A73B4B" w:rsidRPr="00637044" w:rsidRDefault="00A73B4B" w:rsidP="00637044">
            <w:pPr>
              <w:pStyle w:val="Tabletext1"/>
              <w:jc w:val="right"/>
            </w:pPr>
            <w:r w:rsidRPr="00637044">
              <w:t>$194,450,483</w:t>
            </w:r>
          </w:p>
        </w:tc>
        <w:tc>
          <w:tcPr>
            <w:tcW w:w="686" w:type="pct"/>
            <w:noWrap/>
          </w:tcPr>
          <w:p w14:paraId="77FB3983" w14:textId="77777777" w:rsidR="00A73B4B" w:rsidRPr="00637044" w:rsidRDefault="00A73B4B" w:rsidP="00637044">
            <w:pPr>
              <w:pStyle w:val="Tabletext1"/>
              <w:jc w:val="right"/>
            </w:pPr>
            <w:r w:rsidRPr="00637044">
              <w:t>$203,936,636</w:t>
            </w:r>
          </w:p>
        </w:tc>
        <w:tc>
          <w:tcPr>
            <w:tcW w:w="686" w:type="pct"/>
            <w:noWrap/>
          </w:tcPr>
          <w:p w14:paraId="7BDA499A" w14:textId="77777777" w:rsidR="00A73B4B" w:rsidRPr="00637044" w:rsidRDefault="00A73B4B" w:rsidP="00637044">
            <w:pPr>
              <w:pStyle w:val="Tabletext1"/>
              <w:jc w:val="right"/>
            </w:pPr>
            <w:r w:rsidRPr="00637044">
              <w:t>$213,295,801</w:t>
            </w:r>
          </w:p>
        </w:tc>
        <w:tc>
          <w:tcPr>
            <w:tcW w:w="687" w:type="pct"/>
            <w:noWrap/>
          </w:tcPr>
          <w:p w14:paraId="00469242" w14:textId="77777777" w:rsidR="00A73B4B" w:rsidRPr="00637044" w:rsidRDefault="00A73B4B" w:rsidP="00637044">
            <w:pPr>
              <w:pStyle w:val="Tabletext1"/>
              <w:jc w:val="right"/>
            </w:pPr>
            <w:r w:rsidRPr="00637044">
              <w:t>$222,530,788</w:t>
            </w:r>
          </w:p>
        </w:tc>
      </w:tr>
    </w:tbl>
    <w:p w14:paraId="6B219EED" w14:textId="22BDD0F5" w:rsidR="00015EDD" w:rsidRDefault="00015EDD" w:rsidP="00015EDD">
      <w:pPr>
        <w:pStyle w:val="Tablenotes0"/>
      </w:pPr>
      <w:bookmarkStart w:id="91" w:name="_Toc426968112"/>
      <w:bookmarkStart w:id="92" w:name="_Toc395200754"/>
      <w:bookmarkStart w:id="93" w:name="_Toc379118060"/>
      <w:bookmarkStart w:id="94" w:name="_Toc379118252"/>
      <w:bookmarkEnd w:id="69"/>
      <w:bookmarkEnd w:id="70"/>
      <w:bookmarkEnd w:id="71"/>
      <w:bookmarkEnd w:id="72"/>
      <w:r>
        <w:t>CIDP =</w:t>
      </w:r>
      <w:r w:rsidRPr="00015EDD">
        <w:t xml:space="preserve"> </w:t>
      </w:r>
      <w:r>
        <w:t>chronic inflammatory demyelinating p</w:t>
      </w:r>
      <w:r w:rsidRPr="00015EDD">
        <w:t>olyneuropathy</w:t>
      </w:r>
      <w:r>
        <w:t xml:space="preserve">; </w:t>
      </w:r>
      <w:r w:rsidRPr="00015EDD">
        <w:t>Ig = immunoglobulin</w:t>
      </w:r>
    </w:p>
    <w:p w14:paraId="0C62ABA5" w14:textId="46349AC0" w:rsidR="00A60DF4" w:rsidRPr="00E3331A" w:rsidRDefault="00A60DF4" w:rsidP="00A60DF4">
      <w:pPr>
        <w:pStyle w:val="Heading3"/>
      </w:pPr>
      <w:bookmarkStart w:id="95" w:name="_Toc69305538"/>
      <w:r w:rsidRPr="00E3331A">
        <w:t>Consumer impact summary</w:t>
      </w:r>
      <w:bookmarkEnd w:id="91"/>
      <w:bookmarkEnd w:id="95"/>
    </w:p>
    <w:p w14:paraId="405F8EF7" w14:textId="77777777" w:rsidR="006C008C" w:rsidRDefault="006C008C" w:rsidP="00BC1714">
      <w:r>
        <w:t>There was no additional feedback from consumers to report.</w:t>
      </w:r>
      <w:r w:rsidRPr="00E3331A">
        <w:t xml:space="preserve"> </w:t>
      </w:r>
    </w:p>
    <w:bookmarkEnd w:id="92"/>
    <w:bookmarkEnd w:id="93"/>
    <w:bookmarkEnd w:id="94"/>
    <w:p w14:paraId="2CFC7226" w14:textId="77777777" w:rsidR="008F59A8" w:rsidRPr="00E3331A" w:rsidRDefault="008F59A8" w:rsidP="00DE65BA">
      <w:pPr>
        <w:sectPr w:rsidR="008F59A8" w:rsidRPr="00E3331A" w:rsidSect="008B3C83">
          <w:headerReference w:type="even" r:id="rId23"/>
          <w:headerReference w:type="default" r:id="rId24"/>
          <w:headerReference w:type="first" r:id="rId25"/>
          <w:type w:val="oddPage"/>
          <w:pgSz w:w="11906" w:h="16838"/>
          <w:pgMar w:top="1440" w:right="1440" w:bottom="1440" w:left="1440" w:header="720" w:footer="720" w:gutter="0"/>
          <w:paperSrc w:first="2" w:other="2"/>
          <w:cols w:space="720"/>
        </w:sectPr>
      </w:pPr>
    </w:p>
    <w:p w14:paraId="6BB3DC2A" w14:textId="77777777" w:rsidR="00553518" w:rsidRPr="00E3331A" w:rsidRDefault="002106B9" w:rsidP="00DF343F">
      <w:pPr>
        <w:pStyle w:val="Heading1"/>
        <w:jc w:val="both"/>
      </w:pPr>
      <w:bookmarkStart w:id="96" w:name="_Toc355274699"/>
      <w:bookmarkStart w:id="97" w:name="_Ref363826811"/>
      <w:bookmarkStart w:id="98" w:name="_Toc379118061"/>
      <w:bookmarkStart w:id="99" w:name="_Toc381796437"/>
      <w:bookmarkStart w:id="100" w:name="_Toc69305539"/>
      <w:bookmarkStart w:id="101" w:name="_Toc451749499"/>
      <w:r w:rsidRPr="00E3331A">
        <w:t xml:space="preserve">Acronyms </w:t>
      </w:r>
      <w:r w:rsidR="003346E0" w:rsidRPr="00E3331A">
        <w:t>and A</w:t>
      </w:r>
      <w:r w:rsidR="00553518" w:rsidRPr="00E3331A">
        <w:t>bbreviations</w:t>
      </w:r>
      <w:bookmarkEnd w:id="96"/>
      <w:bookmarkEnd w:id="97"/>
      <w:bookmarkEnd w:id="98"/>
      <w:bookmarkEnd w:id="99"/>
      <w:bookmarkEnd w:id="100"/>
      <w:r w:rsidR="00553518" w:rsidRPr="00E3331A">
        <w:t xml:space="preserve"> </w:t>
      </w:r>
    </w:p>
    <w:p w14:paraId="6E123895" w14:textId="77777777" w:rsidR="009F4782" w:rsidRPr="004F686C" w:rsidRDefault="009F4782" w:rsidP="0062264E">
      <w:pPr>
        <w:tabs>
          <w:tab w:val="left" w:pos="1418"/>
        </w:tabs>
        <w:spacing w:line="240" w:lineRule="auto"/>
        <w:jc w:val="both"/>
        <w:rPr>
          <w:b/>
        </w:rPr>
      </w:pPr>
      <w:r w:rsidRPr="004F686C">
        <w:rPr>
          <w:b/>
        </w:rPr>
        <w:t>Acronym/abbreviation</w:t>
      </w:r>
      <w:r w:rsidRPr="004F686C">
        <w:rPr>
          <w:b/>
          <w:color w:val="000000"/>
        </w:rPr>
        <w:tab/>
        <w:t>Meaning</w:t>
      </w:r>
    </w:p>
    <w:bookmarkEnd w:id="101"/>
    <w:p w14:paraId="4C1199C0" w14:textId="77777777" w:rsidR="00C224E9" w:rsidRDefault="00C224E9" w:rsidP="00C224E9">
      <w:pPr>
        <w:tabs>
          <w:tab w:val="left" w:pos="1418"/>
        </w:tabs>
        <w:spacing w:line="240" w:lineRule="auto"/>
        <w:jc w:val="both"/>
      </w:pPr>
      <w:r>
        <w:t>AE</w:t>
      </w:r>
      <w:r>
        <w:tab/>
      </w:r>
      <w:r>
        <w:tab/>
      </w:r>
      <w:r>
        <w:tab/>
        <w:t>Adverse event</w:t>
      </w:r>
    </w:p>
    <w:p w14:paraId="5A442AB2" w14:textId="77777777" w:rsidR="00C224E9" w:rsidRDefault="00C224E9" w:rsidP="00C224E9">
      <w:pPr>
        <w:tabs>
          <w:tab w:val="left" w:pos="1418"/>
        </w:tabs>
        <w:spacing w:line="240" w:lineRule="auto"/>
        <w:jc w:val="both"/>
      </w:pPr>
      <w:r>
        <w:t>CI</w:t>
      </w:r>
      <w:r>
        <w:tab/>
      </w:r>
      <w:r>
        <w:tab/>
      </w:r>
      <w:r>
        <w:tab/>
        <w:t>C</w:t>
      </w:r>
      <w:r w:rsidRPr="00E3331A">
        <w:rPr>
          <w:color w:val="000000"/>
          <w:szCs w:val="24"/>
        </w:rPr>
        <w:t>onfidence interval</w:t>
      </w:r>
    </w:p>
    <w:p w14:paraId="0426E79A" w14:textId="77777777" w:rsidR="00C224E9" w:rsidRDefault="00C224E9" w:rsidP="00C224E9">
      <w:pPr>
        <w:tabs>
          <w:tab w:val="left" w:pos="1418"/>
        </w:tabs>
        <w:spacing w:line="240" w:lineRule="auto"/>
        <w:jc w:val="both"/>
      </w:pPr>
      <w:r>
        <w:t>CIDP</w:t>
      </w:r>
      <w:r>
        <w:tab/>
      </w:r>
      <w:r>
        <w:tab/>
      </w:r>
      <w:r>
        <w:tab/>
        <w:t>Chronic Inflammatory Demyelinating Polyneuropathy</w:t>
      </w:r>
    </w:p>
    <w:p w14:paraId="638FB8DD" w14:textId="77777777" w:rsidR="00C224E9" w:rsidRDefault="00C224E9" w:rsidP="00C224E9">
      <w:pPr>
        <w:tabs>
          <w:tab w:val="left" w:pos="1418"/>
        </w:tabs>
        <w:spacing w:line="240" w:lineRule="auto"/>
        <w:jc w:val="both"/>
      </w:pPr>
      <w:r>
        <w:t>CPRD</w:t>
      </w:r>
      <w:r>
        <w:tab/>
      </w:r>
      <w:r>
        <w:tab/>
      </w:r>
      <w:r>
        <w:tab/>
      </w:r>
      <w:r w:rsidRPr="006328D3">
        <w:t>Clinical Practice Research Datalink</w:t>
      </w:r>
    </w:p>
    <w:p w14:paraId="1BB3DFC9" w14:textId="77777777" w:rsidR="00C224E9" w:rsidRDefault="00C224E9" w:rsidP="00C224E9">
      <w:pPr>
        <w:tabs>
          <w:tab w:val="left" w:pos="1418"/>
        </w:tabs>
        <w:spacing w:line="240" w:lineRule="auto"/>
        <w:jc w:val="both"/>
      </w:pPr>
      <w:r>
        <w:t>EFNS/PNS</w:t>
      </w:r>
      <w:r>
        <w:tab/>
      </w:r>
      <w:r>
        <w:tab/>
      </w:r>
      <w:r>
        <w:tab/>
      </w:r>
      <w:r w:rsidRPr="006328D3">
        <w:t>The European Federation of Neurological Societies/Peripheral Nerve Society</w:t>
      </w:r>
    </w:p>
    <w:p w14:paraId="5E9CF244" w14:textId="77777777" w:rsidR="00C224E9" w:rsidRDefault="00C224E9" w:rsidP="00C224E9">
      <w:pPr>
        <w:tabs>
          <w:tab w:val="left" w:pos="1418"/>
        </w:tabs>
        <w:spacing w:line="240" w:lineRule="auto"/>
        <w:jc w:val="both"/>
      </w:pPr>
      <w:r>
        <w:t>EQ-5D</w:t>
      </w:r>
      <w:r>
        <w:tab/>
      </w:r>
      <w:r>
        <w:tab/>
      </w:r>
      <w:r>
        <w:tab/>
      </w:r>
      <w:r w:rsidRPr="00A046BC">
        <w:t xml:space="preserve">EuroQol </w:t>
      </w:r>
      <w:r>
        <w:t>5-</w:t>
      </w:r>
      <w:r w:rsidRPr="00A046BC">
        <w:t>dimension health profile</w:t>
      </w:r>
    </w:p>
    <w:p w14:paraId="46070926" w14:textId="77777777" w:rsidR="00C224E9" w:rsidRDefault="00C224E9" w:rsidP="00C224E9">
      <w:pPr>
        <w:tabs>
          <w:tab w:val="left" w:pos="1418"/>
        </w:tabs>
        <w:spacing w:line="240" w:lineRule="auto"/>
        <w:jc w:val="both"/>
      </w:pPr>
      <w:r>
        <w:t>EQ-VAS</w:t>
      </w:r>
      <w:r>
        <w:tab/>
      </w:r>
      <w:r>
        <w:tab/>
      </w:r>
      <w:r>
        <w:tab/>
      </w:r>
      <w:r w:rsidRPr="00A046BC">
        <w:t>EuroQoL health status visual analogue scale</w:t>
      </w:r>
    </w:p>
    <w:p w14:paraId="16F6C69B" w14:textId="77777777" w:rsidR="00C224E9" w:rsidRDefault="00C224E9" w:rsidP="00C224E9">
      <w:pPr>
        <w:tabs>
          <w:tab w:val="left" w:pos="1418"/>
        </w:tabs>
        <w:spacing w:line="240" w:lineRule="auto"/>
        <w:jc w:val="both"/>
      </w:pPr>
      <w:r>
        <w:t>GC</w:t>
      </w:r>
      <w:r>
        <w:tab/>
      </w:r>
      <w:r>
        <w:tab/>
      </w:r>
      <w:r>
        <w:tab/>
        <w:t>Glucocorticoid therapy</w:t>
      </w:r>
    </w:p>
    <w:p w14:paraId="142DECF2" w14:textId="77777777" w:rsidR="00C224E9" w:rsidRDefault="00C224E9" w:rsidP="00C224E9">
      <w:pPr>
        <w:tabs>
          <w:tab w:val="left" w:pos="1418"/>
        </w:tabs>
        <w:spacing w:line="240" w:lineRule="auto"/>
        <w:jc w:val="both"/>
      </w:pPr>
      <w:r>
        <w:t>HR</w:t>
      </w:r>
      <w:r>
        <w:tab/>
      </w:r>
      <w:r>
        <w:tab/>
      </w:r>
      <w:r>
        <w:tab/>
        <w:t>Hazard ratio</w:t>
      </w:r>
    </w:p>
    <w:p w14:paraId="40E7C213" w14:textId="77777777" w:rsidR="00C224E9" w:rsidRDefault="00C224E9" w:rsidP="00C224E9">
      <w:pPr>
        <w:tabs>
          <w:tab w:val="left" w:pos="1418"/>
        </w:tabs>
        <w:spacing w:line="240" w:lineRule="auto"/>
        <w:jc w:val="both"/>
        <w:rPr>
          <w:color w:val="000000"/>
          <w:szCs w:val="24"/>
        </w:rPr>
      </w:pPr>
      <w:r>
        <w:t>HRQoL</w:t>
      </w:r>
      <w:r>
        <w:tab/>
      </w:r>
      <w:r>
        <w:tab/>
      </w:r>
      <w:r>
        <w:tab/>
      </w:r>
      <w:r>
        <w:rPr>
          <w:color w:val="000000"/>
          <w:szCs w:val="24"/>
        </w:rPr>
        <w:t>H</w:t>
      </w:r>
      <w:r w:rsidRPr="00E3331A">
        <w:rPr>
          <w:color w:val="000000"/>
          <w:szCs w:val="24"/>
        </w:rPr>
        <w:t>ealth-related quality of life</w:t>
      </w:r>
    </w:p>
    <w:p w14:paraId="160D3BA8" w14:textId="77777777" w:rsidR="00C224E9" w:rsidRDefault="00C224E9" w:rsidP="00C224E9">
      <w:pPr>
        <w:tabs>
          <w:tab w:val="left" w:pos="1418"/>
        </w:tabs>
        <w:spacing w:line="240" w:lineRule="auto"/>
        <w:jc w:val="both"/>
      </w:pPr>
      <w:r>
        <w:t>HTA</w:t>
      </w:r>
      <w:r>
        <w:tab/>
      </w:r>
      <w:r>
        <w:tab/>
      </w:r>
      <w:r>
        <w:tab/>
        <w:t>H</w:t>
      </w:r>
      <w:r w:rsidRPr="00E3331A">
        <w:t>ealth technology assessment</w:t>
      </w:r>
    </w:p>
    <w:p w14:paraId="14B64CF6" w14:textId="77777777" w:rsidR="00C224E9" w:rsidRDefault="00C224E9" w:rsidP="00C224E9">
      <w:pPr>
        <w:tabs>
          <w:tab w:val="left" w:pos="1418"/>
        </w:tabs>
        <w:spacing w:line="240" w:lineRule="auto"/>
        <w:jc w:val="both"/>
      </w:pPr>
      <w:r>
        <w:t>ICER</w:t>
      </w:r>
      <w:r>
        <w:tab/>
      </w:r>
      <w:r>
        <w:tab/>
      </w:r>
      <w:r>
        <w:tab/>
        <w:t>I</w:t>
      </w:r>
      <w:r w:rsidRPr="0062264E">
        <w:t>ncremental cost-effectiveness ratio</w:t>
      </w:r>
    </w:p>
    <w:p w14:paraId="30B3444C" w14:textId="77777777" w:rsidR="00C224E9" w:rsidRDefault="00C224E9" w:rsidP="00C224E9">
      <w:pPr>
        <w:tabs>
          <w:tab w:val="left" w:pos="1418"/>
        </w:tabs>
        <w:spacing w:line="240" w:lineRule="auto"/>
        <w:jc w:val="both"/>
      </w:pPr>
      <w:r>
        <w:t>Ig</w:t>
      </w:r>
      <w:r>
        <w:tab/>
      </w:r>
      <w:r>
        <w:tab/>
      </w:r>
      <w:r>
        <w:tab/>
        <w:t>Immunoglobulin therapy</w:t>
      </w:r>
    </w:p>
    <w:p w14:paraId="684FE3A9" w14:textId="77777777" w:rsidR="00C224E9" w:rsidRDefault="00C224E9" w:rsidP="00C224E9">
      <w:pPr>
        <w:tabs>
          <w:tab w:val="left" w:pos="1418"/>
        </w:tabs>
        <w:spacing w:line="240" w:lineRule="auto"/>
        <w:jc w:val="both"/>
      </w:pPr>
      <w:r>
        <w:t>INCAT</w:t>
      </w:r>
      <w:r>
        <w:tab/>
      </w:r>
      <w:r>
        <w:tab/>
      </w:r>
      <w:r>
        <w:tab/>
        <w:t>Inflammatory Neuropathy Cause and Treatment</w:t>
      </w:r>
    </w:p>
    <w:p w14:paraId="5BDDB23E" w14:textId="77777777" w:rsidR="00C224E9" w:rsidRDefault="00C224E9" w:rsidP="00C224E9">
      <w:pPr>
        <w:tabs>
          <w:tab w:val="left" w:pos="1418"/>
        </w:tabs>
        <w:spacing w:line="240" w:lineRule="auto"/>
        <w:jc w:val="both"/>
      </w:pPr>
      <w:r>
        <w:t>IRODS</w:t>
      </w:r>
      <w:r>
        <w:tab/>
      </w:r>
      <w:r>
        <w:tab/>
      </w:r>
      <w:r>
        <w:tab/>
      </w:r>
      <w:r w:rsidRPr="00E3331A">
        <w:t>Rasch-built Overall Disability Scale</w:t>
      </w:r>
    </w:p>
    <w:p w14:paraId="630BEB48" w14:textId="77777777" w:rsidR="00C224E9" w:rsidRDefault="00C224E9" w:rsidP="00C224E9">
      <w:pPr>
        <w:tabs>
          <w:tab w:val="left" w:pos="1418"/>
        </w:tabs>
        <w:spacing w:line="240" w:lineRule="auto"/>
        <w:jc w:val="both"/>
      </w:pPr>
      <w:r>
        <w:t>IV</w:t>
      </w:r>
      <w:r>
        <w:tab/>
      </w:r>
      <w:r>
        <w:tab/>
      </w:r>
      <w:r>
        <w:tab/>
        <w:t>Intravenous</w:t>
      </w:r>
    </w:p>
    <w:p w14:paraId="5B4E2589" w14:textId="77777777" w:rsidR="00C224E9" w:rsidRDefault="00C224E9" w:rsidP="00C224E9">
      <w:pPr>
        <w:tabs>
          <w:tab w:val="left" w:pos="1418"/>
        </w:tabs>
        <w:spacing w:line="240" w:lineRule="auto"/>
        <w:jc w:val="both"/>
      </w:pPr>
      <w:r>
        <w:t>LY</w:t>
      </w:r>
      <w:r>
        <w:tab/>
      </w:r>
      <w:r>
        <w:tab/>
      </w:r>
      <w:r>
        <w:tab/>
        <w:t>Life-years</w:t>
      </w:r>
    </w:p>
    <w:p w14:paraId="6002E6B0" w14:textId="77777777" w:rsidR="00C224E9" w:rsidRDefault="00C224E9" w:rsidP="00C224E9">
      <w:pPr>
        <w:tabs>
          <w:tab w:val="left" w:pos="1418"/>
        </w:tabs>
        <w:spacing w:line="240" w:lineRule="auto"/>
        <w:jc w:val="both"/>
      </w:pPr>
      <w:r>
        <w:t>MBS</w:t>
      </w:r>
      <w:r>
        <w:tab/>
      </w:r>
      <w:r>
        <w:tab/>
      </w:r>
      <w:r>
        <w:tab/>
      </w:r>
      <w:r w:rsidRPr="0062264E">
        <w:t>Medicare Benefits Schedule</w:t>
      </w:r>
    </w:p>
    <w:p w14:paraId="6A58D9AF" w14:textId="77777777" w:rsidR="00C224E9" w:rsidRDefault="00C224E9" w:rsidP="00C224E9">
      <w:pPr>
        <w:tabs>
          <w:tab w:val="left" w:pos="1418"/>
        </w:tabs>
        <w:spacing w:line="240" w:lineRule="auto"/>
        <w:jc w:val="both"/>
      </w:pPr>
      <w:r>
        <w:t>MD</w:t>
      </w:r>
      <w:r>
        <w:tab/>
      </w:r>
      <w:r>
        <w:tab/>
      </w:r>
      <w:r>
        <w:tab/>
        <w:t>Mean difference</w:t>
      </w:r>
    </w:p>
    <w:p w14:paraId="6DA3F00E" w14:textId="77777777" w:rsidR="00C224E9" w:rsidRDefault="00C224E9" w:rsidP="00C224E9">
      <w:pPr>
        <w:tabs>
          <w:tab w:val="left" w:pos="1418"/>
        </w:tabs>
        <w:spacing w:line="240" w:lineRule="auto"/>
        <w:jc w:val="both"/>
      </w:pPr>
      <w:r>
        <w:t>MRC</w:t>
      </w:r>
      <w:r>
        <w:tab/>
      </w:r>
      <w:r>
        <w:tab/>
      </w:r>
      <w:r>
        <w:tab/>
        <w:t>Medical Research Council</w:t>
      </w:r>
    </w:p>
    <w:p w14:paraId="453D2EFD" w14:textId="77777777" w:rsidR="00C224E9" w:rsidRDefault="00C224E9" w:rsidP="00C224E9">
      <w:pPr>
        <w:tabs>
          <w:tab w:val="left" w:pos="1418"/>
        </w:tabs>
        <w:spacing w:line="240" w:lineRule="auto"/>
        <w:jc w:val="both"/>
      </w:pPr>
      <w:r>
        <w:t>MRS</w:t>
      </w:r>
      <w:r>
        <w:tab/>
      </w:r>
      <w:r>
        <w:tab/>
      </w:r>
      <w:r>
        <w:tab/>
        <w:t>Modified Rankin Scale</w:t>
      </w:r>
    </w:p>
    <w:p w14:paraId="57407AF2" w14:textId="77777777" w:rsidR="00C224E9" w:rsidRDefault="00C224E9" w:rsidP="00C224E9">
      <w:pPr>
        <w:tabs>
          <w:tab w:val="left" w:pos="1418"/>
        </w:tabs>
        <w:spacing w:line="240" w:lineRule="auto"/>
        <w:jc w:val="both"/>
      </w:pPr>
      <w:r>
        <w:t>MSAC</w:t>
      </w:r>
      <w:r>
        <w:tab/>
      </w:r>
      <w:r>
        <w:tab/>
      </w:r>
      <w:r>
        <w:tab/>
      </w:r>
      <w:r w:rsidRPr="00E3331A">
        <w:t>Medical Services Advisory Committee</w:t>
      </w:r>
    </w:p>
    <w:p w14:paraId="5FB98A5A" w14:textId="77777777" w:rsidR="00C224E9" w:rsidRDefault="00C224E9" w:rsidP="00C224E9">
      <w:pPr>
        <w:tabs>
          <w:tab w:val="left" w:pos="1418"/>
        </w:tabs>
        <w:spacing w:line="240" w:lineRule="auto"/>
        <w:jc w:val="both"/>
      </w:pPr>
      <w:r>
        <w:t>NBA</w:t>
      </w:r>
      <w:r>
        <w:tab/>
      </w:r>
      <w:r>
        <w:tab/>
      </w:r>
      <w:r>
        <w:tab/>
        <w:t>National Blood Authority</w:t>
      </w:r>
    </w:p>
    <w:p w14:paraId="6BFD82DF" w14:textId="77777777" w:rsidR="00C224E9" w:rsidRDefault="00C224E9" w:rsidP="00C224E9">
      <w:pPr>
        <w:tabs>
          <w:tab w:val="left" w:pos="1418"/>
        </w:tabs>
        <w:spacing w:line="240" w:lineRule="auto"/>
        <w:jc w:val="both"/>
      </w:pPr>
      <w:r>
        <w:t>ONLS</w:t>
      </w:r>
      <w:r>
        <w:tab/>
      </w:r>
      <w:r>
        <w:tab/>
      </w:r>
      <w:r>
        <w:tab/>
        <w:t>Overall Neuropathy Limitations Scale</w:t>
      </w:r>
    </w:p>
    <w:p w14:paraId="77929F97" w14:textId="77777777" w:rsidR="00C224E9" w:rsidRPr="00E3331A" w:rsidRDefault="00C224E9" w:rsidP="00C224E9">
      <w:pPr>
        <w:tabs>
          <w:tab w:val="left" w:pos="1418"/>
        </w:tabs>
        <w:spacing w:line="240" w:lineRule="auto"/>
        <w:jc w:val="both"/>
        <w:rPr>
          <w:color w:val="000000"/>
          <w:szCs w:val="24"/>
        </w:rPr>
      </w:pPr>
      <w:r>
        <w:t>PASC</w:t>
      </w:r>
      <w:r>
        <w:tab/>
      </w:r>
      <w:r>
        <w:tab/>
      </w:r>
      <w:r>
        <w:tab/>
      </w:r>
      <w:r w:rsidRPr="00E3331A">
        <w:rPr>
          <w:color w:val="000000"/>
          <w:szCs w:val="24"/>
        </w:rPr>
        <w:t>PICO Confirmation Advisory Sub</w:t>
      </w:r>
      <w:r>
        <w:rPr>
          <w:color w:val="000000"/>
          <w:szCs w:val="24"/>
        </w:rPr>
        <w:t>-Committee</w:t>
      </w:r>
      <w:r w:rsidRPr="00E3331A">
        <w:rPr>
          <w:color w:val="000000"/>
          <w:szCs w:val="24"/>
        </w:rPr>
        <w:t xml:space="preserve"> of the MSAC</w:t>
      </w:r>
    </w:p>
    <w:p w14:paraId="4F016A5A" w14:textId="77777777" w:rsidR="00C224E9" w:rsidRDefault="00C224E9" w:rsidP="00C224E9">
      <w:pPr>
        <w:tabs>
          <w:tab w:val="left" w:pos="1418"/>
        </w:tabs>
        <w:spacing w:line="240" w:lineRule="auto"/>
        <w:jc w:val="both"/>
      </w:pPr>
      <w:r>
        <w:t>PBS</w:t>
      </w:r>
      <w:r>
        <w:tab/>
      </w:r>
      <w:r>
        <w:tab/>
      </w:r>
      <w:r>
        <w:tab/>
        <w:t>Pharmaceutical Benefits Schedule</w:t>
      </w:r>
    </w:p>
    <w:p w14:paraId="0459DA56" w14:textId="77777777" w:rsidR="00C224E9" w:rsidRDefault="00C224E9" w:rsidP="00C224E9">
      <w:pPr>
        <w:tabs>
          <w:tab w:val="left" w:pos="1418"/>
        </w:tabs>
        <w:spacing w:line="240" w:lineRule="auto"/>
        <w:jc w:val="both"/>
      </w:pPr>
      <w:r>
        <w:t>PE</w:t>
      </w:r>
      <w:r>
        <w:tab/>
      </w:r>
      <w:r>
        <w:tab/>
      </w:r>
      <w:r>
        <w:tab/>
        <w:t>Plasma exchange therapy</w:t>
      </w:r>
    </w:p>
    <w:p w14:paraId="0619CE57" w14:textId="54746D24" w:rsidR="00C224E9" w:rsidRDefault="00C224E9" w:rsidP="00C224E9">
      <w:pPr>
        <w:tabs>
          <w:tab w:val="left" w:pos="1418"/>
        </w:tabs>
        <w:spacing w:line="240" w:lineRule="auto"/>
        <w:jc w:val="both"/>
      </w:pPr>
      <w:r>
        <w:t>PICO</w:t>
      </w:r>
      <w:r>
        <w:tab/>
      </w:r>
      <w:r>
        <w:tab/>
      </w:r>
      <w:r>
        <w:tab/>
        <w:t>Population, Intervention, Comparator and Outcomes</w:t>
      </w:r>
    </w:p>
    <w:p w14:paraId="118BCDCE" w14:textId="21140E64" w:rsidR="00D4728E" w:rsidRDefault="00D4728E" w:rsidP="00C224E9">
      <w:pPr>
        <w:tabs>
          <w:tab w:val="left" w:pos="1418"/>
        </w:tabs>
        <w:spacing w:line="240" w:lineRule="auto"/>
        <w:jc w:val="both"/>
      </w:pPr>
      <w:r>
        <w:t>PROs</w:t>
      </w:r>
      <w:r>
        <w:tab/>
      </w:r>
      <w:r>
        <w:tab/>
      </w:r>
      <w:r>
        <w:tab/>
        <w:t>Patient reported outcomes</w:t>
      </w:r>
    </w:p>
    <w:p w14:paraId="270DA2D1" w14:textId="77777777" w:rsidR="00C224E9" w:rsidRDefault="00C224E9" w:rsidP="00C224E9">
      <w:pPr>
        <w:tabs>
          <w:tab w:val="left" w:pos="1418"/>
        </w:tabs>
        <w:spacing w:line="240" w:lineRule="auto"/>
        <w:jc w:val="both"/>
      </w:pPr>
      <w:r>
        <w:t>RFSS</w:t>
      </w:r>
      <w:r>
        <w:tab/>
      </w:r>
      <w:r>
        <w:tab/>
      </w:r>
      <w:r>
        <w:tab/>
        <w:t>Rasch-built Fatigue Severity Scale</w:t>
      </w:r>
    </w:p>
    <w:p w14:paraId="512C0324" w14:textId="77777777" w:rsidR="00C224E9" w:rsidRDefault="00C224E9" w:rsidP="00C224E9">
      <w:pPr>
        <w:tabs>
          <w:tab w:val="left" w:pos="1418"/>
        </w:tabs>
        <w:spacing w:line="240" w:lineRule="auto"/>
        <w:jc w:val="both"/>
      </w:pPr>
      <w:r>
        <w:t>QALY</w:t>
      </w:r>
      <w:r>
        <w:tab/>
      </w:r>
      <w:r>
        <w:tab/>
      </w:r>
      <w:r>
        <w:tab/>
      </w:r>
      <w:r w:rsidRPr="00E3331A">
        <w:t>Quality-adjusted life year</w:t>
      </w:r>
      <w:r>
        <w:t xml:space="preserve"> </w:t>
      </w:r>
    </w:p>
    <w:p w14:paraId="20816667" w14:textId="77777777" w:rsidR="00C224E9" w:rsidRDefault="00C224E9" w:rsidP="00C224E9">
      <w:pPr>
        <w:tabs>
          <w:tab w:val="left" w:pos="1418"/>
        </w:tabs>
        <w:spacing w:line="240" w:lineRule="auto"/>
        <w:jc w:val="both"/>
      </w:pPr>
      <w:r>
        <w:t>QoL</w:t>
      </w:r>
      <w:r>
        <w:tab/>
      </w:r>
      <w:r>
        <w:tab/>
      </w:r>
      <w:r>
        <w:tab/>
        <w:t>Quality of life</w:t>
      </w:r>
    </w:p>
    <w:p w14:paraId="1F424D98" w14:textId="77777777" w:rsidR="00C224E9" w:rsidRDefault="00C224E9" w:rsidP="00C224E9">
      <w:pPr>
        <w:tabs>
          <w:tab w:val="left" w:pos="1418"/>
        </w:tabs>
        <w:spacing w:line="240" w:lineRule="auto"/>
        <w:jc w:val="both"/>
      </w:pPr>
      <w:r>
        <w:t>SAE</w:t>
      </w:r>
      <w:r>
        <w:tab/>
      </w:r>
      <w:r>
        <w:tab/>
      </w:r>
      <w:r>
        <w:tab/>
        <w:t>Serious adverse event</w:t>
      </w:r>
    </w:p>
    <w:p w14:paraId="4DA78155" w14:textId="77777777" w:rsidR="00C224E9" w:rsidRDefault="00C224E9" w:rsidP="00C224E9">
      <w:pPr>
        <w:tabs>
          <w:tab w:val="left" w:pos="1418"/>
        </w:tabs>
        <w:spacing w:line="240" w:lineRule="auto"/>
        <w:jc w:val="both"/>
      </w:pPr>
      <w:r>
        <w:t>SCIg</w:t>
      </w:r>
      <w:r>
        <w:tab/>
      </w:r>
      <w:r>
        <w:tab/>
      </w:r>
      <w:r>
        <w:tab/>
        <w:t>Subcutaneous Immunoglobulin</w:t>
      </w:r>
    </w:p>
    <w:p w14:paraId="12633584" w14:textId="12B98B19" w:rsidR="00D4728E" w:rsidRDefault="00C224E9" w:rsidP="00C224E9">
      <w:pPr>
        <w:tabs>
          <w:tab w:val="left" w:pos="1418"/>
        </w:tabs>
        <w:spacing w:line="240" w:lineRule="auto"/>
        <w:jc w:val="both"/>
      </w:pPr>
      <w:r>
        <w:t>SD</w:t>
      </w:r>
      <w:r>
        <w:tab/>
      </w:r>
      <w:r>
        <w:tab/>
      </w:r>
      <w:r>
        <w:tab/>
        <w:t>Standard deviation</w:t>
      </w:r>
    </w:p>
    <w:p w14:paraId="209615BC" w14:textId="77777777" w:rsidR="00C224E9" w:rsidRDefault="00C224E9" w:rsidP="00C224E9">
      <w:pPr>
        <w:tabs>
          <w:tab w:val="left" w:pos="1418"/>
        </w:tabs>
        <w:spacing w:line="240" w:lineRule="auto"/>
        <w:jc w:val="both"/>
      </w:pPr>
      <w:r>
        <w:t>TGA</w:t>
      </w:r>
      <w:r>
        <w:tab/>
      </w:r>
      <w:r>
        <w:tab/>
      </w:r>
      <w:r>
        <w:tab/>
      </w:r>
      <w:r w:rsidRPr="00E3331A">
        <w:t>Therapeutic Goods Administration</w:t>
      </w:r>
    </w:p>
    <w:p w14:paraId="38CC92FB" w14:textId="77777777" w:rsidR="00C224E9" w:rsidRDefault="00C224E9" w:rsidP="00C224E9">
      <w:pPr>
        <w:tabs>
          <w:tab w:val="left" w:pos="1418"/>
        </w:tabs>
        <w:spacing w:line="240" w:lineRule="auto"/>
        <w:jc w:val="both"/>
      </w:pPr>
      <w:r>
        <w:t>TQSM</w:t>
      </w:r>
      <w:r>
        <w:tab/>
      </w:r>
      <w:r>
        <w:tab/>
      </w:r>
      <w:r>
        <w:tab/>
        <w:t>Treatment Satisfaction Questionnaire for Medicine</w:t>
      </w:r>
    </w:p>
    <w:p w14:paraId="1B2F7E2E" w14:textId="77777777" w:rsidR="00C224E9" w:rsidRDefault="00C224E9" w:rsidP="00C224E9">
      <w:pPr>
        <w:tabs>
          <w:tab w:val="left" w:pos="1418"/>
        </w:tabs>
        <w:spacing w:line="240" w:lineRule="auto"/>
        <w:ind w:left="1134" w:hanging="1134"/>
        <w:jc w:val="both"/>
      </w:pPr>
      <w:r>
        <w:t>WPAI-GH</w:t>
      </w:r>
      <w:r>
        <w:tab/>
      </w:r>
      <w:r>
        <w:tab/>
      </w:r>
      <w:r>
        <w:tab/>
      </w:r>
      <w:r>
        <w:tab/>
        <w:t>Work Productivity and Activity Impairment Questionnaire for General Health</w:t>
      </w:r>
    </w:p>
    <w:p w14:paraId="080859C5" w14:textId="77777777" w:rsidR="008F59A8" w:rsidRPr="00E3331A" w:rsidRDefault="00913620" w:rsidP="00DF343F">
      <w:pPr>
        <w:pStyle w:val="Heading1"/>
        <w:jc w:val="both"/>
      </w:pPr>
      <w:bookmarkStart w:id="102" w:name="_Toc69305540"/>
      <w:r w:rsidRPr="00E3331A">
        <w:t>Section A</w:t>
      </w:r>
      <w:r w:rsidRPr="00E3331A">
        <w:tab/>
        <w:t>Context</w:t>
      </w:r>
      <w:bookmarkEnd w:id="102"/>
    </w:p>
    <w:p w14:paraId="436890BD" w14:textId="230099D9" w:rsidR="00E05186" w:rsidRPr="00E3331A" w:rsidRDefault="00E05186" w:rsidP="00DF343F">
      <w:pPr>
        <w:jc w:val="both"/>
      </w:pPr>
      <w:r w:rsidRPr="00E3331A">
        <w:t xml:space="preserve">This </w:t>
      </w:r>
      <w:r w:rsidR="00BE54F2">
        <w:t>C</w:t>
      </w:r>
      <w:r w:rsidR="00FD31FC" w:rsidRPr="00E3331A">
        <w:t xml:space="preserve">ontracted </w:t>
      </w:r>
      <w:r w:rsidR="005541CA" w:rsidRPr="00E3331A">
        <w:t>A</w:t>
      </w:r>
      <w:r w:rsidRPr="00E3331A">
        <w:t xml:space="preserve">ssessment </w:t>
      </w:r>
      <w:r w:rsidR="00FD31FC" w:rsidRPr="00E3331A">
        <w:t xml:space="preserve">of </w:t>
      </w:r>
      <w:r w:rsidR="00AB08DA" w:rsidRPr="00E3331A">
        <w:t>I</w:t>
      </w:r>
      <w:r w:rsidR="00A33243" w:rsidRPr="00E3331A">
        <w:t>g</w:t>
      </w:r>
      <w:r w:rsidRPr="00E3331A">
        <w:t xml:space="preserve"> </w:t>
      </w:r>
      <w:r w:rsidR="00FD31FC" w:rsidRPr="00E3331A">
        <w:t xml:space="preserve">for the </w:t>
      </w:r>
      <w:r w:rsidR="00AB08DA" w:rsidRPr="00E3331A">
        <w:t>management</w:t>
      </w:r>
      <w:r w:rsidR="00FD31FC" w:rsidRPr="00E3331A">
        <w:t xml:space="preserve"> of </w:t>
      </w:r>
      <w:r w:rsidR="00AB08DA" w:rsidRPr="00E3331A">
        <w:t>patients with CIDP</w:t>
      </w:r>
      <w:r w:rsidR="00FD31FC" w:rsidRPr="00E3331A">
        <w:t xml:space="preserve"> </w:t>
      </w:r>
      <w:r w:rsidRPr="00E3331A">
        <w:t xml:space="preserve">is intended for the Medical Services Advisory Committee (MSAC). MSAC evaluates new and existing health technologies and procedures for which funding is </w:t>
      </w:r>
      <w:r w:rsidR="00A33243" w:rsidRPr="00E3331A">
        <w:t xml:space="preserve">being </w:t>
      </w:r>
      <w:r w:rsidRPr="00E3331A">
        <w:t xml:space="preserve">sought under the Medicare Benefits Schedule (MBS) in terms of their safety, effectiveness and cost-effectiveness, while taking into account issues such as access and equity. MSAC adopts an evidence-based approach to its assessments, </w:t>
      </w:r>
      <w:r w:rsidR="0039098D" w:rsidRPr="00E3331A">
        <w:t>utilising</w:t>
      </w:r>
      <w:r w:rsidRPr="00E3331A">
        <w:t xml:space="preserve"> reviews of the scientific literature and other information sources, including clinical expertise.</w:t>
      </w:r>
    </w:p>
    <w:p w14:paraId="1D858904" w14:textId="6C2ECCB0" w:rsidR="00EB4DCD" w:rsidRPr="00E3331A" w:rsidRDefault="00D51CD6" w:rsidP="00C75600">
      <w:pPr>
        <w:jc w:val="both"/>
      </w:pPr>
      <w:r>
        <w:t>Adelaide Health Technology Assessment (AHTA)</w:t>
      </w:r>
      <w:r w:rsidR="00A10609">
        <w:t>, from</w:t>
      </w:r>
      <w:r>
        <w:t xml:space="preserve"> the University of Adelaide</w:t>
      </w:r>
      <w:r w:rsidR="00AE36D1" w:rsidRPr="00E3331A">
        <w:t>,</w:t>
      </w:r>
      <w:r w:rsidR="00C240A5" w:rsidRPr="00E3331A">
        <w:t xml:space="preserve"> has been </w:t>
      </w:r>
      <w:r w:rsidR="00EB4DCD" w:rsidRPr="00E3331A">
        <w:t xml:space="preserve">commissioned by the Australian Government Department of Health to conduct a </w:t>
      </w:r>
      <w:r w:rsidRPr="001A220F">
        <w:rPr>
          <w:i/>
        </w:rPr>
        <w:t>fit-for-purpose</w:t>
      </w:r>
      <w:r>
        <w:t xml:space="preserve"> </w:t>
      </w:r>
      <w:r w:rsidR="003B6219">
        <w:t>resubmission</w:t>
      </w:r>
      <w:r>
        <w:t xml:space="preserve"> of the </w:t>
      </w:r>
      <w:r w:rsidR="00914B37">
        <w:t>DCAR 1564</w:t>
      </w:r>
      <w:r>
        <w:t xml:space="preserve"> Review</w:t>
      </w:r>
      <w:r w:rsidR="001A220F">
        <w:t xml:space="preserve"> of immunoglobulin therapy (Ig) for chronic inflammatory </w:t>
      </w:r>
      <w:r w:rsidR="00C224E9">
        <w:t>demyelinating</w:t>
      </w:r>
      <w:r w:rsidR="001A220F">
        <w:t xml:space="preserve"> polyneuropathy (CIDP)</w:t>
      </w:r>
      <w:r w:rsidR="006D101A">
        <w:t>.</w:t>
      </w:r>
      <w:r w:rsidR="001A220F">
        <w:t xml:space="preserve"> </w:t>
      </w:r>
      <w:r w:rsidR="00EB4DCD" w:rsidRPr="00E3331A">
        <w:t xml:space="preserve">This </w:t>
      </w:r>
      <w:r w:rsidR="003B6219">
        <w:t>resubmission</w:t>
      </w:r>
      <w:r w:rsidR="00EB4DCD" w:rsidRPr="00E3331A">
        <w:t xml:space="preserve"> </w:t>
      </w:r>
      <w:r w:rsidR="001A220F" w:rsidRPr="001A220F">
        <w:t>(</w:t>
      </w:r>
      <w:r w:rsidR="00914B37">
        <w:t>DCAR 1564</w:t>
      </w:r>
      <w:r w:rsidR="001A220F" w:rsidRPr="001A220F">
        <w:t xml:space="preserve"> Update) </w:t>
      </w:r>
      <w:r w:rsidR="00EB4DCD" w:rsidRPr="00E3331A">
        <w:t>has been undertaken</w:t>
      </w:r>
      <w:r w:rsidR="004B6403" w:rsidRPr="00E3331A">
        <w:t xml:space="preserve"> as part of the review of Ig use in Australia.</w:t>
      </w:r>
      <w:r w:rsidR="00EB4DCD" w:rsidRPr="00E3331A">
        <w:t xml:space="preserve"> </w:t>
      </w:r>
    </w:p>
    <w:p w14:paraId="26E61694" w14:textId="69728D0E" w:rsidR="0087555B" w:rsidRPr="00E3331A" w:rsidRDefault="00D51CD6" w:rsidP="0087555B">
      <w:pPr>
        <w:jc w:val="both"/>
      </w:pPr>
      <w:r>
        <w:t xml:space="preserve">A Protocol was written </w:t>
      </w:r>
      <w:r w:rsidR="001A220F">
        <w:t>to guide</w:t>
      </w:r>
      <w:r>
        <w:t xml:space="preserve"> the </w:t>
      </w:r>
      <w:r w:rsidR="00914B37">
        <w:t>DCAR 1564</w:t>
      </w:r>
      <w:r w:rsidR="002B36A9">
        <w:t xml:space="preserve"> update</w:t>
      </w:r>
      <w:r>
        <w:t xml:space="preserve"> report to meet the specific requests of MSAC. The Protocol was </w:t>
      </w:r>
      <w:r w:rsidR="00A71434">
        <w:t>agreed</w:t>
      </w:r>
      <w:r w:rsidR="00A71434" w:rsidRPr="00A71434">
        <w:t xml:space="preserve"> with the Department</w:t>
      </w:r>
      <w:r w:rsidR="00A71434">
        <w:t>, with</w:t>
      </w:r>
      <w:r w:rsidR="00A71434" w:rsidRPr="00A71434">
        <w:t xml:space="preserve"> input </w:t>
      </w:r>
      <w:r w:rsidR="0021053E">
        <w:t>invited from</w:t>
      </w:r>
      <w:r w:rsidR="00A71434">
        <w:t xml:space="preserve"> the Ig Review Reference Group</w:t>
      </w:r>
      <w:r>
        <w:t xml:space="preserve">. The </w:t>
      </w:r>
      <w:r w:rsidR="0087555B" w:rsidRPr="00E3331A">
        <w:t xml:space="preserve">PICO Confirmation that </w:t>
      </w:r>
      <w:r w:rsidR="006A60A6">
        <w:t xml:space="preserve">was </w:t>
      </w:r>
      <w:r w:rsidR="0087555B">
        <w:t>ratified by the Ig Review Reference Group</w:t>
      </w:r>
      <w:r>
        <w:t xml:space="preserve"> for the original </w:t>
      </w:r>
      <w:r w:rsidR="00914B37">
        <w:t>DCAR 1564</w:t>
      </w:r>
      <w:r w:rsidR="001A220F">
        <w:t xml:space="preserve"> Review, was used to </w:t>
      </w:r>
      <w:r w:rsidR="00A10609">
        <w:t>guide</w:t>
      </w:r>
      <w:r w:rsidR="001A220F">
        <w:t xml:space="preserve"> the update of the systematic literature review.</w:t>
      </w:r>
      <w:r w:rsidR="0087555B" w:rsidRPr="00E3331A">
        <w:t xml:space="preserve"> </w:t>
      </w:r>
    </w:p>
    <w:p w14:paraId="63FCE11D" w14:textId="77777777" w:rsidR="008B5C5B" w:rsidRPr="00E3331A" w:rsidRDefault="009D44E4" w:rsidP="00DF343F">
      <w:pPr>
        <w:jc w:val="both"/>
      </w:pPr>
      <w:r w:rsidRPr="00E53D50">
        <w:rPr>
          <w:b/>
        </w:rPr>
        <w:t>Appendix A</w:t>
      </w:r>
      <w:r w:rsidRPr="00E3331A">
        <w:t xml:space="preserve"> provides a list of the people involved in the development of this </w:t>
      </w:r>
      <w:r w:rsidR="005541CA" w:rsidRPr="00E3331A">
        <w:t>A</w:t>
      </w:r>
      <w:r w:rsidRPr="00E3331A">
        <w:t>ssessment report</w:t>
      </w:r>
      <w:r w:rsidR="00945AC5" w:rsidRPr="00E3331A">
        <w:t>.</w:t>
      </w:r>
    </w:p>
    <w:p w14:paraId="7754FBF6" w14:textId="77777777" w:rsidR="003F169D" w:rsidRPr="00E3331A" w:rsidRDefault="009545FC" w:rsidP="003E4E1F">
      <w:pPr>
        <w:pStyle w:val="Heading2"/>
        <w:numPr>
          <w:ilvl w:val="0"/>
          <w:numId w:val="8"/>
        </w:numPr>
      </w:pPr>
      <w:bookmarkStart w:id="103" w:name="_Toc69305541"/>
      <w:r w:rsidRPr="00E3331A">
        <w:t xml:space="preserve">Items in the agreed </w:t>
      </w:r>
      <w:r w:rsidR="00C831F9">
        <w:t>Protocol</w:t>
      </w:r>
      <w:bookmarkEnd w:id="103"/>
    </w:p>
    <w:p w14:paraId="1252F1D3" w14:textId="0FB77B80" w:rsidR="00B313E2" w:rsidRDefault="00C831F9" w:rsidP="003B6219">
      <w:pPr>
        <w:jc w:val="both"/>
      </w:pPr>
      <w:r w:rsidRPr="00C831F9">
        <w:t xml:space="preserve">The MSAC deferred providing advice on the review of Ig for CIDP, requesting changes to be addressed in a revised DCAR. As this is a resubmission, in which the MSAC has requested specific issues be addressed, only these issues </w:t>
      </w:r>
      <w:r>
        <w:t>were</w:t>
      </w:r>
      <w:r w:rsidRPr="00C831F9">
        <w:t xml:space="preserve"> covered in th</w:t>
      </w:r>
      <w:r>
        <w:t>e</w:t>
      </w:r>
      <w:r w:rsidRPr="00C831F9">
        <w:t xml:space="preserve"> </w:t>
      </w:r>
      <w:r>
        <w:t>P</w:t>
      </w:r>
      <w:r w:rsidRPr="00C831F9">
        <w:t xml:space="preserve">rotocol. </w:t>
      </w:r>
      <w:r w:rsidR="0022247B" w:rsidRPr="00E3331A">
        <w:t xml:space="preserve">This </w:t>
      </w:r>
      <w:r w:rsidR="00BE54F2">
        <w:t>C</w:t>
      </w:r>
      <w:r w:rsidR="0022247B" w:rsidRPr="00E3331A">
        <w:t xml:space="preserve">ontracted </w:t>
      </w:r>
      <w:r w:rsidR="005541CA" w:rsidRPr="00E3331A">
        <w:t>A</w:t>
      </w:r>
      <w:r w:rsidR="0022247B" w:rsidRPr="00E3331A">
        <w:t xml:space="preserve">ssessment </w:t>
      </w:r>
      <w:r w:rsidR="003B6219">
        <w:t>resubmission</w:t>
      </w:r>
      <w:r>
        <w:t xml:space="preserve"> </w:t>
      </w:r>
      <w:r w:rsidR="003B6219">
        <w:t>(</w:t>
      </w:r>
      <w:r w:rsidR="00914B37">
        <w:t>DCAR 1564</w:t>
      </w:r>
      <w:r>
        <w:t xml:space="preserve"> Update)</w:t>
      </w:r>
      <w:r w:rsidR="0022247B" w:rsidRPr="00E3331A">
        <w:t xml:space="preserve"> addresses </w:t>
      </w:r>
      <w:r>
        <w:t xml:space="preserve">all of the specific issues requested by </w:t>
      </w:r>
      <w:r w:rsidR="001A220F">
        <w:t>MSAC. They were:</w:t>
      </w:r>
    </w:p>
    <w:p w14:paraId="1313DD08" w14:textId="30451E5D" w:rsidR="001A220F" w:rsidRDefault="001A220F" w:rsidP="000B596E">
      <w:pPr>
        <w:pStyle w:val="ListParagraph"/>
        <w:numPr>
          <w:ilvl w:val="0"/>
          <w:numId w:val="19"/>
        </w:numPr>
        <w:jc w:val="both"/>
      </w:pPr>
      <w:r w:rsidRPr="001A220F">
        <w:t>an update of the systematic literature review</w:t>
      </w:r>
      <w:r w:rsidR="00C831F9">
        <w:t xml:space="preserve"> on the safety and effectiveness of Ig for CIDP (including IVIg and SCIg)</w:t>
      </w:r>
      <w:r w:rsidR="003B6219">
        <w:t>, especially with relation to the safety of comparators</w:t>
      </w:r>
    </w:p>
    <w:p w14:paraId="7C134A47" w14:textId="77777777" w:rsidR="001A220F" w:rsidRDefault="001A220F" w:rsidP="000B596E">
      <w:pPr>
        <w:pStyle w:val="ListParagraph"/>
        <w:numPr>
          <w:ilvl w:val="0"/>
          <w:numId w:val="19"/>
        </w:numPr>
        <w:jc w:val="both"/>
      </w:pPr>
      <w:r w:rsidRPr="001A220F">
        <w:t>revised economic modelling and evaluation of Ig for the management of patients with CIDP</w:t>
      </w:r>
      <w:r w:rsidR="003B6219">
        <w:t xml:space="preserve">, including the development of three distinct models </w:t>
      </w:r>
      <w:r w:rsidR="0048423B">
        <w:t>us</w:t>
      </w:r>
      <w:r w:rsidR="003B6219">
        <w:t>ing three different comparators, and addressing specific issues raised by MSAC.</w:t>
      </w:r>
    </w:p>
    <w:p w14:paraId="0B1585D9" w14:textId="40407CDF" w:rsidR="003B6219" w:rsidRDefault="003B6219" w:rsidP="003B6219">
      <w:pPr>
        <w:jc w:val="both"/>
      </w:pPr>
      <w:r>
        <w:t xml:space="preserve">The specific issues raised by MSAC </w:t>
      </w:r>
      <w:r w:rsidR="00A71434">
        <w:t>at its April 2020</w:t>
      </w:r>
      <w:r>
        <w:t xml:space="preserve"> meeting </w:t>
      </w:r>
      <w:r w:rsidR="00A71434">
        <w:t>in its consideration of</w:t>
      </w:r>
      <w:r>
        <w:t xml:space="preserve"> the DCAR 1564 </w:t>
      </w:r>
      <w:r w:rsidR="00B727D6">
        <w:fldChar w:fldCharType="begin"/>
      </w:r>
      <w:r w:rsidR="00B727D6">
        <w:instrText xml:space="preserve"> ADDIN EN.CITE &lt;EndNote&gt;&lt;Cite&gt;&lt;Author&gt;MSAC&lt;/Author&gt;&lt;Year&gt;2020&lt;/Year&gt;&lt;RecNum&gt;6&lt;/RecNum&gt;&lt;DisplayText&gt;(MSAC 2020)&lt;/DisplayText&gt;&lt;record&gt;&lt;rec-number&gt;6&lt;/rec-number&gt;&lt;foreign-keys&gt;&lt;key app="EN" db-id="p29e2t021fx2sker0f4p99xad5t02xpedpxr" timestamp="1605496504"&gt;6&lt;/key&gt;&lt;/foreign-keys&gt;&lt;ref-type name="Government Document"&gt;46&lt;/ref-type&gt;&lt;contributors&gt;&lt;authors&gt;&lt;author&gt;MSAC&lt;/author&gt;&lt;/authors&gt;&lt;secondary-authors&gt;&lt;author&gt;Department of Health&lt;/author&gt;&lt;/secondary-authors&gt;&lt;/contributors&gt;&lt;titles&gt;&lt;title&gt;Minutes -MSAC consideration of DCAR 1564&lt;/title&gt;&lt;/titles&gt;&lt;dates&gt;&lt;year&gt;2020&lt;/year&gt;&lt;/dates&gt;&lt;pub-location&gt;Canberra&lt;/pub-location&gt;&lt;publisher&gt;Medical Services Advisory Committee&lt;/publisher&gt;&lt;urls&gt;&lt;/urls&gt;&lt;/record&gt;&lt;/Cite&gt;&lt;/EndNote&gt;</w:instrText>
      </w:r>
      <w:r w:rsidR="00B727D6">
        <w:fldChar w:fldCharType="separate"/>
      </w:r>
      <w:r w:rsidR="00B727D6">
        <w:rPr>
          <w:noProof/>
        </w:rPr>
        <w:t>(</w:t>
      </w:r>
      <w:hyperlink w:anchor="_ENREF_47" w:tooltip="MSAC, 2020 #6" w:history="1">
        <w:r w:rsidR="00D726F6">
          <w:rPr>
            <w:noProof/>
          </w:rPr>
          <w:t>MSAC 2020</w:t>
        </w:r>
      </w:hyperlink>
      <w:r w:rsidR="00B727D6">
        <w:rPr>
          <w:noProof/>
        </w:rPr>
        <w:t>)</w:t>
      </w:r>
      <w:r w:rsidR="00B727D6">
        <w:fldChar w:fldCharType="end"/>
      </w:r>
      <w:r w:rsidR="00A71434">
        <w:t xml:space="preserve"> are</w:t>
      </w:r>
      <w:r w:rsidR="00BA1DAB">
        <w:t xml:space="preserve"> summarised as follows:</w:t>
      </w:r>
    </w:p>
    <w:p w14:paraId="53BC99A4" w14:textId="77777777" w:rsidR="00BA1DAB" w:rsidRPr="00BA1DAB" w:rsidRDefault="00BA1DAB" w:rsidP="00BA1DAB">
      <w:pPr>
        <w:keepNext/>
        <w:keepLines/>
        <w:spacing w:after="0"/>
        <w:ind w:left="360"/>
        <w:jc w:val="both"/>
        <w:rPr>
          <w:i/>
          <w:u w:val="single"/>
        </w:rPr>
      </w:pPr>
      <w:r w:rsidRPr="00BA1DAB">
        <w:rPr>
          <w:i/>
          <w:u w:val="single"/>
        </w:rPr>
        <w:t>Comparator(s) for new economic analys</w:t>
      </w:r>
      <w:r w:rsidR="0048423B">
        <w:rPr>
          <w:i/>
          <w:u w:val="single"/>
        </w:rPr>
        <w:t>e</w:t>
      </w:r>
      <w:r w:rsidRPr="00BA1DAB">
        <w:rPr>
          <w:i/>
          <w:u w:val="single"/>
        </w:rPr>
        <w:t xml:space="preserve">s </w:t>
      </w:r>
    </w:p>
    <w:p w14:paraId="055F112F" w14:textId="5D301A65" w:rsidR="00BA1DAB" w:rsidRPr="00BA1DAB" w:rsidRDefault="00BA1DAB" w:rsidP="000B596E">
      <w:pPr>
        <w:pStyle w:val="ListParagraph"/>
        <w:keepNext/>
        <w:keepLines/>
        <w:numPr>
          <w:ilvl w:val="0"/>
          <w:numId w:val="20"/>
        </w:numPr>
        <w:ind w:left="1080"/>
        <w:jc w:val="both"/>
        <w:rPr>
          <w:i/>
        </w:rPr>
      </w:pPr>
      <w:r w:rsidRPr="00BA1DAB">
        <w:rPr>
          <w:i/>
        </w:rPr>
        <w:t>Main comparison - Ig versus steroids</w:t>
      </w:r>
      <w:r w:rsidR="007470AF">
        <w:rPr>
          <w:i/>
        </w:rPr>
        <w:t>.</w:t>
      </w:r>
      <w:r w:rsidRPr="00BA1DAB">
        <w:rPr>
          <w:i/>
        </w:rPr>
        <w:t xml:space="preserve"> </w:t>
      </w:r>
    </w:p>
    <w:p w14:paraId="2B22DB11" w14:textId="42362EB8" w:rsidR="00BA1DAB" w:rsidRPr="00BA1DAB" w:rsidRDefault="00BA1DAB" w:rsidP="000B596E">
      <w:pPr>
        <w:pStyle w:val="ListParagraph"/>
        <w:numPr>
          <w:ilvl w:val="0"/>
          <w:numId w:val="20"/>
        </w:numPr>
        <w:ind w:left="1080"/>
        <w:jc w:val="both"/>
        <w:rPr>
          <w:i/>
        </w:rPr>
      </w:pPr>
      <w:r w:rsidRPr="00BA1DAB">
        <w:rPr>
          <w:i/>
        </w:rPr>
        <w:t>Secondary comparison Ig versus PE</w:t>
      </w:r>
      <w:r w:rsidR="00C629DC">
        <w:rPr>
          <w:i/>
        </w:rPr>
        <w:t>.</w:t>
      </w:r>
      <w:r w:rsidRPr="00BA1DAB">
        <w:rPr>
          <w:i/>
        </w:rPr>
        <w:t xml:space="preserve"> </w:t>
      </w:r>
    </w:p>
    <w:p w14:paraId="733AEE58" w14:textId="2EA58C7F" w:rsidR="00BA1DAB" w:rsidRPr="00BA1DAB" w:rsidRDefault="00BA1DAB" w:rsidP="000B596E">
      <w:pPr>
        <w:pStyle w:val="ListParagraph"/>
        <w:numPr>
          <w:ilvl w:val="0"/>
          <w:numId w:val="20"/>
        </w:numPr>
        <w:ind w:left="1080"/>
        <w:jc w:val="both"/>
        <w:rPr>
          <w:i/>
        </w:rPr>
      </w:pPr>
      <w:r w:rsidRPr="00BA1DAB">
        <w:rPr>
          <w:i/>
        </w:rPr>
        <w:t>Tertiary comparison Ig versus Placebo in steroid resistant population (possibly a scenario analysis of the main comparison)</w:t>
      </w:r>
      <w:r w:rsidR="007470AF">
        <w:rPr>
          <w:i/>
        </w:rPr>
        <w:t>.</w:t>
      </w:r>
    </w:p>
    <w:p w14:paraId="36D697A3" w14:textId="77777777" w:rsidR="00BA1DAB" w:rsidRPr="00BA1DAB" w:rsidRDefault="00BA1DAB" w:rsidP="00BA1DAB">
      <w:pPr>
        <w:spacing w:after="0"/>
        <w:ind w:left="360"/>
        <w:jc w:val="both"/>
        <w:rPr>
          <w:i/>
          <w:u w:val="single"/>
        </w:rPr>
      </w:pPr>
      <w:r w:rsidRPr="00BA1DAB">
        <w:rPr>
          <w:i/>
          <w:u w:val="single"/>
        </w:rPr>
        <w:t xml:space="preserve">Safety </w:t>
      </w:r>
    </w:p>
    <w:p w14:paraId="618410D2" w14:textId="77777777" w:rsidR="00BA1DAB" w:rsidRPr="00BA1DAB" w:rsidRDefault="00BA1DAB" w:rsidP="000B596E">
      <w:pPr>
        <w:pStyle w:val="ListParagraph"/>
        <w:numPr>
          <w:ilvl w:val="0"/>
          <w:numId w:val="21"/>
        </w:numPr>
        <w:ind w:left="1080"/>
        <w:jc w:val="both"/>
        <w:rPr>
          <w:i/>
        </w:rPr>
      </w:pPr>
      <w:r w:rsidRPr="00BA1DAB">
        <w:rPr>
          <w:i/>
        </w:rPr>
        <w:t>Review evidence for safety of steroid use over the modelled lifetime of the disease and the appropriate utility decrements.</w:t>
      </w:r>
    </w:p>
    <w:p w14:paraId="22862281" w14:textId="77777777" w:rsidR="00BA1DAB" w:rsidRDefault="00BA1DAB" w:rsidP="000B596E">
      <w:pPr>
        <w:pStyle w:val="ListParagraph"/>
        <w:numPr>
          <w:ilvl w:val="0"/>
          <w:numId w:val="21"/>
        </w:numPr>
        <w:ind w:left="1080"/>
        <w:jc w:val="both"/>
      </w:pPr>
      <w:r w:rsidRPr="00BA1DAB">
        <w:rPr>
          <w:i/>
        </w:rPr>
        <w:t>The DCAR reported insufficient evidence to make an assessment of the comparative safety between Ig and PE and this could be problematic for</w:t>
      </w:r>
      <w:r>
        <w:t xml:space="preserve"> </w:t>
      </w:r>
      <w:r w:rsidRPr="00FD6FA6">
        <w:rPr>
          <w:i/>
          <w:iCs/>
        </w:rPr>
        <w:t>an economic comparison. Also review safety concerns resulting from vascular access for PE.</w:t>
      </w:r>
    </w:p>
    <w:p w14:paraId="0EE67D04" w14:textId="77777777" w:rsidR="00BA1DAB" w:rsidRPr="00BA1DAB" w:rsidRDefault="00BA1DAB" w:rsidP="00BA1DAB">
      <w:pPr>
        <w:spacing w:after="0"/>
        <w:ind w:left="360"/>
        <w:jc w:val="both"/>
        <w:rPr>
          <w:i/>
          <w:u w:val="single"/>
        </w:rPr>
      </w:pPr>
      <w:r w:rsidRPr="00BA1DAB">
        <w:rPr>
          <w:i/>
          <w:u w:val="single"/>
        </w:rPr>
        <w:t xml:space="preserve">Efficacy </w:t>
      </w:r>
    </w:p>
    <w:p w14:paraId="3B56C73D" w14:textId="77777777" w:rsidR="00BA1DAB" w:rsidRDefault="00BA1DAB" w:rsidP="000B596E">
      <w:pPr>
        <w:pStyle w:val="ListParagraph"/>
        <w:numPr>
          <w:ilvl w:val="0"/>
          <w:numId w:val="22"/>
        </w:numPr>
        <w:ind w:left="1080"/>
        <w:jc w:val="both"/>
        <w:rPr>
          <w:i/>
        </w:rPr>
      </w:pPr>
      <w:r w:rsidRPr="00BA1DAB">
        <w:rPr>
          <w:i/>
        </w:rPr>
        <w:t>For Ig versus steroids, the claim is non-inferiority based on Nobile-Orazio et al (2012b) and Hughes (2002) to be used in the base case, but include a sensitivity analysis to model superior efficacy as per Reference Group clinical opinion.</w:t>
      </w:r>
    </w:p>
    <w:p w14:paraId="0B263F43" w14:textId="3E9962D2" w:rsidR="00BA1DAB" w:rsidRPr="00BA1DAB" w:rsidRDefault="00BA1DAB" w:rsidP="000B596E">
      <w:pPr>
        <w:pStyle w:val="ListParagraph"/>
        <w:numPr>
          <w:ilvl w:val="0"/>
          <w:numId w:val="22"/>
        </w:numPr>
        <w:ind w:left="1134" w:hanging="425"/>
        <w:jc w:val="both"/>
        <w:rPr>
          <w:i/>
        </w:rPr>
      </w:pPr>
      <w:r w:rsidRPr="00BA1DAB">
        <w:rPr>
          <w:i/>
        </w:rPr>
        <w:t>For Ig versus PE a claim o</w:t>
      </w:r>
      <w:r w:rsidR="0048423B">
        <w:rPr>
          <w:i/>
        </w:rPr>
        <w:t>f</w:t>
      </w:r>
      <w:r w:rsidRPr="00BA1DAB">
        <w:rPr>
          <w:i/>
        </w:rPr>
        <w:t xml:space="preserve"> non-inferiority based on Dyck</w:t>
      </w:r>
      <w:r w:rsidR="00EB520F">
        <w:rPr>
          <w:i/>
        </w:rPr>
        <w:t xml:space="preserve"> et al</w:t>
      </w:r>
      <w:r w:rsidRPr="00BA1DAB">
        <w:rPr>
          <w:i/>
        </w:rPr>
        <w:t xml:space="preserve"> (1994)</w:t>
      </w:r>
      <w:r w:rsidR="007470AF">
        <w:rPr>
          <w:i/>
        </w:rPr>
        <w:t>.</w:t>
      </w:r>
      <w:r w:rsidRPr="00BA1DAB">
        <w:rPr>
          <w:i/>
        </w:rPr>
        <w:t xml:space="preserve"> </w:t>
      </w:r>
    </w:p>
    <w:p w14:paraId="5555A77C" w14:textId="77777777" w:rsidR="00BA1DAB" w:rsidRPr="00BA1DAB" w:rsidRDefault="00BA1DAB" w:rsidP="000B596E">
      <w:pPr>
        <w:pStyle w:val="ListParagraph"/>
        <w:numPr>
          <w:ilvl w:val="0"/>
          <w:numId w:val="22"/>
        </w:numPr>
        <w:ind w:left="1134" w:hanging="425"/>
        <w:jc w:val="both"/>
        <w:rPr>
          <w:i/>
        </w:rPr>
      </w:pPr>
      <w:r w:rsidRPr="00BA1DAB">
        <w:rPr>
          <w:i/>
        </w:rPr>
        <w:t>For Ig versus steroid resistant - a claim of superiority over placebo – based on trial evidence in steroid resistant trial populations.</w:t>
      </w:r>
    </w:p>
    <w:p w14:paraId="52071816" w14:textId="77777777" w:rsidR="00BA1DAB" w:rsidRPr="00BA1DAB" w:rsidRDefault="00BA1DAB" w:rsidP="00BA1DAB">
      <w:pPr>
        <w:spacing w:after="0"/>
        <w:ind w:left="360"/>
        <w:jc w:val="both"/>
        <w:rPr>
          <w:i/>
          <w:u w:val="single"/>
        </w:rPr>
      </w:pPr>
      <w:r w:rsidRPr="00BA1DAB">
        <w:rPr>
          <w:i/>
          <w:u w:val="single"/>
        </w:rPr>
        <w:t xml:space="preserve">Structure of the economic model </w:t>
      </w:r>
    </w:p>
    <w:p w14:paraId="7533EE3D" w14:textId="77777777" w:rsidR="00BA1DAB" w:rsidRPr="00BA1DAB" w:rsidRDefault="00BA1DAB" w:rsidP="000B596E">
      <w:pPr>
        <w:pStyle w:val="ListParagraph"/>
        <w:numPr>
          <w:ilvl w:val="0"/>
          <w:numId w:val="23"/>
        </w:numPr>
        <w:ind w:left="1080"/>
        <w:jc w:val="both"/>
        <w:rPr>
          <w:i/>
        </w:rPr>
      </w:pPr>
      <w:r w:rsidRPr="00BA1DAB">
        <w:rPr>
          <w:i/>
        </w:rPr>
        <w:t xml:space="preserve">Consider health states where patients cease Ig or the comparator due to remission </w:t>
      </w:r>
      <w:r w:rsidR="0048423B">
        <w:rPr>
          <w:i/>
        </w:rPr>
        <w:t>as well as</w:t>
      </w:r>
      <w:r w:rsidRPr="00BA1DAB">
        <w:rPr>
          <w:i/>
        </w:rPr>
        <w:t xml:space="preserve"> treatment failure.</w:t>
      </w:r>
    </w:p>
    <w:p w14:paraId="644789BA" w14:textId="77777777" w:rsidR="00BA1DAB" w:rsidRPr="00BA1DAB" w:rsidRDefault="00BA1DAB" w:rsidP="000B596E">
      <w:pPr>
        <w:pStyle w:val="ListParagraph"/>
        <w:numPr>
          <w:ilvl w:val="0"/>
          <w:numId w:val="23"/>
        </w:numPr>
        <w:ind w:left="1080"/>
        <w:jc w:val="both"/>
        <w:rPr>
          <w:i/>
        </w:rPr>
      </w:pPr>
      <w:r w:rsidRPr="00BA1DAB">
        <w:rPr>
          <w:i/>
        </w:rPr>
        <w:t>Base case should start with trial</w:t>
      </w:r>
      <w:r w:rsidR="0048423B">
        <w:rPr>
          <w:i/>
        </w:rPr>
        <w:t>-</w:t>
      </w:r>
      <w:r w:rsidRPr="00BA1DAB">
        <w:rPr>
          <w:i/>
        </w:rPr>
        <w:t>based inputs for efficacy, safety, cessation rates and doses over trial time horizon.</w:t>
      </w:r>
    </w:p>
    <w:p w14:paraId="277B903E" w14:textId="77777777" w:rsidR="00BA1DAB" w:rsidRPr="00BA1DAB" w:rsidRDefault="00BA1DAB" w:rsidP="000B596E">
      <w:pPr>
        <w:pStyle w:val="ListParagraph"/>
        <w:numPr>
          <w:ilvl w:val="0"/>
          <w:numId w:val="23"/>
        </w:numPr>
        <w:ind w:left="1080"/>
        <w:jc w:val="both"/>
        <w:rPr>
          <w:i/>
        </w:rPr>
      </w:pPr>
      <w:r w:rsidRPr="00BA1DAB">
        <w:rPr>
          <w:i/>
        </w:rPr>
        <w:t>Add inputs on dose and time on treatment reflective of clinical practice in Australia. This may come from BloodSTAR data and</w:t>
      </w:r>
      <w:r w:rsidR="00EB520F">
        <w:rPr>
          <w:i/>
        </w:rPr>
        <w:t xml:space="preserve"> </w:t>
      </w:r>
      <w:r w:rsidRPr="00BA1DAB">
        <w:rPr>
          <w:i/>
        </w:rPr>
        <w:t>/ or clinician input.</w:t>
      </w:r>
    </w:p>
    <w:p w14:paraId="4A597509" w14:textId="77777777" w:rsidR="00B313E2" w:rsidRPr="00E3331A" w:rsidRDefault="006975DA" w:rsidP="003E4E1F">
      <w:pPr>
        <w:pStyle w:val="Heading2"/>
        <w:numPr>
          <w:ilvl w:val="0"/>
          <w:numId w:val="8"/>
        </w:numPr>
      </w:pPr>
      <w:bookmarkStart w:id="104" w:name="_Toc69305542"/>
      <w:bookmarkStart w:id="105" w:name="_Toc381796441"/>
      <w:r>
        <w:t xml:space="preserve">to </w:t>
      </w:r>
      <w:r w:rsidR="00434E9C">
        <w:t>A.8.</w:t>
      </w:r>
      <w:bookmarkEnd w:id="104"/>
    </w:p>
    <w:p w14:paraId="64EBC44B" w14:textId="181A12CD" w:rsidR="00434E9C" w:rsidRDefault="00434E9C" w:rsidP="00325A3A">
      <w:bookmarkStart w:id="106" w:name="_Toc379118262"/>
      <w:bookmarkEnd w:id="105"/>
      <w:r>
        <w:t xml:space="preserve">There are no changes to the following background sections in the </w:t>
      </w:r>
      <w:r w:rsidR="00914B37">
        <w:t>DCAR 1564</w:t>
      </w:r>
      <w:r>
        <w:t xml:space="preserve"> Update:</w:t>
      </w:r>
    </w:p>
    <w:p w14:paraId="43D64BE9" w14:textId="77777777" w:rsidR="00434E9C" w:rsidRPr="006975DA" w:rsidRDefault="00434E9C" w:rsidP="00914B37">
      <w:pPr>
        <w:spacing w:line="240" w:lineRule="auto"/>
        <w:ind w:left="567"/>
        <w:rPr>
          <w:b/>
        </w:rPr>
      </w:pPr>
      <w:r w:rsidRPr="006975DA">
        <w:rPr>
          <w:b/>
        </w:rPr>
        <w:t>A.2.</w:t>
      </w:r>
      <w:r w:rsidR="006975DA">
        <w:rPr>
          <w:b/>
        </w:rPr>
        <w:tab/>
      </w:r>
      <w:r w:rsidRPr="006975DA">
        <w:rPr>
          <w:b/>
        </w:rPr>
        <w:t xml:space="preserve">Medical Service; </w:t>
      </w:r>
    </w:p>
    <w:p w14:paraId="0F2AFB3F" w14:textId="77777777" w:rsidR="00434E9C" w:rsidRPr="006975DA" w:rsidRDefault="00434E9C" w:rsidP="00914B37">
      <w:pPr>
        <w:spacing w:line="240" w:lineRule="auto"/>
        <w:ind w:left="567"/>
        <w:rPr>
          <w:b/>
        </w:rPr>
      </w:pPr>
      <w:r w:rsidRPr="006975DA">
        <w:rPr>
          <w:b/>
        </w:rPr>
        <w:t>A</w:t>
      </w:r>
      <w:r w:rsidR="006975DA">
        <w:rPr>
          <w:b/>
        </w:rPr>
        <w:t>.3.</w:t>
      </w:r>
      <w:r w:rsidR="006975DA">
        <w:rPr>
          <w:b/>
        </w:rPr>
        <w:tab/>
      </w:r>
      <w:r w:rsidRPr="006975DA">
        <w:rPr>
          <w:b/>
        </w:rPr>
        <w:t>Proposal for Public Funding;</w:t>
      </w:r>
    </w:p>
    <w:p w14:paraId="7EF54BF1" w14:textId="77777777" w:rsidR="00434E9C" w:rsidRPr="006975DA" w:rsidRDefault="00434E9C" w:rsidP="00914B37">
      <w:pPr>
        <w:spacing w:line="240" w:lineRule="auto"/>
        <w:ind w:left="567"/>
        <w:rPr>
          <w:b/>
        </w:rPr>
      </w:pPr>
      <w:r w:rsidRPr="006975DA">
        <w:rPr>
          <w:b/>
        </w:rPr>
        <w:t>A.4</w:t>
      </w:r>
      <w:r w:rsidR="006975DA">
        <w:rPr>
          <w:b/>
        </w:rPr>
        <w:tab/>
      </w:r>
      <w:r w:rsidRPr="006975DA">
        <w:rPr>
          <w:b/>
        </w:rPr>
        <w:t>Population;</w:t>
      </w:r>
    </w:p>
    <w:p w14:paraId="236F5543" w14:textId="77777777" w:rsidR="00434E9C" w:rsidRPr="006975DA" w:rsidRDefault="00434E9C" w:rsidP="00914B37">
      <w:pPr>
        <w:spacing w:line="240" w:lineRule="auto"/>
        <w:ind w:left="567"/>
        <w:rPr>
          <w:b/>
        </w:rPr>
      </w:pPr>
      <w:r w:rsidRPr="006975DA">
        <w:rPr>
          <w:b/>
        </w:rPr>
        <w:t>A</w:t>
      </w:r>
      <w:r w:rsidR="006975DA">
        <w:rPr>
          <w:b/>
        </w:rPr>
        <w:t>.5.</w:t>
      </w:r>
      <w:r w:rsidR="006975DA">
        <w:rPr>
          <w:b/>
        </w:rPr>
        <w:tab/>
      </w:r>
      <w:r w:rsidRPr="006975DA">
        <w:rPr>
          <w:b/>
        </w:rPr>
        <w:t>Comparator Details;</w:t>
      </w:r>
    </w:p>
    <w:p w14:paraId="0126B6CC" w14:textId="77777777" w:rsidR="00434E9C" w:rsidRPr="006975DA" w:rsidRDefault="00434E9C" w:rsidP="00914B37">
      <w:pPr>
        <w:spacing w:line="240" w:lineRule="auto"/>
        <w:ind w:left="567"/>
        <w:rPr>
          <w:b/>
        </w:rPr>
      </w:pPr>
      <w:r w:rsidRPr="006975DA">
        <w:rPr>
          <w:b/>
        </w:rPr>
        <w:t>A</w:t>
      </w:r>
      <w:r w:rsidR="006975DA">
        <w:rPr>
          <w:b/>
        </w:rPr>
        <w:t>.6</w:t>
      </w:r>
      <w:r w:rsidR="006975DA">
        <w:rPr>
          <w:b/>
        </w:rPr>
        <w:tab/>
      </w:r>
      <w:r w:rsidRPr="006975DA">
        <w:rPr>
          <w:b/>
        </w:rPr>
        <w:t>Clinical Management Algorithms;</w:t>
      </w:r>
    </w:p>
    <w:p w14:paraId="453F6037" w14:textId="77777777" w:rsidR="00434E9C" w:rsidRPr="006975DA" w:rsidRDefault="00434E9C" w:rsidP="00914B37">
      <w:pPr>
        <w:spacing w:line="240" w:lineRule="auto"/>
        <w:ind w:left="567"/>
        <w:rPr>
          <w:b/>
        </w:rPr>
      </w:pPr>
      <w:r w:rsidRPr="006975DA">
        <w:rPr>
          <w:b/>
        </w:rPr>
        <w:t>A</w:t>
      </w:r>
      <w:r w:rsidR="006975DA">
        <w:rPr>
          <w:b/>
        </w:rPr>
        <w:t>.7.</w:t>
      </w:r>
      <w:r w:rsidR="006975DA">
        <w:rPr>
          <w:b/>
        </w:rPr>
        <w:tab/>
      </w:r>
      <w:r w:rsidRPr="006975DA">
        <w:rPr>
          <w:b/>
        </w:rPr>
        <w:t>Key differences in the delivery of the Medical Service and the Main Comparator;</w:t>
      </w:r>
    </w:p>
    <w:p w14:paraId="2B5AE8FD" w14:textId="77777777" w:rsidR="00434E9C" w:rsidRPr="006975DA" w:rsidRDefault="00434E9C" w:rsidP="00914B37">
      <w:pPr>
        <w:ind w:left="567"/>
        <w:rPr>
          <w:b/>
        </w:rPr>
      </w:pPr>
      <w:r w:rsidRPr="006975DA">
        <w:rPr>
          <w:b/>
        </w:rPr>
        <w:t>A</w:t>
      </w:r>
      <w:r w:rsidR="006975DA">
        <w:rPr>
          <w:b/>
        </w:rPr>
        <w:t>.8.</w:t>
      </w:r>
      <w:r w:rsidR="006975DA">
        <w:rPr>
          <w:b/>
        </w:rPr>
        <w:tab/>
      </w:r>
      <w:r w:rsidRPr="006975DA">
        <w:rPr>
          <w:b/>
        </w:rPr>
        <w:t>Clinical Claim</w:t>
      </w:r>
      <w:r w:rsidR="006975DA">
        <w:rPr>
          <w:b/>
        </w:rPr>
        <w:t>.</w:t>
      </w:r>
    </w:p>
    <w:p w14:paraId="59A8EA08" w14:textId="77777777" w:rsidR="00434E9C" w:rsidRDefault="00434E9C" w:rsidP="00325A3A">
      <w:r>
        <w:t>Please refer to the original DCAR 1564 Review</w:t>
      </w:r>
      <w:r w:rsidR="006975DA">
        <w:t xml:space="preserve"> for these sections</w:t>
      </w:r>
      <w:r>
        <w:t>.</w:t>
      </w:r>
    </w:p>
    <w:p w14:paraId="4027109E" w14:textId="77777777" w:rsidR="00903492" w:rsidRPr="00E3331A" w:rsidRDefault="00D461C4" w:rsidP="000B596E">
      <w:pPr>
        <w:pStyle w:val="Heading2"/>
        <w:numPr>
          <w:ilvl w:val="0"/>
          <w:numId w:val="24"/>
        </w:numPr>
      </w:pPr>
      <w:bookmarkStart w:id="107" w:name="_Toc69305543"/>
      <w:bookmarkEnd w:id="106"/>
      <w:r w:rsidRPr="00E3331A">
        <w:t>Summary of the PICO</w:t>
      </w:r>
      <w:bookmarkEnd w:id="107"/>
    </w:p>
    <w:p w14:paraId="35B563D4" w14:textId="77777777" w:rsidR="004F36F1" w:rsidRPr="00E3331A" w:rsidRDefault="006C5B34" w:rsidP="004F36F1">
      <w:pPr>
        <w:spacing w:before="240"/>
        <w:jc w:val="both"/>
      </w:pPr>
      <w:r w:rsidRPr="00E3331A">
        <w:t xml:space="preserve">The guiding framework of </w:t>
      </w:r>
      <w:r w:rsidR="00783C0F" w:rsidRPr="00E3331A">
        <w:t>a</w:t>
      </w:r>
      <w:r w:rsidRPr="00E3331A">
        <w:t xml:space="preserve"> </w:t>
      </w:r>
      <w:r w:rsidR="0088661A" w:rsidRPr="00E3331A">
        <w:t>PICO Confirmation</w:t>
      </w:r>
      <w:r w:rsidRPr="00E3331A">
        <w:t xml:space="preserve"> </w:t>
      </w:r>
      <w:r w:rsidR="00783C0F" w:rsidRPr="00E3331A">
        <w:t>i</w:t>
      </w:r>
      <w:r w:rsidRPr="00E3331A">
        <w:t xml:space="preserve">s </w:t>
      </w:r>
      <w:r w:rsidR="007822AD" w:rsidRPr="00E3331A">
        <w:t xml:space="preserve">recommended </w:t>
      </w:r>
      <w:r w:rsidR="00783C0F" w:rsidRPr="00E3331A">
        <w:t xml:space="preserve">by MSAC </w:t>
      </w:r>
      <w:r w:rsidR="007822AD" w:rsidRPr="00E3331A">
        <w:t>for</w:t>
      </w:r>
      <w:r w:rsidRPr="00E3331A">
        <w:t xml:space="preserve"> </w:t>
      </w:r>
      <w:r w:rsidR="00783C0F" w:rsidRPr="00E3331A">
        <w:t>each</w:t>
      </w:r>
      <w:r w:rsidRPr="00E3331A">
        <w:t xml:space="preserve"> </w:t>
      </w:r>
      <w:r w:rsidR="00BE54F2">
        <w:t>A</w:t>
      </w:r>
      <w:r w:rsidRPr="00E3331A">
        <w:t xml:space="preserve">ssessment. </w:t>
      </w:r>
      <w:r w:rsidR="00E511FF" w:rsidRPr="00E3331A">
        <w:t>The</w:t>
      </w:r>
      <w:r w:rsidR="00D52A25" w:rsidRPr="00E3331A">
        <w:t xml:space="preserve"> </w:t>
      </w:r>
      <w:r w:rsidR="0088661A" w:rsidRPr="00E3331A">
        <w:t>PICO Confirmation</w:t>
      </w:r>
      <w:r w:rsidRPr="00E3331A">
        <w:t xml:space="preserve"> </w:t>
      </w:r>
      <w:r w:rsidR="00E511FF" w:rsidRPr="00E3331A">
        <w:t>describ</w:t>
      </w:r>
      <w:r w:rsidRPr="00E3331A">
        <w:t>es current clinical practice and reflects likely future practice with the medical service.</w:t>
      </w:r>
      <w:r w:rsidR="00EA39D2" w:rsidRPr="00E3331A">
        <w:t xml:space="preserve"> </w:t>
      </w:r>
    </w:p>
    <w:p w14:paraId="0AC37B1C" w14:textId="468B0DBB" w:rsidR="004F36F1" w:rsidRPr="00E3331A" w:rsidRDefault="004F36F1" w:rsidP="004F36F1">
      <w:pPr>
        <w:spacing w:before="240"/>
        <w:jc w:val="both"/>
        <w:rPr>
          <w:sz w:val="24"/>
        </w:rPr>
      </w:pPr>
      <w:r w:rsidRPr="00E3331A">
        <w:t xml:space="preserve">The Population, Intervention, Comparator and Outcomes (PICO) </w:t>
      </w:r>
      <w:r w:rsidR="00BB381C" w:rsidRPr="00E3331A">
        <w:t xml:space="preserve">that were pre-specified to guide the </w:t>
      </w:r>
      <w:r w:rsidR="001A5EF8" w:rsidRPr="00E3331A">
        <w:t>systematic literature review</w:t>
      </w:r>
      <w:r w:rsidR="00F9372D" w:rsidRPr="00E3331A">
        <w:t xml:space="preserve"> </w:t>
      </w:r>
      <w:r w:rsidR="00DB0014">
        <w:t>in the original DCAR 1564</w:t>
      </w:r>
      <w:r w:rsidR="00CC2229">
        <w:t xml:space="preserve"> Review</w:t>
      </w:r>
      <w:r w:rsidR="002B36A9">
        <w:t>, and for the 1564</w:t>
      </w:r>
      <w:r w:rsidR="00DB0014">
        <w:t xml:space="preserve"> Update </w:t>
      </w:r>
      <w:r w:rsidR="00BB381C" w:rsidRPr="00E3331A">
        <w:t xml:space="preserve">are presented </w:t>
      </w:r>
      <w:r w:rsidRPr="00E3331A">
        <w:rPr>
          <w:sz w:val="24"/>
        </w:rPr>
        <w:t xml:space="preserve">in </w:t>
      </w:r>
      <w:r w:rsidR="00255B28" w:rsidRPr="00E3331A">
        <w:fldChar w:fldCharType="begin"/>
      </w:r>
      <w:r w:rsidR="00255B28" w:rsidRPr="00E3331A">
        <w:rPr>
          <w:sz w:val="24"/>
        </w:rPr>
        <w:instrText xml:space="preserve"> REF _Ref395200496 \h </w:instrText>
      </w:r>
      <w:r w:rsidR="00293266" w:rsidRPr="00E3331A">
        <w:instrText xml:space="preserve"> \* MERGEFORMAT </w:instrText>
      </w:r>
      <w:r w:rsidR="00255B28" w:rsidRPr="00E3331A">
        <w:fldChar w:fldCharType="separate"/>
      </w:r>
      <w:r w:rsidR="004B3EA2" w:rsidRPr="00E3331A">
        <w:t xml:space="preserve">Box </w:t>
      </w:r>
      <w:r w:rsidR="004B3EA2">
        <w:rPr>
          <w:noProof/>
        </w:rPr>
        <w:t>1</w:t>
      </w:r>
      <w:r w:rsidR="00255B28" w:rsidRPr="00E3331A">
        <w:fldChar w:fldCharType="end"/>
      </w:r>
      <w:r w:rsidR="000D3317" w:rsidRPr="00E3331A">
        <w:t xml:space="preserve"> and </w:t>
      </w:r>
      <w:r w:rsidR="00255B28" w:rsidRPr="00E3331A">
        <w:rPr>
          <w:sz w:val="24"/>
        </w:rPr>
        <w:fldChar w:fldCharType="begin"/>
      </w:r>
      <w:r w:rsidR="00255B28" w:rsidRPr="00E3331A">
        <w:instrText xml:space="preserve"> REF _Ref395200521 \h </w:instrText>
      </w:r>
      <w:r w:rsidR="00293266" w:rsidRPr="00E3331A">
        <w:rPr>
          <w:sz w:val="24"/>
        </w:rPr>
        <w:instrText xml:space="preserve"> \* MERGEFORMAT </w:instrText>
      </w:r>
      <w:r w:rsidR="00255B28" w:rsidRPr="00E3331A">
        <w:rPr>
          <w:sz w:val="24"/>
        </w:rPr>
      </w:r>
      <w:r w:rsidR="00255B28" w:rsidRPr="00E3331A">
        <w:rPr>
          <w:sz w:val="24"/>
        </w:rPr>
        <w:fldChar w:fldCharType="separate"/>
      </w:r>
      <w:r w:rsidR="004B3EA2" w:rsidRPr="00E3331A">
        <w:t xml:space="preserve">Box </w:t>
      </w:r>
      <w:r w:rsidR="004B3EA2">
        <w:rPr>
          <w:noProof/>
        </w:rPr>
        <w:t>2</w:t>
      </w:r>
      <w:r w:rsidR="00255B28" w:rsidRPr="00E3331A">
        <w:rPr>
          <w:sz w:val="24"/>
        </w:rPr>
        <w:fldChar w:fldCharType="end"/>
      </w:r>
      <w:r w:rsidRPr="00E3331A">
        <w:t>.</w:t>
      </w:r>
    </w:p>
    <w:p w14:paraId="08569267" w14:textId="30393CBC" w:rsidR="004F36F1" w:rsidRPr="00E3331A" w:rsidRDefault="00255B28" w:rsidP="00255B28">
      <w:pPr>
        <w:pStyle w:val="Caption"/>
      </w:pPr>
      <w:bookmarkStart w:id="108" w:name="_Ref395200496"/>
      <w:bookmarkStart w:id="109" w:name="_Toc393378291"/>
      <w:bookmarkStart w:id="110" w:name="_Toc69305731"/>
      <w:r w:rsidRPr="00E3331A">
        <w:t xml:space="preserve">Box </w:t>
      </w:r>
      <w:r w:rsidR="00B43DAE" w:rsidRPr="00E3331A">
        <w:rPr>
          <w:noProof/>
        </w:rPr>
        <w:fldChar w:fldCharType="begin"/>
      </w:r>
      <w:r w:rsidR="00B43DAE" w:rsidRPr="00E3331A">
        <w:rPr>
          <w:noProof/>
        </w:rPr>
        <w:instrText xml:space="preserve"> SEQ Box \* ARABIC </w:instrText>
      </w:r>
      <w:r w:rsidR="00B43DAE" w:rsidRPr="00E3331A">
        <w:rPr>
          <w:noProof/>
        </w:rPr>
        <w:fldChar w:fldCharType="separate"/>
      </w:r>
      <w:r w:rsidR="004B3EA2">
        <w:rPr>
          <w:noProof/>
        </w:rPr>
        <w:t>1</w:t>
      </w:r>
      <w:r w:rsidR="00B43DAE" w:rsidRPr="00E3331A">
        <w:rPr>
          <w:noProof/>
        </w:rPr>
        <w:fldChar w:fldCharType="end"/>
      </w:r>
      <w:bookmarkEnd w:id="108"/>
      <w:r w:rsidR="004F36F1" w:rsidRPr="00E3331A">
        <w:tab/>
      </w:r>
      <w:r w:rsidR="001A5EF8" w:rsidRPr="00E3331A">
        <w:t>Criteria</w:t>
      </w:r>
      <w:r w:rsidR="004F36F1" w:rsidRPr="00E3331A">
        <w:t xml:space="preserve"> for </w:t>
      </w:r>
      <w:r w:rsidR="001A5EF8" w:rsidRPr="00E3331A">
        <w:t xml:space="preserve">identifying and selecting studies to </w:t>
      </w:r>
      <w:r w:rsidR="00BB381C" w:rsidRPr="00E3331A">
        <w:t>determin</w:t>
      </w:r>
      <w:r w:rsidR="001A5EF8" w:rsidRPr="00E3331A">
        <w:t>e</w:t>
      </w:r>
      <w:r w:rsidR="00BB381C" w:rsidRPr="00E3331A">
        <w:t xml:space="preserve"> </w:t>
      </w:r>
      <w:r w:rsidR="004F36F1" w:rsidRPr="00E3331A">
        <w:t>the safety of</w:t>
      </w:r>
      <w:r w:rsidR="00FC5203" w:rsidRPr="00E3331A">
        <w:t xml:space="preserve"> Ig</w:t>
      </w:r>
      <w:r w:rsidR="004F36F1" w:rsidRPr="00E3331A">
        <w:t xml:space="preserve"> in patients with </w:t>
      </w:r>
      <w:bookmarkEnd w:id="109"/>
      <w:r w:rsidR="00FC5203" w:rsidRPr="00E3331A">
        <w:t>CIDP</w:t>
      </w:r>
      <w:bookmarkEnd w:id="110"/>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6"/>
        <w:gridCol w:w="6953"/>
      </w:tblGrid>
      <w:tr w:rsidR="004F36F1" w:rsidRPr="00E3331A" w14:paraId="0DE06CD6" w14:textId="77777777" w:rsidTr="00A10609">
        <w:trPr>
          <w:trHeight w:val="261"/>
        </w:trPr>
        <w:tc>
          <w:tcPr>
            <w:tcW w:w="2066" w:type="dxa"/>
            <w:shd w:val="clear" w:color="auto" w:fill="auto"/>
          </w:tcPr>
          <w:p w14:paraId="7C3B39DA" w14:textId="77777777" w:rsidR="004F36F1" w:rsidRPr="00E3331A" w:rsidRDefault="004F36F1" w:rsidP="00DD2242">
            <w:pPr>
              <w:pStyle w:val="Tabletext1"/>
              <w:keepNext/>
              <w:rPr>
                <w:b/>
              </w:rPr>
            </w:pPr>
            <w:r w:rsidRPr="00E3331A">
              <w:rPr>
                <w:b/>
              </w:rPr>
              <w:t>Selection criteria</w:t>
            </w:r>
          </w:p>
        </w:tc>
        <w:tc>
          <w:tcPr>
            <w:tcW w:w="6953" w:type="dxa"/>
            <w:shd w:val="clear" w:color="auto" w:fill="auto"/>
          </w:tcPr>
          <w:p w14:paraId="0727687E" w14:textId="77777777" w:rsidR="004F36F1" w:rsidRPr="00E3331A" w:rsidRDefault="001A5EF8" w:rsidP="00DD2242">
            <w:pPr>
              <w:pStyle w:val="Tabletext1"/>
              <w:keepNext/>
              <w:jc w:val="center"/>
              <w:rPr>
                <w:rFonts w:cs="Arial"/>
                <w:b/>
              </w:rPr>
            </w:pPr>
            <w:r w:rsidRPr="00E3331A">
              <w:rPr>
                <w:rFonts w:cs="Arial"/>
                <w:b/>
              </w:rPr>
              <w:t>Description</w:t>
            </w:r>
          </w:p>
        </w:tc>
      </w:tr>
      <w:tr w:rsidR="004F36F1" w:rsidRPr="00E3331A" w14:paraId="6E2A3819" w14:textId="77777777" w:rsidTr="00A10609">
        <w:trPr>
          <w:trHeight w:val="247"/>
        </w:trPr>
        <w:tc>
          <w:tcPr>
            <w:tcW w:w="2066" w:type="dxa"/>
            <w:shd w:val="clear" w:color="auto" w:fill="auto"/>
          </w:tcPr>
          <w:p w14:paraId="75BC1705" w14:textId="77777777" w:rsidR="004F36F1" w:rsidRPr="00E3331A" w:rsidRDefault="004F36F1" w:rsidP="00716EBD">
            <w:pPr>
              <w:pStyle w:val="Tabletext1"/>
            </w:pPr>
            <w:r w:rsidRPr="00E3331A">
              <w:t>Population</w:t>
            </w:r>
          </w:p>
        </w:tc>
        <w:tc>
          <w:tcPr>
            <w:tcW w:w="6953" w:type="dxa"/>
            <w:shd w:val="clear" w:color="auto" w:fill="auto"/>
          </w:tcPr>
          <w:p w14:paraId="4BCC0D62" w14:textId="77777777" w:rsidR="004F36F1" w:rsidRPr="00E3331A" w:rsidRDefault="006A7C13" w:rsidP="00716EBD">
            <w:pPr>
              <w:pStyle w:val="Tabletext1"/>
              <w:rPr>
                <w:rFonts w:cs="Arial"/>
              </w:rPr>
            </w:pPr>
            <w:r w:rsidRPr="00E3331A">
              <w:rPr>
                <w:rFonts w:cs="Arial"/>
              </w:rPr>
              <w:t xml:space="preserve">Patients with chronic inflammatory demyelinating </w:t>
            </w:r>
            <w:r w:rsidR="00A62F37">
              <w:rPr>
                <w:rFonts w:cs="Arial"/>
              </w:rPr>
              <w:t>poly</w:t>
            </w:r>
            <w:r w:rsidRPr="00E3331A">
              <w:rPr>
                <w:rFonts w:cs="Arial"/>
              </w:rPr>
              <w:t>neuropathy (CIDP)</w:t>
            </w:r>
          </w:p>
        </w:tc>
      </w:tr>
      <w:tr w:rsidR="004F36F1" w:rsidRPr="00E3331A" w14:paraId="48E893D3" w14:textId="77777777" w:rsidTr="00A10609">
        <w:trPr>
          <w:trHeight w:val="224"/>
        </w:trPr>
        <w:tc>
          <w:tcPr>
            <w:tcW w:w="2066" w:type="dxa"/>
            <w:shd w:val="clear" w:color="auto" w:fill="auto"/>
          </w:tcPr>
          <w:p w14:paraId="64B70C91" w14:textId="77777777" w:rsidR="004F36F1" w:rsidRPr="00E3331A" w:rsidRDefault="004F36F1" w:rsidP="00716EBD">
            <w:pPr>
              <w:pStyle w:val="Tabletext1"/>
            </w:pPr>
            <w:r w:rsidRPr="00E3331A">
              <w:t>Intervention</w:t>
            </w:r>
          </w:p>
        </w:tc>
        <w:tc>
          <w:tcPr>
            <w:tcW w:w="6953" w:type="dxa"/>
            <w:shd w:val="clear" w:color="auto" w:fill="auto"/>
          </w:tcPr>
          <w:p w14:paraId="5D6A0FAF" w14:textId="77777777" w:rsidR="004F36F1" w:rsidRPr="00E3331A" w:rsidRDefault="006A7C13" w:rsidP="00716EBD">
            <w:pPr>
              <w:pStyle w:val="Tabletext1"/>
            </w:pPr>
            <w:r w:rsidRPr="00E3331A">
              <w:t>Intravenous and subcutaneous immunoglobulin (IVIg and SCIg)</w:t>
            </w:r>
          </w:p>
        </w:tc>
      </w:tr>
      <w:tr w:rsidR="004F36F1" w:rsidRPr="00E3331A" w14:paraId="1E00A71F" w14:textId="77777777" w:rsidTr="00A10609">
        <w:trPr>
          <w:trHeight w:val="612"/>
        </w:trPr>
        <w:tc>
          <w:tcPr>
            <w:tcW w:w="2066" w:type="dxa"/>
            <w:shd w:val="clear" w:color="auto" w:fill="auto"/>
          </w:tcPr>
          <w:p w14:paraId="1D7BEB08" w14:textId="77777777" w:rsidR="004F36F1" w:rsidRPr="00E3331A" w:rsidRDefault="004F36F1" w:rsidP="00716EBD">
            <w:pPr>
              <w:pStyle w:val="Tabletext1"/>
            </w:pPr>
            <w:r w:rsidRPr="00E3331A">
              <w:t>Comparator</w:t>
            </w:r>
            <w:r w:rsidR="00FC5203" w:rsidRPr="00E3331A">
              <w:t>s</w:t>
            </w:r>
          </w:p>
        </w:tc>
        <w:tc>
          <w:tcPr>
            <w:tcW w:w="6953" w:type="dxa"/>
            <w:shd w:val="clear" w:color="auto" w:fill="auto"/>
          </w:tcPr>
          <w:p w14:paraId="35F46288" w14:textId="77777777" w:rsidR="004F36F1" w:rsidRPr="00E3331A" w:rsidRDefault="006A7C13" w:rsidP="000B596E">
            <w:pPr>
              <w:pStyle w:val="Tabletext1"/>
              <w:numPr>
                <w:ilvl w:val="0"/>
                <w:numId w:val="11"/>
              </w:numPr>
            </w:pPr>
            <w:bookmarkStart w:id="111" w:name="_Hlk5868566"/>
            <w:r w:rsidRPr="00E3331A">
              <w:t>Steroids (oral and intravenous)</w:t>
            </w:r>
          </w:p>
          <w:p w14:paraId="7B74BFF6" w14:textId="77777777" w:rsidR="006A7C13" w:rsidRPr="00E3331A" w:rsidRDefault="006A7C13" w:rsidP="000B596E">
            <w:pPr>
              <w:pStyle w:val="Tabletext1"/>
              <w:numPr>
                <w:ilvl w:val="0"/>
                <w:numId w:val="11"/>
              </w:numPr>
            </w:pPr>
            <w:r w:rsidRPr="00E3331A">
              <w:t>Plasma exchange</w:t>
            </w:r>
          </w:p>
          <w:p w14:paraId="48F54849" w14:textId="77777777" w:rsidR="006A7C13" w:rsidRPr="00E3331A" w:rsidRDefault="006A7C13" w:rsidP="000B596E">
            <w:pPr>
              <w:pStyle w:val="Tabletext1"/>
              <w:numPr>
                <w:ilvl w:val="0"/>
                <w:numId w:val="11"/>
              </w:numPr>
            </w:pPr>
            <w:r w:rsidRPr="00E3331A">
              <w:t>Immunosuppressant and/or immunomodulatory drugs and therapies (not includ</w:t>
            </w:r>
            <w:r w:rsidR="00D67E17" w:rsidRPr="00E3331A">
              <w:t>ing</w:t>
            </w:r>
            <w:r w:rsidRPr="00E3331A">
              <w:t xml:space="preserve"> steroids)</w:t>
            </w:r>
          </w:p>
          <w:p w14:paraId="04E3058B" w14:textId="77777777" w:rsidR="006A7C13" w:rsidRPr="00E3331A" w:rsidRDefault="006A7C13" w:rsidP="000B596E">
            <w:pPr>
              <w:pStyle w:val="Tabletext1"/>
              <w:numPr>
                <w:ilvl w:val="0"/>
                <w:numId w:val="11"/>
              </w:numPr>
            </w:pPr>
            <w:r w:rsidRPr="00E3331A">
              <w:t>A combination of two or more of the above therapies</w:t>
            </w:r>
          </w:p>
          <w:p w14:paraId="145863FD" w14:textId="77777777" w:rsidR="006A7C13" w:rsidRPr="00E3331A" w:rsidRDefault="006A7C13" w:rsidP="000B596E">
            <w:pPr>
              <w:pStyle w:val="Tabletext1"/>
              <w:numPr>
                <w:ilvl w:val="0"/>
                <w:numId w:val="11"/>
              </w:numPr>
            </w:pPr>
            <w:r w:rsidRPr="00E3331A">
              <w:t>No active treatment</w:t>
            </w:r>
            <w:bookmarkEnd w:id="111"/>
          </w:p>
        </w:tc>
      </w:tr>
      <w:tr w:rsidR="004F36F1" w:rsidRPr="00E3331A" w14:paraId="59739AC5" w14:textId="77777777" w:rsidTr="00A10609">
        <w:trPr>
          <w:trHeight w:val="547"/>
        </w:trPr>
        <w:tc>
          <w:tcPr>
            <w:tcW w:w="2066" w:type="dxa"/>
            <w:shd w:val="clear" w:color="auto" w:fill="auto"/>
          </w:tcPr>
          <w:p w14:paraId="1A180B4F" w14:textId="77777777" w:rsidR="004F36F1" w:rsidRPr="00E3331A" w:rsidRDefault="004F36F1" w:rsidP="00716EBD">
            <w:pPr>
              <w:pStyle w:val="Tabletext1"/>
            </w:pPr>
            <w:r w:rsidRPr="00E3331A">
              <w:t>Outcomes</w:t>
            </w:r>
          </w:p>
        </w:tc>
        <w:tc>
          <w:tcPr>
            <w:tcW w:w="6953" w:type="dxa"/>
            <w:shd w:val="clear" w:color="auto" w:fill="auto"/>
          </w:tcPr>
          <w:p w14:paraId="27768E46" w14:textId="77777777" w:rsidR="004F36F1" w:rsidRPr="00E3331A" w:rsidRDefault="00907C6E" w:rsidP="00716EBD">
            <w:pPr>
              <w:pStyle w:val="Tabletext1"/>
              <w:rPr>
                <w:rFonts w:cs="Arial"/>
              </w:rPr>
            </w:pPr>
            <w:r w:rsidRPr="00E3331A">
              <w:rPr>
                <w:rFonts w:cs="Arial"/>
              </w:rPr>
              <w:t>Critical for decision making:</w:t>
            </w:r>
          </w:p>
          <w:p w14:paraId="0A3CCC3B" w14:textId="77777777" w:rsidR="00907C6E" w:rsidRPr="00E3331A" w:rsidRDefault="00DD2242" w:rsidP="00716EBD">
            <w:pPr>
              <w:pStyle w:val="Tabletext1"/>
              <w:rPr>
                <w:rFonts w:cs="Arial"/>
              </w:rPr>
            </w:pPr>
            <w:r w:rsidRPr="00E3331A">
              <w:rPr>
                <w:rFonts w:cs="Arial"/>
              </w:rPr>
              <w:t>Any a</w:t>
            </w:r>
            <w:r w:rsidR="00FC5203" w:rsidRPr="00E3331A">
              <w:rPr>
                <w:rFonts w:cs="Arial"/>
              </w:rPr>
              <w:t>dverse events including the development of disease</w:t>
            </w:r>
            <w:r w:rsidR="00FD160D" w:rsidRPr="00E3331A">
              <w:rPr>
                <w:rFonts w:cs="Arial"/>
              </w:rPr>
              <w:t xml:space="preserve"> or side effects (e.g. infections, diabetes, hypertension, cardiovascular disease, prolonged ventilation in ICU)</w:t>
            </w:r>
            <w:r w:rsidRPr="00E3331A">
              <w:rPr>
                <w:rFonts w:cs="Arial"/>
              </w:rPr>
              <w:t>.</w:t>
            </w:r>
          </w:p>
        </w:tc>
      </w:tr>
      <w:tr w:rsidR="004F36F1" w:rsidRPr="00E3331A" w14:paraId="5795C54D" w14:textId="77777777" w:rsidTr="00A10609">
        <w:trPr>
          <w:trHeight w:val="493"/>
        </w:trPr>
        <w:tc>
          <w:tcPr>
            <w:tcW w:w="2066" w:type="dxa"/>
            <w:tcBorders>
              <w:top w:val="single" w:sz="4" w:space="0" w:color="auto"/>
              <w:bottom w:val="single" w:sz="4" w:space="0" w:color="auto"/>
            </w:tcBorders>
            <w:shd w:val="clear" w:color="auto" w:fill="auto"/>
          </w:tcPr>
          <w:p w14:paraId="43055F44" w14:textId="77777777" w:rsidR="004F36F1" w:rsidRPr="00E3331A" w:rsidRDefault="004F36F1" w:rsidP="00716EBD">
            <w:pPr>
              <w:pStyle w:val="Tabletext1"/>
              <w:rPr>
                <w:b/>
              </w:rPr>
            </w:pPr>
            <w:r w:rsidRPr="00E3331A">
              <w:rPr>
                <w:b/>
              </w:rPr>
              <w:t>Systematic review question</w:t>
            </w:r>
          </w:p>
        </w:tc>
        <w:tc>
          <w:tcPr>
            <w:tcW w:w="6953" w:type="dxa"/>
            <w:tcBorders>
              <w:top w:val="single" w:sz="4" w:space="0" w:color="auto"/>
              <w:bottom w:val="single" w:sz="4" w:space="0" w:color="auto"/>
            </w:tcBorders>
            <w:shd w:val="clear" w:color="auto" w:fill="auto"/>
          </w:tcPr>
          <w:p w14:paraId="40249C87" w14:textId="77777777" w:rsidR="004F36F1" w:rsidRPr="00E3331A" w:rsidRDefault="00FD160D" w:rsidP="00716EBD">
            <w:pPr>
              <w:pStyle w:val="Tabletext1"/>
              <w:rPr>
                <w:rFonts w:cs="Arial"/>
              </w:rPr>
            </w:pPr>
            <w:r w:rsidRPr="00E3331A">
              <w:rPr>
                <w:rFonts w:cs="Arial"/>
              </w:rPr>
              <w:t xml:space="preserve">What is the </w:t>
            </w:r>
            <w:r w:rsidR="00DD2242" w:rsidRPr="00E3331A">
              <w:rPr>
                <w:rFonts w:cs="Arial"/>
              </w:rPr>
              <w:t xml:space="preserve">relative </w:t>
            </w:r>
            <w:r w:rsidRPr="00E3331A">
              <w:rPr>
                <w:rFonts w:cs="Arial"/>
              </w:rPr>
              <w:t xml:space="preserve">safety of Ig </w:t>
            </w:r>
            <w:r w:rsidR="000742E5" w:rsidRPr="00E3331A">
              <w:rPr>
                <w:rFonts w:cs="Arial"/>
              </w:rPr>
              <w:t xml:space="preserve">(IVIg and SCIg) </w:t>
            </w:r>
            <w:r w:rsidRPr="00E3331A">
              <w:rPr>
                <w:rFonts w:cs="Arial"/>
              </w:rPr>
              <w:t>for the management of CIDP?</w:t>
            </w:r>
          </w:p>
        </w:tc>
      </w:tr>
    </w:tbl>
    <w:p w14:paraId="27BF0825" w14:textId="77777777" w:rsidR="00A10609" w:rsidRDefault="00A10609" w:rsidP="00A10609">
      <w:pPr>
        <w:spacing w:after="0" w:line="240" w:lineRule="auto"/>
        <w:jc w:val="both"/>
        <w:rPr>
          <w:rFonts w:ascii="Arial Narrow" w:hAnsi="Arial Narrow"/>
          <w:sz w:val="18"/>
          <w:szCs w:val="18"/>
        </w:rPr>
      </w:pPr>
      <w:r w:rsidRPr="00A10609">
        <w:rPr>
          <w:rFonts w:ascii="Arial Narrow" w:hAnsi="Arial Narrow"/>
          <w:sz w:val="18"/>
          <w:szCs w:val="18"/>
        </w:rPr>
        <w:t>Abbreviations: CIDP = chronic inflammatory demyelinating neuropathy; ICU = intensive care unit; IVIg = intravenous immunoglobulin; SCIg = subcutaneous immunoglobulin</w:t>
      </w:r>
    </w:p>
    <w:p w14:paraId="66A83FDE" w14:textId="77777777" w:rsidR="00A10609" w:rsidRPr="00A10609" w:rsidRDefault="00A10609" w:rsidP="00A10609">
      <w:pPr>
        <w:spacing w:line="240" w:lineRule="auto"/>
        <w:jc w:val="both"/>
        <w:rPr>
          <w:rFonts w:ascii="Arial Narrow" w:hAnsi="Arial Narrow"/>
          <w:sz w:val="18"/>
          <w:szCs w:val="18"/>
        </w:rPr>
      </w:pPr>
    </w:p>
    <w:p w14:paraId="5FA70BFA" w14:textId="21138DFB" w:rsidR="00716EBD" w:rsidRPr="00E3331A" w:rsidRDefault="00255B28" w:rsidP="00255B28">
      <w:pPr>
        <w:pStyle w:val="Caption"/>
      </w:pPr>
      <w:bookmarkStart w:id="112" w:name="_Ref395200521"/>
      <w:bookmarkStart w:id="113" w:name="_Toc69305732"/>
      <w:bookmarkStart w:id="114" w:name="_Toc393378292"/>
      <w:r w:rsidRPr="00E3331A">
        <w:t xml:space="preserve">Box </w:t>
      </w:r>
      <w:r w:rsidR="00B43DAE" w:rsidRPr="00E3331A">
        <w:rPr>
          <w:noProof/>
        </w:rPr>
        <w:fldChar w:fldCharType="begin"/>
      </w:r>
      <w:r w:rsidR="00B43DAE" w:rsidRPr="00E3331A">
        <w:rPr>
          <w:noProof/>
        </w:rPr>
        <w:instrText xml:space="preserve"> SEQ Box \* ARABIC </w:instrText>
      </w:r>
      <w:r w:rsidR="00B43DAE" w:rsidRPr="00E3331A">
        <w:rPr>
          <w:noProof/>
        </w:rPr>
        <w:fldChar w:fldCharType="separate"/>
      </w:r>
      <w:r w:rsidR="004B3EA2">
        <w:rPr>
          <w:noProof/>
        </w:rPr>
        <w:t>2</w:t>
      </w:r>
      <w:r w:rsidR="00B43DAE" w:rsidRPr="00E3331A">
        <w:rPr>
          <w:noProof/>
        </w:rPr>
        <w:fldChar w:fldCharType="end"/>
      </w:r>
      <w:bookmarkEnd w:id="112"/>
      <w:r w:rsidR="00BB381C" w:rsidRPr="00E3331A">
        <w:rPr>
          <w:szCs w:val="20"/>
        </w:rPr>
        <w:tab/>
      </w:r>
      <w:r w:rsidR="00716EBD" w:rsidRPr="00E3331A">
        <w:t xml:space="preserve">Criteria for identifying and selecting studies to determine the </w:t>
      </w:r>
      <w:r w:rsidR="00492E2D" w:rsidRPr="00E3331A">
        <w:t xml:space="preserve">efficacy </w:t>
      </w:r>
      <w:r w:rsidR="00716EBD" w:rsidRPr="00E3331A">
        <w:t xml:space="preserve">of </w:t>
      </w:r>
      <w:r w:rsidR="00FC5203" w:rsidRPr="00E3331A">
        <w:t>Ig</w:t>
      </w:r>
      <w:r w:rsidR="00716EBD" w:rsidRPr="00E3331A">
        <w:t xml:space="preserve"> in patients with </w:t>
      </w:r>
      <w:r w:rsidR="00FC5203" w:rsidRPr="00E3331A">
        <w:t>CIDP</w:t>
      </w:r>
      <w:bookmarkEnd w:id="113"/>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48"/>
        <w:gridCol w:w="7071"/>
      </w:tblGrid>
      <w:tr w:rsidR="00BB381C" w:rsidRPr="00E3331A" w14:paraId="115CC76F" w14:textId="77777777" w:rsidTr="00A10609">
        <w:trPr>
          <w:trHeight w:val="263"/>
        </w:trPr>
        <w:tc>
          <w:tcPr>
            <w:tcW w:w="1948" w:type="dxa"/>
            <w:shd w:val="clear" w:color="auto" w:fill="auto"/>
          </w:tcPr>
          <w:bookmarkEnd w:id="114"/>
          <w:p w14:paraId="268357FA" w14:textId="77777777" w:rsidR="00BB381C" w:rsidRPr="00E3331A" w:rsidRDefault="00BB381C" w:rsidP="00716EBD">
            <w:pPr>
              <w:pStyle w:val="Tabletext1"/>
              <w:rPr>
                <w:b/>
              </w:rPr>
            </w:pPr>
            <w:r w:rsidRPr="00E3331A">
              <w:rPr>
                <w:b/>
              </w:rPr>
              <w:t>Selection criteria</w:t>
            </w:r>
          </w:p>
        </w:tc>
        <w:tc>
          <w:tcPr>
            <w:tcW w:w="7071" w:type="dxa"/>
            <w:shd w:val="clear" w:color="auto" w:fill="auto"/>
          </w:tcPr>
          <w:p w14:paraId="17D2E9B7" w14:textId="77777777" w:rsidR="00BB381C" w:rsidRPr="00E3331A" w:rsidRDefault="00716EBD" w:rsidP="00716EBD">
            <w:pPr>
              <w:pStyle w:val="Tabletext1"/>
              <w:jc w:val="center"/>
              <w:rPr>
                <w:rFonts w:cs="Arial"/>
                <w:b/>
              </w:rPr>
            </w:pPr>
            <w:r w:rsidRPr="00E3331A">
              <w:rPr>
                <w:rFonts w:cs="Arial"/>
                <w:b/>
              </w:rPr>
              <w:t>Description</w:t>
            </w:r>
          </w:p>
        </w:tc>
      </w:tr>
      <w:tr w:rsidR="006A7C13" w:rsidRPr="00E3331A" w14:paraId="65A1D313" w14:textId="77777777" w:rsidTr="00A10609">
        <w:tc>
          <w:tcPr>
            <w:tcW w:w="1948" w:type="dxa"/>
            <w:shd w:val="clear" w:color="auto" w:fill="auto"/>
          </w:tcPr>
          <w:p w14:paraId="2F5B9869" w14:textId="77777777" w:rsidR="006A7C13" w:rsidRPr="00E3331A" w:rsidRDefault="006A7C13" w:rsidP="006A7C13">
            <w:pPr>
              <w:pStyle w:val="Tabletext1"/>
            </w:pPr>
            <w:r w:rsidRPr="00E3331A">
              <w:t>Population</w:t>
            </w:r>
          </w:p>
        </w:tc>
        <w:tc>
          <w:tcPr>
            <w:tcW w:w="7071" w:type="dxa"/>
            <w:shd w:val="clear" w:color="auto" w:fill="auto"/>
          </w:tcPr>
          <w:p w14:paraId="67F2B8A0" w14:textId="77777777" w:rsidR="006A7C13" w:rsidRPr="00E3331A" w:rsidRDefault="006A7C13" w:rsidP="006A7C13">
            <w:pPr>
              <w:pStyle w:val="Tabletext1"/>
              <w:rPr>
                <w:rFonts w:cs="Arial"/>
              </w:rPr>
            </w:pPr>
            <w:r w:rsidRPr="00E3331A">
              <w:rPr>
                <w:rFonts w:cs="Arial"/>
              </w:rPr>
              <w:t xml:space="preserve">Patients with chronic inflammatory demyelinating </w:t>
            </w:r>
            <w:r w:rsidR="00C53293">
              <w:rPr>
                <w:rFonts w:cs="Arial"/>
              </w:rPr>
              <w:t>poly</w:t>
            </w:r>
            <w:r w:rsidRPr="00E3331A">
              <w:rPr>
                <w:rFonts w:cs="Arial"/>
              </w:rPr>
              <w:t>neuropathy (CIDP)</w:t>
            </w:r>
          </w:p>
        </w:tc>
      </w:tr>
      <w:tr w:rsidR="006A7C13" w:rsidRPr="00E3331A" w14:paraId="2ADF1945" w14:textId="77777777" w:rsidTr="00A10609">
        <w:tc>
          <w:tcPr>
            <w:tcW w:w="1948" w:type="dxa"/>
            <w:shd w:val="clear" w:color="auto" w:fill="auto"/>
          </w:tcPr>
          <w:p w14:paraId="0C2B70E6" w14:textId="77777777" w:rsidR="006A7C13" w:rsidRPr="00E3331A" w:rsidRDefault="006A7C13" w:rsidP="006A7C13">
            <w:pPr>
              <w:pStyle w:val="Tabletext1"/>
            </w:pPr>
            <w:r w:rsidRPr="00E3331A">
              <w:t>Intervention</w:t>
            </w:r>
          </w:p>
        </w:tc>
        <w:tc>
          <w:tcPr>
            <w:tcW w:w="7071" w:type="dxa"/>
            <w:shd w:val="clear" w:color="auto" w:fill="auto"/>
          </w:tcPr>
          <w:p w14:paraId="7996D7BB" w14:textId="77777777" w:rsidR="006A7C13" w:rsidRPr="00E3331A" w:rsidRDefault="006A7C13" w:rsidP="006A7C13">
            <w:pPr>
              <w:pStyle w:val="Tabletext1"/>
            </w:pPr>
            <w:r w:rsidRPr="00E3331A">
              <w:t>Intravenous and subcutaneous immunoglobulin (IVIg and SCIg)</w:t>
            </w:r>
          </w:p>
        </w:tc>
      </w:tr>
      <w:tr w:rsidR="006A7C13" w:rsidRPr="00E3331A" w14:paraId="12B345AA" w14:textId="77777777" w:rsidTr="00A10609">
        <w:tc>
          <w:tcPr>
            <w:tcW w:w="1948" w:type="dxa"/>
            <w:shd w:val="clear" w:color="auto" w:fill="auto"/>
          </w:tcPr>
          <w:p w14:paraId="4BD93B1E" w14:textId="77777777" w:rsidR="006A7C13" w:rsidRPr="00E3331A" w:rsidRDefault="006A7C13" w:rsidP="006A7C13">
            <w:pPr>
              <w:pStyle w:val="Tabletext1"/>
            </w:pPr>
            <w:r w:rsidRPr="00E3331A">
              <w:t>Comparato</w:t>
            </w:r>
            <w:r w:rsidR="00FC5203" w:rsidRPr="00E3331A">
              <w:t>rs</w:t>
            </w:r>
          </w:p>
        </w:tc>
        <w:tc>
          <w:tcPr>
            <w:tcW w:w="7071" w:type="dxa"/>
            <w:shd w:val="clear" w:color="auto" w:fill="auto"/>
          </w:tcPr>
          <w:p w14:paraId="67BDB993" w14:textId="77777777" w:rsidR="006A7C13" w:rsidRPr="00E3331A" w:rsidRDefault="006A7C13" w:rsidP="000B596E">
            <w:pPr>
              <w:pStyle w:val="Tabletext1"/>
              <w:numPr>
                <w:ilvl w:val="0"/>
                <w:numId w:val="12"/>
              </w:numPr>
            </w:pPr>
            <w:r w:rsidRPr="00E3331A">
              <w:t>Steroids (oral and intravenous)</w:t>
            </w:r>
          </w:p>
          <w:p w14:paraId="748527C6" w14:textId="77777777" w:rsidR="006A7C13" w:rsidRPr="00E3331A" w:rsidRDefault="006A7C13" w:rsidP="000B596E">
            <w:pPr>
              <w:pStyle w:val="Tabletext1"/>
              <w:numPr>
                <w:ilvl w:val="0"/>
                <w:numId w:val="12"/>
              </w:numPr>
            </w:pPr>
            <w:r w:rsidRPr="00E3331A">
              <w:t>Plasma exchange</w:t>
            </w:r>
          </w:p>
          <w:p w14:paraId="3353BBEF" w14:textId="77777777" w:rsidR="006A7C13" w:rsidRPr="00E3331A" w:rsidRDefault="006A7C13" w:rsidP="000B596E">
            <w:pPr>
              <w:pStyle w:val="Tabletext1"/>
              <w:numPr>
                <w:ilvl w:val="0"/>
                <w:numId w:val="12"/>
              </w:numPr>
            </w:pPr>
            <w:r w:rsidRPr="00E3331A">
              <w:t>Immunosuppressant and/or immunomodulatory drugs and therapies (not includ</w:t>
            </w:r>
            <w:r w:rsidR="00D67E17" w:rsidRPr="00E3331A">
              <w:t>ing</w:t>
            </w:r>
            <w:r w:rsidRPr="00E3331A">
              <w:t xml:space="preserve"> steroids)</w:t>
            </w:r>
          </w:p>
          <w:p w14:paraId="2E5D93F8" w14:textId="77777777" w:rsidR="006A7C13" w:rsidRPr="00E3331A" w:rsidRDefault="006A7C13" w:rsidP="000B596E">
            <w:pPr>
              <w:pStyle w:val="Tabletext1"/>
              <w:numPr>
                <w:ilvl w:val="0"/>
                <w:numId w:val="12"/>
              </w:numPr>
            </w:pPr>
            <w:r w:rsidRPr="00E3331A">
              <w:t>A combination of two or more of the above therapies</w:t>
            </w:r>
          </w:p>
          <w:p w14:paraId="57026A42" w14:textId="77777777" w:rsidR="006A7C13" w:rsidRPr="00E3331A" w:rsidRDefault="006A7C13" w:rsidP="000B596E">
            <w:pPr>
              <w:pStyle w:val="Tabletext1"/>
              <w:numPr>
                <w:ilvl w:val="0"/>
                <w:numId w:val="12"/>
              </w:numPr>
            </w:pPr>
            <w:r w:rsidRPr="00E3331A">
              <w:t>No active treatment</w:t>
            </w:r>
          </w:p>
        </w:tc>
      </w:tr>
      <w:tr w:rsidR="006A7C13" w:rsidRPr="00E3331A" w14:paraId="6820DDCD" w14:textId="77777777" w:rsidTr="00A10609">
        <w:tc>
          <w:tcPr>
            <w:tcW w:w="1948" w:type="dxa"/>
            <w:shd w:val="clear" w:color="auto" w:fill="auto"/>
          </w:tcPr>
          <w:p w14:paraId="02843C84" w14:textId="77777777" w:rsidR="006A7C13" w:rsidRPr="00E3331A" w:rsidRDefault="006A7C13" w:rsidP="006A7C13">
            <w:pPr>
              <w:pStyle w:val="Tabletext1"/>
            </w:pPr>
            <w:r w:rsidRPr="00E3331A">
              <w:t>Outcomes</w:t>
            </w:r>
          </w:p>
        </w:tc>
        <w:tc>
          <w:tcPr>
            <w:tcW w:w="7071" w:type="dxa"/>
            <w:shd w:val="clear" w:color="auto" w:fill="auto"/>
          </w:tcPr>
          <w:p w14:paraId="26123872" w14:textId="77777777" w:rsidR="006A7C13" w:rsidRPr="00E3331A" w:rsidRDefault="006A7C13" w:rsidP="006A7C13">
            <w:pPr>
              <w:pStyle w:val="Tabletext1"/>
              <w:rPr>
                <w:rFonts w:cs="Arial"/>
              </w:rPr>
            </w:pPr>
            <w:r w:rsidRPr="00E3331A">
              <w:rPr>
                <w:rFonts w:cs="Arial"/>
              </w:rPr>
              <w:t>Critical for decision making:</w:t>
            </w:r>
          </w:p>
          <w:p w14:paraId="240C3281" w14:textId="77777777" w:rsidR="00FD160D" w:rsidRPr="00E3331A" w:rsidRDefault="00C63ECB" w:rsidP="000B596E">
            <w:pPr>
              <w:pStyle w:val="Tabletext1"/>
              <w:numPr>
                <w:ilvl w:val="0"/>
                <w:numId w:val="13"/>
              </w:numPr>
              <w:rPr>
                <w:rFonts w:cs="Arial"/>
              </w:rPr>
            </w:pPr>
            <w:r w:rsidRPr="00E3331A">
              <w:rPr>
                <w:rFonts w:cs="Arial"/>
              </w:rPr>
              <w:t>Change in disability (e.g. Overall Neuropathy Limitations Scale (ONLS) score, Six-Minute Walk Test (6MWT) in children only)</w:t>
            </w:r>
          </w:p>
          <w:p w14:paraId="02FA351E" w14:textId="77777777" w:rsidR="00C63ECB" w:rsidRPr="00E3331A" w:rsidRDefault="00C63ECB" w:rsidP="000B596E">
            <w:pPr>
              <w:pStyle w:val="Tabletext1"/>
              <w:numPr>
                <w:ilvl w:val="0"/>
                <w:numId w:val="13"/>
              </w:numPr>
              <w:rPr>
                <w:rFonts w:cs="Arial"/>
              </w:rPr>
            </w:pPr>
            <w:r w:rsidRPr="00E3331A">
              <w:rPr>
                <w:rFonts w:cs="Arial"/>
              </w:rPr>
              <w:t>Change in muscle strength (e.g. Medical Research Council (MRC) Sum (12) in adults, Modified Rankin Scale (MRS) in children)</w:t>
            </w:r>
          </w:p>
          <w:p w14:paraId="53D4607E" w14:textId="77777777" w:rsidR="00C63ECB" w:rsidRPr="00E3331A" w:rsidRDefault="00C63ECB" w:rsidP="000B596E">
            <w:pPr>
              <w:pStyle w:val="Tabletext1"/>
              <w:numPr>
                <w:ilvl w:val="0"/>
                <w:numId w:val="13"/>
              </w:numPr>
              <w:rPr>
                <w:rFonts w:cs="Arial"/>
              </w:rPr>
            </w:pPr>
            <w:r w:rsidRPr="00E3331A">
              <w:rPr>
                <w:rFonts w:cs="Arial"/>
              </w:rPr>
              <w:t>Change in quality of life</w:t>
            </w:r>
          </w:p>
          <w:p w14:paraId="15869C24" w14:textId="77777777" w:rsidR="006A7C13" w:rsidRPr="00E3331A" w:rsidRDefault="00C63ECB" w:rsidP="000B596E">
            <w:pPr>
              <w:pStyle w:val="Tabletext1"/>
              <w:numPr>
                <w:ilvl w:val="0"/>
                <w:numId w:val="13"/>
              </w:numPr>
              <w:rPr>
                <w:rFonts w:cs="Arial"/>
              </w:rPr>
            </w:pPr>
            <w:r w:rsidRPr="00E3331A">
              <w:rPr>
                <w:rFonts w:cs="Arial"/>
              </w:rPr>
              <w:t>Mortality</w:t>
            </w:r>
          </w:p>
        </w:tc>
      </w:tr>
      <w:tr w:rsidR="006A7C13" w:rsidRPr="00E3331A" w14:paraId="78DF96B4" w14:textId="77777777" w:rsidTr="00A10609">
        <w:tc>
          <w:tcPr>
            <w:tcW w:w="1948" w:type="dxa"/>
            <w:tcBorders>
              <w:top w:val="single" w:sz="4" w:space="0" w:color="auto"/>
              <w:bottom w:val="single" w:sz="4" w:space="0" w:color="auto"/>
            </w:tcBorders>
            <w:shd w:val="clear" w:color="auto" w:fill="auto"/>
          </w:tcPr>
          <w:p w14:paraId="4FEA01AD" w14:textId="77777777" w:rsidR="006A7C13" w:rsidRPr="00E3331A" w:rsidRDefault="006A7C13" w:rsidP="006A7C13">
            <w:pPr>
              <w:tabs>
                <w:tab w:val="left" w:pos="0"/>
              </w:tabs>
              <w:spacing w:before="40" w:after="40" w:line="240" w:lineRule="auto"/>
              <w:ind w:right="62"/>
              <w:rPr>
                <w:rFonts w:ascii="Arial Narrow" w:hAnsi="Arial Narrow" w:cs="Arial"/>
                <w:b/>
                <w:sz w:val="20"/>
              </w:rPr>
            </w:pPr>
            <w:r w:rsidRPr="00E3331A">
              <w:rPr>
                <w:rFonts w:ascii="Arial Narrow" w:hAnsi="Arial Narrow" w:cs="Arial Narrow"/>
                <w:b/>
                <w:bCs/>
                <w:sz w:val="20"/>
              </w:rPr>
              <w:t>Systematic review question</w:t>
            </w:r>
          </w:p>
        </w:tc>
        <w:tc>
          <w:tcPr>
            <w:tcW w:w="7071" w:type="dxa"/>
            <w:tcBorders>
              <w:top w:val="single" w:sz="4" w:space="0" w:color="auto"/>
              <w:bottom w:val="single" w:sz="4" w:space="0" w:color="auto"/>
            </w:tcBorders>
            <w:shd w:val="clear" w:color="auto" w:fill="auto"/>
          </w:tcPr>
          <w:p w14:paraId="5F4F1B85" w14:textId="77777777" w:rsidR="006A7C13" w:rsidRPr="00E3331A" w:rsidRDefault="00FD160D" w:rsidP="006A7C13">
            <w:pPr>
              <w:tabs>
                <w:tab w:val="left" w:pos="0"/>
              </w:tabs>
              <w:spacing w:before="40" w:after="40" w:line="240" w:lineRule="auto"/>
              <w:ind w:right="62"/>
              <w:rPr>
                <w:rFonts w:ascii="Arial Narrow" w:hAnsi="Arial Narrow" w:cs="Arial"/>
                <w:sz w:val="20"/>
              </w:rPr>
            </w:pPr>
            <w:r w:rsidRPr="00E3331A">
              <w:rPr>
                <w:rFonts w:ascii="Arial Narrow" w:hAnsi="Arial Narrow" w:cs="Arial"/>
                <w:sz w:val="20"/>
              </w:rPr>
              <w:t>What is the</w:t>
            </w:r>
            <w:r w:rsidR="00DD2242" w:rsidRPr="00E3331A">
              <w:rPr>
                <w:rFonts w:ascii="Arial Narrow" w:hAnsi="Arial Narrow" w:cs="Arial"/>
                <w:sz w:val="20"/>
              </w:rPr>
              <w:t xml:space="preserve"> relative</w:t>
            </w:r>
            <w:r w:rsidRPr="00E3331A">
              <w:rPr>
                <w:rFonts w:ascii="Arial Narrow" w:hAnsi="Arial Narrow" w:cs="Arial"/>
                <w:sz w:val="20"/>
              </w:rPr>
              <w:t xml:space="preserve"> </w:t>
            </w:r>
            <w:r w:rsidR="00492E2D" w:rsidRPr="00E3331A">
              <w:rPr>
                <w:rFonts w:ascii="Arial Narrow" w:hAnsi="Arial Narrow" w:cs="Arial"/>
                <w:sz w:val="20"/>
              </w:rPr>
              <w:t>efficacy</w:t>
            </w:r>
            <w:r w:rsidRPr="00E3331A">
              <w:rPr>
                <w:rFonts w:ascii="Arial Narrow" w:hAnsi="Arial Narrow" w:cs="Arial"/>
                <w:sz w:val="20"/>
              </w:rPr>
              <w:t xml:space="preserve"> of Ig </w:t>
            </w:r>
            <w:r w:rsidR="000742E5" w:rsidRPr="00E3331A">
              <w:rPr>
                <w:rFonts w:ascii="Arial Narrow" w:hAnsi="Arial Narrow" w:cs="Arial"/>
                <w:sz w:val="20"/>
              </w:rPr>
              <w:t xml:space="preserve">(IVIg and SCIg) </w:t>
            </w:r>
            <w:r w:rsidRPr="00E3331A">
              <w:rPr>
                <w:rFonts w:ascii="Arial Narrow" w:hAnsi="Arial Narrow" w:cs="Arial"/>
                <w:sz w:val="20"/>
              </w:rPr>
              <w:t xml:space="preserve">for the management of CIDP? </w:t>
            </w:r>
          </w:p>
        </w:tc>
      </w:tr>
    </w:tbl>
    <w:p w14:paraId="34A56BFB" w14:textId="77777777" w:rsidR="00CC2229" w:rsidRDefault="00A10609" w:rsidP="00A10609">
      <w:pPr>
        <w:spacing w:after="0" w:line="240" w:lineRule="auto"/>
        <w:jc w:val="both"/>
        <w:rPr>
          <w:rFonts w:ascii="Arial Narrow" w:hAnsi="Arial Narrow"/>
          <w:sz w:val="18"/>
          <w:szCs w:val="18"/>
        </w:rPr>
      </w:pPr>
      <w:r w:rsidRPr="00A10609">
        <w:rPr>
          <w:rFonts w:ascii="Arial Narrow" w:hAnsi="Arial Narrow"/>
          <w:sz w:val="18"/>
          <w:szCs w:val="18"/>
        </w:rPr>
        <w:t>Abbreviations: CIDP = chronic inflammatory demyelinating neuropathy; ICU = intensive care unit; IVIg = intravenous immunoglobulin; SCIg = subcutaneous immunoglobulin</w:t>
      </w:r>
    </w:p>
    <w:p w14:paraId="492C47F0" w14:textId="77777777" w:rsidR="00A10609" w:rsidRPr="00E3331A" w:rsidRDefault="00A10609" w:rsidP="00FC5203">
      <w:pPr>
        <w:jc w:val="both"/>
        <w:rPr>
          <w:rFonts w:ascii="Arial Narrow" w:hAnsi="Arial Narrow"/>
          <w:sz w:val="18"/>
          <w:szCs w:val="18"/>
        </w:rPr>
      </w:pPr>
    </w:p>
    <w:p w14:paraId="42D08E2A" w14:textId="77777777" w:rsidR="00C33F2C" w:rsidRPr="00E3331A" w:rsidRDefault="00C33F2C" w:rsidP="000B596E">
      <w:pPr>
        <w:pStyle w:val="Heading2"/>
        <w:numPr>
          <w:ilvl w:val="0"/>
          <w:numId w:val="24"/>
        </w:numPr>
      </w:pPr>
      <w:bookmarkStart w:id="115" w:name="_Toc426968125"/>
      <w:bookmarkStart w:id="116" w:name="_Toc69305544"/>
      <w:r w:rsidRPr="00E3331A">
        <w:t>Consumer impact statement</w:t>
      </w:r>
      <w:bookmarkEnd w:id="115"/>
      <w:bookmarkEnd w:id="116"/>
    </w:p>
    <w:p w14:paraId="55EAC224" w14:textId="77777777" w:rsidR="005D560F" w:rsidRPr="00E3331A" w:rsidRDefault="00CC2229" w:rsidP="003840DD">
      <w:r>
        <w:t xml:space="preserve">There were no changes to the consumer impact statement. Please refer to the original DCAR 1564. </w:t>
      </w:r>
    </w:p>
    <w:p w14:paraId="2A26B399" w14:textId="77777777" w:rsidR="00C9014F" w:rsidRPr="00E3331A" w:rsidRDefault="00C9014F" w:rsidP="00DF343F">
      <w:pPr>
        <w:jc w:val="both"/>
      </w:pPr>
    </w:p>
    <w:p w14:paraId="29C4CA3A" w14:textId="77777777" w:rsidR="00C9014F" w:rsidRPr="00E3331A" w:rsidRDefault="00C9014F" w:rsidP="00DF343F">
      <w:pPr>
        <w:jc w:val="both"/>
        <w:sectPr w:rsidR="00C9014F" w:rsidRPr="00E3331A" w:rsidSect="0080059D">
          <w:pgSz w:w="11909" w:h="16834" w:code="9"/>
          <w:pgMar w:top="1440" w:right="1440" w:bottom="1440" w:left="1440" w:header="709" w:footer="709" w:gutter="0"/>
          <w:cols w:space="720"/>
        </w:sectPr>
      </w:pPr>
      <w:bookmarkStart w:id="117" w:name="_Ref124760357"/>
    </w:p>
    <w:p w14:paraId="7D8EDE25" w14:textId="77777777" w:rsidR="008F59A8" w:rsidRPr="00E3331A" w:rsidRDefault="00AA708D" w:rsidP="00DF343F">
      <w:pPr>
        <w:pStyle w:val="Heading1"/>
        <w:jc w:val="both"/>
      </w:pPr>
      <w:bookmarkStart w:id="118" w:name="_Toc69305545"/>
      <w:bookmarkEnd w:id="117"/>
      <w:r w:rsidRPr="00E3331A">
        <w:t>Section B</w:t>
      </w:r>
      <w:r w:rsidRPr="00E3331A">
        <w:tab/>
        <w:t>Clinical Evaluation</w:t>
      </w:r>
      <w:bookmarkEnd w:id="118"/>
      <w:r w:rsidR="008F59A8" w:rsidRPr="00E3331A">
        <w:t xml:space="preserve"> </w:t>
      </w:r>
    </w:p>
    <w:p w14:paraId="6CED31CB" w14:textId="77777777" w:rsidR="00AA708D" w:rsidRPr="00E3331A" w:rsidRDefault="00AA708D" w:rsidP="003E4E1F">
      <w:pPr>
        <w:pStyle w:val="Heading2"/>
        <w:numPr>
          <w:ilvl w:val="1"/>
          <w:numId w:val="9"/>
        </w:numPr>
      </w:pPr>
      <w:bookmarkStart w:id="119" w:name="_Toc381796460"/>
      <w:bookmarkStart w:id="120" w:name="_Toc69305546"/>
      <w:bookmarkStart w:id="121" w:name="_Toc381796462"/>
      <w:bookmarkStart w:id="122" w:name="_Toc381796467"/>
      <w:bookmarkStart w:id="123" w:name="_Toc379118083"/>
      <w:r w:rsidRPr="00E3331A">
        <w:t>Literature</w:t>
      </w:r>
      <w:r w:rsidR="00D5489B" w:rsidRPr="00E3331A">
        <w:t xml:space="preserve"> Sources and Search S</w:t>
      </w:r>
      <w:r w:rsidRPr="00E3331A">
        <w:t>trategies</w:t>
      </w:r>
      <w:bookmarkEnd w:id="119"/>
      <w:bookmarkEnd w:id="120"/>
    </w:p>
    <w:p w14:paraId="629C186E" w14:textId="77777777" w:rsidR="009F3B22" w:rsidRDefault="009F3B22" w:rsidP="006F36D6">
      <w:pPr>
        <w:pStyle w:val="Heading5"/>
      </w:pPr>
      <w:r>
        <w:t>Comparativ</w:t>
      </w:r>
      <w:r w:rsidR="004D449A">
        <w:t xml:space="preserve">e safety and effectiveness of </w:t>
      </w:r>
      <w:r>
        <w:t>Ig for CIDP</w:t>
      </w:r>
    </w:p>
    <w:p w14:paraId="19620C27" w14:textId="236E710E" w:rsidR="00AA708D" w:rsidRDefault="00C7484A" w:rsidP="00AA708D">
      <w:pPr>
        <w:jc w:val="both"/>
      </w:pPr>
      <w:r>
        <w:t xml:space="preserve">The search terms and databases used in the </w:t>
      </w:r>
      <w:r w:rsidR="004D449A">
        <w:t>DCAR</w:t>
      </w:r>
      <w:r>
        <w:t xml:space="preserve"> 1564 Review were used in the </w:t>
      </w:r>
      <w:r w:rsidR="004D449A">
        <w:t>DCAR</w:t>
      </w:r>
      <w:r w:rsidR="002B36A9">
        <w:t xml:space="preserve"> 1564</w:t>
      </w:r>
      <w:r>
        <w:t xml:space="preserve"> Update for consistency. </w:t>
      </w:r>
      <w:r w:rsidR="00AA708D" w:rsidRPr="00E3331A">
        <w:t>The medical literature search</w:t>
      </w:r>
      <w:r w:rsidR="003C5073">
        <w:t xml:space="preserve"> was updated</w:t>
      </w:r>
      <w:r w:rsidR="00AA708D" w:rsidRPr="00E3331A">
        <w:t xml:space="preserve"> </w:t>
      </w:r>
      <w:r w:rsidR="00D5489B" w:rsidRPr="00E3331A">
        <w:t xml:space="preserve">on </w:t>
      </w:r>
      <w:r w:rsidR="00A1397A">
        <w:t>7</w:t>
      </w:r>
      <w:r w:rsidRPr="00E3331A">
        <w:t xml:space="preserve"> </w:t>
      </w:r>
      <w:r>
        <w:t>October 2020</w:t>
      </w:r>
      <w:r w:rsidR="00D5489B" w:rsidRPr="00E3331A">
        <w:t xml:space="preserve"> </w:t>
      </w:r>
      <w:r w:rsidR="00AA708D" w:rsidRPr="00E3331A">
        <w:t xml:space="preserve">to identify </w:t>
      </w:r>
      <w:r w:rsidR="005A73A4" w:rsidRPr="00E3331A">
        <w:t xml:space="preserve">all </w:t>
      </w:r>
      <w:r w:rsidR="00AA708D" w:rsidRPr="00E3331A">
        <w:t>relevant studies</w:t>
      </w:r>
      <w:r w:rsidR="005A73A4" w:rsidRPr="00E3331A">
        <w:t xml:space="preserve"> </w:t>
      </w:r>
      <w:r>
        <w:t xml:space="preserve">published from the beginning of 2019 to the search date </w:t>
      </w:r>
      <w:r w:rsidR="005A73A4" w:rsidRPr="00E3331A">
        <w:t>on the treatment of CIDP</w:t>
      </w:r>
      <w:r w:rsidR="003C5073">
        <w:t xml:space="preserve"> with IVIg</w:t>
      </w:r>
      <w:r w:rsidR="00C53293">
        <w:t xml:space="preserve"> or SCIg</w:t>
      </w:r>
      <w:r w:rsidR="00AA708D" w:rsidRPr="00E3331A">
        <w:t xml:space="preserve">. </w:t>
      </w:r>
      <w:r>
        <w:t xml:space="preserve">There </w:t>
      </w:r>
      <w:r w:rsidR="00733902">
        <w:t xml:space="preserve">was </w:t>
      </w:r>
      <w:r>
        <w:t xml:space="preserve">an overlap of approximately </w:t>
      </w:r>
      <w:r w:rsidR="008E29CB">
        <w:t xml:space="preserve">three </w:t>
      </w:r>
      <w:r>
        <w:t xml:space="preserve">months with the search of the </w:t>
      </w:r>
      <w:r w:rsidR="00733902">
        <w:t>original r</w:t>
      </w:r>
      <w:r>
        <w:t xml:space="preserve">eview, to identify any articles that may have been in the pre-publication phase previously. </w:t>
      </w:r>
      <w:r w:rsidR="00AA708D" w:rsidRPr="00E3331A">
        <w:t>Searches were conducted of the databases</w:t>
      </w:r>
      <w:r w:rsidR="00D5489B" w:rsidRPr="00E3331A">
        <w:t xml:space="preserve"> and sources</w:t>
      </w:r>
      <w:r w:rsidR="00AA708D" w:rsidRPr="00E3331A">
        <w:t xml:space="preserve"> described in </w:t>
      </w:r>
      <w:r w:rsidR="00AA708D" w:rsidRPr="00E53D50">
        <w:rPr>
          <w:b/>
        </w:rPr>
        <w:t xml:space="preserve">Appendix </w:t>
      </w:r>
      <w:r w:rsidR="009D44E4" w:rsidRPr="00E53D50">
        <w:rPr>
          <w:b/>
        </w:rPr>
        <w:t>B</w:t>
      </w:r>
      <w:r w:rsidR="00AA708D" w:rsidRPr="00E3331A">
        <w:t>.</w:t>
      </w:r>
      <w:r w:rsidR="00D5489B" w:rsidRPr="00E3331A">
        <w:t xml:space="preserve"> </w:t>
      </w:r>
      <w:r w:rsidR="00AA708D" w:rsidRPr="00E3331A">
        <w:t xml:space="preserve">Search terms are described in </w:t>
      </w:r>
      <w:r w:rsidR="00AA708D" w:rsidRPr="00E3331A">
        <w:fldChar w:fldCharType="begin"/>
      </w:r>
      <w:r w:rsidR="00AA708D" w:rsidRPr="00E3331A">
        <w:instrText xml:space="preserve"> REF _Ref379483486 \h  \* MERGEFORMAT </w:instrText>
      </w:r>
      <w:r w:rsidR="00AA708D" w:rsidRPr="00E3331A">
        <w:fldChar w:fldCharType="separate"/>
      </w:r>
      <w:r w:rsidR="004B3EA2" w:rsidRPr="00E3331A">
        <w:t xml:space="preserve">Table </w:t>
      </w:r>
      <w:r w:rsidR="004B3EA2">
        <w:rPr>
          <w:noProof/>
        </w:rPr>
        <w:t>6</w:t>
      </w:r>
      <w:r w:rsidR="00AA708D" w:rsidRPr="00E3331A">
        <w:fldChar w:fldCharType="end"/>
      </w:r>
      <w:r w:rsidR="00AA708D" w:rsidRPr="00E3331A">
        <w:t xml:space="preserve">. </w:t>
      </w:r>
    </w:p>
    <w:p w14:paraId="617905FD" w14:textId="77777777" w:rsidR="004D449A" w:rsidRPr="00E3331A" w:rsidRDefault="004D449A" w:rsidP="00AA708D">
      <w:pPr>
        <w:jc w:val="both"/>
      </w:pPr>
      <w:r w:rsidRPr="004D449A">
        <w:t>To ensure all relevant data on treatment of CIDP w</w:t>
      </w:r>
      <w:r>
        <w:t>ere</w:t>
      </w:r>
      <w:r w:rsidRPr="004D449A">
        <w:t xml:space="preserve"> identified</w:t>
      </w:r>
      <w:r w:rsidR="00911409">
        <w:t>,</w:t>
      </w:r>
      <w:r w:rsidRPr="004D449A">
        <w:t xml:space="preserve"> a broad search strategy was employed</w:t>
      </w:r>
      <w:r w:rsidR="00911409">
        <w:t>,</w:t>
      </w:r>
      <w:r w:rsidRPr="004D449A">
        <w:t xml:space="preserve"> including only terms for the population of interest.</w:t>
      </w:r>
    </w:p>
    <w:p w14:paraId="7AE7A23C" w14:textId="302587B0" w:rsidR="00AA708D" w:rsidRPr="00E3331A" w:rsidRDefault="00AA708D" w:rsidP="00AA708D">
      <w:pPr>
        <w:pStyle w:val="Caption"/>
        <w:tabs>
          <w:tab w:val="left" w:pos="851"/>
        </w:tabs>
        <w:jc w:val="both"/>
      </w:pPr>
      <w:bookmarkStart w:id="124" w:name="_Ref363722464"/>
      <w:bookmarkStart w:id="125" w:name="_Ref379483486"/>
      <w:bookmarkStart w:id="126" w:name="_Toc381969863"/>
      <w:bookmarkStart w:id="127" w:name="_Toc69305647"/>
      <w:r w:rsidRPr="00E3331A">
        <w:t xml:space="preserve">Table </w:t>
      </w:r>
      <w:r w:rsidR="003A73EF" w:rsidRPr="00E3331A">
        <w:rPr>
          <w:noProof/>
        </w:rPr>
        <w:fldChar w:fldCharType="begin"/>
      </w:r>
      <w:r w:rsidR="003A73EF" w:rsidRPr="00E3331A">
        <w:rPr>
          <w:noProof/>
        </w:rPr>
        <w:instrText xml:space="preserve"> SEQ Table \* ARABIC </w:instrText>
      </w:r>
      <w:r w:rsidR="003A73EF" w:rsidRPr="00E3331A">
        <w:rPr>
          <w:noProof/>
        </w:rPr>
        <w:fldChar w:fldCharType="separate"/>
      </w:r>
      <w:r w:rsidR="004B3EA2">
        <w:rPr>
          <w:noProof/>
        </w:rPr>
        <w:t>6</w:t>
      </w:r>
      <w:r w:rsidR="003A73EF" w:rsidRPr="00E3331A">
        <w:rPr>
          <w:noProof/>
        </w:rPr>
        <w:fldChar w:fldCharType="end"/>
      </w:r>
      <w:bookmarkEnd w:id="124"/>
      <w:bookmarkEnd w:id="125"/>
      <w:r w:rsidRPr="00E3331A">
        <w:tab/>
        <w:t>Search terms used</w:t>
      </w:r>
      <w:bookmarkEnd w:id="126"/>
      <w:r w:rsidRPr="00E3331A">
        <w:t xml:space="preserve"> </w:t>
      </w:r>
      <w:r w:rsidR="000C0FE1" w:rsidRPr="00E3331A">
        <w:t>in PubMed (adapted for Embase)</w:t>
      </w:r>
      <w:bookmarkEnd w:id="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earch terms used in PubMed (adapted for Embase"/>
      </w:tblPr>
      <w:tblGrid>
        <w:gridCol w:w="2405"/>
        <w:gridCol w:w="6503"/>
      </w:tblGrid>
      <w:tr w:rsidR="00AA708D" w:rsidRPr="00E3331A" w14:paraId="14D74798" w14:textId="77777777" w:rsidTr="0075546A">
        <w:trPr>
          <w:tblHeader/>
        </w:trPr>
        <w:tc>
          <w:tcPr>
            <w:tcW w:w="2405" w:type="dxa"/>
          </w:tcPr>
          <w:p w14:paraId="2347C425" w14:textId="77777777" w:rsidR="00AA708D" w:rsidRPr="00E3331A" w:rsidRDefault="00AA708D" w:rsidP="00FC79BA">
            <w:pPr>
              <w:pStyle w:val="TableHeading"/>
              <w:jc w:val="both"/>
            </w:pPr>
            <w:r w:rsidRPr="00E3331A">
              <w:t>Element of clinical question</w:t>
            </w:r>
          </w:p>
        </w:tc>
        <w:tc>
          <w:tcPr>
            <w:tcW w:w="6503" w:type="dxa"/>
          </w:tcPr>
          <w:p w14:paraId="133C8C19" w14:textId="77777777" w:rsidR="00AA708D" w:rsidRPr="00E3331A" w:rsidRDefault="00AA708D" w:rsidP="00FC79BA">
            <w:pPr>
              <w:pStyle w:val="TableHeading"/>
              <w:jc w:val="both"/>
            </w:pPr>
            <w:r w:rsidRPr="00E3331A">
              <w:t>Search terms</w:t>
            </w:r>
          </w:p>
        </w:tc>
      </w:tr>
      <w:tr w:rsidR="00AA708D" w:rsidRPr="00E3331A" w14:paraId="34E55989" w14:textId="77777777" w:rsidTr="0075546A">
        <w:tc>
          <w:tcPr>
            <w:tcW w:w="2405" w:type="dxa"/>
          </w:tcPr>
          <w:p w14:paraId="21E241A7" w14:textId="77777777" w:rsidR="00AA708D" w:rsidRPr="00E3331A" w:rsidRDefault="00AA708D" w:rsidP="00147F55">
            <w:pPr>
              <w:pStyle w:val="Tablecontents"/>
            </w:pPr>
            <w:r w:rsidRPr="00E3331A">
              <w:t>Population</w:t>
            </w:r>
          </w:p>
        </w:tc>
        <w:tc>
          <w:tcPr>
            <w:tcW w:w="6503" w:type="dxa"/>
          </w:tcPr>
          <w:p w14:paraId="7FFD5651" w14:textId="77777777" w:rsidR="00AA708D" w:rsidRPr="00E3331A" w:rsidRDefault="005A73A4" w:rsidP="00147F55">
            <w:pPr>
              <w:pStyle w:val="Tablecontents"/>
            </w:pPr>
            <w:r w:rsidRPr="00E3331A">
              <w:t>CIDP, Chronic inflammatory demyelinating polyneuropathy, chronic inflammatory demyelinating polyradiculoneuropathy [MeSH Terms]</w:t>
            </w:r>
          </w:p>
        </w:tc>
      </w:tr>
      <w:tr w:rsidR="00AA708D" w:rsidRPr="00E3331A" w14:paraId="20B57FBD" w14:textId="77777777" w:rsidTr="0075546A">
        <w:tc>
          <w:tcPr>
            <w:tcW w:w="2405" w:type="dxa"/>
          </w:tcPr>
          <w:p w14:paraId="5DA8BD33" w14:textId="77777777" w:rsidR="00AA708D" w:rsidRPr="00E3331A" w:rsidRDefault="00AA708D" w:rsidP="00147F55">
            <w:pPr>
              <w:pStyle w:val="Tablecontents"/>
            </w:pPr>
            <w:r w:rsidRPr="00E3331A">
              <w:t>Limits</w:t>
            </w:r>
          </w:p>
        </w:tc>
        <w:tc>
          <w:tcPr>
            <w:tcW w:w="6503" w:type="dxa"/>
          </w:tcPr>
          <w:p w14:paraId="2D6F44F7" w14:textId="77777777" w:rsidR="00AA708D" w:rsidRPr="00E3331A" w:rsidRDefault="00FD6FA6" w:rsidP="00147F55">
            <w:pPr>
              <w:pStyle w:val="Tablecontents"/>
            </w:pPr>
            <w:r>
              <w:t>Randomised controlled trials, or systematic reviews of randomised controlled trials only</w:t>
            </w:r>
          </w:p>
        </w:tc>
      </w:tr>
    </w:tbl>
    <w:p w14:paraId="6DF23E7D" w14:textId="77777777" w:rsidR="006F36D6" w:rsidRPr="00E3331A" w:rsidRDefault="00E935A4" w:rsidP="0037150F">
      <w:pPr>
        <w:pStyle w:val="Tablenotes0"/>
      </w:pPr>
      <w:r>
        <w:t xml:space="preserve">CIDP = </w:t>
      </w:r>
      <w:r w:rsidR="0075546A">
        <w:t>chronic inflammatory demyelinating polyneuropathy;</w:t>
      </w:r>
      <w:r>
        <w:t xml:space="preserve"> MeSH = Medical Subject Headings</w:t>
      </w:r>
    </w:p>
    <w:p w14:paraId="01543088" w14:textId="77777777" w:rsidR="009F3B22" w:rsidRDefault="009F3B22" w:rsidP="006F36D6">
      <w:pPr>
        <w:pStyle w:val="Heading5"/>
      </w:pPr>
      <w:r>
        <w:t>Extended assessment of harms</w:t>
      </w:r>
    </w:p>
    <w:p w14:paraId="15D69345" w14:textId="18BBEFAB" w:rsidR="009F3B22" w:rsidRDefault="009F3B22" w:rsidP="0069579C">
      <w:pPr>
        <w:jc w:val="both"/>
      </w:pPr>
      <w:r>
        <w:t xml:space="preserve">To broaden the evidence base for the assessment of harms related to </w:t>
      </w:r>
      <w:r w:rsidR="00791119">
        <w:t>Ig comparators</w:t>
      </w:r>
      <w:r>
        <w:t xml:space="preserve">, an additional literature search was performed using the terms described in </w:t>
      </w:r>
      <w:r w:rsidR="00791119">
        <w:fldChar w:fldCharType="begin"/>
      </w:r>
      <w:r w:rsidR="00791119">
        <w:instrText xml:space="preserve"> REF _Ref57883787 \h  \* MERGEFORMAT </w:instrText>
      </w:r>
      <w:r w:rsidR="00791119">
        <w:fldChar w:fldCharType="separate"/>
      </w:r>
      <w:r w:rsidR="004B3EA2" w:rsidRPr="006F36D6">
        <w:t xml:space="preserve">Table </w:t>
      </w:r>
      <w:r w:rsidR="004B3EA2">
        <w:t>7</w:t>
      </w:r>
      <w:r w:rsidR="00791119">
        <w:fldChar w:fldCharType="end"/>
      </w:r>
      <w:r>
        <w:t xml:space="preserve">. The search was performed of the literature databases listed in </w:t>
      </w:r>
      <w:r w:rsidRPr="00E53D50">
        <w:rPr>
          <w:b/>
        </w:rPr>
        <w:t>Appendix B</w:t>
      </w:r>
      <w:r w:rsidR="004D449A">
        <w:t>,</w:t>
      </w:r>
      <w:r>
        <w:t xml:space="preserve"> on the 26 October 2020. </w:t>
      </w:r>
    </w:p>
    <w:p w14:paraId="63DC8AF1" w14:textId="77777777" w:rsidR="006F36D6" w:rsidRPr="006F36D6" w:rsidRDefault="006F36D6" w:rsidP="0069579C">
      <w:pPr>
        <w:jc w:val="both"/>
        <w:rPr>
          <w:lang w:val="en-US"/>
        </w:rPr>
      </w:pPr>
      <w:r w:rsidRPr="006F36D6">
        <w:rPr>
          <w:lang w:val="en-US"/>
        </w:rPr>
        <w:t xml:space="preserve">Limits </w:t>
      </w:r>
      <w:r>
        <w:rPr>
          <w:lang w:val="en-US"/>
        </w:rPr>
        <w:t xml:space="preserve">applied </w:t>
      </w:r>
      <w:r w:rsidRPr="006F36D6">
        <w:rPr>
          <w:lang w:val="en-US"/>
        </w:rPr>
        <w:t xml:space="preserve">to the expanded search for comparator safety </w:t>
      </w:r>
      <w:r>
        <w:rPr>
          <w:lang w:val="en-US"/>
        </w:rPr>
        <w:t>were</w:t>
      </w:r>
      <w:r w:rsidRPr="006F36D6">
        <w:rPr>
          <w:lang w:val="en-US"/>
        </w:rPr>
        <w:t xml:space="preserve"> systematic reviews (SRs), and cohort studies, implemented using the appropriate filters in each database. A simple search string based on safety outcomes, using terms such as ‘safety’, ‘adverse event’, ‘side effect’ and ‘adverse effect’, </w:t>
      </w:r>
      <w:r>
        <w:rPr>
          <w:lang w:val="en-US"/>
        </w:rPr>
        <w:t>was applied</w:t>
      </w:r>
      <w:r w:rsidRPr="006F36D6">
        <w:rPr>
          <w:lang w:val="en-US"/>
        </w:rPr>
        <w:t xml:space="preserve"> to further focus the search.</w:t>
      </w:r>
    </w:p>
    <w:p w14:paraId="1ECB32D5" w14:textId="6DB4C8B2" w:rsidR="006F36D6" w:rsidRPr="006F36D6" w:rsidRDefault="006F36D6" w:rsidP="00541B0D">
      <w:pPr>
        <w:pStyle w:val="Tableheading1"/>
        <w:keepNext/>
        <w:keepLines/>
      </w:pPr>
      <w:bookmarkStart w:id="128" w:name="_Ref57883787"/>
      <w:bookmarkStart w:id="129" w:name="_Toc54788727"/>
      <w:bookmarkStart w:id="130" w:name="_Toc69305648"/>
      <w:r w:rsidRPr="006F36D6">
        <w:t xml:space="preserve">Table </w:t>
      </w:r>
      <w:r w:rsidR="00003BA5">
        <w:fldChar w:fldCharType="begin"/>
      </w:r>
      <w:r w:rsidR="00003BA5">
        <w:instrText xml:space="preserve"> SEQ Table \* ARABIC </w:instrText>
      </w:r>
      <w:r w:rsidR="00003BA5">
        <w:fldChar w:fldCharType="separate"/>
      </w:r>
      <w:r w:rsidR="004B3EA2">
        <w:rPr>
          <w:noProof/>
        </w:rPr>
        <w:t>7</w:t>
      </w:r>
      <w:r w:rsidR="00003BA5">
        <w:rPr>
          <w:noProof/>
        </w:rPr>
        <w:fldChar w:fldCharType="end"/>
      </w:r>
      <w:bookmarkEnd w:id="128"/>
      <w:r w:rsidRPr="006F36D6">
        <w:tab/>
        <w:t xml:space="preserve">Search terms </w:t>
      </w:r>
      <w:r w:rsidR="008201EA">
        <w:t>used</w:t>
      </w:r>
      <w:r w:rsidR="008201EA" w:rsidRPr="006F36D6">
        <w:t xml:space="preserve"> </w:t>
      </w:r>
      <w:r w:rsidRPr="006F36D6">
        <w:t>for evidence on safety of comparator therapies</w:t>
      </w:r>
      <w:bookmarkEnd w:id="129"/>
      <w:bookmarkEnd w:id="130"/>
      <w:r w:rsidRPr="006F36D6">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Search terms used for evidence on safety of comparator therapies"/>
        <w:tblDescription w:val="Search terms used for evidence on safety of comparator therapies"/>
      </w:tblPr>
      <w:tblGrid>
        <w:gridCol w:w="2552"/>
        <w:gridCol w:w="3118"/>
        <w:gridCol w:w="3119"/>
      </w:tblGrid>
      <w:tr w:rsidR="006F36D6" w:rsidRPr="006F36D6" w14:paraId="45D1EB16" w14:textId="77777777" w:rsidTr="006F36D6">
        <w:trPr>
          <w:tblHeader/>
        </w:trPr>
        <w:tc>
          <w:tcPr>
            <w:tcW w:w="2552" w:type="dxa"/>
            <w:shd w:val="clear" w:color="auto" w:fill="auto"/>
          </w:tcPr>
          <w:p w14:paraId="7469C721" w14:textId="77777777" w:rsidR="006F36D6" w:rsidRPr="006F36D6" w:rsidRDefault="006F36D6" w:rsidP="00541B0D">
            <w:pPr>
              <w:pStyle w:val="TableHeading"/>
              <w:keepLines/>
            </w:pPr>
            <w:r w:rsidRPr="006F36D6">
              <w:t>Component</w:t>
            </w:r>
          </w:p>
        </w:tc>
        <w:tc>
          <w:tcPr>
            <w:tcW w:w="3118" w:type="dxa"/>
            <w:shd w:val="clear" w:color="auto" w:fill="auto"/>
          </w:tcPr>
          <w:p w14:paraId="19092E35" w14:textId="77777777" w:rsidR="006F36D6" w:rsidRPr="006F36D6" w:rsidRDefault="006F36D6" w:rsidP="00541B0D">
            <w:pPr>
              <w:pStyle w:val="TableHeading"/>
              <w:keepLines/>
            </w:pPr>
            <w:r w:rsidRPr="006F36D6">
              <w:t>MeSH terms</w:t>
            </w:r>
          </w:p>
        </w:tc>
        <w:tc>
          <w:tcPr>
            <w:tcW w:w="3119" w:type="dxa"/>
            <w:shd w:val="clear" w:color="auto" w:fill="auto"/>
          </w:tcPr>
          <w:p w14:paraId="103E6C6A" w14:textId="77777777" w:rsidR="006F36D6" w:rsidRPr="006F36D6" w:rsidRDefault="006F36D6" w:rsidP="00541B0D">
            <w:pPr>
              <w:pStyle w:val="TableHeading"/>
              <w:keepLines/>
            </w:pPr>
            <w:r w:rsidRPr="006F36D6">
              <w:t>Text terms</w:t>
            </w:r>
          </w:p>
        </w:tc>
      </w:tr>
      <w:tr w:rsidR="006F36D6" w:rsidRPr="006F36D6" w14:paraId="1616F620" w14:textId="77777777" w:rsidTr="006F36D6">
        <w:tc>
          <w:tcPr>
            <w:tcW w:w="2552" w:type="dxa"/>
            <w:shd w:val="clear" w:color="auto" w:fill="auto"/>
          </w:tcPr>
          <w:p w14:paraId="213476E6" w14:textId="77777777" w:rsidR="006F36D6" w:rsidRPr="006F36D6" w:rsidRDefault="006F36D6" w:rsidP="00541B0D">
            <w:pPr>
              <w:pStyle w:val="TableText0"/>
              <w:keepLines/>
              <w:rPr>
                <w:bCs/>
              </w:rPr>
            </w:pPr>
            <w:r w:rsidRPr="006F36D6">
              <w:rPr>
                <w:bCs/>
              </w:rPr>
              <w:t>Autoimmune diseases</w:t>
            </w:r>
          </w:p>
        </w:tc>
        <w:tc>
          <w:tcPr>
            <w:tcW w:w="3118" w:type="dxa"/>
            <w:shd w:val="clear" w:color="auto" w:fill="auto"/>
          </w:tcPr>
          <w:p w14:paraId="74C2091A" w14:textId="77777777" w:rsidR="006F36D6" w:rsidRPr="006F36D6" w:rsidRDefault="006F36D6" w:rsidP="00541B0D">
            <w:pPr>
              <w:pStyle w:val="TableText0"/>
              <w:keepLines/>
              <w:rPr>
                <w:bCs/>
              </w:rPr>
            </w:pPr>
            <w:r w:rsidRPr="006F36D6">
              <w:rPr>
                <w:bCs/>
              </w:rPr>
              <w:t>Autoimmune diseases</w:t>
            </w:r>
          </w:p>
        </w:tc>
        <w:tc>
          <w:tcPr>
            <w:tcW w:w="3119" w:type="dxa"/>
            <w:shd w:val="clear" w:color="auto" w:fill="auto"/>
          </w:tcPr>
          <w:p w14:paraId="52E42973" w14:textId="77777777" w:rsidR="006F36D6" w:rsidRPr="006F36D6" w:rsidRDefault="006F36D6" w:rsidP="00541B0D">
            <w:pPr>
              <w:pStyle w:val="TableText0"/>
              <w:keepLines/>
              <w:rPr>
                <w:bCs/>
              </w:rPr>
            </w:pPr>
            <w:r w:rsidRPr="006F36D6">
              <w:rPr>
                <w:bCs/>
              </w:rPr>
              <w:t>‘autoimmune disease’</w:t>
            </w:r>
          </w:p>
        </w:tc>
      </w:tr>
      <w:tr w:rsidR="00AA5229" w:rsidRPr="006F36D6" w14:paraId="0FB6B7B0" w14:textId="77777777" w:rsidTr="006F36D6">
        <w:tc>
          <w:tcPr>
            <w:tcW w:w="2552" w:type="dxa"/>
            <w:shd w:val="clear" w:color="auto" w:fill="auto"/>
          </w:tcPr>
          <w:p w14:paraId="09ECD8D5" w14:textId="77777777" w:rsidR="006F36D6" w:rsidRPr="006F36D6" w:rsidRDefault="006F36D6" w:rsidP="00541B0D">
            <w:pPr>
              <w:pStyle w:val="TableText0"/>
              <w:keepLines/>
              <w:rPr>
                <w:bCs/>
              </w:rPr>
            </w:pPr>
            <w:r w:rsidRPr="006F36D6">
              <w:rPr>
                <w:bCs/>
              </w:rPr>
              <w:t>Steroids</w:t>
            </w:r>
          </w:p>
        </w:tc>
        <w:tc>
          <w:tcPr>
            <w:tcW w:w="3118" w:type="dxa"/>
            <w:shd w:val="clear" w:color="auto" w:fill="auto"/>
          </w:tcPr>
          <w:p w14:paraId="5E47277D" w14:textId="77777777" w:rsidR="006F36D6" w:rsidRPr="006F36D6" w:rsidRDefault="006F36D6" w:rsidP="00541B0D">
            <w:pPr>
              <w:pStyle w:val="TableText0"/>
              <w:keepLines/>
              <w:rPr>
                <w:bCs/>
              </w:rPr>
            </w:pPr>
            <w:r w:rsidRPr="006F36D6">
              <w:rPr>
                <w:bCs/>
              </w:rPr>
              <w:t>glucocorticoids</w:t>
            </w:r>
          </w:p>
          <w:p w14:paraId="6AC2C485" w14:textId="77777777" w:rsidR="006F36D6" w:rsidRPr="006F36D6" w:rsidRDefault="006F36D6" w:rsidP="00541B0D">
            <w:pPr>
              <w:pStyle w:val="TableText0"/>
              <w:keepLines/>
              <w:rPr>
                <w:bCs/>
              </w:rPr>
            </w:pPr>
            <w:r w:rsidRPr="006F36D6">
              <w:rPr>
                <w:bCs/>
              </w:rPr>
              <w:t>Prednisone</w:t>
            </w:r>
          </w:p>
          <w:p w14:paraId="4CFA018D" w14:textId="77777777" w:rsidR="006F36D6" w:rsidRPr="006F36D6" w:rsidRDefault="006F36D6" w:rsidP="00541B0D">
            <w:pPr>
              <w:pStyle w:val="TableText0"/>
              <w:keepLines/>
              <w:rPr>
                <w:bCs/>
              </w:rPr>
            </w:pPr>
            <w:r w:rsidRPr="006F36D6">
              <w:rPr>
                <w:bCs/>
              </w:rPr>
              <w:t>Prednisolone</w:t>
            </w:r>
          </w:p>
          <w:p w14:paraId="2E1A52E5" w14:textId="77777777" w:rsidR="006F36D6" w:rsidRPr="006F36D6" w:rsidRDefault="006F36D6" w:rsidP="00541B0D">
            <w:pPr>
              <w:pStyle w:val="TableText0"/>
              <w:keepLines/>
              <w:rPr>
                <w:bCs/>
              </w:rPr>
            </w:pPr>
            <w:r w:rsidRPr="006F36D6">
              <w:rPr>
                <w:bCs/>
              </w:rPr>
              <w:t>Methylprednisolone</w:t>
            </w:r>
          </w:p>
          <w:p w14:paraId="42EAD868" w14:textId="77777777" w:rsidR="006F36D6" w:rsidRPr="006F36D6" w:rsidRDefault="006F36D6" w:rsidP="00541B0D">
            <w:pPr>
              <w:pStyle w:val="TableText0"/>
              <w:keepLines/>
              <w:rPr>
                <w:bCs/>
              </w:rPr>
            </w:pPr>
            <w:r w:rsidRPr="006F36D6">
              <w:rPr>
                <w:bCs/>
              </w:rPr>
              <w:t>Dexamethasone</w:t>
            </w:r>
          </w:p>
          <w:p w14:paraId="467CF6FB" w14:textId="77777777" w:rsidR="006F36D6" w:rsidRPr="006F36D6" w:rsidRDefault="006F36D6" w:rsidP="00541B0D">
            <w:pPr>
              <w:pStyle w:val="TableText0"/>
              <w:keepLines/>
              <w:rPr>
                <w:bCs/>
              </w:rPr>
            </w:pPr>
          </w:p>
        </w:tc>
        <w:tc>
          <w:tcPr>
            <w:tcW w:w="3119" w:type="dxa"/>
            <w:shd w:val="clear" w:color="auto" w:fill="auto"/>
          </w:tcPr>
          <w:p w14:paraId="431BD5EC" w14:textId="77777777" w:rsidR="006F36D6" w:rsidRPr="006F36D6" w:rsidRDefault="006F36D6" w:rsidP="00541B0D">
            <w:pPr>
              <w:pStyle w:val="TableText0"/>
              <w:keepLines/>
              <w:rPr>
                <w:bCs/>
              </w:rPr>
            </w:pPr>
            <w:r w:rsidRPr="006F36D6">
              <w:rPr>
                <w:bCs/>
              </w:rPr>
              <w:t>Corticosteroid*</w:t>
            </w:r>
          </w:p>
          <w:p w14:paraId="1DEA974D" w14:textId="77777777" w:rsidR="006F36D6" w:rsidRPr="006F36D6" w:rsidRDefault="006F36D6" w:rsidP="00541B0D">
            <w:pPr>
              <w:pStyle w:val="TableText0"/>
              <w:keepLines/>
              <w:rPr>
                <w:bCs/>
              </w:rPr>
            </w:pPr>
            <w:r w:rsidRPr="006F36D6">
              <w:rPr>
                <w:bCs/>
              </w:rPr>
              <w:t>Glucocorticoid*</w:t>
            </w:r>
          </w:p>
          <w:p w14:paraId="4BBB3346" w14:textId="77777777" w:rsidR="006F36D6" w:rsidRPr="006F36D6" w:rsidRDefault="006F36D6" w:rsidP="00541B0D">
            <w:pPr>
              <w:pStyle w:val="TableText0"/>
              <w:keepLines/>
              <w:rPr>
                <w:bCs/>
              </w:rPr>
            </w:pPr>
            <w:r w:rsidRPr="006F36D6">
              <w:rPr>
                <w:bCs/>
              </w:rPr>
              <w:t>Prednisone</w:t>
            </w:r>
          </w:p>
          <w:p w14:paraId="67AAD726" w14:textId="77777777" w:rsidR="006F36D6" w:rsidRPr="006F36D6" w:rsidRDefault="006F36D6" w:rsidP="00541B0D">
            <w:pPr>
              <w:pStyle w:val="TableText0"/>
              <w:keepLines/>
              <w:rPr>
                <w:bCs/>
              </w:rPr>
            </w:pPr>
            <w:r w:rsidRPr="006F36D6">
              <w:rPr>
                <w:bCs/>
              </w:rPr>
              <w:t>Prednisolone</w:t>
            </w:r>
          </w:p>
          <w:p w14:paraId="200CBB07" w14:textId="77777777" w:rsidR="006F36D6" w:rsidRPr="006F36D6" w:rsidRDefault="006F36D6" w:rsidP="00541B0D">
            <w:pPr>
              <w:pStyle w:val="TableText0"/>
              <w:keepLines/>
              <w:rPr>
                <w:bCs/>
              </w:rPr>
            </w:pPr>
            <w:r w:rsidRPr="006F36D6">
              <w:rPr>
                <w:bCs/>
              </w:rPr>
              <w:t>Dexamethasone</w:t>
            </w:r>
          </w:p>
          <w:p w14:paraId="236FB670" w14:textId="77777777" w:rsidR="006F36D6" w:rsidRPr="006F36D6" w:rsidRDefault="006F36D6" w:rsidP="00541B0D">
            <w:pPr>
              <w:pStyle w:val="TableText0"/>
              <w:keepLines/>
              <w:rPr>
                <w:bCs/>
              </w:rPr>
            </w:pPr>
            <w:r w:rsidRPr="006F36D6">
              <w:rPr>
                <w:bCs/>
              </w:rPr>
              <w:t>methylprednisolone</w:t>
            </w:r>
          </w:p>
        </w:tc>
      </w:tr>
      <w:tr w:rsidR="00AA5229" w:rsidRPr="006F36D6" w14:paraId="593EC3EC" w14:textId="77777777" w:rsidTr="006F36D6">
        <w:tc>
          <w:tcPr>
            <w:tcW w:w="2552" w:type="dxa"/>
            <w:shd w:val="clear" w:color="auto" w:fill="auto"/>
          </w:tcPr>
          <w:p w14:paraId="6FB19BF9" w14:textId="77777777" w:rsidR="006F36D6" w:rsidRPr="006F36D6" w:rsidRDefault="006F36D6" w:rsidP="006F36D6">
            <w:pPr>
              <w:pStyle w:val="TableText0"/>
              <w:rPr>
                <w:bCs/>
              </w:rPr>
            </w:pPr>
            <w:r w:rsidRPr="006F36D6">
              <w:rPr>
                <w:bCs/>
              </w:rPr>
              <w:t>Plasma exchange</w:t>
            </w:r>
          </w:p>
        </w:tc>
        <w:tc>
          <w:tcPr>
            <w:tcW w:w="3118" w:type="dxa"/>
            <w:shd w:val="clear" w:color="auto" w:fill="auto"/>
          </w:tcPr>
          <w:p w14:paraId="0BB992C6" w14:textId="77777777" w:rsidR="006F36D6" w:rsidRPr="006F36D6" w:rsidRDefault="006F36D6" w:rsidP="006F36D6">
            <w:pPr>
              <w:pStyle w:val="TableText0"/>
              <w:rPr>
                <w:bCs/>
              </w:rPr>
            </w:pPr>
            <w:r w:rsidRPr="006F36D6">
              <w:rPr>
                <w:bCs/>
              </w:rPr>
              <w:t>Plasma exchange</w:t>
            </w:r>
          </w:p>
        </w:tc>
        <w:tc>
          <w:tcPr>
            <w:tcW w:w="3119" w:type="dxa"/>
            <w:shd w:val="clear" w:color="auto" w:fill="auto"/>
          </w:tcPr>
          <w:p w14:paraId="69407E62" w14:textId="77777777" w:rsidR="006F36D6" w:rsidRPr="006F36D6" w:rsidRDefault="006F36D6" w:rsidP="006F36D6">
            <w:pPr>
              <w:pStyle w:val="TableText0"/>
              <w:rPr>
                <w:bCs/>
              </w:rPr>
            </w:pPr>
            <w:r w:rsidRPr="006F36D6">
              <w:rPr>
                <w:bCs/>
              </w:rPr>
              <w:t>‘plasma exchange’</w:t>
            </w:r>
          </w:p>
          <w:p w14:paraId="6A3D683D" w14:textId="77777777" w:rsidR="006F36D6" w:rsidRPr="006F36D6" w:rsidRDefault="006F36D6" w:rsidP="006F36D6">
            <w:pPr>
              <w:pStyle w:val="TableText0"/>
              <w:rPr>
                <w:bCs/>
              </w:rPr>
            </w:pPr>
            <w:r w:rsidRPr="006F36D6">
              <w:rPr>
                <w:bCs/>
              </w:rPr>
              <w:t>‘therapeutic plasma exchange’</w:t>
            </w:r>
          </w:p>
          <w:p w14:paraId="50D4E8EA" w14:textId="77777777" w:rsidR="006F36D6" w:rsidRPr="006F36D6" w:rsidRDefault="006F36D6" w:rsidP="006F36D6">
            <w:pPr>
              <w:pStyle w:val="TableText0"/>
              <w:rPr>
                <w:bCs/>
              </w:rPr>
            </w:pPr>
            <w:r w:rsidRPr="006F36D6">
              <w:rPr>
                <w:bCs/>
              </w:rPr>
              <w:t>TPE</w:t>
            </w:r>
          </w:p>
          <w:p w14:paraId="12F84369" w14:textId="77777777" w:rsidR="006F36D6" w:rsidRPr="006F36D6" w:rsidRDefault="006F36D6" w:rsidP="006F36D6">
            <w:pPr>
              <w:pStyle w:val="TableText0"/>
              <w:rPr>
                <w:bCs/>
              </w:rPr>
            </w:pPr>
            <w:r w:rsidRPr="006F36D6">
              <w:rPr>
                <w:bCs/>
              </w:rPr>
              <w:t>PLEX</w:t>
            </w:r>
          </w:p>
        </w:tc>
      </w:tr>
      <w:tr w:rsidR="00AA5229" w:rsidRPr="006F36D6" w14:paraId="0F374456" w14:textId="77777777" w:rsidTr="006F36D6">
        <w:tc>
          <w:tcPr>
            <w:tcW w:w="2552" w:type="dxa"/>
            <w:shd w:val="clear" w:color="auto" w:fill="auto"/>
          </w:tcPr>
          <w:p w14:paraId="57EF1817" w14:textId="77777777" w:rsidR="006F36D6" w:rsidRPr="006F36D6" w:rsidRDefault="006F36D6" w:rsidP="006F36D6">
            <w:pPr>
              <w:pStyle w:val="TableText0"/>
              <w:rPr>
                <w:bCs/>
              </w:rPr>
            </w:pPr>
            <w:r w:rsidRPr="006F36D6">
              <w:rPr>
                <w:bCs/>
              </w:rPr>
              <w:t>Immunosuppressants</w:t>
            </w:r>
          </w:p>
          <w:p w14:paraId="0A7BFEA7" w14:textId="77777777" w:rsidR="006F36D6" w:rsidRPr="006F36D6" w:rsidRDefault="006F36D6" w:rsidP="006F36D6">
            <w:pPr>
              <w:pStyle w:val="TableText0"/>
              <w:rPr>
                <w:bCs/>
              </w:rPr>
            </w:pPr>
            <w:r w:rsidRPr="006F36D6">
              <w:rPr>
                <w:bCs/>
              </w:rPr>
              <w:t>Immunomodulating agents</w:t>
            </w:r>
          </w:p>
        </w:tc>
        <w:tc>
          <w:tcPr>
            <w:tcW w:w="3118" w:type="dxa"/>
            <w:shd w:val="clear" w:color="auto" w:fill="auto"/>
          </w:tcPr>
          <w:p w14:paraId="51E50D68" w14:textId="77777777" w:rsidR="006F36D6" w:rsidRPr="006F36D6" w:rsidRDefault="006F36D6" w:rsidP="006F36D6">
            <w:pPr>
              <w:pStyle w:val="TableText0"/>
              <w:rPr>
                <w:bCs/>
              </w:rPr>
            </w:pPr>
            <w:r w:rsidRPr="006F36D6">
              <w:rPr>
                <w:bCs/>
              </w:rPr>
              <w:t>Immunosuppressive agents</w:t>
            </w:r>
          </w:p>
          <w:p w14:paraId="5B402639" w14:textId="77777777" w:rsidR="006F36D6" w:rsidRPr="006F36D6" w:rsidRDefault="006F36D6" w:rsidP="006F36D6">
            <w:pPr>
              <w:pStyle w:val="TableText0"/>
              <w:rPr>
                <w:bCs/>
              </w:rPr>
            </w:pPr>
            <w:r w:rsidRPr="006F36D6">
              <w:rPr>
                <w:bCs/>
              </w:rPr>
              <w:t>Immunosuppression</w:t>
            </w:r>
          </w:p>
          <w:p w14:paraId="47073192" w14:textId="77777777" w:rsidR="006F36D6" w:rsidRPr="006F36D6" w:rsidRDefault="006F36D6" w:rsidP="006F36D6">
            <w:pPr>
              <w:pStyle w:val="TableText0"/>
              <w:rPr>
                <w:bCs/>
              </w:rPr>
            </w:pPr>
          </w:p>
        </w:tc>
        <w:tc>
          <w:tcPr>
            <w:tcW w:w="3119" w:type="dxa"/>
            <w:shd w:val="clear" w:color="auto" w:fill="auto"/>
          </w:tcPr>
          <w:p w14:paraId="7A059836" w14:textId="77777777" w:rsidR="006F36D6" w:rsidRPr="006F36D6" w:rsidRDefault="006F36D6" w:rsidP="006F36D6">
            <w:pPr>
              <w:pStyle w:val="TableText0"/>
              <w:rPr>
                <w:bCs/>
              </w:rPr>
            </w:pPr>
            <w:r w:rsidRPr="006F36D6">
              <w:rPr>
                <w:bCs/>
              </w:rPr>
              <w:t>Immunosuppress*</w:t>
            </w:r>
          </w:p>
          <w:p w14:paraId="43AD3838" w14:textId="77777777" w:rsidR="006F36D6" w:rsidRPr="006F36D6" w:rsidRDefault="006F36D6" w:rsidP="006F36D6">
            <w:pPr>
              <w:pStyle w:val="TableText0"/>
              <w:rPr>
                <w:bCs/>
              </w:rPr>
            </w:pPr>
            <w:r w:rsidRPr="006F36D6">
              <w:rPr>
                <w:bCs/>
              </w:rPr>
              <w:t>Immunomodulat*</w:t>
            </w:r>
          </w:p>
          <w:p w14:paraId="675285B2" w14:textId="77777777" w:rsidR="006F36D6" w:rsidRPr="006F36D6" w:rsidRDefault="006F36D6" w:rsidP="006F36D6">
            <w:pPr>
              <w:pStyle w:val="TableText0"/>
              <w:rPr>
                <w:bCs/>
              </w:rPr>
            </w:pPr>
            <w:r w:rsidRPr="006F36D6">
              <w:rPr>
                <w:bCs/>
              </w:rPr>
              <w:t>Azathioprine</w:t>
            </w:r>
          </w:p>
          <w:p w14:paraId="63DFF732" w14:textId="77777777" w:rsidR="006F36D6" w:rsidRPr="006F36D6" w:rsidRDefault="006F36D6" w:rsidP="006F36D6">
            <w:pPr>
              <w:pStyle w:val="TableText0"/>
              <w:rPr>
                <w:bCs/>
              </w:rPr>
            </w:pPr>
            <w:r w:rsidRPr="006F36D6">
              <w:rPr>
                <w:bCs/>
              </w:rPr>
              <w:t>Ciclosporin</w:t>
            </w:r>
          </w:p>
          <w:p w14:paraId="221B2AD5" w14:textId="77777777" w:rsidR="006F36D6" w:rsidRPr="006F36D6" w:rsidRDefault="006F36D6" w:rsidP="006F36D6">
            <w:pPr>
              <w:pStyle w:val="TableText0"/>
              <w:rPr>
                <w:bCs/>
              </w:rPr>
            </w:pPr>
            <w:r w:rsidRPr="006F36D6">
              <w:rPr>
                <w:bCs/>
              </w:rPr>
              <w:t>Cyclophosphamide</w:t>
            </w:r>
          </w:p>
          <w:p w14:paraId="0746F5EA" w14:textId="77777777" w:rsidR="006F36D6" w:rsidRPr="006F36D6" w:rsidRDefault="006F36D6" w:rsidP="006F36D6">
            <w:pPr>
              <w:pStyle w:val="TableText0"/>
              <w:rPr>
                <w:bCs/>
              </w:rPr>
            </w:pPr>
            <w:r w:rsidRPr="006F36D6">
              <w:rPr>
                <w:bCs/>
              </w:rPr>
              <w:t>Fingolimod</w:t>
            </w:r>
          </w:p>
          <w:p w14:paraId="4854BEE4" w14:textId="77777777" w:rsidR="006F36D6" w:rsidRPr="006F36D6" w:rsidRDefault="006F36D6" w:rsidP="006F36D6">
            <w:pPr>
              <w:pStyle w:val="TableText0"/>
              <w:rPr>
                <w:bCs/>
              </w:rPr>
            </w:pPr>
            <w:r w:rsidRPr="006F36D6">
              <w:rPr>
                <w:bCs/>
              </w:rPr>
              <w:t>Methotrexate</w:t>
            </w:r>
          </w:p>
          <w:p w14:paraId="762C0319" w14:textId="77777777" w:rsidR="006F36D6" w:rsidRPr="006F36D6" w:rsidRDefault="006F36D6" w:rsidP="006F36D6">
            <w:pPr>
              <w:pStyle w:val="TableText0"/>
              <w:rPr>
                <w:bCs/>
              </w:rPr>
            </w:pPr>
            <w:r w:rsidRPr="006F36D6">
              <w:rPr>
                <w:bCs/>
              </w:rPr>
              <w:t>Mycophenolate mofetil</w:t>
            </w:r>
          </w:p>
          <w:p w14:paraId="117FC0DC" w14:textId="77777777" w:rsidR="006F36D6" w:rsidRPr="006F36D6" w:rsidRDefault="006F36D6" w:rsidP="006F36D6">
            <w:pPr>
              <w:pStyle w:val="TableText0"/>
              <w:rPr>
                <w:bCs/>
              </w:rPr>
            </w:pPr>
            <w:r w:rsidRPr="006F36D6">
              <w:rPr>
                <w:bCs/>
              </w:rPr>
              <w:t>Rituximab</w:t>
            </w:r>
          </w:p>
          <w:p w14:paraId="6D166540" w14:textId="77777777" w:rsidR="006F36D6" w:rsidRPr="006F36D6" w:rsidRDefault="006F36D6" w:rsidP="006F36D6">
            <w:pPr>
              <w:pStyle w:val="TableText0"/>
              <w:rPr>
                <w:bCs/>
              </w:rPr>
            </w:pPr>
            <w:r w:rsidRPr="006F36D6">
              <w:rPr>
                <w:bCs/>
              </w:rPr>
              <w:t>Tacrolimus</w:t>
            </w:r>
          </w:p>
        </w:tc>
      </w:tr>
    </w:tbl>
    <w:p w14:paraId="564542ED" w14:textId="77777777" w:rsidR="009F3B22" w:rsidRDefault="009F3B22" w:rsidP="00833909"/>
    <w:p w14:paraId="3A2553F7" w14:textId="77777777" w:rsidR="00D5489B" w:rsidRPr="00E3331A" w:rsidRDefault="00D5489B" w:rsidP="003E4E1F">
      <w:pPr>
        <w:pStyle w:val="Heading2"/>
        <w:numPr>
          <w:ilvl w:val="1"/>
          <w:numId w:val="9"/>
        </w:numPr>
      </w:pPr>
      <w:bookmarkStart w:id="131" w:name="_Toc69305547"/>
      <w:r w:rsidRPr="00E3331A">
        <w:t>Results of Literature Search</w:t>
      </w:r>
      <w:bookmarkEnd w:id="131"/>
    </w:p>
    <w:p w14:paraId="45130AB7" w14:textId="63BADB59" w:rsidR="009F3B22" w:rsidRDefault="00C7484A" w:rsidP="001E0626">
      <w:pPr>
        <w:jc w:val="both"/>
      </w:pPr>
      <w:r>
        <w:t>The PRISMA flowchart (</w:t>
      </w:r>
      <w:r w:rsidR="00954569">
        <w:fldChar w:fldCharType="begin"/>
      </w:r>
      <w:r w:rsidR="00954569">
        <w:instrText xml:space="preserve"> REF _Ref57818481 \h </w:instrText>
      </w:r>
      <w:r w:rsidR="00954569">
        <w:fldChar w:fldCharType="separate"/>
      </w:r>
      <w:r w:rsidR="004B3EA2" w:rsidRPr="00E3331A">
        <w:t xml:space="preserve">Figure </w:t>
      </w:r>
      <w:r w:rsidR="004B3EA2">
        <w:rPr>
          <w:noProof/>
        </w:rPr>
        <w:t>1</w:t>
      </w:r>
      <w:r w:rsidR="00954569">
        <w:fldChar w:fldCharType="end"/>
      </w:r>
      <w:r>
        <w:t xml:space="preserve">) </w:t>
      </w:r>
      <w:r w:rsidR="0069579C">
        <w:t xml:space="preserve">graphically </w:t>
      </w:r>
      <w:r>
        <w:t>describes the literature search</w:t>
      </w:r>
      <w:r w:rsidR="00791119">
        <w:t>es</w:t>
      </w:r>
      <w:r>
        <w:t xml:space="preserve"> and the application of selection criteria </w:t>
      </w:r>
      <w:r w:rsidR="00B85C75">
        <w:rPr>
          <w:noProof/>
        </w:rPr>
        <w:t>(Liberati et al. 2009)</w:t>
      </w:r>
      <w:r w:rsidR="00A93236" w:rsidRPr="00E3331A">
        <w:t>.</w:t>
      </w:r>
      <w:r w:rsidR="00907DF6" w:rsidRPr="00E3331A">
        <w:t xml:space="preserve"> </w:t>
      </w:r>
      <w:r w:rsidR="009F3B22">
        <w:t xml:space="preserve">For the </w:t>
      </w:r>
      <w:r w:rsidR="00954569">
        <w:t xml:space="preserve">update of </w:t>
      </w:r>
      <w:r w:rsidR="009F3B22">
        <w:t>safety and effectiveness (</w:t>
      </w:r>
      <w:r w:rsidR="00791119">
        <w:t xml:space="preserve">Section </w:t>
      </w:r>
      <w:r w:rsidR="009F3B22">
        <w:t xml:space="preserve">B.6) </w:t>
      </w:r>
      <w:r w:rsidR="008201EA">
        <w:t>t</w:t>
      </w:r>
      <w:r w:rsidR="00954569">
        <w:t>he study selection criteria (</w:t>
      </w:r>
      <w:r w:rsidR="00954569" w:rsidRPr="00E53D50">
        <w:rPr>
          <w:b/>
        </w:rPr>
        <w:t>Appendix B</w:t>
      </w:r>
      <w:r w:rsidR="00954569">
        <w:t>) were identical to those of the earlier report. E</w:t>
      </w:r>
      <w:r w:rsidR="009F3B22">
        <w:t xml:space="preserve">vidence was restricted to RCTs. </w:t>
      </w:r>
      <w:r w:rsidR="00791119">
        <w:t>A</w:t>
      </w:r>
      <w:r w:rsidR="00C76F11">
        <w:t xml:space="preserve">rticles </w:t>
      </w:r>
      <w:r w:rsidR="008201EA">
        <w:t>with a</w:t>
      </w:r>
      <w:r w:rsidR="00C76F11">
        <w:t xml:space="preserve"> study design other than RCT were considered for the e</w:t>
      </w:r>
      <w:r w:rsidR="00791119">
        <w:t xml:space="preserve">xtended </w:t>
      </w:r>
      <w:r w:rsidR="008201EA">
        <w:t>assessment</w:t>
      </w:r>
      <w:r w:rsidR="00791119">
        <w:t xml:space="preserve"> of harm (Section </w:t>
      </w:r>
      <w:r w:rsidR="00C76F11">
        <w:t xml:space="preserve">B.7). </w:t>
      </w:r>
    </w:p>
    <w:p w14:paraId="068EDC1C" w14:textId="77777777" w:rsidR="00C53293" w:rsidRDefault="00C53293" w:rsidP="001E0626">
      <w:pPr>
        <w:jc w:val="both"/>
      </w:pPr>
      <w:r>
        <w:t>The evidence base was small overall and very few higher level studies (RCTs or prospective comparative cohorts) were identified.</w:t>
      </w:r>
    </w:p>
    <w:p w14:paraId="319ED88B" w14:textId="71C7F807" w:rsidR="001E0626" w:rsidRDefault="001E0626" w:rsidP="001E0626">
      <w:pPr>
        <w:jc w:val="both"/>
      </w:pPr>
      <w:r>
        <w:t>For the safety and effectiveness search, s</w:t>
      </w:r>
      <w:r w:rsidR="0019059F" w:rsidRPr="00E3331A">
        <w:t>tudies were screened by title</w:t>
      </w:r>
      <w:r w:rsidR="00C76F11">
        <w:t>,</w:t>
      </w:r>
      <w:r w:rsidR="0019059F" w:rsidRPr="00E3331A">
        <w:t xml:space="preserve"> abstract</w:t>
      </w:r>
      <w:r w:rsidR="00B66B89">
        <w:t>, and full-text</w:t>
      </w:r>
      <w:r w:rsidR="0019059F" w:rsidRPr="00E3331A">
        <w:t xml:space="preserve"> by a single reviewer</w:t>
      </w:r>
      <w:r w:rsidR="000E74BC" w:rsidRPr="00E3331A">
        <w:t>,</w:t>
      </w:r>
      <w:r w:rsidR="0019059F" w:rsidRPr="00E3331A">
        <w:t xml:space="preserve"> with </w:t>
      </w:r>
      <w:r w:rsidR="00B66B89">
        <w:t xml:space="preserve">final selections made in consultation with a second reviewer when </w:t>
      </w:r>
      <w:r w:rsidR="00791119">
        <w:t>there was doubt over inclusion</w:t>
      </w:r>
      <w:r w:rsidR="00B66B89">
        <w:t>.</w:t>
      </w:r>
      <w:r>
        <w:t xml:space="preserve"> Any RCT comparing IVI</w:t>
      </w:r>
      <w:r w:rsidR="00987A71">
        <w:t>g</w:t>
      </w:r>
      <w:r>
        <w:t xml:space="preserve"> or SCIg with one of the specified comparators </w:t>
      </w:r>
      <w:r w:rsidR="008201EA">
        <w:t>(</w:t>
      </w:r>
      <w:r>
        <w:t>GC, PE, immunosuppressants, no treatment, or placebo</w:t>
      </w:r>
      <w:r w:rsidR="008201EA">
        <w:t>)</w:t>
      </w:r>
      <w:r>
        <w:t xml:space="preserve"> w</w:t>
      </w:r>
      <w:r w:rsidR="00002C3C">
        <w:t>as</w:t>
      </w:r>
      <w:r>
        <w:t xml:space="preserve"> considered for inclusion. In addition, studies comparing two or </w:t>
      </w:r>
      <w:r w:rsidR="008201EA">
        <w:t xml:space="preserve">more </w:t>
      </w:r>
      <w:r>
        <w:t xml:space="preserve">doses of IVIg or SCIg, or comparing two or more treatment regimens were considered for inclusion, as these </w:t>
      </w:r>
      <w:r w:rsidR="00791119">
        <w:t xml:space="preserve">had the potential to </w:t>
      </w:r>
      <w:r>
        <w:t>inform the management of patients with CIDP.</w:t>
      </w:r>
      <w:r w:rsidR="008201EA">
        <w:t xml:space="preserve"> Two RCTs were identified in the updated search.</w:t>
      </w:r>
    </w:p>
    <w:p w14:paraId="35E61314" w14:textId="77777777" w:rsidR="001E0626" w:rsidRDefault="001E0626" w:rsidP="001E0626">
      <w:pPr>
        <w:jc w:val="both"/>
      </w:pPr>
      <w:r>
        <w:t>Fo</w:t>
      </w:r>
      <w:r w:rsidR="003A1F33">
        <w:t>r the extended assessment of har</w:t>
      </w:r>
      <w:r>
        <w:t>ms search, studies were screened</w:t>
      </w:r>
      <w:r w:rsidRPr="001E0626">
        <w:t xml:space="preserve"> </w:t>
      </w:r>
      <w:r w:rsidRPr="00E3331A">
        <w:t>by title</w:t>
      </w:r>
      <w:r>
        <w:t>,</w:t>
      </w:r>
      <w:r w:rsidRPr="00E3331A">
        <w:t xml:space="preserve"> abstract</w:t>
      </w:r>
      <w:r>
        <w:t>, and full-text</w:t>
      </w:r>
      <w:r w:rsidRPr="00E3331A">
        <w:t xml:space="preserve"> by a single reviewer</w:t>
      </w:r>
      <w:r>
        <w:t xml:space="preserve">. Reference lists </w:t>
      </w:r>
      <w:r w:rsidR="003A1F33">
        <w:t xml:space="preserve">of relevant articles </w:t>
      </w:r>
      <w:r>
        <w:t xml:space="preserve">were </w:t>
      </w:r>
      <w:r w:rsidR="003A1F33">
        <w:t>pearled, and articles were considered from other sources, such as those reference</w:t>
      </w:r>
      <w:r w:rsidR="00134C53">
        <w:t>d</w:t>
      </w:r>
      <w:r w:rsidR="003A1F33">
        <w:t xml:space="preserve"> by the Ig Reference Group</w:t>
      </w:r>
      <w:r w:rsidR="00134C53">
        <w:t>, or identified in the safety and effectiveness search</w:t>
      </w:r>
      <w:r w:rsidR="003A1F33">
        <w:t xml:space="preserve">. After extensive screening articles were </w:t>
      </w:r>
      <w:r w:rsidR="003A1F33" w:rsidRPr="003A1F33">
        <w:t xml:space="preserve">selected based on the applicability of the patient population, follow-up period, and steroid and PE dose and treatment regimens. Further considerations for selection were the size of the study population, </w:t>
      </w:r>
      <w:r w:rsidR="008201EA">
        <w:t>date of</w:t>
      </w:r>
      <w:r w:rsidR="003A1F33" w:rsidRPr="003A1F33">
        <w:t xml:space="preserve"> publication, and risk of bias of the study</w:t>
      </w:r>
      <w:r w:rsidR="003A1F33" w:rsidRPr="003A1F33">
        <w:rPr>
          <w:vertAlign w:val="superscript"/>
        </w:rPr>
        <w:footnoteReference w:id="3"/>
      </w:r>
      <w:r w:rsidR="003A1F33" w:rsidRPr="003A1F33">
        <w:t>, as these factors contribute to the reliability of the data.</w:t>
      </w:r>
      <w:r w:rsidR="008201EA">
        <w:t xml:space="preserve"> Eight studies were included in the extended assessment of harms, including two SRs and seven retrospective cohort studies.</w:t>
      </w:r>
    </w:p>
    <w:p w14:paraId="5676C426" w14:textId="237C21D8" w:rsidR="00FB71F6" w:rsidRPr="00E3331A" w:rsidRDefault="00954569" w:rsidP="001E0626">
      <w:pPr>
        <w:jc w:val="both"/>
      </w:pPr>
      <w:r w:rsidRPr="00E3331A">
        <w:t xml:space="preserve">A profile of each included study is provided in </w:t>
      </w:r>
      <w:r w:rsidRPr="00E53D50">
        <w:rPr>
          <w:b/>
        </w:rPr>
        <w:fldChar w:fldCharType="begin"/>
      </w:r>
      <w:r w:rsidRPr="00E53D50">
        <w:rPr>
          <w:b/>
        </w:rPr>
        <w:instrText xml:space="preserve"> REF _Ref364237249 \h  \* MERGEFORMAT </w:instrText>
      </w:r>
      <w:r w:rsidRPr="00E53D50">
        <w:rPr>
          <w:b/>
        </w:rPr>
      </w:r>
      <w:r w:rsidRPr="00E53D50">
        <w:rPr>
          <w:b/>
        </w:rPr>
        <w:fldChar w:fldCharType="separate"/>
      </w:r>
      <w:r w:rsidR="004B3EA2" w:rsidRPr="004B3EA2">
        <w:rPr>
          <w:b/>
        </w:rPr>
        <w:t xml:space="preserve">Appendix </w:t>
      </w:r>
      <w:r w:rsidRPr="00E53D50">
        <w:rPr>
          <w:b/>
        </w:rPr>
        <w:fldChar w:fldCharType="end"/>
      </w:r>
      <w:r w:rsidR="001D2190">
        <w:rPr>
          <w:b/>
        </w:rPr>
        <w:t>C</w:t>
      </w:r>
      <w:r w:rsidRPr="00E3331A">
        <w:t xml:space="preserve">, </w:t>
      </w:r>
      <w:r w:rsidRPr="00E3331A">
        <w:rPr>
          <w:color w:val="000000"/>
        </w:rPr>
        <w:t>describing the authors, study ID, publication year, study design and quality (risk of bias), study location, setting, length of follow-up of patients, study population characteristics, description of the intervention, description of the comparator, and relevant outcomes assessed. Study characteristics are also summarised in a shorter format in Section B.4.</w:t>
      </w:r>
    </w:p>
    <w:p w14:paraId="254FD680" w14:textId="77777777" w:rsidR="00AA5229" w:rsidRDefault="00AA5229">
      <w:pPr>
        <w:spacing w:after="0" w:line="240" w:lineRule="auto"/>
        <w:sectPr w:rsidR="00AA5229" w:rsidSect="00AA5229">
          <w:headerReference w:type="even" r:id="rId26"/>
          <w:headerReference w:type="default" r:id="rId27"/>
          <w:headerReference w:type="first" r:id="rId28"/>
          <w:pgSz w:w="11906" w:h="16838"/>
          <w:pgMar w:top="1440" w:right="1440" w:bottom="1440" w:left="1440" w:header="720" w:footer="720" w:gutter="0"/>
          <w:paperSrc w:first="2" w:other="2"/>
          <w:cols w:space="720"/>
        </w:sectPr>
      </w:pPr>
    </w:p>
    <w:p w14:paraId="02E4A72C" w14:textId="77777777" w:rsidR="00AA5229" w:rsidRDefault="00DC58AE" w:rsidP="00AA5229">
      <w:r w:rsidRPr="00DC58AE">
        <w:rPr>
          <w:noProof/>
        </w:rPr>
        <w:t xml:space="preserve"> </w:t>
      </w:r>
      <w:r>
        <w:rPr>
          <w:noProof/>
        </w:rPr>
        <w:drawing>
          <wp:inline distT="0" distB="0" distL="0" distR="0" wp14:anchorId="7F3BF781" wp14:editId="14DE2BB8">
            <wp:extent cx="6372225" cy="5117055"/>
            <wp:effectExtent l="0" t="0" r="0" b="7620"/>
            <wp:docPr id="18" name="Picture 18" descr="Summary of the process used to identify and select studies for A – Update of safety and effectiveness of Ig for CIDP, and B – Extended assessment of harms " title="Summary of the process used to identify and select studies for A – Update of safety and effectiveness of Ig for CIDP, and B – Extended assessment of ha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76828" cy="5120751"/>
                    </a:xfrm>
                    <a:prstGeom prst="rect">
                      <a:avLst/>
                    </a:prstGeom>
                  </pic:spPr>
                </pic:pic>
              </a:graphicData>
            </a:graphic>
          </wp:inline>
        </w:drawing>
      </w:r>
    </w:p>
    <w:p w14:paraId="18EDFF14" w14:textId="09621AD3" w:rsidR="00FB71F6" w:rsidRPr="00E3331A" w:rsidRDefault="00FB71F6" w:rsidP="0060590C">
      <w:pPr>
        <w:pStyle w:val="Caption"/>
        <w:ind w:left="1134" w:hanging="1134"/>
      </w:pPr>
      <w:bookmarkStart w:id="132" w:name="_Ref57818481"/>
      <w:bookmarkStart w:id="133" w:name="_Toc69305733"/>
      <w:r w:rsidRPr="00E3331A">
        <w:t xml:space="preserve">Figure </w:t>
      </w:r>
      <w:r w:rsidRPr="00E3331A">
        <w:rPr>
          <w:noProof/>
        </w:rPr>
        <w:fldChar w:fldCharType="begin"/>
      </w:r>
      <w:r w:rsidRPr="00E3331A">
        <w:rPr>
          <w:noProof/>
        </w:rPr>
        <w:instrText xml:space="preserve"> SEQ Figure \* ARABIC </w:instrText>
      </w:r>
      <w:r w:rsidRPr="00E3331A">
        <w:rPr>
          <w:noProof/>
        </w:rPr>
        <w:fldChar w:fldCharType="separate"/>
      </w:r>
      <w:r w:rsidR="004B3EA2">
        <w:rPr>
          <w:noProof/>
        </w:rPr>
        <w:t>1</w:t>
      </w:r>
      <w:r w:rsidRPr="00E3331A">
        <w:rPr>
          <w:noProof/>
        </w:rPr>
        <w:fldChar w:fldCharType="end"/>
      </w:r>
      <w:bookmarkEnd w:id="132"/>
      <w:r w:rsidRPr="00E3331A">
        <w:t xml:space="preserve"> </w:t>
      </w:r>
      <w:r w:rsidRPr="00E3331A">
        <w:tab/>
        <w:t xml:space="preserve">Summary of the process used to identify and select studies for </w:t>
      </w:r>
      <w:r w:rsidR="0060590C">
        <w:t xml:space="preserve">A – </w:t>
      </w:r>
      <w:r w:rsidR="00F74380">
        <w:t>U</w:t>
      </w:r>
      <w:r w:rsidR="0060590C">
        <w:t>pdate of safety and effectiveness of Ig for CIDP</w:t>
      </w:r>
      <w:r w:rsidR="00F74380">
        <w:t>, and</w:t>
      </w:r>
      <w:r w:rsidR="0060590C">
        <w:t xml:space="preserve"> B – Extended assessment of harms</w:t>
      </w:r>
      <w:bookmarkEnd w:id="133"/>
      <w:r w:rsidRPr="00E3331A">
        <w:t xml:space="preserve"> </w:t>
      </w:r>
    </w:p>
    <w:p w14:paraId="7D5F6FAA" w14:textId="77777777" w:rsidR="00FA20E2" w:rsidRPr="00E3331A" w:rsidRDefault="00AA5229" w:rsidP="00954569">
      <w:pPr>
        <w:pStyle w:val="Tablenote"/>
        <w:ind w:left="624" w:firstLine="510"/>
      </w:pPr>
      <w:r>
        <w:rPr>
          <w:vertAlign w:val="superscript"/>
        </w:rPr>
        <w:t>a</w:t>
      </w:r>
      <w:r>
        <w:t xml:space="preserve"> Final articles were selected based on be</w:t>
      </w:r>
      <w:r w:rsidR="0060590C">
        <w:t>s</w:t>
      </w:r>
      <w:r>
        <w:t>t available evidence (see Section B.7 for more detail).</w:t>
      </w:r>
    </w:p>
    <w:p w14:paraId="514BD5F3" w14:textId="77777777" w:rsidR="00AA5229" w:rsidRDefault="00AA5229">
      <w:pPr>
        <w:spacing w:after="0" w:line="240" w:lineRule="auto"/>
        <w:sectPr w:rsidR="00AA5229" w:rsidSect="00AA5229">
          <w:pgSz w:w="16838" w:h="11906" w:orient="landscape"/>
          <w:pgMar w:top="1440" w:right="1440" w:bottom="1440" w:left="1440" w:header="720" w:footer="720" w:gutter="0"/>
          <w:paperSrc w:first="2" w:other="2"/>
          <w:cols w:space="720"/>
        </w:sectPr>
      </w:pPr>
    </w:p>
    <w:p w14:paraId="655BBB98" w14:textId="77777777" w:rsidR="0019059F" w:rsidRPr="00E3331A" w:rsidRDefault="0019059F" w:rsidP="0019059F">
      <w:pPr>
        <w:pStyle w:val="Heading3"/>
        <w:jc w:val="both"/>
      </w:pPr>
      <w:bookmarkStart w:id="134" w:name="_Toc395200773"/>
      <w:bookmarkStart w:id="135" w:name="_Toc69305548"/>
      <w:bookmarkStart w:id="136" w:name="_Toc381796464"/>
      <w:r w:rsidRPr="00E3331A">
        <w:t>Appraisal of the evidence</w:t>
      </w:r>
      <w:bookmarkEnd w:id="134"/>
      <w:bookmarkEnd w:id="135"/>
    </w:p>
    <w:p w14:paraId="0B389AC7" w14:textId="77777777" w:rsidR="0019059F" w:rsidRPr="00E3331A" w:rsidRDefault="0019059F" w:rsidP="0019059F">
      <w:pPr>
        <w:jc w:val="both"/>
      </w:pPr>
      <w:r w:rsidRPr="00E3331A">
        <w:t xml:space="preserve">Appraisal of the evidence was conducted in </w:t>
      </w:r>
      <w:r w:rsidR="00591599" w:rsidRPr="00E3331A">
        <w:t>three</w:t>
      </w:r>
      <w:r w:rsidRPr="00E3331A">
        <w:t xml:space="preserve"> stages:</w:t>
      </w:r>
    </w:p>
    <w:p w14:paraId="15966EA1" w14:textId="77777777" w:rsidR="0019059F" w:rsidRPr="00E3331A" w:rsidRDefault="0019059F" w:rsidP="0019059F">
      <w:pPr>
        <w:jc w:val="both"/>
      </w:pPr>
      <w:r w:rsidRPr="00E3331A">
        <w:t>Stage 1: Appraisal of the risk of bias within individual RCTs included in the review (Section B.3).</w:t>
      </w:r>
    </w:p>
    <w:p w14:paraId="471EE204" w14:textId="77777777" w:rsidR="0019059F" w:rsidRPr="00E3331A" w:rsidRDefault="0019059F" w:rsidP="0019059F">
      <w:pPr>
        <w:jc w:val="both"/>
      </w:pPr>
      <w:r w:rsidRPr="00E3331A">
        <w:t xml:space="preserve">Stage 2: Extraction of the pre-specified outcomes for this </w:t>
      </w:r>
      <w:r w:rsidR="005541CA" w:rsidRPr="00E3331A">
        <w:t>A</w:t>
      </w:r>
      <w:r w:rsidRPr="00E3331A">
        <w:t xml:space="preserve">ssessment, synthesising to determine an estimate of effect per outcome. </w:t>
      </w:r>
    </w:p>
    <w:p w14:paraId="06D190E4" w14:textId="77777777" w:rsidR="0019059F" w:rsidRDefault="0019059F" w:rsidP="0019059F">
      <w:pPr>
        <w:jc w:val="both"/>
      </w:pPr>
      <w:r w:rsidRPr="00E3331A">
        <w:t xml:space="preserve">Stage </w:t>
      </w:r>
      <w:r w:rsidR="00954569">
        <w:t>3</w:t>
      </w:r>
      <w:r w:rsidRPr="00E3331A">
        <w:t>: Integration of this evidence for conclusions about the net clinical benefit of the intervention in the context of Australian clinical practice (Sections B.6-8)</w:t>
      </w:r>
      <w:r w:rsidR="001A4B24" w:rsidRPr="00E3331A">
        <w:t>.</w:t>
      </w:r>
    </w:p>
    <w:p w14:paraId="30B041B6" w14:textId="77777777" w:rsidR="00791119" w:rsidRPr="00E3331A" w:rsidRDefault="00791119" w:rsidP="0019059F">
      <w:pPr>
        <w:jc w:val="both"/>
      </w:pPr>
      <w:r>
        <w:t xml:space="preserve">A GRADE assessment (rating of overall quality per outcome across studies) was not performed due to the limited evidence presented in the update report. </w:t>
      </w:r>
    </w:p>
    <w:p w14:paraId="74D5B682" w14:textId="77777777" w:rsidR="009A76F8" w:rsidRPr="00E3331A" w:rsidRDefault="009A76F8" w:rsidP="003E4E1F">
      <w:pPr>
        <w:pStyle w:val="Heading2"/>
        <w:numPr>
          <w:ilvl w:val="1"/>
          <w:numId w:val="9"/>
        </w:numPr>
      </w:pPr>
      <w:bookmarkStart w:id="137" w:name="_Toc69305549"/>
      <w:r w:rsidRPr="00E3331A">
        <w:t>Risk of Bias</w:t>
      </w:r>
      <w:r w:rsidR="00B435E9" w:rsidRPr="00E3331A">
        <w:t xml:space="preserve"> Assessment</w:t>
      </w:r>
      <w:bookmarkEnd w:id="137"/>
    </w:p>
    <w:p w14:paraId="45C79FCC" w14:textId="77777777" w:rsidR="00907DF6" w:rsidRPr="00E3331A" w:rsidRDefault="00CD0563" w:rsidP="00907DF6">
      <w:pPr>
        <w:pStyle w:val="Heading3"/>
      </w:pPr>
      <w:bookmarkStart w:id="138" w:name="_Toc69305550"/>
      <w:bookmarkEnd w:id="136"/>
      <w:r w:rsidRPr="00E3331A">
        <w:t>Risk of bias in the r</w:t>
      </w:r>
      <w:r w:rsidR="00907DF6" w:rsidRPr="00E3331A">
        <w:t>andomised controlled trials</w:t>
      </w:r>
      <w:bookmarkEnd w:id="138"/>
    </w:p>
    <w:p w14:paraId="164A37A5" w14:textId="5D4B2A40" w:rsidR="00C53513" w:rsidRPr="00E3331A" w:rsidRDefault="00A40637" w:rsidP="00400A16">
      <w:r w:rsidRPr="00E3331A">
        <w:t xml:space="preserve">The </w:t>
      </w:r>
      <w:r w:rsidR="00DD3274" w:rsidRPr="00E3331A">
        <w:t>risk</w:t>
      </w:r>
      <w:r w:rsidRPr="00E3331A">
        <w:t xml:space="preserve"> of </w:t>
      </w:r>
      <w:r w:rsidR="00DD3274" w:rsidRPr="00E3331A">
        <w:t>bias in the</w:t>
      </w:r>
      <w:r w:rsidR="00A51241" w:rsidRPr="00E3331A">
        <w:t xml:space="preserve"> </w:t>
      </w:r>
      <w:r w:rsidR="002B2963">
        <w:t xml:space="preserve">two </w:t>
      </w:r>
      <w:r w:rsidRPr="00E3331A">
        <w:t xml:space="preserve">included </w:t>
      </w:r>
      <w:r w:rsidR="002D3966" w:rsidRPr="00E3331A">
        <w:t>RCTs</w:t>
      </w:r>
      <w:r w:rsidRPr="00E3331A">
        <w:t xml:space="preserve"> </w:t>
      </w:r>
      <w:r w:rsidR="001E36E2">
        <w:t xml:space="preserve">(level II </w:t>
      </w:r>
      <w:r w:rsidR="00791119">
        <w:t>evidence</w:t>
      </w:r>
      <w:r w:rsidR="001E36E2">
        <w:t xml:space="preserve">) </w:t>
      </w:r>
      <w:r w:rsidR="00B727D6">
        <w:fldChar w:fldCharType="begin">
          <w:fldData xml:space="preserve">PEVuZE5vdGU+PENpdGU+PEF1dGhvcj5IYXJ0dW5nPC9BdXRob3I+PFllYXI+MjAxOTwvWWVhcj48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UmVjTnVtPjE1PC9SZWNOdW0+PERpc3BsYXlUZXh0PihIYXJ0dW5nIGV0IGFsLiAyMDE5OyBLdWl0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 xml:space="preserve">; </w:t>
      </w:r>
      <w:hyperlink w:anchor="_ENREF_33" w:tooltip="Kuitwaard, 2020 #16" w:history="1">
        <w:r w:rsidR="00D726F6">
          <w:rPr>
            <w:noProof/>
          </w:rPr>
          <w:t>Kuitwaard et al. 2020b</w:t>
        </w:r>
      </w:hyperlink>
      <w:r w:rsidR="00B727D6">
        <w:rPr>
          <w:noProof/>
        </w:rPr>
        <w:t>)</w:t>
      </w:r>
      <w:r w:rsidR="00B727D6">
        <w:fldChar w:fldCharType="end"/>
      </w:r>
      <w:r w:rsidR="002B2963">
        <w:t xml:space="preserve"> </w:t>
      </w:r>
      <w:r w:rsidRPr="00E3331A">
        <w:t xml:space="preserve">was assessed using the </w:t>
      </w:r>
      <w:r w:rsidR="000A6439">
        <w:t>SIGN Methodology Checklist 2</w:t>
      </w:r>
      <w:r w:rsidRPr="00E3331A">
        <w:t xml:space="preserve"> for Randomi</w:t>
      </w:r>
      <w:r w:rsidR="001A4B24" w:rsidRPr="00E3331A">
        <w:t>s</w:t>
      </w:r>
      <w:r w:rsidRPr="00E3331A">
        <w:t xml:space="preserve">ed </w:t>
      </w:r>
      <w:r w:rsidR="000A6439">
        <w:t xml:space="preserve">Controlled </w:t>
      </w:r>
      <w:r w:rsidRPr="00E3331A">
        <w:t>Trials</w:t>
      </w:r>
      <w:r w:rsidR="00B727D6">
        <w:rPr>
          <w:noProof/>
        </w:rPr>
        <w:fldChar w:fldCharType="begin"/>
      </w:r>
      <w:r w:rsidR="00B727D6">
        <w:rPr>
          <w:noProof/>
        </w:rPr>
        <w:instrText xml:space="preserve"> ADDIN EN.CITE &lt;EndNote&gt;&lt;Cite&gt;&lt;Author&gt;SIGN&lt;/Author&gt;&lt;Year&gt;2014&lt;/Year&gt;&lt;RecNum&gt;19&lt;/RecNum&gt;&lt;DisplayText&gt;(SIGN 2014)&lt;/DisplayText&gt;&lt;record&gt;&lt;rec-number&gt;19&lt;/rec-number&gt;&lt;foreign-keys&gt;&lt;key app="EN" db-id="p29e2t021fx2sker0f4p99xad5t02xpedpxr" timestamp="1606888879"&gt;19&lt;/key&gt;&lt;/foreign-keys&gt;&lt;ref-type name="Report"&gt;27&lt;/ref-type&gt;&lt;contributors&gt;&lt;authors&gt;&lt;author&gt;SIGN&lt;/author&gt;&lt;/authors&gt;&lt;/contributors&gt;&lt;titles&gt;&lt;title&gt;SIGN 50: a guideline developer’s handbook (SIGN publication no. 50)&lt;/title&gt;&lt;/titles&gt;&lt;dates&gt;&lt;year&gt;2014&lt;/year&gt;&lt;pub-dates&gt;&lt;date&gt;October&lt;/date&gt;&lt;/pub-dates&gt;&lt;/dates&gt;&lt;pub-location&gt;Edinburgh&lt;/pub-location&gt;&lt;publisher&gt;Scottish Intercollegiate Guidelines Network&lt;/publisher&gt;&lt;urls&gt;&lt;related-urls&gt;&lt;url&gt; http://www.sign.ac.uk&lt;/url&gt;&lt;/related-urls&gt;&lt;/urls&gt;&lt;/record&gt;&lt;/Cite&gt;&lt;/EndNote&gt;</w:instrText>
      </w:r>
      <w:r w:rsidR="00B727D6">
        <w:rPr>
          <w:noProof/>
        </w:rPr>
        <w:fldChar w:fldCharType="separate"/>
      </w:r>
      <w:r w:rsidR="00B727D6">
        <w:rPr>
          <w:noProof/>
        </w:rPr>
        <w:t>(</w:t>
      </w:r>
      <w:hyperlink w:anchor="_ENREF_67" w:tooltip="SIGN, 2014 #19" w:history="1">
        <w:r w:rsidR="00D726F6">
          <w:rPr>
            <w:noProof/>
          </w:rPr>
          <w:t>SIGN 2014</w:t>
        </w:r>
      </w:hyperlink>
      <w:r w:rsidR="00B727D6">
        <w:rPr>
          <w:noProof/>
        </w:rPr>
        <w:t>)</w:t>
      </w:r>
      <w:r w:rsidR="00B727D6">
        <w:rPr>
          <w:noProof/>
        </w:rPr>
        <w:fldChar w:fldCharType="end"/>
      </w:r>
      <w:r w:rsidR="00484A9F" w:rsidRPr="00E3331A">
        <w:t>.</w:t>
      </w:r>
      <w:r w:rsidR="00A51241" w:rsidRPr="00E3331A">
        <w:t xml:space="preserve"> </w:t>
      </w:r>
      <w:r w:rsidR="00DD3274" w:rsidRPr="00E3331A">
        <w:t>Studies were</w:t>
      </w:r>
      <w:r w:rsidR="002E594A">
        <w:t xml:space="preserve"> assessed by a single reviewer</w:t>
      </w:r>
      <w:r w:rsidR="00DD3274" w:rsidRPr="00E3331A">
        <w:t xml:space="preserve">. </w:t>
      </w:r>
    </w:p>
    <w:p w14:paraId="384562F3" w14:textId="5F7877AF" w:rsidR="00BD6340" w:rsidRPr="00E3331A" w:rsidRDefault="00C62376" w:rsidP="00400A16">
      <w:pPr>
        <w:jc w:val="both"/>
      </w:pPr>
      <w:r w:rsidRPr="00E3331A">
        <w:t xml:space="preserve">The overall risk of bias was </w:t>
      </w:r>
      <w:r w:rsidR="000A6439">
        <w:t xml:space="preserve">found to be moderate in </w:t>
      </w:r>
      <w:r w:rsidR="00063EBD">
        <w:t xml:space="preserve">one </w:t>
      </w:r>
      <w:r w:rsidR="000A6439">
        <w:t>RCT</w:t>
      </w:r>
      <w:r w:rsidR="00251E97">
        <w:t xml:space="preserve"> (IVIg DOSE)</w:t>
      </w:r>
      <w:r w:rsidR="00500104">
        <w:t xml:space="preserve"> </w: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 </w:instrTex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33" w:tooltip="Kuitwaard, 2020 #16" w:history="1">
        <w:r w:rsidR="00D726F6">
          <w:rPr>
            <w:noProof/>
          </w:rPr>
          <w:t>Kuitwaard et al. 2020b</w:t>
        </w:r>
      </w:hyperlink>
      <w:r w:rsidR="00B727D6">
        <w:rPr>
          <w:noProof/>
        </w:rPr>
        <w:t>)</w:t>
      </w:r>
      <w:r w:rsidR="00B727D6">
        <w:fldChar w:fldCharType="end"/>
      </w:r>
      <w:r w:rsidR="00251E97">
        <w:t xml:space="preserve"> </w:t>
      </w:r>
      <w:r w:rsidR="00063EBD">
        <w:t>and low in the second</w:t>
      </w:r>
      <w:r w:rsidR="00503124">
        <w:t xml:space="preserve"> </w:t>
      </w:r>
      <w:r w:rsidR="00251E97">
        <w:t>(PATH)</w:t>
      </w:r>
      <w:r w:rsidR="00500104">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r w:rsidR="00B727D6">
        <w:fldChar w:fldCharType="end"/>
      </w:r>
      <w:r w:rsidR="000A6439">
        <w:t>. The randomisation and concealment processes were satisfactory in both studies</w:t>
      </w:r>
      <w:r w:rsidR="00400A16">
        <w:t>.</w:t>
      </w:r>
      <w:r w:rsidR="000A6439">
        <w:t xml:space="preserve"> </w:t>
      </w:r>
      <w:r w:rsidR="00400A16">
        <w:t>T</w:t>
      </w:r>
      <w:r w:rsidR="000A6439">
        <w:t xml:space="preserve">he difference in characteristics of those who dropped out and those remaining in </w:t>
      </w:r>
      <w:r w:rsidR="00002C3C">
        <w:t>one</w:t>
      </w:r>
      <w:r w:rsidR="000A6439">
        <w:t xml:space="preserve"> study was not well addressed, </w:t>
      </w:r>
      <w:r w:rsidR="008F5057">
        <w:t>and differences between study sites was not addressed when applicable.</w:t>
      </w:r>
      <w:r w:rsidR="00400A16">
        <w:t xml:space="preserve"> </w:t>
      </w:r>
      <w:r w:rsidR="00E451A8">
        <w:t xml:space="preserve">The study </w:t>
      </w:r>
      <w:r w:rsidR="008201EA">
        <w:t>with</w:t>
      </w:r>
      <w:r w:rsidR="00E451A8">
        <w:t xml:space="preserve"> moderate risk of bias was a cross-over design with relatively small numbers (n = 25). The possibility of carry-over effect from the early to the later phase of the trial could not be ruled out, and patients were enrolled over variable periods. </w:t>
      </w:r>
      <w:r w:rsidR="00400A16">
        <w:t xml:space="preserve">Despite some shortfalls, there was moderate </w:t>
      </w:r>
      <w:r w:rsidR="00E451A8">
        <w:t xml:space="preserve">to high </w:t>
      </w:r>
      <w:r w:rsidR="00400A16">
        <w:t>confidence that the results reported in the studies were reliable and applicable to the population of interest.</w:t>
      </w:r>
    </w:p>
    <w:p w14:paraId="58F1CBFC" w14:textId="77777777" w:rsidR="008475E5" w:rsidRPr="00E3331A" w:rsidRDefault="008475E5" w:rsidP="00907DF6">
      <w:pPr>
        <w:pStyle w:val="Heading3"/>
      </w:pPr>
      <w:bookmarkStart w:id="139" w:name="_Toc69305551"/>
      <w:r w:rsidRPr="00E3331A">
        <w:t>Studies included for the extended assessment of harms</w:t>
      </w:r>
      <w:bookmarkEnd w:id="139"/>
      <w:r w:rsidRPr="00E3331A">
        <w:t xml:space="preserve"> </w:t>
      </w:r>
    </w:p>
    <w:p w14:paraId="4F2B55DE" w14:textId="7588138B" w:rsidR="008F5057" w:rsidRDefault="008F5057" w:rsidP="00400A16">
      <w:pPr>
        <w:jc w:val="both"/>
      </w:pPr>
      <w:r>
        <w:t>T</w:t>
      </w:r>
      <w:r w:rsidR="00C76D04">
        <w:t>h</w:t>
      </w:r>
      <w:r>
        <w:t xml:space="preserve">e studies included for the extended assessment of harms were appraised </w:t>
      </w:r>
      <w:r w:rsidR="00400A16">
        <w:t>fo</w:t>
      </w:r>
      <w:r>
        <w:t xml:space="preserve">r risk of bias using appropriate tools. The SRs were assessed using the AMSTAR 2 checklist </w:t>
      </w:r>
      <w:r w:rsidR="00B727D6">
        <w:fldChar w:fldCharType="begin"/>
      </w:r>
      <w:r w:rsidR="00B727D6">
        <w:instrText xml:space="preserve"> ADDIN EN.CITE &lt;EndNote&gt;&lt;Cite&gt;&lt;Author&gt;Shea&lt;/Author&gt;&lt;Year&gt;2007&lt;/Year&gt;&lt;RecNum&gt;20&lt;/RecNum&gt;&lt;DisplayText&gt;(Shea et al. 2007)&lt;/DisplayText&gt;&lt;record&gt;&lt;rec-number&gt;20&lt;/rec-number&gt;&lt;foreign-keys&gt;&lt;key app="EN" db-id="p29e2t021fx2sker0f4p99xad5t02xpedpxr" timestamp="1606889835"&gt;20&lt;/key&gt;&lt;/foreign-keys&gt;&lt;ref-type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Methodol&lt;/full-title&gt;&lt;/periodical&gt;&lt;pages&gt;10&lt;/pages&gt;&lt;volume&gt;7&lt;/volume&gt;&lt;edition&gt;2007/02/17&lt;/edition&gt;&lt;keywords&gt;&lt;keyword&gt;Bias (Epidemiology)&lt;/keyword&gt;&lt;keyword&gt;Factor Analysis, Statistical&lt;/keyword&gt;&lt;keyword&gt;Humans&lt;/keyword&gt;&lt;keyword&gt;Quality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Topic&lt;/keyword&gt;&lt;/keywords&gt;&lt;dates&gt;&lt;year&gt;2007&lt;/year&gt;&lt;/dates&gt;&lt;isbn&gt;1471-2288 (Electronic)&amp;#xD;1471-2288 (Linking)&lt;/isbn&gt;&lt;accession-num&gt;17302989&lt;/accession-num&gt;&lt;urls&gt;&lt;related-urls&gt;&lt;url&gt;http://www.ncbi.nlm.nih.gov/pmc/articles/PMC1810543/pdf/1471-2288-7-10.pdf&lt;/url&gt;&lt;/related-urls&gt;&lt;/urls&gt;&lt;custom2&gt;PMC1810543&lt;/custom2&gt;&lt;electronic-resource-num&gt;10.1186/1471-2288-7-10&lt;/electronic-resource-num&gt;&lt;remote-database-provider&gt;NLM&lt;/remote-database-provider&gt;&lt;language&gt;eng&lt;/language&gt;&lt;/record&gt;&lt;/Cite&gt;&lt;/EndNote&gt;</w:instrText>
      </w:r>
      <w:r w:rsidR="00B727D6">
        <w:fldChar w:fldCharType="separate"/>
      </w:r>
      <w:r w:rsidR="00B727D6">
        <w:rPr>
          <w:noProof/>
        </w:rPr>
        <w:t>(</w:t>
      </w:r>
      <w:hyperlink w:anchor="_ENREF_66" w:tooltip="Shea, 2007 #20" w:history="1">
        <w:r w:rsidR="00D726F6">
          <w:rPr>
            <w:noProof/>
          </w:rPr>
          <w:t>Shea et al. 2007</w:t>
        </w:r>
      </w:hyperlink>
      <w:r w:rsidR="00B727D6">
        <w:rPr>
          <w:noProof/>
        </w:rPr>
        <w:t>)</w:t>
      </w:r>
      <w:r w:rsidR="00B727D6">
        <w:fldChar w:fldCharType="end"/>
      </w:r>
      <w:r>
        <w:t xml:space="preserve">, and the cohort studies were assessed using the SIGN Checklist 3 for Cohort Studies </w:t>
      </w:r>
      <w:r w:rsidR="00B727D6">
        <w:fldChar w:fldCharType="begin"/>
      </w:r>
      <w:r w:rsidR="00B727D6">
        <w:instrText xml:space="preserve"> ADDIN EN.CITE &lt;EndNote&gt;&lt;Cite&gt;&lt;Author&gt;SIGN&lt;/Author&gt;&lt;Year&gt;2014&lt;/Year&gt;&lt;RecNum&gt;19&lt;/RecNum&gt;&lt;DisplayText&gt;(SIGN 2014)&lt;/DisplayText&gt;&lt;record&gt;&lt;rec-number&gt;19&lt;/rec-number&gt;&lt;foreign-keys&gt;&lt;key app="EN" db-id="p29e2t021fx2sker0f4p99xad5t02xpedpxr" timestamp="1606888879"&gt;19&lt;/key&gt;&lt;/foreign-keys&gt;&lt;ref-type name="Report"&gt;27&lt;/ref-type&gt;&lt;contributors&gt;&lt;authors&gt;&lt;author&gt;SIGN&lt;/author&gt;&lt;/authors&gt;&lt;/contributors&gt;&lt;titles&gt;&lt;title&gt;SIGN 50: a guideline developer’s handbook (SIGN publication no. 50)&lt;/title&gt;&lt;/titles&gt;&lt;dates&gt;&lt;year&gt;2014&lt;/year&gt;&lt;pub-dates&gt;&lt;date&gt;October&lt;/date&gt;&lt;/pub-dates&gt;&lt;/dates&gt;&lt;pub-location&gt;Edinburgh&lt;/pub-location&gt;&lt;publisher&gt;Scottish Intercollegiate Guidelines Network&lt;/publisher&gt;&lt;urls&gt;&lt;related-urls&gt;&lt;url&gt; http://www.sign.ac.uk&lt;/url&gt;&lt;/related-urls&gt;&lt;/urls&gt;&lt;/record&gt;&lt;/Cite&gt;&lt;/EndNote&gt;</w:instrText>
      </w:r>
      <w:r w:rsidR="00B727D6">
        <w:fldChar w:fldCharType="separate"/>
      </w:r>
      <w:r w:rsidR="00B727D6">
        <w:rPr>
          <w:noProof/>
        </w:rPr>
        <w:t>(</w:t>
      </w:r>
      <w:hyperlink w:anchor="_ENREF_67" w:tooltip="SIGN, 2014 #19" w:history="1">
        <w:r w:rsidR="00D726F6">
          <w:rPr>
            <w:noProof/>
          </w:rPr>
          <w:t>SIGN 2014</w:t>
        </w:r>
      </w:hyperlink>
      <w:r w:rsidR="00B727D6">
        <w:rPr>
          <w:noProof/>
        </w:rPr>
        <w:t>)</w:t>
      </w:r>
      <w:r w:rsidR="00B727D6">
        <w:fldChar w:fldCharType="end"/>
      </w:r>
      <w:r>
        <w:t xml:space="preserve">. </w:t>
      </w:r>
      <w:r w:rsidR="00C76D04">
        <w:t>Appraisal was performed by one reviewer.</w:t>
      </w:r>
    </w:p>
    <w:p w14:paraId="4C89FEE3" w14:textId="67DE6727" w:rsidR="008F5057" w:rsidRDefault="00C76D04" w:rsidP="00400A16">
      <w:pPr>
        <w:jc w:val="both"/>
      </w:pPr>
      <w:r>
        <w:t xml:space="preserve">The two SRs </w:t>
      </w:r>
      <w:r w:rsidR="001E36E2">
        <w:t xml:space="preserve">(level I </w:t>
      </w:r>
      <w:r w:rsidR="00400A16">
        <w:t>evidence</w:t>
      </w:r>
      <w:r w:rsidR="001E36E2">
        <w:t xml:space="preserve">) </w:t>
      </w:r>
      <w:r>
        <w:t>were assessed as moderate for risk of bias</w:t>
      </w:r>
      <w:r w:rsidR="002B2963">
        <w:t xml:space="preserve"> </w:t>
      </w:r>
      <w:r w:rsidR="00B727D6">
        <w:fldChar w:fldCharType="begin">
          <w:fldData xml:space="preserve">PEVuZE5vdGU+PENpdGU+PEF1dGhvcj5PcnRpei1TYWxhczwvQXV0aG9yPjxZZWFyPjIwMTY8L1ll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</w:fldData>
        </w:fldChar>
      </w:r>
      <w:r w:rsidR="00B727D6">
        <w:instrText xml:space="preserve"> ADDIN EN.CITE </w:instrText>
      </w:r>
      <w:r w:rsidR="00B727D6">
        <w:fldChar w:fldCharType="begin">
          <w:fldData xml:space="preserve">PEVuZE5vdGU+PENpdGU+PEF1dGhvcj5PcnRpei1TYWxhczwvQXV0aG9yPjxZZWFyPjIwMTY8L1ll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</w:fldData>
        </w:fldChar>
      </w:r>
      <w:r w:rsidR="00B727D6">
        <w:instrText xml:space="preserve"> ADDIN EN.CITE.DATA </w:instrText>
      </w:r>
      <w:r w:rsidR="00B727D6">
        <w:fldChar w:fldCharType="end"/>
      </w:r>
      <w:r w:rsidR="00B727D6">
        <w:fldChar w:fldCharType="separate"/>
      </w:r>
      <w:r w:rsidR="00B727D6">
        <w:rPr>
          <w:noProof/>
        </w:rPr>
        <w:t>(</w:t>
      </w:r>
      <w:hyperlink w:anchor="_ENREF_56" w:tooltip="Ortiz-Salas, 2016 #10" w:history="1">
        <w:r w:rsidR="00D726F6">
          <w:rPr>
            <w:noProof/>
          </w:rPr>
          <w:t>Ortiz-Salas et al. 2016</w:t>
        </w:r>
      </w:hyperlink>
      <w:r w:rsidR="00B727D6">
        <w:rPr>
          <w:noProof/>
        </w:rPr>
        <w:t xml:space="preserve">; </w:t>
      </w:r>
      <w:hyperlink w:anchor="_ENREF_61" w:tooltip="Rice, 2017 #11" w:history="1">
        <w:r w:rsidR="00D726F6">
          <w:rPr>
            <w:noProof/>
          </w:rPr>
          <w:t>Rice et al. 2017</w:t>
        </w:r>
      </w:hyperlink>
      <w:r w:rsidR="00B727D6">
        <w:rPr>
          <w:noProof/>
        </w:rPr>
        <w:t>)</w:t>
      </w:r>
      <w:r w:rsidR="00B727D6">
        <w:fldChar w:fldCharType="end"/>
      </w:r>
      <w:r>
        <w:t xml:space="preserve">. The </w:t>
      </w:r>
      <w:r w:rsidR="00400A16">
        <w:t>SRs</w:t>
      </w:r>
      <w:r>
        <w:t xml:space="preserve"> performed well in describing the search and eligibility criteria, but did not include a list of excluded studies and only partially satisfied risk of bias reporting guidelines or did not perform risk of bias assessments for individual studies at all. One SR did not report funding sources or competing interests. </w:t>
      </w:r>
      <w:r w:rsidR="00B70C52">
        <w:t xml:space="preserve">Pooling of results was performed through meta-analysis in one </w:t>
      </w:r>
      <w:r w:rsidR="00002C3C">
        <w:t>SR</w:t>
      </w:r>
      <w:r w:rsidR="00B70C52">
        <w:t xml:space="preserve">, and heterogeneity was discussed. The second SR provided ranges in outcomes without meta-analysis. There was very little description of the methodology and heterogeneity across studies. </w:t>
      </w:r>
      <w:r w:rsidR="001418C5">
        <w:t>Both SRs included broader populations than that of interest, therefore the applicability of the results may be limited.</w:t>
      </w:r>
      <w:r w:rsidR="000F1E4C">
        <w:t xml:space="preserve"> </w:t>
      </w:r>
      <w:r w:rsidR="00B70C52">
        <w:t xml:space="preserve"> </w:t>
      </w:r>
    </w:p>
    <w:p w14:paraId="6504311D" w14:textId="77777777" w:rsidR="00B70C52" w:rsidRDefault="002B2963" w:rsidP="00634696">
      <w:pPr>
        <w:jc w:val="both"/>
      </w:pPr>
      <w:r>
        <w:t xml:space="preserve">Seven retrospective cohort studies </w:t>
      </w:r>
      <w:r w:rsidR="001E36E2">
        <w:t xml:space="preserve">(level </w:t>
      </w:r>
      <w:r w:rsidR="00400A16">
        <w:t>III-3 to IV evidence</w:t>
      </w:r>
      <w:r w:rsidR="001E36E2">
        <w:t>)</w:t>
      </w:r>
      <w:r w:rsidR="00400A16">
        <w:t xml:space="preserve"> </w:t>
      </w:r>
      <w:r>
        <w:t xml:space="preserve">were assessed using the SIGN 3 checklist. They were all assessed as moderate for risk of bias. </w:t>
      </w:r>
      <w:r w:rsidR="00400A16">
        <w:t>Th</w:t>
      </w:r>
      <w:r w:rsidR="001418C5">
        <w:t xml:space="preserve">e </w:t>
      </w:r>
      <w:r w:rsidR="00400A16">
        <w:t xml:space="preserve">studies were retrospective and observational in design, in some cases including a control population for comparison. </w:t>
      </w:r>
      <w:r w:rsidR="001418C5" w:rsidRPr="001418C5">
        <w:t>Despite limitations of design,</w:t>
      </w:r>
      <w:r w:rsidR="001418C5">
        <w:t xml:space="preserve"> observational studies </w:t>
      </w:r>
      <w:r w:rsidR="00400A16">
        <w:t xml:space="preserve">can have longer follow-up periods than RCTs, </w:t>
      </w:r>
      <w:r w:rsidR="00775197">
        <w:t xml:space="preserve">and </w:t>
      </w:r>
      <w:r w:rsidR="001418C5">
        <w:t>have the p</w:t>
      </w:r>
      <w:r w:rsidR="00400A16">
        <w:t>otential to provide long-term data on adverse events</w:t>
      </w:r>
      <w:r w:rsidR="001418C5">
        <w:t xml:space="preserve"> for the extended use of therapies. Due to the retrospec</w:t>
      </w:r>
      <w:r w:rsidR="00302472">
        <w:t>tive design, selection bias can</w:t>
      </w:r>
      <w:r w:rsidR="001418C5">
        <w:t xml:space="preserve">not be ruled out, </w:t>
      </w:r>
      <w:r w:rsidR="00302472">
        <w:t>and it was not possible to give any of the studies a low risk of bias ranking. In addition,</w:t>
      </w:r>
      <w:r w:rsidR="001418C5">
        <w:t xml:space="preserve"> applicability is reduced due to the populations in the studies being broader than the population of interest. </w:t>
      </w:r>
    </w:p>
    <w:p w14:paraId="6CDD1FE4" w14:textId="2454043D" w:rsidR="008475E5" w:rsidRPr="00E3331A" w:rsidRDefault="001418C5" w:rsidP="00634696">
      <w:pPr>
        <w:jc w:val="both"/>
      </w:pPr>
      <w:r>
        <w:t>The following limitation</w:t>
      </w:r>
      <w:r w:rsidR="002E594A">
        <w:t>s</w:t>
      </w:r>
      <w:r>
        <w:t xml:space="preserve"> </w:t>
      </w:r>
      <w:r w:rsidR="00302472">
        <w:t xml:space="preserve">that </w:t>
      </w:r>
      <w:r>
        <w:t xml:space="preserve">were identified in the </w:t>
      </w:r>
      <w:r w:rsidR="002E594A">
        <w:t>DCAR</w:t>
      </w:r>
      <w:r>
        <w:t xml:space="preserve"> 1564 Review, also apply to the </w:t>
      </w:r>
      <w:r w:rsidR="002E594A">
        <w:t>DCAR</w:t>
      </w:r>
      <w:r w:rsidR="002B36A9">
        <w:t xml:space="preserve"> 1564</w:t>
      </w:r>
      <w:r>
        <w:t xml:space="preserve"> Update report: </w:t>
      </w:r>
    </w:p>
    <w:p w14:paraId="7A1D5F6B" w14:textId="77777777" w:rsidR="008475E5" w:rsidRPr="00E3331A" w:rsidRDefault="008475E5" w:rsidP="000B596E">
      <w:pPr>
        <w:pStyle w:val="ColorfulList-Accent11"/>
        <w:numPr>
          <w:ilvl w:val="0"/>
          <w:numId w:val="15"/>
        </w:numPr>
      </w:pPr>
      <w:r w:rsidRPr="00E3331A">
        <w:t xml:space="preserve">Level IV and III-3 studies do not exclude patients receiving multiple interventions and therefore the attribution of a particular adverse event to the intervention under study may be questionable. </w:t>
      </w:r>
    </w:p>
    <w:p w14:paraId="53E273CC" w14:textId="736019D8" w:rsidR="008475E5" w:rsidRPr="00E3331A" w:rsidRDefault="008475E5" w:rsidP="000B596E">
      <w:pPr>
        <w:pStyle w:val="ColorfulList-Accent11"/>
        <w:numPr>
          <w:ilvl w:val="0"/>
          <w:numId w:val="15"/>
        </w:numPr>
      </w:pPr>
      <w:r w:rsidRPr="00E3331A">
        <w:t xml:space="preserve">Studies were retrospective in </w:t>
      </w:r>
      <w:r w:rsidR="000F1E4C">
        <w:t>design</w:t>
      </w:r>
      <w:r w:rsidRPr="00E3331A">
        <w:t xml:space="preserve"> and therefore </w:t>
      </w:r>
      <w:r w:rsidR="00C629DC">
        <w:t>AE</w:t>
      </w:r>
      <w:r w:rsidRPr="00E3331A">
        <w:t xml:space="preserve"> reporting was typically limited to the availability and accuracy of case notes or records. </w:t>
      </w:r>
    </w:p>
    <w:p w14:paraId="3181308D" w14:textId="77777777" w:rsidR="008475E5" w:rsidRPr="00E3331A" w:rsidRDefault="008475E5" w:rsidP="000B596E">
      <w:pPr>
        <w:pStyle w:val="ColorfulList-Accent11"/>
        <w:numPr>
          <w:ilvl w:val="0"/>
          <w:numId w:val="15"/>
        </w:numPr>
      </w:pPr>
      <w:r w:rsidRPr="00E3331A">
        <w:t xml:space="preserve">The risk of any particular outcomes </w:t>
      </w:r>
      <w:r w:rsidR="000F1E4C">
        <w:t>is difficult to</w:t>
      </w:r>
      <w:r w:rsidRPr="00E3331A">
        <w:t xml:space="preserve"> estimate as the reported rates of adverse events exhibit significant heterogeneity across studies. </w:t>
      </w:r>
    </w:p>
    <w:p w14:paraId="44306A16" w14:textId="77777777" w:rsidR="008475E5" w:rsidRPr="00E3331A" w:rsidRDefault="008475E5" w:rsidP="000B596E">
      <w:pPr>
        <w:pStyle w:val="ColorfulList-Accent11"/>
        <w:numPr>
          <w:ilvl w:val="0"/>
          <w:numId w:val="15"/>
        </w:numPr>
      </w:pPr>
      <w:r w:rsidRPr="00E3331A">
        <w:t xml:space="preserve">Whether there was consecutive enrolment in studies was </w:t>
      </w:r>
      <w:r w:rsidR="000F1E4C">
        <w:t>sometimes</w:t>
      </w:r>
      <w:r w:rsidR="000F1E4C" w:rsidRPr="00E3331A">
        <w:t xml:space="preserve"> </w:t>
      </w:r>
      <w:r w:rsidRPr="00E3331A">
        <w:t xml:space="preserve">unclear and the inclusion and exclusion criteria were </w:t>
      </w:r>
      <w:r w:rsidR="000F1E4C">
        <w:t xml:space="preserve">at times </w:t>
      </w:r>
      <w:r w:rsidRPr="00E3331A">
        <w:t xml:space="preserve">poorly defined. Consequently, selection bias may be significant within this evidence base. </w:t>
      </w:r>
    </w:p>
    <w:p w14:paraId="1062B82B" w14:textId="5A2832D0" w:rsidR="008475E5" w:rsidRPr="00E3331A" w:rsidRDefault="008475E5" w:rsidP="000B596E">
      <w:pPr>
        <w:pStyle w:val="ColorfulList-Accent11"/>
        <w:numPr>
          <w:ilvl w:val="0"/>
          <w:numId w:val="15"/>
        </w:numPr>
      </w:pPr>
      <w:r w:rsidRPr="00E3331A">
        <w:t>Adverse events were under</w:t>
      </w:r>
      <w:r w:rsidR="0061167F" w:rsidRPr="00E3331A">
        <w:t>-</w:t>
      </w:r>
      <w:r w:rsidRPr="00E3331A">
        <w:t xml:space="preserve">reported in the included evidence </w:t>
      </w:r>
      <w:r w:rsidR="0061167F" w:rsidRPr="00E3331A">
        <w:t xml:space="preserve">as </w:t>
      </w:r>
      <w:r w:rsidRPr="00E3331A">
        <w:t>revealed by statements from authors such as</w:t>
      </w:r>
      <w:r w:rsidR="0061167F" w:rsidRPr="00E3331A">
        <w:t>:</w:t>
      </w:r>
      <w:r w:rsidRPr="00E3331A">
        <w:t xml:space="preserve"> “the most frequent minor side effect was headache, which was easily controlled with symptomatic medications”</w:t>
      </w:r>
      <w:r w:rsidR="0061167F" w:rsidRPr="00E3331A">
        <w:t>,</w:t>
      </w:r>
      <w:r w:rsidRPr="00E3331A">
        <w:t xml:space="preserve"> wherein the actual number of patients or events </w:t>
      </w:r>
      <w:r w:rsidR="0061167F" w:rsidRPr="00E3331A">
        <w:t>wa</w:t>
      </w:r>
      <w:r w:rsidRPr="00E3331A">
        <w:t>s not reported</w:t>
      </w:r>
      <w:r w:rsidR="0061167F" w:rsidRPr="00E3331A">
        <w:t xml:space="preserve"> </w:t>
      </w:r>
      <w:r w:rsidR="00B727D6">
        <w:rPr>
          <w:noProof/>
        </w:rPr>
        <w:fldChar w:fldCharType="begin"/>
      </w:r>
      <w:r w:rsidR="00B727D6">
        <w:rPr>
          <w:noProof/>
        </w:rPr>
        <w:instrText xml:space="preserve"> ADDIN EN.CITE &lt;EndNote&gt;&lt;Cite&gt;&lt;Author&gt;Jann&lt;/Author&gt;&lt;Year&gt;2005&lt;/Year&gt;&lt;RecNum&gt;21&lt;/RecNum&gt;&lt;DisplayText&gt;(Jann, Beretta &amp;amp; Bramerio 2005)&lt;/DisplayText&gt;&lt;record&gt;&lt;rec-number&gt;21&lt;/rec-number&gt;&lt;foreign-keys&gt;&lt;key app="EN" db-id="p29e2t021fx2sker0f4p99xad5t02xpedpxr" timestamp="1606956056"&gt;21&lt;/key&gt;&lt;/foreign-keys&gt;&lt;ref-type name="Journal Article"&gt;17&lt;/ref-type&gt;&lt;contributors&gt;&lt;authors&gt;&lt;author&gt;Jann, S.&lt;/author&gt;&lt;author&gt;Beretta, S.&lt;/author&gt;&lt;author&gt;Bramerio, M. A.&lt;/author&gt;&lt;/authors&gt;&lt;/contributors&gt;&lt;auth-address&gt;Department of Neurology, Niguarda Hospital, Piazza Ospedale Maggiore 3, I-20162 Milan, Italy. stefano.jann@fastwebnet.it&lt;/auth-address&gt;&lt;titles&gt;&lt;title&gt;Different types of chronic inflammatory demyelinating polyneuropathy have a different clinical course and response to treatment&lt;/title&gt;&lt;secondary-title&gt;Muscle Nerve&lt;/secondary-title&gt;&lt;/titles&gt;&lt;periodical&gt;&lt;full-title&gt;Muscle Nerve&lt;/full-title&gt;&lt;/periodical&gt;&lt;pages&gt;351-6&lt;/pages&gt;&lt;volume&gt;32&lt;/volume&gt;&lt;number&gt;3&lt;/number&gt;&lt;edition&gt;2005/07/09&lt;/edition&gt;&lt;keywords&gt;&lt;keyword&gt;Aged&lt;/keyword&gt;&lt;keyword&gt;Diabetic Neuropathies/ physiopathology/ therapy&lt;/keyword&gt;&lt;keyword&gt;Disease Progression&lt;/keyword&gt;&lt;keyword&gt;Female&lt;/keyword&gt;&lt;keyword&gt;Follow-Up Studies&lt;/keyword&gt;&lt;keyword&gt;Humans&lt;/keyword&gt;&lt;keyword&gt;Immunoglobulins, Intravenous/ therapeutic use&lt;/keyword&gt;&lt;keyword&gt;Male&lt;/keyword&gt;&lt;keyword&gt;Middle Aged&lt;/keyword&gt;&lt;keyword&gt;Paraproteinemias/complications/ physiopathology/ therapy&lt;/keyword&gt;&lt;keyword&gt;Polyradiculoneuropathy, Chronic Inflammatory&lt;/keyword&gt;&lt;keyword&gt;Demyelinating/etiology/ physiopathology/ therapy&lt;/keyword&gt;&lt;keyword&gt;Prospective Studies&lt;/keyword&gt;&lt;keyword&gt;Secondary Prevention&lt;/keyword&gt;&lt;keyword&gt;Treatment Outcome&lt;/keyword&gt;&lt;/keywords&gt;&lt;dates&gt;&lt;year&gt;2005&lt;/year&gt;&lt;pub-dates&gt;&lt;date&gt;Sep&lt;/date&gt;&lt;/pub-dates&gt;&lt;/dates&gt;&lt;isbn&gt;0148-639X (Print)&amp;#xD;0148-639X (Linking)&lt;/isbn&gt;&lt;accession-num&gt;16003765&lt;/accession-num&gt;&lt;urls&gt;&lt;/urls&gt;&lt;electronic-resource-num&gt;10.1002/mus.20391&lt;/electronic-resource-num&gt;&lt;remote-database-provider&gt;NLM&lt;/remote-database-provider&gt;&lt;language&gt;eng&lt;/language&gt;&lt;/record&gt;&lt;/Cite&gt;&lt;/EndNote&gt;</w:instrText>
      </w:r>
      <w:r w:rsidR="00B727D6">
        <w:rPr>
          <w:noProof/>
        </w:rPr>
        <w:fldChar w:fldCharType="separate"/>
      </w:r>
      <w:r w:rsidR="00B727D6">
        <w:rPr>
          <w:noProof/>
        </w:rPr>
        <w:t>(</w:t>
      </w:r>
      <w:hyperlink w:anchor="_ENREF_31" w:tooltip="Jann, 2005 #21" w:history="1">
        <w:r w:rsidR="00D726F6">
          <w:rPr>
            <w:noProof/>
          </w:rPr>
          <w:t>Jann, Beretta &amp; Bramerio 2005</w:t>
        </w:r>
      </w:hyperlink>
      <w:r w:rsidR="00B727D6">
        <w:rPr>
          <w:noProof/>
        </w:rPr>
        <w:t>)</w:t>
      </w:r>
      <w:r w:rsidR="00B727D6">
        <w:rPr>
          <w:noProof/>
        </w:rPr>
        <w:fldChar w:fldCharType="end"/>
      </w:r>
      <w:r w:rsidR="0061167F" w:rsidRPr="00E3331A">
        <w:t>.</w:t>
      </w:r>
      <w:r w:rsidR="000F1E4C">
        <w:t xml:space="preserve"> Typically, only the most common adverse events were reported.</w:t>
      </w:r>
    </w:p>
    <w:p w14:paraId="36400BDC" w14:textId="77777777" w:rsidR="00685D87" w:rsidRPr="00E3331A" w:rsidRDefault="00685D87">
      <w:pPr>
        <w:spacing w:after="0" w:line="240" w:lineRule="auto"/>
        <w:rPr>
          <w:b/>
          <w:smallCaps/>
          <w:sz w:val="28"/>
        </w:rPr>
      </w:pPr>
      <w:r w:rsidRPr="00E3331A">
        <w:br w:type="page"/>
      </w:r>
    </w:p>
    <w:p w14:paraId="5213C047" w14:textId="77777777" w:rsidR="008D77C9" w:rsidRPr="00E3331A" w:rsidRDefault="008D77C9" w:rsidP="003E4E1F">
      <w:pPr>
        <w:pStyle w:val="Heading2"/>
        <w:numPr>
          <w:ilvl w:val="1"/>
          <w:numId w:val="9"/>
        </w:numPr>
      </w:pPr>
      <w:bookmarkStart w:id="140" w:name="_Toc69305552"/>
      <w:r w:rsidRPr="00E3331A">
        <w:t>Characteristics of the Evidence Base</w:t>
      </w:r>
      <w:bookmarkEnd w:id="140"/>
    </w:p>
    <w:p w14:paraId="5AC436F6" w14:textId="744E089C" w:rsidR="008D77C9" w:rsidRPr="00E3331A" w:rsidRDefault="0019059F" w:rsidP="005C061E">
      <w:pPr>
        <w:jc w:val="both"/>
      </w:pPr>
      <w:r w:rsidRPr="00E3331A">
        <w:t xml:space="preserve">See </w:t>
      </w:r>
      <w:r w:rsidR="008D77C9" w:rsidRPr="00E53D50">
        <w:rPr>
          <w:b/>
        </w:rPr>
        <w:t>Appendix C</w:t>
      </w:r>
      <w:r w:rsidR="008D77C9" w:rsidRPr="00E3331A">
        <w:t xml:space="preserve"> for details on the individual studies included in the evidence base.</w:t>
      </w:r>
      <w:r w:rsidR="00DB3295" w:rsidRPr="00E3331A">
        <w:t xml:space="preserve"> A summary </w:t>
      </w:r>
      <w:r w:rsidR="0067316B">
        <w:t xml:space="preserve">of key features </w:t>
      </w:r>
      <w:r w:rsidR="00DB3295" w:rsidRPr="00E3331A">
        <w:t xml:space="preserve">is provided </w:t>
      </w:r>
      <w:r w:rsidR="00B337FA" w:rsidRPr="00E3331A">
        <w:t xml:space="preserve">in </w:t>
      </w:r>
      <w:r w:rsidR="00B337FA" w:rsidRPr="00E3331A">
        <w:fldChar w:fldCharType="begin"/>
      </w:r>
      <w:r w:rsidR="00B337FA" w:rsidRPr="00E3331A">
        <w:instrText xml:space="preserve"> REF _Ref399236533 \h </w:instrText>
      </w:r>
      <w:r w:rsidR="005D0A58" w:rsidRPr="00E3331A">
        <w:instrText xml:space="preserve"> \* MERGEFORMAT </w:instrText>
      </w:r>
      <w:r w:rsidR="00B337FA" w:rsidRPr="00E3331A">
        <w:fldChar w:fldCharType="separate"/>
      </w:r>
      <w:r w:rsidR="004B3EA2" w:rsidRPr="00E3331A">
        <w:t xml:space="preserve">Table </w:t>
      </w:r>
      <w:r w:rsidR="004B3EA2">
        <w:rPr>
          <w:noProof/>
        </w:rPr>
        <w:t>8</w:t>
      </w:r>
      <w:r w:rsidR="00B337FA" w:rsidRPr="00E3331A">
        <w:fldChar w:fldCharType="end"/>
      </w:r>
      <w:r w:rsidR="00DB3295" w:rsidRPr="00E3331A">
        <w:t>.</w:t>
      </w:r>
      <w:r w:rsidR="00EA09F9" w:rsidRPr="00E3331A">
        <w:t xml:space="preserve"> </w:t>
      </w:r>
      <w:r w:rsidR="00C53293">
        <w:t>Overall, the evidence base was very small and no additional RCTs were identified that compared IVIg or SCIg with PE</w:t>
      </w:r>
      <w:r w:rsidR="00FD4DAB">
        <w:t xml:space="preserve"> or</w:t>
      </w:r>
      <w:r w:rsidR="00C53293">
        <w:t xml:space="preserve"> GC in CIDP patients. </w:t>
      </w:r>
      <w:r w:rsidR="005C2907">
        <w:t>Two RCTs were identified that compared doses or regi</w:t>
      </w:r>
      <w:r w:rsidR="00954022">
        <w:t>m</w:t>
      </w:r>
      <w:r w:rsidR="005C2907">
        <w:t>ens for the maintenance of Ig treatment for CIDP</w:t>
      </w:r>
      <w:r w:rsidR="0070784F" w:rsidRPr="00E3331A">
        <w:t xml:space="preserve">. </w:t>
      </w:r>
    </w:p>
    <w:p w14:paraId="347D6D09" w14:textId="3210C2A4" w:rsidR="00DB3295" w:rsidRPr="00E3331A" w:rsidRDefault="00DB3295" w:rsidP="005D0A58">
      <w:pPr>
        <w:pStyle w:val="Caption"/>
        <w:rPr>
          <w:snapToGrid w:val="0"/>
          <w:lang w:eastAsia="en-US"/>
        </w:rPr>
      </w:pPr>
      <w:bookmarkStart w:id="141" w:name="_Ref399236533"/>
      <w:bookmarkStart w:id="142" w:name="_Toc69305649"/>
      <w:r w:rsidRPr="00E3331A">
        <w:t xml:space="preserve">Table </w:t>
      </w:r>
      <w:r w:rsidR="00243F03" w:rsidRPr="00E3331A">
        <w:rPr>
          <w:noProof/>
        </w:rPr>
        <w:fldChar w:fldCharType="begin"/>
      </w:r>
      <w:r w:rsidR="00243F03" w:rsidRPr="00E3331A">
        <w:rPr>
          <w:noProof/>
        </w:rPr>
        <w:instrText xml:space="preserve"> SEQ Table \* ARABIC </w:instrText>
      </w:r>
      <w:r w:rsidR="00243F03" w:rsidRPr="00E3331A">
        <w:rPr>
          <w:noProof/>
        </w:rPr>
        <w:fldChar w:fldCharType="separate"/>
      </w:r>
      <w:r w:rsidR="004B3EA2">
        <w:rPr>
          <w:noProof/>
        </w:rPr>
        <w:t>8</w:t>
      </w:r>
      <w:r w:rsidR="00243F03" w:rsidRPr="00E3331A">
        <w:rPr>
          <w:noProof/>
        </w:rPr>
        <w:fldChar w:fldCharType="end"/>
      </w:r>
      <w:bookmarkEnd w:id="141"/>
      <w:r w:rsidRPr="00E3331A">
        <w:tab/>
      </w:r>
      <w:r w:rsidR="00914B37">
        <w:tab/>
      </w:r>
      <w:r w:rsidRPr="00E3331A">
        <w:rPr>
          <w:snapToGrid w:val="0"/>
          <w:lang w:eastAsia="en-US"/>
        </w:rPr>
        <w:t>Key features of the included evidence</w:t>
      </w:r>
      <w:r w:rsidR="00E16BE4" w:rsidRPr="00E3331A">
        <w:rPr>
          <w:snapToGrid w:val="0"/>
          <w:lang w:eastAsia="en-US"/>
        </w:rPr>
        <w:t xml:space="preserve"> </w:t>
      </w:r>
      <w:r w:rsidR="00063EBD">
        <w:rPr>
          <w:snapToGrid w:val="0"/>
          <w:lang w:eastAsia="en-US"/>
        </w:rPr>
        <w:t>assessi</w:t>
      </w:r>
      <w:r w:rsidR="00687E6F" w:rsidRPr="00E3331A">
        <w:rPr>
          <w:snapToGrid w:val="0"/>
          <w:lang w:eastAsia="en-US"/>
        </w:rPr>
        <w:t xml:space="preserve">ng </w:t>
      </w:r>
      <w:r w:rsidR="00063EBD">
        <w:rPr>
          <w:snapToGrid w:val="0"/>
          <w:lang w:eastAsia="en-US"/>
        </w:rPr>
        <w:t xml:space="preserve">Ig </w:t>
      </w:r>
      <w:r w:rsidR="00687E6F" w:rsidRPr="00E3331A">
        <w:rPr>
          <w:snapToGrid w:val="0"/>
          <w:lang w:eastAsia="en-US"/>
        </w:rPr>
        <w:t>maintenance of CIDP</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Key features of the included evidence assessing Ig maintenance of CIDP"/>
        <w:tblDescription w:val="Key features of the included evidence assessing Ig maintenance of CIDP"/>
      </w:tblPr>
      <w:tblGrid>
        <w:gridCol w:w="1150"/>
        <w:gridCol w:w="1396"/>
        <w:gridCol w:w="1702"/>
        <w:gridCol w:w="2409"/>
        <w:gridCol w:w="2359"/>
      </w:tblGrid>
      <w:tr w:rsidR="00836F29" w:rsidRPr="00E3331A" w14:paraId="7E948676" w14:textId="77777777" w:rsidTr="00CC4193">
        <w:trPr>
          <w:tblHeader/>
        </w:trPr>
        <w:tc>
          <w:tcPr>
            <w:tcW w:w="638" w:type="pct"/>
            <w:shd w:val="clear" w:color="auto" w:fill="auto"/>
            <w:vAlign w:val="center"/>
          </w:tcPr>
          <w:p w14:paraId="4ACCBACD" w14:textId="77777777" w:rsidR="00FA20E2" w:rsidRPr="00E3331A" w:rsidRDefault="00FA20E2" w:rsidP="00687E6F">
            <w:pPr>
              <w:pStyle w:val="TableHeading"/>
              <w:rPr>
                <w:snapToGrid w:val="0"/>
                <w:lang w:eastAsia="en-US"/>
              </w:rPr>
            </w:pPr>
            <w:bookmarkStart w:id="143" w:name="_Hlk8640112"/>
            <w:r w:rsidRPr="00E3331A">
              <w:rPr>
                <w:snapToGrid w:val="0"/>
                <w:lang w:eastAsia="en-US"/>
              </w:rPr>
              <w:t>Trial</w:t>
            </w:r>
          </w:p>
        </w:tc>
        <w:tc>
          <w:tcPr>
            <w:tcW w:w="774" w:type="pct"/>
            <w:shd w:val="clear" w:color="auto" w:fill="auto"/>
            <w:vAlign w:val="center"/>
          </w:tcPr>
          <w:p w14:paraId="2B271DB8" w14:textId="77777777" w:rsidR="00FA20E2" w:rsidRPr="00E3331A" w:rsidRDefault="00FA20E2" w:rsidP="00687E6F">
            <w:pPr>
              <w:pStyle w:val="TableHeading"/>
              <w:rPr>
                <w:snapToGrid w:val="0"/>
                <w:lang w:eastAsia="en-US"/>
              </w:rPr>
            </w:pPr>
            <w:r w:rsidRPr="00E3331A">
              <w:rPr>
                <w:snapToGrid w:val="0"/>
                <w:lang w:eastAsia="en-US"/>
              </w:rPr>
              <w:t>I vs C</w:t>
            </w:r>
          </w:p>
          <w:p w14:paraId="16ABEE1E" w14:textId="77777777" w:rsidR="00FA20E2" w:rsidRPr="00E3331A" w:rsidRDefault="00FA20E2" w:rsidP="00687E6F">
            <w:pPr>
              <w:pStyle w:val="TableHeading"/>
              <w:rPr>
                <w:snapToGrid w:val="0"/>
                <w:lang w:eastAsia="en-US"/>
              </w:rPr>
            </w:pPr>
            <w:r w:rsidRPr="00E3331A">
              <w:rPr>
                <w:snapToGrid w:val="0"/>
                <w:lang w:eastAsia="en-US"/>
              </w:rPr>
              <w:t>N</w:t>
            </w:r>
          </w:p>
        </w:tc>
        <w:tc>
          <w:tcPr>
            <w:tcW w:w="944" w:type="pct"/>
            <w:shd w:val="clear" w:color="auto" w:fill="auto"/>
            <w:vAlign w:val="center"/>
          </w:tcPr>
          <w:p w14:paraId="5CDAB94E" w14:textId="77777777" w:rsidR="00FA20E2" w:rsidRPr="00E3331A" w:rsidRDefault="00FA20E2" w:rsidP="00687E6F">
            <w:pPr>
              <w:pStyle w:val="TableHeading"/>
              <w:rPr>
                <w:snapToGrid w:val="0"/>
                <w:lang w:eastAsia="en-US"/>
              </w:rPr>
            </w:pPr>
            <w:r w:rsidRPr="00E3331A">
              <w:rPr>
                <w:snapToGrid w:val="0"/>
                <w:lang w:eastAsia="en-US"/>
              </w:rPr>
              <w:t>Design/ duration</w:t>
            </w:r>
          </w:p>
          <w:p w14:paraId="4E03DF52" w14:textId="77777777" w:rsidR="00FA20E2" w:rsidRPr="00E3331A" w:rsidRDefault="00FA20E2" w:rsidP="00687E6F">
            <w:pPr>
              <w:pStyle w:val="TableHeading"/>
              <w:rPr>
                <w:snapToGrid w:val="0"/>
                <w:lang w:eastAsia="en-US"/>
              </w:rPr>
            </w:pPr>
            <w:r w:rsidRPr="00E3331A">
              <w:rPr>
                <w:snapToGrid w:val="0"/>
                <w:lang w:eastAsia="en-US"/>
              </w:rPr>
              <w:t>Risk of bias</w:t>
            </w:r>
          </w:p>
        </w:tc>
        <w:tc>
          <w:tcPr>
            <w:tcW w:w="1336" w:type="pct"/>
            <w:shd w:val="clear" w:color="auto" w:fill="auto"/>
            <w:vAlign w:val="center"/>
          </w:tcPr>
          <w:p w14:paraId="059B1B8B" w14:textId="77777777" w:rsidR="00FA20E2" w:rsidRPr="00E3331A" w:rsidRDefault="00FA20E2" w:rsidP="00687E6F">
            <w:pPr>
              <w:pStyle w:val="TableHeading"/>
              <w:rPr>
                <w:snapToGrid w:val="0"/>
                <w:lang w:eastAsia="en-US"/>
              </w:rPr>
            </w:pPr>
            <w:r w:rsidRPr="00E3331A">
              <w:t>Key Inclusion criteria</w:t>
            </w:r>
          </w:p>
        </w:tc>
        <w:tc>
          <w:tcPr>
            <w:tcW w:w="1308" w:type="pct"/>
            <w:shd w:val="clear" w:color="auto" w:fill="auto"/>
            <w:vAlign w:val="center"/>
          </w:tcPr>
          <w:p w14:paraId="2A7C534D" w14:textId="77777777" w:rsidR="00FA20E2" w:rsidRPr="00E3331A" w:rsidRDefault="00FA20E2" w:rsidP="00687E6F">
            <w:pPr>
              <w:pStyle w:val="TableHeading"/>
              <w:rPr>
                <w:snapToGrid w:val="0"/>
                <w:lang w:eastAsia="en-US"/>
              </w:rPr>
            </w:pPr>
            <w:r w:rsidRPr="00E3331A">
              <w:rPr>
                <w:snapToGrid w:val="0"/>
                <w:lang w:eastAsia="en-US"/>
              </w:rPr>
              <w:t>Key outcome(s)</w:t>
            </w:r>
          </w:p>
        </w:tc>
      </w:tr>
      <w:tr w:rsidR="004130B7" w:rsidRPr="00E3331A" w14:paraId="082D1C88" w14:textId="77777777" w:rsidTr="004130B7">
        <w:tc>
          <w:tcPr>
            <w:tcW w:w="5000" w:type="pct"/>
            <w:gridSpan w:val="5"/>
            <w:shd w:val="clear" w:color="auto" w:fill="D9D9D9"/>
          </w:tcPr>
          <w:p w14:paraId="22F766BD" w14:textId="77777777" w:rsidR="004130B7" w:rsidRPr="00E3331A" w:rsidRDefault="00450059" w:rsidP="002E594A">
            <w:pPr>
              <w:pStyle w:val="Tabletext1"/>
              <w:rPr>
                <w:b/>
                <w:snapToGrid w:val="0"/>
              </w:rPr>
            </w:pPr>
            <w:r>
              <w:rPr>
                <w:b/>
              </w:rPr>
              <w:t>RCT</w:t>
            </w:r>
            <w:r w:rsidR="004130B7" w:rsidRPr="00E3331A">
              <w:rPr>
                <w:b/>
              </w:rPr>
              <w:t xml:space="preserve"> comparing </w:t>
            </w:r>
            <w:r>
              <w:rPr>
                <w:b/>
              </w:rPr>
              <w:t xml:space="preserve">two SCIg doses </w:t>
            </w:r>
            <w:r w:rsidR="002E594A">
              <w:rPr>
                <w:b/>
              </w:rPr>
              <w:t>and</w:t>
            </w:r>
            <w:r>
              <w:rPr>
                <w:b/>
              </w:rPr>
              <w:t xml:space="preserve"> placebo</w:t>
            </w:r>
          </w:p>
        </w:tc>
      </w:tr>
      <w:tr w:rsidR="00836F29" w:rsidRPr="00E3331A" w14:paraId="2CAA21DA" w14:textId="77777777" w:rsidTr="00CC4193">
        <w:tc>
          <w:tcPr>
            <w:tcW w:w="638" w:type="pct"/>
            <w:shd w:val="clear" w:color="auto" w:fill="auto"/>
          </w:tcPr>
          <w:p w14:paraId="45AC45E7" w14:textId="77777777" w:rsidR="005D0FBE" w:rsidRDefault="005D0FBE" w:rsidP="00687E6F">
            <w:pPr>
              <w:pStyle w:val="Tabletext1"/>
            </w:pPr>
            <w:bookmarkStart w:id="144" w:name="_Hlk23760445"/>
            <w:r>
              <w:t>PATH trial</w:t>
            </w:r>
          </w:p>
          <w:p w14:paraId="7D02871B" w14:textId="70AD4B58" w:rsidR="00450059" w:rsidRDefault="00B727D6" w:rsidP="00687E6F">
            <w:pPr>
              <w:pStyle w:val="Tabletext1"/>
            </w:pPr>
            <w:r>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instrText xml:space="preserve"> ADDIN EN.CITE </w:instrText>
            </w:r>
            <w:r>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instrText xml:space="preserve"> ADDIN EN.CITE.DATA </w:instrText>
            </w:r>
            <w:r>
              <w:fldChar w:fldCharType="end"/>
            </w:r>
            <w:r>
              <w:fldChar w:fldCharType="separate"/>
            </w:r>
            <w:r>
              <w:rPr>
                <w:noProof/>
              </w:rPr>
              <w:t>(</w:t>
            </w:r>
            <w:hyperlink w:anchor="_ENREF_27" w:tooltip="Hartung, 2019 #15" w:history="1">
              <w:r w:rsidR="00D726F6">
                <w:rPr>
                  <w:noProof/>
                </w:rPr>
                <w:t>Hartung et al. 2019</w:t>
              </w:r>
            </w:hyperlink>
            <w:r>
              <w:rPr>
                <w:noProof/>
              </w:rPr>
              <w:t>)</w:t>
            </w:r>
            <w:r>
              <w:fldChar w:fldCharType="end"/>
            </w:r>
          </w:p>
          <w:p w14:paraId="65060EFE" w14:textId="43307491" w:rsidR="00836F29" w:rsidRPr="00E3331A" w:rsidRDefault="00B727D6" w:rsidP="00D726F6">
            <w:pPr>
              <w:pStyle w:val="Tabletext1"/>
            </w:pPr>
            <w:r>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instrText xml:space="preserve"> ADDIN EN.CITE </w:instrText>
            </w:r>
            <w:r>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instrText xml:space="preserve"> ADDIN EN.CITE.DATA </w:instrText>
            </w:r>
            <w:r>
              <w:fldChar w:fldCharType="end"/>
            </w:r>
            <w:r>
              <w:fldChar w:fldCharType="separate"/>
            </w:r>
            <w:r>
              <w:rPr>
                <w:noProof/>
              </w:rPr>
              <w:t>(</w:t>
            </w:r>
            <w:hyperlink w:anchor="_ENREF_74" w:tooltip="van Schaik, 2018 #23" w:history="1">
              <w:r w:rsidR="00D726F6">
                <w:rPr>
                  <w:noProof/>
                </w:rPr>
                <w:t>van Schaik, Ivo N. et al. 2018</w:t>
              </w:r>
            </w:hyperlink>
            <w:r>
              <w:rPr>
                <w:noProof/>
              </w:rPr>
              <w:t>)</w:t>
            </w:r>
            <w:r>
              <w:fldChar w:fldCharType="end"/>
            </w:r>
          </w:p>
        </w:tc>
        <w:tc>
          <w:tcPr>
            <w:tcW w:w="774" w:type="pct"/>
            <w:shd w:val="clear" w:color="auto" w:fill="auto"/>
            <w:vAlign w:val="center"/>
          </w:tcPr>
          <w:p w14:paraId="347A0D9A" w14:textId="77777777" w:rsidR="00450059" w:rsidRDefault="00836F29" w:rsidP="00687E6F">
            <w:pPr>
              <w:pStyle w:val="Tabletext1"/>
              <w:rPr>
                <w:snapToGrid w:val="0"/>
              </w:rPr>
            </w:pPr>
            <w:r>
              <w:rPr>
                <w:snapToGrid w:val="0"/>
              </w:rPr>
              <w:t>1. SCIg 0.2 g/kg</w:t>
            </w:r>
          </w:p>
          <w:p w14:paraId="496892EE" w14:textId="77777777" w:rsidR="00836F29" w:rsidRDefault="00836F29" w:rsidP="00687E6F">
            <w:pPr>
              <w:pStyle w:val="Tabletext1"/>
              <w:rPr>
                <w:snapToGrid w:val="0"/>
              </w:rPr>
            </w:pPr>
            <w:r>
              <w:rPr>
                <w:snapToGrid w:val="0"/>
              </w:rPr>
              <w:t>2. SCIg 0.4 g/kg</w:t>
            </w:r>
          </w:p>
          <w:p w14:paraId="4BD980F6" w14:textId="77777777" w:rsidR="00836F29" w:rsidRDefault="00836F29" w:rsidP="00687E6F">
            <w:pPr>
              <w:pStyle w:val="Tabletext1"/>
              <w:rPr>
                <w:snapToGrid w:val="0"/>
              </w:rPr>
            </w:pPr>
            <w:r>
              <w:rPr>
                <w:snapToGrid w:val="0"/>
              </w:rPr>
              <w:t>3. placebo</w:t>
            </w:r>
          </w:p>
          <w:p w14:paraId="723548A9" w14:textId="77777777" w:rsidR="00836F29" w:rsidRPr="00E3331A" w:rsidRDefault="00836F29" w:rsidP="00687E6F">
            <w:pPr>
              <w:pStyle w:val="Tabletext1"/>
              <w:rPr>
                <w:snapToGrid w:val="0"/>
              </w:rPr>
            </w:pPr>
            <w:r>
              <w:rPr>
                <w:snapToGrid w:val="0"/>
              </w:rPr>
              <w:t>172</w:t>
            </w:r>
          </w:p>
        </w:tc>
        <w:tc>
          <w:tcPr>
            <w:tcW w:w="944" w:type="pct"/>
            <w:shd w:val="clear" w:color="auto" w:fill="auto"/>
            <w:vAlign w:val="center"/>
          </w:tcPr>
          <w:p w14:paraId="01317FCC" w14:textId="77777777" w:rsidR="00450059" w:rsidRDefault="00063EBD" w:rsidP="00687E6F">
            <w:pPr>
              <w:pStyle w:val="Tabletext1"/>
              <w:rPr>
                <w:snapToGrid w:val="0"/>
              </w:rPr>
            </w:pPr>
            <w:r>
              <w:rPr>
                <w:snapToGrid w:val="0"/>
              </w:rPr>
              <w:t xml:space="preserve">MC DB </w:t>
            </w:r>
            <w:r w:rsidR="00450059">
              <w:rPr>
                <w:snapToGrid w:val="0"/>
              </w:rPr>
              <w:t>RCT</w:t>
            </w:r>
            <w:r w:rsidR="00A67B7D">
              <w:rPr>
                <w:snapToGrid w:val="0"/>
              </w:rPr>
              <w:t xml:space="preserve"> (no CO)</w:t>
            </w:r>
          </w:p>
          <w:p w14:paraId="63006716" w14:textId="77777777" w:rsidR="00836F29" w:rsidRDefault="00836F29" w:rsidP="00687E6F">
            <w:pPr>
              <w:pStyle w:val="Tabletext1"/>
              <w:rPr>
                <w:snapToGrid w:val="0"/>
              </w:rPr>
            </w:pPr>
            <w:r>
              <w:rPr>
                <w:snapToGrid w:val="0"/>
              </w:rPr>
              <w:t>25 weeks</w:t>
            </w:r>
          </w:p>
          <w:p w14:paraId="217F96C1" w14:textId="77777777" w:rsidR="00836F29" w:rsidRPr="00E3331A" w:rsidRDefault="00836F29" w:rsidP="00687E6F">
            <w:pPr>
              <w:pStyle w:val="Tabletext1"/>
              <w:rPr>
                <w:snapToGrid w:val="0"/>
              </w:rPr>
            </w:pPr>
            <w:r>
              <w:rPr>
                <w:snapToGrid w:val="0"/>
              </w:rPr>
              <w:t>Low</w:t>
            </w:r>
          </w:p>
        </w:tc>
        <w:tc>
          <w:tcPr>
            <w:tcW w:w="1336" w:type="pct"/>
            <w:shd w:val="clear" w:color="auto" w:fill="auto"/>
            <w:vAlign w:val="center"/>
          </w:tcPr>
          <w:p w14:paraId="36C72E4D" w14:textId="77777777" w:rsidR="00450059" w:rsidRPr="00E3331A" w:rsidRDefault="00836F29" w:rsidP="00687E6F">
            <w:pPr>
              <w:pStyle w:val="Tabletext1"/>
            </w:pPr>
            <w:r w:rsidRPr="00836F29">
              <w:t>PATH subjects</w:t>
            </w:r>
            <w:r>
              <w:t xml:space="preserve"> with CIDP</w:t>
            </w:r>
            <w:r w:rsidRPr="00836F29">
              <w:t>; relapse during the Ig dependency per</w:t>
            </w:r>
            <w:r>
              <w:t>i</w:t>
            </w:r>
            <w:r w:rsidRPr="00836F29">
              <w:t>o</w:t>
            </w:r>
            <w:r>
              <w:t>d</w:t>
            </w:r>
            <w:r w:rsidRPr="00836F29">
              <w:t>; successful stabilisation using 10% IVIg solution (2 g/kg followed by 1g/kg every 3 weeks)</w:t>
            </w:r>
          </w:p>
        </w:tc>
        <w:tc>
          <w:tcPr>
            <w:tcW w:w="1308" w:type="pct"/>
            <w:shd w:val="clear" w:color="auto" w:fill="auto"/>
            <w:vAlign w:val="center"/>
          </w:tcPr>
          <w:p w14:paraId="1247FEB1" w14:textId="77777777" w:rsidR="00450059" w:rsidRDefault="00836F29" w:rsidP="00687E6F">
            <w:pPr>
              <w:pStyle w:val="Tabletext1"/>
              <w:rPr>
                <w:snapToGrid w:val="0"/>
              </w:rPr>
            </w:pPr>
            <w:r>
              <w:rPr>
                <w:snapToGrid w:val="0"/>
              </w:rPr>
              <w:t>QoL</w:t>
            </w:r>
            <w:r w:rsidR="00954022">
              <w:rPr>
                <w:snapToGrid w:val="0"/>
              </w:rPr>
              <w:t xml:space="preserve"> </w:t>
            </w:r>
            <w:r>
              <w:rPr>
                <w:snapToGrid w:val="0"/>
              </w:rPr>
              <w:t>(EQ-5D, EQ-VAS)</w:t>
            </w:r>
          </w:p>
          <w:p w14:paraId="6F02810C" w14:textId="77777777" w:rsidR="00836F29" w:rsidRDefault="00836F29" w:rsidP="00687E6F">
            <w:pPr>
              <w:pStyle w:val="Tabletext1"/>
              <w:rPr>
                <w:snapToGrid w:val="0"/>
              </w:rPr>
            </w:pPr>
            <w:r>
              <w:rPr>
                <w:snapToGrid w:val="0"/>
              </w:rPr>
              <w:t>Treatment satisfaction (TQSM)</w:t>
            </w:r>
          </w:p>
          <w:p w14:paraId="4E1DA4C4" w14:textId="77777777" w:rsidR="00836F29" w:rsidRDefault="00836F29" w:rsidP="00687E6F">
            <w:pPr>
              <w:pStyle w:val="Tabletext1"/>
              <w:rPr>
                <w:snapToGrid w:val="0"/>
              </w:rPr>
            </w:pPr>
            <w:r>
              <w:rPr>
                <w:snapToGrid w:val="0"/>
              </w:rPr>
              <w:t>Work impact (WPAI-GH)</w:t>
            </w:r>
          </w:p>
          <w:p w14:paraId="6246D356" w14:textId="77777777" w:rsidR="00CC4193" w:rsidRDefault="00CC4193" w:rsidP="00687E6F">
            <w:pPr>
              <w:pStyle w:val="Tabletext1"/>
              <w:rPr>
                <w:snapToGrid w:val="0"/>
              </w:rPr>
            </w:pPr>
            <w:r>
              <w:rPr>
                <w:snapToGrid w:val="0"/>
              </w:rPr>
              <w:t>Relapse rate</w:t>
            </w:r>
          </w:p>
          <w:p w14:paraId="522665CE" w14:textId="77777777" w:rsidR="00CC4193" w:rsidRDefault="00CC4193" w:rsidP="00687E6F">
            <w:pPr>
              <w:pStyle w:val="Tabletext1"/>
              <w:rPr>
                <w:snapToGrid w:val="0"/>
              </w:rPr>
            </w:pPr>
            <w:r>
              <w:rPr>
                <w:snapToGrid w:val="0"/>
              </w:rPr>
              <w:t>Withdrawal rate</w:t>
            </w:r>
          </w:p>
          <w:p w14:paraId="261C6854" w14:textId="77777777" w:rsidR="00CC4193" w:rsidRDefault="00CC4193" w:rsidP="00687E6F">
            <w:pPr>
              <w:pStyle w:val="Tabletext1"/>
              <w:rPr>
                <w:snapToGrid w:val="0"/>
              </w:rPr>
            </w:pPr>
            <w:r>
              <w:rPr>
                <w:snapToGrid w:val="0"/>
              </w:rPr>
              <w:t>INCAT score</w:t>
            </w:r>
          </w:p>
          <w:p w14:paraId="2ADB25D9" w14:textId="77777777" w:rsidR="00CC4193" w:rsidRDefault="00CC4193" w:rsidP="00687E6F">
            <w:pPr>
              <w:pStyle w:val="Tabletext1"/>
              <w:rPr>
                <w:snapToGrid w:val="0"/>
              </w:rPr>
            </w:pPr>
            <w:r>
              <w:rPr>
                <w:snapToGrid w:val="0"/>
              </w:rPr>
              <w:t>Mean grip strength</w:t>
            </w:r>
          </w:p>
          <w:p w14:paraId="3447CCAD" w14:textId="77777777" w:rsidR="00CC4193" w:rsidRDefault="00CC4193" w:rsidP="00687E6F">
            <w:pPr>
              <w:pStyle w:val="Tabletext1"/>
              <w:rPr>
                <w:snapToGrid w:val="0"/>
              </w:rPr>
            </w:pPr>
            <w:r>
              <w:rPr>
                <w:snapToGrid w:val="0"/>
              </w:rPr>
              <w:t>MRC sum score</w:t>
            </w:r>
          </w:p>
          <w:p w14:paraId="4183D054" w14:textId="77777777" w:rsidR="00CC4193" w:rsidRDefault="00CC4193" w:rsidP="00687E6F">
            <w:pPr>
              <w:pStyle w:val="Tabletext1"/>
              <w:rPr>
                <w:snapToGrid w:val="0"/>
              </w:rPr>
            </w:pPr>
            <w:r>
              <w:rPr>
                <w:snapToGrid w:val="0"/>
              </w:rPr>
              <w:t>IRODS</w:t>
            </w:r>
          </w:p>
          <w:p w14:paraId="78DC0B4B" w14:textId="77777777" w:rsidR="00CC4193" w:rsidRPr="00E3331A" w:rsidRDefault="00CC4193" w:rsidP="00687E6F">
            <w:pPr>
              <w:pStyle w:val="Tabletext1"/>
              <w:rPr>
                <w:snapToGrid w:val="0"/>
              </w:rPr>
            </w:pPr>
            <w:r>
              <w:rPr>
                <w:snapToGrid w:val="0"/>
              </w:rPr>
              <w:t>AEs</w:t>
            </w:r>
          </w:p>
        </w:tc>
      </w:tr>
      <w:tr w:rsidR="004130B7" w:rsidRPr="00E3331A" w14:paraId="034712FC" w14:textId="77777777" w:rsidTr="004130B7">
        <w:tc>
          <w:tcPr>
            <w:tcW w:w="5000" w:type="pct"/>
            <w:gridSpan w:val="5"/>
            <w:shd w:val="clear" w:color="auto" w:fill="D9D9D9"/>
          </w:tcPr>
          <w:p w14:paraId="15E1675D" w14:textId="77777777" w:rsidR="004130B7" w:rsidRPr="00E3331A" w:rsidRDefault="00450059" w:rsidP="00450059">
            <w:pPr>
              <w:pStyle w:val="Tabletext1"/>
              <w:rPr>
                <w:rFonts w:cs="Times New Roman"/>
                <w:b/>
              </w:rPr>
            </w:pPr>
            <w:r>
              <w:rPr>
                <w:b/>
              </w:rPr>
              <w:t>RCT</w:t>
            </w:r>
            <w:r w:rsidR="004130B7" w:rsidRPr="00E3331A">
              <w:rPr>
                <w:b/>
              </w:rPr>
              <w:t xml:space="preserve"> comparing </w:t>
            </w:r>
            <w:r>
              <w:rPr>
                <w:b/>
              </w:rPr>
              <w:t>two IVIg dosing regimens</w:t>
            </w:r>
          </w:p>
        </w:tc>
      </w:tr>
      <w:tr w:rsidR="00836F29" w:rsidRPr="00E3331A" w14:paraId="60E1CDAB" w14:textId="77777777" w:rsidTr="00CC4193">
        <w:tc>
          <w:tcPr>
            <w:tcW w:w="638" w:type="pct"/>
            <w:shd w:val="clear" w:color="auto" w:fill="auto"/>
          </w:tcPr>
          <w:p w14:paraId="58B009DD" w14:textId="77777777" w:rsidR="00500104" w:rsidRDefault="00500104" w:rsidP="00500104">
            <w:pPr>
              <w:pStyle w:val="Tabletext1"/>
            </w:pPr>
            <w:r>
              <w:t>IVIg DOSE</w:t>
            </w:r>
          </w:p>
          <w:p w14:paraId="74774597" w14:textId="34F4B36C" w:rsidR="00450059" w:rsidRPr="00E3331A" w:rsidRDefault="00B727D6" w:rsidP="00D726F6">
            <w:pPr>
              <w:pStyle w:val="Tabletext1"/>
            </w:pPr>
            <w:r>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instrText xml:space="preserve"> ADDIN EN.CITE </w:instrText>
            </w:r>
            <w:r>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instrText xml:space="preserve"> ADDIN EN.CITE.DATA </w:instrText>
            </w:r>
            <w:r>
              <w:fldChar w:fldCharType="end"/>
            </w:r>
            <w:r>
              <w:fldChar w:fldCharType="separate"/>
            </w:r>
            <w:r>
              <w:rPr>
                <w:noProof/>
              </w:rPr>
              <w:t>(</w:t>
            </w:r>
            <w:hyperlink w:anchor="_ENREF_33" w:tooltip="Kuitwaard, 2020 #16" w:history="1">
              <w:r w:rsidR="00D726F6">
                <w:rPr>
                  <w:noProof/>
                </w:rPr>
                <w:t>Kuitwaard et al. 2020b</w:t>
              </w:r>
            </w:hyperlink>
            <w:r>
              <w:rPr>
                <w:noProof/>
              </w:rPr>
              <w:t>)</w:t>
            </w:r>
            <w:r>
              <w:fldChar w:fldCharType="end"/>
            </w:r>
          </w:p>
        </w:tc>
        <w:tc>
          <w:tcPr>
            <w:tcW w:w="774" w:type="pct"/>
            <w:shd w:val="clear" w:color="auto" w:fill="auto"/>
            <w:vAlign w:val="center"/>
          </w:tcPr>
          <w:p w14:paraId="1EB5AEB0" w14:textId="77777777" w:rsidR="00B51D9D" w:rsidRPr="00B51D9D" w:rsidRDefault="00B51D9D" w:rsidP="00B51D9D">
            <w:pPr>
              <w:pStyle w:val="Tabletext1"/>
              <w:rPr>
                <w:snapToGrid w:val="0"/>
              </w:rPr>
            </w:pPr>
            <w:r>
              <w:rPr>
                <w:snapToGrid w:val="0"/>
              </w:rPr>
              <w:t>I</w:t>
            </w:r>
            <w:r w:rsidRPr="00B51D9D">
              <w:rPr>
                <w:snapToGrid w:val="0"/>
              </w:rPr>
              <w:t>. IVIg full dose &amp; interval (</w:t>
            </w:r>
            <w:r w:rsidR="00063EBD" w:rsidRPr="00B51D9D">
              <w:rPr>
                <w:snapToGrid w:val="0"/>
              </w:rPr>
              <w:t>indiv</w:t>
            </w:r>
            <w:r w:rsidR="00063EBD">
              <w:rPr>
                <w:snapToGrid w:val="0"/>
              </w:rPr>
              <w:t>i</w:t>
            </w:r>
            <w:r w:rsidR="00063EBD" w:rsidRPr="00B51D9D">
              <w:rPr>
                <w:snapToGrid w:val="0"/>
              </w:rPr>
              <w:t>dualised</w:t>
            </w:r>
            <w:r w:rsidRPr="00B51D9D">
              <w:rPr>
                <w:snapToGrid w:val="0"/>
              </w:rPr>
              <w:t xml:space="preserve"> to patient)</w:t>
            </w:r>
          </w:p>
          <w:p w14:paraId="3AFB6117" w14:textId="77777777" w:rsidR="00450059" w:rsidRDefault="00B51D9D" w:rsidP="00B51D9D">
            <w:pPr>
              <w:pStyle w:val="Tabletext1"/>
              <w:rPr>
                <w:snapToGrid w:val="0"/>
              </w:rPr>
            </w:pPr>
            <w:r>
              <w:rPr>
                <w:snapToGrid w:val="0"/>
              </w:rPr>
              <w:t>C</w:t>
            </w:r>
            <w:r w:rsidRPr="00B51D9D">
              <w:rPr>
                <w:snapToGrid w:val="0"/>
              </w:rPr>
              <w:t xml:space="preserve">. IVIg half dose &amp; interval </w:t>
            </w:r>
          </w:p>
          <w:p w14:paraId="58C89050" w14:textId="77777777" w:rsidR="000B6DBB" w:rsidRPr="00E3331A" w:rsidRDefault="000B6DBB" w:rsidP="00B51D9D">
            <w:pPr>
              <w:pStyle w:val="Tabletext1"/>
              <w:rPr>
                <w:snapToGrid w:val="0"/>
              </w:rPr>
            </w:pPr>
            <w:r>
              <w:rPr>
                <w:snapToGrid w:val="0"/>
              </w:rPr>
              <w:t>25</w:t>
            </w:r>
          </w:p>
        </w:tc>
        <w:tc>
          <w:tcPr>
            <w:tcW w:w="944" w:type="pct"/>
            <w:tcBorders>
              <w:bottom w:val="single" w:sz="4" w:space="0" w:color="auto"/>
            </w:tcBorders>
            <w:shd w:val="clear" w:color="auto" w:fill="auto"/>
            <w:vAlign w:val="center"/>
          </w:tcPr>
          <w:p w14:paraId="2155288D" w14:textId="77777777" w:rsidR="00450059" w:rsidRDefault="00B51D9D" w:rsidP="0070784F">
            <w:pPr>
              <w:pStyle w:val="Tabletext1"/>
              <w:rPr>
                <w:snapToGrid w:val="0"/>
              </w:rPr>
            </w:pPr>
            <w:r>
              <w:rPr>
                <w:snapToGrid w:val="0"/>
              </w:rPr>
              <w:t xml:space="preserve">CO </w:t>
            </w:r>
            <w:r w:rsidR="00954022">
              <w:rPr>
                <w:snapToGrid w:val="0"/>
              </w:rPr>
              <w:t>D</w:t>
            </w:r>
            <w:r w:rsidR="00D338E6">
              <w:rPr>
                <w:snapToGrid w:val="0"/>
              </w:rPr>
              <w:t xml:space="preserve">B </w:t>
            </w:r>
            <w:r>
              <w:rPr>
                <w:snapToGrid w:val="0"/>
              </w:rPr>
              <w:t>RCT</w:t>
            </w:r>
          </w:p>
          <w:p w14:paraId="5B017ABE" w14:textId="77777777" w:rsidR="00B51D9D" w:rsidRDefault="00B51D9D" w:rsidP="0070784F">
            <w:pPr>
              <w:pStyle w:val="Tabletext1"/>
              <w:rPr>
                <w:snapToGrid w:val="0"/>
              </w:rPr>
            </w:pPr>
            <w:r>
              <w:rPr>
                <w:snapToGrid w:val="0"/>
              </w:rPr>
              <w:t>Duration variable: 1 baseline infusion, 2x 4 blind infusions separated by 2 wash-out infusions</w:t>
            </w:r>
          </w:p>
          <w:p w14:paraId="62CEBCD6" w14:textId="77777777" w:rsidR="00B51D9D" w:rsidRPr="00E3331A" w:rsidRDefault="00B51D9D" w:rsidP="0070784F">
            <w:pPr>
              <w:pStyle w:val="Tabletext1"/>
              <w:rPr>
                <w:snapToGrid w:val="0"/>
              </w:rPr>
            </w:pPr>
            <w:r>
              <w:rPr>
                <w:snapToGrid w:val="0"/>
              </w:rPr>
              <w:t xml:space="preserve">Moderate </w:t>
            </w:r>
          </w:p>
        </w:tc>
        <w:tc>
          <w:tcPr>
            <w:tcW w:w="1336" w:type="pct"/>
            <w:tcBorders>
              <w:bottom w:val="single" w:sz="4" w:space="0" w:color="auto"/>
            </w:tcBorders>
            <w:shd w:val="clear" w:color="auto" w:fill="auto"/>
            <w:vAlign w:val="center"/>
          </w:tcPr>
          <w:p w14:paraId="302F5A93" w14:textId="77777777" w:rsidR="00450059" w:rsidRPr="00E3331A" w:rsidRDefault="00B51D9D" w:rsidP="0070784F">
            <w:pPr>
              <w:pStyle w:val="Tabletext1"/>
            </w:pPr>
            <w:r w:rsidRPr="00B51D9D">
              <w:t>CIDP based on FNS/PNS criteria; stable dose and interval of 10% liquid IVIg maintenance therapy; deterioration based on Martin Vigorimeter following dose reduction or interval lengthening within 9 mo prior to randomisation</w:t>
            </w:r>
          </w:p>
        </w:tc>
        <w:tc>
          <w:tcPr>
            <w:tcW w:w="1308" w:type="pct"/>
            <w:tcBorders>
              <w:bottom w:val="single" w:sz="4" w:space="0" w:color="auto"/>
            </w:tcBorders>
            <w:shd w:val="clear" w:color="auto" w:fill="auto"/>
          </w:tcPr>
          <w:p w14:paraId="23B28468" w14:textId="77777777" w:rsidR="00B51D9D" w:rsidRPr="00B51D9D" w:rsidRDefault="00B51D9D" w:rsidP="00B51D9D">
            <w:pPr>
              <w:spacing w:after="60" w:line="240" w:lineRule="auto"/>
              <w:rPr>
                <w:rFonts w:ascii="Arial Narrow" w:hAnsi="Arial Narrow" w:cs="Times New Roman"/>
                <w:sz w:val="20"/>
                <w:szCs w:val="20"/>
              </w:rPr>
            </w:pPr>
            <w:r w:rsidRPr="00B51D9D">
              <w:rPr>
                <w:rFonts w:ascii="Arial Narrow" w:hAnsi="Arial Narrow" w:cs="Times New Roman"/>
                <w:sz w:val="20"/>
                <w:szCs w:val="20"/>
              </w:rPr>
              <w:t>Hand grip strength (Martin Vigorimeter)</w:t>
            </w:r>
          </w:p>
          <w:p w14:paraId="128E5CCE" w14:textId="77777777" w:rsidR="00B51D9D" w:rsidRPr="00B51D9D" w:rsidRDefault="00B51D9D" w:rsidP="00B51D9D">
            <w:pPr>
              <w:spacing w:after="60" w:line="240" w:lineRule="auto"/>
              <w:rPr>
                <w:rFonts w:ascii="Arial Narrow" w:hAnsi="Arial Narrow" w:cs="Times New Roman"/>
                <w:sz w:val="20"/>
                <w:szCs w:val="20"/>
              </w:rPr>
            </w:pPr>
            <w:r w:rsidRPr="00B51D9D">
              <w:rPr>
                <w:rFonts w:ascii="Arial Narrow" w:hAnsi="Arial Narrow" w:cs="Times New Roman"/>
                <w:sz w:val="20"/>
                <w:szCs w:val="20"/>
              </w:rPr>
              <w:t>Health related QoL (SF-36)</w:t>
            </w:r>
          </w:p>
          <w:p w14:paraId="7A8B0833" w14:textId="77777777" w:rsidR="00B51D9D" w:rsidRPr="00B51D9D" w:rsidRDefault="00B51D9D" w:rsidP="00B51D9D">
            <w:pPr>
              <w:spacing w:after="60" w:line="240" w:lineRule="auto"/>
              <w:rPr>
                <w:rFonts w:ascii="Arial Narrow" w:hAnsi="Arial Narrow" w:cs="Times New Roman"/>
                <w:sz w:val="20"/>
                <w:szCs w:val="20"/>
              </w:rPr>
            </w:pPr>
            <w:r w:rsidRPr="00B51D9D">
              <w:rPr>
                <w:rFonts w:ascii="Arial Narrow" w:hAnsi="Arial Narrow" w:cs="Times New Roman"/>
                <w:sz w:val="20"/>
                <w:szCs w:val="20"/>
              </w:rPr>
              <w:t>Disability (IRODS)</w:t>
            </w:r>
          </w:p>
          <w:p w14:paraId="42C683AA" w14:textId="77777777" w:rsidR="00B51D9D" w:rsidRPr="00B51D9D" w:rsidRDefault="00B51D9D" w:rsidP="00B51D9D">
            <w:pPr>
              <w:spacing w:after="60" w:line="240" w:lineRule="auto"/>
              <w:rPr>
                <w:rFonts w:ascii="Arial Narrow" w:hAnsi="Arial Narrow" w:cs="Times New Roman"/>
                <w:sz w:val="20"/>
                <w:szCs w:val="20"/>
              </w:rPr>
            </w:pPr>
            <w:r w:rsidRPr="00B51D9D">
              <w:rPr>
                <w:rFonts w:ascii="Arial Narrow" w:hAnsi="Arial Narrow" w:cs="Times New Roman"/>
                <w:sz w:val="20"/>
                <w:szCs w:val="20"/>
              </w:rPr>
              <w:t>Fatigue (RFSS)</w:t>
            </w:r>
          </w:p>
          <w:p w14:paraId="54B5E367" w14:textId="77777777" w:rsidR="00450059" w:rsidRPr="00E3331A" w:rsidRDefault="00B51D9D" w:rsidP="00B51D9D">
            <w:pPr>
              <w:spacing w:after="60" w:line="240" w:lineRule="auto"/>
              <w:rPr>
                <w:rFonts w:ascii="Arial Narrow" w:hAnsi="Arial Narrow" w:cs="Times New Roman"/>
                <w:sz w:val="20"/>
                <w:szCs w:val="20"/>
              </w:rPr>
            </w:pPr>
            <w:r w:rsidRPr="00B51D9D">
              <w:rPr>
                <w:rFonts w:ascii="Arial Narrow" w:hAnsi="Arial Narrow" w:cs="Times New Roman"/>
                <w:sz w:val="20"/>
                <w:szCs w:val="20"/>
              </w:rPr>
              <w:t>S</w:t>
            </w:r>
            <w:r w:rsidR="00954022">
              <w:rPr>
                <w:rFonts w:ascii="Arial Narrow" w:hAnsi="Arial Narrow" w:cs="Times New Roman"/>
                <w:sz w:val="20"/>
                <w:szCs w:val="20"/>
              </w:rPr>
              <w:t xml:space="preserve">erious </w:t>
            </w:r>
            <w:r w:rsidRPr="00B51D9D">
              <w:rPr>
                <w:rFonts w:ascii="Arial Narrow" w:hAnsi="Arial Narrow" w:cs="Times New Roman"/>
                <w:sz w:val="20"/>
                <w:szCs w:val="20"/>
              </w:rPr>
              <w:t>AEs</w:t>
            </w:r>
          </w:p>
        </w:tc>
      </w:tr>
    </w:tbl>
    <w:bookmarkEnd w:id="143"/>
    <w:bookmarkEnd w:id="144"/>
    <w:p w14:paraId="519BFE80" w14:textId="77777777" w:rsidR="000B6DBB" w:rsidRPr="00E3331A" w:rsidRDefault="000B6DBB" w:rsidP="000B6DBB">
      <w:pPr>
        <w:pStyle w:val="Tablenotes1"/>
        <w:jc w:val="both"/>
        <w:rPr>
          <w:rStyle w:val="TablenotesChar0"/>
        </w:rPr>
      </w:pPr>
      <w:r w:rsidRPr="000B6DBB">
        <w:rPr>
          <w:rStyle w:val="TablenotesChar0"/>
        </w:rPr>
        <w:t>Abbreviations: AE = adverse event; C = comparator; CIDP = chronic inflammatory demyelinating polyneuropathy; CO = crossover; DB = double</w:t>
      </w:r>
      <w:r>
        <w:rPr>
          <w:rStyle w:val="TablenotesChar0"/>
        </w:rPr>
        <w:t>-</w:t>
      </w:r>
      <w:r w:rsidRPr="000B6DBB">
        <w:rPr>
          <w:rStyle w:val="TablenotesChar0"/>
        </w:rPr>
        <w:t xml:space="preserve">blind; I = intervention; EQ-5D = EuroQol 5-dimension health profile; EQ-VAS = EuroQoL health status visual analogue scale; INCAT = </w:t>
      </w:r>
      <w:r w:rsidRPr="000B6DBB">
        <w:t>Inflammatory Neuropathy Cause and Treatment;</w:t>
      </w:r>
      <w:r w:rsidRPr="000B6DBB">
        <w:rPr>
          <w:rStyle w:val="TablenotesChar0"/>
        </w:rPr>
        <w:t xml:space="preserve"> </w:t>
      </w:r>
      <w:r w:rsidRPr="000B6DBB">
        <w:t xml:space="preserve">IRODS = Rasch-built Overall Disability Scale; IVIg = intravenous immunoglobulin; </w:t>
      </w:r>
      <w:r w:rsidRPr="000B6DBB">
        <w:rPr>
          <w:rStyle w:val="TablenotesChar0"/>
        </w:rPr>
        <w:t>MC = multicentre;</w:t>
      </w:r>
      <w:r w:rsidRPr="000B6DBB">
        <w:t xml:space="preserve"> MRC = Medical Research Council</w:t>
      </w:r>
      <w:r>
        <w:t xml:space="preserve"> Sum Score</w:t>
      </w:r>
      <w:r w:rsidRPr="000B6DBB">
        <w:t>; QoL = quality of life; RCT = randomised controlled trial; RFSS = Rasch-built Fatigue Severity Scale; SCIg = subcutaneous immunoglobulin; SF-36 = 36-item short form health survey; TQSM = Treatment Satisfaction Questionnaire for Medicine; WPAI-GH = Work Productivity and Activity Impairment Questionnaire for General Health</w:t>
      </w:r>
    </w:p>
    <w:p w14:paraId="687F451F" w14:textId="1F6E0309" w:rsidR="00FC4AE2" w:rsidRDefault="00954022" w:rsidP="00543D38">
      <w:pPr>
        <w:jc w:val="both"/>
      </w:pPr>
      <w:r>
        <w:t>The study by Hartung et al (</w:t>
      </w:r>
      <w:r w:rsidR="00F25F21">
        <w:t>2019</w:t>
      </w:r>
      <w:r>
        <w:t xml:space="preserve">) provided patient reported outcomes (PROs) </w:t>
      </w:r>
      <w:r w:rsidR="005C5AF7">
        <w:t xml:space="preserve">for randomised subjects </w:t>
      </w:r>
      <w:r>
        <w:t xml:space="preserve">of the PATH trial. </w:t>
      </w:r>
      <w:r w:rsidR="005C5AF7">
        <w:t xml:space="preserve">The PATH trial randomised patients with CIDP to one of two doses of SCIg (0.2 g/kg or 0.4 g/kg) or placebo. If patients </w:t>
      </w:r>
      <w:r w:rsidR="00F25F21">
        <w:t>relapsed,</w:t>
      </w:r>
      <w:r w:rsidR="005C5AF7">
        <w:t xml:space="preserve"> they were stabilised with IVIg. </w:t>
      </w:r>
      <w:r w:rsidR="00094FAC">
        <w:t>Other outcomes measured in this tri</w:t>
      </w:r>
      <w:r w:rsidR="005623EE">
        <w:t>a</w:t>
      </w:r>
      <w:r w:rsidR="00094FAC">
        <w:t>l, including the p</w:t>
      </w:r>
      <w:r w:rsidR="00C85F32">
        <w:t>rimary e</w:t>
      </w:r>
      <w:r w:rsidR="005C5AF7">
        <w:t>ffectiveness outcomes (relapse rate</w:t>
      </w:r>
      <w:r w:rsidR="00C85F32">
        <w:t xml:space="preserve"> and</w:t>
      </w:r>
      <w:r w:rsidR="005C5AF7">
        <w:t xml:space="preserve"> </w:t>
      </w:r>
      <w:r w:rsidR="00C85F32">
        <w:t xml:space="preserve">withdrawal rate during the SCIg treatment phase) and secondary outcomes (time to primary endpoint, INCAT score, mean grip strength, MRC sum score, and </w:t>
      </w:r>
      <w:r w:rsidR="00C224E9">
        <w:t>IRODS</w:t>
      </w:r>
      <w:r w:rsidR="00C85F32">
        <w:t xml:space="preserve">) were reported in an earlier article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r w:rsidR="00B727D6">
        <w:fldChar w:fldCharType="end"/>
      </w:r>
      <w:r w:rsidR="00C85F32">
        <w:t xml:space="preserve">. </w:t>
      </w:r>
      <w:r w:rsidR="00094FAC">
        <w:t xml:space="preserve">This paper by </w:t>
      </w:r>
      <w:r w:rsidR="00C85F32">
        <w:t xml:space="preserve">Van Schaik et al did not meet the eligibility criteria for the </w:t>
      </w:r>
      <w:r w:rsidR="00914B37">
        <w:t>DCAR 1564</w:t>
      </w:r>
      <w:r w:rsidR="00C85F32">
        <w:t xml:space="preserve"> Update report</w:t>
      </w:r>
      <w:r w:rsidR="00094FAC">
        <w:t xml:space="preserve"> because it fell outside the date range used in the search. H</w:t>
      </w:r>
      <w:r w:rsidR="00C85F32">
        <w:t xml:space="preserve">owever, as the effectiveness outcomes of the PATH trial were not included in the </w:t>
      </w:r>
      <w:r w:rsidR="0067316B">
        <w:t>i</w:t>
      </w:r>
      <w:r w:rsidR="00C85F32">
        <w:t xml:space="preserve">nitial </w:t>
      </w:r>
      <w:r w:rsidR="00914B37">
        <w:t>DCAR 1564</w:t>
      </w:r>
      <w:r w:rsidR="00C85F32">
        <w:t xml:space="preserve"> Review, </w:t>
      </w:r>
      <w:r w:rsidR="00CC4193">
        <w:t>and MSAC has specifically requested data for SCIg maintenance,</w:t>
      </w:r>
      <w:r w:rsidR="001A2836">
        <w:t xml:space="preserve"> therefore</w:t>
      </w:r>
      <w:r w:rsidR="00CC4193">
        <w:t xml:space="preserve"> </w:t>
      </w:r>
      <w:r w:rsidR="00C85F32">
        <w:t>they have been added to Section B.</w:t>
      </w:r>
      <w:r w:rsidR="0067316B">
        <w:t>6</w:t>
      </w:r>
      <w:r w:rsidR="00C85F32">
        <w:t>. Safety data from the article by van Schaik et al. (2018) have also been included in Section B.</w:t>
      </w:r>
      <w:r w:rsidR="0067316B">
        <w:t>6</w:t>
      </w:r>
      <w:r w:rsidR="00C85F32">
        <w:t>.</w:t>
      </w:r>
    </w:p>
    <w:p w14:paraId="758BA12E" w14:textId="77777777" w:rsidR="00FC4AE2" w:rsidRDefault="00C85F32" w:rsidP="00543D38">
      <w:pPr>
        <w:jc w:val="both"/>
      </w:pPr>
      <w:r>
        <w:t>The PATH trial included adults meeting the EFNS/PNS 2010 criteria, if they received their last IVIg treatment at least 8 weeks prior to enrolment</w:t>
      </w:r>
      <w:r w:rsidR="00CC4193">
        <w:t xml:space="preserve">. Randomisation was performed by a central facility </w:t>
      </w:r>
      <w:r w:rsidR="00094FAC">
        <w:t xml:space="preserve">and </w:t>
      </w:r>
      <w:r w:rsidR="00CC4193">
        <w:t xml:space="preserve">everyone involved in the trial </w:t>
      </w:r>
      <w:r w:rsidR="00094FAC">
        <w:t>was</w:t>
      </w:r>
      <w:r w:rsidR="00CC4193">
        <w:t xml:space="preserve"> masked from treatment. </w:t>
      </w:r>
      <w:r w:rsidR="00094FAC">
        <w:t>There were</w:t>
      </w:r>
      <w:r w:rsidR="005D0FBE">
        <w:t xml:space="preserve"> </w:t>
      </w:r>
      <w:r w:rsidR="00CC4193">
        <w:t>172 pa</w:t>
      </w:r>
      <w:r w:rsidR="005D0FBE">
        <w:t xml:space="preserve">tients </w:t>
      </w:r>
      <w:r w:rsidR="00094FAC">
        <w:t xml:space="preserve">from 69 neuromuscular centres in North America, Europe, Israel, Australia and Japan </w:t>
      </w:r>
      <w:r w:rsidR="005D0FBE">
        <w:t>included and randomised to the t</w:t>
      </w:r>
      <w:r w:rsidR="00CC4193">
        <w:t>hree arms of the trial.</w:t>
      </w:r>
      <w:r w:rsidR="00B668D3">
        <w:t xml:space="preserve"> Observations went to 25 weeks post </w:t>
      </w:r>
      <w:r w:rsidR="0067316B">
        <w:t>randomisation</w:t>
      </w:r>
      <w:r w:rsidR="00B668D3">
        <w:t>.</w:t>
      </w:r>
    </w:p>
    <w:p w14:paraId="08B369A2" w14:textId="77777777" w:rsidR="00CC4193" w:rsidRDefault="005D0FBE" w:rsidP="00543D38">
      <w:pPr>
        <w:jc w:val="both"/>
      </w:pPr>
      <w:r>
        <w:t>Kuitwaard et al (2020) reported on a randomised cross-over design trial</w:t>
      </w:r>
      <w:r w:rsidR="00500104">
        <w:t xml:space="preserve"> (IVIg DOSE)</w:t>
      </w:r>
      <w:r>
        <w:t xml:space="preserve"> which included 25 patients stabilised on individualised doses of IVIg therapy. </w:t>
      </w:r>
      <w:r w:rsidR="00B668D3">
        <w:t>The aim was to determine whether high-frequency low-dose IVIg was more effective and safer than a low-frequency high-dose regime. Eligible subject</w:t>
      </w:r>
      <w:r w:rsidR="0067316B">
        <w:t>s</w:t>
      </w:r>
      <w:r w:rsidR="00352170">
        <w:t xml:space="preserve"> </w:t>
      </w:r>
      <w:r w:rsidR="00B668D3">
        <w:t>wer</w:t>
      </w:r>
      <w:r w:rsidR="0067316B">
        <w:t>e</w:t>
      </w:r>
      <w:r w:rsidR="00B668D3">
        <w:t xml:space="preserve"> over 18 years and fulfilled the EFNS/PNS criteria. </w:t>
      </w:r>
      <w:r>
        <w:t xml:space="preserve">Patients transitioned through three phases consisting of a treatment phase in which they received their own full individualised dose at normal intervals, </w:t>
      </w:r>
      <w:r w:rsidR="00352170">
        <w:t>a</w:t>
      </w:r>
      <w:r>
        <w:t xml:space="preserve"> flush-out phase, and a treatment phase in which they received half their individualised dose at half </w:t>
      </w:r>
      <w:r w:rsidR="00B852C7">
        <w:t xml:space="preserve">the </w:t>
      </w:r>
      <w:r w:rsidR="00500104">
        <w:t xml:space="preserve">normal </w:t>
      </w:r>
      <w:r>
        <w:t xml:space="preserve">interval. Because of varying doses and intervals in the trial, patients completed the three phases at different times. Both the patients and infusion nurses were blinded to </w:t>
      </w:r>
      <w:r w:rsidR="00B668D3">
        <w:t xml:space="preserve">treatment, which was given at home or in a hospital day-care setting. </w:t>
      </w:r>
    </w:p>
    <w:p w14:paraId="65E83282" w14:textId="77777777" w:rsidR="008475E5" w:rsidRDefault="008475E5" w:rsidP="00423145">
      <w:pPr>
        <w:keepNext/>
        <w:rPr>
          <w:b/>
        </w:rPr>
      </w:pPr>
      <w:r w:rsidRPr="00E3331A">
        <w:rPr>
          <w:b/>
        </w:rPr>
        <w:t xml:space="preserve">Studies included for the extended assessment of harms </w:t>
      </w:r>
    </w:p>
    <w:p w14:paraId="17E68A15" w14:textId="39053103" w:rsidR="002D4C65" w:rsidRDefault="002D4C65" w:rsidP="002D4C65">
      <w:pPr>
        <w:jc w:val="both"/>
      </w:pPr>
      <w:r>
        <w:t xml:space="preserve">A summary of studies included for the extended assessment of harms is </w:t>
      </w:r>
      <w:r w:rsidR="00BF30CC">
        <w:t xml:space="preserve">found in </w:t>
      </w:r>
      <w:r w:rsidR="00BF30CC">
        <w:fldChar w:fldCharType="begin"/>
      </w:r>
      <w:r w:rsidR="00BF30CC">
        <w:instrText xml:space="preserve"> REF _Ref58254974 \h </w:instrText>
      </w:r>
      <w:r w:rsidR="00BF30CC">
        <w:fldChar w:fldCharType="separate"/>
      </w:r>
      <w:r w:rsidR="004B3EA2">
        <w:t xml:space="preserve">Table </w:t>
      </w:r>
      <w:r w:rsidR="004B3EA2">
        <w:rPr>
          <w:noProof/>
        </w:rPr>
        <w:t>9</w:t>
      </w:r>
      <w:r w:rsidR="00BF30CC">
        <w:fldChar w:fldCharType="end"/>
      </w:r>
      <w:r w:rsidR="00BF30CC">
        <w:t>. Further details</w:t>
      </w:r>
      <w:r w:rsidR="00D17B7D">
        <w:t xml:space="preserve"> are</w:t>
      </w:r>
      <w:r w:rsidR="00BF30CC">
        <w:t xml:space="preserve"> </w:t>
      </w:r>
      <w:r>
        <w:t>given</w:t>
      </w:r>
      <w:r w:rsidR="00BA6B7A">
        <w:t xml:space="preserve"> in Section B.7., and</w:t>
      </w:r>
      <w:r>
        <w:t xml:space="preserve"> in Appendix </w:t>
      </w:r>
      <w:r w:rsidR="00BD440B">
        <w:t>C</w:t>
      </w:r>
      <w:r>
        <w:t>.</w:t>
      </w:r>
      <w:r w:rsidR="003C553E">
        <w:t xml:space="preserve"> The evidence base for patients with CIDP receiving PE or GC was very small. Data on the long-term effects of therapy were particularly limited, even when the population under investigation was broadened to include patients with other autoimmune disorders receiving PE or GC therapy.</w:t>
      </w:r>
    </w:p>
    <w:p w14:paraId="024C0DD7" w14:textId="4DF9F1A5" w:rsidR="002E594A" w:rsidRPr="007752CA" w:rsidRDefault="002E594A" w:rsidP="002E594A">
      <w:pPr>
        <w:pStyle w:val="Caption"/>
      </w:pPr>
      <w:bookmarkStart w:id="145" w:name="_Ref58254974"/>
      <w:bookmarkStart w:id="146" w:name="_Toc69305650"/>
      <w:r>
        <w:t xml:space="preserve">Table </w:t>
      </w:r>
      <w:r w:rsidR="00003BA5">
        <w:fldChar w:fldCharType="begin"/>
      </w:r>
      <w:r w:rsidR="00003BA5">
        <w:instrText xml:space="preserve"> SEQ Table \* ARABIC </w:instrText>
      </w:r>
      <w:r w:rsidR="00003BA5">
        <w:fldChar w:fldCharType="separate"/>
      </w:r>
      <w:r w:rsidR="004B3EA2">
        <w:rPr>
          <w:noProof/>
        </w:rPr>
        <w:t>9</w:t>
      </w:r>
      <w:r w:rsidR="00003BA5">
        <w:rPr>
          <w:noProof/>
        </w:rPr>
        <w:fldChar w:fldCharType="end"/>
      </w:r>
      <w:bookmarkEnd w:id="145"/>
      <w:r>
        <w:tab/>
      </w:r>
      <w:r w:rsidR="00BA6B7A">
        <w:tab/>
      </w:r>
      <w:r>
        <w:t>Key features of studies included for safety outcomes</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ey features of studies included for safety outcomes"/>
        <w:tblDescription w:val="Key features of studies included for safety outcomes"/>
      </w:tblPr>
      <w:tblGrid>
        <w:gridCol w:w="1555"/>
        <w:gridCol w:w="3260"/>
        <w:gridCol w:w="2836"/>
        <w:gridCol w:w="1365"/>
      </w:tblGrid>
      <w:tr w:rsidR="002E594A" w:rsidRPr="00E3331A" w14:paraId="1E2134D7" w14:textId="77777777" w:rsidTr="00BF30CC">
        <w:trPr>
          <w:tblHeader/>
        </w:trPr>
        <w:tc>
          <w:tcPr>
            <w:tcW w:w="862" w:type="pct"/>
            <w:shd w:val="clear" w:color="auto" w:fill="auto"/>
          </w:tcPr>
          <w:p w14:paraId="3ABBAC26" w14:textId="77777777" w:rsidR="002E594A" w:rsidRDefault="002E594A" w:rsidP="00914B37">
            <w:pPr>
              <w:pStyle w:val="TableHeading"/>
            </w:pPr>
            <w:r w:rsidRPr="00E3331A">
              <w:t>Study ID</w:t>
            </w:r>
          </w:p>
          <w:p w14:paraId="4CC80CBE" w14:textId="77777777" w:rsidR="002E594A" w:rsidRDefault="002E594A" w:rsidP="00914B37">
            <w:pPr>
              <w:pStyle w:val="TableHeading"/>
            </w:pPr>
            <w:r>
              <w:t>Country</w:t>
            </w:r>
          </w:p>
          <w:p w14:paraId="319DA4D3" w14:textId="77777777" w:rsidR="002E594A" w:rsidRDefault="002E594A" w:rsidP="00914B37">
            <w:pPr>
              <w:pStyle w:val="TableHeading"/>
            </w:pPr>
            <w:r>
              <w:t>Study design</w:t>
            </w:r>
          </w:p>
          <w:p w14:paraId="07C8F74A" w14:textId="77777777" w:rsidR="002E594A" w:rsidRPr="00E3331A" w:rsidRDefault="002E594A" w:rsidP="00914B37">
            <w:pPr>
              <w:pStyle w:val="TableHeading"/>
            </w:pPr>
            <w:r>
              <w:t>ROB</w:t>
            </w:r>
          </w:p>
        </w:tc>
        <w:tc>
          <w:tcPr>
            <w:tcW w:w="1808" w:type="pct"/>
            <w:shd w:val="clear" w:color="auto" w:fill="auto"/>
          </w:tcPr>
          <w:p w14:paraId="43C3940B" w14:textId="77777777" w:rsidR="002E594A" w:rsidRPr="00E3331A" w:rsidRDefault="002E594A" w:rsidP="00914B37">
            <w:pPr>
              <w:pStyle w:val="TableHeading"/>
            </w:pPr>
            <w:r>
              <w:t>Population/inclusion criteria</w:t>
            </w:r>
          </w:p>
          <w:p w14:paraId="411352BF" w14:textId="77777777" w:rsidR="002E594A" w:rsidRPr="00E3331A" w:rsidRDefault="002E594A" w:rsidP="00914B37">
            <w:pPr>
              <w:pStyle w:val="TableHeading"/>
            </w:pPr>
            <w:r w:rsidRPr="00E3331A">
              <w:t>n</w:t>
            </w:r>
          </w:p>
        </w:tc>
        <w:tc>
          <w:tcPr>
            <w:tcW w:w="1573" w:type="pct"/>
            <w:shd w:val="clear" w:color="auto" w:fill="auto"/>
          </w:tcPr>
          <w:p w14:paraId="1D5A40AE" w14:textId="77777777" w:rsidR="002E594A" w:rsidRDefault="002E594A" w:rsidP="00914B37">
            <w:pPr>
              <w:pStyle w:val="TableHeading"/>
            </w:pPr>
            <w:r>
              <w:t>Intervention</w:t>
            </w:r>
          </w:p>
          <w:p w14:paraId="2A701E24" w14:textId="77777777" w:rsidR="002E594A" w:rsidRPr="00E3331A" w:rsidRDefault="002E594A" w:rsidP="00914B37">
            <w:pPr>
              <w:pStyle w:val="TableHeading"/>
            </w:pPr>
            <w:r>
              <w:t>Comparator (if applicable)</w:t>
            </w:r>
          </w:p>
        </w:tc>
        <w:tc>
          <w:tcPr>
            <w:tcW w:w="757" w:type="pct"/>
            <w:shd w:val="clear" w:color="auto" w:fill="auto"/>
          </w:tcPr>
          <w:p w14:paraId="2A411722" w14:textId="77777777" w:rsidR="002E594A" w:rsidRPr="00E3331A" w:rsidRDefault="002E594A" w:rsidP="00914B37">
            <w:pPr>
              <w:pStyle w:val="TableHeading"/>
            </w:pPr>
            <w:r>
              <w:t>Outcome of interest</w:t>
            </w:r>
          </w:p>
        </w:tc>
      </w:tr>
      <w:tr w:rsidR="009541B6" w:rsidRPr="009541B6" w14:paraId="2121E6E2" w14:textId="77777777" w:rsidTr="009541B6">
        <w:tc>
          <w:tcPr>
            <w:tcW w:w="5000" w:type="pct"/>
            <w:gridSpan w:val="4"/>
            <w:shd w:val="clear" w:color="auto" w:fill="D0CECE" w:themeFill="background2" w:themeFillShade="E6"/>
          </w:tcPr>
          <w:p w14:paraId="7AF4EC80" w14:textId="77777777" w:rsidR="009541B6" w:rsidRPr="009541B6" w:rsidRDefault="009541B6" w:rsidP="009541B6">
            <w:pPr>
              <w:pStyle w:val="Tabletext1"/>
              <w:rPr>
                <w:b/>
              </w:rPr>
            </w:pPr>
            <w:r w:rsidRPr="009541B6">
              <w:rPr>
                <w:b/>
              </w:rPr>
              <w:t>P</w:t>
            </w:r>
            <w:r>
              <w:rPr>
                <w:b/>
              </w:rPr>
              <w:t>lasma exchange</w:t>
            </w:r>
          </w:p>
        </w:tc>
      </w:tr>
      <w:tr w:rsidR="002E594A" w:rsidRPr="00E3331A" w14:paraId="7592EC9C" w14:textId="77777777" w:rsidTr="00BF30CC">
        <w:tc>
          <w:tcPr>
            <w:tcW w:w="862" w:type="pct"/>
            <w:shd w:val="clear" w:color="auto" w:fill="auto"/>
          </w:tcPr>
          <w:p w14:paraId="2CA333A9" w14:textId="1735FF55" w:rsidR="002E594A" w:rsidRDefault="00B727D6" w:rsidP="00914B37">
            <w:pPr>
              <w:pStyle w:val="Tabletext1"/>
            </w:pPr>
            <w:r>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w:t>
            </w:r>
            <w:hyperlink w:anchor="_ENREF_56" w:tooltip="Ortiz-Salas, 2016 #10" w:history="1">
              <w:r w:rsidR="00D726F6">
                <w:rPr>
                  <w:noProof/>
                </w:rPr>
                <w:t>Ortiz-Salas et al. 2016</w:t>
              </w:r>
            </w:hyperlink>
            <w:r>
              <w:rPr>
                <w:noProof/>
              </w:rPr>
              <w:t>)</w:t>
            </w:r>
            <w:r>
              <w:fldChar w:fldCharType="end"/>
            </w:r>
          </w:p>
          <w:p w14:paraId="0C019FC8" w14:textId="77777777" w:rsidR="002E594A" w:rsidRDefault="002E594A" w:rsidP="00914B37">
            <w:pPr>
              <w:pStyle w:val="Tabletext1"/>
            </w:pPr>
            <w:r>
              <w:t>Multinational</w:t>
            </w:r>
          </w:p>
          <w:p w14:paraId="355B76C7" w14:textId="77777777" w:rsidR="002E594A" w:rsidRDefault="002E594A" w:rsidP="00914B37">
            <w:pPr>
              <w:pStyle w:val="Tabletext1"/>
            </w:pPr>
            <w:r>
              <w:t>SR</w:t>
            </w:r>
          </w:p>
          <w:p w14:paraId="10E86FD6" w14:textId="77777777" w:rsidR="002E594A" w:rsidRPr="00E3331A" w:rsidRDefault="002E594A" w:rsidP="00914B37">
            <w:pPr>
              <w:pStyle w:val="Tabletext1"/>
            </w:pPr>
            <w:r>
              <w:t>Moderate</w:t>
            </w:r>
          </w:p>
        </w:tc>
        <w:tc>
          <w:tcPr>
            <w:tcW w:w="1808" w:type="pct"/>
            <w:shd w:val="clear" w:color="auto" w:fill="auto"/>
          </w:tcPr>
          <w:p w14:paraId="4017196B" w14:textId="77777777" w:rsidR="002E594A" w:rsidRDefault="002E594A" w:rsidP="00914B37">
            <w:pPr>
              <w:pStyle w:val="Tabletext1"/>
            </w:pPr>
            <w:r>
              <w:t xml:space="preserve">RCTs or analytical OS in patients with neurological disease (GBS or MG); </w:t>
            </w:r>
          </w:p>
          <w:p w14:paraId="5136EBF2" w14:textId="77777777" w:rsidR="002E594A" w:rsidRDefault="002E594A" w:rsidP="00914B37">
            <w:pPr>
              <w:pStyle w:val="Tabletext1"/>
            </w:pPr>
            <w:r>
              <w:t xml:space="preserve">Studies reporting AEs: k = 15 </w:t>
            </w:r>
          </w:p>
          <w:p w14:paraId="43068718" w14:textId="77777777" w:rsidR="002E594A" w:rsidRPr="00E3331A" w:rsidRDefault="002E594A" w:rsidP="00914B37">
            <w:pPr>
              <w:pStyle w:val="Tabletext1"/>
            </w:pPr>
            <w:r>
              <w:t>Patients: n = 2,388 in studies reporting AEs</w:t>
            </w:r>
          </w:p>
        </w:tc>
        <w:tc>
          <w:tcPr>
            <w:tcW w:w="1573" w:type="pct"/>
            <w:shd w:val="clear" w:color="auto" w:fill="auto"/>
          </w:tcPr>
          <w:p w14:paraId="6C7977F0" w14:textId="77777777" w:rsidR="002E594A" w:rsidRPr="00D35CFA" w:rsidRDefault="002E594A" w:rsidP="00914B37">
            <w:pPr>
              <w:pStyle w:val="Tabletext1"/>
              <w:rPr>
                <w:u w:val="single"/>
              </w:rPr>
            </w:pPr>
            <w:r w:rsidRPr="00D35CFA">
              <w:rPr>
                <w:u w:val="single"/>
              </w:rPr>
              <w:t xml:space="preserve">PE </w:t>
            </w:r>
          </w:p>
          <w:p w14:paraId="0AFB1253" w14:textId="77777777" w:rsidR="002E594A" w:rsidRDefault="002E594A" w:rsidP="00914B37">
            <w:pPr>
              <w:pStyle w:val="Tabletext1"/>
            </w:pPr>
            <w:r>
              <w:t>Cycles: typical strategy of 200-250 ml/kg over 10-14 days (5-6 cycles with 5% albumin)</w:t>
            </w:r>
          </w:p>
          <w:p w14:paraId="5CFAAF6D" w14:textId="77777777" w:rsidR="002E594A" w:rsidRPr="00D35CFA" w:rsidRDefault="002E594A" w:rsidP="00914B37">
            <w:pPr>
              <w:pStyle w:val="Tabletext1"/>
              <w:rPr>
                <w:u w:val="single"/>
              </w:rPr>
            </w:pPr>
            <w:r w:rsidRPr="00D35CFA">
              <w:rPr>
                <w:u w:val="single"/>
              </w:rPr>
              <w:t>IVIg</w:t>
            </w:r>
          </w:p>
          <w:p w14:paraId="1828C80F" w14:textId="77777777" w:rsidR="002E594A" w:rsidRPr="00E3331A" w:rsidRDefault="002E594A" w:rsidP="003C553E">
            <w:pPr>
              <w:pStyle w:val="Tabletext1"/>
            </w:pPr>
            <w:r>
              <w:t>Dosage: 0.4</w:t>
            </w:r>
            <w:r w:rsidR="003C553E">
              <w:t> </w:t>
            </w:r>
            <w:r>
              <w:t>g/kg/day or a total of 2</w:t>
            </w:r>
            <w:r w:rsidR="00AF76B4">
              <w:t> </w:t>
            </w:r>
            <w:r>
              <w:t>g</w:t>
            </w:r>
            <w:r w:rsidR="00A67B7D">
              <w:t>/</w:t>
            </w:r>
            <w:r>
              <w:t>kg</w:t>
            </w:r>
          </w:p>
        </w:tc>
        <w:tc>
          <w:tcPr>
            <w:tcW w:w="757" w:type="pct"/>
            <w:shd w:val="clear" w:color="auto" w:fill="auto"/>
          </w:tcPr>
          <w:p w14:paraId="6F8FAAA8" w14:textId="77777777" w:rsidR="002E594A" w:rsidRPr="00E3331A" w:rsidRDefault="002E594A" w:rsidP="00914B37">
            <w:pPr>
              <w:pStyle w:val="Tabletext1"/>
            </w:pPr>
            <w:r>
              <w:t>Mild to moderate AEs</w:t>
            </w:r>
          </w:p>
        </w:tc>
      </w:tr>
      <w:tr w:rsidR="002E594A" w:rsidRPr="00E3331A" w14:paraId="62E5A96B" w14:textId="77777777" w:rsidTr="00BF30CC">
        <w:tc>
          <w:tcPr>
            <w:tcW w:w="862" w:type="pct"/>
            <w:shd w:val="clear" w:color="auto" w:fill="auto"/>
          </w:tcPr>
          <w:p w14:paraId="208C06FF" w14:textId="0D911F0C" w:rsidR="002E594A" w:rsidRDefault="00B727D6" w:rsidP="00914B37">
            <w:pPr>
              <w:pStyle w:val="Tabletext1"/>
            </w:pPr>
            <w:r>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instrText xml:space="preserve"> ADDIN EN.CITE </w:instrText>
            </w:r>
            <w:r>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instrText xml:space="preserve"> ADDIN EN.CITE.DATA </w:instrText>
            </w:r>
            <w:r>
              <w:fldChar w:fldCharType="end"/>
            </w:r>
            <w:r>
              <w:fldChar w:fldCharType="separate"/>
            </w:r>
            <w:r>
              <w:rPr>
                <w:noProof/>
              </w:rPr>
              <w:t>(</w:t>
            </w:r>
            <w:hyperlink w:anchor="_ENREF_46" w:tooltip="Mörtzell Henriksson, 2016 #8" w:history="1">
              <w:r w:rsidR="00D726F6">
                <w:rPr>
                  <w:noProof/>
                </w:rPr>
                <w:t>Mörtzell Henriksson et al. 2016</w:t>
              </w:r>
            </w:hyperlink>
            <w:r>
              <w:rPr>
                <w:noProof/>
              </w:rPr>
              <w:t>)</w:t>
            </w:r>
            <w:r>
              <w:fldChar w:fldCharType="end"/>
            </w:r>
          </w:p>
          <w:p w14:paraId="36F534E3" w14:textId="77777777" w:rsidR="002E594A" w:rsidRDefault="002E594A" w:rsidP="00914B37">
            <w:pPr>
              <w:pStyle w:val="Tabletext1"/>
            </w:pPr>
            <w:r>
              <w:t>Multinational</w:t>
            </w:r>
          </w:p>
          <w:p w14:paraId="77FAB08B" w14:textId="77777777" w:rsidR="002E594A" w:rsidRDefault="002E594A" w:rsidP="00914B37">
            <w:pPr>
              <w:pStyle w:val="Tabletext1"/>
            </w:pPr>
            <w:r>
              <w:t>R O MC</w:t>
            </w:r>
          </w:p>
          <w:p w14:paraId="6753BAA8" w14:textId="77777777" w:rsidR="002E594A" w:rsidRPr="00E3331A" w:rsidRDefault="002E594A" w:rsidP="00914B37">
            <w:pPr>
              <w:pStyle w:val="Tabletext1"/>
            </w:pPr>
            <w:r>
              <w:t>Moderate</w:t>
            </w:r>
          </w:p>
        </w:tc>
        <w:tc>
          <w:tcPr>
            <w:tcW w:w="1808" w:type="pct"/>
            <w:shd w:val="clear" w:color="auto" w:fill="auto"/>
          </w:tcPr>
          <w:p w14:paraId="122CAA1B" w14:textId="1360C78F" w:rsidR="002E594A" w:rsidRDefault="002E594A" w:rsidP="002E594A">
            <w:pPr>
              <w:pStyle w:val="Tabletext1"/>
            </w:pPr>
            <w:r>
              <w:t>Patient data from the WAA apheresis registry (</w:t>
            </w:r>
            <w:hyperlink r:id="rId30" w:history="1">
              <w:r w:rsidRPr="00757851">
                <w:rPr>
                  <w:rStyle w:val="Hyperlink"/>
                </w:rPr>
                <w:t>www.waa-registry.org</w:t>
              </w:r>
            </w:hyperlink>
            <w:r>
              <w:t xml:space="preserve"> ) between 2004 and 2014</w:t>
            </w:r>
          </w:p>
          <w:p w14:paraId="568696F0" w14:textId="77777777" w:rsidR="002E594A" w:rsidRDefault="00D17B7D" w:rsidP="002E594A">
            <w:pPr>
              <w:pStyle w:val="Tabletext1"/>
            </w:pPr>
            <w:r>
              <w:t>P</w:t>
            </w:r>
            <w:r w:rsidR="002E594A">
              <w:t>rocedures</w:t>
            </w:r>
            <w:r>
              <w:t>:</w:t>
            </w:r>
            <w:r w:rsidR="002E594A">
              <w:t xml:space="preserve"> n = 50,846 </w:t>
            </w:r>
          </w:p>
          <w:p w14:paraId="045959D2" w14:textId="77777777" w:rsidR="00D17B7D" w:rsidRPr="00E3331A" w:rsidRDefault="00D17B7D" w:rsidP="002E594A">
            <w:pPr>
              <w:pStyle w:val="Tabletext1"/>
            </w:pPr>
            <w:r>
              <w:t xml:space="preserve">Patients: n = </w:t>
            </w:r>
            <w:r w:rsidRPr="00D17B7D">
              <w:t>7,142</w:t>
            </w:r>
          </w:p>
        </w:tc>
        <w:tc>
          <w:tcPr>
            <w:tcW w:w="1573" w:type="pct"/>
            <w:shd w:val="clear" w:color="auto" w:fill="auto"/>
          </w:tcPr>
          <w:p w14:paraId="72D77E97" w14:textId="77777777" w:rsidR="002E594A" w:rsidRDefault="002E594A" w:rsidP="00914B37">
            <w:pPr>
              <w:pStyle w:val="Tabletext1"/>
            </w:pPr>
            <w:r w:rsidRPr="00AF5285">
              <w:t>PE</w:t>
            </w:r>
            <w:r>
              <w:t xml:space="preserve"> by either filtration or centrifugation methods</w:t>
            </w:r>
          </w:p>
          <w:p w14:paraId="502054A0" w14:textId="77777777" w:rsidR="002E594A" w:rsidRPr="00E3331A" w:rsidRDefault="002E594A" w:rsidP="00914B37">
            <w:pPr>
              <w:pStyle w:val="Tabletext1"/>
            </w:pPr>
          </w:p>
        </w:tc>
        <w:tc>
          <w:tcPr>
            <w:tcW w:w="757" w:type="pct"/>
            <w:shd w:val="clear" w:color="auto" w:fill="auto"/>
          </w:tcPr>
          <w:p w14:paraId="035B5C04" w14:textId="77777777" w:rsidR="002E594A" w:rsidRPr="00E3331A" w:rsidRDefault="002E594A" w:rsidP="00914B37">
            <w:pPr>
              <w:pStyle w:val="Tabletext1"/>
            </w:pPr>
            <w:r>
              <w:t xml:space="preserve">Mild, moderate and severe AEs </w:t>
            </w:r>
          </w:p>
        </w:tc>
      </w:tr>
      <w:tr w:rsidR="002E594A" w:rsidRPr="00E3331A" w14:paraId="3831162F" w14:textId="77777777" w:rsidTr="00BF30CC">
        <w:tc>
          <w:tcPr>
            <w:tcW w:w="862" w:type="pct"/>
            <w:shd w:val="clear" w:color="auto" w:fill="auto"/>
          </w:tcPr>
          <w:p w14:paraId="1FA14EE8" w14:textId="02D47545" w:rsidR="002E594A" w:rsidRDefault="00B727D6" w:rsidP="00914B37">
            <w:pPr>
              <w:pStyle w:val="Tabletext1"/>
            </w:pPr>
            <w:r>
              <w:fldChar w:fldCharType="begin"/>
            </w:r>
            <w:r>
              <w:instrText xml:space="preserve"> ADDIN EN.CITE &lt;EndNote&gt;&lt;Cite&gt;&lt;Author&gt;Nieto-Aristizábal&lt;/Author&gt;&lt;Year&gt;2020&lt;/Year&gt;&lt;RecNum&gt;315&lt;/RecNum&gt;&lt;DisplayText&gt;(Nieto-Aristizábal, Vivas Á, et al. 2020)&lt;/DisplayText&gt;&lt;record&gt;&lt;rec-number&gt;315&lt;/rec-number&gt;&lt;foreign-keys&gt;&lt;key app="EN" db-id="xtr5xfx2xf0wd7e0s2qvst2ietxxf0tpzr9v" timestamp="1602225743"&gt;315&lt;/key&gt;&lt;/foreign-keys&gt;&lt;ref-type name="Journal Article"&gt;17&lt;/ref-type&gt;&lt;contributors&gt;&lt;authors&gt;&lt;author&gt;Nieto-Aristizábal, I.&lt;/author&gt;&lt;author&gt;Vivas Á, J.&lt;/author&gt;&lt;author&gt;Ruiz-Montaño, P.&lt;/author&gt;&lt;author&gt;Aragón, C. C.&lt;/author&gt;&lt;author&gt;Posso-Osorio, I.&lt;/author&gt;&lt;author&gt;Quiñones, J.&lt;/author&gt;&lt;author&gt;Rivillas, J. A.&lt;/author&gt;&lt;author&gt;Tobón, G. J.&lt;/author&gt;&lt;/authors&gt;&lt;/contributors&gt;&lt;auth-address&gt;GIRAT: Grupo de Investigación en Reumatología, Autoinmunidad y Medicina Traslacional, Universidad Icesi and Fundación Valle del Lili, Cra. 98 18-49, Cali, Colombia.&amp;#xD;Medical School, Universidad Icesi, Calle 18 No. 122-135, Cali, Colombia.&amp;#xD;Department of Neurology, Fundación Valle del Lili, Cra. 98 18-49, Cali, Colombia.&amp;#xD;Unit of Neuroimmunology, Fundación Valle del Lili, Cra. 98 18-49, Cali, Colombia.&lt;/auth-address&gt;&lt;titles&gt;&lt;title&gt;Therapeutic Plasma Exchange as a Treatment for Autoimmune Neurological Disease&lt;/title&gt;&lt;secondary-title&gt;Autoimmune Dis&lt;/secondary-title&gt;&lt;/titles&gt;&lt;periodical&gt;&lt;full-title&gt;Autoimmune Dis&lt;/full-title&gt;&lt;/periodical&gt;&lt;pages&gt;3484659&lt;/pages&gt;&lt;volume&gt;2020&lt;/volume&gt;&lt;edition&gt;2020/08/18&lt;/edition&gt;&lt;dates&gt;&lt;year&gt;2020&lt;/year&gt;&lt;/dates&gt;&lt;isbn&gt;2090-0422 (Print)&amp;#xD;2090-0430 (Electronic)&amp;#xD;2090-0430 (Linking)&lt;/isbn&gt;&lt;accession-num&gt;32802495&lt;/accession-num&gt;&lt;urls&gt;&lt;related-urls&gt;&lt;url&gt;https://www.ncbi.nlm.nih.gov/pmc/articles/PMC7415086/pdf/AD2020-3484659.pdf&lt;/url&gt;&lt;/related-urls&gt;&lt;/urls&gt;&lt;custom2&gt;PMC7415086&lt;/custom2&gt;&lt;electronic-resource-num&gt;10.1155/2020/3484659&lt;/electronic-resource-num&gt;&lt;remote-database-provider&gt;NLM&lt;/remote-database-provider&gt;&lt;language&gt;eng&lt;/language&gt;&lt;/record&gt;&lt;/Cite&gt;&lt;/EndNote&gt;</w:instrText>
            </w:r>
            <w:r>
              <w:fldChar w:fldCharType="separate"/>
            </w:r>
            <w:r>
              <w:rPr>
                <w:noProof/>
              </w:rPr>
              <w:t>(</w:t>
            </w:r>
            <w:hyperlink w:anchor="_ENREF_52" w:tooltip="Nieto-Aristizábal, 2020 #315" w:history="1">
              <w:r w:rsidR="00D726F6">
                <w:rPr>
                  <w:noProof/>
                </w:rPr>
                <w:t>Nieto-Aristizábal, Vivas Á, et al. 2020</w:t>
              </w:r>
            </w:hyperlink>
            <w:r>
              <w:rPr>
                <w:noProof/>
              </w:rPr>
              <w:t>)</w:t>
            </w:r>
            <w:r>
              <w:fldChar w:fldCharType="end"/>
            </w:r>
          </w:p>
          <w:p w14:paraId="0A5CD661" w14:textId="77777777" w:rsidR="002E594A" w:rsidRDefault="002E594A" w:rsidP="00914B37">
            <w:pPr>
              <w:pStyle w:val="Tabletext1"/>
            </w:pPr>
            <w:r>
              <w:t>Columbia</w:t>
            </w:r>
          </w:p>
          <w:p w14:paraId="2698EE47" w14:textId="77777777" w:rsidR="002E594A" w:rsidRDefault="002E594A" w:rsidP="00914B37">
            <w:pPr>
              <w:pStyle w:val="Tabletext1"/>
            </w:pPr>
            <w:r>
              <w:t>R O SC</w:t>
            </w:r>
          </w:p>
          <w:p w14:paraId="53F9E59F" w14:textId="77777777" w:rsidR="002E594A" w:rsidRPr="00E3331A" w:rsidRDefault="002E594A" w:rsidP="00914B37">
            <w:pPr>
              <w:pStyle w:val="Tabletext1"/>
            </w:pPr>
            <w:r>
              <w:t>Moderate</w:t>
            </w:r>
          </w:p>
        </w:tc>
        <w:tc>
          <w:tcPr>
            <w:tcW w:w="1808" w:type="pct"/>
            <w:shd w:val="clear" w:color="auto" w:fill="auto"/>
          </w:tcPr>
          <w:p w14:paraId="34EAD7B5" w14:textId="77777777" w:rsidR="002E594A" w:rsidRDefault="002E594A" w:rsidP="00914B37">
            <w:pPr>
              <w:pStyle w:val="Tabletext1"/>
            </w:pPr>
            <w:r w:rsidRPr="00AF5285">
              <w:t>Patients receiving PE between 2011 and 2018, as prescribed by a neurologist</w:t>
            </w:r>
          </w:p>
          <w:p w14:paraId="30621784" w14:textId="77777777" w:rsidR="002E594A" w:rsidRPr="00E3331A" w:rsidRDefault="002E594A" w:rsidP="00BF30CC">
            <w:pPr>
              <w:pStyle w:val="Tabletext1"/>
            </w:pPr>
            <w:r>
              <w:t>Patients: n = 187</w:t>
            </w:r>
          </w:p>
        </w:tc>
        <w:tc>
          <w:tcPr>
            <w:tcW w:w="1573" w:type="pct"/>
            <w:shd w:val="clear" w:color="auto" w:fill="auto"/>
          </w:tcPr>
          <w:p w14:paraId="3E2CF7D9" w14:textId="77777777" w:rsidR="002E594A" w:rsidRDefault="002E594A" w:rsidP="00914B37">
            <w:pPr>
              <w:pStyle w:val="Tabletext1"/>
            </w:pPr>
            <w:r>
              <w:t>PE by centrifugation method</w:t>
            </w:r>
          </w:p>
          <w:p w14:paraId="5E2D11F4" w14:textId="77777777" w:rsidR="002E594A" w:rsidRPr="00E3331A" w:rsidRDefault="002E594A" w:rsidP="00914B37">
            <w:pPr>
              <w:pStyle w:val="Tabletext1"/>
            </w:pPr>
            <w:r>
              <w:t>Average PE cycles per patient n = 5 (approx. 935)</w:t>
            </w:r>
          </w:p>
        </w:tc>
        <w:tc>
          <w:tcPr>
            <w:tcW w:w="757" w:type="pct"/>
            <w:shd w:val="clear" w:color="auto" w:fill="auto"/>
          </w:tcPr>
          <w:p w14:paraId="02169A7B" w14:textId="77777777" w:rsidR="002E594A" w:rsidRPr="00E3331A" w:rsidRDefault="002E594A" w:rsidP="00BF30CC">
            <w:pPr>
              <w:pStyle w:val="Tabletext1"/>
            </w:pPr>
            <w:r>
              <w:t xml:space="preserve">AEs </w:t>
            </w:r>
          </w:p>
        </w:tc>
      </w:tr>
      <w:tr w:rsidR="002E594A" w:rsidRPr="00E3331A" w14:paraId="468C2BAF" w14:textId="77777777" w:rsidTr="00BF30CC">
        <w:tc>
          <w:tcPr>
            <w:tcW w:w="862" w:type="pct"/>
            <w:shd w:val="clear" w:color="auto" w:fill="auto"/>
          </w:tcPr>
          <w:p w14:paraId="4E2CD714" w14:textId="2BA39403" w:rsidR="002E594A" w:rsidRDefault="00B727D6" w:rsidP="00914B37">
            <w:pPr>
              <w:pStyle w:val="Tabletext1"/>
            </w:pPr>
            <w:r>
              <w:fldChar w:fldCharType="begin"/>
            </w:r>
            <w:r>
              <w:instrText xml:space="preserve"> ADDIN EN.CITE &lt;EndNote&gt;&lt;Cite&gt;&lt;Author&gt;Basic-Jukic&lt;/Author&gt;&lt;Year&gt;2005&lt;/Year&gt;&lt;RecNum&gt;7&lt;/RecNum&gt;&lt;DisplayText&gt;(Basic-Jukic et al. 2005)&lt;/DisplayText&gt;&lt;record&gt;&lt;rec-number&gt;7&lt;/rec-number&gt;&lt;foreign-keys&gt;&lt;key app="EN" db-id="p29e2t021fx2sker0f4p99xad5t02xpedpxr" timestamp="1605655955"&gt;7&lt;/key&gt;&lt;/foreign-keys&gt;&lt;ref-type name="Journal Article"&gt;17&lt;/ref-type&gt;&lt;contributors&gt;&lt;authors&gt;&lt;author&gt;Basic-Jukic, Nikolina&lt;/author&gt;&lt;author&gt;Kes, Petar&lt;/author&gt;&lt;author&gt;Glavas-Boras, Snjezana&lt;/author&gt;&lt;author&gt;Brunetta, Bruna&lt;/author&gt;&lt;author&gt;Bubic-Filipi, Ljubica&lt;/author&gt;&lt;author&gt;Puretic, Zvonimir&lt;/author&gt;&lt;/authors&gt;&lt;/contributors&gt;&lt;titles&gt;&lt;title&gt;Complications of Therapeutic Plasma Exchange: Experience With 4857 Treatments&lt;/title&gt;&lt;secondary-title&gt;Therapeutic Apheresis and Dialysis&lt;/secondary-title&gt;&lt;/titles&gt;&lt;periodical&gt;&lt;full-title&gt;Therapeutic Apheresis and Dialysis&lt;/full-title&gt;&lt;/periodical&gt;&lt;pages&gt;391-395&lt;/pages&gt;&lt;volume&gt;9&lt;/volume&gt;&lt;number&gt;5&lt;/number&gt;&lt;dates&gt;&lt;year&gt;2005&lt;/year&gt;&lt;/dates&gt;&lt;isbn&gt;1744-9979&lt;/isbn&gt;&lt;urls&gt;&lt;related-urls&gt;&lt;url&gt;https://onlinelibrary.wiley.com/doi/abs/10.1111/j.1744-9987.2005.00319.x&lt;/url&gt;&lt;url&gt;https://onlinelibrary.wiley.com/doi/pdfdirect/10.1111/j.1744-9987.2005.00319.x?download=true&lt;/url&gt;&lt;/related-urls&gt;&lt;/urls&gt;&lt;electronic-resource-num&gt;10.1111/j.1744-9987.2005.00319.x&lt;/electronic-resource-num&gt;&lt;/record&gt;&lt;/Cite&gt;&lt;/EndNote&gt;</w:instrText>
            </w:r>
            <w:r>
              <w:fldChar w:fldCharType="separate"/>
            </w:r>
            <w:r>
              <w:rPr>
                <w:noProof/>
              </w:rPr>
              <w:t>(</w:t>
            </w:r>
            <w:hyperlink w:anchor="_ENREF_5" w:tooltip="Basic-Jukic, 2005 #7" w:history="1">
              <w:r w:rsidR="00D726F6">
                <w:rPr>
                  <w:noProof/>
                </w:rPr>
                <w:t>Basic-Jukic et al. 2005</w:t>
              </w:r>
            </w:hyperlink>
            <w:r>
              <w:rPr>
                <w:noProof/>
              </w:rPr>
              <w:t>)</w:t>
            </w:r>
            <w:r>
              <w:fldChar w:fldCharType="end"/>
            </w:r>
          </w:p>
          <w:p w14:paraId="2943E81E" w14:textId="77777777" w:rsidR="002E594A" w:rsidRDefault="002E594A" w:rsidP="00914B37">
            <w:pPr>
              <w:pStyle w:val="Tabletext1"/>
            </w:pPr>
            <w:r>
              <w:t>Croatia</w:t>
            </w:r>
          </w:p>
          <w:p w14:paraId="2D2C962D" w14:textId="77777777" w:rsidR="002E594A" w:rsidRDefault="002E594A" w:rsidP="00914B37">
            <w:pPr>
              <w:pStyle w:val="Tabletext1"/>
            </w:pPr>
            <w:r>
              <w:t>R O SC</w:t>
            </w:r>
          </w:p>
          <w:p w14:paraId="2289F692" w14:textId="77777777" w:rsidR="002E594A" w:rsidRPr="00E3331A" w:rsidRDefault="002E594A" w:rsidP="00914B37">
            <w:pPr>
              <w:pStyle w:val="Tabletext1"/>
            </w:pPr>
            <w:r>
              <w:t>Moderate</w:t>
            </w:r>
          </w:p>
        </w:tc>
        <w:tc>
          <w:tcPr>
            <w:tcW w:w="1808" w:type="pct"/>
            <w:shd w:val="clear" w:color="auto" w:fill="auto"/>
          </w:tcPr>
          <w:p w14:paraId="21C4F7B0" w14:textId="77777777" w:rsidR="002E594A" w:rsidRDefault="002E594A" w:rsidP="00914B37">
            <w:pPr>
              <w:pStyle w:val="Tabletext1"/>
            </w:pPr>
            <w:r>
              <w:t>Data on PE procedures collected between 1982 and 2003 in a single dialysis centre</w:t>
            </w:r>
          </w:p>
          <w:p w14:paraId="1C5EDAB4" w14:textId="77777777" w:rsidR="002E594A" w:rsidRPr="00E3331A" w:rsidRDefault="00BF30CC" w:rsidP="00BF30CC">
            <w:pPr>
              <w:pStyle w:val="Tabletext1"/>
            </w:pPr>
            <w:r>
              <w:t>Patients: n = 507</w:t>
            </w:r>
          </w:p>
        </w:tc>
        <w:tc>
          <w:tcPr>
            <w:tcW w:w="1573" w:type="pct"/>
            <w:shd w:val="clear" w:color="auto" w:fill="auto"/>
          </w:tcPr>
          <w:p w14:paraId="7DF8F4F7" w14:textId="77777777" w:rsidR="002E594A" w:rsidRDefault="002E594A" w:rsidP="00914B37">
            <w:pPr>
              <w:pStyle w:val="Tabletext1"/>
            </w:pPr>
            <w:r>
              <w:t>PE by membrane/filtration method</w:t>
            </w:r>
          </w:p>
          <w:p w14:paraId="52DAB62B" w14:textId="77777777" w:rsidR="002E594A" w:rsidRDefault="002E594A" w:rsidP="00914B37">
            <w:pPr>
              <w:pStyle w:val="Tabletext1"/>
            </w:pPr>
            <w:r>
              <w:t>Sessions n = 4857</w:t>
            </w:r>
          </w:p>
          <w:p w14:paraId="2B8B7500" w14:textId="77777777" w:rsidR="002E594A" w:rsidRPr="00E3331A" w:rsidRDefault="002E594A" w:rsidP="00BF30CC">
            <w:pPr>
              <w:pStyle w:val="Tabletext1"/>
            </w:pPr>
          </w:p>
        </w:tc>
        <w:tc>
          <w:tcPr>
            <w:tcW w:w="757" w:type="pct"/>
            <w:shd w:val="clear" w:color="auto" w:fill="auto"/>
          </w:tcPr>
          <w:p w14:paraId="201451A0" w14:textId="77777777" w:rsidR="002E594A" w:rsidRPr="00E3331A" w:rsidRDefault="002E594A" w:rsidP="00BF30CC">
            <w:pPr>
              <w:pStyle w:val="Tabletext1"/>
            </w:pPr>
            <w:r>
              <w:t xml:space="preserve">AEs </w:t>
            </w:r>
          </w:p>
        </w:tc>
      </w:tr>
      <w:tr w:rsidR="009541B6" w:rsidRPr="00E3331A" w14:paraId="3B1570DC" w14:textId="77777777" w:rsidTr="009541B6">
        <w:tc>
          <w:tcPr>
            <w:tcW w:w="5000" w:type="pct"/>
            <w:gridSpan w:val="4"/>
            <w:shd w:val="clear" w:color="auto" w:fill="D0CECE" w:themeFill="background2" w:themeFillShade="E6"/>
          </w:tcPr>
          <w:p w14:paraId="0A74BA22" w14:textId="77777777" w:rsidR="009541B6" w:rsidRPr="009541B6" w:rsidRDefault="009541B6" w:rsidP="00914B37">
            <w:pPr>
              <w:pStyle w:val="Tabletext1"/>
              <w:rPr>
                <w:b/>
              </w:rPr>
            </w:pPr>
            <w:r w:rsidRPr="009541B6">
              <w:rPr>
                <w:b/>
              </w:rPr>
              <w:t>Long-term steroids</w:t>
            </w:r>
          </w:p>
        </w:tc>
      </w:tr>
      <w:tr w:rsidR="00BF30CC" w:rsidRPr="00E3331A" w14:paraId="0749525A" w14:textId="77777777" w:rsidTr="00BF30CC">
        <w:tc>
          <w:tcPr>
            <w:tcW w:w="862" w:type="pct"/>
            <w:shd w:val="clear" w:color="auto" w:fill="auto"/>
          </w:tcPr>
          <w:p w14:paraId="40977ED7" w14:textId="3D71F68F" w:rsidR="00BF30CC" w:rsidRDefault="00B727D6" w:rsidP="00914B37">
            <w:pPr>
              <w:pStyle w:val="Tabletext1"/>
            </w:pPr>
            <w:r>
              <w:fldChar w:fldCharType="begin"/>
            </w:r>
            <w:r>
              <w:instrText xml:space="preserve"> ADDIN EN.CITE &lt;EndNote&gt;&lt;Cite&gt;&lt;Author&gt;Huscher&lt;/Author&gt;&lt;Year&gt;2009&lt;/Year&gt;&lt;RecNum&gt;12&lt;/RecNum&gt;&lt;DisplayText&gt;(Huscher et al. 2009)&lt;/DisplayText&gt;&lt;record&gt;&lt;rec-number&gt;12&lt;/rec-number&gt;&lt;foreign-keys&gt;&lt;key app="EN" db-id="p29e2t021fx2sker0f4p99xad5t02xpedpxr" timestamp="1605656036"&gt;12&lt;/key&gt;&lt;/foreign-keys&gt;&lt;ref-type name="Journal Article"&gt;17&lt;/ref-type&gt;&lt;contributors&gt;&lt;authors&gt;&lt;author&gt;Huscher, D.&lt;/author&gt;&lt;author&gt;Thiele, K.&lt;/author&gt;&lt;author&gt;Gromnica-Ihle, E.&lt;/author&gt;&lt;author&gt;Hein, G.&lt;/author&gt;&lt;author&gt;Demary, W.&lt;/author&gt;&lt;author&gt;Dreher, R.&lt;/author&gt;&lt;author&gt;Zink, A.&lt;/author&gt;&lt;author&gt;Buttgereit, F.&lt;/author&gt;&lt;/authors&gt;&lt;/contributors&gt;&lt;auth-address&gt;German Rheumatism Research Centre Berlin, Epidemiology Unit, Berlin, Germany. huscher@drfz.de&lt;/auth-address&gt;&lt;titles&gt;&lt;title&gt;Dose-related patterns of glucocorticoid-induced side effects&lt;/title&gt;&lt;secondary-title&gt;Ann Rheum Dis&lt;/secondary-title&gt;&lt;/titles&gt;&lt;periodical&gt;&lt;full-title&gt;Ann Rheum Dis&lt;/full-title&gt;&lt;/periodical&gt;&lt;pages&gt;1119-24&lt;/pages&gt;&lt;volume&gt;68&lt;/volume&gt;&lt;number&gt;7&lt;/number&gt;&lt;edition&gt;2008/08/08&lt;/edition&gt;&lt;keywords&gt;&lt;keyword&gt;Arthritis, Rheumatoid/ drug therapy&lt;/keyword&gt;&lt;keyword&gt;Data Collection&lt;/keyword&gt;&lt;keyword&gt;Dose-Response Relationship, Drug&lt;/keyword&gt;&lt;keyword&gt;Female&lt;/keyword&gt;&lt;keyword&gt;Glucocorticoids/administration &amp;amp; dosage/ adverse effects&lt;/keyword&gt;&lt;keyword&gt;Humans&lt;/keyword&gt;&lt;keyword&gt;Male&lt;/keyword&gt;&lt;keyword&gt;Middle Aged&lt;/keyword&gt;&lt;keyword&gt;Risk Factors&lt;/keyword&gt;&lt;keyword&gt;Time Factors&lt;/keyword&gt;&lt;/keywords&gt;&lt;dates&gt;&lt;year&gt;2009&lt;/year&gt;&lt;pub-dates&gt;&lt;date&gt;Jul&lt;/date&gt;&lt;/pub-dates&gt;&lt;/dates&gt;&lt;isbn&gt;1468-2060 (Electronic)&amp;#xD;0003-4967 (Linking)&lt;/isbn&gt;&lt;accession-num&gt;18684744&lt;/accession-num&gt;&lt;urls&gt;&lt;related-urls&gt;&lt;url&gt;https://ard.bmj.com/content/annrheumdis/68/7/1119.full.pdf&lt;/url&gt;&lt;/related-urls&gt;&lt;/urls&gt;&lt;electronic-resource-num&gt;10.1136/ard.2008.092163&lt;/electronic-resource-num&gt;&lt;remote-database-provider&gt;NLM&lt;/remote-database-provider&gt;&lt;language&gt;eng&lt;/language&gt;&lt;/record&gt;&lt;/Cite&gt;&lt;/EndNote&gt;</w:instrText>
            </w:r>
            <w:r>
              <w:fldChar w:fldCharType="separate"/>
            </w:r>
            <w:r>
              <w:rPr>
                <w:noProof/>
              </w:rPr>
              <w:t>(</w:t>
            </w:r>
            <w:hyperlink w:anchor="_ENREF_29" w:tooltip="Huscher, 2009 #12" w:history="1">
              <w:r w:rsidR="00D726F6">
                <w:rPr>
                  <w:noProof/>
                </w:rPr>
                <w:t>Huscher et al. 2009</w:t>
              </w:r>
            </w:hyperlink>
            <w:r>
              <w:rPr>
                <w:noProof/>
              </w:rPr>
              <w:t>)</w:t>
            </w:r>
            <w:r>
              <w:fldChar w:fldCharType="end"/>
            </w:r>
          </w:p>
          <w:p w14:paraId="0EE9CC8F" w14:textId="77777777" w:rsidR="00BF30CC" w:rsidRDefault="00BF30CC" w:rsidP="00914B37">
            <w:pPr>
              <w:pStyle w:val="Tabletext1"/>
            </w:pPr>
            <w:r>
              <w:t>Germany</w:t>
            </w:r>
          </w:p>
          <w:p w14:paraId="3A59443E" w14:textId="77777777" w:rsidR="00BF30CC" w:rsidRDefault="00BF30CC" w:rsidP="00914B37">
            <w:pPr>
              <w:pStyle w:val="Tabletext1"/>
            </w:pPr>
            <w:r>
              <w:t>R O SC</w:t>
            </w:r>
          </w:p>
          <w:p w14:paraId="0D9BE481" w14:textId="77777777" w:rsidR="00BF30CC" w:rsidRPr="00E3331A" w:rsidRDefault="00BF30CC" w:rsidP="00914B37">
            <w:pPr>
              <w:pStyle w:val="Tabletext1"/>
            </w:pPr>
            <w:r>
              <w:t>Moderate</w:t>
            </w:r>
          </w:p>
        </w:tc>
        <w:tc>
          <w:tcPr>
            <w:tcW w:w="1808" w:type="pct"/>
            <w:shd w:val="clear" w:color="auto" w:fill="auto"/>
          </w:tcPr>
          <w:p w14:paraId="3099E482" w14:textId="77777777" w:rsidR="00BF30CC" w:rsidRDefault="00BF30CC" w:rsidP="00914B37">
            <w:pPr>
              <w:pStyle w:val="Tabletext1"/>
            </w:pPr>
            <w:r w:rsidRPr="00080648">
              <w:t xml:space="preserve">Patient data from a RA patient database, </w:t>
            </w:r>
          </w:p>
          <w:p w14:paraId="1AE0192F" w14:textId="77777777" w:rsidR="00BF30CC" w:rsidRPr="00E3331A" w:rsidRDefault="00BF30CC" w:rsidP="00914B37">
            <w:pPr>
              <w:pStyle w:val="Tabletext1"/>
            </w:pPr>
            <w:r>
              <w:t>P</w:t>
            </w:r>
            <w:r w:rsidRPr="00080648">
              <w:t>atients taking ongoing GC &gt; 6 months</w:t>
            </w:r>
            <w:r>
              <w:t xml:space="preserve"> n = 472</w:t>
            </w:r>
          </w:p>
        </w:tc>
        <w:tc>
          <w:tcPr>
            <w:tcW w:w="1573" w:type="pct"/>
            <w:shd w:val="clear" w:color="auto" w:fill="auto"/>
          </w:tcPr>
          <w:p w14:paraId="2232DE44" w14:textId="77777777" w:rsidR="00BF30CC" w:rsidRDefault="00BF30CC" w:rsidP="00914B37">
            <w:pPr>
              <w:pStyle w:val="Tabletext1"/>
            </w:pPr>
            <w:r>
              <w:t>GC</w:t>
            </w:r>
          </w:p>
          <w:p w14:paraId="1485A767" w14:textId="77777777" w:rsidR="00BF30CC" w:rsidRPr="00E3331A" w:rsidRDefault="00BF30CC" w:rsidP="00BF30CC">
            <w:pPr>
              <w:pStyle w:val="Tabletext1"/>
            </w:pPr>
            <w:r>
              <w:t>Dose categorisations: &lt; 5mg/day; 5-7.5 mg/day; &gt;7.5 mg/day</w:t>
            </w:r>
          </w:p>
        </w:tc>
        <w:tc>
          <w:tcPr>
            <w:tcW w:w="757" w:type="pct"/>
            <w:shd w:val="clear" w:color="auto" w:fill="auto"/>
          </w:tcPr>
          <w:p w14:paraId="6673E5F2" w14:textId="77777777" w:rsidR="00BF30CC" w:rsidRPr="00E3331A" w:rsidRDefault="00BF30CC" w:rsidP="00914B37">
            <w:pPr>
              <w:pStyle w:val="Tabletext1"/>
            </w:pPr>
            <w:r>
              <w:t>Dose comparison for individual AEs</w:t>
            </w:r>
          </w:p>
        </w:tc>
      </w:tr>
      <w:tr w:rsidR="00BF30CC" w:rsidRPr="00E3331A" w14:paraId="6903215D" w14:textId="77777777" w:rsidTr="00BF30CC">
        <w:tc>
          <w:tcPr>
            <w:tcW w:w="862" w:type="pct"/>
            <w:shd w:val="clear" w:color="auto" w:fill="auto"/>
          </w:tcPr>
          <w:p w14:paraId="22E90D94" w14:textId="580C90A8" w:rsidR="00BF30CC" w:rsidRDefault="00B727D6" w:rsidP="00914B37">
            <w:pPr>
              <w:pStyle w:val="Tabletext1"/>
            </w:pPr>
            <w:r>
              <w:fldChar w:fldCharType="begin"/>
            </w:r>
            <w:r>
              <w:instrText xml:space="preserve"> ADDIN EN.CITE &lt;EndNote&gt;&lt;Cite&gt;&lt;Author&gt;Rice&lt;/Author&gt;&lt;Year&gt;2017&lt;/Year&gt;&lt;RecNum&gt;11&lt;/RecNum&gt;&lt;DisplayText&gt;(Rice et al. 2017)&lt;/DisplayText&gt;&lt;record&gt;&lt;rec-number&gt;11&lt;/rec-number&gt;&lt;foreign-keys&gt;&lt;key app="EN" db-id="p29e2t021fx2sker0f4p99xad5t02xpedpxr" timestamp="1605656000"&gt;11&lt;/key&gt;&lt;/foreign-keys&gt;&lt;ref-type name="Journal Article"&gt;17&lt;/ref-type&gt;&lt;contributors&gt;&lt;authors&gt;&lt;author&gt;Rice, J. B.&lt;/author&gt;&lt;author&gt;White, A. G.&lt;/author&gt;&lt;author&gt;Scarpati, L. M.&lt;/author&gt;&lt;author&gt;Wan, G.&lt;/author&gt;&lt;author&gt;Nelson, W. W.&lt;/author&gt;&lt;/authors&gt;&lt;/contributors&gt;&lt;auth-address&gt;Analysis Group, Inc, Boston, Massachusetts. Electronic address: Brad.Rice@analysisgroup.com.&amp;#xD;Analysis Group, Inc, Boston, Massachusetts.&amp;#xD;Mallinckrodt Pharmaceuticals, Hampton, New Jersey.&lt;/auth-address&gt;&lt;titles&gt;&lt;title&gt;Long-term Systemic Corticosteroid Exposure: A Systematic Literature Review&lt;/title&gt;&lt;secondary-title&gt;Clin Ther&lt;/secondary-title&gt;&lt;/titles&gt;&lt;periodical&gt;&lt;full-title&gt;Clin Ther&lt;/full-title&gt;&lt;/periodical&gt;&lt;pages&gt;2216-2229&lt;/pages&gt;&lt;volume&gt;39&lt;/volume&gt;&lt;number&gt;11&lt;/number&gt;&lt;keywords&gt;&lt;keyword&gt;Adrenal Cortex Hormones/*administration &amp;amp; dosage/adverse effects/therapeutic use&lt;/keyword&gt;&lt;keyword&gt;Asthma/drug therapy&lt;/keyword&gt;&lt;keyword&gt;Costs and Cost Analysis&lt;/keyword&gt;&lt;keyword&gt;Diabetes Mellitus, Type 2/epidemiology&lt;/keyword&gt;&lt;keyword&gt;Gastrointestinal Diseases/chemically induced&lt;/keyword&gt;&lt;keyword&gt;Humans&lt;/keyword&gt;&lt;keyword&gt;Outcome Assessment, Health Care&lt;/keyword&gt;&lt;keyword&gt;Time Factors&lt;/keyword&gt;&lt;keyword&gt;adverse events&lt;/keyword&gt;&lt;keyword&gt;corticosteroids&lt;/keyword&gt;&lt;keyword&gt;costs&lt;/keyword&gt;&lt;keyword&gt;economic burden&lt;/keyword&gt;&lt;keyword&gt;long-term corticosteroid exposure&lt;/keyword&gt;&lt;/keywords&gt;&lt;dates&gt;&lt;year&gt;2017&lt;/year&gt;&lt;pub-dates&gt;&lt;date&gt;Nov&lt;/date&gt;&lt;/pub-dates&gt;&lt;/dates&gt;&lt;isbn&gt;1879-114X (Electronic)&amp;#xD;0149-2918 (Linking)&lt;/isbn&gt;&lt;accession-num&gt;29055500&lt;/accession-num&gt;&lt;urls&gt;&lt;related-urls&gt;&lt;url&gt;https://www.ncbi.nlm.nih.gov/pubmed/29055500&lt;/url&gt;&lt;/related-urls&gt;&lt;/urls&gt;&lt;electronic-resource-num&gt;10.1016/j.clinthera.2017.09.011&lt;/electronic-resource-num&gt;&lt;/record&gt;&lt;/Cite&gt;&lt;/EndNote&gt;</w:instrText>
            </w:r>
            <w:r>
              <w:fldChar w:fldCharType="separate"/>
            </w:r>
            <w:r>
              <w:rPr>
                <w:noProof/>
              </w:rPr>
              <w:t>(</w:t>
            </w:r>
            <w:hyperlink w:anchor="_ENREF_61" w:tooltip="Rice, 2017 #11" w:history="1">
              <w:r w:rsidR="00D726F6">
                <w:rPr>
                  <w:noProof/>
                </w:rPr>
                <w:t>Rice et al. 2017</w:t>
              </w:r>
            </w:hyperlink>
            <w:r>
              <w:rPr>
                <w:noProof/>
              </w:rPr>
              <w:t>)</w:t>
            </w:r>
            <w:r>
              <w:fldChar w:fldCharType="end"/>
            </w:r>
          </w:p>
          <w:p w14:paraId="61BABA29" w14:textId="77777777" w:rsidR="00BF30CC" w:rsidRDefault="00BF30CC" w:rsidP="00914B37">
            <w:pPr>
              <w:pStyle w:val="Tabletext1"/>
            </w:pPr>
            <w:r>
              <w:t>Multinational</w:t>
            </w:r>
          </w:p>
          <w:p w14:paraId="5384971A" w14:textId="77777777" w:rsidR="00BF30CC" w:rsidRDefault="00BF30CC" w:rsidP="00914B37">
            <w:pPr>
              <w:pStyle w:val="Tabletext1"/>
            </w:pPr>
            <w:r>
              <w:t>SR</w:t>
            </w:r>
          </w:p>
          <w:p w14:paraId="20A5A2FA" w14:textId="77777777" w:rsidR="00BF30CC" w:rsidRPr="00E3331A" w:rsidRDefault="00BF30CC" w:rsidP="00914B37">
            <w:pPr>
              <w:pStyle w:val="Tabletext1"/>
            </w:pPr>
            <w:r>
              <w:t>Moderate</w:t>
            </w:r>
          </w:p>
        </w:tc>
        <w:tc>
          <w:tcPr>
            <w:tcW w:w="1808" w:type="pct"/>
            <w:shd w:val="clear" w:color="auto" w:fill="auto"/>
          </w:tcPr>
          <w:p w14:paraId="0D6A2531" w14:textId="77777777" w:rsidR="00BF30CC" w:rsidRDefault="00BF30CC" w:rsidP="00914B37">
            <w:pPr>
              <w:pStyle w:val="Tabletext1"/>
            </w:pPr>
            <w:r>
              <w:t xml:space="preserve">Articles published between 2007 and 2016 reporting economic or utilisation data on </w:t>
            </w:r>
            <w:r w:rsidR="00464300">
              <w:t>G</w:t>
            </w:r>
            <w:r w:rsidR="000B6DBB">
              <w:t>C</w:t>
            </w:r>
          </w:p>
          <w:p w14:paraId="3C219082" w14:textId="77777777" w:rsidR="00BF30CC" w:rsidRDefault="00BF30CC" w:rsidP="00914B37">
            <w:pPr>
              <w:pStyle w:val="Tabletext1"/>
            </w:pPr>
            <w:r>
              <w:t>Included studies: k = 32</w:t>
            </w:r>
          </w:p>
          <w:p w14:paraId="6EB19E8B" w14:textId="77777777" w:rsidR="00BF30CC" w:rsidRPr="00E3331A" w:rsidRDefault="00BF30CC" w:rsidP="00BF30CC">
            <w:pPr>
              <w:pStyle w:val="Tabletext1"/>
            </w:pPr>
            <w:r>
              <w:t>Total patients: NR</w:t>
            </w:r>
          </w:p>
        </w:tc>
        <w:tc>
          <w:tcPr>
            <w:tcW w:w="1573" w:type="pct"/>
            <w:shd w:val="clear" w:color="auto" w:fill="auto"/>
          </w:tcPr>
          <w:p w14:paraId="2F1C3A1A" w14:textId="77777777" w:rsidR="00BF30CC" w:rsidRPr="00E3331A" w:rsidRDefault="00BF30CC" w:rsidP="00914B37">
            <w:pPr>
              <w:pStyle w:val="Tabletext1"/>
            </w:pPr>
            <w:r>
              <w:t>GC</w:t>
            </w:r>
          </w:p>
          <w:p w14:paraId="68EDB7CE" w14:textId="77777777" w:rsidR="00BF30CC" w:rsidRPr="00E3331A" w:rsidRDefault="00BF30CC" w:rsidP="00BF30CC">
            <w:pPr>
              <w:pStyle w:val="Tabletext1"/>
            </w:pPr>
          </w:p>
        </w:tc>
        <w:tc>
          <w:tcPr>
            <w:tcW w:w="757" w:type="pct"/>
            <w:shd w:val="clear" w:color="auto" w:fill="auto"/>
          </w:tcPr>
          <w:p w14:paraId="02B15B2B" w14:textId="77777777" w:rsidR="00BF30CC" w:rsidRPr="00E3331A" w:rsidRDefault="00BF30CC" w:rsidP="00BF30CC">
            <w:pPr>
              <w:pStyle w:val="Tabletext1"/>
            </w:pPr>
            <w:r>
              <w:t xml:space="preserve">Individual AE prevalence rates </w:t>
            </w:r>
          </w:p>
        </w:tc>
      </w:tr>
      <w:tr w:rsidR="00BF30CC" w:rsidRPr="00E3331A" w14:paraId="4367A156" w14:textId="77777777" w:rsidTr="00BF30CC">
        <w:tc>
          <w:tcPr>
            <w:tcW w:w="862" w:type="pct"/>
            <w:shd w:val="clear" w:color="auto" w:fill="auto"/>
          </w:tcPr>
          <w:p w14:paraId="3823D517" w14:textId="75166C86" w:rsidR="00BF30CC" w:rsidRDefault="00B727D6" w:rsidP="00914B37">
            <w:pPr>
              <w:pStyle w:val="Tabletext1"/>
            </w:pPr>
            <w:r>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instrText xml:space="preserve"> ADDIN EN.CITE </w:instrText>
            </w:r>
            <w:r>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instrText xml:space="preserve"> ADDIN EN.CITE.DATA </w:instrText>
            </w:r>
            <w:r>
              <w:fldChar w:fldCharType="end"/>
            </w:r>
            <w:r>
              <w:fldChar w:fldCharType="separate"/>
            </w:r>
            <w:r>
              <w:rPr>
                <w:noProof/>
              </w:rPr>
              <w:t>(</w:t>
            </w:r>
            <w:hyperlink w:anchor="_ENREF_73" w:tooltip="van Lieverloo, 2018 #13" w:history="1">
              <w:r w:rsidR="00D726F6">
                <w:rPr>
                  <w:noProof/>
                </w:rPr>
                <w:t>van Lieverloo et al. 2018</w:t>
              </w:r>
            </w:hyperlink>
            <w:r>
              <w:rPr>
                <w:noProof/>
              </w:rPr>
              <w:t>)</w:t>
            </w:r>
            <w:r>
              <w:fldChar w:fldCharType="end"/>
            </w:r>
          </w:p>
          <w:p w14:paraId="51B297D7" w14:textId="77777777" w:rsidR="00BF30CC" w:rsidRDefault="00BF30CC" w:rsidP="00914B37">
            <w:pPr>
              <w:pStyle w:val="Tabletext1"/>
            </w:pPr>
            <w:r>
              <w:t>Serbia; The Netherlands; Italy</w:t>
            </w:r>
          </w:p>
          <w:p w14:paraId="4B77EDB2" w14:textId="77777777" w:rsidR="00BF30CC" w:rsidRDefault="00BF30CC" w:rsidP="00914B37">
            <w:pPr>
              <w:pStyle w:val="Tabletext1"/>
            </w:pPr>
            <w:r>
              <w:t>R MC</w:t>
            </w:r>
          </w:p>
          <w:p w14:paraId="52E6904B" w14:textId="77777777" w:rsidR="00BF30CC" w:rsidRPr="00E3331A" w:rsidRDefault="00BF30CC" w:rsidP="00914B37">
            <w:pPr>
              <w:pStyle w:val="Tabletext1"/>
            </w:pPr>
            <w:r>
              <w:t>Moderate</w:t>
            </w:r>
          </w:p>
        </w:tc>
        <w:tc>
          <w:tcPr>
            <w:tcW w:w="1808" w:type="pct"/>
            <w:shd w:val="clear" w:color="auto" w:fill="auto"/>
          </w:tcPr>
          <w:p w14:paraId="723A63C9" w14:textId="77777777" w:rsidR="00BF30CC" w:rsidRDefault="00BF30CC" w:rsidP="00BF30CC">
            <w:pPr>
              <w:pStyle w:val="Tabletext1"/>
            </w:pPr>
            <w:r>
              <w:t>Patient data on from 3 large CIDP centres; Patients with treatment naïve CIDP; patients who underwent first-line treatment with corticosteroids</w:t>
            </w:r>
          </w:p>
          <w:p w14:paraId="45130E5B" w14:textId="77777777" w:rsidR="00BF30CC" w:rsidRPr="00E3331A" w:rsidRDefault="00BF30CC" w:rsidP="00BF30CC">
            <w:pPr>
              <w:pStyle w:val="Tabletext1"/>
            </w:pPr>
            <w:r>
              <w:t xml:space="preserve">Patients: n = </w:t>
            </w:r>
            <w:r w:rsidR="00410F4B">
              <w:t>125</w:t>
            </w:r>
          </w:p>
        </w:tc>
        <w:tc>
          <w:tcPr>
            <w:tcW w:w="1573" w:type="pct"/>
            <w:shd w:val="clear" w:color="auto" w:fill="auto"/>
          </w:tcPr>
          <w:p w14:paraId="071A881D" w14:textId="77777777" w:rsidR="00BF30CC" w:rsidRDefault="00BF30CC" w:rsidP="00914B37">
            <w:pPr>
              <w:pStyle w:val="Tabletext1"/>
            </w:pPr>
            <w:r>
              <w:t>Prednisone or prednisolone n = 67 (54%)</w:t>
            </w:r>
          </w:p>
          <w:p w14:paraId="1FE465DA" w14:textId="77777777" w:rsidR="00BF30CC" w:rsidRDefault="00BF30CC" w:rsidP="00914B37">
            <w:pPr>
              <w:pStyle w:val="Tabletext1"/>
            </w:pPr>
            <w:r>
              <w:t>Pulsed dexamethasone n = 37 (30%)</w:t>
            </w:r>
          </w:p>
          <w:p w14:paraId="18242135" w14:textId="77777777" w:rsidR="00BF30CC" w:rsidRPr="00E3331A" w:rsidRDefault="00BF30CC" w:rsidP="00914B37">
            <w:pPr>
              <w:pStyle w:val="Tabletext1"/>
            </w:pPr>
            <w:r>
              <w:t>Pulsed IV MP 21 (17%)</w:t>
            </w:r>
          </w:p>
        </w:tc>
        <w:tc>
          <w:tcPr>
            <w:tcW w:w="757" w:type="pct"/>
            <w:shd w:val="clear" w:color="auto" w:fill="auto"/>
          </w:tcPr>
          <w:p w14:paraId="3D1AACE5" w14:textId="77777777" w:rsidR="00BF30CC" w:rsidRPr="00E3331A" w:rsidRDefault="00BF30CC" w:rsidP="00914B37">
            <w:pPr>
              <w:pStyle w:val="Tabletext1"/>
            </w:pPr>
            <w:r>
              <w:t>Moderate and severe AEs</w:t>
            </w:r>
          </w:p>
        </w:tc>
      </w:tr>
      <w:tr w:rsidR="00BF30CC" w:rsidRPr="00E3331A" w14:paraId="4E90D131" w14:textId="77777777" w:rsidTr="00BF30CC">
        <w:tc>
          <w:tcPr>
            <w:tcW w:w="862" w:type="pct"/>
            <w:shd w:val="clear" w:color="auto" w:fill="auto"/>
          </w:tcPr>
          <w:p w14:paraId="79A53967" w14:textId="784E354E" w:rsidR="00BF30CC" w:rsidRDefault="00B727D6" w:rsidP="00914B37">
            <w:pPr>
              <w:pStyle w:val="Tabletext1"/>
            </w:pPr>
            <w:r>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instrText xml:space="preserve"> ADDIN EN.CITE </w:instrText>
            </w:r>
            <w:r>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instrText xml:space="preserve"> ADDIN EN.CITE.DATA </w:instrText>
            </w:r>
            <w:r>
              <w:fldChar w:fldCharType="end"/>
            </w:r>
            <w:r>
              <w:fldChar w:fldCharType="separate"/>
            </w:r>
            <w:r>
              <w:rPr>
                <w:noProof/>
              </w:rPr>
              <w:t>(</w:t>
            </w:r>
            <w:hyperlink w:anchor="_ENREF_82" w:tooltip="Wilson, 2017 #3" w:history="1">
              <w:r w:rsidR="00D726F6">
                <w:rPr>
                  <w:noProof/>
                </w:rPr>
                <w:t>Wilson, J. C. et al. 2017b</w:t>
              </w:r>
            </w:hyperlink>
            <w:r>
              <w:rPr>
                <w:noProof/>
              </w:rPr>
              <w:t>)</w:t>
            </w:r>
            <w:r>
              <w:fldChar w:fldCharType="end"/>
            </w:r>
          </w:p>
          <w:p w14:paraId="52982A77" w14:textId="77777777" w:rsidR="00BF30CC" w:rsidRDefault="00BF30CC" w:rsidP="00914B37">
            <w:pPr>
              <w:pStyle w:val="Tabletext1"/>
            </w:pPr>
            <w:r>
              <w:t>UK</w:t>
            </w:r>
          </w:p>
          <w:p w14:paraId="32A1EF6C" w14:textId="77777777" w:rsidR="00BF30CC" w:rsidRDefault="00BF30CC" w:rsidP="00914B37">
            <w:pPr>
              <w:pStyle w:val="Tabletext1"/>
            </w:pPr>
            <w:r>
              <w:t>R M</w:t>
            </w:r>
            <w:r w:rsidR="00464300">
              <w:t xml:space="preserve">C </w:t>
            </w:r>
            <w:r>
              <w:t>Co</w:t>
            </w:r>
          </w:p>
          <w:p w14:paraId="096AD40F" w14:textId="77777777" w:rsidR="00BF30CC" w:rsidRPr="00E3331A" w:rsidRDefault="00BF30CC" w:rsidP="00914B37">
            <w:pPr>
              <w:pStyle w:val="Tabletext1"/>
            </w:pPr>
            <w:r>
              <w:t>Moderate</w:t>
            </w:r>
          </w:p>
        </w:tc>
        <w:tc>
          <w:tcPr>
            <w:tcW w:w="1808" w:type="pct"/>
            <w:shd w:val="clear" w:color="auto" w:fill="auto"/>
          </w:tcPr>
          <w:p w14:paraId="62560469" w14:textId="77777777" w:rsidR="00BF30CC" w:rsidRDefault="00BF30CC" w:rsidP="00BF30CC">
            <w:pPr>
              <w:pStyle w:val="Tabletext1"/>
            </w:pPr>
            <w:r>
              <w:t>Patient d</w:t>
            </w:r>
            <w:r w:rsidRPr="008968A9">
              <w:t xml:space="preserve">ata from a UK database CPRD on all patients 50 y and older who had </w:t>
            </w:r>
            <w:r>
              <w:t xml:space="preserve">a </w:t>
            </w:r>
            <w:r w:rsidRPr="008968A9">
              <w:t>GCA diagnosis</w:t>
            </w:r>
            <w:r>
              <w:t>,</w:t>
            </w:r>
            <w:r w:rsidRPr="008968A9">
              <w:t xml:space="preserve"> at least one prednisolone prescription </w:t>
            </w:r>
          </w:p>
          <w:p w14:paraId="18F41C7E" w14:textId="77777777" w:rsidR="00BF30CC" w:rsidRPr="00E3331A" w:rsidRDefault="00410F4B" w:rsidP="00410F4B">
            <w:pPr>
              <w:pStyle w:val="Tabletext1"/>
            </w:pPr>
            <w:r>
              <w:t>Patients: n = 5011</w:t>
            </w:r>
          </w:p>
        </w:tc>
        <w:tc>
          <w:tcPr>
            <w:tcW w:w="1573" w:type="pct"/>
            <w:shd w:val="clear" w:color="auto" w:fill="auto"/>
          </w:tcPr>
          <w:p w14:paraId="67F5DA46" w14:textId="77777777" w:rsidR="00BF30CC" w:rsidRPr="00E3331A" w:rsidRDefault="00BF30CC" w:rsidP="00914B37">
            <w:pPr>
              <w:pStyle w:val="Tabletext1"/>
            </w:pPr>
            <w:r>
              <w:t>Prednisolone</w:t>
            </w:r>
          </w:p>
        </w:tc>
        <w:tc>
          <w:tcPr>
            <w:tcW w:w="757" w:type="pct"/>
            <w:shd w:val="clear" w:color="auto" w:fill="auto"/>
          </w:tcPr>
          <w:p w14:paraId="5DC39ABA" w14:textId="77777777" w:rsidR="00BF30CC" w:rsidRDefault="00BF30CC" w:rsidP="00914B37">
            <w:pPr>
              <w:pStyle w:val="Tabletext1"/>
            </w:pPr>
            <w:r>
              <w:t>AEs n (% patients)</w:t>
            </w:r>
          </w:p>
          <w:p w14:paraId="3413AF9B" w14:textId="77777777" w:rsidR="00BF30CC" w:rsidRPr="00971C39" w:rsidRDefault="00BF30CC" w:rsidP="00914B37">
            <w:pPr>
              <w:pStyle w:val="Tabletext1"/>
              <w:rPr>
                <w:vertAlign w:val="superscript"/>
              </w:rPr>
            </w:pPr>
            <w:r>
              <w:t>All 2190 (43.7%)</w:t>
            </w:r>
            <w:r>
              <w:rPr>
                <w:vertAlign w:val="superscript"/>
              </w:rPr>
              <w:t>a</w:t>
            </w:r>
          </w:p>
          <w:p w14:paraId="7244A592" w14:textId="77777777" w:rsidR="00BF30CC" w:rsidRPr="00E3331A" w:rsidRDefault="00BF30CC" w:rsidP="00914B37">
            <w:pPr>
              <w:pStyle w:val="Tabletext1"/>
            </w:pPr>
          </w:p>
        </w:tc>
      </w:tr>
      <w:tr w:rsidR="008C43AF" w:rsidRPr="008C43AF" w14:paraId="7B2C7AF4" w14:textId="77777777" w:rsidTr="008C43AF">
        <w:tc>
          <w:tcPr>
            <w:tcW w:w="5000" w:type="pct"/>
            <w:gridSpan w:val="4"/>
            <w:shd w:val="clear" w:color="auto" w:fill="D9D9D9" w:themeFill="background1" w:themeFillShade="D9"/>
          </w:tcPr>
          <w:p w14:paraId="24B62815" w14:textId="77777777" w:rsidR="008C43AF" w:rsidRPr="008C43AF" w:rsidRDefault="008C43AF" w:rsidP="00914B37">
            <w:pPr>
              <w:pStyle w:val="Tabletext1"/>
              <w:rPr>
                <w:b/>
              </w:rPr>
            </w:pPr>
            <w:r w:rsidRPr="008C43AF">
              <w:rPr>
                <w:b/>
              </w:rPr>
              <w:t>Long-term IVIg</w:t>
            </w:r>
          </w:p>
        </w:tc>
      </w:tr>
      <w:tr w:rsidR="008C43AF" w:rsidRPr="00E3331A" w14:paraId="6FEC90C1" w14:textId="77777777" w:rsidTr="00BF30CC">
        <w:tc>
          <w:tcPr>
            <w:tcW w:w="862" w:type="pct"/>
            <w:shd w:val="clear" w:color="auto" w:fill="auto"/>
          </w:tcPr>
          <w:p w14:paraId="7475CDDC" w14:textId="6B5FEF70" w:rsidR="008C43AF" w:rsidRDefault="00B727D6" w:rsidP="008C43AF">
            <w:pPr>
              <w:pStyle w:val="Tabletext1"/>
            </w:pPr>
            <w:r>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fldChar w:fldCharType="separate"/>
            </w:r>
            <w:r>
              <w:rPr>
                <w:noProof/>
              </w:rPr>
              <w:t>(</w:t>
            </w:r>
            <w:hyperlink w:anchor="_ENREF_77" w:tooltip="Waheed, 2019 #14" w:history="1">
              <w:r w:rsidR="00D726F6">
                <w:rPr>
                  <w:noProof/>
                </w:rPr>
                <w:t>Waheed et al. 2019</w:t>
              </w:r>
            </w:hyperlink>
            <w:r>
              <w:rPr>
                <w:noProof/>
              </w:rPr>
              <w:t>)</w:t>
            </w:r>
            <w:r>
              <w:fldChar w:fldCharType="end"/>
            </w:r>
          </w:p>
          <w:p w14:paraId="66676E6D" w14:textId="77777777" w:rsidR="008C43AF" w:rsidRDefault="008C43AF" w:rsidP="008C43AF">
            <w:pPr>
              <w:pStyle w:val="Tabletext1"/>
            </w:pPr>
            <w:r>
              <w:t>US</w:t>
            </w:r>
          </w:p>
          <w:p w14:paraId="29042F07" w14:textId="77777777" w:rsidR="008C43AF" w:rsidRDefault="008C43AF" w:rsidP="008C43AF">
            <w:pPr>
              <w:pStyle w:val="Tabletext1"/>
            </w:pPr>
            <w:r>
              <w:t>R O MC</w:t>
            </w:r>
          </w:p>
          <w:p w14:paraId="208CFACF" w14:textId="77777777" w:rsidR="008C43AF" w:rsidRDefault="008C43AF" w:rsidP="008C43AF">
            <w:pPr>
              <w:pStyle w:val="Tabletext1"/>
            </w:pPr>
            <w:r>
              <w:t>Moderate</w:t>
            </w:r>
          </w:p>
        </w:tc>
        <w:tc>
          <w:tcPr>
            <w:tcW w:w="1808" w:type="pct"/>
            <w:shd w:val="clear" w:color="auto" w:fill="auto"/>
          </w:tcPr>
          <w:p w14:paraId="5B7E93D1" w14:textId="77777777" w:rsidR="008C43AF" w:rsidRPr="008C43AF" w:rsidRDefault="008C43AF" w:rsidP="008C43AF">
            <w:pPr>
              <w:pStyle w:val="Tabletext1"/>
            </w:pPr>
            <w:r w:rsidRPr="008C43AF">
              <w:t xml:space="preserve">Database provided by a infusion provider company; infusions provided in homes or pharmaceutical centres (outpatient setting); patients with neuromuscular disorders </w:t>
            </w:r>
          </w:p>
          <w:p w14:paraId="21F990BE" w14:textId="77777777" w:rsidR="008C43AF" w:rsidRPr="008C43AF" w:rsidRDefault="008C43AF" w:rsidP="008C43AF">
            <w:pPr>
              <w:pStyle w:val="Tabletext1"/>
            </w:pPr>
            <w:r w:rsidRPr="008C43AF">
              <w:t xml:space="preserve">All patients : n = 438 </w:t>
            </w:r>
          </w:p>
          <w:p w14:paraId="7E329E5D" w14:textId="77777777" w:rsidR="008C43AF" w:rsidRDefault="008C43AF" w:rsidP="008C43AF">
            <w:pPr>
              <w:pStyle w:val="Tabletext1"/>
            </w:pPr>
            <w:r w:rsidRPr="008C43AF">
              <w:t>CIDP = 221</w:t>
            </w:r>
          </w:p>
        </w:tc>
        <w:tc>
          <w:tcPr>
            <w:tcW w:w="1573" w:type="pct"/>
            <w:shd w:val="clear" w:color="auto" w:fill="auto"/>
          </w:tcPr>
          <w:p w14:paraId="76F251B7" w14:textId="77777777" w:rsidR="008C43AF" w:rsidRDefault="008C43AF" w:rsidP="00914B37">
            <w:pPr>
              <w:pStyle w:val="Tabletext1"/>
            </w:pPr>
            <w:r>
              <w:t>IVIg</w:t>
            </w:r>
          </w:p>
          <w:p w14:paraId="4935C41A" w14:textId="77777777" w:rsidR="008C43AF" w:rsidRDefault="008C43AF" w:rsidP="008C43AF">
            <w:pPr>
              <w:pStyle w:val="Tabletext1"/>
            </w:pPr>
            <w:r>
              <w:t>Infusions all: 5867</w:t>
            </w:r>
          </w:p>
          <w:p w14:paraId="2EB10591" w14:textId="77777777" w:rsidR="008C43AF" w:rsidRDefault="008C43AF" w:rsidP="008C43AF">
            <w:pPr>
              <w:pStyle w:val="Tabletext1"/>
            </w:pPr>
            <w:r>
              <w:t>Infusions CIDP: 3256</w:t>
            </w:r>
          </w:p>
        </w:tc>
        <w:tc>
          <w:tcPr>
            <w:tcW w:w="757" w:type="pct"/>
            <w:shd w:val="clear" w:color="auto" w:fill="auto"/>
          </w:tcPr>
          <w:p w14:paraId="582F69A2" w14:textId="77777777" w:rsidR="008C43AF" w:rsidRDefault="008C43AF" w:rsidP="00914B37">
            <w:pPr>
              <w:pStyle w:val="Tabletext1"/>
            </w:pPr>
            <w:r>
              <w:t>AEs</w:t>
            </w:r>
          </w:p>
          <w:p w14:paraId="2DF46383" w14:textId="77777777" w:rsidR="008C43AF" w:rsidRDefault="008C43AF" w:rsidP="00914B37">
            <w:pPr>
              <w:pStyle w:val="Tabletext1"/>
            </w:pPr>
            <w:r>
              <w:t>SAEs</w:t>
            </w:r>
          </w:p>
          <w:p w14:paraId="139A7581" w14:textId="77777777" w:rsidR="008C43AF" w:rsidRDefault="008C43AF" w:rsidP="00914B37">
            <w:pPr>
              <w:pStyle w:val="Tabletext1"/>
            </w:pPr>
            <w:r>
              <w:t>Dose analysis</w:t>
            </w:r>
          </w:p>
          <w:p w14:paraId="279A9255" w14:textId="77777777" w:rsidR="008C43AF" w:rsidRDefault="008C43AF" w:rsidP="00914B37">
            <w:pPr>
              <w:pStyle w:val="Tabletext1"/>
            </w:pPr>
            <w:r>
              <w:t>Number of treatments analysis</w:t>
            </w:r>
          </w:p>
        </w:tc>
      </w:tr>
    </w:tbl>
    <w:p w14:paraId="617A400F" w14:textId="77777777" w:rsidR="000B6DBB" w:rsidRPr="00E3331A" w:rsidRDefault="000B6DBB" w:rsidP="000B6DBB">
      <w:pPr>
        <w:pStyle w:val="Tablenotes1"/>
        <w:jc w:val="both"/>
        <w:rPr>
          <w:rStyle w:val="TablenotesChar0"/>
        </w:rPr>
      </w:pPr>
      <w:r w:rsidRPr="000B6DBB">
        <w:rPr>
          <w:rStyle w:val="TablenotesChar0"/>
        </w:rPr>
        <w:t xml:space="preserve">Abbreviations: AE = adverse event; C = comparator; CIDP = chronic inflammatory demyelinating polyneuropathy; Co = Cohort; CPRD = </w:t>
      </w:r>
      <w:r w:rsidRPr="000B6DBB">
        <w:t xml:space="preserve">Clinical Practice Research Datalink; GBS = Guillain Barre Syndrome; </w:t>
      </w:r>
      <w:r w:rsidRPr="000B6DBB">
        <w:rPr>
          <w:rStyle w:val="TablenotesChar0"/>
        </w:rPr>
        <w:t>GC = glucocorticoids; GCA = giant cell arteritis; I = intervention; IVIg = intravenous immunoglobulin; MC = multicentre;</w:t>
      </w:r>
      <w:r w:rsidRPr="000B6DBB">
        <w:t xml:space="preserve"> MG = myasthenia gravis; MP = methylprednisolone; NR = not reported; O = observational study; PE = plasma exchange; R = retrospective; RA = rheumatoid arthritis; RCT = randomised controlled trial; SC= single centre; SR = systemic review</w:t>
      </w:r>
    </w:p>
    <w:p w14:paraId="29F87AB5" w14:textId="77777777" w:rsidR="008D77C9" w:rsidRPr="00E3331A" w:rsidRDefault="008D77C9" w:rsidP="003E4E1F">
      <w:pPr>
        <w:pStyle w:val="Heading2"/>
        <w:numPr>
          <w:ilvl w:val="1"/>
          <w:numId w:val="9"/>
        </w:numPr>
      </w:pPr>
      <w:bookmarkStart w:id="147" w:name="_Toc69305553"/>
      <w:r w:rsidRPr="00E3331A">
        <w:t>Outcome</w:t>
      </w:r>
      <w:r w:rsidR="0060025E" w:rsidRPr="00E3331A">
        <w:t xml:space="preserve"> Measure</w:t>
      </w:r>
      <w:r w:rsidRPr="00E3331A">
        <w:t>s</w:t>
      </w:r>
      <w:r w:rsidR="0060025E" w:rsidRPr="00E3331A">
        <w:t xml:space="preserve"> and Analysis</w:t>
      </w:r>
      <w:bookmarkEnd w:id="147"/>
    </w:p>
    <w:p w14:paraId="3C8843E0" w14:textId="0AE9B3E7" w:rsidR="00126688" w:rsidRDefault="00126688" w:rsidP="0067316B">
      <w:pPr>
        <w:jc w:val="both"/>
      </w:pPr>
      <w:r>
        <w:t xml:space="preserve">Tools used in the measurement of treatment outcomes discussed in this report are listed in </w:t>
      </w:r>
      <w:r>
        <w:fldChar w:fldCharType="begin"/>
      </w:r>
      <w:r>
        <w:instrText xml:space="preserve"> REF _Ref8730087 \h </w:instrText>
      </w:r>
      <w:r w:rsidR="0067316B">
        <w:instrText xml:space="preserve"> \* MERGEFORMAT </w:instrText>
      </w:r>
      <w:r>
        <w:fldChar w:fldCharType="separate"/>
      </w:r>
      <w:r w:rsidR="004B3EA2" w:rsidRPr="00E3331A">
        <w:t xml:space="preserve">Table </w:t>
      </w:r>
      <w:r w:rsidR="004B3EA2">
        <w:rPr>
          <w:noProof/>
        </w:rPr>
        <w:t>10</w:t>
      </w:r>
      <w:r>
        <w:fldChar w:fldCharType="end"/>
      </w:r>
      <w:r>
        <w:t xml:space="preserve">. </w:t>
      </w:r>
      <w:r w:rsidR="006E0BA7">
        <w:t>Further detail</w:t>
      </w:r>
      <w:r w:rsidR="0067316B">
        <w:t>s</w:t>
      </w:r>
      <w:r w:rsidR="006E0BA7">
        <w:t xml:space="preserve"> of the assessment domains are included in the discussion of outcomes in Section B.6.</w:t>
      </w:r>
      <w:r w:rsidR="0067316B">
        <w:t xml:space="preserve"> The tools</w:t>
      </w:r>
      <w:r w:rsidR="0067316B" w:rsidRPr="00E3331A">
        <w:t xml:space="preserve"> measure a range of outcomes including strength impairment, sensory dysfunction and disability</w:t>
      </w:r>
      <w:r w:rsidR="0067316B">
        <w:t>, us</w:t>
      </w:r>
      <w:r w:rsidR="001850C6">
        <w:t>ing a range of scales</w:t>
      </w:r>
      <w:r w:rsidR="0067316B" w:rsidRPr="00E3331A">
        <w:t xml:space="preserve">. </w:t>
      </w:r>
    </w:p>
    <w:p w14:paraId="52A0C536" w14:textId="77777777" w:rsidR="006E0BA7" w:rsidRDefault="00632BCA" w:rsidP="0067316B">
      <w:pPr>
        <w:jc w:val="both"/>
      </w:pPr>
      <w:r w:rsidRPr="00E3331A">
        <w:t>Version 3 of ‘</w:t>
      </w:r>
      <w:r w:rsidRPr="00E3331A">
        <w:rPr>
          <w:i/>
        </w:rPr>
        <w:t xml:space="preserve">the Criteria’ </w:t>
      </w:r>
      <w:r w:rsidRPr="00E3331A">
        <w:t xml:space="preserve">restricts use of Ig in CIDP patients according to </w:t>
      </w:r>
      <w:r w:rsidR="0067316B">
        <w:t>the tools</w:t>
      </w:r>
      <w:r w:rsidR="000B6DBB">
        <w:t xml:space="preserve"> Overall Neuropathy Limitations Scale (</w:t>
      </w:r>
      <w:r w:rsidRPr="00E3331A">
        <w:t>ONLS</w:t>
      </w:r>
      <w:r w:rsidR="000B6DBB">
        <w:t>)</w:t>
      </w:r>
      <w:r w:rsidRPr="00E3331A">
        <w:t xml:space="preserve"> or </w:t>
      </w:r>
      <w:r w:rsidR="000B6DBB">
        <w:t>Medical Research Council (</w:t>
      </w:r>
      <w:r w:rsidRPr="00E3331A">
        <w:t>MRC</w:t>
      </w:r>
      <w:r w:rsidR="000B6DBB">
        <w:t>)</w:t>
      </w:r>
      <w:r w:rsidRPr="00E3331A">
        <w:t xml:space="preserve"> </w:t>
      </w:r>
      <w:r w:rsidR="001B576E">
        <w:t>Sum</w:t>
      </w:r>
      <w:r w:rsidRPr="00E3331A">
        <w:t xml:space="preserve"> Scores</w:t>
      </w:r>
      <w:r w:rsidR="006E0BA7">
        <w:t xml:space="preserve"> in adults, and </w:t>
      </w:r>
      <w:r w:rsidR="000F151F">
        <w:t>the Modified Rankin Scale (</w:t>
      </w:r>
      <w:r w:rsidR="006E0BA7">
        <w:t>MR</w:t>
      </w:r>
      <w:r w:rsidR="000F151F">
        <w:t>S)</w:t>
      </w:r>
      <w:r w:rsidR="006E0BA7">
        <w:t xml:space="preserve"> score and walk time in children, </w:t>
      </w:r>
      <w:r w:rsidRPr="00E3331A">
        <w:t xml:space="preserve">as they do not require specialist equipment for patient evaluation. </w:t>
      </w:r>
      <w:r w:rsidR="006E0BA7">
        <w:t>However</w:t>
      </w:r>
      <w:r w:rsidR="0067316B">
        <w:t>,</w:t>
      </w:r>
      <w:r w:rsidR="006E0BA7">
        <w:t xml:space="preserve"> these </w:t>
      </w:r>
      <w:r w:rsidR="00352170">
        <w:t xml:space="preserve">tools </w:t>
      </w:r>
      <w:r w:rsidR="006E0BA7">
        <w:t>were seen infrequently in the literature assessed for this update report.</w:t>
      </w:r>
    </w:p>
    <w:p w14:paraId="7CBA847A" w14:textId="02123221" w:rsidR="00761A75" w:rsidRPr="00E3331A" w:rsidRDefault="00761A75" w:rsidP="00761A75">
      <w:pPr>
        <w:pStyle w:val="Caption"/>
        <w:ind w:left="1134" w:hanging="1134"/>
      </w:pPr>
      <w:bookmarkStart w:id="148" w:name="_Ref8730087"/>
      <w:bookmarkStart w:id="149" w:name="_Toc69305651"/>
      <w:r w:rsidRPr="00E3331A">
        <w:t xml:space="preserve">Table </w:t>
      </w:r>
      <w:r w:rsidR="0028710E" w:rsidRPr="00E3331A">
        <w:rPr>
          <w:noProof/>
        </w:rPr>
        <w:fldChar w:fldCharType="begin"/>
      </w:r>
      <w:r w:rsidR="0028710E" w:rsidRPr="00E3331A">
        <w:rPr>
          <w:noProof/>
        </w:rPr>
        <w:instrText xml:space="preserve"> SEQ Table \* ARABIC </w:instrText>
      </w:r>
      <w:r w:rsidR="0028710E" w:rsidRPr="00E3331A">
        <w:rPr>
          <w:noProof/>
        </w:rPr>
        <w:fldChar w:fldCharType="separate"/>
      </w:r>
      <w:r w:rsidR="004B3EA2">
        <w:rPr>
          <w:noProof/>
        </w:rPr>
        <w:t>10</w:t>
      </w:r>
      <w:r w:rsidR="0028710E" w:rsidRPr="00E3331A">
        <w:rPr>
          <w:noProof/>
        </w:rPr>
        <w:fldChar w:fldCharType="end"/>
      </w:r>
      <w:bookmarkEnd w:id="148"/>
      <w:r w:rsidRPr="00E3331A">
        <w:t xml:space="preserve"> </w:t>
      </w:r>
      <w:r w:rsidRPr="00E3331A">
        <w:tab/>
        <w:t>List and description of currently validated scales suitable for use in CIDP</w:t>
      </w:r>
      <w:bookmarkEnd w:id="14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List and description of currently validated scales suitable for use in CIDP"/>
        <w:tblDescription w:val="List and description of currently validated scales suitable for use in CIDP"/>
      </w:tblPr>
      <w:tblGrid>
        <w:gridCol w:w="1577"/>
        <w:gridCol w:w="2799"/>
        <w:gridCol w:w="2829"/>
        <w:gridCol w:w="1548"/>
      </w:tblGrid>
      <w:tr w:rsidR="00506328" w:rsidRPr="00E3331A" w14:paraId="547005FF" w14:textId="77777777" w:rsidTr="00C56114">
        <w:tc>
          <w:tcPr>
            <w:tcW w:w="901" w:type="pct"/>
            <w:shd w:val="clear" w:color="auto" w:fill="auto"/>
            <w:vAlign w:val="center"/>
          </w:tcPr>
          <w:p w14:paraId="1A7930B0" w14:textId="77777777" w:rsidR="00506328" w:rsidRPr="00E3331A" w:rsidRDefault="00506328" w:rsidP="002A2FE7">
            <w:pPr>
              <w:pStyle w:val="TableHeading"/>
              <w:rPr>
                <w:snapToGrid w:val="0"/>
                <w:lang w:eastAsia="en-US"/>
              </w:rPr>
            </w:pPr>
            <w:bookmarkStart w:id="150" w:name="_Hlk8642632"/>
            <w:r w:rsidRPr="00E3331A">
              <w:rPr>
                <w:snapToGrid w:val="0"/>
                <w:lang w:eastAsia="en-US"/>
              </w:rPr>
              <w:t>Scale</w:t>
            </w:r>
          </w:p>
        </w:tc>
        <w:tc>
          <w:tcPr>
            <w:tcW w:w="1599" w:type="pct"/>
            <w:shd w:val="clear" w:color="auto" w:fill="auto"/>
            <w:vAlign w:val="center"/>
          </w:tcPr>
          <w:p w14:paraId="364D86DC" w14:textId="77777777" w:rsidR="00506328" w:rsidRPr="00E3331A" w:rsidRDefault="00506328" w:rsidP="002A2FE7">
            <w:pPr>
              <w:pStyle w:val="TableHeading"/>
              <w:jc w:val="center"/>
              <w:rPr>
                <w:snapToGrid w:val="0"/>
                <w:lang w:eastAsia="en-US"/>
              </w:rPr>
            </w:pPr>
            <w:r w:rsidRPr="00E3331A">
              <w:rPr>
                <w:snapToGrid w:val="0"/>
                <w:lang w:eastAsia="en-US"/>
              </w:rPr>
              <w:t>Scoring Range</w:t>
            </w:r>
          </w:p>
        </w:tc>
        <w:tc>
          <w:tcPr>
            <w:tcW w:w="1616" w:type="pct"/>
            <w:shd w:val="clear" w:color="auto" w:fill="auto"/>
            <w:vAlign w:val="center"/>
          </w:tcPr>
          <w:p w14:paraId="573B853B" w14:textId="77777777" w:rsidR="00506328" w:rsidRPr="00E3331A" w:rsidRDefault="00AA0570" w:rsidP="002A2FE7">
            <w:pPr>
              <w:pStyle w:val="TableHeading"/>
              <w:jc w:val="center"/>
              <w:rPr>
                <w:snapToGrid w:val="0"/>
                <w:lang w:eastAsia="en-US"/>
              </w:rPr>
            </w:pPr>
            <w:r>
              <w:rPr>
                <w:snapToGrid w:val="0"/>
                <w:lang w:eastAsia="en-US"/>
              </w:rPr>
              <w:t>Assessment area</w:t>
            </w:r>
          </w:p>
        </w:tc>
        <w:tc>
          <w:tcPr>
            <w:tcW w:w="884" w:type="pct"/>
            <w:shd w:val="clear" w:color="auto" w:fill="auto"/>
            <w:vAlign w:val="center"/>
          </w:tcPr>
          <w:p w14:paraId="21730413" w14:textId="77777777" w:rsidR="00506328" w:rsidRPr="00E3331A" w:rsidRDefault="00506328" w:rsidP="002A2FE7">
            <w:pPr>
              <w:pStyle w:val="TableHeading"/>
              <w:jc w:val="center"/>
              <w:rPr>
                <w:snapToGrid w:val="0"/>
                <w:lang w:eastAsia="en-US"/>
              </w:rPr>
            </w:pPr>
            <w:r w:rsidRPr="00E3331A">
              <w:rPr>
                <w:snapToGrid w:val="0"/>
                <w:lang w:eastAsia="en-US"/>
              </w:rPr>
              <w:t>Patient or physician reported</w:t>
            </w:r>
          </w:p>
        </w:tc>
      </w:tr>
      <w:tr w:rsidR="00506328" w:rsidRPr="00E3331A" w14:paraId="623724C9" w14:textId="77777777" w:rsidTr="00C56114">
        <w:tc>
          <w:tcPr>
            <w:tcW w:w="901" w:type="pct"/>
            <w:shd w:val="clear" w:color="auto" w:fill="auto"/>
            <w:vAlign w:val="center"/>
          </w:tcPr>
          <w:p w14:paraId="68A2F135" w14:textId="77777777" w:rsidR="00506328" w:rsidRPr="00E3331A" w:rsidRDefault="00506328" w:rsidP="002A2FE7">
            <w:pPr>
              <w:pStyle w:val="TableText0"/>
              <w:rPr>
                <w:snapToGrid w:val="0"/>
                <w:szCs w:val="20"/>
              </w:rPr>
            </w:pPr>
            <w:r w:rsidRPr="00E3331A">
              <w:rPr>
                <w:snapToGrid w:val="0"/>
                <w:szCs w:val="20"/>
              </w:rPr>
              <w:t>INCAT</w:t>
            </w:r>
            <w:r w:rsidR="00FF0254" w:rsidRPr="00E3331A">
              <w:rPr>
                <w:snapToGrid w:val="0"/>
                <w:szCs w:val="20"/>
              </w:rPr>
              <w:t>*</w:t>
            </w:r>
          </w:p>
        </w:tc>
        <w:tc>
          <w:tcPr>
            <w:tcW w:w="1599" w:type="pct"/>
            <w:shd w:val="clear" w:color="auto" w:fill="auto"/>
            <w:vAlign w:val="center"/>
          </w:tcPr>
          <w:p w14:paraId="4E0C7BD5" w14:textId="77777777" w:rsidR="00AA0570" w:rsidRPr="00E3331A" w:rsidRDefault="00761A75" w:rsidP="00AA0570">
            <w:pPr>
              <w:pStyle w:val="TableText0"/>
              <w:jc w:val="center"/>
              <w:rPr>
                <w:snapToGrid w:val="0"/>
                <w:szCs w:val="20"/>
              </w:rPr>
            </w:pPr>
            <w:r w:rsidRPr="00E3331A">
              <w:rPr>
                <w:snapToGrid w:val="0"/>
                <w:szCs w:val="20"/>
              </w:rPr>
              <w:t>0</w:t>
            </w:r>
            <w:r w:rsidR="00E4447D" w:rsidRPr="00E3331A">
              <w:rPr>
                <w:snapToGrid w:val="0"/>
                <w:szCs w:val="20"/>
              </w:rPr>
              <w:t>-</w:t>
            </w:r>
            <w:r w:rsidRPr="00E3331A">
              <w:rPr>
                <w:snapToGrid w:val="0"/>
                <w:szCs w:val="20"/>
              </w:rPr>
              <w:t>10</w:t>
            </w:r>
            <w:r w:rsidR="00AA0570" w:rsidRPr="00E3331A">
              <w:rPr>
                <w:snapToGrid w:val="0"/>
                <w:szCs w:val="20"/>
              </w:rPr>
              <w:t xml:space="preserve"> </w:t>
            </w:r>
            <w:r w:rsidR="00AA0570">
              <w:rPr>
                <w:snapToGrid w:val="0"/>
                <w:szCs w:val="20"/>
              </w:rPr>
              <w:br/>
            </w:r>
            <w:r w:rsidR="00AA0570" w:rsidRPr="00E3331A">
              <w:rPr>
                <w:snapToGrid w:val="0"/>
                <w:szCs w:val="20"/>
              </w:rPr>
              <w:t>overall score is sum of the two</w:t>
            </w:r>
          </w:p>
        </w:tc>
        <w:tc>
          <w:tcPr>
            <w:tcW w:w="1616" w:type="pct"/>
            <w:shd w:val="clear" w:color="auto" w:fill="auto"/>
            <w:vAlign w:val="center"/>
          </w:tcPr>
          <w:p w14:paraId="4FF784B4" w14:textId="77777777" w:rsidR="00506328" w:rsidRPr="00E3331A" w:rsidRDefault="006E0BA7" w:rsidP="00AA0570">
            <w:pPr>
              <w:pStyle w:val="TableText0"/>
              <w:jc w:val="center"/>
              <w:rPr>
                <w:snapToGrid w:val="0"/>
                <w:szCs w:val="20"/>
              </w:rPr>
            </w:pPr>
            <w:r>
              <w:rPr>
                <w:snapToGrid w:val="0"/>
                <w:szCs w:val="20"/>
              </w:rPr>
              <w:t>Arm and leg disabilities</w:t>
            </w:r>
          </w:p>
        </w:tc>
        <w:tc>
          <w:tcPr>
            <w:tcW w:w="884" w:type="pct"/>
            <w:shd w:val="clear" w:color="auto" w:fill="auto"/>
            <w:vAlign w:val="center"/>
          </w:tcPr>
          <w:p w14:paraId="65AABD90" w14:textId="77777777" w:rsidR="00506328" w:rsidRPr="00E3331A" w:rsidRDefault="00A47A87" w:rsidP="002A2FE7">
            <w:pPr>
              <w:pStyle w:val="TableText0"/>
              <w:jc w:val="center"/>
              <w:rPr>
                <w:snapToGrid w:val="0"/>
                <w:szCs w:val="20"/>
              </w:rPr>
            </w:pPr>
            <w:r w:rsidRPr="00E3331A">
              <w:rPr>
                <w:snapToGrid w:val="0"/>
                <w:szCs w:val="20"/>
              </w:rPr>
              <w:t>Patient</w:t>
            </w:r>
          </w:p>
        </w:tc>
      </w:tr>
      <w:tr w:rsidR="006E0BA7" w:rsidRPr="00E3331A" w14:paraId="49D902F9" w14:textId="77777777" w:rsidTr="00C56114">
        <w:tc>
          <w:tcPr>
            <w:tcW w:w="901" w:type="pct"/>
            <w:shd w:val="clear" w:color="auto" w:fill="auto"/>
            <w:vAlign w:val="center"/>
          </w:tcPr>
          <w:p w14:paraId="788B2D4D" w14:textId="77777777" w:rsidR="006E0BA7" w:rsidRPr="00E3331A" w:rsidRDefault="006E0BA7" w:rsidP="002A2FE7">
            <w:pPr>
              <w:pStyle w:val="TableText0"/>
              <w:rPr>
                <w:snapToGrid w:val="0"/>
                <w:szCs w:val="20"/>
              </w:rPr>
            </w:pPr>
            <w:r>
              <w:rPr>
                <w:snapToGrid w:val="0"/>
                <w:szCs w:val="20"/>
              </w:rPr>
              <w:t>MRC sum score</w:t>
            </w:r>
          </w:p>
        </w:tc>
        <w:tc>
          <w:tcPr>
            <w:tcW w:w="1599" w:type="pct"/>
            <w:shd w:val="clear" w:color="auto" w:fill="auto"/>
            <w:vAlign w:val="center"/>
          </w:tcPr>
          <w:p w14:paraId="0E55CD99" w14:textId="77777777" w:rsidR="006E0BA7" w:rsidRPr="00E3331A" w:rsidRDefault="006E0BA7" w:rsidP="00AA0570">
            <w:pPr>
              <w:pStyle w:val="TableText0"/>
              <w:jc w:val="center"/>
              <w:rPr>
                <w:snapToGrid w:val="0"/>
                <w:szCs w:val="20"/>
              </w:rPr>
            </w:pPr>
            <w:r>
              <w:rPr>
                <w:snapToGrid w:val="0"/>
                <w:szCs w:val="20"/>
              </w:rPr>
              <w:t>Total out of 60</w:t>
            </w:r>
          </w:p>
        </w:tc>
        <w:tc>
          <w:tcPr>
            <w:tcW w:w="1616" w:type="pct"/>
            <w:shd w:val="clear" w:color="auto" w:fill="auto"/>
            <w:vAlign w:val="center"/>
          </w:tcPr>
          <w:p w14:paraId="0CBD2C58" w14:textId="77777777" w:rsidR="006E0BA7" w:rsidRDefault="006E0BA7" w:rsidP="00AA0570">
            <w:pPr>
              <w:pStyle w:val="TableText0"/>
              <w:jc w:val="center"/>
              <w:rPr>
                <w:snapToGrid w:val="0"/>
                <w:szCs w:val="20"/>
              </w:rPr>
            </w:pPr>
            <w:r>
              <w:rPr>
                <w:snapToGrid w:val="0"/>
                <w:szCs w:val="20"/>
              </w:rPr>
              <w:t>Muscle strength</w:t>
            </w:r>
          </w:p>
        </w:tc>
        <w:tc>
          <w:tcPr>
            <w:tcW w:w="884" w:type="pct"/>
            <w:shd w:val="clear" w:color="auto" w:fill="auto"/>
            <w:vAlign w:val="center"/>
          </w:tcPr>
          <w:p w14:paraId="505AE391" w14:textId="77777777" w:rsidR="006E0BA7" w:rsidRPr="00E3331A" w:rsidRDefault="006E0BA7" w:rsidP="002A2FE7">
            <w:pPr>
              <w:pStyle w:val="TableText0"/>
              <w:jc w:val="center"/>
              <w:rPr>
                <w:snapToGrid w:val="0"/>
                <w:szCs w:val="20"/>
              </w:rPr>
            </w:pPr>
            <w:r>
              <w:rPr>
                <w:snapToGrid w:val="0"/>
                <w:szCs w:val="20"/>
              </w:rPr>
              <w:t>Physician</w:t>
            </w:r>
          </w:p>
        </w:tc>
      </w:tr>
      <w:tr w:rsidR="00506328" w:rsidRPr="00E3331A" w14:paraId="39EEC2E0" w14:textId="77777777" w:rsidTr="00C56114">
        <w:tc>
          <w:tcPr>
            <w:tcW w:w="901" w:type="pct"/>
            <w:shd w:val="clear" w:color="auto" w:fill="auto"/>
            <w:vAlign w:val="center"/>
          </w:tcPr>
          <w:p w14:paraId="2553E75F" w14:textId="77777777" w:rsidR="00506328" w:rsidRPr="00E3331A" w:rsidRDefault="00126688" w:rsidP="000B6DBB">
            <w:pPr>
              <w:pStyle w:val="TableText0"/>
              <w:rPr>
                <w:snapToGrid w:val="0"/>
                <w:szCs w:val="20"/>
              </w:rPr>
            </w:pPr>
            <w:r>
              <w:rPr>
                <w:snapToGrid w:val="0"/>
                <w:szCs w:val="20"/>
              </w:rPr>
              <w:t>I</w:t>
            </w:r>
            <w:r w:rsidR="00506328" w:rsidRPr="00E3331A">
              <w:rPr>
                <w:snapToGrid w:val="0"/>
                <w:szCs w:val="20"/>
              </w:rPr>
              <w:t>RODS</w:t>
            </w:r>
          </w:p>
        </w:tc>
        <w:tc>
          <w:tcPr>
            <w:tcW w:w="1599" w:type="pct"/>
            <w:shd w:val="clear" w:color="auto" w:fill="auto"/>
            <w:vAlign w:val="center"/>
          </w:tcPr>
          <w:p w14:paraId="1EDFE3FB" w14:textId="77777777" w:rsidR="00506328" w:rsidRPr="00E3331A" w:rsidRDefault="00C12535" w:rsidP="002A2FE7">
            <w:pPr>
              <w:pStyle w:val="TableText0"/>
              <w:jc w:val="center"/>
              <w:rPr>
                <w:snapToGrid w:val="0"/>
                <w:szCs w:val="20"/>
              </w:rPr>
            </w:pPr>
            <w:r w:rsidRPr="00E3331A">
              <w:rPr>
                <w:snapToGrid w:val="0"/>
                <w:szCs w:val="20"/>
              </w:rPr>
              <w:t>Raw RODS score (0–48) transformed to final score 0–100</w:t>
            </w:r>
          </w:p>
        </w:tc>
        <w:tc>
          <w:tcPr>
            <w:tcW w:w="1616" w:type="pct"/>
            <w:shd w:val="clear" w:color="auto" w:fill="auto"/>
            <w:vAlign w:val="center"/>
          </w:tcPr>
          <w:p w14:paraId="0E39DE11" w14:textId="77777777" w:rsidR="00506328" w:rsidRPr="00E3331A" w:rsidRDefault="00C56114" w:rsidP="006E0BA7">
            <w:pPr>
              <w:pStyle w:val="TableText0"/>
              <w:jc w:val="center"/>
              <w:rPr>
                <w:snapToGrid w:val="0"/>
                <w:szCs w:val="20"/>
              </w:rPr>
            </w:pPr>
            <w:r w:rsidRPr="00E3331A">
              <w:rPr>
                <w:snapToGrid w:val="0"/>
                <w:szCs w:val="20"/>
              </w:rPr>
              <w:t>U</w:t>
            </w:r>
            <w:r w:rsidR="006E0BA7">
              <w:rPr>
                <w:snapToGrid w:val="0"/>
                <w:szCs w:val="20"/>
              </w:rPr>
              <w:t>pper and lower limb disability</w:t>
            </w:r>
            <w:r w:rsidRPr="00E3331A">
              <w:rPr>
                <w:snapToGrid w:val="0"/>
                <w:szCs w:val="20"/>
              </w:rPr>
              <w:t xml:space="preserve"> </w:t>
            </w:r>
          </w:p>
        </w:tc>
        <w:tc>
          <w:tcPr>
            <w:tcW w:w="884" w:type="pct"/>
            <w:shd w:val="clear" w:color="auto" w:fill="auto"/>
            <w:vAlign w:val="center"/>
          </w:tcPr>
          <w:p w14:paraId="5D08E966" w14:textId="77777777" w:rsidR="00506328" w:rsidRPr="00E3331A" w:rsidRDefault="00A47A87" w:rsidP="002A2FE7">
            <w:pPr>
              <w:pStyle w:val="TableText0"/>
              <w:jc w:val="center"/>
              <w:rPr>
                <w:snapToGrid w:val="0"/>
                <w:szCs w:val="20"/>
              </w:rPr>
            </w:pPr>
            <w:r w:rsidRPr="00E3331A">
              <w:rPr>
                <w:snapToGrid w:val="0"/>
                <w:szCs w:val="20"/>
              </w:rPr>
              <w:t>Patient</w:t>
            </w:r>
          </w:p>
        </w:tc>
      </w:tr>
      <w:bookmarkEnd w:id="150"/>
      <w:tr w:rsidR="00506328" w:rsidRPr="00E3331A" w14:paraId="6A19AD46" w14:textId="77777777" w:rsidTr="00C56114">
        <w:tc>
          <w:tcPr>
            <w:tcW w:w="901" w:type="pct"/>
            <w:shd w:val="clear" w:color="auto" w:fill="auto"/>
            <w:vAlign w:val="center"/>
          </w:tcPr>
          <w:p w14:paraId="17B6D688" w14:textId="77777777" w:rsidR="00506328" w:rsidRPr="00E3331A" w:rsidRDefault="00506328" w:rsidP="002A2FE7">
            <w:pPr>
              <w:pStyle w:val="TableText0"/>
              <w:rPr>
                <w:snapToGrid w:val="0"/>
                <w:szCs w:val="20"/>
              </w:rPr>
            </w:pPr>
            <w:r w:rsidRPr="00E3331A">
              <w:rPr>
                <w:snapToGrid w:val="0"/>
                <w:szCs w:val="20"/>
              </w:rPr>
              <w:t>Grip Strength</w:t>
            </w:r>
            <w:r w:rsidR="00126688">
              <w:rPr>
                <w:snapToGrid w:val="0"/>
                <w:szCs w:val="20"/>
              </w:rPr>
              <w:t xml:space="preserve"> (Martin Vigorimeter)</w:t>
            </w:r>
          </w:p>
        </w:tc>
        <w:tc>
          <w:tcPr>
            <w:tcW w:w="1599" w:type="pct"/>
            <w:shd w:val="clear" w:color="auto" w:fill="auto"/>
            <w:vAlign w:val="center"/>
          </w:tcPr>
          <w:p w14:paraId="5C50DA00" w14:textId="77777777" w:rsidR="00506328" w:rsidRPr="00E3331A" w:rsidRDefault="00C12535" w:rsidP="002A2FE7">
            <w:pPr>
              <w:pStyle w:val="TableText0"/>
              <w:jc w:val="center"/>
              <w:rPr>
                <w:snapToGrid w:val="0"/>
                <w:szCs w:val="20"/>
              </w:rPr>
            </w:pPr>
            <w:r w:rsidRPr="00E3331A">
              <w:rPr>
                <w:snapToGrid w:val="0"/>
                <w:szCs w:val="20"/>
              </w:rPr>
              <w:t>Instrument-based scale</w:t>
            </w:r>
          </w:p>
        </w:tc>
        <w:tc>
          <w:tcPr>
            <w:tcW w:w="1616" w:type="pct"/>
            <w:shd w:val="clear" w:color="auto" w:fill="auto"/>
            <w:vAlign w:val="center"/>
          </w:tcPr>
          <w:p w14:paraId="24C80D7D" w14:textId="77777777" w:rsidR="00506328" w:rsidRPr="00E3331A" w:rsidRDefault="006E0BA7" w:rsidP="006E0BA7">
            <w:pPr>
              <w:pStyle w:val="TableText0"/>
              <w:jc w:val="center"/>
              <w:rPr>
                <w:snapToGrid w:val="0"/>
                <w:szCs w:val="20"/>
              </w:rPr>
            </w:pPr>
            <w:r>
              <w:rPr>
                <w:snapToGrid w:val="0"/>
                <w:szCs w:val="20"/>
              </w:rPr>
              <w:t>Hand g</w:t>
            </w:r>
            <w:r w:rsidR="00C56114" w:rsidRPr="00E3331A">
              <w:rPr>
                <w:snapToGrid w:val="0"/>
                <w:szCs w:val="20"/>
              </w:rPr>
              <w:t>rip Streng</w:t>
            </w:r>
            <w:r w:rsidR="00812DB6" w:rsidRPr="00E3331A">
              <w:rPr>
                <w:snapToGrid w:val="0"/>
                <w:szCs w:val="20"/>
              </w:rPr>
              <w:t>th</w:t>
            </w:r>
          </w:p>
        </w:tc>
        <w:tc>
          <w:tcPr>
            <w:tcW w:w="884" w:type="pct"/>
            <w:shd w:val="clear" w:color="auto" w:fill="auto"/>
            <w:vAlign w:val="center"/>
          </w:tcPr>
          <w:p w14:paraId="29BA45EF" w14:textId="77777777" w:rsidR="00506328" w:rsidRPr="00E3331A" w:rsidRDefault="00A47A87" w:rsidP="002A2FE7">
            <w:pPr>
              <w:pStyle w:val="TableText0"/>
              <w:jc w:val="center"/>
              <w:rPr>
                <w:snapToGrid w:val="0"/>
                <w:szCs w:val="20"/>
              </w:rPr>
            </w:pPr>
            <w:r w:rsidRPr="00E3331A">
              <w:rPr>
                <w:snapToGrid w:val="0"/>
                <w:szCs w:val="20"/>
              </w:rPr>
              <w:t>Physician</w:t>
            </w:r>
          </w:p>
        </w:tc>
      </w:tr>
      <w:tr w:rsidR="00506328" w:rsidRPr="00E3331A" w14:paraId="561FC53E" w14:textId="77777777" w:rsidTr="00C56114">
        <w:tc>
          <w:tcPr>
            <w:tcW w:w="901" w:type="pct"/>
            <w:shd w:val="clear" w:color="auto" w:fill="auto"/>
            <w:vAlign w:val="center"/>
          </w:tcPr>
          <w:p w14:paraId="76195342" w14:textId="77777777" w:rsidR="00506328" w:rsidRPr="00E3331A" w:rsidRDefault="006E0BA7" w:rsidP="006E0BA7">
            <w:pPr>
              <w:pStyle w:val="TableText0"/>
              <w:rPr>
                <w:snapToGrid w:val="0"/>
                <w:szCs w:val="20"/>
              </w:rPr>
            </w:pPr>
            <w:r>
              <w:rPr>
                <w:snapToGrid w:val="0"/>
                <w:szCs w:val="20"/>
              </w:rPr>
              <w:t>R</w:t>
            </w:r>
            <w:r w:rsidR="00506328" w:rsidRPr="00E3331A">
              <w:rPr>
                <w:snapToGrid w:val="0"/>
                <w:szCs w:val="20"/>
              </w:rPr>
              <w:t>FSS</w:t>
            </w:r>
          </w:p>
        </w:tc>
        <w:tc>
          <w:tcPr>
            <w:tcW w:w="1599" w:type="pct"/>
            <w:shd w:val="clear" w:color="auto" w:fill="auto"/>
            <w:vAlign w:val="center"/>
          </w:tcPr>
          <w:p w14:paraId="449BFC58" w14:textId="77777777" w:rsidR="00506328" w:rsidRPr="00E3331A" w:rsidRDefault="006E0BA7" w:rsidP="002A2FE7">
            <w:pPr>
              <w:pStyle w:val="TableText0"/>
              <w:jc w:val="center"/>
              <w:rPr>
                <w:snapToGrid w:val="0"/>
                <w:szCs w:val="20"/>
              </w:rPr>
            </w:pPr>
            <w:r w:rsidRPr="006E0BA7">
              <w:rPr>
                <w:snapToGrid w:val="0"/>
                <w:szCs w:val="20"/>
              </w:rPr>
              <w:t>9–63</w:t>
            </w:r>
          </w:p>
        </w:tc>
        <w:tc>
          <w:tcPr>
            <w:tcW w:w="1616" w:type="pct"/>
            <w:shd w:val="clear" w:color="auto" w:fill="auto"/>
            <w:vAlign w:val="center"/>
          </w:tcPr>
          <w:p w14:paraId="2F2C8F11" w14:textId="77777777" w:rsidR="00506328" w:rsidRPr="00E3331A" w:rsidRDefault="006E0BA7" w:rsidP="002A2FE7">
            <w:pPr>
              <w:pStyle w:val="TableText0"/>
              <w:jc w:val="center"/>
              <w:rPr>
                <w:snapToGrid w:val="0"/>
                <w:szCs w:val="20"/>
              </w:rPr>
            </w:pPr>
            <w:r>
              <w:rPr>
                <w:snapToGrid w:val="0"/>
                <w:szCs w:val="20"/>
              </w:rPr>
              <w:t>Fatigue and impact on lifestyle</w:t>
            </w:r>
          </w:p>
        </w:tc>
        <w:tc>
          <w:tcPr>
            <w:tcW w:w="884" w:type="pct"/>
            <w:shd w:val="clear" w:color="auto" w:fill="auto"/>
            <w:vAlign w:val="center"/>
          </w:tcPr>
          <w:p w14:paraId="5B794382" w14:textId="77777777" w:rsidR="00506328" w:rsidRPr="00E3331A" w:rsidRDefault="00A47A87" w:rsidP="002A2FE7">
            <w:pPr>
              <w:pStyle w:val="TableText0"/>
              <w:jc w:val="center"/>
              <w:rPr>
                <w:snapToGrid w:val="0"/>
                <w:szCs w:val="20"/>
              </w:rPr>
            </w:pPr>
            <w:r w:rsidRPr="00E3331A">
              <w:rPr>
                <w:snapToGrid w:val="0"/>
                <w:szCs w:val="20"/>
              </w:rPr>
              <w:t>Patient</w:t>
            </w:r>
          </w:p>
        </w:tc>
      </w:tr>
      <w:tr w:rsidR="00506328" w:rsidRPr="00E3331A" w14:paraId="25D08D4F" w14:textId="77777777" w:rsidTr="00C56114">
        <w:tc>
          <w:tcPr>
            <w:tcW w:w="901" w:type="pct"/>
            <w:shd w:val="clear" w:color="auto" w:fill="auto"/>
            <w:vAlign w:val="center"/>
          </w:tcPr>
          <w:p w14:paraId="1BDEAE66" w14:textId="77777777" w:rsidR="00506328" w:rsidRPr="00E3331A" w:rsidRDefault="00506328" w:rsidP="000B6DBB">
            <w:pPr>
              <w:pStyle w:val="TableText0"/>
              <w:rPr>
                <w:snapToGrid w:val="0"/>
                <w:szCs w:val="20"/>
              </w:rPr>
            </w:pPr>
            <w:r w:rsidRPr="00E3331A">
              <w:rPr>
                <w:snapToGrid w:val="0"/>
                <w:szCs w:val="20"/>
              </w:rPr>
              <w:t>SF-36</w:t>
            </w:r>
          </w:p>
        </w:tc>
        <w:tc>
          <w:tcPr>
            <w:tcW w:w="1599" w:type="pct"/>
            <w:shd w:val="clear" w:color="auto" w:fill="auto"/>
            <w:vAlign w:val="center"/>
          </w:tcPr>
          <w:p w14:paraId="48D52E7C" w14:textId="77777777" w:rsidR="00506328" w:rsidRPr="00E3331A" w:rsidRDefault="00C12535" w:rsidP="002A2FE7">
            <w:pPr>
              <w:pStyle w:val="TableText0"/>
              <w:jc w:val="center"/>
              <w:rPr>
                <w:snapToGrid w:val="0"/>
                <w:szCs w:val="20"/>
              </w:rPr>
            </w:pPr>
            <w:r w:rsidRPr="00E3331A">
              <w:rPr>
                <w:snapToGrid w:val="0"/>
                <w:szCs w:val="20"/>
              </w:rPr>
              <w:t>8 scaled scores, each directly transformed into a 0–100 scale</w:t>
            </w:r>
          </w:p>
        </w:tc>
        <w:tc>
          <w:tcPr>
            <w:tcW w:w="1616" w:type="pct"/>
            <w:shd w:val="clear" w:color="auto" w:fill="auto"/>
            <w:vAlign w:val="center"/>
          </w:tcPr>
          <w:p w14:paraId="35652410" w14:textId="77777777" w:rsidR="00506328" w:rsidRPr="00E3331A" w:rsidRDefault="00C56114" w:rsidP="006E0BA7">
            <w:pPr>
              <w:pStyle w:val="TableText0"/>
              <w:jc w:val="center"/>
              <w:rPr>
                <w:snapToGrid w:val="0"/>
                <w:szCs w:val="20"/>
              </w:rPr>
            </w:pPr>
            <w:r w:rsidRPr="00E3331A">
              <w:rPr>
                <w:snapToGrid w:val="0"/>
                <w:szCs w:val="20"/>
              </w:rPr>
              <w:t>Physical</w:t>
            </w:r>
            <w:r w:rsidR="006E0BA7">
              <w:rPr>
                <w:snapToGrid w:val="0"/>
                <w:szCs w:val="20"/>
              </w:rPr>
              <w:t>, emotional and social</w:t>
            </w:r>
            <w:r w:rsidRPr="00E3331A">
              <w:rPr>
                <w:snapToGrid w:val="0"/>
                <w:szCs w:val="20"/>
              </w:rPr>
              <w:t xml:space="preserve"> functioning</w:t>
            </w:r>
            <w:r w:rsidR="006E0BA7">
              <w:rPr>
                <w:snapToGrid w:val="0"/>
                <w:szCs w:val="20"/>
              </w:rPr>
              <w:t xml:space="preserve">, </w:t>
            </w:r>
            <w:r w:rsidRPr="00E3331A">
              <w:rPr>
                <w:snapToGrid w:val="0"/>
                <w:szCs w:val="20"/>
              </w:rPr>
              <w:t>mental hea</w:t>
            </w:r>
            <w:r w:rsidR="006E0BA7">
              <w:rPr>
                <w:snapToGrid w:val="0"/>
                <w:szCs w:val="20"/>
              </w:rPr>
              <w:t>lth,</w:t>
            </w:r>
            <w:r w:rsidRPr="00E3331A">
              <w:rPr>
                <w:snapToGrid w:val="0"/>
                <w:szCs w:val="20"/>
              </w:rPr>
              <w:t xml:space="preserve"> general health perception </w:t>
            </w:r>
          </w:p>
        </w:tc>
        <w:tc>
          <w:tcPr>
            <w:tcW w:w="884" w:type="pct"/>
            <w:shd w:val="clear" w:color="auto" w:fill="auto"/>
            <w:vAlign w:val="center"/>
          </w:tcPr>
          <w:p w14:paraId="04254B90" w14:textId="77777777" w:rsidR="00506328" w:rsidRPr="00E3331A" w:rsidRDefault="00A47A87" w:rsidP="002A2FE7">
            <w:pPr>
              <w:pStyle w:val="TableText0"/>
              <w:jc w:val="center"/>
              <w:rPr>
                <w:snapToGrid w:val="0"/>
                <w:szCs w:val="20"/>
              </w:rPr>
            </w:pPr>
            <w:r w:rsidRPr="00E3331A">
              <w:rPr>
                <w:snapToGrid w:val="0"/>
                <w:szCs w:val="20"/>
              </w:rPr>
              <w:t>Patient</w:t>
            </w:r>
          </w:p>
        </w:tc>
      </w:tr>
      <w:tr w:rsidR="00126688" w:rsidRPr="00E3331A" w14:paraId="0474B2BF" w14:textId="77777777" w:rsidTr="00C56114">
        <w:tc>
          <w:tcPr>
            <w:tcW w:w="901" w:type="pct"/>
            <w:shd w:val="clear" w:color="auto" w:fill="auto"/>
            <w:vAlign w:val="center"/>
          </w:tcPr>
          <w:p w14:paraId="4CC9D9CE" w14:textId="77777777" w:rsidR="00126688" w:rsidRPr="00E3331A" w:rsidRDefault="00126688" w:rsidP="002A2FE7">
            <w:pPr>
              <w:pStyle w:val="TableText0"/>
              <w:rPr>
                <w:snapToGrid w:val="0"/>
                <w:szCs w:val="20"/>
              </w:rPr>
            </w:pPr>
            <w:r>
              <w:rPr>
                <w:snapToGrid w:val="0"/>
                <w:szCs w:val="20"/>
              </w:rPr>
              <w:t>EQ-5D</w:t>
            </w:r>
          </w:p>
        </w:tc>
        <w:tc>
          <w:tcPr>
            <w:tcW w:w="1599" w:type="pct"/>
            <w:shd w:val="clear" w:color="auto" w:fill="auto"/>
            <w:vAlign w:val="center"/>
          </w:tcPr>
          <w:p w14:paraId="76B57FF6" w14:textId="77777777" w:rsidR="00126688" w:rsidRPr="00E3331A" w:rsidRDefault="00126688" w:rsidP="002A2FE7">
            <w:pPr>
              <w:pStyle w:val="TableText0"/>
              <w:jc w:val="center"/>
              <w:rPr>
                <w:snapToGrid w:val="0"/>
                <w:szCs w:val="20"/>
              </w:rPr>
            </w:pPr>
            <w:r>
              <w:rPr>
                <w:snapToGrid w:val="0"/>
                <w:szCs w:val="20"/>
              </w:rPr>
              <w:t>0 (no problems) - 2 (extreme problems)</w:t>
            </w:r>
          </w:p>
        </w:tc>
        <w:tc>
          <w:tcPr>
            <w:tcW w:w="1616" w:type="pct"/>
            <w:shd w:val="clear" w:color="auto" w:fill="auto"/>
            <w:vAlign w:val="center"/>
          </w:tcPr>
          <w:p w14:paraId="2BFAEF30" w14:textId="77777777" w:rsidR="00126688" w:rsidRPr="00E3331A" w:rsidRDefault="00126688" w:rsidP="002A2FE7">
            <w:pPr>
              <w:pStyle w:val="TableText0"/>
              <w:jc w:val="center"/>
              <w:rPr>
                <w:snapToGrid w:val="0"/>
                <w:szCs w:val="20"/>
              </w:rPr>
            </w:pPr>
            <w:r>
              <w:rPr>
                <w:snapToGrid w:val="0"/>
                <w:szCs w:val="20"/>
              </w:rPr>
              <w:t>Health related quality of life</w:t>
            </w:r>
          </w:p>
        </w:tc>
        <w:tc>
          <w:tcPr>
            <w:tcW w:w="884" w:type="pct"/>
            <w:shd w:val="clear" w:color="auto" w:fill="auto"/>
            <w:vAlign w:val="center"/>
          </w:tcPr>
          <w:p w14:paraId="54B6D0CA" w14:textId="77777777" w:rsidR="00126688" w:rsidRPr="00E3331A" w:rsidRDefault="00126688" w:rsidP="002A2FE7">
            <w:pPr>
              <w:pStyle w:val="TableText0"/>
              <w:jc w:val="center"/>
              <w:rPr>
                <w:snapToGrid w:val="0"/>
                <w:szCs w:val="20"/>
              </w:rPr>
            </w:pPr>
            <w:r>
              <w:rPr>
                <w:snapToGrid w:val="0"/>
                <w:szCs w:val="20"/>
              </w:rPr>
              <w:t>Patient</w:t>
            </w:r>
          </w:p>
        </w:tc>
      </w:tr>
      <w:tr w:rsidR="00126688" w:rsidRPr="00E3331A" w14:paraId="0A945161" w14:textId="77777777" w:rsidTr="00C56114">
        <w:tc>
          <w:tcPr>
            <w:tcW w:w="901" w:type="pct"/>
            <w:shd w:val="clear" w:color="auto" w:fill="auto"/>
            <w:vAlign w:val="center"/>
          </w:tcPr>
          <w:p w14:paraId="0BFA094E" w14:textId="77777777" w:rsidR="00126688" w:rsidRPr="00E3331A" w:rsidRDefault="00126688" w:rsidP="002A2FE7">
            <w:pPr>
              <w:pStyle w:val="TableText0"/>
              <w:rPr>
                <w:snapToGrid w:val="0"/>
                <w:szCs w:val="20"/>
              </w:rPr>
            </w:pPr>
            <w:r>
              <w:rPr>
                <w:snapToGrid w:val="0"/>
                <w:szCs w:val="20"/>
              </w:rPr>
              <w:t>EQ-VAS</w:t>
            </w:r>
          </w:p>
        </w:tc>
        <w:tc>
          <w:tcPr>
            <w:tcW w:w="1599" w:type="pct"/>
            <w:shd w:val="clear" w:color="auto" w:fill="auto"/>
            <w:vAlign w:val="center"/>
          </w:tcPr>
          <w:p w14:paraId="1243A67E" w14:textId="77777777" w:rsidR="00126688" w:rsidRPr="00E3331A" w:rsidRDefault="00AA0570" w:rsidP="002A2FE7">
            <w:pPr>
              <w:pStyle w:val="TableText0"/>
              <w:jc w:val="center"/>
              <w:rPr>
                <w:snapToGrid w:val="0"/>
                <w:szCs w:val="20"/>
              </w:rPr>
            </w:pPr>
            <w:r>
              <w:rPr>
                <w:snapToGrid w:val="0"/>
                <w:szCs w:val="20"/>
              </w:rPr>
              <w:t>0 (worst health) – 100 (best health)</w:t>
            </w:r>
          </w:p>
        </w:tc>
        <w:tc>
          <w:tcPr>
            <w:tcW w:w="1616" w:type="pct"/>
            <w:shd w:val="clear" w:color="auto" w:fill="auto"/>
            <w:vAlign w:val="center"/>
          </w:tcPr>
          <w:p w14:paraId="4856E93E" w14:textId="77777777" w:rsidR="00126688" w:rsidRPr="00E3331A" w:rsidRDefault="00126688" w:rsidP="002A2FE7">
            <w:pPr>
              <w:pStyle w:val="TableText0"/>
              <w:jc w:val="center"/>
              <w:rPr>
                <w:snapToGrid w:val="0"/>
                <w:szCs w:val="20"/>
              </w:rPr>
            </w:pPr>
            <w:r>
              <w:rPr>
                <w:snapToGrid w:val="0"/>
                <w:szCs w:val="20"/>
              </w:rPr>
              <w:t>Overall health status</w:t>
            </w:r>
          </w:p>
        </w:tc>
        <w:tc>
          <w:tcPr>
            <w:tcW w:w="884" w:type="pct"/>
            <w:shd w:val="clear" w:color="auto" w:fill="auto"/>
            <w:vAlign w:val="center"/>
          </w:tcPr>
          <w:p w14:paraId="493ED593" w14:textId="77777777" w:rsidR="00126688" w:rsidRPr="00E3331A" w:rsidRDefault="00AA0570" w:rsidP="002A2FE7">
            <w:pPr>
              <w:pStyle w:val="TableText0"/>
              <w:jc w:val="center"/>
              <w:rPr>
                <w:snapToGrid w:val="0"/>
                <w:szCs w:val="20"/>
              </w:rPr>
            </w:pPr>
            <w:r>
              <w:rPr>
                <w:snapToGrid w:val="0"/>
                <w:szCs w:val="20"/>
              </w:rPr>
              <w:t>Patient</w:t>
            </w:r>
          </w:p>
        </w:tc>
      </w:tr>
      <w:tr w:rsidR="00126688" w:rsidRPr="00E3331A" w14:paraId="5C5E058B" w14:textId="77777777" w:rsidTr="00C56114">
        <w:tc>
          <w:tcPr>
            <w:tcW w:w="901" w:type="pct"/>
            <w:shd w:val="clear" w:color="auto" w:fill="auto"/>
            <w:vAlign w:val="center"/>
          </w:tcPr>
          <w:p w14:paraId="7702BC12" w14:textId="77777777" w:rsidR="00126688" w:rsidRDefault="00126688" w:rsidP="002A2FE7">
            <w:pPr>
              <w:pStyle w:val="TableText0"/>
              <w:rPr>
                <w:snapToGrid w:val="0"/>
                <w:szCs w:val="20"/>
              </w:rPr>
            </w:pPr>
            <w:r>
              <w:rPr>
                <w:snapToGrid w:val="0"/>
                <w:szCs w:val="20"/>
              </w:rPr>
              <w:t>TQSM</w:t>
            </w:r>
          </w:p>
        </w:tc>
        <w:tc>
          <w:tcPr>
            <w:tcW w:w="1599" w:type="pct"/>
            <w:shd w:val="clear" w:color="auto" w:fill="auto"/>
            <w:vAlign w:val="center"/>
          </w:tcPr>
          <w:p w14:paraId="3EF5E378" w14:textId="77777777" w:rsidR="00126688" w:rsidRPr="00E3331A" w:rsidRDefault="00AA0570" w:rsidP="002A2FE7">
            <w:pPr>
              <w:pStyle w:val="TableText0"/>
              <w:jc w:val="center"/>
              <w:rPr>
                <w:snapToGrid w:val="0"/>
                <w:szCs w:val="20"/>
              </w:rPr>
            </w:pPr>
            <w:r>
              <w:rPr>
                <w:snapToGrid w:val="0"/>
                <w:szCs w:val="20"/>
              </w:rPr>
              <w:t>0 (poorest satisfaction) – 100 (perfect satisfaction)</w:t>
            </w:r>
          </w:p>
        </w:tc>
        <w:tc>
          <w:tcPr>
            <w:tcW w:w="1616" w:type="pct"/>
            <w:shd w:val="clear" w:color="auto" w:fill="auto"/>
            <w:vAlign w:val="center"/>
          </w:tcPr>
          <w:p w14:paraId="7A243FD7" w14:textId="77777777" w:rsidR="00126688" w:rsidRPr="00E3331A" w:rsidRDefault="00AA0570" w:rsidP="002A2FE7">
            <w:pPr>
              <w:pStyle w:val="TableText0"/>
              <w:jc w:val="center"/>
              <w:rPr>
                <w:snapToGrid w:val="0"/>
                <w:szCs w:val="20"/>
              </w:rPr>
            </w:pPr>
            <w:r>
              <w:rPr>
                <w:snapToGrid w:val="0"/>
                <w:szCs w:val="20"/>
              </w:rPr>
              <w:t>Treatment satisfaction</w:t>
            </w:r>
          </w:p>
        </w:tc>
        <w:tc>
          <w:tcPr>
            <w:tcW w:w="884" w:type="pct"/>
            <w:shd w:val="clear" w:color="auto" w:fill="auto"/>
            <w:vAlign w:val="center"/>
          </w:tcPr>
          <w:p w14:paraId="5BB225B9" w14:textId="77777777" w:rsidR="00126688" w:rsidRPr="00E3331A" w:rsidRDefault="00321C7A" w:rsidP="002A2FE7">
            <w:pPr>
              <w:pStyle w:val="TableText0"/>
              <w:jc w:val="center"/>
              <w:rPr>
                <w:snapToGrid w:val="0"/>
                <w:szCs w:val="20"/>
              </w:rPr>
            </w:pPr>
            <w:r>
              <w:rPr>
                <w:snapToGrid w:val="0"/>
                <w:szCs w:val="20"/>
              </w:rPr>
              <w:t>Patient</w:t>
            </w:r>
          </w:p>
        </w:tc>
      </w:tr>
      <w:tr w:rsidR="00126688" w:rsidRPr="00E3331A" w14:paraId="5F83BE3E" w14:textId="77777777" w:rsidTr="00C56114">
        <w:tc>
          <w:tcPr>
            <w:tcW w:w="901" w:type="pct"/>
            <w:shd w:val="clear" w:color="auto" w:fill="auto"/>
            <w:vAlign w:val="center"/>
          </w:tcPr>
          <w:p w14:paraId="1E078F72" w14:textId="77777777" w:rsidR="00126688" w:rsidRDefault="00126688" w:rsidP="002A2FE7">
            <w:pPr>
              <w:pStyle w:val="TableText0"/>
              <w:rPr>
                <w:snapToGrid w:val="0"/>
                <w:szCs w:val="20"/>
              </w:rPr>
            </w:pPr>
            <w:r>
              <w:rPr>
                <w:snapToGrid w:val="0"/>
                <w:szCs w:val="20"/>
              </w:rPr>
              <w:t>WPAI-GH</w:t>
            </w:r>
          </w:p>
        </w:tc>
        <w:tc>
          <w:tcPr>
            <w:tcW w:w="1599" w:type="pct"/>
            <w:shd w:val="clear" w:color="auto" w:fill="auto"/>
            <w:vAlign w:val="center"/>
          </w:tcPr>
          <w:p w14:paraId="2316DC1C" w14:textId="77777777" w:rsidR="00126688" w:rsidRPr="00E3331A" w:rsidRDefault="00AA0570" w:rsidP="002A2FE7">
            <w:pPr>
              <w:pStyle w:val="TableText0"/>
              <w:jc w:val="center"/>
              <w:rPr>
                <w:snapToGrid w:val="0"/>
                <w:szCs w:val="20"/>
              </w:rPr>
            </w:pPr>
            <w:r>
              <w:rPr>
                <w:snapToGrid w:val="0"/>
                <w:szCs w:val="20"/>
              </w:rPr>
              <w:t xml:space="preserve">0 (best) – 100 (worst) </w:t>
            </w:r>
          </w:p>
        </w:tc>
        <w:tc>
          <w:tcPr>
            <w:tcW w:w="1616" w:type="pct"/>
            <w:shd w:val="clear" w:color="auto" w:fill="auto"/>
            <w:vAlign w:val="center"/>
          </w:tcPr>
          <w:p w14:paraId="3F06F3E4" w14:textId="77777777" w:rsidR="00126688" w:rsidRPr="00E3331A" w:rsidRDefault="00AA0570" w:rsidP="002A2FE7">
            <w:pPr>
              <w:pStyle w:val="TableText0"/>
              <w:jc w:val="center"/>
              <w:rPr>
                <w:snapToGrid w:val="0"/>
                <w:szCs w:val="20"/>
              </w:rPr>
            </w:pPr>
            <w:r>
              <w:rPr>
                <w:snapToGrid w:val="0"/>
                <w:szCs w:val="20"/>
              </w:rPr>
              <w:t>Work productivity</w:t>
            </w:r>
          </w:p>
        </w:tc>
        <w:tc>
          <w:tcPr>
            <w:tcW w:w="884" w:type="pct"/>
            <w:shd w:val="clear" w:color="auto" w:fill="auto"/>
            <w:vAlign w:val="center"/>
          </w:tcPr>
          <w:p w14:paraId="08C743E1" w14:textId="77777777" w:rsidR="00126688" w:rsidRPr="00E3331A" w:rsidRDefault="00321C7A" w:rsidP="002A2FE7">
            <w:pPr>
              <w:pStyle w:val="TableText0"/>
              <w:jc w:val="center"/>
              <w:rPr>
                <w:snapToGrid w:val="0"/>
                <w:szCs w:val="20"/>
              </w:rPr>
            </w:pPr>
            <w:r>
              <w:rPr>
                <w:snapToGrid w:val="0"/>
                <w:szCs w:val="20"/>
              </w:rPr>
              <w:t>Patient</w:t>
            </w:r>
          </w:p>
        </w:tc>
      </w:tr>
    </w:tbl>
    <w:p w14:paraId="5C263081" w14:textId="77777777" w:rsidR="00321C7A" w:rsidRDefault="002D4C65" w:rsidP="00632BCA">
      <w:pPr>
        <w:pStyle w:val="Tablenotes1"/>
      </w:pPr>
      <w:r w:rsidRPr="002D4C65">
        <w:t xml:space="preserve">Abbreviations: </w:t>
      </w:r>
      <w:r w:rsidR="000B6DBB" w:rsidRPr="000B6DBB">
        <w:t>: CIDP = chronic inflammatory demyelinating polyneuropathy; EQ-5D = EuroQoL - dimension health profile, EQ-VAS = EuroQoL health status visual analogue scale; INCAT = Inflammatory Neuropathy Cause and Treatment; IRODS = Rasch-built Overall Disability Scale; MRC = Medical Research Council Sum Score; RFSS = modified</w:t>
      </w:r>
      <w:r w:rsidR="000B6DBB" w:rsidRPr="00F168A7">
        <w:t xml:space="preserve"> Rasch-built Fatigue Severity Scale; </w:t>
      </w:r>
      <w:r w:rsidR="000B6DBB" w:rsidRPr="002D4C65">
        <w:t xml:space="preserve">SF-36 = 36-item short form health survey; </w:t>
      </w:r>
      <w:r w:rsidR="000B6DBB">
        <w:t>T</w:t>
      </w:r>
      <w:r w:rsidR="000B6DBB" w:rsidRPr="002D4C65">
        <w:t>SQM = Treatment Satisfaction Questionnaire for Medicine; WPAI-GH = Work Productivity and Activity Impairment Questionnaire for General Health</w:t>
      </w:r>
      <w:r w:rsidR="000B6DBB">
        <w:t>;</w:t>
      </w:r>
    </w:p>
    <w:p w14:paraId="401FB8DA" w14:textId="77777777" w:rsidR="00611312" w:rsidRDefault="00AE6A43" w:rsidP="00DB3FFD">
      <w:pPr>
        <w:jc w:val="both"/>
      </w:pPr>
      <w:r>
        <w:t>A</w:t>
      </w:r>
      <w:r w:rsidR="00611312">
        <w:t xml:space="preserve">s there were only two trials with different </w:t>
      </w:r>
      <w:r w:rsidR="002D4C65">
        <w:t>comparisons</w:t>
      </w:r>
      <w:r w:rsidR="00611312">
        <w:t xml:space="preserve"> identified in the safety and effectiveness section, no meta-analysis was performed</w:t>
      </w:r>
      <w:r w:rsidRPr="00AE6A43">
        <w:t xml:space="preserve"> </w:t>
      </w:r>
      <w:r>
        <w:t>and results were synthesised narratively</w:t>
      </w:r>
      <w:r w:rsidR="00611312">
        <w:t xml:space="preserve">. Outcomes from the extended assessment of harms section came largely from single arm studies and were also reported narratively. No pooling of data was conducted due to the heterogeneity of </w:t>
      </w:r>
      <w:r w:rsidR="002D4C65">
        <w:t>populations in the studies. Summary results were reported as ranges.</w:t>
      </w:r>
      <w:r w:rsidR="00611312">
        <w:t xml:space="preserve"> </w:t>
      </w:r>
    </w:p>
    <w:p w14:paraId="1C0363EE" w14:textId="77777777" w:rsidR="00E56EAC" w:rsidRDefault="00E56EAC" w:rsidP="008475E5"/>
    <w:p w14:paraId="491D680B" w14:textId="77777777" w:rsidR="00E56EAC" w:rsidRDefault="00E56EAC" w:rsidP="008475E5">
      <w:pPr>
        <w:sectPr w:rsidR="00E56EAC" w:rsidSect="00AA5229">
          <w:pgSz w:w="11906" w:h="16838"/>
          <w:pgMar w:top="1440" w:right="1440" w:bottom="1440" w:left="1440" w:header="720" w:footer="720" w:gutter="0"/>
          <w:paperSrc w:first="2" w:other="2"/>
          <w:cols w:space="720"/>
        </w:sectPr>
      </w:pPr>
    </w:p>
    <w:p w14:paraId="082D4BE3" w14:textId="77777777" w:rsidR="00214F7B" w:rsidRPr="00E3331A" w:rsidRDefault="00214F7B" w:rsidP="003E4E1F">
      <w:pPr>
        <w:pStyle w:val="Heading2"/>
        <w:numPr>
          <w:ilvl w:val="1"/>
          <w:numId w:val="9"/>
        </w:numPr>
      </w:pPr>
      <w:bookmarkStart w:id="151" w:name="_Toc69305554"/>
      <w:bookmarkStart w:id="152" w:name="_Toc122538326"/>
      <w:bookmarkStart w:id="153" w:name="_Toc143663862"/>
      <w:bookmarkStart w:id="154" w:name="_Ref144697268"/>
      <w:bookmarkStart w:id="155" w:name="_Ref144697275"/>
      <w:r w:rsidRPr="00E3331A">
        <w:t>Results of the Systematic Literature review</w:t>
      </w:r>
      <w:bookmarkEnd w:id="151"/>
    </w:p>
    <w:p w14:paraId="4CC4E76E" w14:textId="77777777" w:rsidR="008475E5" w:rsidRPr="00E3331A" w:rsidRDefault="008475E5" w:rsidP="003E4E1F">
      <w:pPr>
        <w:pStyle w:val="Heading2"/>
      </w:pPr>
      <w:bookmarkStart w:id="156" w:name="_Toc69305555"/>
      <w:bookmarkEnd w:id="121"/>
      <w:bookmarkEnd w:id="122"/>
      <w:bookmarkEnd w:id="123"/>
      <w:bookmarkEnd w:id="152"/>
      <w:bookmarkEnd w:id="153"/>
      <w:bookmarkEnd w:id="154"/>
      <w:bookmarkEnd w:id="155"/>
      <w:r w:rsidRPr="00E3331A">
        <w:t>Is it safe?</w:t>
      </w:r>
      <w:bookmarkEnd w:id="156"/>
      <w:r w:rsidRPr="00E3331A">
        <w:t xml:space="preserve"> </w:t>
      </w:r>
    </w:p>
    <w:p w14:paraId="38EF47FE" w14:textId="77777777" w:rsidR="008475E5" w:rsidRPr="00E3331A" w:rsidRDefault="008475E5" w:rsidP="008475E5">
      <w:pPr>
        <w:pStyle w:val="Summaryboxheading"/>
        <w:pBdr>
          <w:top w:val="single" w:sz="4" w:space="1" w:color="auto"/>
          <w:left w:val="single" w:sz="4" w:space="4" w:color="auto"/>
          <w:bottom w:val="single" w:sz="4" w:space="1" w:color="auto"/>
          <w:right w:val="single" w:sz="4" w:space="4" w:color="auto"/>
        </w:pBdr>
        <w:jc w:val="both"/>
      </w:pPr>
      <w:r w:rsidRPr="00E3331A">
        <w:t>What is the safety of Ig compared to steroids (oral and IV), plasma exchange, immunosuppressant and/or immunomodulatory drugs and therapies (not including steroids), a combination of two or more of the above therapies, or no active treatment?</w:t>
      </w:r>
    </w:p>
    <w:p w14:paraId="4EA9BDBB" w14:textId="77777777" w:rsidR="009F0E8F" w:rsidRDefault="009F0E8F" w:rsidP="008475E5">
      <w:pPr>
        <w:pStyle w:val="Summaryboxheading"/>
        <w:pBdr>
          <w:top w:val="single" w:sz="4" w:space="1" w:color="auto"/>
          <w:left w:val="single" w:sz="4" w:space="4" w:color="auto"/>
          <w:bottom w:val="single" w:sz="4" w:space="1" w:color="auto"/>
          <w:right w:val="single" w:sz="4" w:space="4" w:color="auto"/>
        </w:pBdr>
        <w:jc w:val="both"/>
        <w:rPr>
          <w:b w:val="0"/>
        </w:rPr>
      </w:pPr>
      <w:r>
        <w:rPr>
          <w:b w:val="0"/>
        </w:rPr>
        <w:t xml:space="preserve">No additional </w:t>
      </w:r>
      <w:r w:rsidR="00672991">
        <w:rPr>
          <w:b w:val="0"/>
        </w:rPr>
        <w:t xml:space="preserve">RCT </w:t>
      </w:r>
      <w:r>
        <w:rPr>
          <w:b w:val="0"/>
        </w:rPr>
        <w:t xml:space="preserve">evidence was identified </w:t>
      </w:r>
      <w:r w:rsidR="00005748">
        <w:rPr>
          <w:b w:val="0"/>
        </w:rPr>
        <w:t>reporting</w:t>
      </w:r>
      <w:r w:rsidR="00672991">
        <w:rPr>
          <w:b w:val="0"/>
        </w:rPr>
        <w:t xml:space="preserve"> the safety of Ig in comparison to steroids, PE, immunosuppressants, or combination </w:t>
      </w:r>
      <w:r w:rsidR="00005748">
        <w:rPr>
          <w:b w:val="0"/>
        </w:rPr>
        <w:t>therapies</w:t>
      </w:r>
      <w:r w:rsidR="00672991">
        <w:rPr>
          <w:b w:val="0"/>
        </w:rPr>
        <w:t xml:space="preserve"> for CIDP.</w:t>
      </w:r>
    </w:p>
    <w:p w14:paraId="60E07C55" w14:textId="77777777" w:rsidR="009F0E8F" w:rsidRPr="00672991" w:rsidRDefault="009F0E8F" w:rsidP="008475E5">
      <w:pPr>
        <w:pStyle w:val="Summaryboxheading"/>
        <w:pBdr>
          <w:top w:val="single" w:sz="4" w:space="1" w:color="auto"/>
          <w:left w:val="single" w:sz="4" w:space="4" w:color="auto"/>
          <w:bottom w:val="single" w:sz="4" w:space="1" w:color="auto"/>
          <w:right w:val="single" w:sz="4" w:space="4" w:color="auto"/>
        </w:pBdr>
        <w:jc w:val="both"/>
      </w:pPr>
      <w:r w:rsidRPr="00672991">
        <w:t xml:space="preserve">What is the safety of </w:t>
      </w:r>
      <w:r w:rsidR="00672991" w:rsidRPr="00672991">
        <w:t>regular IVIg dose and interval compared to half IVIg dose and interval?</w:t>
      </w:r>
    </w:p>
    <w:p w14:paraId="1F0EBB12" w14:textId="77777777" w:rsidR="00672991" w:rsidRDefault="00672991" w:rsidP="008475E5">
      <w:pPr>
        <w:pStyle w:val="Summaryboxheading"/>
        <w:pBdr>
          <w:top w:val="single" w:sz="4" w:space="1" w:color="auto"/>
          <w:left w:val="single" w:sz="4" w:space="4" w:color="auto"/>
          <w:bottom w:val="single" w:sz="4" w:space="1" w:color="auto"/>
          <w:right w:val="single" w:sz="4" w:space="4" w:color="auto"/>
        </w:pBdr>
        <w:jc w:val="both"/>
        <w:rPr>
          <w:b w:val="0"/>
        </w:rPr>
      </w:pPr>
      <w:r>
        <w:rPr>
          <w:b w:val="0"/>
        </w:rPr>
        <w:t xml:space="preserve">In a cross-over design RCT in patients with CIDP, AEs were compared between two dosing regimens, in which </w:t>
      </w:r>
      <w:r w:rsidR="00225947">
        <w:rPr>
          <w:b w:val="0"/>
        </w:rPr>
        <w:t>patients</w:t>
      </w:r>
      <w:r>
        <w:rPr>
          <w:b w:val="0"/>
        </w:rPr>
        <w:t xml:space="preserve"> received either their </w:t>
      </w:r>
      <w:r w:rsidR="002B0DA4">
        <w:rPr>
          <w:b w:val="0"/>
        </w:rPr>
        <w:t>normal</w:t>
      </w:r>
      <w:r>
        <w:rPr>
          <w:b w:val="0"/>
        </w:rPr>
        <w:t xml:space="preserve"> dose with regular interval, or half their </w:t>
      </w:r>
      <w:r w:rsidR="002B0DA4">
        <w:rPr>
          <w:b w:val="0"/>
        </w:rPr>
        <w:t>normal</w:t>
      </w:r>
      <w:r>
        <w:rPr>
          <w:b w:val="0"/>
        </w:rPr>
        <w:t xml:space="preserve"> dose at half the regular interval. The overall dose patients received was the same in both regimens. The frequency of AEs was similar between regimens, and the majority of patients </w:t>
      </w:r>
      <w:r w:rsidR="00225947">
        <w:rPr>
          <w:b w:val="0"/>
        </w:rPr>
        <w:t>had no preference for</w:t>
      </w:r>
      <w:r>
        <w:rPr>
          <w:b w:val="0"/>
        </w:rPr>
        <w:t xml:space="preserve"> either dosing schedule. There were no serious AEs reported. The RCT provides evidence that there could be some flexibility in the dosing regimens that patients with CIDP </w:t>
      </w:r>
      <w:r w:rsidR="00225947">
        <w:rPr>
          <w:b w:val="0"/>
        </w:rPr>
        <w:t>are</w:t>
      </w:r>
      <w:r>
        <w:rPr>
          <w:b w:val="0"/>
        </w:rPr>
        <w:t xml:space="preserve"> offered.</w:t>
      </w:r>
    </w:p>
    <w:p w14:paraId="132B747D" w14:textId="77777777" w:rsidR="0009735B" w:rsidRDefault="0009735B" w:rsidP="008475E5">
      <w:pPr>
        <w:pStyle w:val="Summaryboxheading"/>
        <w:pBdr>
          <w:top w:val="single" w:sz="4" w:space="1" w:color="auto"/>
          <w:left w:val="single" w:sz="4" w:space="4" w:color="auto"/>
          <w:bottom w:val="single" w:sz="4" w:space="1" w:color="auto"/>
          <w:right w:val="single" w:sz="4" w:space="4" w:color="auto"/>
        </w:pBdr>
        <w:jc w:val="both"/>
        <w:rPr>
          <w:b w:val="0"/>
        </w:rPr>
      </w:pPr>
      <w:r w:rsidRPr="00445CAE">
        <w:t>What is the safety of low-dose SCIg (0.2 g.kg) compared to high-dose SCIg (0.4 g/kg) or placebo</w:t>
      </w:r>
      <w:r w:rsidRPr="00F53EAA">
        <w:t>?</w:t>
      </w:r>
    </w:p>
    <w:p w14:paraId="052095D0" w14:textId="77777777" w:rsidR="0009735B" w:rsidRDefault="00445CAE" w:rsidP="008475E5">
      <w:pPr>
        <w:pStyle w:val="Summaryboxheading"/>
        <w:pBdr>
          <w:top w:val="single" w:sz="4" w:space="1" w:color="auto"/>
          <w:left w:val="single" w:sz="4" w:space="4" w:color="auto"/>
          <w:bottom w:val="single" w:sz="4" w:space="1" w:color="auto"/>
          <w:right w:val="single" w:sz="4" w:space="4" w:color="auto"/>
        </w:pBdr>
        <w:jc w:val="both"/>
        <w:rPr>
          <w:b w:val="0"/>
        </w:rPr>
      </w:pPr>
      <w:r>
        <w:rPr>
          <w:b w:val="0"/>
        </w:rPr>
        <w:t>In a randomised, three-armed comparison</w:t>
      </w:r>
      <w:r w:rsidR="00A174FC">
        <w:rPr>
          <w:b w:val="0"/>
        </w:rPr>
        <w:t xml:space="preserve"> (PATH Trial)</w:t>
      </w:r>
      <w:r>
        <w:rPr>
          <w:b w:val="0"/>
        </w:rPr>
        <w:t xml:space="preserve">, </w:t>
      </w:r>
      <w:r w:rsidR="0009735B">
        <w:rPr>
          <w:b w:val="0"/>
        </w:rPr>
        <w:t>AE rates were higher in patients treated with SCIg (either dose)</w:t>
      </w:r>
      <w:r>
        <w:rPr>
          <w:b w:val="0"/>
        </w:rPr>
        <w:t xml:space="preserve"> when</w:t>
      </w:r>
      <w:r w:rsidR="00225947">
        <w:rPr>
          <w:b w:val="0"/>
        </w:rPr>
        <w:t xml:space="preserve"> compared to placebo. Treatment-</w:t>
      </w:r>
      <w:r>
        <w:rPr>
          <w:b w:val="0"/>
        </w:rPr>
        <w:t xml:space="preserve">related AEs occurred in 30% of patients receiving low-dose SCIg, 35% of patients receiving high-dose SCIg, and 18% of patients in the placebo group. Of 11 serious adverse events, 10 occurred in patients receiving SCIg. Only </w:t>
      </w:r>
      <w:r w:rsidRPr="00445CAE">
        <w:rPr>
          <w:b w:val="0"/>
        </w:rPr>
        <w:t>one serious AE (acute allergic skin reaction) was considered to be related to treatment, and led to discontinuation</w:t>
      </w:r>
      <w:r>
        <w:rPr>
          <w:b w:val="0"/>
        </w:rPr>
        <w:t xml:space="preserve"> of SCIg. There were few differences </w:t>
      </w:r>
      <w:r w:rsidR="00871D18">
        <w:rPr>
          <w:b w:val="0"/>
        </w:rPr>
        <w:t xml:space="preserve">in AE rates </w:t>
      </w:r>
      <w:r>
        <w:rPr>
          <w:b w:val="0"/>
        </w:rPr>
        <w:t>between low and high-dose treatment groups.</w:t>
      </w:r>
    </w:p>
    <w:p w14:paraId="4E1FFB18" w14:textId="42A76C66" w:rsidR="008E42D2" w:rsidRDefault="00946FCA" w:rsidP="00016FA1">
      <w:pPr>
        <w:jc w:val="both"/>
      </w:pPr>
      <w:r>
        <w:t xml:space="preserve">One RCT </w:t>
      </w:r>
      <w:r w:rsidR="000A19FC">
        <w:t xml:space="preserve">(IVIg DOSE) </w:t>
      </w:r>
      <w:r w:rsidR="00016FA1">
        <w:t>met</w:t>
      </w:r>
      <w:r>
        <w:t xml:space="preserve"> the </w:t>
      </w:r>
      <w:r w:rsidR="00047ECE">
        <w:t xml:space="preserve">majority of </w:t>
      </w:r>
      <w:r>
        <w:t>inclusion criteria for this review</w:t>
      </w:r>
      <w:r w:rsidR="00016FA1">
        <w:t xml:space="preserve"> and</w:t>
      </w:r>
      <w:r>
        <w:t xml:space="preserve"> reported on the safety of IVIg. </w:t>
      </w:r>
      <w:r w:rsidR="00047ECE">
        <w:t>While comparators in the PICO Confirmation for the 1564 review did not include dose comparisons, this study was included as it has the potential to inform clinical practice regarding dosing regime</w:t>
      </w:r>
      <w:r w:rsidR="00F168A7">
        <w:t>n</w:t>
      </w:r>
      <w:r w:rsidR="00047ECE">
        <w:t xml:space="preserve">s. </w:t>
      </w:r>
      <w:r>
        <w:t>The study compared two different dosing regimens in a randomised cross-over trial</w:t>
      </w:r>
      <w:r w:rsidR="00587EE3">
        <w:t xml:space="preserve"> </w: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 </w:instrTex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33" w:tooltip="Kuitwaard, 2020 #16" w:history="1">
        <w:r w:rsidR="00D726F6">
          <w:rPr>
            <w:noProof/>
          </w:rPr>
          <w:t>Kuitwaard et al. 2020b</w:t>
        </w:r>
      </w:hyperlink>
      <w:r w:rsidR="00B727D6">
        <w:rPr>
          <w:noProof/>
        </w:rPr>
        <w:t>)</w:t>
      </w:r>
      <w:r w:rsidR="00B727D6">
        <w:fldChar w:fldCharType="end"/>
      </w:r>
      <w:r>
        <w:t xml:space="preserve">. </w:t>
      </w:r>
    </w:p>
    <w:p w14:paraId="3BF099D7" w14:textId="2BF669D6" w:rsidR="00047ECE" w:rsidRDefault="00F168A7" w:rsidP="00016FA1">
      <w:pPr>
        <w:jc w:val="both"/>
      </w:pPr>
      <w:r>
        <w:t>Safety data from the PATH trial was i</w:t>
      </w:r>
      <w:r w:rsidR="00CC2790">
        <w:t>ncluded from the study by van Scha</w:t>
      </w:r>
      <w:r>
        <w:t xml:space="preserve">ik et al.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r w:rsidR="00B727D6">
        <w:fldChar w:fldCharType="end"/>
      </w:r>
      <w:r>
        <w:t>. Although this study did not meet the inclusion criteria for this update report</w:t>
      </w:r>
      <w:r w:rsidR="000D473C">
        <w:t xml:space="preserve"> due to its publication date</w:t>
      </w:r>
      <w:r>
        <w:t xml:space="preserve">, </w:t>
      </w:r>
      <w:r w:rsidR="00CC2790">
        <w:t>it</w:t>
      </w:r>
      <w:r w:rsidR="00CC2790" w:rsidRPr="00CC2790">
        <w:t xml:space="preserve"> </w:t>
      </w:r>
      <w:r w:rsidR="00CC2790">
        <w:t>was</w:t>
      </w:r>
      <w:r w:rsidR="00CC2790" w:rsidRPr="00CC2790">
        <w:t xml:space="preserve"> not included in the </w:t>
      </w:r>
      <w:r w:rsidR="00914B37">
        <w:t>DCAR 1564</w:t>
      </w:r>
      <w:r w:rsidR="00CC2790" w:rsidRPr="00CC2790">
        <w:t xml:space="preserve"> Review. Data regarding the </w:t>
      </w:r>
      <w:r w:rsidR="00CC2790">
        <w:t>safety</w:t>
      </w:r>
      <w:r w:rsidR="00CC2790" w:rsidRPr="00CC2790">
        <w:t xml:space="preserve"> of SCIg has the potential to inform the economic modelling for SCIg usage</w:t>
      </w:r>
      <w:r w:rsidR="000D473C">
        <w:t>, and was specifically requested by MSAC for this update</w:t>
      </w:r>
      <w:r w:rsidR="00CC2790" w:rsidRPr="00CC2790">
        <w:t>.</w:t>
      </w:r>
    </w:p>
    <w:p w14:paraId="184AA9F2" w14:textId="2746F5FC" w:rsidR="00437F28" w:rsidRDefault="00946FCA" w:rsidP="00016FA1">
      <w:pPr>
        <w:jc w:val="both"/>
      </w:pPr>
      <w:r>
        <w:t>One single arm retrospective study was identified that reported on long-term AEs in patients with CIDP</w:t>
      </w:r>
      <w:r w:rsidR="00047ECE">
        <w:t xml:space="preserve"> </w:t>
      </w:r>
      <w:r w:rsidR="00B727D6">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sidR="00B727D6">
        <w:instrText xml:space="preserve"> ADDIN EN.CITE </w:instrText>
      </w:r>
      <w:r w:rsidR="00B727D6">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7" w:tooltip="Waheed, 2019 #14" w:history="1">
        <w:r w:rsidR="00D726F6">
          <w:rPr>
            <w:noProof/>
          </w:rPr>
          <w:t>Waheed et al. 2019</w:t>
        </w:r>
      </w:hyperlink>
      <w:r w:rsidR="00B727D6">
        <w:rPr>
          <w:noProof/>
        </w:rPr>
        <w:t>)</w:t>
      </w:r>
      <w:r w:rsidR="00B727D6">
        <w:fldChar w:fldCharType="end"/>
      </w:r>
      <w:r w:rsidR="00047ECE">
        <w:t>.</w:t>
      </w:r>
      <w:r>
        <w:t xml:space="preserve"> </w:t>
      </w:r>
      <w:r w:rsidR="00047ECE">
        <w:t>This study</w:t>
      </w:r>
      <w:r>
        <w:t xml:space="preserve"> was included in Section B.7 Extended Assessment of Harms,</w:t>
      </w:r>
      <w:r w:rsidR="00047ECE">
        <w:t xml:space="preserve"> in accordance with the protocol</w:t>
      </w:r>
      <w:r>
        <w:t>.</w:t>
      </w:r>
    </w:p>
    <w:p w14:paraId="03665E6B" w14:textId="77777777" w:rsidR="00E21CF8" w:rsidRDefault="000B6DBB" w:rsidP="00BA516C">
      <w:pPr>
        <w:pStyle w:val="Heading3"/>
      </w:pPr>
      <w:bookmarkStart w:id="157" w:name="_Toc69305556"/>
      <w:r>
        <w:t>Normal</w:t>
      </w:r>
      <w:r w:rsidR="00E21CF8">
        <w:t xml:space="preserve"> </w:t>
      </w:r>
      <w:r w:rsidR="00BA516C">
        <w:t xml:space="preserve">IVIg </w:t>
      </w:r>
      <w:r w:rsidR="00E21CF8">
        <w:t xml:space="preserve">dose </w:t>
      </w:r>
      <w:r w:rsidR="00BA516C">
        <w:t xml:space="preserve">and interval </w:t>
      </w:r>
      <w:r w:rsidR="00E21CF8">
        <w:t xml:space="preserve">compared with half </w:t>
      </w:r>
      <w:r w:rsidR="00BA516C">
        <w:t xml:space="preserve">IVIg </w:t>
      </w:r>
      <w:r w:rsidR="00E21CF8">
        <w:t xml:space="preserve">dose </w:t>
      </w:r>
      <w:r w:rsidR="000A19FC">
        <w:t xml:space="preserve">at half the </w:t>
      </w:r>
      <w:r w:rsidR="00BA516C">
        <w:t>interval</w:t>
      </w:r>
      <w:r w:rsidR="00E21CF8">
        <w:t xml:space="preserve"> in </w:t>
      </w:r>
      <w:r w:rsidR="00BA516C">
        <w:t xml:space="preserve">CIDP </w:t>
      </w:r>
      <w:r w:rsidR="00E21CF8">
        <w:t>patients on individualised maintenance treatment</w:t>
      </w:r>
      <w:bookmarkEnd w:id="157"/>
    </w:p>
    <w:p w14:paraId="0940D683" w14:textId="685783B6" w:rsidR="00F27AC5" w:rsidRDefault="00946FCA" w:rsidP="00016FA1">
      <w:pPr>
        <w:jc w:val="both"/>
      </w:pPr>
      <w:r>
        <w:t xml:space="preserve">The </w:t>
      </w:r>
      <w:r w:rsidR="000A19FC">
        <w:t xml:space="preserve">IVIg DOSE </w:t>
      </w:r>
      <w:r>
        <w:t>RCT included 25</w:t>
      </w:r>
      <w:r w:rsidR="00E21CF8">
        <w:t xml:space="preserve"> patients with CIDP who were IVIg dependent and receiving maintenance treatment </w:t>
      </w:r>
      <w:r w:rsidR="000D473C">
        <w:t>with</w:t>
      </w:r>
      <w:r w:rsidR="00E21CF8">
        <w:t xml:space="preserve"> individualised dose and interval of IVIg</w:t>
      </w:r>
      <w:r w:rsidR="00DB0C72">
        <w:t xml:space="preserve"> </w: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 </w:instrTex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33" w:tooltip="Kuitwaard, 2020 #16" w:history="1">
        <w:r w:rsidR="00D726F6">
          <w:rPr>
            <w:noProof/>
          </w:rPr>
          <w:t>Kuitwaard et al. 2020b</w:t>
        </w:r>
      </w:hyperlink>
      <w:r w:rsidR="00B727D6">
        <w:rPr>
          <w:noProof/>
        </w:rPr>
        <w:t>)</w:t>
      </w:r>
      <w:r w:rsidR="00B727D6">
        <w:fldChar w:fldCharType="end"/>
      </w:r>
      <w:r w:rsidR="00E21CF8">
        <w:t xml:space="preserve">. </w:t>
      </w:r>
      <w:r w:rsidR="00437F28">
        <w:t>Individual</w:t>
      </w:r>
      <w:r w:rsidR="000A19FC">
        <w:t>ised</w:t>
      </w:r>
      <w:r w:rsidR="00E21CF8">
        <w:t xml:space="preserve"> patient doses ranged from 20 to 80</w:t>
      </w:r>
      <w:r>
        <w:t xml:space="preserve"> </w:t>
      </w:r>
      <w:r w:rsidR="00E21CF8">
        <w:t xml:space="preserve">g, </w:t>
      </w:r>
      <w:r w:rsidR="000A19FC">
        <w:t xml:space="preserve">at </w:t>
      </w:r>
      <w:r w:rsidR="00E21CF8">
        <w:t xml:space="preserve">intervals </w:t>
      </w:r>
      <w:r w:rsidR="000A19FC">
        <w:t xml:space="preserve">ranging </w:t>
      </w:r>
      <w:r w:rsidR="00E21CF8">
        <w:t xml:space="preserve">from 14 to 35 days. All patients transitioned through a control phase in which they received their </w:t>
      </w:r>
      <w:r w:rsidR="00251E97">
        <w:t xml:space="preserve">normal </w:t>
      </w:r>
      <w:r w:rsidR="00F27AC5">
        <w:t xml:space="preserve">maintenance treatment, a wash-out phase, and an intervention phase in which they received half their </w:t>
      </w:r>
      <w:r w:rsidR="00251E97">
        <w:t xml:space="preserve">normal </w:t>
      </w:r>
      <w:r w:rsidR="00F27AC5">
        <w:t xml:space="preserve">IVIg dose </w:t>
      </w:r>
      <w:r w:rsidR="000A19FC">
        <w:t xml:space="preserve">at </w:t>
      </w:r>
      <w:r w:rsidR="00F27AC5">
        <w:t xml:space="preserve">half </w:t>
      </w:r>
      <w:r w:rsidR="000A19FC">
        <w:t xml:space="preserve">the </w:t>
      </w:r>
      <w:r w:rsidR="00F27AC5">
        <w:t xml:space="preserve">interval (thereby receiving the same amount of Ig but more frequent smaller doses). The </w:t>
      </w:r>
      <w:r w:rsidR="000B6DBB">
        <w:t>“</w:t>
      </w:r>
      <w:r w:rsidR="00F27AC5">
        <w:t>wash-out phase</w:t>
      </w:r>
      <w:r w:rsidR="000B6DBB">
        <w:t>”</w:t>
      </w:r>
      <w:r w:rsidR="00F27AC5">
        <w:t xml:space="preserve"> consisted of two </w:t>
      </w:r>
      <w:r w:rsidR="00C224E9">
        <w:t>normal dose</w:t>
      </w:r>
      <w:r w:rsidR="00B174B9">
        <w:t xml:space="preserve"> and interval treatment cycles. </w:t>
      </w:r>
      <w:r w:rsidR="00F27AC5">
        <w:t xml:space="preserve">Half of the </w:t>
      </w:r>
      <w:r w:rsidR="00A278C9">
        <w:t xml:space="preserve">25 </w:t>
      </w:r>
      <w:r w:rsidR="00F27AC5">
        <w:t>randomised patients began with the control phase and half with the intervention phase</w:t>
      </w:r>
      <w:r w:rsidR="00B174B9">
        <w:t xml:space="preserve">. </w:t>
      </w:r>
      <w:r w:rsidR="00474DBD">
        <w:t>P</w:t>
      </w:r>
      <w:r w:rsidR="00B174B9">
        <w:t>atients were blinded to their treatment</w:t>
      </w:r>
      <w:r w:rsidR="000B6DBB">
        <w:t>, and were given a placebo infusion at half intervals in the normal dose and interval phase</w:t>
      </w:r>
      <w:r w:rsidR="00F27AC5">
        <w:t xml:space="preserve">. </w:t>
      </w:r>
    </w:p>
    <w:p w14:paraId="17721671" w14:textId="5DCFEBD7" w:rsidR="00C11B10" w:rsidRDefault="00E528A0" w:rsidP="00016FA1">
      <w:pPr>
        <w:jc w:val="both"/>
      </w:pPr>
      <w:r>
        <w:t>The 10 most common AEs</w:t>
      </w:r>
      <w:r w:rsidR="00F27AC5">
        <w:t xml:space="preserve"> were compared </w:t>
      </w:r>
      <w:r w:rsidR="00437F28">
        <w:t>between</w:t>
      </w:r>
      <w:r w:rsidR="00F27AC5">
        <w:t xml:space="preserve"> normal IVIg dose and interval and half IVIg dose a</w:t>
      </w:r>
      <w:r w:rsidR="00956F19">
        <w:t>t half the</w:t>
      </w:r>
      <w:r w:rsidR="0060081D">
        <w:t xml:space="preserve"> </w:t>
      </w:r>
      <w:r w:rsidR="00F27AC5">
        <w:t>interval</w:t>
      </w:r>
      <w:r>
        <w:t xml:space="preserve"> </w:t>
      </w:r>
      <w:r w:rsidR="00016FA1">
        <w:t>(</w:t>
      </w:r>
      <w:r>
        <w:fldChar w:fldCharType="begin"/>
      </w:r>
      <w:r>
        <w:instrText xml:space="preserve"> REF _Ref57282659 \h </w:instrText>
      </w:r>
      <w:r w:rsidR="00016FA1">
        <w:instrText xml:space="preserve"> \* MERGEFORMAT </w:instrText>
      </w:r>
      <w:r>
        <w:fldChar w:fldCharType="separate"/>
      </w:r>
      <w:r w:rsidR="004B3EA2">
        <w:t xml:space="preserve">Table </w:t>
      </w:r>
      <w:r w:rsidR="004B3EA2">
        <w:rPr>
          <w:noProof/>
        </w:rPr>
        <w:t>11</w:t>
      </w:r>
      <w:r>
        <w:fldChar w:fldCharType="end"/>
      </w:r>
      <w:r w:rsidR="00016FA1">
        <w:t>)</w:t>
      </w:r>
      <w:r w:rsidR="00F27AC5">
        <w:t>.</w:t>
      </w:r>
      <w:r>
        <w:t xml:space="preserve"> Both dosing regimens were tolerated equally well, and there were no significant differences in frequency of AEs between regimens. </w:t>
      </w:r>
      <w:r w:rsidR="00016FA1">
        <w:t xml:space="preserve">Fatigue, and muscle and joint ache were the two most frequently experienced AEs in both </w:t>
      </w:r>
      <w:r w:rsidR="00A278C9">
        <w:t xml:space="preserve">trial </w:t>
      </w:r>
      <w:r w:rsidR="00016FA1">
        <w:t xml:space="preserve">arms. </w:t>
      </w:r>
      <w:r>
        <w:t>Of the 25 patients, two preferred the intervention regimen, one preferred the control regimen, but the remainder had no preference</w:t>
      </w:r>
      <w:r w:rsidR="00016FA1">
        <w:t xml:space="preserve"> between treatment regime</w:t>
      </w:r>
      <w:r w:rsidR="00A278C9">
        <w:t>n</w:t>
      </w:r>
      <w:r w:rsidR="00016FA1">
        <w:t>s</w:t>
      </w:r>
      <w:r>
        <w:t>. There were no serious AEs</w:t>
      </w:r>
      <w:r w:rsidR="00016FA1">
        <w:t xml:space="preserve"> reported</w:t>
      </w:r>
      <w:r w:rsidR="00D80AB5">
        <w:t xml:space="preserve"> </w: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 </w:instrTex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33" w:tooltip="Kuitwaard, 2020 #16" w:history="1">
        <w:r w:rsidR="00D726F6">
          <w:rPr>
            <w:noProof/>
          </w:rPr>
          <w:t>Kuitwaard et al. 2020b</w:t>
        </w:r>
      </w:hyperlink>
      <w:r w:rsidR="00B727D6">
        <w:rPr>
          <w:noProof/>
        </w:rPr>
        <w:t>)</w:t>
      </w:r>
      <w:r w:rsidR="00B727D6">
        <w:fldChar w:fldCharType="end"/>
      </w:r>
      <w:r>
        <w:t xml:space="preserve">. </w:t>
      </w:r>
    </w:p>
    <w:p w14:paraId="0ED39F08" w14:textId="0C9772AC" w:rsidR="00F27AC5" w:rsidRDefault="00F27AC5" w:rsidP="00F27AC5">
      <w:pPr>
        <w:pStyle w:val="Caption"/>
      </w:pPr>
      <w:bookmarkStart w:id="158" w:name="_Ref57282659"/>
      <w:bookmarkStart w:id="159" w:name="_Ref57282655"/>
      <w:bookmarkStart w:id="160" w:name="_Toc69305652"/>
      <w:r>
        <w:t xml:space="preserve">Table </w:t>
      </w:r>
      <w:r w:rsidR="00003BA5">
        <w:fldChar w:fldCharType="begin"/>
      </w:r>
      <w:r w:rsidR="00003BA5">
        <w:instrText xml:space="preserve"> SEQ Table \* ARABIC </w:instrText>
      </w:r>
      <w:r w:rsidR="00003BA5">
        <w:fldChar w:fldCharType="separate"/>
      </w:r>
      <w:r w:rsidR="004B3EA2">
        <w:rPr>
          <w:noProof/>
        </w:rPr>
        <w:t>11</w:t>
      </w:r>
      <w:r w:rsidR="00003BA5">
        <w:rPr>
          <w:noProof/>
        </w:rPr>
        <w:fldChar w:fldCharType="end"/>
      </w:r>
      <w:bookmarkEnd w:id="158"/>
      <w:r w:rsidR="00914B37">
        <w:rPr>
          <w:noProof/>
        </w:rPr>
        <w:tab/>
      </w:r>
      <w:r>
        <w:tab/>
        <w:t>Number of patients who reported common adverse events</w:t>
      </w:r>
      <w:r w:rsidR="00B174B9">
        <w:t xml:space="preserve"> during blinded phase</w:t>
      </w:r>
      <w:bookmarkEnd w:id="159"/>
      <w:r w:rsidR="00DB0C72">
        <w:t xml:space="preserve"> </w: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 </w:instrText>
      </w:r>
      <w:r w:rsidR="00B727D6">
        <w:fldChar w:fldCharType="begin">
          <w:fldData xml:space="preserve">PEVuZE5vdGU+PENpdGU+PEF1dGhvcj5LdWl0d2FhcmQ8L0F1dGhvcj48WWVhcj4yMDIwPC9ZZWFy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33" w:tooltip="Kuitwaard, 2020 #16" w:history="1">
        <w:r w:rsidR="00D726F6">
          <w:rPr>
            <w:noProof/>
          </w:rPr>
          <w:t>Kuitwaard et al. 2020b</w:t>
        </w:r>
      </w:hyperlink>
      <w:r w:rsidR="00B727D6">
        <w:rPr>
          <w:noProof/>
        </w:rPr>
        <w:t>)</w:t>
      </w:r>
      <w:bookmarkEnd w:id="160"/>
      <w:r w:rsidR="00B727D6">
        <w:fldChar w:fldCharType="end"/>
      </w:r>
    </w:p>
    <w:tbl>
      <w:tblPr>
        <w:tblStyle w:val="TableGrid"/>
        <w:tblW w:w="0" w:type="auto"/>
        <w:tblLook w:val="04A0" w:firstRow="1" w:lastRow="0" w:firstColumn="1" w:lastColumn="0" w:noHBand="0" w:noVBand="1"/>
        <w:tblCaption w:val="Number of patients who reported common adverse events during blinded phase "/>
        <w:tblDescription w:val="Number of patients who reported common adverse events during blinded phase "/>
      </w:tblPr>
      <w:tblGrid>
        <w:gridCol w:w="1838"/>
        <w:gridCol w:w="2670"/>
        <w:gridCol w:w="2433"/>
        <w:gridCol w:w="2075"/>
      </w:tblGrid>
      <w:tr w:rsidR="00F27AC5" w:rsidRPr="00921204" w14:paraId="3BEF92DC" w14:textId="77777777" w:rsidTr="00BB43B6">
        <w:trPr>
          <w:tblHeader/>
        </w:trPr>
        <w:tc>
          <w:tcPr>
            <w:tcW w:w="1838" w:type="dxa"/>
          </w:tcPr>
          <w:p w14:paraId="6788AF4D" w14:textId="77777777" w:rsidR="00F27AC5" w:rsidRPr="00921204" w:rsidRDefault="00F27AC5" w:rsidP="00BA516C">
            <w:pPr>
              <w:spacing w:before="40" w:after="40" w:line="240" w:lineRule="auto"/>
              <w:ind w:left="0"/>
              <w:rPr>
                <w:rFonts w:ascii="Arial Narrow" w:hAnsi="Arial Narrow"/>
                <w:b/>
                <w:sz w:val="20"/>
                <w:szCs w:val="20"/>
              </w:rPr>
            </w:pPr>
            <w:r>
              <w:rPr>
                <w:rFonts w:ascii="Arial Narrow" w:hAnsi="Arial Narrow"/>
                <w:b/>
                <w:sz w:val="20"/>
                <w:szCs w:val="20"/>
              </w:rPr>
              <w:t>Adverse events</w:t>
            </w:r>
          </w:p>
        </w:tc>
        <w:tc>
          <w:tcPr>
            <w:tcW w:w="2670" w:type="dxa"/>
          </w:tcPr>
          <w:p w14:paraId="01B9FC10" w14:textId="77777777" w:rsidR="00F27AC5" w:rsidRPr="00921204" w:rsidRDefault="00B174B9" w:rsidP="00B174B9">
            <w:pPr>
              <w:spacing w:before="40" w:after="40" w:line="240" w:lineRule="auto"/>
              <w:ind w:left="0"/>
              <w:rPr>
                <w:rFonts w:ascii="Arial Narrow" w:hAnsi="Arial Narrow"/>
                <w:b/>
                <w:sz w:val="20"/>
                <w:szCs w:val="20"/>
              </w:rPr>
            </w:pPr>
            <w:r>
              <w:rPr>
                <w:rFonts w:ascii="Arial Narrow" w:hAnsi="Arial Narrow"/>
                <w:b/>
                <w:sz w:val="20"/>
                <w:szCs w:val="20"/>
              </w:rPr>
              <w:t xml:space="preserve">Regular IVIg dose and interval </w:t>
            </w:r>
            <w:r>
              <w:rPr>
                <w:rFonts w:ascii="Arial Narrow" w:hAnsi="Arial Narrow"/>
                <w:b/>
                <w:sz w:val="20"/>
                <w:szCs w:val="20"/>
              </w:rPr>
              <w:br/>
              <w:t>n (%)</w:t>
            </w:r>
          </w:p>
        </w:tc>
        <w:tc>
          <w:tcPr>
            <w:tcW w:w="2433" w:type="dxa"/>
          </w:tcPr>
          <w:p w14:paraId="5707922E" w14:textId="77777777" w:rsidR="00B174B9" w:rsidRPr="00921204" w:rsidRDefault="00B174B9" w:rsidP="00B174B9">
            <w:pPr>
              <w:spacing w:before="40" w:after="40" w:line="240" w:lineRule="auto"/>
              <w:ind w:left="0"/>
              <w:rPr>
                <w:rFonts w:ascii="Arial Narrow" w:hAnsi="Arial Narrow"/>
                <w:b/>
                <w:sz w:val="20"/>
                <w:szCs w:val="20"/>
              </w:rPr>
            </w:pPr>
            <w:r>
              <w:rPr>
                <w:rFonts w:ascii="Arial Narrow" w:hAnsi="Arial Narrow"/>
                <w:b/>
                <w:sz w:val="20"/>
                <w:szCs w:val="20"/>
              </w:rPr>
              <w:t>Half IVIg dose and interval</w:t>
            </w:r>
            <w:r>
              <w:rPr>
                <w:rFonts w:ascii="Arial Narrow" w:hAnsi="Arial Narrow"/>
                <w:b/>
                <w:sz w:val="20"/>
                <w:szCs w:val="20"/>
              </w:rPr>
              <w:br/>
              <w:t>n (%)</w:t>
            </w:r>
          </w:p>
        </w:tc>
        <w:tc>
          <w:tcPr>
            <w:tcW w:w="2075" w:type="dxa"/>
          </w:tcPr>
          <w:p w14:paraId="587FDA89" w14:textId="77777777" w:rsidR="00F27AC5" w:rsidRPr="00921204" w:rsidRDefault="00B174B9" w:rsidP="00B174B9">
            <w:pPr>
              <w:spacing w:before="40" w:after="40" w:line="240" w:lineRule="auto"/>
              <w:ind w:left="0"/>
              <w:rPr>
                <w:rFonts w:ascii="Arial Narrow" w:hAnsi="Arial Narrow"/>
                <w:b/>
                <w:sz w:val="20"/>
                <w:szCs w:val="20"/>
              </w:rPr>
            </w:pPr>
            <w:r>
              <w:rPr>
                <w:rFonts w:ascii="Arial Narrow" w:hAnsi="Arial Narrow"/>
                <w:b/>
                <w:sz w:val="20"/>
                <w:szCs w:val="20"/>
              </w:rPr>
              <w:t xml:space="preserve">Difference </w:t>
            </w:r>
            <w:r>
              <w:rPr>
                <w:rFonts w:ascii="Arial Narrow" w:hAnsi="Arial Narrow"/>
                <w:b/>
                <w:sz w:val="20"/>
                <w:szCs w:val="20"/>
              </w:rPr>
              <w:br/>
              <w:t>p</w:t>
            </w:r>
          </w:p>
        </w:tc>
      </w:tr>
      <w:tr w:rsidR="00F27AC5" w:rsidRPr="00921204" w14:paraId="54DDF940" w14:textId="77777777" w:rsidTr="00BB43B6">
        <w:tc>
          <w:tcPr>
            <w:tcW w:w="1838" w:type="dxa"/>
          </w:tcPr>
          <w:p w14:paraId="70E1DAA2" w14:textId="77777777" w:rsidR="00F27AC5" w:rsidRPr="00921204" w:rsidRDefault="00B174B9" w:rsidP="00BA516C">
            <w:pPr>
              <w:spacing w:before="40" w:after="40" w:line="240" w:lineRule="auto"/>
              <w:ind w:left="0"/>
              <w:rPr>
                <w:rFonts w:ascii="Arial Narrow" w:hAnsi="Arial Narrow"/>
                <w:sz w:val="20"/>
                <w:szCs w:val="20"/>
              </w:rPr>
            </w:pPr>
            <w:r>
              <w:rPr>
                <w:rFonts w:ascii="Arial Narrow" w:hAnsi="Arial Narrow"/>
                <w:sz w:val="20"/>
                <w:szCs w:val="20"/>
              </w:rPr>
              <w:t>Fatigue</w:t>
            </w:r>
          </w:p>
        </w:tc>
        <w:tc>
          <w:tcPr>
            <w:tcW w:w="2670" w:type="dxa"/>
          </w:tcPr>
          <w:p w14:paraId="238D7B74" w14:textId="77777777" w:rsidR="00F27AC5" w:rsidRPr="00921204" w:rsidRDefault="00B174B9" w:rsidP="00E23862">
            <w:pPr>
              <w:spacing w:before="40" w:after="40" w:line="240" w:lineRule="auto"/>
              <w:ind w:left="0"/>
              <w:jc w:val="center"/>
              <w:rPr>
                <w:rFonts w:ascii="Arial Narrow" w:hAnsi="Arial Narrow"/>
                <w:sz w:val="20"/>
                <w:szCs w:val="20"/>
              </w:rPr>
            </w:pPr>
            <w:r>
              <w:rPr>
                <w:rFonts w:ascii="Arial Narrow" w:hAnsi="Arial Narrow"/>
                <w:sz w:val="20"/>
                <w:szCs w:val="20"/>
              </w:rPr>
              <w:t xml:space="preserve">19 </w:t>
            </w:r>
            <w:r w:rsidR="00FF3115">
              <w:rPr>
                <w:rFonts w:ascii="Arial Narrow" w:hAnsi="Arial Narrow"/>
                <w:sz w:val="20"/>
                <w:szCs w:val="20"/>
              </w:rPr>
              <w:t>(</w:t>
            </w:r>
            <w:r>
              <w:rPr>
                <w:rFonts w:ascii="Arial Narrow" w:hAnsi="Arial Narrow"/>
                <w:sz w:val="20"/>
                <w:szCs w:val="20"/>
              </w:rPr>
              <w:t>86</w:t>
            </w:r>
            <w:r w:rsidR="00FF3115">
              <w:rPr>
                <w:rFonts w:ascii="Arial Narrow" w:hAnsi="Arial Narrow"/>
                <w:sz w:val="20"/>
                <w:szCs w:val="20"/>
              </w:rPr>
              <w:t>)</w:t>
            </w:r>
          </w:p>
        </w:tc>
        <w:tc>
          <w:tcPr>
            <w:tcW w:w="2433" w:type="dxa"/>
          </w:tcPr>
          <w:p w14:paraId="05C5DBB3" w14:textId="77777777" w:rsidR="00F27AC5"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20 (91)</w:t>
            </w:r>
          </w:p>
        </w:tc>
        <w:tc>
          <w:tcPr>
            <w:tcW w:w="2075" w:type="dxa"/>
          </w:tcPr>
          <w:p w14:paraId="128A0B3E" w14:textId="77777777" w:rsidR="00F27AC5"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1.0</w:t>
            </w:r>
          </w:p>
        </w:tc>
      </w:tr>
      <w:tr w:rsidR="00F27AC5" w:rsidRPr="00921204" w14:paraId="46B21CAF" w14:textId="77777777" w:rsidTr="00BB43B6">
        <w:tc>
          <w:tcPr>
            <w:tcW w:w="1838" w:type="dxa"/>
          </w:tcPr>
          <w:p w14:paraId="62B00123" w14:textId="77777777" w:rsidR="00F27AC5" w:rsidRPr="00921204" w:rsidRDefault="00B174B9" w:rsidP="00BA516C">
            <w:pPr>
              <w:spacing w:before="40" w:after="40" w:line="240" w:lineRule="auto"/>
              <w:ind w:left="0"/>
              <w:rPr>
                <w:rFonts w:ascii="Arial Narrow" w:hAnsi="Arial Narrow"/>
                <w:sz w:val="20"/>
                <w:szCs w:val="20"/>
              </w:rPr>
            </w:pPr>
            <w:r>
              <w:rPr>
                <w:rFonts w:ascii="Arial Narrow" w:hAnsi="Arial Narrow"/>
                <w:sz w:val="20"/>
                <w:szCs w:val="20"/>
              </w:rPr>
              <w:t>Muscle and joint ache</w:t>
            </w:r>
          </w:p>
        </w:tc>
        <w:tc>
          <w:tcPr>
            <w:tcW w:w="2670" w:type="dxa"/>
          </w:tcPr>
          <w:p w14:paraId="15288358" w14:textId="77777777" w:rsidR="00F27AC5" w:rsidRPr="00921204" w:rsidRDefault="00B174B9" w:rsidP="00E23862">
            <w:pPr>
              <w:spacing w:before="40" w:after="40" w:line="240" w:lineRule="auto"/>
              <w:ind w:left="0"/>
              <w:jc w:val="center"/>
              <w:rPr>
                <w:rFonts w:ascii="Arial Narrow" w:hAnsi="Arial Narrow"/>
                <w:sz w:val="20"/>
                <w:szCs w:val="20"/>
              </w:rPr>
            </w:pPr>
            <w:r>
              <w:rPr>
                <w:rFonts w:ascii="Arial Narrow" w:hAnsi="Arial Narrow"/>
                <w:sz w:val="20"/>
                <w:szCs w:val="20"/>
              </w:rPr>
              <w:t>17 (77)</w:t>
            </w:r>
          </w:p>
        </w:tc>
        <w:tc>
          <w:tcPr>
            <w:tcW w:w="2433" w:type="dxa"/>
          </w:tcPr>
          <w:p w14:paraId="4E438276" w14:textId="77777777" w:rsidR="00F27AC5"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16 (73)</w:t>
            </w:r>
          </w:p>
        </w:tc>
        <w:tc>
          <w:tcPr>
            <w:tcW w:w="2075" w:type="dxa"/>
          </w:tcPr>
          <w:p w14:paraId="0EF0CB40" w14:textId="77777777" w:rsidR="00F27AC5"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1.0</w:t>
            </w:r>
          </w:p>
        </w:tc>
      </w:tr>
      <w:tr w:rsidR="00F27AC5" w:rsidRPr="00921204" w14:paraId="72CFAD87" w14:textId="77777777" w:rsidTr="00BB43B6">
        <w:tc>
          <w:tcPr>
            <w:tcW w:w="1838" w:type="dxa"/>
          </w:tcPr>
          <w:p w14:paraId="3A033586" w14:textId="77777777" w:rsidR="00F27AC5" w:rsidRPr="00921204" w:rsidRDefault="00B174B9" w:rsidP="00BA516C">
            <w:pPr>
              <w:spacing w:before="40" w:after="40" w:line="240" w:lineRule="auto"/>
              <w:ind w:left="0"/>
              <w:rPr>
                <w:rFonts w:ascii="Arial Narrow" w:hAnsi="Arial Narrow"/>
                <w:sz w:val="20"/>
                <w:szCs w:val="20"/>
              </w:rPr>
            </w:pPr>
            <w:r>
              <w:rPr>
                <w:rFonts w:ascii="Arial Narrow" w:hAnsi="Arial Narrow"/>
                <w:sz w:val="20"/>
                <w:szCs w:val="20"/>
              </w:rPr>
              <w:t>Headache</w:t>
            </w:r>
          </w:p>
        </w:tc>
        <w:tc>
          <w:tcPr>
            <w:tcW w:w="2670" w:type="dxa"/>
          </w:tcPr>
          <w:p w14:paraId="28292841" w14:textId="77777777" w:rsidR="00F27AC5" w:rsidRPr="00921204" w:rsidRDefault="00B174B9" w:rsidP="00E23862">
            <w:pPr>
              <w:spacing w:before="40" w:after="40" w:line="240" w:lineRule="auto"/>
              <w:ind w:left="0"/>
              <w:jc w:val="center"/>
              <w:rPr>
                <w:rFonts w:ascii="Arial Narrow" w:hAnsi="Arial Narrow"/>
                <w:sz w:val="20"/>
                <w:szCs w:val="20"/>
              </w:rPr>
            </w:pPr>
            <w:r>
              <w:rPr>
                <w:rFonts w:ascii="Arial Narrow" w:hAnsi="Arial Narrow"/>
                <w:sz w:val="20"/>
                <w:szCs w:val="20"/>
              </w:rPr>
              <w:t>11 (50)</w:t>
            </w:r>
          </w:p>
        </w:tc>
        <w:tc>
          <w:tcPr>
            <w:tcW w:w="2433" w:type="dxa"/>
          </w:tcPr>
          <w:p w14:paraId="4DF9FF88" w14:textId="77777777" w:rsidR="00F27AC5"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13 (59)</w:t>
            </w:r>
          </w:p>
        </w:tc>
        <w:tc>
          <w:tcPr>
            <w:tcW w:w="2075" w:type="dxa"/>
          </w:tcPr>
          <w:p w14:paraId="0ACCEDE9" w14:textId="77777777" w:rsidR="00F27AC5"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0.69</w:t>
            </w:r>
          </w:p>
        </w:tc>
      </w:tr>
      <w:tr w:rsidR="00F27AC5" w:rsidRPr="00921204" w14:paraId="5BB22CD3" w14:textId="77777777" w:rsidTr="00BB43B6">
        <w:tc>
          <w:tcPr>
            <w:tcW w:w="1838" w:type="dxa"/>
          </w:tcPr>
          <w:p w14:paraId="2441027D" w14:textId="77777777" w:rsidR="00F27AC5" w:rsidRPr="00921204" w:rsidRDefault="00B174B9" w:rsidP="00BA516C">
            <w:pPr>
              <w:spacing w:before="40" w:after="40" w:line="240" w:lineRule="auto"/>
              <w:ind w:left="0"/>
              <w:rPr>
                <w:rFonts w:ascii="Arial Narrow" w:hAnsi="Arial Narrow"/>
                <w:sz w:val="20"/>
                <w:szCs w:val="20"/>
              </w:rPr>
            </w:pPr>
            <w:r>
              <w:rPr>
                <w:rFonts w:ascii="Arial Narrow" w:hAnsi="Arial Narrow"/>
                <w:sz w:val="20"/>
                <w:szCs w:val="20"/>
              </w:rPr>
              <w:t>Warm feeling</w:t>
            </w:r>
          </w:p>
        </w:tc>
        <w:tc>
          <w:tcPr>
            <w:tcW w:w="2670" w:type="dxa"/>
          </w:tcPr>
          <w:p w14:paraId="6D09455B" w14:textId="77777777" w:rsidR="00B174B9" w:rsidRPr="00921204" w:rsidRDefault="00B174B9" w:rsidP="00E23862">
            <w:pPr>
              <w:spacing w:before="40" w:after="40" w:line="240" w:lineRule="auto"/>
              <w:ind w:left="0"/>
              <w:jc w:val="center"/>
              <w:rPr>
                <w:rFonts w:ascii="Arial Narrow" w:hAnsi="Arial Narrow"/>
                <w:sz w:val="20"/>
                <w:szCs w:val="20"/>
              </w:rPr>
            </w:pPr>
            <w:r>
              <w:rPr>
                <w:rFonts w:ascii="Arial Narrow" w:hAnsi="Arial Narrow"/>
                <w:sz w:val="20"/>
                <w:szCs w:val="20"/>
              </w:rPr>
              <w:t>13 (59)</w:t>
            </w:r>
          </w:p>
        </w:tc>
        <w:tc>
          <w:tcPr>
            <w:tcW w:w="2433" w:type="dxa"/>
          </w:tcPr>
          <w:p w14:paraId="17B6ACFF" w14:textId="77777777" w:rsidR="00F27AC5"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11 (50)</w:t>
            </w:r>
          </w:p>
        </w:tc>
        <w:tc>
          <w:tcPr>
            <w:tcW w:w="2075" w:type="dxa"/>
          </w:tcPr>
          <w:p w14:paraId="56176CB5" w14:textId="77777777" w:rsidR="00F27AC5"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0.69</w:t>
            </w:r>
          </w:p>
        </w:tc>
      </w:tr>
      <w:tr w:rsidR="00B174B9" w:rsidRPr="00921204" w14:paraId="0F497E8B" w14:textId="77777777" w:rsidTr="00BB43B6">
        <w:tc>
          <w:tcPr>
            <w:tcW w:w="1838" w:type="dxa"/>
          </w:tcPr>
          <w:p w14:paraId="5D6E8905" w14:textId="77777777" w:rsidR="00B174B9" w:rsidRDefault="00B174B9" w:rsidP="00B174B9">
            <w:pPr>
              <w:spacing w:before="40" w:after="40" w:line="240" w:lineRule="auto"/>
              <w:ind w:left="0"/>
              <w:rPr>
                <w:rFonts w:ascii="Arial Narrow" w:hAnsi="Arial Narrow"/>
                <w:sz w:val="20"/>
                <w:szCs w:val="20"/>
              </w:rPr>
            </w:pPr>
            <w:r>
              <w:rPr>
                <w:rFonts w:ascii="Arial Narrow" w:hAnsi="Arial Narrow"/>
                <w:sz w:val="20"/>
                <w:szCs w:val="20"/>
              </w:rPr>
              <w:t>Backache</w:t>
            </w:r>
          </w:p>
        </w:tc>
        <w:tc>
          <w:tcPr>
            <w:tcW w:w="2670" w:type="dxa"/>
          </w:tcPr>
          <w:p w14:paraId="748B7402" w14:textId="77777777" w:rsidR="00B174B9" w:rsidRPr="00921204" w:rsidRDefault="00B174B9" w:rsidP="00E23862">
            <w:pPr>
              <w:spacing w:before="40" w:after="40" w:line="240" w:lineRule="auto"/>
              <w:ind w:left="0"/>
              <w:jc w:val="center"/>
              <w:rPr>
                <w:rFonts w:ascii="Arial Narrow" w:hAnsi="Arial Narrow"/>
                <w:sz w:val="20"/>
                <w:szCs w:val="20"/>
              </w:rPr>
            </w:pPr>
            <w:r>
              <w:rPr>
                <w:rFonts w:ascii="Arial Narrow" w:hAnsi="Arial Narrow"/>
                <w:sz w:val="20"/>
                <w:szCs w:val="20"/>
              </w:rPr>
              <w:t>12 (55)</w:t>
            </w:r>
          </w:p>
        </w:tc>
        <w:tc>
          <w:tcPr>
            <w:tcW w:w="2433" w:type="dxa"/>
          </w:tcPr>
          <w:p w14:paraId="24EE5FD9"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10 (46)</w:t>
            </w:r>
          </w:p>
        </w:tc>
        <w:tc>
          <w:tcPr>
            <w:tcW w:w="2075" w:type="dxa"/>
          </w:tcPr>
          <w:p w14:paraId="67DFC9B1"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0.63</w:t>
            </w:r>
          </w:p>
        </w:tc>
      </w:tr>
      <w:tr w:rsidR="00B174B9" w:rsidRPr="00921204" w14:paraId="2C77A09E" w14:textId="77777777" w:rsidTr="00BB43B6">
        <w:tc>
          <w:tcPr>
            <w:tcW w:w="1838" w:type="dxa"/>
          </w:tcPr>
          <w:p w14:paraId="11885BE9" w14:textId="77777777" w:rsidR="00B174B9" w:rsidRDefault="00B174B9" w:rsidP="00B174B9">
            <w:pPr>
              <w:spacing w:before="40" w:after="40" w:line="240" w:lineRule="auto"/>
              <w:ind w:left="0"/>
              <w:rPr>
                <w:rFonts w:ascii="Arial Narrow" w:hAnsi="Arial Narrow"/>
                <w:sz w:val="20"/>
                <w:szCs w:val="20"/>
              </w:rPr>
            </w:pPr>
            <w:r>
              <w:rPr>
                <w:rFonts w:ascii="Arial Narrow" w:hAnsi="Arial Narrow"/>
                <w:sz w:val="20"/>
                <w:szCs w:val="20"/>
              </w:rPr>
              <w:t>Shortness of breath</w:t>
            </w:r>
          </w:p>
        </w:tc>
        <w:tc>
          <w:tcPr>
            <w:tcW w:w="2670" w:type="dxa"/>
          </w:tcPr>
          <w:p w14:paraId="373AC313" w14:textId="77777777" w:rsidR="00B174B9" w:rsidRPr="00921204" w:rsidRDefault="00B174B9" w:rsidP="00E23862">
            <w:pPr>
              <w:spacing w:before="40" w:after="40" w:line="240" w:lineRule="auto"/>
              <w:ind w:left="0"/>
              <w:jc w:val="center"/>
              <w:rPr>
                <w:rFonts w:ascii="Arial Narrow" w:hAnsi="Arial Narrow"/>
                <w:sz w:val="20"/>
                <w:szCs w:val="20"/>
              </w:rPr>
            </w:pPr>
            <w:r>
              <w:rPr>
                <w:rFonts w:ascii="Arial Narrow" w:hAnsi="Arial Narrow"/>
                <w:sz w:val="20"/>
                <w:szCs w:val="20"/>
              </w:rPr>
              <w:t>11 (50)</w:t>
            </w:r>
          </w:p>
        </w:tc>
        <w:tc>
          <w:tcPr>
            <w:tcW w:w="2433" w:type="dxa"/>
          </w:tcPr>
          <w:p w14:paraId="645A8A0A"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9 (41)</w:t>
            </w:r>
          </w:p>
        </w:tc>
        <w:tc>
          <w:tcPr>
            <w:tcW w:w="2075" w:type="dxa"/>
          </w:tcPr>
          <w:p w14:paraId="006E8F2F"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0.63</w:t>
            </w:r>
          </w:p>
        </w:tc>
      </w:tr>
      <w:tr w:rsidR="00B174B9" w:rsidRPr="00921204" w14:paraId="396156BF" w14:textId="77777777" w:rsidTr="00BB43B6">
        <w:tc>
          <w:tcPr>
            <w:tcW w:w="1838" w:type="dxa"/>
          </w:tcPr>
          <w:p w14:paraId="04599D21" w14:textId="77777777" w:rsidR="00B174B9" w:rsidRDefault="00B174B9" w:rsidP="00B174B9">
            <w:pPr>
              <w:spacing w:before="40" w:after="40" w:line="240" w:lineRule="auto"/>
              <w:ind w:left="0"/>
              <w:rPr>
                <w:rFonts w:ascii="Arial Narrow" w:hAnsi="Arial Narrow"/>
                <w:sz w:val="20"/>
                <w:szCs w:val="20"/>
              </w:rPr>
            </w:pPr>
            <w:r>
              <w:rPr>
                <w:rFonts w:ascii="Arial Narrow" w:hAnsi="Arial Narrow"/>
                <w:sz w:val="20"/>
                <w:szCs w:val="20"/>
              </w:rPr>
              <w:t>Itching</w:t>
            </w:r>
          </w:p>
        </w:tc>
        <w:tc>
          <w:tcPr>
            <w:tcW w:w="2670" w:type="dxa"/>
          </w:tcPr>
          <w:p w14:paraId="7CED9DCA" w14:textId="77777777" w:rsidR="00B174B9" w:rsidRPr="00921204" w:rsidRDefault="00B174B9" w:rsidP="00E23862">
            <w:pPr>
              <w:spacing w:before="40" w:after="40" w:line="240" w:lineRule="auto"/>
              <w:ind w:left="0"/>
              <w:jc w:val="center"/>
              <w:rPr>
                <w:rFonts w:ascii="Arial Narrow" w:hAnsi="Arial Narrow"/>
                <w:sz w:val="20"/>
                <w:szCs w:val="20"/>
              </w:rPr>
            </w:pPr>
            <w:r>
              <w:rPr>
                <w:rFonts w:ascii="Arial Narrow" w:hAnsi="Arial Narrow"/>
                <w:sz w:val="20"/>
                <w:szCs w:val="20"/>
              </w:rPr>
              <w:t>8 (36)</w:t>
            </w:r>
          </w:p>
        </w:tc>
        <w:tc>
          <w:tcPr>
            <w:tcW w:w="2433" w:type="dxa"/>
          </w:tcPr>
          <w:p w14:paraId="42CB49AD"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8 (36)</w:t>
            </w:r>
          </w:p>
        </w:tc>
        <w:tc>
          <w:tcPr>
            <w:tcW w:w="2075" w:type="dxa"/>
          </w:tcPr>
          <w:p w14:paraId="0BD65AAD"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1.0</w:t>
            </w:r>
          </w:p>
        </w:tc>
      </w:tr>
      <w:tr w:rsidR="00B174B9" w:rsidRPr="00921204" w14:paraId="2BE58B7A" w14:textId="77777777" w:rsidTr="00BB43B6">
        <w:tc>
          <w:tcPr>
            <w:tcW w:w="1838" w:type="dxa"/>
          </w:tcPr>
          <w:p w14:paraId="6649A431" w14:textId="77777777" w:rsidR="00B174B9" w:rsidRDefault="00B174B9" w:rsidP="00B174B9">
            <w:pPr>
              <w:spacing w:before="40" w:after="40" w:line="240" w:lineRule="auto"/>
              <w:ind w:left="0"/>
              <w:rPr>
                <w:rFonts w:ascii="Arial Narrow" w:hAnsi="Arial Narrow"/>
                <w:sz w:val="20"/>
                <w:szCs w:val="20"/>
              </w:rPr>
            </w:pPr>
            <w:r>
              <w:rPr>
                <w:rFonts w:ascii="Arial Narrow" w:hAnsi="Arial Narrow"/>
                <w:sz w:val="20"/>
                <w:szCs w:val="20"/>
              </w:rPr>
              <w:t>Cold shivers</w:t>
            </w:r>
          </w:p>
        </w:tc>
        <w:tc>
          <w:tcPr>
            <w:tcW w:w="2670" w:type="dxa"/>
          </w:tcPr>
          <w:p w14:paraId="322CDE98" w14:textId="77777777" w:rsidR="00B174B9" w:rsidRPr="00921204" w:rsidRDefault="00B174B9" w:rsidP="00E23862">
            <w:pPr>
              <w:spacing w:before="40" w:after="40" w:line="240" w:lineRule="auto"/>
              <w:ind w:left="0"/>
              <w:jc w:val="center"/>
              <w:rPr>
                <w:rFonts w:ascii="Arial Narrow" w:hAnsi="Arial Narrow"/>
                <w:sz w:val="20"/>
                <w:szCs w:val="20"/>
              </w:rPr>
            </w:pPr>
            <w:r>
              <w:rPr>
                <w:rFonts w:ascii="Arial Narrow" w:hAnsi="Arial Narrow"/>
                <w:sz w:val="20"/>
                <w:szCs w:val="20"/>
              </w:rPr>
              <w:t>8 (36)</w:t>
            </w:r>
          </w:p>
        </w:tc>
        <w:tc>
          <w:tcPr>
            <w:tcW w:w="2433" w:type="dxa"/>
          </w:tcPr>
          <w:p w14:paraId="7E642B2E"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7 (32)</w:t>
            </w:r>
          </w:p>
        </w:tc>
        <w:tc>
          <w:tcPr>
            <w:tcW w:w="2075" w:type="dxa"/>
          </w:tcPr>
          <w:p w14:paraId="63D98C3A"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1.0</w:t>
            </w:r>
          </w:p>
        </w:tc>
      </w:tr>
      <w:tr w:rsidR="00B174B9" w:rsidRPr="00921204" w14:paraId="169CE122" w14:textId="77777777" w:rsidTr="00BB43B6">
        <w:tc>
          <w:tcPr>
            <w:tcW w:w="1838" w:type="dxa"/>
          </w:tcPr>
          <w:p w14:paraId="20248B35" w14:textId="77777777" w:rsidR="00B174B9" w:rsidRDefault="00B174B9" w:rsidP="00B174B9">
            <w:pPr>
              <w:spacing w:before="40" w:after="40" w:line="240" w:lineRule="auto"/>
              <w:ind w:left="0"/>
              <w:rPr>
                <w:rFonts w:ascii="Arial Narrow" w:hAnsi="Arial Narrow"/>
                <w:sz w:val="20"/>
                <w:szCs w:val="20"/>
              </w:rPr>
            </w:pPr>
            <w:r>
              <w:rPr>
                <w:rFonts w:ascii="Arial Narrow" w:hAnsi="Arial Narrow"/>
                <w:sz w:val="20"/>
                <w:szCs w:val="20"/>
              </w:rPr>
              <w:t>Dizziness</w:t>
            </w:r>
          </w:p>
        </w:tc>
        <w:tc>
          <w:tcPr>
            <w:tcW w:w="2670" w:type="dxa"/>
          </w:tcPr>
          <w:p w14:paraId="34FD3976" w14:textId="77777777" w:rsidR="00B174B9" w:rsidRPr="00921204" w:rsidRDefault="00B174B9" w:rsidP="00E23862">
            <w:pPr>
              <w:spacing w:before="40" w:after="40" w:line="240" w:lineRule="auto"/>
              <w:ind w:left="0"/>
              <w:jc w:val="center"/>
              <w:rPr>
                <w:rFonts w:ascii="Arial Narrow" w:hAnsi="Arial Narrow"/>
                <w:sz w:val="20"/>
                <w:szCs w:val="20"/>
              </w:rPr>
            </w:pPr>
            <w:r>
              <w:rPr>
                <w:rFonts w:ascii="Arial Narrow" w:hAnsi="Arial Narrow"/>
                <w:sz w:val="20"/>
                <w:szCs w:val="20"/>
              </w:rPr>
              <w:t>10 (46)</w:t>
            </w:r>
          </w:p>
        </w:tc>
        <w:tc>
          <w:tcPr>
            <w:tcW w:w="2433" w:type="dxa"/>
          </w:tcPr>
          <w:p w14:paraId="71922919"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6 (27)</w:t>
            </w:r>
          </w:p>
        </w:tc>
        <w:tc>
          <w:tcPr>
            <w:tcW w:w="2075" w:type="dxa"/>
          </w:tcPr>
          <w:p w14:paraId="0F3F9DFE"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0.13</w:t>
            </w:r>
          </w:p>
        </w:tc>
      </w:tr>
      <w:tr w:rsidR="00B174B9" w:rsidRPr="00921204" w14:paraId="4A09994E" w14:textId="77777777" w:rsidTr="00BB43B6">
        <w:tc>
          <w:tcPr>
            <w:tcW w:w="1838" w:type="dxa"/>
          </w:tcPr>
          <w:p w14:paraId="1B75903F" w14:textId="77777777" w:rsidR="00B174B9" w:rsidRDefault="00B174B9" w:rsidP="00B174B9">
            <w:pPr>
              <w:spacing w:before="40" w:after="40" w:line="240" w:lineRule="auto"/>
              <w:ind w:left="0"/>
              <w:rPr>
                <w:rFonts w:ascii="Arial Narrow" w:hAnsi="Arial Narrow"/>
                <w:sz w:val="20"/>
                <w:szCs w:val="20"/>
              </w:rPr>
            </w:pPr>
            <w:r>
              <w:rPr>
                <w:rFonts w:ascii="Arial Narrow" w:hAnsi="Arial Narrow"/>
                <w:sz w:val="20"/>
                <w:szCs w:val="20"/>
              </w:rPr>
              <w:t>Malaise</w:t>
            </w:r>
          </w:p>
        </w:tc>
        <w:tc>
          <w:tcPr>
            <w:tcW w:w="2670" w:type="dxa"/>
          </w:tcPr>
          <w:p w14:paraId="082B91E3"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4 (18)</w:t>
            </w:r>
          </w:p>
        </w:tc>
        <w:tc>
          <w:tcPr>
            <w:tcW w:w="2433" w:type="dxa"/>
          </w:tcPr>
          <w:p w14:paraId="0A887282"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6 (27)</w:t>
            </w:r>
          </w:p>
        </w:tc>
        <w:tc>
          <w:tcPr>
            <w:tcW w:w="2075" w:type="dxa"/>
          </w:tcPr>
          <w:p w14:paraId="2F9D8BD1" w14:textId="77777777" w:rsidR="00B174B9" w:rsidRPr="00921204" w:rsidRDefault="00FF3115" w:rsidP="00E23862">
            <w:pPr>
              <w:spacing w:before="40" w:after="40" w:line="240" w:lineRule="auto"/>
              <w:ind w:left="0"/>
              <w:jc w:val="center"/>
              <w:rPr>
                <w:rFonts w:ascii="Arial Narrow" w:hAnsi="Arial Narrow"/>
                <w:sz w:val="20"/>
                <w:szCs w:val="20"/>
              </w:rPr>
            </w:pPr>
            <w:r>
              <w:rPr>
                <w:rFonts w:ascii="Arial Narrow" w:hAnsi="Arial Narrow"/>
                <w:sz w:val="20"/>
                <w:szCs w:val="20"/>
              </w:rPr>
              <w:t>0.76</w:t>
            </w:r>
          </w:p>
        </w:tc>
      </w:tr>
    </w:tbl>
    <w:p w14:paraId="6D4B3101" w14:textId="77777777" w:rsidR="00C11B10" w:rsidRDefault="00DB0C72" w:rsidP="00DB0C72">
      <w:pPr>
        <w:pStyle w:val="Tablenote"/>
      </w:pPr>
      <w:r>
        <w:t>Abbreviations: IVIg = intravenous immunoglobulin therapy</w:t>
      </w:r>
    </w:p>
    <w:p w14:paraId="78A3F43D" w14:textId="77777777" w:rsidR="00F168A7" w:rsidRDefault="00F168A7" w:rsidP="00F168A7">
      <w:pPr>
        <w:pStyle w:val="Heading3"/>
      </w:pPr>
      <w:bookmarkStart w:id="161" w:name="_Toc69305557"/>
      <w:r>
        <w:t>SCIg (0.2 g/kg) compared with SCIg (0.4 g/kg) and placebo in CIDP patients stabilised on IVIg</w:t>
      </w:r>
      <w:bookmarkEnd w:id="161"/>
    </w:p>
    <w:p w14:paraId="44DDB22F" w14:textId="38D9DF1F" w:rsidR="00814412" w:rsidRDefault="00AB2BB1" w:rsidP="002A20D6">
      <w:pPr>
        <w:jc w:val="both"/>
      </w:pPr>
      <w:r>
        <w:t>Adverse events</w:t>
      </w:r>
      <w:r w:rsidR="008E42D2">
        <w:t xml:space="preserve"> for the PATH trial were reported by van Schaik et al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r w:rsidR="00B727D6">
        <w:fldChar w:fldCharType="end"/>
      </w:r>
      <w:r>
        <w:t xml:space="preserve"> (</w:t>
      </w:r>
      <w:r>
        <w:fldChar w:fldCharType="begin"/>
      </w:r>
      <w:r>
        <w:instrText xml:space="preserve"> REF _Ref58232450 \h </w:instrText>
      </w:r>
      <w:r w:rsidR="002A20D6">
        <w:instrText xml:space="preserve"> \* MERGEFORMAT </w:instrText>
      </w:r>
      <w:r>
        <w:fldChar w:fldCharType="separate"/>
      </w:r>
      <w:r w:rsidR="004B3EA2">
        <w:t xml:space="preserve">Figure </w:t>
      </w:r>
      <w:r w:rsidR="004B3EA2">
        <w:rPr>
          <w:noProof/>
        </w:rPr>
        <w:t>2</w:t>
      </w:r>
      <w:r>
        <w:fldChar w:fldCharType="end"/>
      </w:r>
      <w:r>
        <w:t>)</w:t>
      </w:r>
      <w:r w:rsidR="008E42D2">
        <w:t>.</w:t>
      </w:r>
      <w:r>
        <w:t xml:space="preserve"> </w:t>
      </w:r>
      <w:r w:rsidR="000E13C7">
        <w:t xml:space="preserve">The highest frequency for AEs occurred in the low-dose (0.2g/kg) SCIg group. </w:t>
      </w:r>
      <w:r>
        <w:t>There were 52 AEs over 1514 infusions (3.4%) in the placebo group, occurring in 21 (37%) patients. In the low-dose group, there were 158 AEs over 2007 infusions</w:t>
      </w:r>
      <w:r w:rsidR="000E13C7">
        <w:t xml:space="preserve"> (7.9%)</w:t>
      </w:r>
      <w:r>
        <w:t>, occurring in 33 (58%) patients. In the high dose group there were 114 AEs over 2218 infusions</w:t>
      </w:r>
      <w:r w:rsidR="000E13C7">
        <w:t xml:space="preserve"> (5.1%)</w:t>
      </w:r>
      <w:r>
        <w:t xml:space="preserve"> experienced by 30 (53%) of patients. </w:t>
      </w:r>
    </w:p>
    <w:p w14:paraId="08098FD1" w14:textId="22347527" w:rsidR="000E13C7" w:rsidRDefault="00A278C9" w:rsidP="00F31AE6">
      <w:pPr>
        <w:jc w:val="both"/>
      </w:pPr>
      <w:r>
        <w:t>In a comparison of treatment</w:t>
      </w:r>
      <w:r w:rsidR="00B128F7">
        <w:t xml:space="preserve"> “causally</w:t>
      </w:r>
      <w:r>
        <w:t>-</w:t>
      </w:r>
      <w:r w:rsidR="000E13C7">
        <w:t>related</w:t>
      </w:r>
      <w:r w:rsidR="00B128F7">
        <w:t>”</w:t>
      </w:r>
      <w:r w:rsidR="000E13C7">
        <w:t xml:space="preserve"> AEs, the high-dose (0.4 g/kg) SCIg group experienced the highest frequency (20 patients, 35%). In the placebo group 10 (18%) patients, and in the low-dose (0.2 g/kg) SCIg treated group, 17 (30%) patients experienced treatment related AEs</w:t>
      </w:r>
      <w:r w:rsidR="00B128F7">
        <w:t xml:space="preserve"> (</w:t>
      </w:r>
      <w:r w:rsidR="00B128F7">
        <w:fldChar w:fldCharType="begin"/>
      </w:r>
      <w:r w:rsidR="00B128F7">
        <w:instrText xml:space="preserve"> REF _Ref58418296 \h </w:instrText>
      </w:r>
      <w:r w:rsidR="00B128F7">
        <w:fldChar w:fldCharType="separate"/>
      </w:r>
      <w:r w:rsidR="004B3EA2">
        <w:t xml:space="preserve">Figure </w:t>
      </w:r>
      <w:r w:rsidR="004B3EA2">
        <w:rPr>
          <w:noProof/>
        </w:rPr>
        <w:t>3</w:t>
      </w:r>
      <w:r w:rsidR="00B128F7">
        <w:fldChar w:fldCharType="end"/>
      </w:r>
      <w:r w:rsidR="00B128F7">
        <w:t>)</w:t>
      </w:r>
      <w:r w:rsidR="000E13C7">
        <w:t>. Serious AEs (11 events) occurred in six patients:</w:t>
      </w:r>
      <w:r w:rsidR="0009735B">
        <w:t xml:space="preserve"> one receiving placebo, three p</w:t>
      </w:r>
      <w:r w:rsidR="000E13C7">
        <w:t xml:space="preserve">atients (five events) receiving 0.2 g/kg SCIg, and two patients (five </w:t>
      </w:r>
      <w:r w:rsidR="002A20D6">
        <w:t>events</w:t>
      </w:r>
      <w:r w:rsidR="000E13C7">
        <w:t>) receiving 0.4 g/kg SCIg. Only one serious AE</w:t>
      </w:r>
      <w:r w:rsidR="00B128F7">
        <w:t xml:space="preserve"> </w:t>
      </w:r>
      <w:r w:rsidR="000E13C7">
        <w:t>(acute allergic skin reaction</w:t>
      </w:r>
      <w:r w:rsidR="00F47910">
        <w:t xml:space="preserve"> in a patient on low-dose SCIg</w:t>
      </w:r>
      <w:r w:rsidR="000E13C7">
        <w:t xml:space="preserve">) </w:t>
      </w:r>
      <w:r w:rsidR="00F47910">
        <w:t xml:space="preserve">that </w:t>
      </w:r>
      <w:r w:rsidR="000E13C7">
        <w:t>was considered to be related to treatment</w:t>
      </w:r>
      <w:r w:rsidR="00F47910">
        <w:t>,</w:t>
      </w:r>
      <w:r w:rsidR="000E13C7">
        <w:t xml:space="preserve"> eventually led to discontinuation. </w:t>
      </w:r>
      <w:r w:rsidR="0009735B">
        <w:t xml:space="preserve">The study did not report any statistical comparison between event rates. </w:t>
      </w:r>
      <w:r w:rsidR="000E13C7">
        <w:t xml:space="preserve">A comparison of the frequencies of mild, moderate and serious AEs between groups can be seen in </w:t>
      </w:r>
      <w:r w:rsidR="00222E51">
        <w:fldChar w:fldCharType="begin"/>
      </w:r>
      <w:r w:rsidR="00222E51">
        <w:instrText xml:space="preserve"> REF _Ref58418296 \h </w:instrText>
      </w:r>
      <w:r w:rsidR="00222E51">
        <w:fldChar w:fldCharType="separate"/>
      </w:r>
      <w:r w:rsidR="004B3EA2">
        <w:t xml:space="preserve">Figure </w:t>
      </w:r>
      <w:r w:rsidR="004B3EA2">
        <w:rPr>
          <w:noProof/>
        </w:rPr>
        <w:t>3</w:t>
      </w:r>
      <w:r w:rsidR="00222E51">
        <w:fldChar w:fldCharType="end"/>
      </w:r>
      <w:r w:rsidR="00F47910">
        <w:t xml:space="preserve">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r w:rsidR="00B727D6">
        <w:fldChar w:fldCharType="end"/>
      </w:r>
      <w:r w:rsidR="00F31AE6">
        <w:t>.</w:t>
      </w:r>
    </w:p>
    <w:p w14:paraId="71DEF720" w14:textId="77777777" w:rsidR="00814412" w:rsidRDefault="00814412" w:rsidP="00D80AB5">
      <w:r>
        <w:rPr>
          <w:noProof/>
        </w:rPr>
        <w:drawing>
          <wp:inline distT="0" distB="0" distL="0" distR="0" wp14:anchorId="33FF2ED4" wp14:editId="378CFE88">
            <wp:extent cx="5943600" cy="5929113"/>
            <wp:effectExtent l="0" t="0" r="0" b="0"/>
            <wp:docPr id="4" name="Picture 4" descr="Adverse events reported in the PATH trial " title="Adverse events reported in the PATH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6326" cy="5931832"/>
                    </a:xfrm>
                    <a:prstGeom prst="rect">
                      <a:avLst/>
                    </a:prstGeom>
                  </pic:spPr>
                </pic:pic>
              </a:graphicData>
            </a:graphic>
          </wp:inline>
        </w:drawing>
      </w:r>
    </w:p>
    <w:p w14:paraId="11BB7B4B" w14:textId="517F0D2B" w:rsidR="00814412" w:rsidRDefault="00814412" w:rsidP="00814412">
      <w:pPr>
        <w:pStyle w:val="Caption"/>
      </w:pPr>
      <w:bookmarkStart w:id="162" w:name="_Ref58232450"/>
      <w:bookmarkStart w:id="163" w:name="_Toc69305734"/>
      <w:r>
        <w:t xml:space="preserve">Figure </w:t>
      </w:r>
      <w:r w:rsidR="00003BA5">
        <w:fldChar w:fldCharType="begin"/>
      </w:r>
      <w:r w:rsidR="00003BA5">
        <w:instrText xml:space="preserve"> SEQ Figure \* ARABIC </w:instrText>
      </w:r>
      <w:r w:rsidR="00003BA5">
        <w:fldChar w:fldCharType="separate"/>
      </w:r>
      <w:r w:rsidR="004B3EA2">
        <w:rPr>
          <w:noProof/>
        </w:rPr>
        <w:t>2</w:t>
      </w:r>
      <w:r w:rsidR="00003BA5">
        <w:rPr>
          <w:noProof/>
        </w:rPr>
        <w:fldChar w:fldCharType="end"/>
      </w:r>
      <w:bookmarkEnd w:id="162"/>
      <w:r>
        <w:tab/>
        <w:t xml:space="preserve">Adverse events reported in the PATH trial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bookmarkEnd w:id="163"/>
      <w:r w:rsidR="00B727D6">
        <w:fldChar w:fldCharType="end"/>
      </w:r>
    </w:p>
    <w:p w14:paraId="607598AD" w14:textId="77777777" w:rsidR="00814412" w:rsidRDefault="00F31AE6" w:rsidP="00F31AE6">
      <w:pPr>
        <w:pStyle w:val="Tablenote"/>
      </w:pPr>
      <w:r>
        <w:t xml:space="preserve">Abbreviations: SCIg = </w:t>
      </w:r>
      <w:r w:rsidR="00C224E9">
        <w:t>subcutaneous</w:t>
      </w:r>
      <w:r>
        <w:t xml:space="preserve"> immunoglobulin therapy</w:t>
      </w:r>
    </w:p>
    <w:p w14:paraId="1A6F1A0A" w14:textId="77777777" w:rsidR="00814412" w:rsidRDefault="00AA794E" w:rsidP="00D80AB5">
      <w:r>
        <w:rPr>
          <w:noProof/>
        </w:rPr>
        <w:drawing>
          <wp:inline distT="0" distB="0" distL="0" distR="0" wp14:anchorId="2098F03B" wp14:editId="624DDAD6">
            <wp:extent cx="5731510" cy="3755390"/>
            <wp:effectExtent l="0" t="0" r="2540" b="0"/>
            <wp:docPr id="10" name="Picture 10" descr="Adverse events by severity and cause " title="Adverse events by severity and ca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55390"/>
                    </a:xfrm>
                    <a:prstGeom prst="rect">
                      <a:avLst/>
                    </a:prstGeom>
                  </pic:spPr>
                </pic:pic>
              </a:graphicData>
            </a:graphic>
          </wp:inline>
        </w:drawing>
      </w:r>
    </w:p>
    <w:p w14:paraId="3346A868" w14:textId="122906B6" w:rsidR="00814412" w:rsidRDefault="00AA794E" w:rsidP="00AA794E">
      <w:pPr>
        <w:pStyle w:val="Caption"/>
      </w:pPr>
      <w:bookmarkStart w:id="164" w:name="_Ref58418296"/>
      <w:bookmarkStart w:id="165" w:name="_Toc69305735"/>
      <w:r>
        <w:t xml:space="preserve">Figure </w:t>
      </w:r>
      <w:r w:rsidR="00003BA5">
        <w:fldChar w:fldCharType="begin"/>
      </w:r>
      <w:r w:rsidR="00003BA5">
        <w:instrText xml:space="preserve"> SEQ Figure \* ARABIC </w:instrText>
      </w:r>
      <w:r w:rsidR="00003BA5">
        <w:fldChar w:fldCharType="separate"/>
      </w:r>
      <w:r w:rsidR="004B3EA2">
        <w:rPr>
          <w:noProof/>
        </w:rPr>
        <w:t>3</w:t>
      </w:r>
      <w:r w:rsidR="00003BA5">
        <w:rPr>
          <w:noProof/>
        </w:rPr>
        <w:fldChar w:fldCharType="end"/>
      </w:r>
      <w:bookmarkEnd w:id="164"/>
      <w:r>
        <w:tab/>
        <w:t xml:space="preserve">Adverse events by severity and cause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bookmarkEnd w:id="165"/>
      <w:r w:rsidR="00B727D6">
        <w:fldChar w:fldCharType="end"/>
      </w:r>
    </w:p>
    <w:p w14:paraId="38B76F27" w14:textId="77777777" w:rsidR="00F02373" w:rsidRDefault="00F02373" w:rsidP="00F02373">
      <w:pPr>
        <w:pStyle w:val="Tablenote"/>
      </w:pPr>
      <w:r>
        <w:t xml:space="preserve">Abbreviations: AE = adverse event; SCIg = </w:t>
      </w:r>
      <w:r w:rsidR="00C224E9">
        <w:t>subcutaneous</w:t>
      </w:r>
      <w:r>
        <w:t xml:space="preserve"> immunoglobulin therapy; </w:t>
      </w:r>
    </w:p>
    <w:p w14:paraId="70300F0B" w14:textId="77777777" w:rsidR="00F47910" w:rsidRDefault="00F47910" w:rsidP="00F47910">
      <w:pPr>
        <w:pStyle w:val="Tablenote"/>
      </w:pPr>
      <w:r>
        <w:t># number of infusions</w:t>
      </w:r>
    </w:p>
    <w:p w14:paraId="7EBE1E11" w14:textId="1EDEA5D0" w:rsidR="00AA794E" w:rsidRDefault="0018789A" w:rsidP="00F31AE6">
      <w:pPr>
        <w:jc w:val="both"/>
      </w:pPr>
      <w:r>
        <w:t xml:space="preserve">Van Schaik et al </w:t>
      </w:r>
      <w:r w:rsidR="00A278C9">
        <w:t xml:space="preserve">also </w:t>
      </w:r>
      <w:r>
        <w:t>assessed the relationship between AE frequency and infusion volume and infusion rate</w:t>
      </w:r>
      <w:r w:rsidR="00F31AE6">
        <w:t xml:space="preserve">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r w:rsidR="00B727D6">
        <w:fldChar w:fldCharType="end"/>
      </w:r>
      <w:r>
        <w:t xml:space="preserve">. </w:t>
      </w:r>
      <w:r w:rsidR="00F02373">
        <w:t xml:space="preserve">The study found that patients receiving higher infusion rates reported similar proportions of AEs as those receiving lower infusion rates. </w:t>
      </w:r>
      <w:r w:rsidR="00A278C9">
        <w:t>However, p</w:t>
      </w:r>
      <w:r w:rsidR="00F02373">
        <w:t xml:space="preserve">atients receiving infusion volumes of </w:t>
      </w:r>
      <w:r w:rsidR="00F02373">
        <w:rPr>
          <w:rFonts w:cs="Calibri"/>
        </w:rPr>
        <w:t>≥</w:t>
      </w:r>
      <w:r w:rsidR="00A278C9">
        <w:t xml:space="preserve"> 50 ml</w:t>
      </w:r>
      <w:r w:rsidR="00F02373">
        <w:t xml:space="preserve"> experienced a higher rate of AEs than those receiving maximum volumes of &lt; 25 ml or 25-50 ml per infusion. Results can be seen in </w:t>
      </w:r>
      <w:r w:rsidR="00F02373">
        <w:fldChar w:fldCharType="begin"/>
      </w:r>
      <w:r w:rsidR="00F02373">
        <w:instrText xml:space="preserve"> REF _Ref58235585 \h </w:instrText>
      </w:r>
      <w:r w:rsidR="00F31AE6">
        <w:instrText xml:space="preserve"> \* MERGEFORMAT </w:instrText>
      </w:r>
      <w:r w:rsidR="00F02373">
        <w:fldChar w:fldCharType="separate"/>
      </w:r>
      <w:r w:rsidR="004B3EA2">
        <w:t xml:space="preserve">Figure </w:t>
      </w:r>
      <w:r w:rsidR="004B3EA2">
        <w:rPr>
          <w:noProof/>
        </w:rPr>
        <w:t>4</w:t>
      </w:r>
      <w:r w:rsidR="00F02373">
        <w:fldChar w:fldCharType="end"/>
      </w:r>
      <w:r w:rsidR="00F02373">
        <w:t>.</w:t>
      </w:r>
    </w:p>
    <w:p w14:paraId="5E9462CB" w14:textId="77777777" w:rsidR="0018789A" w:rsidRDefault="0018789A" w:rsidP="00D80AB5">
      <w:r>
        <w:rPr>
          <w:noProof/>
        </w:rPr>
        <w:drawing>
          <wp:inline distT="0" distB="0" distL="0" distR="0" wp14:anchorId="35FFAB9A" wp14:editId="61F0DBE6">
            <wp:extent cx="5731510" cy="3204210"/>
            <wp:effectExtent l="0" t="0" r="2540" b="0"/>
            <wp:docPr id="11" name="Picture 11" descr="Adverse events in relation to infusion volume and infusion rate " title="Adverse events in relation to infusion volume and infusion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04210"/>
                    </a:xfrm>
                    <a:prstGeom prst="rect">
                      <a:avLst/>
                    </a:prstGeom>
                  </pic:spPr>
                </pic:pic>
              </a:graphicData>
            </a:graphic>
          </wp:inline>
        </w:drawing>
      </w:r>
    </w:p>
    <w:p w14:paraId="7D9EDFE2" w14:textId="5E8BDF3F" w:rsidR="0018789A" w:rsidRDefault="00867CD0" w:rsidP="00867CD0">
      <w:pPr>
        <w:pStyle w:val="Caption"/>
      </w:pPr>
      <w:bookmarkStart w:id="166" w:name="_Ref58235585"/>
      <w:bookmarkStart w:id="167" w:name="_Toc69305736"/>
      <w:r>
        <w:t xml:space="preserve">Figure </w:t>
      </w:r>
      <w:r w:rsidR="00003BA5">
        <w:fldChar w:fldCharType="begin"/>
      </w:r>
      <w:r w:rsidR="00003BA5">
        <w:instrText xml:space="preserve"> SEQ Figure \* ARABIC </w:instrText>
      </w:r>
      <w:r w:rsidR="00003BA5">
        <w:fldChar w:fldCharType="separate"/>
      </w:r>
      <w:r w:rsidR="004B3EA2">
        <w:rPr>
          <w:noProof/>
        </w:rPr>
        <w:t>4</w:t>
      </w:r>
      <w:r w:rsidR="00003BA5">
        <w:rPr>
          <w:noProof/>
        </w:rPr>
        <w:fldChar w:fldCharType="end"/>
      </w:r>
      <w:bookmarkEnd w:id="166"/>
      <w:r>
        <w:tab/>
        <w:t>Adverse events in relation to infusion volume and infusion rate</w:t>
      </w:r>
      <w:r w:rsidR="00F31AE6">
        <w:t xml:space="preserve">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bookmarkEnd w:id="167"/>
      <w:r w:rsidR="00B727D6">
        <w:fldChar w:fldCharType="end"/>
      </w:r>
    </w:p>
    <w:p w14:paraId="52FFCEA5" w14:textId="77777777" w:rsidR="0018789A" w:rsidRDefault="00F02373" w:rsidP="00F02373">
      <w:pPr>
        <w:pStyle w:val="Tablenote"/>
      </w:pPr>
      <w:r>
        <w:t>Abbreviations: AE = adverse event; I = number of infusions</w:t>
      </w:r>
    </w:p>
    <w:p w14:paraId="3AA77F5C" w14:textId="77777777" w:rsidR="00DB0C72" w:rsidRDefault="00DB0C72" w:rsidP="00DB0C72">
      <w:pPr>
        <w:pStyle w:val="Tablenote"/>
      </w:pPr>
    </w:p>
    <w:p w14:paraId="46CDCA15" w14:textId="77777777" w:rsidR="008475E5" w:rsidRPr="00E3331A" w:rsidRDefault="008475E5" w:rsidP="008475E5">
      <w:pPr>
        <w:sectPr w:rsidR="008475E5" w:rsidRPr="00E3331A" w:rsidSect="00192373">
          <w:pgSz w:w="11906" w:h="16838"/>
          <w:pgMar w:top="1440" w:right="1440" w:bottom="1440" w:left="1440" w:header="720" w:footer="720" w:gutter="0"/>
          <w:paperSrc w:first="7" w:other="7"/>
          <w:cols w:space="720"/>
          <w:docGrid w:linePitch="299"/>
        </w:sectPr>
      </w:pPr>
    </w:p>
    <w:p w14:paraId="5FCE636A" w14:textId="77777777" w:rsidR="008F59A8" w:rsidRPr="00E3331A" w:rsidRDefault="008F59A8" w:rsidP="003E4E1F">
      <w:pPr>
        <w:pStyle w:val="Heading2"/>
      </w:pPr>
      <w:bookmarkStart w:id="168" w:name="_Toc379118084"/>
      <w:bookmarkStart w:id="169" w:name="_Toc381796469"/>
      <w:bookmarkStart w:id="170" w:name="_Toc69305558"/>
      <w:r w:rsidRPr="00E3331A">
        <w:t>Is it effective?</w:t>
      </w:r>
      <w:bookmarkEnd w:id="168"/>
      <w:bookmarkEnd w:id="169"/>
      <w:bookmarkEnd w:id="170"/>
      <w:r w:rsidRPr="00E3331A">
        <w:t xml:space="preserve"> </w:t>
      </w:r>
    </w:p>
    <w:p w14:paraId="0BC8C6E8" w14:textId="77777777" w:rsidR="00A56D77" w:rsidRDefault="00DD207E" w:rsidP="00F4142B">
      <w:pPr>
        <w:pStyle w:val="Summaryboxheading"/>
        <w:pBdr>
          <w:top w:val="single" w:sz="4" w:space="1" w:color="auto"/>
          <w:left w:val="single" w:sz="4" w:space="0" w:color="auto"/>
          <w:bottom w:val="single" w:sz="4" w:space="1" w:color="auto"/>
          <w:right w:val="single" w:sz="4" w:space="4" w:color="auto"/>
        </w:pBdr>
        <w:jc w:val="both"/>
      </w:pPr>
      <w:r w:rsidRPr="00E3331A">
        <w:t>What is the efficacy of IVIg compared to steroids (oral and IV), plasma exchange, immunosuppressant and/or immunomodulatory drugs and therapies (not including steroids), a combination of two or more of the above therapies, or no active treatment?</w:t>
      </w:r>
    </w:p>
    <w:p w14:paraId="30836D40" w14:textId="77777777" w:rsidR="00250DE1" w:rsidRPr="00250DE1" w:rsidRDefault="00250DE1" w:rsidP="00250DE1">
      <w:pPr>
        <w:pStyle w:val="Summaryboxheading"/>
        <w:pBdr>
          <w:top w:val="single" w:sz="4" w:space="1" w:color="auto"/>
          <w:left w:val="single" w:sz="4" w:space="0" w:color="auto"/>
          <w:bottom w:val="single" w:sz="4" w:space="1" w:color="auto"/>
          <w:right w:val="single" w:sz="4" w:space="4" w:color="auto"/>
        </w:pBdr>
        <w:jc w:val="both"/>
        <w:rPr>
          <w:b w:val="0"/>
        </w:rPr>
      </w:pPr>
      <w:r w:rsidRPr="00250DE1">
        <w:rPr>
          <w:b w:val="0"/>
        </w:rPr>
        <w:t xml:space="preserve">No additional RCT evidence was identified reporting the </w:t>
      </w:r>
      <w:r>
        <w:rPr>
          <w:b w:val="0"/>
        </w:rPr>
        <w:t>efficacy</w:t>
      </w:r>
      <w:r w:rsidRPr="00250DE1">
        <w:rPr>
          <w:b w:val="0"/>
        </w:rPr>
        <w:t xml:space="preserve"> of Ig in comparison to steroids, PE, immunosuppressants, or combination therapies for CIDP.</w:t>
      </w:r>
    </w:p>
    <w:p w14:paraId="3D030837" w14:textId="77777777" w:rsidR="00250DE1" w:rsidRPr="00250DE1" w:rsidRDefault="00250DE1" w:rsidP="00250DE1">
      <w:pPr>
        <w:pStyle w:val="Summaryboxheading"/>
        <w:pBdr>
          <w:top w:val="single" w:sz="4" w:space="1" w:color="auto"/>
          <w:left w:val="single" w:sz="4" w:space="0" w:color="auto"/>
          <w:bottom w:val="single" w:sz="4" w:space="1" w:color="auto"/>
          <w:right w:val="single" w:sz="4" w:space="4" w:color="auto"/>
        </w:pBdr>
        <w:jc w:val="both"/>
      </w:pPr>
      <w:r w:rsidRPr="00250DE1">
        <w:t xml:space="preserve">What is the </w:t>
      </w:r>
      <w:r>
        <w:t xml:space="preserve">efficacy </w:t>
      </w:r>
      <w:r w:rsidRPr="00250DE1">
        <w:t xml:space="preserve">of IVIg </w:t>
      </w:r>
      <w:r w:rsidR="000C2E65">
        <w:t>(</w:t>
      </w:r>
      <w:r w:rsidR="00C224E9">
        <w:t xml:space="preserve">normal </w:t>
      </w:r>
      <w:r w:rsidR="0033744F">
        <w:t xml:space="preserve">individualised </w:t>
      </w:r>
      <w:r w:rsidR="00C224E9">
        <w:t>dose</w:t>
      </w:r>
      <w:r w:rsidRPr="00250DE1">
        <w:t xml:space="preserve"> and interval</w:t>
      </w:r>
      <w:r w:rsidR="000C2E65">
        <w:t>)</w:t>
      </w:r>
      <w:r w:rsidRPr="00250DE1">
        <w:t xml:space="preserve"> compared to IVIg </w:t>
      </w:r>
      <w:r w:rsidR="000C2E65">
        <w:t xml:space="preserve">(half </w:t>
      </w:r>
      <w:r w:rsidR="0033744F">
        <w:t xml:space="preserve">individualised </w:t>
      </w:r>
      <w:r w:rsidRPr="00250DE1">
        <w:t xml:space="preserve">dose </w:t>
      </w:r>
      <w:r w:rsidR="00500104">
        <w:t>at</w:t>
      </w:r>
      <w:r w:rsidR="00500104" w:rsidRPr="00250DE1">
        <w:t xml:space="preserve"> </w:t>
      </w:r>
      <w:r w:rsidR="002C7D52">
        <w:t xml:space="preserve">half </w:t>
      </w:r>
      <w:r w:rsidR="00500104">
        <w:t xml:space="preserve">the </w:t>
      </w:r>
      <w:r w:rsidRPr="00250DE1">
        <w:t>interval</w:t>
      </w:r>
      <w:r w:rsidR="000C2E65">
        <w:t>) in patients stabilised on individualised dose regimens</w:t>
      </w:r>
      <w:r w:rsidRPr="00250DE1">
        <w:t>?</w:t>
      </w:r>
    </w:p>
    <w:p w14:paraId="385F0943" w14:textId="77777777" w:rsidR="00250DE1" w:rsidRDefault="000C2E65" w:rsidP="00250DE1">
      <w:pPr>
        <w:pStyle w:val="Summaryboxheading"/>
        <w:pBdr>
          <w:top w:val="single" w:sz="4" w:space="1" w:color="auto"/>
          <w:left w:val="single" w:sz="4" w:space="0" w:color="auto"/>
          <w:bottom w:val="single" w:sz="4" w:space="1" w:color="auto"/>
          <w:right w:val="single" w:sz="4" w:space="4" w:color="auto"/>
        </w:pBdr>
        <w:jc w:val="both"/>
        <w:rPr>
          <w:b w:val="0"/>
        </w:rPr>
      </w:pPr>
      <w:r>
        <w:rPr>
          <w:b w:val="0"/>
        </w:rPr>
        <w:t xml:space="preserve">The two dosing regimens showed no difference in efficacy for patients on IVIg maintenance. More flexibility may be made available to patients with respect to size and frequency of dose, to </w:t>
      </w:r>
      <w:r w:rsidR="006564F2">
        <w:rPr>
          <w:b w:val="0"/>
        </w:rPr>
        <w:t>accommodate</w:t>
      </w:r>
      <w:r>
        <w:rPr>
          <w:b w:val="0"/>
        </w:rPr>
        <w:t xml:space="preserve"> patient </w:t>
      </w:r>
      <w:r w:rsidR="006564F2">
        <w:rPr>
          <w:b w:val="0"/>
        </w:rPr>
        <w:t>preference</w:t>
      </w:r>
      <w:r>
        <w:rPr>
          <w:b w:val="0"/>
        </w:rPr>
        <w:t>.</w:t>
      </w:r>
    </w:p>
    <w:p w14:paraId="30F31CAB" w14:textId="77777777" w:rsidR="00250DE1" w:rsidRPr="00250DE1" w:rsidRDefault="00250DE1" w:rsidP="00250DE1">
      <w:pPr>
        <w:pStyle w:val="Summaryboxheading"/>
        <w:pBdr>
          <w:top w:val="single" w:sz="4" w:space="1" w:color="auto"/>
          <w:left w:val="single" w:sz="4" w:space="0" w:color="auto"/>
          <w:bottom w:val="single" w:sz="4" w:space="1" w:color="auto"/>
          <w:right w:val="single" w:sz="4" w:space="4" w:color="auto"/>
        </w:pBdr>
        <w:jc w:val="both"/>
      </w:pPr>
      <w:r w:rsidRPr="00250DE1">
        <w:t xml:space="preserve">What is the </w:t>
      </w:r>
      <w:r>
        <w:t>efficacy</w:t>
      </w:r>
      <w:r w:rsidRPr="00250DE1">
        <w:t xml:space="preserve"> of </w:t>
      </w:r>
      <w:r>
        <w:t>a lower SCIg</w:t>
      </w:r>
      <w:r w:rsidRPr="00250DE1">
        <w:t xml:space="preserve"> dose </w:t>
      </w:r>
      <w:r>
        <w:t xml:space="preserve">(0.2 g/kg) </w:t>
      </w:r>
      <w:r w:rsidRPr="00250DE1">
        <w:t xml:space="preserve">compared to </w:t>
      </w:r>
      <w:r>
        <w:t>a higher SCIg</w:t>
      </w:r>
      <w:r w:rsidRPr="00250DE1">
        <w:t xml:space="preserve"> dose </w:t>
      </w:r>
      <w:r>
        <w:t>(0.4 g/kg)</w:t>
      </w:r>
      <w:r w:rsidR="000E7808">
        <w:t>, and to placebo</w:t>
      </w:r>
      <w:r w:rsidRPr="00250DE1">
        <w:t>?</w:t>
      </w:r>
    </w:p>
    <w:p w14:paraId="799F90FA" w14:textId="257E3E88" w:rsidR="00250DE1" w:rsidRDefault="000C2E65" w:rsidP="00250DE1">
      <w:pPr>
        <w:pStyle w:val="Summaryboxheading"/>
        <w:pBdr>
          <w:top w:val="single" w:sz="4" w:space="1" w:color="auto"/>
          <w:left w:val="single" w:sz="4" w:space="0" w:color="auto"/>
          <w:bottom w:val="single" w:sz="4" w:space="1" w:color="auto"/>
          <w:right w:val="single" w:sz="4" w:space="4" w:color="auto"/>
        </w:pBdr>
        <w:jc w:val="both"/>
        <w:rPr>
          <w:b w:val="0"/>
        </w:rPr>
      </w:pPr>
      <w:r>
        <w:rPr>
          <w:b w:val="0"/>
        </w:rPr>
        <w:t>Q</w:t>
      </w:r>
      <w:r w:rsidRPr="000C2E65">
        <w:rPr>
          <w:b w:val="0"/>
        </w:rPr>
        <w:t xml:space="preserve">uality of life (QoL) and other patient reported outcomes (PROs) </w:t>
      </w:r>
      <w:r w:rsidR="00C85F8A">
        <w:rPr>
          <w:b w:val="0"/>
        </w:rPr>
        <w:t>were reported from the PATH</w:t>
      </w:r>
      <w:r w:rsidR="00C85F8A" w:rsidRPr="000E7808">
        <w:rPr>
          <w:b w:val="0"/>
          <w:vertAlign w:val="superscript"/>
        </w:rPr>
        <w:fldChar w:fldCharType="begin"/>
      </w:r>
      <w:r w:rsidR="00C85F8A" w:rsidRPr="000E7808">
        <w:rPr>
          <w:b w:val="0"/>
          <w:vertAlign w:val="superscript"/>
        </w:rPr>
        <w:instrText xml:space="preserve"> NOTEREF _Ref57652093 \h </w:instrText>
      </w:r>
      <w:r w:rsidR="00C85F8A">
        <w:rPr>
          <w:b w:val="0"/>
          <w:vertAlign w:val="superscript"/>
        </w:rPr>
        <w:instrText xml:space="preserve"> \* MERGEFORMAT </w:instrText>
      </w:r>
      <w:r w:rsidR="00C85F8A" w:rsidRPr="000E7808">
        <w:rPr>
          <w:b w:val="0"/>
          <w:vertAlign w:val="superscript"/>
        </w:rPr>
      </w:r>
      <w:r w:rsidR="00C85F8A" w:rsidRPr="000E7808">
        <w:rPr>
          <w:b w:val="0"/>
          <w:vertAlign w:val="superscript"/>
        </w:rPr>
        <w:fldChar w:fldCharType="separate"/>
      </w:r>
      <w:r w:rsidR="004B3EA2">
        <w:rPr>
          <w:b w:val="0"/>
          <w:vertAlign w:val="superscript"/>
        </w:rPr>
        <w:t>3</w:t>
      </w:r>
      <w:r w:rsidR="00C85F8A" w:rsidRPr="000E7808">
        <w:rPr>
          <w:b w:val="0"/>
          <w:vertAlign w:val="superscript"/>
        </w:rPr>
        <w:fldChar w:fldCharType="end"/>
      </w:r>
      <w:r w:rsidR="00C85F8A" w:rsidRPr="000E7808">
        <w:rPr>
          <w:b w:val="0"/>
          <w:vertAlign w:val="superscript"/>
        </w:rPr>
        <w:t xml:space="preserve"> </w:t>
      </w:r>
      <w:r w:rsidR="00C85F8A">
        <w:rPr>
          <w:b w:val="0"/>
        </w:rPr>
        <w:t>trial</w:t>
      </w:r>
      <w:r w:rsidR="00C85F8A" w:rsidRPr="000C2E65">
        <w:rPr>
          <w:b w:val="0"/>
        </w:rPr>
        <w:t xml:space="preserve"> </w:t>
      </w:r>
      <w:r w:rsidRPr="000C2E65">
        <w:rPr>
          <w:b w:val="0"/>
        </w:rPr>
        <w:t xml:space="preserve">in subjects who </w:t>
      </w:r>
      <w:r w:rsidR="00F47910">
        <w:rPr>
          <w:b w:val="0"/>
        </w:rPr>
        <w:t>were</w:t>
      </w:r>
      <w:r w:rsidR="00CD7249">
        <w:rPr>
          <w:b w:val="0"/>
        </w:rPr>
        <w:t xml:space="preserve"> </w:t>
      </w:r>
      <w:r w:rsidRPr="000C2E65">
        <w:rPr>
          <w:b w:val="0"/>
        </w:rPr>
        <w:t>successfully re-stabilised on IVIg</w:t>
      </w:r>
      <w:r>
        <w:rPr>
          <w:b w:val="0"/>
        </w:rPr>
        <w:t xml:space="preserve"> after relapse</w:t>
      </w:r>
      <w:r w:rsidR="00CD7249">
        <w:rPr>
          <w:b w:val="0"/>
        </w:rPr>
        <w:t>.</w:t>
      </w:r>
      <w:r>
        <w:rPr>
          <w:b w:val="0"/>
        </w:rPr>
        <w:t xml:space="preserve"> </w:t>
      </w:r>
      <w:r w:rsidR="00567E1E">
        <w:rPr>
          <w:b w:val="0"/>
        </w:rPr>
        <w:t>There were some differences in efficacy when SCIg treated patients (either dose) were compared to placebo, but little difference was shown between the two treatment groups.</w:t>
      </w:r>
    </w:p>
    <w:p w14:paraId="7989C43F" w14:textId="77777777" w:rsidR="0039157E" w:rsidRDefault="000E7808" w:rsidP="00835A20">
      <w:pPr>
        <w:pStyle w:val="Summaryboxheading"/>
        <w:pBdr>
          <w:top w:val="single" w:sz="4" w:space="1" w:color="auto"/>
          <w:left w:val="single" w:sz="4" w:space="0" w:color="auto"/>
          <w:bottom w:val="single" w:sz="4" w:space="1" w:color="auto"/>
          <w:right w:val="single" w:sz="4" w:space="4" w:color="auto"/>
        </w:pBdr>
        <w:jc w:val="both"/>
        <w:rPr>
          <w:b w:val="0"/>
        </w:rPr>
      </w:pPr>
      <w:r>
        <w:rPr>
          <w:b w:val="0"/>
        </w:rPr>
        <w:t xml:space="preserve">Both SCIg doses were more effective than placebo for all domains of </w:t>
      </w:r>
      <w:r w:rsidR="00567E1E">
        <w:rPr>
          <w:b w:val="0"/>
        </w:rPr>
        <w:t>health</w:t>
      </w:r>
      <w:r w:rsidR="00CD7249">
        <w:rPr>
          <w:b w:val="0"/>
        </w:rPr>
        <w:t>-</w:t>
      </w:r>
      <w:r w:rsidR="00567E1E">
        <w:rPr>
          <w:b w:val="0"/>
        </w:rPr>
        <w:t>related quality of life</w:t>
      </w:r>
      <w:r>
        <w:rPr>
          <w:b w:val="0"/>
        </w:rPr>
        <w:t xml:space="preserve"> </w:t>
      </w:r>
      <w:r w:rsidR="00567E1E">
        <w:rPr>
          <w:b w:val="0"/>
        </w:rPr>
        <w:t>(</w:t>
      </w:r>
      <w:r w:rsidRPr="00831B42">
        <w:rPr>
          <w:b w:val="0"/>
        </w:rPr>
        <w:t>EQ-5D</w:t>
      </w:r>
      <w:r w:rsidR="00567E1E">
        <w:rPr>
          <w:b w:val="0"/>
        </w:rPr>
        <w:t>: m</w:t>
      </w:r>
      <w:r w:rsidRPr="000E7808">
        <w:rPr>
          <w:b w:val="0"/>
        </w:rPr>
        <w:t>obility</w:t>
      </w:r>
      <w:r>
        <w:rPr>
          <w:b w:val="0"/>
        </w:rPr>
        <w:t>, s</w:t>
      </w:r>
      <w:r w:rsidRPr="000E7808">
        <w:rPr>
          <w:b w:val="0"/>
        </w:rPr>
        <w:t>elf-care</w:t>
      </w:r>
      <w:r>
        <w:rPr>
          <w:b w:val="0"/>
        </w:rPr>
        <w:t>, u</w:t>
      </w:r>
      <w:r w:rsidRPr="000E7808">
        <w:rPr>
          <w:b w:val="0"/>
        </w:rPr>
        <w:t>sual activities</w:t>
      </w:r>
      <w:r>
        <w:rPr>
          <w:b w:val="0"/>
        </w:rPr>
        <w:t>, p</w:t>
      </w:r>
      <w:r w:rsidRPr="000E7808">
        <w:rPr>
          <w:b w:val="0"/>
        </w:rPr>
        <w:t>ain/discomfort</w:t>
      </w:r>
      <w:r>
        <w:rPr>
          <w:b w:val="0"/>
        </w:rPr>
        <w:t>, and a</w:t>
      </w:r>
      <w:r w:rsidRPr="000E7808">
        <w:rPr>
          <w:b w:val="0"/>
        </w:rPr>
        <w:t>nxiety/depression</w:t>
      </w:r>
      <w:r>
        <w:rPr>
          <w:b w:val="0"/>
        </w:rPr>
        <w:t xml:space="preserve">), but there </w:t>
      </w:r>
      <w:r w:rsidR="00CD7249">
        <w:rPr>
          <w:b w:val="0"/>
        </w:rPr>
        <w:t>were</w:t>
      </w:r>
      <w:r>
        <w:rPr>
          <w:b w:val="0"/>
        </w:rPr>
        <w:t xml:space="preserve"> no difference</w:t>
      </w:r>
      <w:r w:rsidR="00CD7249">
        <w:rPr>
          <w:b w:val="0"/>
        </w:rPr>
        <w:t>s</w:t>
      </w:r>
      <w:r>
        <w:rPr>
          <w:b w:val="0"/>
        </w:rPr>
        <w:t xml:space="preserve"> </w:t>
      </w:r>
      <w:r w:rsidR="00CD7249">
        <w:rPr>
          <w:b w:val="0"/>
        </w:rPr>
        <w:t>between</w:t>
      </w:r>
      <w:r>
        <w:rPr>
          <w:b w:val="0"/>
        </w:rPr>
        <w:t xml:space="preserve"> the two </w:t>
      </w:r>
      <w:r w:rsidR="00CD7249">
        <w:rPr>
          <w:b w:val="0"/>
        </w:rPr>
        <w:t xml:space="preserve">SCIg </w:t>
      </w:r>
      <w:r>
        <w:rPr>
          <w:b w:val="0"/>
        </w:rPr>
        <w:t>doses.</w:t>
      </w:r>
      <w:r w:rsidR="0039157E">
        <w:rPr>
          <w:b w:val="0"/>
        </w:rPr>
        <w:t xml:space="preserve"> Similarly, overall health (</w:t>
      </w:r>
      <w:r w:rsidR="0039157E" w:rsidRPr="00831B42">
        <w:rPr>
          <w:b w:val="0"/>
        </w:rPr>
        <w:t>EQ-VAS</w:t>
      </w:r>
      <w:r w:rsidR="0039157E">
        <w:rPr>
          <w:b w:val="0"/>
        </w:rPr>
        <w:t>) was significantly worse with placebo when compared to either SCIg dose. Treatment satisfaction (</w:t>
      </w:r>
      <w:r w:rsidR="0039157E" w:rsidRPr="00831B42">
        <w:rPr>
          <w:b w:val="0"/>
        </w:rPr>
        <w:t>TSQM</w:t>
      </w:r>
      <w:r w:rsidR="0039157E">
        <w:rPr>
          <w:b w:val="0"/>
        </w:rPr>
        <w:t xml:space="preserve">) </w:t>
      </w:r>
      <w:r w:rsidR="00567E1E">
        <w:rPr>
          <w:b w:val="0"/>
        </w:rPr>
        <w:t>did not show any differences in the domains of overall satisfaction and effectiveness. W</w:t>
      </w:r>
      <w:r w:rsidR="0039157E">
        <w:rPr>
          <w:b w:val="0"/>
        </w:rPr>
        <w:t>ork</w:t>
      </w:r>
      <w:r w:rsidR="00567E1E">
        <w:rPr>
          <w:b w:val="0"/>
        </w:rPr>
        <w:t xml:space="preserve"> productivity (</w:t>
      </w:r>
      <w:r w:rsidR="0039157E" w:rsidRPr="00831B42">
        <w:rPr>
          <w:b w:val="0"/>
        </w:rPr>
        <w:t>WPAI-GH</w:t>
      </w:r>
      <w:r w:rsidR="00567E1E">
        <w:rPr>
          <w:b w:val="0"/>
        </w:rPr>
        <w:t>)</w:t>
      </w:r>
      <w:r w:rsidR="00C617DC">
        <w:rPr>
          <w:b w:val="0"/>
        </w:rPr>
        <w:t xml:space="preserve"> </w:t>
      </w:r>
      <w:r w:rsidR="00567E1E">
        <w:rPr>
          <w:b w:val="0"/>
        </w:rPr>
        <w:t>was worse for patients in the placebo group in domains of a</w:t>
      </w:r>
      <w:r w:rsidR="00567E1E" w:rsidRPr="00567E1E">
        <w:rPr>
          <w:b w:val="0"/>
        </w:rPr>
        <w:t>ctivity impairment, work impairment, and work productivity loss</w:t>
      </w:r>
      <w:r w:rsidR="00567E1E">
        <w:rPr>
          <w:b w:val="0"/>
        </w:rPr>
        <w:t>, than both dosage group</w:t>
      </w:r>
      <w:r w:rsidR="00CD7249">
        <w:rPr>
          <w:b w:val="0"/>
        </w:rPr>
        <w:t>s</w:t>
      </w:r>
      <w:r w:rsidR="00567E1E">
        <w:rPr>
          <w:b w:val="0"/>
        </w:rPr>
        <w:t xml:space="preserve">, for which productivity remained relatively stable. </w:t>
      </w:r>
    </w:p>
    <w:p w14:paraId="353AA7CA" w14:textId="6DEBB0D6" w:rsidR="00C64983" w:rsidRDefault="00C64983" w:rsidP="00835A20">
      <w:pPr>
        <w:pStyle w:val="Summaryboxheading"/>
        <w:pBdr>
          <w:top w:val="single" w:sz="4" w:space="1" w:color="auto"/>
          <w:left w:val="single" w:sz="4" w:space="0" w:color="auto"/>
          <w:bottom w:val="single" w:sz="4" w:space="1" w:color="auto"/>
          <w:right w:val="single" w:sz="4" w:space="4" w:color="auto"/>
        </w:pBdr>
        <w:jc w:val="both"/>
        <w:rPr>
          <w:b w:val="0"/>
        </w:rPr>
      </w:pPr>
      <w:r>
        <w:rPr>
          <w:b w:val="0"/>
        </w:rPr>
        <w:t xml:space="preserve">Both low and high-dose SCIg treatment reduced relapse rate when compared to placebo. There were fewest relapses in the high-dose SCIg treated group, but the difference between SCIg treatment groups did not reach statistical </w:t>
      </w:r>
      <w:r w:rsidR="00F47910">
        <w:rPr>
          <w:b w:val="0"/>
        </w:rPr>
        <w:t>significance</w:t>
      </w:r>
      <w:r>
        <w:rPr>
          <w:b w:val="0"/>
        </w:rPr>
        <w:t>. More patients withdrew from the PATH trial in the high-dose treated group (</w:t>
      </w:r>
      <w:r w:rsidR="00EB3B4A">
        <w:rPr>
          <w:b w:val="0"/>
        </w:rPr>
        <w:t xml:space="preserve">nine </w:t>
      </w:r>
      <w:r>
        <w:rPr>
          <w:b w:val="0"/>
        </w:rPr>
        <w:t xml:space="preserve">out of </w:t>
      </w:r>
      <w:r w:rsidR="00CD7249">
        <w:rPr>
          <w:b w:val="0"/>
        </w:rPr>
        <w:t xml:space="preserve">the total </w:t>
      </w:r>
      <w:r>
        <w:rPr>
          <w:b w:val="0"/>
        </w:rPr>
        <w:t>16 withdrawals). The most frequent reason given for withdrawal was “withdrawn consent”:</w:t>
      </w:r>
      <w:r w:rsidR="00881D68">
        <w:rPr>
          <w:b w:val="0"/>
        </w:rPr>
        <w:t xml:space="preserve"> </w:t>
      </w:r>
    </w:p>
    <w:p w14:paraId="2643B073" w14:textId="77777777" w:rsidR="002327BE" w:rsidRDefault="00C617DC" w:rsidP="00835A20">
      <w:pPr>
        <w:pStyle w:val="Summaryboxheading"/>
        <w:pBdr>
          <w:top w:val="single" w:sz="4" w:space="1" w:color="auto"/>
          <w:left w:val="single" w:sz="4" w:space="0" w:color="auto"/>
          <w:bottom w:val="single" w:sz="4" w:space="1" w:color="auto"/>
          <w:right w:val="single" w:sz="4" w:space="4" w:color="auto"/>
        </w:pBdr>
        <w:jc w:val="both"/>
        <w:rPr>
          <w:b w:val="0"/>
        </w:rPr>
      </w:pPr>
      <w:r>
        <w:rPr>
          <w:b w:val="0"/>
        </w:rPr>
        <w:t xml:space="preserve">A lower SCIg dose may provide </w:t>
      </w:r>
      <w:r w:rsidR="006D45AE">
        <w:rPr>
          <w:b w:val="0"/>
        </w:rPr>
        <w:t>satisfactory</w:t>
      </w:r>
      <w:r w:rsidR="00881D68">
        <w:rPr>
          <w:b w:val="0"/>
        </w:rPr>
        <w:t xml:space="preserve"> effectiveness,</w:t>
      </w:r>
      <w:r>
        <w:rPr>
          <w:b w:val="0"/>
        </w:rPr>
        <w:t xml:space="preserve"> </w:t>
      </w:r>
      <w:r w:rsidR="00EC6C24">
        <w:rPr>
          <w:b w:val="0"/>
        </w:rPr>
        <w:t xml:space="preserve">including </w:t>
      </w:r>
      <w:r>
        <w:rPr>
          <w:b w:val="0"/>
        </w:rPr>
        <w:t>quality of li</w:t>
      </w:r>
      <w:r w:rsidR="00912468">
        <w:rPr>
          <w:b w:val="0"/>
        </w:rPr>
        <w:t>f</w:t>
      </w:r>
      <w:r>
        <w:rPr>
          <w:b w:val="0"/>
        </w:rPr>
        <w:t>e and work productivity</w:t>
      </w:r>
      <w:r w:rsidR="00EC6C24">
        <w:rPr>
          <w:b w:val="0"/>
        </w:rPr>
        <w:t>,</w:t>
      </w:r>
      <w:r>
        <w:rPr>
          <w:b w:val="0"/>
        </w:rPr>
        <w:t xml:space="preserve"> in some patients</w:t>
      </w:r>
      <w:r w:rsidR="003C553E">
        <w:rPr>
          <w:b w:val="0"/>
        </w:rPr>
        <w:t>.</w:t>
      </w:r>
    </w:p>
    <w:p w14:paraId="0DD4EADF" w14:textId="48F7F4C5" w:rsidR="008E42D2" w:rsidRDefault="00835A20" w:rsidP="00192373">
      <w:pPr>
        <w:jc w:val="both"/>
      </w:pPr>
      <w:r>
        <w:t>Two RCTs met the inclusion criteria for the update of effectiveness data on IV</w:t>
      </w:r>
      <w:r w:rsidR="00786882">
        <w:t>Ig</w:t>
      </w:r>
      <w:r>
        <w:t xml:space="preserve"> or </w:t>
      </w:r>
      <w:r w:rsidR="00786882">
        <w:t xml:space="preserve">SCIg </w:t>
      </w:r>
      <w:r w:rsidR="00B727D6">
        <w:fldChar w:fldCharType="begin">
          <w:fldData xml:space="preserve">PEVuZE5vdGU+PENpdGU+PEF1dGhvcj5IYXJ0dW5nPC9BdXRob3I+PFllYXI+MjAxOTwvWWVhcj48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UmVjTnVtPjE1PC9SZWNOdW0+PERpc3BsYXlUZXh0PihIYXJ0dW5nIGV0IGFsLiAyMDE5OyBLdWl0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 xml:space="preserve">; </w:t>
      </w:r>
      <w:hyperlink w:anchor="_ENREF_33" w:tooltip="Kuitwaard, 2020 #16" w:history="1">
        <w:r w:rsidR="00D726F6">
          <w:rPr>
            <w:noProof/>
          </w:rPr>
          <w:t>Kuitwaard et al. 2020b</w:t>
        </w:r>
      </w:hyperlink>
      <w:r w:rsidR="00B727D6">
        <w:rPr>
          <w:noProof/>
        </w:rPr>
        <w:t>)</w:t>
      </w:r>
      <w:r w:rsidR="00B727D6">
        <w:fldChar w:fldCharType="end"/>
      </w:r>
      <w:r>
        <w:t xml:space="preserve">. Kuitwaard et al (2020) performed an IVIg dose comparison in a randomised cross-over trial. </w:t>
      </w:r>
      <w:r w:rsidR="00F168A7">
        <w:t xml:space="preserve">Hartung et al (2019) </w:t>
      </w:r>
      <w:r w:rsidR="003D3775">
        <w:t xml:space="preserve">reported on patient reported outcomes (PROs) and QoL from an RCT </w:t>
      </w:r>
      <w:r w:rsidR="00F168A7">
        <w:t>compar</w:t>
      </w:r>
      <w:r w:rsidR="003D3775">
        <w:t>ing</w:t>
      </w:r>
      <w:r w:rsidR="00F168A7">
        <w:t xml:space="preserve"> two doses of SCIg with placebo </w:t>
      </w:r>
      <w:r w:rsidR="003D3775">
        <w:t>(</w:t>
      </w:r>
      <w:r w:rsidR="00F168A7">
        <w:t>PATH trial</w:t>
      </w:r>
      <w:r w:rsidR="003D3775">
        <w:t>)</w:t>
      </w:r>
      <w:r w:rsidR="00F168A7">
        <w:t xml:space="preserve">. </w:t>
      </w:r>
    </w:p>
    <w:p w14:paraId="3C431E3D" w14:textId="77777777" w:rsidR="00835A20" w:rsidRDefault="00F168A7" w:rsidP="00192373">
      <w:pPr>
        <w:jc w:val="both"/>
      </w:pPr>
      <w:r>
        <w:t>Results were also included from van Schaik et al. (2018),</w:t>
      </w:r>
      <w:r w:rsidR="00B8757B">
        <w:t xml:space="preserve"> who reported on the </w:t>
      </w:r>
      <w:r w:rsidR="003D3775">
        <w:t xml:space="preserve">effectiveness and safety from the </w:t>
      </w:r>
      <w:r w:rsidR="00B8757B">
        <w:t>PATH trial.</w:t>
      </w:r>
      <w:r>
        <w:t xml:space="preserve"> </w:t>
      </w:r>
      <w:r w:rsidR="00B8757B">
        <w:t>A</w:t>
      </w:r>
      <w:r>
        <w:t xml:space="preserve">lthough </w:t>
      </w:r>
      <w:r w:rsidR="003D3775">
        <w:t>Schaik et al (2018)</w:t>
      </w:r>
      <w:r>
        <w:t xml:space="preserve"> did not meet the inclusion criteria for this update report</w:t>
      </w:r>
      <w:r w:rsidR="00305670">
        <w:t xml:space="preserve"> due to its publication date</w:t>
      </w:r>
      <w:r>
        <w:t>, the</w:t>
      </w:r>
      <w:r w:rsidR="003D3775">
        <w:t xml:space="preserve"> results</w:t>
      </w:r>
      <w:r>
        <w:t xml:space="preserve"> were </w:t>
      </w:r>
      <w:r w:rsidR="00B8757B">
        <w:t>missing from</w:t>
      </w:r>
      <w:r>
        <w:t xml:space="preserve"> the </w:t>
      </w:r>
      <w:r w:rsidR="00914B37">
        <w:t>DCAR 1564</w:t>
      </w:r>
      <w:r>
        <w:t xml:space="preserve"> Review</w:t>
      </w:r>
      <w:r w:rsidR="00B8757B">
        <w:t>, and the da</w:t>
      </w:r>
      <w:r>
        <w:t>ta ha</w:t>
      </w:r>
      <w:r w:rsidR="00B8757B">
        <w:t>ve</w:t>
      </w:r>
      <w:r>
        <w:t xml:space="preserve"> the potential to inform the economic modelling for SCIg usage.</w:t>
      </w:r>
    </w:p>
    <w:p w14:paraId="75EBF0F5" w14:textId="77777777" w:rsidR="00F168A7" w:rsidRDefault="00F168A7" w:rsidP="00F168A7">
      <w:pPr>
        <w:pStyle w:val="Heading3"/>
      </w:pPr>
      <w:bookmarkStart w:id="171" w:name="_Toc69305559"/>
      <w:r>
        <w:t>IVIg (</w:t>
      </w:r>
      <w:r w:rsidR="00C224E9">
        <w:t xml:space="preserve">normal </w:t>
      </w:r>
      <w:r w:rsidR="0033744F">
        <w:t xml:space="preserve">individualised </w:t>
      </w:r>
      <w:r w:rsidR="00C224E9">
        <w:t>dose</w:t>
      </w:r>
      <w:r>
        <w:t xml:space="preserve"> and interval) compared with IVIg (half</w:t>
      </w:r>
      <w:r w:rsidR="0033744F">
        <w:t xml:space="preserve"> individualised</w:t>
      </w:r>
      <w:r>
        <w:t xml:space="preserve"> dose </w:t>
      </w:r>
      <w:r w:rsidR="0033744F">
        <w:t xml:space="preserve">at half the </w:t>
      </w:r>
      <w:r>
        <w:t>interval) in CIDP patients on individualised IVIg maintenance treatment</w:t>
      </w:r>
      <w:bookmarkEnd w:id="171"/>
    </w:p>
    <w:p w14:paraId="7787EF4C" w14:textId="26A35939" w:rsidR="00F168A7" w:rsidRDefault="00F168A7" w:rsidP="00F168A7">
      <w:pPr>
        <w:jc w:val="both"/>
      </w:pPr>
      <w:r>
        <w:t xml:space="preserve">The </w:t>
      </w:r>
      <w:r w:rsidR="00500104">
        <w:t xml:space="preserve">IVIg DOSE </w:t>
      </w:r>
      <w:r>
        <w:t>RCT by Kuitwaard et al (2020) compared two dosing regimens in a cross-over design trial. Twenty-five patients stabilised on individualised IVIg maintenance regimens were included, but only when they showed an objectively measured deterioration (handgrip strength by Martin Vigorimeter) in association with a reduction of IVIg dose or lengthening of treatment interval. Individualised patient doses prior to randomisation ranged from 20 to 80 g, and intervals ranged from 14 to 35 days. Patients were randomised to either their own regular regimen (control) or the regimen of half</w:t>
      </w:r>
      <w:r w:rsidR="00B8757B">
        <w:t xml:space="preserve"> </w:t>
      </w:r>
      <w:r>
        <w:t xml:space="preserve">dose </w:t>
      </w:r>
      <w:r w:rsidR="00500104">
        <w:t xml:space="preserve">at </w:t>
      </w:r>
      <w:r>
        <w:t xml:space="preserve">half </w:t>
      </w:r>
      <w:r w:rsidR="00500104">
        <w:t xml:space="preserve">the </w:t>
      </w:r>
      <w:r>
        <w:t xml:space="preserve">interval (intervention). A wash-out period of two cycles of </w:t>
      </w:r>
      <w:r w:rsidR="00C224E9">
        <w:t>normal dose</w:t>
      </w:r>
      <w:r>
        <w:t xml:space="preserve"> and interval were given prior to crossing over to the second treatment phase. </w:t>
      </w:r>
      <w:r w:rsidR="001155A7">
        <w:t xml:space="preserve">The treatment phases consisted of four infusion cycles each. </w:t>
      </w:r>
      <w:r>
        <w:t>Treatment efficacy was measured by handgrip strength using the vigorimeter (kPa). Secondary outcomes included the Rasch-built Overall Disability Score (</w:t>
      </w:r>
      <w:r w:rsidR="00C224E9">
        <w:t>IRODS</w:t>
      </w:r>
      <w:r>
        <w:t>), modified Rasch-built Fatigue Severity Scale (</w:t>
      </w:r>
      <w:r w:rsidR="00C224E9">
        <w:t>RFSS</w:t>
      </w:r>
      <w:r>
        <w:t xml:space="preserve">), and the 36-item Short-Form health survey (SF-36). The tools and scales </w:t>
      </w:r>
      <w:r w:rsidR="00305670">
        <w:t>are</w:t>
      </w:r>
      <w:r>
        <w:t xml:space="preserve"> described in </w:t>
      </w:r>
      <w:r>
        <w:fldChar w:fldCharType="begin"/>
      </w:r>
      <w:r>
        <w:instrText xml:space="preserve"> REF _Ref57284918 \h </w:instrText>
      </w:r>
      <w:r>
        <w:fldChar w:fldCharType="separate"/>
      </w:r>
      <w:r w:rsidR="004B3EA2">
        <w:t xml:space="preserve">Table </w:t>
      </w:r>
      <w:r w:rsidR="004B3EA2">
        <w:rPr>
          <w:noProof/>
        </w:rPr>
        <w:t>12</w:t>
      </w:r>
      <w:r>
        <w:fldChar w:fldCharType="end"/>
      </w:r>
      <w:r>
        <w:t>.</w:t>
      </w:r>
    </w:p>
    <w:p w14:paraId="34F42009" w14:textId="3D43A3D2" w:rsidR="00F168A7" w:rsidRDefault="00F168A7" w:rsidP="00F168A7">
      <w:pPr>
        <w:pStyle w:val="Caption"/>
      </w:pPr>
      <w:bookmarkStart w:id="172" w:name="_Ref57284918"/>
      <w:bookmarkStart w:id="173" w:name="_Toc69305653"/>
      <w:r>
        <w:t xml:space="preserve">Table </w:t>
      </w:r>
      <w:r w:rsidR="00003BA5">
        <w:fldChar w:fldCharType="begin"/>
      </w:r>
      <w:r w:rsidR="00003BA5">
        <w:instrText xml:space="preserve"> SEQ Table \* ARABIC </w:instrText>
      </w:r>
      <w:r w:rsidR="00003BA5">
        <w:fldChar w:fldCharType="separate"/>
      </w:r>
      <w:r w:rsidR="004B3EA2">
        <w:rPr>
          <w:noProof/>
        </w:rPr>
        <w:t>12</w:t>
      </w:r>
      <w:r w:rsidR="00003BA5">
        <w:rPr>
          <w:noProof/>
        </w:rPr>
        <w:fldChar w:fldCharType="end"/>
      </w:r>
      <w:bookmarkEnd w:id="172"/>
      <w:r w:rsidR="00F47910">
        <w:rPr>
          <w:noProof/>
        </w:rPr>
        <w:tab/>
      </w:r>
      <w:r>
        <w:t>Tools used to compare efficacy in CIDP patients treated with two dosing regimens of IVIg</w:t>
      </w:r>
      <w:bookmarkEnd w:id="173"/>
    </w:p>
    <w:tbl>
      <w:tblPr>
        <w:tblStyle w:val="TableGrid"/>
        <w:tblW w:w="0" w:type="auto"/>
        <w:tblLook w:val="04A0" w:firstRow="1" w:lastRow="0" w:firstColumn="1" w:lastColumn="0" w:noHBand="0" w:noVBand="1"/>
        <w:tblCaption w:val="Tools used to compare efficacy in CIDP patients treated with two dosing regimens of IVIg"/>
        <w:tblDescription w:val="Tools used to compare efficacy in CIDP patients treated with two dosing regimens of IVIg"/>
      </w:tblPr>
      <w:tblGrid>
        <w:gridCol w:w="2263"/>
        <w:gridCol w:w="2268"/>
        <w:gridCol w:w="4111"/>
      </w:tblGrid>
      <w:tr w:rsidR="00F168A7" w:rsidRPr="00921204" w14:paraId="5A44D760" w14:textId="77777777" w:rsidTr="00BB43B6">
        <w:trPr>
          <w:tblHeader/>
        </w:trPr>
        <w:tc>
          <w:tcPr>
            <w:tcW w:w="2263" w:type="dxa"/>
          </w:tcPr>
          <w:p w14:paraId="147DC2A1" w14:textId="77777777" w:rsidR="00F168A7" w:rsidRPr="00921204" w:rsidRDefault="00F168A7" w:rsidP="00F168A7">
            <w:pPr>
              <w:spacing w:before="40" w:after="40" w:line="240" w:lineRule="auto"/>
              <w:ind w:left="0"/>
              <w:rPr>
                <w:rFonts w:ascii="Arial Narrow" w:hAnsi="Arial Narrow"/>
                <w:b/>
                <w:sz w:val="20"/>
                <w:szCs w:val="20"/>
              </w:rPr>
            </w:pPr>
            <w:r w:rsidRPr="00921204">
              <w:rPr>
                <w:rFonts w:ascii="Arial Narrow" w:hAnsi="Arial Narrow"/>
                <w:b/>
                <w:sz w:val="20"/>
                <w:szCs w:val="20"/>
              </w:rPr>
              <w:t>PRO</w:t>
            </w:r>
          </w:p>
          <w:p w14:paraId="37A0474C" w14:textId="77777777" w:rsidR="00F168A7" w:rsidRPr="00921204" w:rsidRDefault="00F168A7" w:rsidP="00F168A7">
            <w:pPr>
              <w:spacing w:before="40" w:after="40" w:line="240" w:lineRule="auto"/>
              <w:ind w:left="0"/>
              <w:rPr>
                <w:rFonts w:ascii="Arial Narrow" w:hAnsi="Arial Narrow"/>
                <w:b/>
                <w:sz w:val="20"/>
                <w:szCs w:val="20"/>
              </w:rPr>
            </w:pPr>
            <w:r w:rsidRPr="00921204">
              <w:rPr>
                <w:rFonts w:ascii="Arial Narrow" w:hAnsi="Arial Narrow"/>
                <w:b/>
                <w:sz w:val="20"/>
                <w:szCs w:val="20"/>
              </w:rPr>
              <w:t>Assessment</w:t>
            </w:r>
            <w:r>
              <w:rPr>
                <w:rFonts w:ascii="Arial Narrow" w:hAnsi="Arial Narrow"/>
                <w:b/>
                <w:sz w:val="20"/>
                <w:szCs w:val="20"/>
              </w:rPr>
              <w:t xml:space="preserve"> area</w:t>
            </w:r>
          </w:p>
        </w:tc>
        <w:tc>
          <w:tcPr>
            <w:tcW w:w="2268" w:type="dxa"/>
          </w:tcPr>
          <w:p w14:paraId="1ADBF9EA" w14:textId="77777777" w:rsidR="00F168A7" w:rsidRPr="00921204" w:rsidRDefault="00F168A7" w:rsidP="00F168A7">
            <w:pPr>
              <w:spacing w:before="40" w:after="40" w:line="240" w:lineRule="auto"/>
              <w:ind w:left="0"/>
              <w:rPr>
                <w:rFonts w:ascii="Arial Narrow" w:hAnsi="Arial Narrow"/>
                <w:b/>
                <w:sz w:val="20"/>
                <w:szCs w:val="20"/>
              </w:rPr>
            </w:pPr>
            <w:r w:rsidRPr="00921204">
              <w:rPr>
                <w:rFonts w:ascii="Arial Narrow" w:hAnsi="Arial Narrow"/>
                <w:b/>
                <w:sz w:val="20"/>
                <w:szCs w:val="20"/>
              </w:rPr>
              <w:t>Scoring range</w:t>
            </w:r>
          </w:p>
        </w:tc>
        <w:tc>
          <w:tcPr>
            <w:tcW w:w="4111" w:type="dxa"/>
          </w:tcPr>
          <w:p w14:paraId="040F4E8B" w14:textId="77777777" w:rsidR="00F168A7" w:rsidRPr="00921204" w:rsidRDefault="00F168A7" w:rsidP="00F168A7">
            <w:pPr>
              <w:spacing w:before="40" w:after="40" w:line="240" w:lineRule="auto"/>
              <w:ind w:left="0"/>
              <w:rPr>
                <w:rFonts w:ascii="Arial Narrow" w:hAnsi="Arial Narrow"/>
                <w:b/>
                <w:sz w:val="20"/>
                <w:szCs w:val="20"/>
              </w:rPr>
            </w:pPr>
            <w:r w:rsidRPr="00921204">
              <w:rPr>
                <w:rFonts w:ascii="Arial Narrow" w:hAnsi="Arial Narrow"/>
                <w:b/>
                <w:sz w:val="20"/>
                <w:szCs w:val="20"/>
              </w:rPr>
              <w:t>Score interpretation</w:t>
            </w:r>
          </w:p>
        </w:tc>
      </w:tr>
      <w:tr w:rsidR="00F168A7" w:rsidRPr="00921204" w14:paraId="373750C2" w14:textId="77777777" w:rsidTr="00F168A7">
        <w:tc>
          <w:tcPr>
            <w:tcW w:w="2263" w:type="dxa"/>
          </w:tcPr>
          <w:p w14:paraId="1E077683"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Vigorimeter</w:t>
            </w:r>
          </w:p>
          <w:p w14:paraId="1F5A4400"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Handgrip strength</w:t>
            </w:r>
          </w:p>
        </w:tc>
        <w:tc>
          <w:tcPr>
            <w:tcW w:w="2268" w:type="dxa"/>
          </w:tcPr>
          <w:p w14:paraId="64EF879E"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 xml:space="preserve">0-160 kPa </w:t>
            </w:r>
          </w:p>
        </w:tc>
        <w:tc>
          <w:tcPr>
            <w:tcW w:w="4111" w:type="dxa"/>
          </w:tcPr>
          <w:p w14:paraId="5432AD83"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Higher kPa = greater strength</w:t>
            </w:r>
          </w:p>
        </w:tc>
      </w:tr>
      <w:tr w:rsidR="00F168A7" w:rsidRPr="00921204" w14:paraId="12C7186E" w14:textId="77777777" w:rsidTr="00F168A7">
        <w:tc>
          <w:tcPr>
            <w:tcW w:w="2263" w:type="dxa"/>
          </w:tcPr>
          <w:p w14:paraId="6021F7F8" w14:textId="77777777" w:rsidR="00F168A7" w:rsidRPr="00921204" w:rsidRDefault="00C224E9" w:rsidP="00F168A7">
            <w:pPr>
              <w:spacing w:before="40" w:after="40" w:line="240" w:lineRule="auto"/>
              <w:ind w:left="0"/>
              <w:rPr>
                <w:rFonts w:ascii="Arial Narrow" w:hAnsi="Arial Narrow"/>
                <w:sz w:val="20"/>
                <w:szCs w:val="20"/>
              </w:rPr>
            </w:pPr>
            <w:r>
              <w:rPr>
                <w:rFonts w:ascii="Arial Narrow" w:hAnsi="Arial Narrow"/>
                <w:sz w:val="20"/>
                <w:szCs w:val="20"/>
              </w:rPr>
              <w:t>IRODS</w:t>
            </w:r>
          </w:p>
          <w:p w14:paraId="1232C89A"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Overall disability</w:t>
            </w:r>
          </w:p>
        </w:tc>
        <w:tc>
          <w:tcPr>
            <w:tcW w:w="2268" w:type="dxa"/>
          </w:tcPr>
          <w:p w14:paraId="414677D0" w14:textId="77777777" w:rsidR="00F168A7" w:rsidRPr="00921204" w:rsidRDefault="00F168A7" w:rsidP="00F168A7">
            <w:pPr>
              <w:spacing w:before="40" w:after="40" w:line="240" w:lineRule="auto"/>
              <w:ind w:left="0"/>
              <w:rPr>
                <w:rFonts w:ascii="Arial Narrow" w:hAnsi="Arial Narrow"/>
                <w:sz w:val="20"/>
                <w:szCs w:val="20"/>
              </w:rPr>
            </w:pPr>
            <w:r w:rsidRPr="00921204">
              <w:rPr>
                <w:rFonts w:ascii="Arial Narrow" w:hAnsi="Arial Narrow"/>
                <w:sz w:val="20"/>
                <w:szCs w:val="20"/>
              </w:rPr>
              <w:t xml:space="preserve">0 </w:t>
            </w:r>
            <w:r>
              <w:rPr>
                <w:rFonts w:ascii="Arial Narrow" w:hAnsi="Arial Narrow"/>
                <w:sz w:val="20"/>
                <w:szCs w:val="20"/>
              </w:rPr>
              <w:t>-</w:t>
            </w:r>
            <w:r w:rsidRPr="00921204">
              <w:rPr>
                <w:rFonts w:ascii="Arial Narrow" w:hAnsi="Arial Narrow"/>
                <w:sz w:val="20"/>
                <w:szCs w:val="20"/>
              </w:rPr>
              <w:t xml:space="preserve"> 100</w:t>
            </w:r>
            <w:r>
              <w:rPr>
                <w:rFonts w:ascii="Arial Narrow" w:hAnsi="Arial Narrow"/>
                <w:sz w:val="20"/>
                <w:szCs w:val="20"/>
              </w:rPr>
              <w:t xml:space="preserve"> centile metrics</w:t>
            </w:r>
          </w:p>
        </w:tc>
        <w:tc>
          <w:tcPr>
            <w:tcW w:w="4111" w:type="dxa"/>
          </w:tcPr>
          <w:p w14:paraId="476F456C"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Higher value = fewer limitations</w:t>
            </w:r>
          </w:p>
        </w:tc>
      </w:tr>
      <w:tr w:rsidR="00F168A7" w:rsidRPr="00921204" w14:paraId="383E966A" w14:textId="77777777" w:rsidTr="00F168A7">
        <w:tc>
          <w:tcPr>
            <w:tcW w:w="2263" w:type="dxa"/>
          </w:tcPr>
          <w:p w14:paraId="7B00DF6B" w14:textId="77777777" w:rsidR="00F168A7" w:rsidRPr="00921204" w:rsidRDefault="00C224E9" w:rsidP="00F168A7">
            <w:pPr>
              <w:spacing w:before="40" w:after="40" w:line="240" w:lineRule="auto"/>
              <w:ind w:left="0"/>
              <w:rPr>
                <w:rFonts w:ascii="Arial Narrow" w:hAnsi="Arial Narrow"/>
                <w:sz w:val="20"/>
                <w:szCs w:val="20"/>
              </w:rPr>
            </w:pPr>
            <w:r>
              <w:rPr>
                <w:rFonts w:ascii="Arial Narrow" w:hAnsi="Arial Narrow"/>
                <w:sz w:val="20"/>
                <w:szCs w:val="20"/>
              </w:rPr>
              <w:t>RFSS</w:t>
            </w:r>
          </w:p>
          <w:p w14:paraId="6B87F332"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Fatigue severity</w:t>
            </w:r>
          </w:p>
        </w:tc>
        <w:tc>
          <w:tcPr>
            <w:tcW w:w="2268" w:type="dxa"/>
          </w:tcPr>
          <w:p w14:paraId="5989B196" w14:textId="77777777" w:rsidR="00F168A7" w:rsidRPr="00921204" w:rsidRDefault="00F168A7" w:rsidP="00F168A7">
            <w:pPr>
              <w:spacing w:before="40" w:after="40" w:line="240" w:lineRule="auto"/>
              <w:ind w:left="0"/>
              <w:rPr>
                <w:rFonts w:ascii="Arial Narrow" w:hAnsi="Arial Narrow"/>
                <w:sz w:val="20"/>
                <w:szCs w:val="20"/>
              </w:rPr>
            </w:pPr>
            <w:r w:rsidRPr="00921204">
              <w:rPr>
                <w:rFonts w:ascii="Arial Narrow" w:hAnsi="Arial Narrow"/>
                <w:sz w:val="20"/>
                <w:szCs w:val="20"/>
              </w:rPr>
              <w:t xml:space="preserve">0 - </w:t>
            </w:r>
            <w:r>
              <w:rPr>
                <w:rFonts w:ascii="Arial Narrow" w:hAnsi="Arial Narrow"/>
                <w:sz w:val="20"/>
                <w:szCs w:val="20"/>
              </w:rPr>
              <w:t>21</w:t>
            </w:r>
          </w:p>
        </w:tc>
        <w:tc>
          <w:tcPr>
            <w:tcW w:w="4111" w:type="dxa"/>
          </w:tcPr>
          <w:p w14:paraId="126E9B0A"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Higher score = more fatigue</w:t>
            </w:r>
          </w:p>
        </w:tc>
      </w:tr>
      <w:tr w:rsidR="00F168A7" w:rsidRPr="00921204" w14:paraId="060FDAF6" w14:textId="77777777" w:rsidTr="00F168A7">
        <w:tc>
          <w:tcPr>
            <w:tcW w:w="2263" w:type="dxa"/>
          </w:tcPr>
          <w:p w14:paraId="541D3ACC"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SF-36</w:t>
            </w:r>
          </w:p>
          <w:p w14:paraId="0065793B"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Health survey</w:t>
            </w:r>
          </w:p>
        </w:tc>
        <w:tc>
          <w:tcPr>
            <w:tcW w:w="2268" w:type="dxa"/>
          </w:tcPr>
          <w:p w14:paraId="4FE88D19" w14:textId="77777777" w:rsidR="00F168A7" w:rsidRPr="00921204" w:rsidRDefault="00F168A7" w:rsidP="00F168A7">
            <w:pPr>
              <w:spacing w:before="40" w:after="40" w:line="240" w:lineRule="auto"/>
              <w:ind w:left="0"/>
              <w:rPr>
                <w:rFonts w:ascii="Arial Narrow" w:hAnsi="Arial Narrow"/>
                <w:sz w:val="20"/>
                <w:szCs w:val="20"/>
              </w:rPr>
            </w:pPr>
            <w:r w:rsidRPr="00921204">
              <w:rPr>
                <w:rFonts w:ascii="Arial Narrow" w:hAnsi="Arial Narrow"/>
                <w:sz w:val="20"/>
                <w:szCs w:val="20"/>
              </w:rPr>
              <w:t>0 - 100</w:t>
            </w:r>
          </w:p>
        </w:tc>
        <w:tc>
          <w:tcPr>
            <w:tcW w:w="4111" w:type="dxa"/>
          </w:tcPr>
          <w:p w14:paraId="2779C88F" w14:textId="77777777" w:rsidR="00F168A7" w:rsidRPr="00921204" w:rsidRDefault="00F168A7" w:rsidP="00F168A7">
            <w:pPr>
              <w:spacing w:before="40" w:after="40" w:line="240" w:lineRule="auto"/>
              <w:ind w:left="0"/>
              <w:rPr>
                <w:rFonts w:ascii="Arial Narrow" w:hAnsi="Arial Narrow"/>
                <w:sz w:val="20"/>
                <w:szCs w:val="20"/>
              </w:rPr>
            </w:pPr>
            <w:r>
              <w:rPr>
                <w:rFonts w:ascii="Arial Narrow" w:hAnsi="Arial Narrow"/>
                <w:sz w:val="20"/>
                <w:szCs w:val="20"/>
              </w:rPr>
              <w:t>Higher score  = better health or less bodily pain</w:t>
            </w:r>
          </w:p>
        </w:tc>
      </w:tr>
    </w:tbl>
    <w:p w14:paraId="294FCE02" w14:textId="77777777" w:rsidR="00F47910" w:rsidRDefault="00F47910" w:rsidP="00F47910">
      <w:pPr>
        <w:pStyle w:val="Tablenote"/>
      </w:pPr>
      <w:r w:rsidRPr="00F47910">
        <w:t>Abbreviations:</w:t>
      </w:r>
      <w:r w:rsidRPr="00F47910">
        <w:rPr>
          <w:b/>
        </w:rPr>
        <w:t xml:space="preserve"> </w:t>
      </w:r>
      <w:r w:rsidRPr="00F47910">
        <w:t>CIDP = chronic inflammatory demyelinating polyneuropathy</w:t>
      </w:r>
      <w:r w:rsidRPr="00F47910">
        <w:rPr>
          <w:b/>
        </w:rPr>
        <w:t xml:space="preserve">; </w:t>
      </w:r>
      <w:r w:rsidRPr="00F47910">
        <w:t>EQ-5D = EuroQoL - dimension health profile, EQ-VAS = EuroQoL health status visual analogue scale; IRODS = Rasch-built Overall Disability Scale; IVIg = intravenous immunoglobulin; PRO = patient reported outcome; RFSS = modified Rasch-built Fatigue Severity Scale; SF-36 = 36-item short form health survey</w:t>
      </w:r>
    </w:p>
    <w:p w14:paraId="759EF6DE" w14:textId="77777777" w:rsidR="00F168A7" w:rsidRDefault="00F168A7" w:rsidP="00F168A7">
      <w:pPr>
        <w:jc w:val="both"/>
      </w:pPr>
      <w:r>
        <w:t xml:space="preserve">The change from baseline to end of randomisation phases using each of the tools was compared between treatment groups. Handgrip strength was measured in triplicate for both hands prior to each infusion. </w:t>
      </w:r>
      <w:r w:rsidR="00B8757B">
        <w:t>According to the study authors, h</w:t>
      </w:r>
      <w:r>
        <w:t xml:space="preserve">andgrip strength by vigorimeter is a simple measure that parallels or precedes improvement in the Inflammatory Neuropathy Cause and Treatment (INCAT) disability score. </w:t>
      </w:r>
      <w:r w:rsidR="00C224E9">
        <w:t>IRODS</w:t>
      </w:r>
      <w:r>
        <w:t xml:space="preserve"> and </w:t>
      </w:r>
      <w:r w:rsidR="00C224E9">
        <w:t>RFSS</w:t>
      </w:r>
      <w:r>
        <w:t xml:space="preserve"> questionnaires were completed after each infusion, and the SF-36 was completed four times in total. </w:t>
      </w:r>
    </w:p>
    <w:p w14:paraId="6E71A22D" w14:textId="0FF483EC" w:rsidR="00F168A7" w:rsidRDefault="00F168A7" w:rsidP="00F168A7">
      <w:pPr>
        <w:jc w:val="both"/>
      </w:pPr>
      <w:r>
        <w:t xml:space="preserve">There was no significant change from baseline for mean handgrip strength in either dosing regimen, </w:t>
      </w:r>
      <w:r w:rsidR="00B8757B">
        <w:t>and the outcome was</w:t>
      </w:r>
      <w:r>
        <w:t xml:space="preserve"> similar when change from baseline was compared between regimens. There were no significant differences between groups in the secondary measures, although interestingly, all components of the SF-36 showed a worsening trend with </w:t>
      </w:r>
      <w:r w:rsidR="00B8757B">
        <w:t xml:space="preserve">half dose </w:t>
      </w:r>
      <w:r w:rsidR="0033744F">
        <w:t xml:space="preserve">at half the </w:t>
      </w:r>
      <w:r w:rsidR="00B8757B">
        <w:t>interval</w:t>
      </w:r>
      <w:r>
        <w:t xml:space="preserve">. </w:t>
      </w:r>
      <w:r w:rsidR="0011698D">
        <w:t xml:space="preserve">The worse SF-36 results could not be explained by more frequent doses as both groups received the same number of infusions; the full dose and interval group received placebo on at half intervals. </w:t>
      </w:r>
      <w:r>
        <w:t>Change from baseline in outcomes were reported as the coefficient of difference between treatment regimens (</w:t>
      </w:r>
      <w:r>
        <w:fldChar w:fldCharType="begin"/>
      </w:r>
      <w:r>
        <w:instrText xml:space="preserve"> REF _Ref57288171 \h  \* MERGEFORMAT </w:instrText>
      </w:r>
      <w:r>
        <w:fldChar w:fldCharType="separate"/>
      </w:r>
      <w:r w:rsidR="004B3EA2">
        <w:t xml:space="preserve">Table </w:t>
      </w:r>
      <w:r w:rsidR="004B3EA2">
        <w:rPr>
          <w:noProof/>
        </w:rPr>
        <w:t>13</w:t>
      </w:r>
      <w:r>
        <w:fldChar w:fldCharType="end"/>
      </w:r>
      <w:r>
        <w:t>).</w:t>
      </w:r>
    </w:p>
    <w:p w14:paraId="1867782F" w14:textId="6146D3AA" w:rsidR="00F168A7" w:rsidRDefault="00F168A7" w:rsidP="00F168A7">
      <w:pPr>
        <w:pStyle w:val="Caption"/>
        <w:keepLines/>
      </w:pPr>
      <w:bookmarkStart w:id="174" w:name="_Ref57288171"/>
      <w:bookmarkStart w:id="175" w:name="_Toc69305654"/>
      <w:r>
        <w:t xml:space="preserve">Table </w:t>
      </w:r>
      <w:r w:rsidR="00003BA5">
        <w:fldChar w:fldCharType="begin"/>
      </w:r>
      <w:r w:rsidR="00003BA5">
        <w:instrText xml:space="preserve"> SEQ Table \* ARABIC </w:instrText>
      </w:r>
      <w:r w:rsidR="00003BA5">
        <w:fldChar w:fldCharType="separate"/>
      </w:r>
      <w:r w:rsidR="004B3EA2">
        <w:rPr>
          <w:noProof/>
        </w:rPr>
        <w:t>13</w:t>
      </w:r>
      <w:r w:rsidR="00003BA5">
        <w:rPr>
          <w:noProof/>
        </w:rPr>
        <w:fldChar w:fldCharType="end"/>
      </w:r>
      <w:bookmarkEnd w:id="174"/>
      <w:r w:rsidR="001155A7">
        <w:rPr>
          <w:noProof/>
        </w:rPr>
        <w:tab/>
      </w:r>
      <w:r>
        <w:t>Comparison of efficacy of regular IVI</w:t>
      </w:r>
      <w:r w:rsidR="001155A7">
        <w:t>g</w:t>
      </w:r>
      <w:r>
        <w:t xml:space="preserve"> dose and interval and half IVIg dose </w:t>
      </w:r>
      <w:r w:rsidR="00500104">
        <w:t xml:space="preserve">at half the </w:t>
      </w:r>
      <w:r>
        <w:t>interval</w:t>
      </w:r>
      <w:bookmarkEnd w:id="175"/>
    </w:p>
    <w:tbl>
      <w:tblPr>
        <w:tblStyle w:val="TableGrid"/>
        <w:tblW w:w="0" w:type="auto"/>
        <w:tblLook w:val="04A0" w:firstRow="1" w:lastRow="0" w:firstColumn="1" w:lastColumn="0" w:noHBand="0" w:noVBand="1"/>
        <w:tblCaption w:val="Comparison of efficacy of regular IVIg dose and interval and half IVIg dose at half the interval"/>
        <w:tblDescription w:val="Comparison of efficacy of regular IVIg dose and interval and half IVIg dose at half the interval"/>
      </w:tblPr>
      <w:tblGrid>
        <w:gridCol w:w="2689"/>
        <w:gridCol w:w="1984"/>
        <w:gridCol w:w="2089"/>
        <w:gridCol w:w="2164"/>
      </w:tblGrid>
      <w:tr w:rsidR="00F168A7" w:rsidRPr="005D7CBC" w14:paraId="60348B45" w14:textId="77777777" w:rsidTr="00BB43B6">
        <w:trPr>
          <w:tblHeader/>
        </w:trPr>
        <w:tc>
          <w:tcPr>
            <w:tcW w:w="2689" w:type="dxa"/>
          </w:tcPr>
          <w:p w14:paraId="547A62D6" w14:textId="77777777" w:rsidR="00F168A7" w:rsidRPr="005D7CBC" w:rsidRDefault="00F168A7" w:rsidP="00F168A7">
            <w:pPr>
              <w:keepNext/>
              <w:keepLines/>
              <w:spacing w:before="40" w:after="40" w:line="240" w:lineRule="auto"/>
              <w:ind w:left="0"/>
              <w:rPr>
                <w:rFonts w:ascii="Arial Narrow" w:hAnsi="Arial Narrow"/>
                <w:b/>
              </w:rPr>
            </w:pPr>
            <w:r>
              <w:rPr>
                <w:rFonts w:ascii="Arial Narrow" w:hAnsi="Arial Narrow"/>
                <w:b/>
              </w:rPr>
              <w:t>Outcome</w:t>
            </w:r>
          </w:p>
        </w:tc>
        <w:tc>
          <w:tcPr>
            <w:tcW w:w="1984" w:type="dxa"/>
          </w:tcPr>
          <w:p w14:paraId="762E9BAF" w14:textId="77777777" w:rsidR="00F168A7" w:rsidRPr="005D7CBC" w:rsidRDefault="00F168A7" w:rsidP="00F168A7">
            <w:pPr>
              <w:keepNext/>
              <w:keepLines/>
              <w:spacing w:before="40" w:after="40" w:line="240" w:lineRule="auto"/>
              <w:ind w:left="0"/>
              <w:rPr>
                <w:rFonts w:ascii="Arial Narrow" w:hAnsi="Arial Narrow"/>
                <w:b/>
              </w:rPr>
            </w:pPr>
            <w:r>
              <w:rPr>
                <w:rFonts w:ascii="Arial Narrow" w:hAnsi="Arial Narrow"/>
                <w:b/>
              </w:rPr>
              <w:t>Coefficient</w:t>
            </w:r>
          </w:p>
        </w:tc>
        <w:tc>
          <w:tcPr>
            <w:tcW w:w="2089" w:type="dxa"/>
          </w:tcPr>
          <w:p w14:paraId="751770A6" w14:textId="77777777" w:rsidR="00F168A7" w:rsidRPr="005D7CBC" w:rsidRDefault="00F168A7" w:rsidP="00F168A7">
            <w:pPr>
              <w:keepNext/>
              <w:keepLines/>
              <w:spacing w:before="40" w:after="40" w:line="240" w:lineRule="auto"/>
              <w:ind w:left="0"/>
              <w:rPr>
                <w:rFonts w:ascii="Arial Narrow" w:hAnsi="Arial Narrow"/>
                <w:b/>
              </w:rPr>
            </w:pPr>
            <w:r>
              <w:rPr>
                <w:rFonts w:ascii="Arial Narrow" w:hAnsi="Arial Narrow"/>
                <w:b/>
              </w:rPr>
              <w:t>95%CI</w:t>
            </w:r>
          </w:p>
        </w:tc>
        <w:tc>
          <w:tcPr>
            <w:tcW w:w="2164" w:type="dxa"/>
          </w:tcPr>
          <w:p w14:paraId="1F4975AF" w14:textId="77777777" w:rsidR="00F168A7" w:rsidRPr="005D7CBC" w:rsidRDefault="00F168A7" w:rsidP="00F168A7">
            <w:pPr>
              <w:keepNext/>
              <w:keepLines/>
              <w:spacing w:before="40" w:after="40" w:line="240" w:lineRule="auto"/>
              <w:ind w:left="0"/>
              <w:rPr>
                <w:rFonts w:ascii="Arial Narrow" w:hAnsi="Arial Narrow"/>
                <w:b/>
              </w:rPr>
            </w:pPr>
            <w:r>
              <w:rPr>
                <w:rFonts w:ascii="Arial Narrow" w:hAnsi="Arial Narrow"/>
                <w:b/>
              </w:rPr>
              <w:t>p</w:t>
            </w:r>
          </w:p>
        </w:tc>
      </w:tr>
      <w:tr w:rsidR="00F168A7" w:rsidRPr="005D7CBC" w14:paraId="545D104B" w14:textId="77777777" w:rsidTr="00F168A7">
        <w:tc>
          <w:tcPr>
            <w:tcW w:w="2689" w:type="dxa"/>
          </w:tcPr>
          <w:p w14:paraId="5ACFC7F5" w14:textId="77777777" w:rsidR="00F168A7" w:rsidRPr="005D7CBC" w:rsidRDefault="00F168A7" w:rsidP="00222E51">
            <w:pPr>
              <w:pStyle w:val="Tablecontents"/>
            </w:pPr>
            <w:r>
              <w:t>Vigorimeter score (kPa)</w:t>
            </w:r>
          </w:p>
        </w:tc>
        <w:tc>
          <w:tcPr>
            <w:tcW w:w="1984" w:type="dxa"/>
          </w:tcPr>
          <w:p w14:paraId="7036DF70" w14:textId="77777777" w:rsidR="00F168A7" w:rsidRPr="005D7CBC" w:rsidRDefault="00F168A7" w:rsidP="00143697">
            <w:pPr>
              <w:pStyle w:val="Tablecontents"/>
              <w:jc w:val="center"/>
            </w:pPr>
            <w:r>
              <w:t>-2.71</w:t>
            </w:r>
          </w:p>
        </w:tc>
        <w:tc>
          <w:tcPr>
            <w:tcW w:w="2089" w:type="dxa"/>
          </w:tcPr>
          <w:p w14:paraId="0426B8F0" w14:textId="77777777" w:rsidR="00F168A7" w:rsidRPr="005D7CBC" w:rsidRDefault="00F168A7" w:rsidP="00143697">
            <w:pPr>
              <w:pStyle w:val="Tablecontents"/>
              <w:jc w:val="center"/>
            </w:pPr>
            <w:r>
              <w:t>-5.4, 0.01</w:t>
            </w:r>
          </w:p>
        </w:tc>
        <w:tc>
          <w:tcPr>
            <w:tcW w:w="2164" w:type="dxa"/>
          </w:tcPr>
          <w:p w14:paraId="5C917C5E" w14:textId="77777777" w:rsidR="00F168A7" w:rsidRPr="005D7CBC" w:rsidRDefault="00F168A7" w:rsidP="00143697">
            <w:pPr>
              <w:pStyle w:val="Tablecontents"/>
              <w:jc w:val="center"/>
            </w:pPr>
            <w:r>
              <w:t>0.07</w:t>
            </w:r>
          </w:p>
        </w:tc>
      </w:tr>
      <w:tr w:rsidR="00F168A7" w:rsidRPr="005D7CBC" w14:paraId="67B5DDDF" w14:textId="77777777" w:rsidTr="00F168A7">
        <w:tc>
          <w:tcPr>
            <w:tcW w:w="2689" w:type="dxa"/>
          </w:tcPr>
          <w:p w14:paraId="1146E78A" w14:textId="77777777" w:rsidR="00F168A7" w:rsidRPr="005D7CBC" w:rsidRDefault="00C224E9" w:rsidP="00222E51">
            <w:pPr>
              <w:pStyle w:val="Tablecontents"/>
            </w:pPr>
            <w:r>
              <w:t>RFSS</w:t>
            </w:r>
          </w:p>
        </w:tc>
        <w:tc>
          <w:tcPr>
            <w:tcW w:w="1984" w:type="dxa"/>
          </w:tcPr>
          <w:p w14:paraId="682D47E3" w14:textId="77777777" w:rsidR="00F168A7" w:rsidRPr="005D7CBC" w:rsidRDefault="00F168A7" w:rsidP="00143697">
            <w:pPr>
              <w:pStyle w:val="Tablecontents"/>
              <w:jc w:val="center"/>
            </w:pPr>
            <w:r>
              <w:t>-0.01</w:t>
            </w:r>
          </w:p>
        </w:tc>
        <w:tc>
          <w:tcPr>
            <w:tcW w:w="2089" w:type="dxa"/>
          </w:tcPr>
          <w:p w14:paraId="2C2BB67E" w14:textId="77777777" w:rsidR="00F168A7" w:rsidRPr="005D7CBC" w:rsidRDefault="00F168A7" w:rsidP="00143697">
            <w:pPr>
              <w:pStyle w:val="Tablecontents"/>
              <w:jc w:val="center"/>
            </w:pPr>
            <w:r>
              <w:t>-0.2, 0.2</w:t>
            </w:r>
          </w:p>
        </w:tc>
        <w:tc>
          <w:tcPr>
            <w:tcW w:w="2164" w:type="dxa"/>
          </w:tcPr>
          <w:p w14:paraId="2404D040" w14:textId="77777777" w:rsidR="00F168A7" w:rsidRPr="005D7CBC" w:rsidRDefault="00F168A7" w:rsidP="00143697">
            <w:pPr>
              <w:pStyle w:val="Tablecontents"/>
              <w:jc w:val="center"/>
            </w:pPr>
            <w:r>
              <w:t>0.90</w:t>
            </w:r>
          </w:p>
        </w:tc>
      </w:tr>
      <w:tr w:rsidR="00F168A7" w:rsidRPr="005D7CBC" w14:paraId="3290C516" w14:textId="77777777" w:rsidTr="00171CCE">
        <w:trPr>
          <w:trHeight w:val="58"/>
        </w:trPr>
        <w:tc>
          <w:tcPr>
            <w:tcW w:w="2689" w:type="dxa"/>
          </w:tcPr>
          <w:p w14:paraId="470D9DCF" w14:textId="77777777" w:rsidR="00F168A7" w:rsidRPr="005D7CBC" w:rsidRDefault="00C224E9" w:rsidP="00222E51">
            <w:pPr>
              <w:pStyle w:val="Tablecontents"/>
            </w:pPr>
            <w:r>
              <w:t>IRODS</w:t>
            </w:r>
          </w:p>
        </w:tc>
        <w:tc>
          <w:tcPr>
            <w:tcW w:w="1984" w:type="dxa"/>
          </w:tcPr>
          <w:p w14:paraId="706BFA51" w14:textId="77777777" w:rsidR="00F168A7" w:rsidRPr="005D7CBC" w:rsidRDefault="00F168A7" w:rsidP="00143697">
            <w:pPr>
              <w:pStyle w:val="Tablecontents"/>
              <w:jc w:val="center"/>
            </w:pPr>
            <w:r>
              <w:t>-0.02</w:t>
            </w:r>
          </w:p>
        </w:tc>
        <w:tc>
          <w:tcPr>
            <w:tcW w:w="2089" w:type="dxa"/>
          </w:tcPr>
          <w:p w14:paraId="796EF9BF" w14:textId="77777777" w:rsidR="00F168A7" w:rsidRPr="005D7CBC" w:rsidRDefault="00F168A7" w:rsidP="00143697">
            <w:pPr>
              <w:pStyle w:val="Tablecontents"/>
              <w:jc w:val="center"/>
            </w:pPr>
            <w:r>
              <w:t>-0.4, 0.4</w:t>
            </w:r>
          </w:p>
        </w:tc>
        <w:tc>
          <w:tcPr>
            <w:tcW w:w="2164" w:type="dxa"/>
          </w:tcPr>
          <w:p w14:paraId="31700C33" w14:textId="77777777" w:rsidR="00F168A7" w:rsidRPr="005D7CBC" w:rsidRDefault="00F168A7" w:rsidP="00143697">
            <w:pPr>
              <w:pStyle w:val="Tablecontents"/>
              <w:jc w:val="center"/>
            </w:pPr>
            <w:r>
              <w:t>0.93</w:t>
            </w:r>
          </w:p>
        </w:tc>
      </w:tr>
      <w:tr w:rsidR="00F168A7" w:rsidRPr="005D7CBC" w14:paraId="4B0C3E34" w14:textId="77777777" w:rsidTr="00F168A7">
        <w:tc>
          <w:tcPr>
            <w:tcW w:w="2689" w:type="dxa"/>
          </w:tcPr>
          <w:p w14:paraId="76E5BE8C" w14:textId="77777777" w:rsidR="00F168A7" w:rsidRDefault="00F168A7" w:rsidP="00222E51">
            <w:pPr>
              <w:pStyle w:val="Tablecontents"/>
            </w:pPr>
            <w:r>
              <w:t>SF-36</w:t>
            </w:r>
          </w:p>
          <w:p w14:paraId="66CBEDBA" w14:textId="77777777" w:rsidR="00F168A7" w:rsidRDefault="00F168A7" w:rsidP="00222E51">
            <w:pPr>
              <w:pStyle w:val="Tablecontents"/>
            </w:pPr>
            <w:r>
              <w:t>Physical functioning</w:t>
            </w:r>
          </w:p>
          <w:p w14:paraId="386BF5ED" w14:textId="77777777" w:rsidR="00F168A7" w:rsidRDefault="00F168A7" w:rsidP="00222E51">
            <w:pPr>
              <w:pStyle w:val="Tablecontents"/>
            </w:pPr>
            <w:r>
              <w:t>Role-physical</w:t>
            </w:r>
          </w:p>
          <w:p w14:paraId="20C65A85" w14:textId="77777777" w:rsidR="00F168A7" w:rsidRDefault="00F168A7" w:rsidP="00222E51">
            <w:pPr>
              <w:pStyle w:val="Tablecontents"/>
            </w:pPr>
            <w:r>
              <w:t>Bodily pain</w:t>
            </w:r>
          </w:p>
          <w:p w14:paraId="748B567D" w14:textId="77777777" w:rsidR="00F168A7" w:rsidRDefault="00F168A7" w:rsidP="00222E51">
            <w:pPr>
              <w:pStyle w:val="Tablecontents"/>
            </w:pPr>
            <w:r>
              <w:t>General health</w:t>
            </w:r>
          </w:p>
          <w:p w14:paraId="2081DFC4" w14:textId="77777777" w:rsidR="00F168A7" w:rsidRDefault="00F168A7" w:rsidP="00222E51">
            <w:pPr>
              <w:pStyle w:val="Tablecontents"/>
            </w:pPr>
            <w:r>
              <w:t>Vitality</w:t>
            </w:r>
          </w:p>
          <w:p w14:paraId="31721A7A" w14:textId="77777777" w:rsidR="00F168A7" w:rsidRDefault="00F168A7" w:rsidP="00222E51">
            <w:pPr>
              <w:pStyle w:val="Tablecontents"/>
            </w:pPr>
            <w:r>
              <w:t>Social functioning</w:t>
            </w:r>
          </w:p>
          <w:p w14:paraId="016E7D9C" w14:textId="77777777" w:rsidR="00F168A7" w:rsidRDefault="00F168A7" w:rsidP="00222E51">
            <w:pPr>
              <w:pStyle w:val="Tablecontents"/>
            </w:pPr>
            <w:r>
              <w:t>Role emotional functioning</w:t>
            </w:r>
          </w:p>
          <w:p w14:paraId="06D5817F" w14:textId="77777777" w:rsidR="00F168A7" w:rsidRPr="005D7CBC" w:rsidRDefault="00F168A7" w:rsidP="00222E51">
            <w:pPr>
              <w:pStyle w:val="Tablecontents"/>
            </w:pPr>
            <w:r>
              <w:t>Mental health score</w:t>
            </w:r>
          </w:p>
        </w:tc>
        <w:tc>
          <w:tcPr>
            <w:tcW w:w="1984" w:type="dxa"/>
          </w:tcPr>
          <w:p w14:paraId="47D5A4FA" w14:textId="77777777" w:rsidR="00F168A7" w:rsidRDefault="00F168A7" w:rsidP="00143697">
            <w:pPr>
              <w:pStyle w:val="Tablecontents"/>
              <w:jc w:val="center"/>
            </w:pPr>
          </w:p>
          <w:p w14:paraId="6A26E6DE" w14:textId="77777777" w:rsidR="00F168A7" w:rsidRDefault="00F168A7" w:rsidP="00143697">
            <w:pPr>
              <w:pStyle w:val="Tablecontents"/>
              <w:jc w:val="center"/>
            </w:pPr>
            <w:r>
              <w:t>-2.98</w:t>
            </w:r>
          </w:p>
          <w:p w14:paraId="7173C549" w14:textId="77777777" w:rsidR="00F168A7" w:rsidRDefault="00F168A7" w:rsidP="00143697">
            <w:pPr>
              <w:pStyle w:val="Tablecontents"/>
              <w:jc w:val="center"/>
            </w:pPr>
            <w:r>
              <w:t>-5.32</w:t>
            </w:r>
          </w:p>
          <w:p w14:paraId="01647E47" w14:textId="77777777" w:rsidR="00F168A7" w:rsidRDefault="00F168A7" w:rsidP="00143697">
            <w:pPr>
              <w:pStyle w:val="Tablecontents"/>
              <w:jc w:val="center"/>
            </w:pPr>
            <w:r>
              <w:t>-0.77</w:t>
            </w:r>
          </w:p>
          <w:p w14:paraId="074D2DE8" w14:textId="77777777" w:rsidR="00F168A7" w:rsidRDefault="00F168A7" w:rsidP="00143697">
            <w:pPr>
              <w:pStyle w:val="Tablecontents"/>
              <w:jc w:val="center"/>
            </w:pPr>
            <w:r>
              <w:t>-0.28</w:t>
            </w:r>
          </w:p>
          <w:p w14:paraId="36E6D508" w14:textId="77777777" w:rsidR="00F168A7" w:rsidRDefault="00F168A7" w:rsidP="00143697">
            <w:pPr>
              <w:pStyle w:val="Tablecontents"/>
              <w:jc w:val="center"/>
            </w:pPr>
            <w:r>
              <w:t>-3.48</w:t>
            </w:r>
          </w:p>
          <w:p w14:paraId="50875847" w14:textId="77777777" w:rsidR="00F168A7" w:rsidRDefault="00F168A7" w:rsidP="00143697">
            <w:pPr>
              <w:pStyle w:val="Tablecontents"/>
              <w:jc w:val="center"/>
            </w:pPr>
            <w:r>
              <w:t>-3.70</w:t>
            </w:r>
          </w:p>
          <w:p w14:paraId="73527F25" w14:textId="77777777" w:rsidR="00F168A7" w:rsidRDefault="00F168A7" w:rsidP="00143697">
            <w:pPr>
              <w:pStyle w:val="Tablecontents"/>
              <w:jc w:val="center"/>
            </w:pPr>
            <w:r>
              <w:t>-4.40</w:t>
            </w:r>
          </w:p>
          <w:p w14:paraId="3EE4A919" w14:textId="77777777" w:rsidR="00F168A7" w:rsidRPr="005D7CBC" w:rsidRDefault="00F168A7" w:rsidP="00143697">
            <w:pPr>
              <w:pStyle w:val="Tablecontents"/>
              <w:jc w:val="center"/>
            </w:pPr>
            <w:r>
              <w:t>-4.22</w:t>
            </w:r>
          </w:p>
        </w:tc>
        <w:tc>
          <w:tcPr>
            <w:tcW w:w="2089" w:type="dxa"/>
          </w:tcPr>
          <w:p w14:paraId="65380B42" w14:textId="77777777" w:rsidR="00F168A7" w:rsidRDefault="00F168A7" w:rsidP="00143697">
            <w:pPr>
              <w:pStyle w:val="Tablecontents"/>
              <w:jc w:val="center"/>
            </w:pPr>
          </w:p>
          <w:p w14:paraId="3214C163" w14:textId="77777777" w:rsidR="00F168A7" w:rsidRDefault="00F168A7" w:rsidP="00143697">
            <w:pPr>
              <w:pStyle w:val="Tablecontents"/>
              <w:jc w:val="center"/>
            </w:pPr>
            <w:r>
              <w:t>-8.0, 2.1</w:t>
            </w:r>
          </w:p>
          <w:p w14:paraId="614BC7B5" w14:textId="77777777" w:rsidR="00F168A7" w:rsidRDefault="00F168A7" w:rsidP="00143697">
            <w:pPr>
              <w:pStyle w:val="Tablecontents"/>
              <w:jc w:val="center"/>
            </w:pPr>
            <w:r>
              <w:t>-12, 1.3</w:t>
            </w:r>
          </w:p>
          <w:p w14:paraId="3339554E" w14:textId="77777777" w:rsidR="00F168A7" w:rsidRDefault="00F168A7" w:rsidP="00143697">
            <w:pPr>
              <w:pStyle w:val="Tablecontents"/>
              <w:jc w:val="center"/>
            </w:pPr>
            <w:r>
              <w:t>-22, 21</w:t>
            </w:r>
          </w:p>
          <w:p w14:paraId="398A500D" w14:textId="77777777" w:rsidR="00F168A7" w:rsidRDefault="00F168A7" w:rsidP="00143697">
            <w:pPr>
              <w:pStyle w:val="Tablecontents"/>
              <w:jc w:val="center"/>
            </w:pPr>
            <w:r>
              <w:t>-10, 9.4</w:t>
            </w:r>
          </w:p>
          <w:p w14:paraId="0A2DDDD7" w14:textId="77777777" w:rsidR="00F168A7" w:rsidRDefault="00F168A7" w:rsidP="00143697">
            <w:pPr>
              <w:pStyle w:val="Tablecontents"/>
              <w:jc w:val="center"/>
            </w:pPr>
            <w:r>
              <w:t>-7.3, 0.3</w:t>
            </w:r>
          </w:p>
          <w:p w14:paraId="1CA42FCA" w14:textId="77777777" w:rsidR="00F168A7" w:rsidRDefault="00F168A7" w:rsidP="00143697">
            <w:pPr>
              <w:pStyle w:val="Tablecontents"/>
              <w:jc w:val="center"/>
            </w:pPr>
            <w:r>
              <w:t>-15, 8.2</w:t>
            </w:r>
          </w:p>
          <w:p w14:paraId="61CA1213" w14:textId="77777777" w:rsidR="00F168A7" w:rsidRDefault="00F168A7" w:rsidP="00143697">
            <w:pPr>
              <w:pStyle w:val="Tablecontents"/>
              <w:jc w:val="center"/>
            </w:pPr>
            <w:r>
              <w:t>-13, 4.1</w:t>
            </w:r>
          </w:p>
          <w:p w14:paraId="20245DDD" w14:textId="77777777" w:rsidR="00F168A7" w:rsidRPr="005D7CBC" w:rsidRDefault="00F168A7" w:rsidP="00143697">
            <w:pPr>
              <w:pStyle w:val="Tablecontents"/>
              <w:jc w:val="center"/>
            </w:pPr>
            <w:r>
              <w:t>-10, 2.2</w:t>
            </w:r>
          </w:p>
        </w:tc>
        <w:tc>
          <w:tcPr>
            <w:tcW w:w="2164" w:type="dxa"/>
          </w:tcPr>
          <w:p w14:paraId="2E319D89" w14:textId="77777777" w:rsidR="00F168A7" w:rsidRDefault="00F168A7" w:rsidP="00143697">
            <w:pPr>
              <w:pStyle w:val="Tablecontents"/>
              <w:jc w:val="center"/>
            </w:pPr>
          </w:p>
          <w:p w14:paraId="407557BA" w14:textId="77777777" w:rsidR="00F168A7" w:rsidRDefault="00F168A7" w:rsidP="00143697">
            <w:pPr>
              <w:pStyle w:val="Tablecontents"/>
              <w:jc w:val="center"/>
            </w:pPr>
            <w:r>
              <w:t>0.25</w:t>
            </w:r>
          </w:p>
          <w:p w14:paraId="70B354EE" w14:textId="77777777" w:rsidR="00F168A7" w:rsidRDefault="00F168A7" w:rsidP="00143697">
            <w:pPr>
              <w:pStyle w:val="Tablecontents"/>
              <w:jc w:val="center"/>
            </w:pPr>
            <w:r>
              <w:t>0.13</w:t>
            </w:r>
          </w:p>
          <w:p w14:paraId="2ACE30EA" w14:textId="77777777" w:rsidR="00F168A7" w:rsidRDefault="00F168A7" w:rsidP="00143697">
            <w:pPr>
              <w:pStyle w:val="Tablecontents"/>
              <w:jc w:val="center"/>
            </w:pPr>
            <w:r>
              <w:t>0.95</w:t>
            </w:r>
          </w:p>
          <w:p w14:paraId="43373DA0" w14:textId="77777777" w:rsidR="00F168A7" w:rsidRDefault="00F168A7" w:rsidP="00143697">
            <w:pPr>
              <w:pStyle w:val="Tablecontents"/>
              <w:jc w:val="center"/>
            </w:pPr>
            <w:r>
              <w:t>0.96</w:t>
            </w:r>
          </w:p>
          <w:p w14:paraId="3943FAF1" w14:textId="77777777" w:rsidR="00F168A7" w:rsidRDefault="00F168A7" w:rsidP="00143697">
            <w:pPr>
              <w:pStyle w:val="Tablecontents"/>
              <w:jc w:val="center"/>
            </w:pPr>
            <w:r>
              <w:t>0.08</w:t>
            </w:r>
          </w:p>
          <w:p w14:paraId="7FFEC4E4" w14:textId="77777777" w:rsidR="00F168A7" w:rsidRDefault="00F168A7" w:rsidP="00143697">
            <w:pPr>
              <w:pStyle w:val="Tablecontents"/>
              <w:jc w:val="center"/>
            </w:pPr>
            <w:r>
              <w:t>0.55</w:t>
            </w:r>
          </w:p>
          <w:p w14:paraId="6BD45AC2" w14:textId="77777777" w:rsidR="00F168A7" w:rsidRDefault="00F168A7" w:rsidP="00143697">
            <w:pPr>
              <w:pStyle w:val="Tablecontents"/>
              <w:jc w:val="center"/>
            </w:pPr>
            <w:r>
              <w:t>0.32</w:t>
            </w:r>
          </w:p>
          <w:p w14:paraId="4CAAAF19" w14:textId="77777777" w:rsidR="00F168A7" w:rsidRPr="005D7CBC" w:rsidRDefault="00F168A7" w:rsidP="00143697">
            <w:pPr>
              <w:pStyle w:val="Tablecontents"/>
              <w:jc w:val="center"/>
            </w:pPr>
            <w:r>
              <w:t>0.22</w:t>
            </w:r>
          </w:p>
        </w:tc>
      </w:tr>
    </w:tbl>
    <w:p w14:paraId="2FBB2EDA" w14:textId="77777777" w:rsidR="001155A7" w:rsidRDefault="001155A7" w:rsidP="001155A7">
      <w:pPr>
        <w:pStyle w:val="Tablenote"/>
      </w:pPr>
      <w:r w:rsidRPr="003C553E">
        <w:t>Abbreviations: CI = confidence interval; IRODS = Rasch-built Overall Disability Score; IVIg = intravenous immunoglobulin therapy; RFSS = modified Rasch-built Fatigue Severity Scale; SF-36 = 36-item Short-Form health survey</w:t>
      </w:r>
    </w:p>
    <w:p w14:paraId="3B01327E" w14:textId="77777777" w:rsidR="00835A20" w:rsidRDefault="005D7CBC" w:rsidP="005D7CBC">
      <w:pPr>
        <w:pStyle w:val="Heading3"/>
      </w:pPr>
      <w:bookmarkStart w:id="176" w:name="_Toc69305560"/>
      <w:r>
        <w:t>SCIg (0.2 g/kg) compared with SCIg (0.4 g/</w:t>
      </w:r>
      <w:r w:rsidR="00BA516C">
        <w:t>k</w:t>
      </w:r>
      <w:r>
        <w:t>g) and placebo</w:t>
      </w:r>
      <w:r w:rsidR="00BA516C">
        <w:t xml:space="preserve"> in CIDP patients stabilised on IVIg</w:t>
      </w:r>
      <w:bookmarkEnd w:id="176"/>
    </w:p>
    <w:p w14:paraId="37FAE8AF" w14:textId="7079813F" w:rsidR="005D7CBC" w:rsidRDefault="005D7CBC" w:rsidP="00192373">
      <w:pPr>
        <w:jc w:val="both"/>
      </w:pPr>
      <w:r>
        <w:t xml:space="preserve">Hartung et al </w:t>
      </w:r>
      <w:r w:rsidR="00E72692">
        <w:t xml:space="preserve">(2019) </w:t>
      </w:r>
      <w:r w:rsidR="003E02DC">
        <w:t>reported on the PATH trial</w:t>
      </w:r>
      <w:bookmarkStart w:id="177" w:name="_Ref57652093"/>
      <w:r w:rsidR="003E02DC">
        <w:rPr>
          <w:rStyle w:val="FootnoteReference"/>
        </w:rPr>
        <w:footnoteReference w:id="4"/>
      </w:r>
      <w:bookmarkEnd w:id="177"/>
      <w:r w:rsidR="003D3775">
        <w:t xml:space="preserve">, </w:t>
      </w:r>
      <w:r>
        <w:t>assess</w:t>
      </w:r>
      <w:r w:rsidR="003E02DC">
        <w:t>ing</w:t>
      </w:r>
      <w:r>
        <w:t xml:space="preserve"> </w:t>
      </w:r>
      <w:r w:rsidR="00E72692">
        <w:t>QoL and other PROs in subjects who relapsed during the I</w:t>
      </w:r>
      <w:r w:rsidR="003E02DC">
        <w:t>g</w:t>
      </w:r>
      <w:r w:rsidR="00E72692">
        <w:t xml:space="preserve"> dependency phase and successfully re-stabilised on IVIg. Re-stabilisation was invoked using an induction dose of 2 g/kg followed by 1 g/kg every 3 weeks as a maintenance dose of IgPro10 (Privigen</w:t>
      </w:r>
      <w:r w:rsidR="00E72692">
        <w:rPr>
          <w:rFonts w:cs="Calibri"/>
        </w:rPr>
        <w:t>®</w:t>
      </w:r>
      <w:r w:rsidR="00E72692">
        <w:t xml:space="preserve">, CSL Behring). Stabilised subjects </w:t>
      </w:r>
      <w:r w:rsidR="00585BF7">
        <w:t xml:space="preserve">(n = 172) </w:t>
      </w:r>
      <w:r w:rsidR="00E72692">
        <w:t>were randomised 1:1:1 to 20% SCIg 0.2 g/kg, 0.4 g/kg, or placebo.</w:t>
      </w:r>
      <w:r w:rsidR="00142C91">
        <w:t xml:space="preserve"> </w:t>
      </w:r>
    </w:p>
    <w:p w14:paraId="2FBD6468" w14:textId="43CB82F3" w:rsidR="005D7CBC" w:rsidRDefault="00E72692" w:rsidP="00192373">
      <w:pPr>
        <w:jc w:val="both"/>
      </w:pPr>
      <w:r>
        <w:t>Standardised tools were used to measure QoL</w:t>
      </w:r>
      <w:r w:rsidR="003D3775">
        <w:t xml:space="preserve"> and </w:t>
      </w:r>
      <w:r>
        <w:t xml:space="preserve">health status (EuroQoL </w:t>
      </w:r>
      <w:r w:rsidR="008C3FE3">
        <w:t xml:space="preserve">- </w:t>
      </w:r>
      <w:r>
        <w:t>dimension health profile and visual analogue scale, EQ-5D</w:t>
      </w:r>
      <w:r w:rsidR="00AE71A6">
        <w:t xml:space="preserve"> and EQ-VAS</w:t>
      </w:r>
      <w:r>
        <w:t>), treatment satisfaction</w:t>
      </w:r>
      <w:r w:rsidR="008C3FE3">
        <w:t xml:space="preserve"> (Treatment Satisfaction Questionnaire for Medicine, TQSM), and work related impact (Work Productivity and Activity Impairment Questionnaire for General Health (WPAI-GH)</w:t>
      </w:r>
      <w:r w:rsidR="00DF1BB6">
        <w:t>)</w:t>
      </w:r>
      <w:r w:rsidR="008C3FE3">
        <w:t>.</w:t>
      </w:r>
      <w:r w:rsidR="00AE71A6">
        <w:t xml:space="preserve"> Components of the tools and </w:t>
      </w:r>
      <w:r w:rsidR="00824543">
        <w:t>scales</w:t>
      </w:r>
      <w:r w:rsidR="00AE71A6">
        <w:t xml:space="preserve"> are described in </w:t>
      </w:r>
      <w:r w:rsidR="00921204">
        <w:fldChar w:fldCharType="begin"/>
      </w:r>
      <w:r w:rsidR="00921204">
        <w:instrText xml:space="preserve"> REF _Ref57206665 \h </w:instrText>
      </w:r>
      <w:r w:rsidR="00921204">
        <w:fldChar w:fldCharType="separate"/>
      </w:r>
      <w:r w:rsidR="004B3EA2">
        <w:t xml:space="preserve">Table </w:t>
      </w:r>
      <w:r w:rsidR="004B3EA2">
        <w:rPr>
          <w:noProof/>
        </w:rPr>
        <w:t>14</w:t>
      </w:r>
      <w:r w:rsidR="00921204">
        <w:fldChar w:fldCharType="end"/>
      </w:r>
      <w:r w:rsidR="00921204">
        <w:t>.</w:t>
      </w:r>
    </w:p>
    <w:p w14:paraId="0FC1B3AA" w14:textId="6E6650DB" w:rsidR="00AE71A6" w:rsidRDefault="00AE71A6" w:rsidP="00AE71A6">
      <w:pPr>
        <w:pStyle w:val="Caption"/>
      </w:pPr>
      <w:bookmarkStart w:id="178" w:name="_Ref57206665"/>
      <w:bookmarkStart w:id="179" w:name="_Toc69305655"/>
      <w:r>
        <w:t xml:space="preserve">Table </w:t>
      </w:r>
      <w:r w:rsidR="00003BA5">
        <w:fldChar w:fldCharType="begin"/>
      </w:r>
      <w:r w:rsidR="00003BA5">
        <w:instrText xml:space="preserve"> SEQ Table \* ARABIC </w:instrText>
      </w:r>
      <w:r w:rsidR="00003BA5">
        <w:fldChar w:fldCharType="separate"/>
      </w:r>
      <w:r w:rsidR="004B3EA2">
        <w:rPr>
          <w:noProof/>
        </w:rPr>
        <w:t>14</w:t>
      </w:r>
      <w:r w:rsidR="00003BA5">
        <w:rPr>
          <w:noProof/>
        </w:rPr>
        <w:fldChar w:fldCharType="end"/>
      </w:r>
      <w:bookmarkEnd w:id="178"/>
      <w:r>
        <w:tab/>
      </w:r>
      <w:r w:rsidR="001155A7">
        <w:tab/>
      </w:r>
      <w:r w:rsidR="00921204">
        <w:t>PRO measurement tools</w:t>
      </w:r>
      <w:bookmarkEnd w:id="179"/>
    </w:p>
    <w:tbl>
      <w:tblPr>
        <w:tblStyle w:val="TableGrid"/>
        <w:tblW w:w="0" w:type="auto"/>
        <w:tblLook w:val="04A0" w:firstRow="1" w:lastRow="0" w:firstColumn="1" w:lastColumn="0" w:noHBand="0" w:noVBand="1"/>
        <w:tblCaption w:val="PRO measurement tools"/>
        <w:tblDescription w:val="PRO measurement tools"/>
      </w:tblPr>
      <w:tblGrid>
        <w:gridCol w:w="2254"/>
        <w:gridCol w:w="2254"/>
        <w:gridCol w:w="1724"/>
        <w:gridCol w:w="2784"/>
      </w:tblGrid>
      <w:tr w:rsidR="00AE71A6" w:rsidRPr="00921204" w14:paraId="120D319E" w14:textId="77777777" w:rsidTr="00BB43B6">
        <w:trPr>
          <w:tblHeader/>
        </w:trPr>
        <w:tc>
          <w:tcPr>
            <w:tcW w:w="2254" w:type="dxa"/>
          </w:tcPr>
          <w:p w14:paraId="151637FC" w14:textId="77777777" w:rsidR="00AE71A6" w:rsidRPr="00921204" w:rsidRDefault="00C900F8" w:rsidP="00381551">
            <w:pPr>
              <w:spacing w:before="40" w:after="40" w:line="240" w:lineRule="auto"/>
              <w:ind w:left="0"/>
              <w:rPr>
                <w:rFonts w:ascii="Arial Narrow" w:hAnsi="Arial Narrow"/>
                <w:b/>
                <w:sz w:val="20"/>
                <w:szCs w:val="20"/>
              </w:rPr>
            </w:pPr>
            <w:r w:rsidRPr="00921204">
              <w:rPr>
                <w:rFonts w:ascii="Arial Narrow" w:hAnsi="Arial Narrow"/>
                <w:b/>
                <w:sz w:val="20"/>
                <w:szCs w:val="20"/>
              </w:rPr>
              <w:t>PRO</w:t>
            </w:r>
          </w:p>
          <w:p w14:paraId="106E6D01" w14:textId="77777777" w:rsidR="00921204" w:rsidRPr="00921204" w:rsidRDefault="00921204" w:rsidP="00381551">
            <w:pPr>
              <w:spacing w:before="40" w:after="40" w:line="240" w:lineRule="auto"/>
              <w:ind w:left="0"/>
              <w:rPr>
                <w:rFonts w:ascii="Arial Narrow" w:hAnsi="Arial Narrow"/>
                <w:b/>
                <w:sz w:val="20"/>
                <w:szCs w:val="20"/>
              </w:rPr>
            </w:pPr>
            <w:r w:rsidRPr="00921204">
              <w:rPr>
                <w:rFonts w:ascii="Arial Narrow" w:hAnsi="Arial Narrow"/>
                <w:b/>
                <w:sz w:val="20"/>
                <w:szCs w:val="20"/>
              </w:rPr>
              <w:t>Assessment</w:t>
            </w:r>
            <w:r w:rsidR="004E78EB">
              <w:rPr>
                <w:rFonts w:ascii="Arial Narrow" w:hAnsi="Arial Narrow"/>
                <w:b/>
                <w:sz w:val="20"/>
                <w:szCs w:val="20"/>
              </w:rPr>
              <w:t xml:space="preserve"> area</w:t>
            </w:r>
          </w:p>
        </w:tc>
        <w:tc>
          <w:tcPr>
            <w:tcW w:w="2254" w:type="dxa"/>
          </w:tcPr>
          <w:p w14:paraId="77588A83" w14:textId="77777777" w:rsidR="00AE71A6" w:rsidRPr="00921204" w:rsidRDefault="00C25EE2" w:rsidP="00381551">
            <w:pPr>
              <w:spacing w:before="40" w:after="40" w:line="240" w:lineRule="auto"/>
              <w:ind w:left="0"/>
              <w:rPr>
                <w:rFonts w:ascii="Arial Narrow" w:hAnsi="Arial Narrow"/>
                <w:b/>
                <w:sz w:val="20"/>
                <w:szCs w:val="20"/>
              </w:rPr>
            </w:pPr>
            <w:r>
              <w:rPr>
                <w:rFonts w:ascii="Arial Narrow" w:hAnsi="Arial Narrow"/>
                <w:b/>
                <w:sz w:val="20"/>
                <w:szCs w:val="20"/>
              </w:rPr>
              <w:t>Dimension/domain</w:t>
            </w:r>
          </w:p>
        </w:tc>
        <w:tc>
          <w:tcPr>
            <w:tcW w:w="1724" w:type="dxa"/>
          </w:tcPr>
          <w:p w14:paraId="1AC6CAEA" w14:textId="77777777" w:rsidR="00AE71A6" w:rsidRPr="00921204" w:rsidRDefault="00C900F8" w:rsidP="0024579F">
            <w:pPr>
              <w:spacing w:before="40" w:after="40" w:line="240" w:lineRule="auto"/>
              <w:ind w:left="0"/>
              <w:rPr>
                <w:rFonts w:ascii="Arial Narrow" w:hAnsi="Arial Narrow"/>
                <w:b/>
                <w:sz w:val="20"/>
                <w:szCs w:val="20"/>
              </w:rPr>
            </w:pPr>
            <w:r w:rsidRPr="00921204">
              <w:rPr>
                <w:rFonts w:ascii="Arial Narrow" w:hAnsi="Arial Narrow"/>
                <w:b/>
                <w:sz w:val="20"/>
                <w:szCs w:val="20"/>
              </w:rPr>
              <w:t xml:space="preserve">Scoring </w:t>
            </w:r>
            <w:r w:rsidR="0024579F" w:rsidRPr="00921204">
              <w:rPr>
                <w:rFonts w:ascii="Arial Narrow" w:hAnsi="Arial Narrow"/>
                <w:b/>
                <w:sz w:val="20"/>
                <w:szCs w:val="20"/>
              </w:rPr>
              <w:t>range</w:t>
            </w:r>
          </w:p>
        </w:tc>
        <w:tc>
          <w:tcPr>
            <w:tcW w:w="2784" w:type="dxa"/>
          </w:tcPr>
          <w:p w14:paraId="57632848" w14:textId="77777777" w:rsidR="00AE71A6" w:rsidRPr="00921204" w:rsidRDefault="0024579F" w:rsidP="0024579F">
            <w:pPr>
              <w:spacing w:before="40" w:after="40" w:line="240" w:lineRule="auto"/>
              <w:ind w:left="0"/>
              <w:rPr>
                <w:rFonts w:ascii="Arial Narrow" w:hAnsi="Arial Narrow"/>
                <w:b/>
                <w:sz w:val="20"/>
                <w:szCs w:val="20"/>
              </w:rPr>
            </w:pPr>
            <w:r w:rsidRPr="00921204">
              <w:rPr>
                <w:rFonts w:ascii="Arial Narrow" w:hAnsi="Arial Narrow"/>
                <w:b/>
                <w:sz w:val="20"/>
                <w:szCs w:val="20"/>
              </w:rPr>
              <w:t>Score interpretation</w:t>
            </w:r>
          </w:p>
        </w:tc>
      </w:tr>
      <w:tr w:rsidR="00AE71A6" w:rsidRPr="00921204" w14:paraId="47D785A1" w14:textId="77777777" w:rsidTr="0024579F">
        <w:tc>
          <w:tcPr>
            <w:tcW w:w="2254" w:type="dxa"/>
          </w:tcPr>
          <w:p w14:paraId="1F353D9D" w14:textId="77777777" w:rsidR="00AE71A6" w:rsidRPr="00921204" w:rsidRDefault="00C900F8" w:rsidP="00381551">
            <w:pPr>
              <w:spacing w:before="40" w:after="40" w:line="240" w:lineRule="auto"/>
              <w:ind w:left="0"/>
              <w:rPr>
                <w:rFonts w:ascii="Arial Narrow" w:hAnsi="Arial Narrow"/>
                <w:sz w:val="20"/>
                <w:szCs w:val="20"/>
              </w:rPr>
            </w:pPr>
            <w:r w:rsidRPr="00921204">
              <w:rPr>
                <w:rFonts w:ascii="Arial Narrow" w:hAnsi="Arial Narrow"/>
                <w:sz w:val="20"/>
                <w:szCs w:val="20"/>
              </w:rPr>
              <w:t>EQ-5D</w:t>
            </w:r>
          </w:p>
          <w:p w14:paraId="588960E3" w14:textId="77777777" w:rsidR="00921204" w:rsidRPr="00921204" w:rsidRDefault="00921204" w:rsidP="00921204">
            <w:pPr>
              <w:spacing w:before="40" w:after="40" w:line="240" w:lineRule="auto"/>
              <w:ind w:left="0"/>
              <w:rPr>
                <w:rFonts w:ascii="Arial Narrow" w:hAnsi="Arial Narrow"/>
                <w:sz w:val="20"/>
                <w:szCs w:val="20"/>
              </w:rPr>
            </w:pPr>
            <w:r w:rsidRPr="00921204">
              <w:rPr>
                <w:rFonts w:ascii="Arial Narrow" w:hAnsi="Arial Narrow"/>
                <w:sz w:val="20"/>
                <w:szCs w:val="20"/>
              </w:rPr>
              <w:t>Health-related quality of life</w:t>
            </w:r>
          </w:p>
        </w:tc>
        <w:tc>
          <w:tcPr>
            <w:tcW w:w="2254" w:type="dxa"/>
          </w:tcPr>
          <w:p w14:paraId="2956CECA" w14:textId="77777777" w:rsidR="00AE71A6"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Mobility</w:t>
            </w:r>
          </w:p>
          <w:p w14:paraId="0247EB8F" w14:textId="77777777" w:rsidR="0024579F"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Self-care</w:t>
            </w:r>
          </w:p>
          <w:p w14:paraId="1C248E10" w14:textId="77777777" w:rsidR="0024579F"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Usual activities</w:t>
            </w:r>
          </w:p>
          <w:p w14:paraId="416ACFBC" w14:textId="77777777" w:rsidR="0024579F"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Pain/discomfort</w:t>
            </w:r>
          </w:p>
          <w:p w14:paraId="39B03A8F" w14:textId="77777777" w:rsidR="0024579F"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Anxiety/depression</w:t>
            </w:r>
          </w:p>
        </w:tc>
        <w:tc>
          <w:tcPr>
            <w:tcW w:w="1724" w:type="dxa"/>
          </w:tcPr>
          <w:p w14:paraId="38C362EE" w14:textId="77777777" w:rsidR="0024579F" w:rsidRPr="00921204" w:rsidRDefault="0024579F" w:rsidP="00143697">
            <w:pPr>
              <w:spacing w:before="40" w:after="40" w:line="240" w:lineRule="auto"/>
              <w:ind w:left="0"/>
              <w:jc w:val="center"/>
              <w:rPr>
                <w:rFonts w:ascii="Arial Narrow" w:hAnsi="Arial Narrow"/>
                <w:sz w:val="20"/>
                <w:szCs w:val="20"/>
              </w:rPr>
            </w:pPr>
            <w:r w:rsidRPr="00921204">
              <w:rPr>
                <w:rFonts w:ascii="Arial Narrow" w:hAnsi="Arial Narrow"/>
                <w:sz w:val="20"/>
                <w:szCs w:val="20"/>
              </w:rPr>
              <w:t xml:space="preserve">0 </w:t>
            </w:r>
            <w:r w:rsidR="00143697">
              <w:rPr>
                <w:rFonts w:ascii="Arial Narrow" w:hAnsi="Arial Narrow"/>
                <w:sz w:val="20"/>
                <w:szCs w:val="20"/>
              </w:rPr>
              <w:t>–</w:t>
            </w:r>
            <w:r w:rsidRPr="00921204">
              <w:rPr>
                <w:rFonts w:ascii="Arial Narrow" w:hAnsi="Arial Narrow"/>
                <w:sz w:val="20"/>
                <w:szCs w:val="20"/>
              </w:rPr>
              <w:t xml:space="preserve"> 2</w:t>
            </w:r>
          </w:p>
        </w:tc>
        <w:tc>
          <w:tcPr>
            <w:tcW w:w="2784" w:type="dxa"/>
          </w:tcPr>
          <w:p w14:paraId="3AB71C47" w14:textId="77777777" w:rsidR="0024579F" w:rsidRPr="00921204" w:rsidRDefault="0024579F" w:rsidP="0024579F">
            <w:pPr>
              <w:spacing w:before="40" w:after="40" w:line="240" w:lineRule="auto"/>
              <w:ind w:left="0"/>
              <w:rPr>
                <w:rFonts w:ascii="Arial Narrow" w:hAnsi="Arial Narrow"/>
                <w:sz w:val="20"/>
                <w:szCs w:val="20"/>
              </w:rPr>
            </w:pPr>
            <w:r w:rsidRPr="00921204">
              <w:rPr>
                <w:rFonts w:ascii="Arial Narrow" w:hAnsi="Arial Narrow"/>
                <w:sz w:val="20"/>
                <w:szCs w:val="20"/>
              </w:rPr>
              <w:t>0 = no problems</w:t>
            </w:r>
          </w:p>
          <w:p w14:paraId="1DC4A524" w14:textId="77777777" w:rsidR="0024579F" w:rsidRPr="00921204" w:rsidRDefault="0024579F" w:rsidP="0024579F">
            <w:pPr>
              <w:spacing w:before="40" w:after="40" w:line="240" w:lineRule="auto"/>
              <w:ind w:left="0"/>
              <w:rPr>
                <w:rFonts w:ascii="Arial Narrow" w:hAnsi="Arial Narrow"/>
                <w:sz w:val="20"/>
                <w:szCs w:val="20"/>
              </w:rPr>
            </w:pPr>
            <w:r w:rsidRPr="00921204">
              <w:rPr>
                <w:rFonts w:ascii="Arial Narrow" w:hAnsi="Arial Narrow"/>
                <w:sz w:val="20"/>
                <w:szCs w:val="20"/>
              </w:rPr>
              <w:t>1 = some/moderate problems</w:t>
            </w:r>
          </w:p>
          <w:p w14:paraId="1C000549" w14:textId="77777777" w:rsidR="00AE71A6" w:rsidRPr="00921204" w:rsidRDefault="0024579F" w:rsidP="0024579F">
            <w:pPr>
              <w:spacing w:before="40" w:after="40" w:line="240" w:lineRule="auto"/>
              <w:ind w:left="0"/>
              <w:rPr>
                <w:rFonts w:ascii="Arial Narrow" w:hAnsi="Arial Narrow"/>
                <w:sz w:val="20"/>
                <w:szCs w:val="20"/>
              </w:rPr>
            </w:pPr>
            <w:r w:rsidRPr="00921204">
              <w:rPr>
                <w:rFonts w:ascii="Arial Narrow" w:hAnsi="Arial Narrow"/>
                <w:sz w:val="20"/>
                <w:szCs w:val="20"/>
              </w:rPr>
              <w:t>2 = extreme problems</w:t>
            </w:r>
          </w:p>
        </w:tc>
      </w:tr>
      <w:tr w:rsidR="00AE71A6" w:rsidRPr="00921204" w14:paraId="29CF6C41" w14:textId="77777777" w:rsidTr="0024579F">
        <w:tc>
          <w:tcPr>
            <w:tcW w:w="2254" w:type="dxa"/>
          </w:tcPr>
          <w:p w14:paraId="322E4F99" w14:textId="77777777" w:rsidR="00AE71A6" w:rsidRPr="00921204" w:rsidRDefault="00C900F8" w:rsidP="00381551">
            <w:pPr>
              <w:spacing w:before="40" w:after="40" w:line="240" w:lineRule="auto"/>
              <w:ind w:left="0"/>
              <w:rPr>
                <w:rFonts w:ascii="Arial Narrow" w:hAnsi="Arial Narrow"/>
                <w:sz w:val="20"/>
                <w:szCs w:val="20"/>
              </w:rPr>
            </w:pPr>
            <w:r w:rsidRPr="00921204">
              <w:rPr>
                <w:rFonts w:ascii="Arial Narrow" w:hAnsi="Arial Narrow"/>
                <w:sz w:val="20"/>
                <w:szCs w:val="20"/>
              </w:rPr>
              <w:t>EQ-VAS</w:t>
            </w:r>
          </w:p>
          <w:p w14:paraId="35B07FD1" w14:textId="77777777" w:rsidR="00921204" w:rsidRPr="00921204" w:rsidRDefault="00921204" w:rsidP="00381551">
            <w:pPr>
              <w:spacing w:before="40" w:after="40" w:line="240" w:lineRule="auto"/>
              <w:ind w:left="0"/>
              <w:rPr>
                <w:rFonts w:ascii="Arial Narrow" w:hAnsi="Arial Narrow"/>
                <w:sz w:val="20"/>
                <w:szCs w:val="20"/>
              </w:rPr>
            </w:pPr>
            <w:r w:rsidRPr="00921204">
              <w:rPr>
                <w:rFonts w:ascii="Arial Narrow" w:hAnsi="Arial Narrow"/>
                <w:sz w:val="20"/>
                <w:szCs w:val="20"/>
              </w:rPr>
              <w:t>Health status</w:t>
            </w:r>
          </w:p>
        </w:tc>
        <w:tc>
          <w:tcPr>
            <w:tcW w:w="2254" w:type="dxa"/>
          </w:tcPr>
          <w:p w14:paraId="4F244998" w14:textId="77777777" w:rsidR="00AE71A6"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Overall health status</w:t>
            </w:r>
          </w:p>
        </w:tc>
        <w:tc>
          <w:tcPr>
            <w:tcW w:w="1724" w:type="dxa"/>
          </w:tcPr>
          <w:p w14:paraId="3E282FCD" w14:textId="77777777" w:rsidR="00AE71A6" w:rsidRPr="00921204" w:rsidRDefault="0024579F" w:rsidP="00143697">
            <w:pPr>
              <w:spacing w:before="40" w:after="40" w:line="240" w:lineRule="auto"/>
              <w:ind w:left="0"/>
              <w:jc w:val="center"/>
              <w:rPr>
                <w:rFonts w:ascii="Arial Narrow" w:hAnsi="Arial Narrow"/>
                <w:sz w:val="20"/>
                <w:szCs w:val="20"/>
              </w:rPr>
            </w:pPr>
            <w:r w:rsidRPr="00921204">
              <w:rPr>
                <w:rFonts w:ascii="Arial Narrow" w:hAnsi="Arial Narrow"/>
                <w:sz w:val="20"/>
                <w:szCs w:val="20"/>
              </w:rPr>
              <w:t>0</w:t>
            </w:r>
            <w:r w:rsidR="00143697" w:rsidRPr="00921204">
              <w:rPr>
                <w:rFonts w:ascii="Arial Narrow" w:hAnsi="Arial Narrow"/>
                <w:sz w:val="20"/>
                <w:szCs w:val="20"/>
              </w:rPr>
              <w:t xml:space="preserve"> </w:t>
            </w:r>
            <w:r w:rsidR="00143697">
              <w:rPr>
                <w:rFonts w:ascii="Arial Narrow" w:hAnsi="Arial Narrow"/>
                <w:sz w:val="20"/>
                <w:szCs w:val="20"/>
              </w:rPr>
              <w:t>–</w:t>
            </w:r>
            <w:r w:rsidR="00143697" w:rsidRPr="00921204">
              <w:rPr>
                <w:rFonts w:ascii="Arial Narrow" w:hAnsi="Arial Narrow"/>
                <w:sz w:val="20"/>
                <w:szCs w:val="20"/>
              </w:rPr>
              <w:t xml:space="preserve"> </w:t>
            </w:r>
            <w:r w:rsidRPr="00921204">
              <w:rPr>
                <w:rFonts w:ascii="Arial Narrow" w:hAnsi="Arial Narrow"/>
                <w:sz w:val="20"/>
                <w:szCs w:val="20"/>
              </w:rPr>
              <w:t>100</w:t>
            </w:r>
          </w:p>
        </w:tc>
        <w:tc>
          <w:tcPr>
            <w:tcW w:w="2784" w:type="dxa"/>
          </w:tcPr>
          <w:p w14:paraId="26BE8E50" w14:textId="77777777" w:rsidR="00AE71A6"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0 = worst health</w:t>
            </w:r>
          </w:p>
          <w:p w14:paraId="7766476F" w14:textId="77777777" w:rsidR="0024579F"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100 = best health</w:t>
            </w:r>
          </w:p>
        </w:tc>
      </w:tr>
      <w:tr w:rsidR="00AE71A6" w:rsidRPr="00921204" w14:paraId="0E4C48A2" w14:textId="77777777" w:rsidTr="0024579F">
        <w:tc>
          <w:tcPr>
            <w:tcW w:w="2254" w:type="dxa"/>
          </w:tcPr>
          <w:p w14:paraId="1578C811" w14:textId="77777777" w:rsidR="00AE71A6" w:rsidRPr="00921204" w:rsidRDefault="00C900F8" w:rsidP="00381551">
            <w:pPr>
              <w:spacing w:before="40" w:after="40" w:line="240" w:lineRule="auto"/>
              <w:ind w:left="0"/>
              <w:rPr>
                <w:rFonts w:ascii="Arial Narrow" w:hAnsi="Arial Narrow"/>
                <w:sz w:val="20"/>
                <w:szCs w:val="20"/>
              </w:rPr>
            </w:pPr>
            <w:r w:rsidRPr="00921204">
              <w:rPr>
                <w:rFonts w:ascii="Arial Narrow" w:hAnsi="Arial Narrow"/>
                <w:sz w:val="20"/>
                <w:szCs w:val="20"/>
              </w:rPr>
              <w:t>TSQM</w:t>
            </w:r>
          </w:p>
          <w:p w14:paraId="559FEE78" w14:textId="77777777" w:rsidR="00921204" w:rsidRPr="00921204" w:rsidRDefault="00921204" w:rsidP="00381551">
            <w:pPr>
              <w:spacing w:before="40" w:after="40" w:line="240" w:lineRule="auto"/>
              <w:ind w:left="0"/>
              <w:rPr>
                <w:rFonts w:ascii="Arial Narrow" w:hAnsi="Arial Narrow"/>
                <w:sz w:val="20"/>
                <w:szCs w:val="20"/>
              </w:rPr>
            </w:pPr>
            <w:r w:rsidRPr="00921204">
              <w:rPr>
                <w:rFonts w:ascii="Arial Narrow" w:hAnsi="Arial Narrow"/>
                <w:sz w:val="20"/>
                <w:szCs w:val="20"/>
              </w:rPr>
              <w:t>Treatment satisfaction</w:t>
            </w:r>
          </w:p>
        </w:tc>
        <w:tc>
          <w:tcPr>
            <w:tcW w:w="2254" w:type="dxa"/>
          </w:tcPr>
          <w:p w14:paraId="738C5791" w14:textId="77777777" w:rsidR="00AE71A6"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Medication</w:t>
            </w:r>
          </w:p>
          <w:p w14:paraId="6A085E0B" w14:textId="77777777" w:rsidR="0024579F"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Effectiveness</w:t>
            </w:r>
          </w:p>
          <w:p w14:paraId="5E0CBC50" w14:textId="77777777" w:rsidR="0024579F"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Side effects</w:t>
            </w:r>
          </w:p>
          <w:p w14:paraId="29A12D9E" w14:textId="77777777" w:rsidR="0024579F"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C</w:t>
            </w:r>
            <w:r w:rsidR="00921204">
              <w:rPr>
                <w:rFonts w:ascii="Arial Narrow" w:hAnsi="Arial Narrow"/>
                <w:sz w:val="20"/>
                <w:szCs w:val="20"/>
              </w:rPr>
              <w:t>onve</w:t>
            </w:r>
            <w:r w:rsidRPr="00921204">
              <w:rPr>
                <w:rFonts w:ascii="Arial Narrow" w:hAnsi="Arial Narrow"/>
                <w:sz w:val="20"/>
                <w:szCs w:val="20"/>
              </w:rPr>
              <w:t>nience</w:t>
            </w:r>
          </w:p>
          <w:p w14:paraId="275FD719" w14:textId="77777777" w:rsidR="0024579F"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Overall satisfaction</w:t>
            </w:r>
          </w:p>
        </w:tc>
        <w:tc>
          <w:tcPr>
            <w:tcW w:w="1724" w:type="dxa"/>
          </w:tcPr>
          <w:p w14:paraId="22CBA59D" w14:textId="77777777" w:rsidR="00AE71A6" w:rsidRPr="00921204" w:rsidRDefault="0024579F" w:rsidP="00143697">
            <w:pPr>
              <w:spacing w:before="40" w:after="40" w:line="240" w:lineRule="auto"/>
              <w:ind w:left="0"/>
              <w:jc w:val="center"/>
              <w:rPr>
                <w:rFonts w:ascii="Arial Narrow" w:hAnsi="Arial Narrow"/>
                <w:sz w:val="20"/>
                <w:szCs w:val="20"/>
              </w:rPr>
            </w:pPr>
            <w:r w:rsidRPr="00921204">
              <w:rPr>
                <w:rFonts w:ascii="Arial Narrow" w:hAnsi="Arial Narrow"/>
                <w:sz w:val="20"/>
                <w:szCs w:val="20"/>
              </w:rPr>
              <w:t>0</w:t>
            </w:r>
            <w:r w:rsidR="00143697" w:rsidRPr="00921204">
              <w:rPr>
                <w:rFonts w:ascii="Arial Narrow" w:hAnsi="Arial Narrow"/>
                <w:sz w:val="20"/>
                <w:szCs w:val="20"/>
              </w:rPr>
              <w:t xml:space="preserve"> </w:t>
            </w:r>
            <w:r w:rsidR="00143697">
              <w:rPr>
                <w:rFonts w:ascii="Arial Narrow" w:hAnsi="Arial Narrow"/>
                <w:sz w:val="20"/>
                <w:szCs w:val="20"/>
              </w:rPr>
              <w:t>–</w:t>
            </w:r>
            <w:r w:rsidR="00143697" w:rsidRPr="00921204">
              <w:rPr>
                <w:rFonts w:ascii="Arial Narrow" w:hAnsi="Arial Narrow"/>
                <w:sz w:val="20"/>
                <w:szCs w:val="20"/>
              </w:rPr>
              <w:t xml:space="preserve"> </w:t>
            </w:r>
            <w:r w:rsidRPr="00921204">
              <w:rPr>
                <w:rFonts w:ascii="Arial Narrow" w:hAnsi="Arial Narrow"/>
                <w:sz w:val="20"/>
                <w:szCs w:val="20"/>
              </w:rPr>
              <w:t>100</w:t>
            </w:r>
          </w:p>
        </w:tc>
        <w:tc>
          <w:tcPr>
            <w:tcW w:w="2784" w:type="dxa"/>
          </w:tcPr>
          <w:p w14:paraId="799D2F1B" w14:textId="77777777" w:rsidR="00AE71A6" w:rsidRPr="00921204" w:rsidRDefault="0024579F" w:rsidP="00381551">
            <w:pPr>
              <w:spacing w:before="40" w:after="40" w:line="240" w:lineRule="auto"/>
              <w:ind w:left="0"/>
              <w:rPr>
                <w:rFonts w:ascii="Arial Narrow" w:hAnsi="Arial Narrow"/>
                <w:sz w:val="20"/>
                <w:szCs w:val="20"/>
              </w:rPr>
            </w:pPr>
            <w:r w:rsidRPr="00921204">
              <w:rPr>
                <w:rFonts w:ascii="Arial Narrow" w:hAnsi="Arial Narrow"/>
                <w:sz w:val="20"/>
                <w:szCs w:val="20"/>
              </w:rPr>
              <w:t>0 = poorest satisfaction</w:t>
            </w:r>
          </w:p>
          <w:p w14:paraId="1E250C0E" w14:textId="77777777" w:rsidR="0024579F" w:rsidRPr="00921204" w:rsidRDefault="0024579F" w:rsidP="0024579F">
            <w:pPr>
              <w:spacing w:before="40" w:after="40" w:line="240" w:lineRule="auto"/>
              <w:ind w:left="0"/>
              <w:rPr>
                <w:rFonts w:ascii="Arial Narrow" w:hAnsi="Arial Narrow"/>
                <w:sz w:val="20"/>
                <w:szCs w:val="20"/>
              </w:rPr>
            </w:pPr>
            <w:r w:rsidRPr="00921204">
              <w:rPr>
                <w:rFonts w:ascii="Arial Narrow" w:hAnsi="Arial Narrow"/>
                <w:sz w:val="20"/>
                <w:szCs w:val="20"/>
              </w:rPr>
              <w:t>100 = perfect satisfaction</w:t>
            </w:r>
          </w:p>
        </w:tc>
      </w:tr>
      <w:tr w:rsidR="00C900F8" w:rsidRPr="00921204" w14:paraId="13B96CAE" w14:textId="77777777" w:rsidTr="0024579F">
        <w:tc>
          <w:tcPr>
            <w:tcW w:w="2254" w:type="dxa"/>
          </w:tcPr>
          <w:p w14:paraId="1F8B36A3" w14:textId="77777777" w:rsidR="00C900F8" w:rsidRPr="00921204" w:rsidRDefault="00C900F8" w:rsidP="00C900F8">
            <w:pPr>
              <w:spacing w:before="40" w:after="40" w:line="240" w:lineRule="auto"/>
              <w:ind w:left="0"/>
              <w:rPr>
                <w:rFonts w:ascii="Arial Narrow" w:hAnsi="Arial Narrow"/>
                <w:sz w:val="20"/>
                <w:szCs w:val="20"/>
              </w:rPr>
            </w:pPr>
            <w:r w:rsidRPr="00921204">
              <w:rPr>
                <w:rFonts w:ascii="Arial Narrow" w:hAnsi="Arial Narrow"/>
                <w:sz w:val="20"/>
                <w:szCs w:val="20"/>
              </w:rPr>
              <w:t>WPAI-GH</w:t>
            </w:r>
          </w:p>
          <w:p w14:paraId="3ABBBF24" w14:textId="77777777" w:rsidR="00921204" w:rsidRPr="00921204" w:rsidRDefault="00921204" w:rsidP="00C900F8">
            <w:pPr>
              <w:spacing w:before="40" w:after="40" w:line="240" w:lineRule="auto"/>
              <w:ind w:left="0"/>
              <w:rPr>
                <w:rFonts w:ascii="Arial Narrow" w:hAnsi="Arial Narrow"/>
                <w:sz w:val="20"/>
                <w:szCs w:val="20"/>
              </w:rPr>
            </w:pPr>
            <w:r w:rsidRPr="00921204">
              <w:rPr>
                <w:rFonts w:ascii="Arial Narrow" w:hAnsi="Arial Narrow"/>
                <w:sz w:val="20"/>
                <w:szCs w:val="20"/>
              </w:rPr>
              <w:t>Work productivity</w:t>
            </w:r>
          </w:p>
        </w:tc>
        <w:tc>
          <w:tcPr>
            <w:tcW w:w="2254" w:type="dxa"/>
          </w:tcPr>
          <w:p w14:paraId="4FA09D32" w14:textId="77777777" w:rsidR="00C900F8" w:rsidRPr="00921204" w:rsidRDefault="0024579F" w:rsidP="00C900F8">
            <w:pPr>
              <w:spacing w:before="40" w:after="40" w:line="240" w:lineRule="auto"/>
              <w:ind w:left="0"/>
              <w:rPr>
                <w:rFonts w:ascii="Arial Narrow" w:hAnsi="Arial Narrow"/>
                <w:sz w:val="20"/>
                <w:szCs w:val="20"/>
              </w:rPr>
            </w:pPr>
            <w:r w:rsidRPr="00921204">
              <w:rPr>
                <w:rFonts w:ascii="Arial Narrow" w:hAnsi="Arial Narrow"/>
                <w:sz w:val="20"/>
                <w:szCs w:val="20"/>
              </w:rPr>
              <w:t>Absenteeism</w:t>
            </w:r>
          </w:p>
          <w:p w14:paraId="5FBB6E30" w14:textId="77777777" w:rsidR="0024579F" w:rsidRPr="00921204" w:rsidRDefault="0024579F" w:rsidP="00C900F8">
            <w:pPr>
              <w:spacing w:before="40" w:after="40" w:line="240" w:lineRule="auto"/>
              <w:ind w:left="0"/>
              <w:rPr>
                <w:rFonts w:ascii="Arial Narrow" w:hAnsi="Arial Narrow"/>
                <w:sz w:val="20"/>
                <w:szCs w:val="20"/>
              </w:rPr>
            </w:pPr>
            <w:r w:rsidRPr="00921204">
              <w:rPr>
                <w:rFonts w:ascii="Arial Narrow" w:hAnsi="Arial Narrow"/>
                <w:sz w:val="20"/>
                <w:szCs w:val="20"/>
              </w:rPr>
              <w:t>Work impairment</w:t>
            </w:r>
          </w:p>
          <w:p w14:paraId="347F1E46" w14:textId="77777777" w:rsidR="0024579F" w:rsidRPr="00921204" w:rsidRDefault="0024579F" w:rsidP="00C900F8">
            <w:pPr>
              <w:spacing w:before="40" w:after="40" w:line="240" w:lineRule="auto"/>
              <w:ind w:left="0"/>
              <w:rPr>
                <w:rFonts w:ascii="Arial Narrow" w:hAnsi="Arial Narrow"/>
                <w:sz w:val="20"/>
                <w:szCs w:val="20"/>
              </w:rPr>
            </w:pPr>
            <w:r w:rsidRPr="00921204">
              <w:rPr>
                <w:rFonts w:ascii="Arial Narrow" w:hAnsi="Arial Narrow"/>
                <w:sz w:val="20"/>
                <w:szCs w:val="20"/>
              </w:rPr>
              <w:t>Activity impairment</w:t>
            </w:r>
          </w:p>
          <w:p w14:paraId="0BB9406B" w14:textId="77777777" w:rsidR="0024579F" w:rsidRPr="00921204" w:rsidRDefault="0024579F" w:rsidP="00C900F8">
            <w:pPr>
              <w:spacing w:before="40" w:after="40" w:line="240" w:lineRule="auto"/>
              <w:ind w:left="0"/>
              <w:rPr>
                <w:rFonts w:ascii="Arial Narrow" w:hAnsi="Arial Narrow"/>
                <w:sz w:val="20"/>
                <w:szCs w:val="20"/>
              </w:rPr>
            </w:pPr>
            <w:r w:rsidRPr="00921204">
              <w:rPr>
                <w:rFonts w:ascii="Arial Narrow" w:hAnsi="Arial Narrow"/>
                <w:sz w:val="20"/>
                <w:szCs w:val="20"/>
              </w:rPr>
              <w:t>Work productivity</w:t>
            </w:r>
          </w:p>
        </w:tc>
        <w:tc>
          <w:tcPr>
            <w:tcW w:w="1724" w:type="dxa"/>
          </w:tcPr>
          <w:p w14:paraId="5CE90C4E" w14:textId="77777777" w:rsidR="00C900F8" w:rsidRPr="00921204" w:rsidRDefault="00921204" w:rsidP="00143697">
            <w:pPr>
              <w:spacing w:before="40" w:after="40" w:line="240" w:lineRule="auto"/>
              <w:ind w:left="0"/>
              <w:jc w:val="center"/>
              <w:rPr>
                <w:rFonts w:ascii="Arial Narrow" w:hAnsi="Arial Narrow"/>
                <w:sz w:val="20"/>
                <w:szCs w:val="20"/>
              </w:rPr>
            </w:pPr>
            <w:r w:rsidRPr="00921204">
              <w:rPr>
                <w:rFonts w:ascii="Arial Narrow" w:hAnsi="Arial Narrow"/>
                <w:sz w:val="20"/>
                <w:szCs w:val="20"/>
              </w:rPr>
              <w:t>0</w:t>
            </w:r>
            <w:r w:rsidR="00143697" w:rsidRPr="00921204">
              <w:rPr>
                <w:rFonts w:ascii="Arial Narrow" w:hAnsi="Arial Narrow"/>
                <w:sz w:val="20"/>
                <w:szCs w:val="20"/>
              </w:rPr>
              <w:t xml:space="preserve"> </w:t>
            </w:r>
            <w:r w:rsidR="00143697">
              <w:rPr>
                <w:rFonts w:ascii="Arial Narrow" w:hAnsi="Arial Narrow"/>
                <w:sz w:val="20"/>
                <w:szCs w:val="20"/>
              </w:rPr>
              <w:t>–</w:t>
            </w:r>
            <w:r w:rsidR="00143697" w:rsidRPr="00921204">
              <w:rPr>
                <w:rFonts w:ascii="Arial Narrow" w:hAnsi="Arial Narrow"/>
                <w:sz w:val="20"/>
                <w:szCs w:val="20"/>
              </w:rPr>
              <w:t xml:space="preserve"> </w:t>
            </w:r>
            <w:r w:rsidRPr="00921204">
              <w:rPr>
                <w:rFonts w:ascii="Arial Narrow" w:hAnsi="Arial Narrow"/>
                <w:sz w:val="20"/>
                <w:szCs w:val="20"/>
              </w:rPr>
              <w:t>100</w:t>
            </w:r>
          </w:p>
        </w:tc>
        <w:tc>
          <w:tcPr>
            <w:tcW w:w="2784" w:type="dxa"/>
          </w:tcPr>
          <w:p w14:paraId="7389F874" w14:textId="77777777" w:rsidR="00C900F8" w:rsidRPr="00921204" w:rsidRDefault="00921204" w:rsidP="00C900F8">
            <w:pPr>
              <w:spacing w:before="40" w:after="40" w:line="240" w:lineRule="auto"/>
              <w:ind w:left="0"/>
              <w:rPr>
                <w:rFonts w:ascii="Arial Narrow" w:hAnsi="Arial Narrow"/>
                <w:sz w:val="20"/>
                <w:szCs w:val="20"/>
              </w:rPr>
            </w:pPr>
            <w:r w:rsidRPr="00921204">
              <w:rPr>
                <w:rFonts w:ascii="Arial Narrow" w:hAnsi="Arial Narrow"/>
                <w:sz w:val="20"/>
                <w:szCs w:val="20"/>
              </w:rPr>
              <w:t>0 = best</w:t>
            </w:r>
          </w:p>
          <w:p w14:paraId="0F0D7E78" w14:textId="77777777" w:rsidR="00921204" w:rsidRPr="00921204" w:rsidRDefault="00921204" w:rsidP="00C900F8">
            <w:pPr>
              <w:spacing w:before="40" w:after="40" w:line="240" w:lineRule="auto"/>
              <w:ind w:left="0"/>
              <w:rPr>
                <w:rFonts w:ascii="Arial Narrow" w:hAnsi="Arial Narrow"/>
                <w:sz w:val="20"/>
                <w:szCs w:val="20"/>
              </w:rPr>
            </w:pPr>
            <w:r w:rsidRPr="00921204">
              <w:rPr>
                <w:rFonts w:ascii="Arial Narrow" w:hAnsi="Arial Narrow"/>
                <w:sz w:val="20"/>
                <w:szCs w:val="20"/>
              </w:rPr>
              <w:t>100 = worst</w:t>
            </w:r>
          </w:p>
        </w:tc>
      </w:tr>
    </w:tbl>
    <w:p w14:paraId="4B8B13B2" w14:textId="77777777" w:rsidR="005D7CBC" w:rsidRDefault="00921204" w:rsidP="00921204">
      <w:pPr>
        <w:pStyle w:val="Tablenote"/>
      </w:pPr>
      <w:r w:rsidRPr="001155A7">
        <w:t>Abbreviations</w:t>
      </w:r>
      <w:r w:rsidRPr="00921204">
        <w:rPr>
          <w:b/>
        </w:rPr>
        <w:t xml:space="preserve">: </w:t>
      </w:r>
      <w:r>
        <w:t xml:space="preserve">EQ-5D = EuroQoL </w:t>
      </w:r>
      <w:r w:rsidR="001155A7">
        <w:t>5</w:t>
      </w:r>
      <w:r>
        <w:t xml:space="preserve">-dimension health profile, EQ-VAS = EuroQoL health status visual analogue scale; PRO = patient reported outcome; TSQM = Treatment Satisfaction Questionnaire for </w:t>
      </w:r>
      <w:r w:rsidR="00D94370">
        <w:t>Medicine</w:t>
      </w:r>
      <w:r>
        <w:t>; WPAI-GH = Work Productivity and Activity Impairment Questionnaire for General Health</w:t>
      </w:r>
    </w:p>
    <w:p w14:paraId="317F6E41" w14:textId="08EA0143" w:rsidR="00481E7A" w:rsidRDefault="003E02DC" w:rsidP="00192373">
      <w:pPr>
        <w:jc w:val="both"/>
      </w:pPr>
      <w:r>
        <w:t xml:space="preserve">PROs were assessed at baseline (after IVIg re-stabilisation), and at </w:t>
      </w:r>
      <w:r w:rsidR="00EB3B4A">
        <w:t>nine</w:t>
      </w:r>
      <w:r>
        <w:t xml:space="preserve"> and 25 weeks following the start of SCIg treatment. </w:t>
      </w:r>
      <w:r w:rsidR="00142C91">
        <w:t xml:space="preserve">Change in scores at final follow-up (25 weeks) were compared between randomised treatment groups. </w:t>
      </w:r>
      <w:r w:rsidR="00481E7A">
        <w:t>A full set of data was collected for 151 patients, but sensitivity analyses were performed using imputed data for 167 patients</w:t>
      </w:r>
      <w:r w:rsidR="005F64B2">
        <w:t xml:space="preserve"> </w:t>
      </w:r>
      <w:r w:rsidR="003D3775">
        <w:t>accounting</w:t>
      </w:r>
      <w:r w:rsidR="005F64B2">
        <w:t xml:space="preserve"> for missing values</w:t>
      </w:r>
      <w:r w:rsidR="00481E7A">
        <w:t xml:space="preserve">. </w:t>
      </w:r>
      <w:r w:rsidR="003D3775">
        <w:t>Drop-out</w:t>
      </w:r>
      <w:r w:rsidR="0015258D">
        <w:t xml:space="preserve"> rates were higher i</w:t>
      </w:r>
      <w:r w:rsidR="00481E7A">
        <w:t>n the placebo group</w:t>
      </w:r>
      <w:r w:rsidR="00D45FCA">
        <w:t>, signifying less perceived effectiveness and tolerance in this group. No explanation was given for the missing data, however, it was acknowledged by the authors that missing data points were a limitation in the study.</w:t>
      </w:r>
    </w:p>
    <w:p w14:paraId="00B57E3F" w14:textId="77777777" w:rsidR="005F64B2" w:rsidRDefault="005F64B2" w:rsidP="005F64B2">
      <w:pPr>
        <w:pStyle w:val="Heading5"/>
      </w:pPr>
      <w:r>
        <w:t>EQ-5D</w:t>
      </w:r>
    </w:p>
    <w:p w14:paraId="4DB8E711" w14:textId="297E1D14" w:rsidR="00AE71A6" w:rsidRDefault="005623EE" w:rsidP="00192373">
      <w:pPr>
        <w:jc w:val="both"/>
      </w:pPr>
      <w:r>
        <w:t>The i</w:t>
      </w:r>
      <w:r w:rsidR="00481E7A">
        <w:t xml:space="preserve">mputed data for the EQ-5D for 167 patients can be seen in </w:t>
      </w:r>
      <w:r w:rsidR="0015258D">
        <w:fldChar w:fldCharType="begin"/>
      </w:r>
      <w:r w:rsidR="0015258D">
        <w:instrText xml:space="preserve"> REF _Ref57211476 \h </w:instrText>
      </w:r>
      <w:r w:rsidR="00192373">
        <w:instrText xml:space="preserve"> \* MERGEFORMAT </w:instrText>
      </w:r>
      <w:r w:rsidR="0015258D">
        <w:fldChar w:fldCharType="separate"/>
      </w:r>
      <w:r w:rsidR="004B3EA2">
        <w:t xml:space="preserve">Table </w:t>
      </w:r>
      <w:r w:rsidR="004B3EA2">
        <w:rPr>
          <w:noProof/>
        </w:rPr>
        <w:t>15</w:t>
      </w:r>
      <w:r w:rsidR="0015258D">
        <w:fldChar w:fldCharType="end"/>
      </w:r>
      <w:r w:rsidR="0015258D">
        <w:t>.</w:t>
      </w:r>
      <w:r w:rsidR="00142C91">
        <w:t xml:space="preserve"> </w:t>
      </w:r>
      <w:r w:rsidR="0015258D">
        <w:t>The number of patients (N, %) who maintained or improved their EQ-5D score were compared between treatment groups</w:t>
      </w:r>
      <w:r w:rsidR="00544B41">
        <w:t xml:space="preserve">. </w:t>
      </w:r>
      <w:r>
        <w:t>Outcomes were better</w:t>
      </w:r>
      <w:r w:rsidR="00544B41">
        <w:t xml:space="preserve"> across all domains </w:t>
      </w:r>
      <w:r>
        <w:t>for both</w:t>
      </w:r>
      <w:r w:rsidR="00544B41">
        <w:t xml:space="preserve"> dosage group</w:t>
      </w:r>
      <w:r>
        <w:t>s</w:t>
      </w:r>
      <w:r w:rsidR="00544B41">
        <w:t xml:space="preserve"> </w:t>
      </w:r>
      <w:r>
        <w:t>than</w:t>
      </w:r>
      <w:r w:rsidR="00544B41">
        <w:t xml:space="preserve"> placebo. There was gre</w:t>
      </w:r>
      <w:r>
        <w:t xml:space="preserve">ater stability or improvement in </w:t>
      </w:r>
      <w:r w:rsidR="00544B41">
        <w:t>mobility, self-care, usual activities, pain/discomfort, and anxiety/depression when treated with either 0.2 or 0.4 g/kg SCIg</w:t>
      </w:r>
      <w:r>
        <w:t xml:space="preserve"> compared to placebo</w:t>
      </w:r>
      <w:r w:rsidR="00544B41">
        <w:t xml:space="preserve">. When the two </w:t>
      </w:r>
      <w:r w:rsidR="00585BF7">
        <w:t>SC</w:t>
      </w:r>
      <w:r w:rsidR="00544B41">
        <w:t>Ig doses were compared, there was no difference in any domain. In the observed data analysis, the trends were similar but the only difference reaching statistical significance was in the usual activities domain</w:t>
      </w:r>
      <w:r w:rsidR="00585BF7">
        <w:t>, for the comparisons of 0.2 g/kg to placebo (p = 0.039) and 0.4 g/kg</w:t>
      </w:r>
      <w:r w:rsidR="00DF1BB6">
        <w:t xml:space="preserve"> to placebo</w:t>
      </w:r>
      <w:r w:rsidR="00585BF7">
        <w:t xml:space="preserve"> (p = 0.006)</w:t>
      </w:r>
      <w:r w:rsidR="00544B41">
        <w:t xml:space="preserve">. </w:t>
      </w:r>
    </w:p>
    <w:p w14:paraId="49854926" w14:textId="662E59B6" w:rsidR="005D7CBC" w:rsidRDefault="005D7CBC" w:rsidP="005D7CBC">
      <w:pPr>
        <w:pStyle w:val="Caption"/>
      </w:pPr>
      <w:bookmarkStart w:id="180" w:name="_Ref57211476"/>
      <w:bookmarkStart w:id="181" w:name="_Toc69305656"/>
      <w:r>
        <w:t xml:space="preserve">Table </w:t>
      </w:r>
      <w:r w:rsidR="00003BA5">
        <w:fldChar w:fldCharType="begin"/>
      </w:r>
      <w:r w:rsidR="00003BA5">
        <w:instrText xml:space="preserve"> SEQ Table \* ARABIC </w:instrText>
      </w:r>
      <w:r w:rsidR="00003BA5">
        <w:fldChar w:fldCharType="separate"/>
      </w:r>
      <w:r w:rsidR="004B3EA2">
        <w:rPr>
          <w:noProof/>
        </w:rPr>
        <w:t>15</w:t>
      </w:r>
      <w:r w:rsidR="00003BA5">
        <w:rPr>
          <w:noProof/>
        </w:rPr>
        <w:fldChar w:fldCharType="end"/>
      </w:r>
      <w:bookmarkEnd w:id="180"/>
      <w:r>
        <w:tab/>
      </w:r>
      <w:r w:rsidR="0015258D">
        <w:t xml:space="preserve">Comparison of the number of patients who maintained or improved their EQ-5D at 25 weeks of SCIg </w:t>
      </w:r>
      <w:r w:rsidR="009B6B8F">
        <w:tab/>
      </w:r>
      <w:r w:rsidR="009B6B8F">
        <w:tab/>
      </w:r>
      <w:r w:rsidR="0015258D">
        <w:t>(0.2 or 0.4 g/kg) or placebo</w:t>
      </w:r>
      <w:r w:rsidR="00FD20EB">
        <w:t>, imputed data</w:t>
      </w:r>
      <w:r w:rsidR="009B6B8F">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bookmarkEnd w:id="181"/>
      <w:r w:rsidR="00B727D6">
        <w:fldChar w:fldCharType="end"/>
      </w:r>
    </w:p>
    <w:tbl>
      <w:tblPr>
        <w:tblStyle w:val="TableGrid"/>
        <w:tblW w:w="9067" w:type="dxa"/>
        <w:tblLook w:val="04A0" w:firstRow="1" w:lastRow="0" w:firstColumn="1" w:lastColumn="0" w:noHBand="0" w:noVBand="1"/>
        <w:tblCaption w:val="Comparison of the number of patients who maintained or improved their EQ-5D at 25 weeks of SCIg (0.2 or 0.4 g/kg) or placebo, imputed data "/>
        <w:tblDescription w:val="Comparison of the number of patients who maintained or improved their EQ-5D at 25 weeks of SCIg (0.2 or 0.4 g/kg) or placebo, imputed data "/>
      </w:tblPr>
      <w:tblGrid>
        <w:gridCol w:w="2254"/>
        <w:gridCol w:w="1569"/>
        <w:gridCol w:w="1417"/>
        <w:gridCol w:w="1418"/>
        <w:gridCol w:w="2409"/>
      </w:tblGrid>
      <w:tr w:rsidR="0015258D" w:rsidRPr="005D7CBC" w14:paraId="4AABD058" w14:textId="77777777" w:rsidTr="00BB43B6">
        <w:trPr>
          <w:tblHeader/>
        </w:trPr>
        <w:tc>
          <w:tcPr>
            <w:tcW w:w="2254" w:type="dxa"/>
          </w:tcPr>
          <w:p w14:paraId="1954112C" w14:textId="77777777" w:rsidR="0015258D" w:rsidRPr="005D7CBC" w:rsidRDefault="0015258D" w:rsidP="005D7CBC">
            <w:pPr>
              <w:spacing w:before="40" w:after="40" w:line="240" w:lineRule="auto"/>
              <w:ind w:left="0"/>
              <w:rPr>
                <w:rFonts w:ascii="Arial Narrow" w:hAnsi="Arial Narrow"/>
                <w:b/>
              </w:rPr>
            </w:pPr>
            <w:r>
              <w:rPr>
                <w:rFonts w:ascii="Arial Narrow" w:hAnsi="Arial Narrow"/>
                <w:b/>
              </w:rPr>
              <w:t>EQ-5D dimension</w:t>
            </w:r>
          </w:p>
        </w:tc>
        <w:tc>
          <w:tcPr>
            <w:tcW w:w="1569" w:type="dxa"/>
          </w:tcPr>
          <w:p w14:paraId="49237AB5" w14:textId="77777777" w:rsidR="0015258D" w:rsidRDefault="0015258D" w:rsidP="005D7CBC">
            <w:pPr>
              <w:spacing w:before="40" w:after="40" w:line="240" w:lineRule="auto"/>
              <w:ind w:left="0"/>
              <w:rPr>
                <w:rFonts w:ascii="Arial Narrow" w:hAnsi="Arial Narrow"/>
                <w:b/>
              </w:rPr>
            </w:pPr>
            <w:r>
              <w:rPr>
                <w:rFonts w:ascii="Arial Narrow" w:hAnsi="Arial Narrow"/>
                <w:b/>
              </w:rPr>
              <w:t>Placebo</w:t>
            </w:r>
          </w:p>
          <w:p w14:paraId="712754A8" w14:textId="77777777" w:rsidR="0015258D" w:rsidRPr="005D7CBC" w:rsidRDefault="0015258D" w:rsidP="005D7CBC">
            <w:pPr>
              <w:spacing w:before="40" w:after="40" w:line="240" w:lineRule="auto"/>
              <w:ind w:left="0"/>
              <w:rPr>
                <w:rFonts w:ascii="Arial Narrow" w:hAnsi="Arial Narrow"/>
                <w:b/>
              </w:rPr>
            </w:pPr>
            <w:r>
              <w:rPr>
                <w:rFonts w:ascii="Arial Narrow" w:hAnsi="Arial Narrow"/>
                <w:b/>
              </w:rPr>
              <w:t>N</w:t>
            </w:r>
            <w:r w:rsidR="00EC6073">
              <w:rPr>
                <w:rFonts w:ascii="Arial Narrow" w:hAnsi="Arial Narrow"/>
                <w:b/>
              </w:rPr>
              <w:t>/55</w:t>
            </w:r>
            <w:r>
              <w:rPr>
                <w:rFonts w:ascii="Arial Narrow" w:hAnsi="Arial Narrow"/>
                <w:b/>
              </w:rPr>
              <w:t xml:space="preserve"> (%)</w:t>
            </w:r>
          </w:p>
        </w:tc>
        <w:tc>
          <w:tcPr>
            <w:tcW w:w="1417" w:type="dxa"/>
          </w:tcPr>
          <w:p w14:paraId="0CE7A83F" w14:textId="77777777" w:rsidR="0015258D" w:rsidRDefault="0015258D" w:rsidP="005D7CBC">
            <w:pPr>
              <w:spacing w:before="40" w:after="40" w:line="240" w:lineRule="auto"/>
              <w:ind w:left="0"/>
              <w:rPr>
                <w:rFonts w:ascii="Arial Narrow" w:hAnsi="Arial Narrow"/>
                <w:b/>
              </w:rPr>
            </w:pPr>
            <w:r>
              <w:rPr>
                <w:rFonts w:ascii="Arial Narrow" w:hAnsi="Arial Narrow"/>
                <w:b/>
              </w:rPr>
              <w:t>0.2 g/kg</w:t>
            </w:r>
          </w:p>
          <w:p w14:paraId="2E2E2C10" w14:textId="77777777" w:rsidR="0015258D" w:rsidRPr="005D7CBC" w:rsidRDefault="0015258D" w:rsidP="005D7CBC">
            <w:pPr>
              <w:spacing w:before="40" w:after="40" w:line="240" w:lineRule="auto"/>
              <w:ind w:left="0"/>
              <w:rPr>
                <w:rFonts w:ascii="Arial Narrow" w:hAnsi="Arial Narrow"/>
                <w:b/>
              </w:rPr>
            </w:pPr>
            <w:r>
              <w:rPr>
                <w:rFonts w:ascii="Arial Narrow" w:hAnsi="Arial Narrow"/>
                <w:b/>
              </w:rPr>
              <w:t>N</w:t>
            </w:r>
            <w:r w:rsidR="00EC6073">
              <w:rPr>
                <w:rFonts w:ascii="Arial Narrow" w:hAnsi="Arial Narrow"/>
                <w:b/>
              </w:rPr>
              <w:t>/56</w:t>
            </w:r>
            <w:r>
              <w:rPr>
                <w:rFonts w:ascii="Arial Narrow" w:hAnsi="Arial Narrow"/>
                <w:b/>
              </w:rPr>
              <w:t xml:space="preserve"> (%)</w:t>
            </w:r>
          </w:p>
        </w:tc>
        <w:tc>
          <w:tcPr>
            <w:tcW w:w="1418" w:type="dxa"/>
          </w:tcPr>
          <w:p w14:paraId="3C5D3DFA" w14:textId="77777777" w:rsidR="0015258D" w:rsidRDefault="0015258D" w:rsidP="005D7CBC">
            <w:pPr>
              <w:spacing w:before="40" w:after="40" w:line="240" w:lineRule="auto"/>
              <w:ind w:left="0"/>
              <w:rPr>
                <w:rFonts w:ascii="Arial Narrow" w:hAnsi="Arial Narrow"/>
                <w:b/>
              </w:rPr>
            </w:pPr>
            <w:r>
              <w:rPr>
                <w:rFonts w:ascii="Arial Narrow" w:hAnsi="Arial Narrow"/>
                <w:b/>
              </w:rPr>
              <w:t>0.4 g/kg</w:t>
            </w:r>
          </w:p>
          <w:p w14:paraId="601F6354" w14:textId="77777777" w:rsidR="0015258D" w:rsidRPr="005D7CBC" w:rsidRDefault="0015258D" w:rsidP="005D7CBC">
            <w:pPr>
              <w:spacing w:before="40" w:after="40" w:line="240" w:lineRule="auto"/>
              <w:ind w:left="0"/>
              <w:rPr>
                <w:rFonts w:ascii="Arial Narrow" w:hAnsi="Arial Narrow"/>
                <w:b/>
              </w:rPr>
            </w:pPr>
            <w:r>
              <w:rPr>
                <w:rFonts w:ascii="Arial Narrow" w:hAnsi="Arial Narrow"/>
                <w:b/>
              </w:rPr>
              <w:t>N</w:t>
            </w:r>
            <w:r w:rsidR="00EC6073">
              <w:rPr>
                <w:rFonts w:ascii="Arial Narrow" w:hAnsi="Arial Narrow"/>
                <w:b/>
              </w:rPr>
              <w:t>/56</w:t>
            </w:r>
            <w:r>
              <w:rPr>
                <w:rFonts w:ascii="Arial Narrow" w:hAnsi="Arial Narrow"/>
                <w:b/>
              </w:rPr>
              <w:t xml:space="preserve"> (%)</w:t>
            </w:r>
          </w:p>
        </w:tc>
        <w:tc>
          <w:tcPr>
            <w:tcW w:w="2409" w:type="dxa"/>
          </w:tcPr>
          <w:p w14:paraId="2F32809B" w14:textId="77777777" w:rsidR="0015258D" w:rsidRDefault="0015258D" w:rsidP="0015258D">
            <w:pPr>
              <w:spacing w:before="40" w:after="40" w:line="240" w:lineRule="auto"/>
              <w:ind w:left="0"/>
              <w:rPr>
                <w:rFonts w:ascii="Arial Narrow" w:hAnsi="Arial Narrow"/>
                <w:b/>
              </w:rPr>
            </w:pPr>
            <w:r>
              <w:rPr>
                <w:rFonts w:ascii="Arial Narrow" w:hAnsi="Arial Narrow"/>
                <w:b/>
              </w:rPr>
              <w:t>Difference (p)</w:t>
            </w:r>
          </w:p>
          <w:p w14:paraId="3F7C9426" w14:textId="77777777" w:rsidR="0015258D" w:rsidRDefault="0015258D" w:rsidP="0015258D">
            <w:pPr>
              <w:spacing w:before="40" w:after="40" w:line="240" w:lineRule="auto"/>
              <w:ind w:left="0"/>
              <w:rPr>
                <w:rFonts w:ascii="Arial Narrow" w:hAnsi="Arial Narrow"/>
                <w:b/>
              </w:rPr>
            </w:pPr>
            <w:r>
              <w:rPr>
                <w:rFonts w:ascii="Arial Narrow" w:hAnsi="Arial Narrow"/>
                <w:b/>
              </w:rPr>
              <w:t>0.2 g/kg vs p</w:t>
            </w:r>
            <w:r w:rsidR="005F64B2">
              <w:rPr>
                <w:rFonts w:ascii="Arial Narrow" w:hAnsi="Arial Narrow"/>
                <w:b/>
              </w:rPr>
              <w:t>lace</w:t>
            </w:r>
            <w:r>
              <w:rPr>
                <w:rFonts w:ascii="Arial Narrow" w:hAnsi="Arial Narrow"/>
                <w:b/>
              </w:rPr>
              <w:t>bo</w:t>
            </w:r>
          </w:p>
          <w:p w14:paraId="294C477A" w14:textId="77777777" w:rsidR="0015258D" w:rsidRDefault="0015258D" w:rsidP="0015258D">
            <w:pPr>
              <w:spacing w:before="40" w:after="40" w:line="240" w:lineRule="auto"/>
              <w:ind w:left="0"/>
              <w:rPr>
                <w:rFonts w:ascii="Arial Narrow" w:hAnsi="Arial Narrow"/>
                <w:b/>
              </w:rPr>
            </w:pPr>
            <w:r>
              <w:rPr>
                <w:rFonts w:ascii="Arial Narrow" w:hAnsi="Arial Narrow"/>
                <w:b/>
              </w:rPr>
              <w:t>0.4 g/kg vs p</w:t>
            </w:r>
            <w:r w:rsidR="005F64B2">
              <w:rPr>
                <w:rFonts w:ascii="Arial Narrow" w:hAnsi="Arial Narrow"/>
                <w:b/>
              </w:rPr>
              <w:t>lace</w:t>
            </w:r>
            <w:r>
              <w:rPr>
                <w:rFonts w:ascii="Arial Narrow" w:hAnsi="Arial Narrow"/>
                <w:b/>
              </w:rPr>
              <w:t>bo</w:t>
            </w:r>
          </w:p>
          <w:p w14:paraId="6E5EECB5" w14:textId="77777777" w:rsidR="0015258D" w:rsidRDefault="0015258D" w:rsidP="0015258D">
            <w:pPr>
              <w:spacing w:before="40" w:after="40" w:line="240" w:lineRule="auto"/>
              <w:ind w:left="0"/>
              <w:rPr>
                <w:rFonts w:ascii="Arial Narrow" w:hAnsi="Arial Narrow"/>
                <w:b/>
              </w:rPr>
            </w:pPr>
            <w:r>
              <w:rPr>
                <w:rFonts w:ascii="Arial Narrow" w:hAnsi="Arial Narrow"/>
                <w:b/>
              </w:rPr>
              <w:t>0.4 vs 0.2 g/kg</w:t>
            </w:r>
          </w:p>
        </w:tc>
      </w:tr>
      <w:tr w:rsidR="0015258D" w:rsidRPr="005D7CBC" w14:paraId="4F458636" w14:textId="77777777" w:rsidTr="0015258D">
        <w:tc>
          <w:tcPr>
            <w:tcW w:w="2254" w:type="dxa"/>
          </w:tcPr>
          <w:p w14:paraId="3C648BB9" w14:textId="77777777" w:rsidR="0015258D" w:rsidRPr="005D7CBC" w:rsidRDefault="0015258D" w:rsidP="005D7CBC">
            <w:pPr>
              <w:spacing w:before="40" w:after="40" w:line="240" w:lineRule="auto"/>
              <w:ind w:left="0"/>
              <w:rPr>
                <w:rFonts w:ascii="Arial Narrow" w:hAnsi="Arial Narrow"/>
              </w:rPr>
            </w:pPr>
            <w:r>
              <w:rPr>
                <w:rFonts w:ascii="Arial Narrow" w:hAnsi="Arial Narrow"/>
              </w:rPr>
              <w:t>Mobility</w:t>
            </w:r>
          </w:p>
        </w:tc>
        <w:tc>
          <w:tcPr>
            <w:tcW w:w="1569" w:type="dxa"/>
          </w:tcPr>
          <w:p w14:paraId="7851042E"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33</w:t>
            </w:r>
            <w:r w:rsidR="0015258D">
              <w:rPr>
                <w:rFonts w:ascii="Arial Narrow" w:hAnsi="Arial Narrow"/>
              </w:rPr>
              <w:t xml:space="preserve"> (</w:t>
            </w:r>
            <w:r>
              <w:rPr>
                <w:rFonts w:ascii="Arial Narrow" w:hAnsi="Arial Narrow"/>
              </w:rPr>
              <w:t>60.0</w:t>
            </w:r>
            <w:r w:rsidR="0015258D">
              <w:rPr>
                <w:rFonts w:ascii="Arial Narrow" w:hAnsi="Arial Narrow"/>
              </w:rPr>
              <w:t>)</w:t>
            </w:r>
          </w:p>
        </w:tc>
        <w:tc>
          <w:tcPr>
            <w:tcW w:w="1417" w:type="dxa"/>
          </w:tcPr>
          <w:p w14:paraId="571A5FF5"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48</w:t>
            </w:r>
            <w:r w:rsidR="0015258D">
              <w:rPr>
                <w:rFonts w:ascii="Arial Narrow" w:hAnsi="Arial Narrow"/>
              </w:rPr>
              <w:t xml:space="preserve"> (</w:t>
            </w:r>
            <w:r>
              <w:rPr>
                <w:rFonts w:ascii="Arial Narrow" w:hAnsi="Arial Narrow"/>
              </w:rPr>
              <w:t>88.9)</w:t>
            </w:r>
          </w:p>
        </w:tc>
        <w:tc>
          <w:tcPr>
            <w:tcW w:w="1418" w:type="dxa"/>
          </w:tcPr>
          <w:p w14:paraId="29E00E9A"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46 (82.1)</w:t>
            </w:r>
          </w:p>
        </w:tc>
        <w:tc>
          <w:tcPr>
            <w:tcW w:w="2409" w:type="dxa"/>
          </w:tcPr>
          <w:p w14:paraId="139CE032" w14:textId="77777777" w:rsidR="0015258D" w:rsidRDefault="00EC6073" w:rsidP="00143697">
            <w:pPr>
              <w:spacing w:before="40" w:after="40" w:line="240" w:lineRule="auto"/>
              <w:ind w:left="0"/>
              <w:jc w:val="center"/>
              <w:rPr>
                <w:rFonts w:ascii="Arial Narrow" w:hAnsi="Arial Narrow"/>
              </w:rPr>
            </w:pPr>
            <w:r>
              <w:rPr>
                <w:rFonts w:ascii="Arial Narrow" w:hAnsi="Arial Narrow"/>
              </w:rPr>
              <w:t>0.002</w:t>
            </w:r>
          </w:p>
          <w:p w14:paraId="0451A520" w14:textId="77777777" w:rsidR="00EC6073" w:rsidRDefault="00EC6073" w:rsidP="00143697">
            <w:pPr>
              <w:spacing w:before="40" w:after="40" w:line="240" w:lineRule="auto"/>
              <w:ind w:left="0"/>
              <w:jc w:val="center"/>
              <w:rPr>
                <w:rFonts w:ascii="Arial Narrow" w:hAnsi="Arial Narrow"/>
              </w:rPr>
            </w:pPr>
            <w:r>
              <w:rPr>
                <w:rFonts w:ascii="Arial Narrow" w:hAnsi="Arial Narrow"/>
              </w:rPr>
              <w:t>0.009</w:t>
            </w:r>
          </w:p>
          <w:p w14:paraId="4B3870A0" w14:textId="77777777" w:rsidR="00EC6073" w:rsidRPr="005D7CBC" w:rsidRDefault="00EC6073" w:rsidP="00143697">
            <w:pPr>
              <w:spacing w:before="40" w:after="40" w:line="240" w:lineRule="auto"/>
              <w:ind w:left="0"/>
              <w:jc w:val="center"/>
              <w:rPr>
                <w:rFonts w:ascii="Arial Narrow" w:hAnsi="Arial Narrow"/>
              </w:rPr>
            </w:pPr>
            <w:r>
              <w:rPr>
                <w:rFonts w:ascii="Arial Narrow" w:hAnsi="Arial Narrow"/>
              </w:rPr>
              <w:t>0.780</w:t>
            </w:r>
          </w:p>
        </w:tc>
      </w:tr>
      <w:tr w:rsidR="0015258D" w:rsidRPr="005D7CBC" w14:paraId="182968E8" w14:textId="77777777" w:rsidTr="0015258D">
        <w:tc>
          <w:tcPr>
            <w:tcW w:w="2254" w:type="dxa"/>
          </w:tcPr>
          <w:p w14:paraId="393AA886" w14:textId="77777777" w:rsidR="0015258D" w:rsidRPr="005D7CBC" w:rsidRDefault="00EC6073" w:rsidP="005D7CBC">
            <w:pPr>
              <w:spacing w:before="40" w:after="40" w:line="240" w:lineRule="auto"/>
              <w:ind w:left="0"/>
              <w:rPr>
                <w:rFonts w:ascii="Arial Narrow" w:hAnsi="Arial Narrow"/>
              </w:rPr>
            </w:pPr>
            <w:r>
              <w:rPr>
                <w:rFonts w:ascii="Arial Narrow" w:hAnsi="Arial Narrow"/>
              </w:rPr>
              <w:t>Self-care</w:t>
            </w:r>
          </w:p>
        </w:tc>
        <w:tc>
          <w:tcPr>
            <w:tcW w:w="1569" w:type="dxa"/>
          </w:tcPr>
          <w:p w14:paraId="1A5FED88"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36 (65.5)</w:t>
            </w:r>
          </w:p>
        </w:tc>
        <w:tc>
          <w:tcPr>
            <w:tcW w:w="1417" w:type="dxa"/>
          </w:tcPr>
          <w:p w14:paraId="6D282D81"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48 (82.8)</w:t>
            </w:r>
          </w:p>
        </w:tc>
        <w:tc>
          <w:tcPr>
            <w:tcW w:w="1418" w:type="dxa"/>
          </w:tcPr>
          <w:p w14:paraId="3966A96C"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48 (85.7)</w:t>
            </w:r>
          </w:p>
        </w:tc>
        <w:tc>
          <w:tcPr>
            <w:tcW w:w="2409" w:type="dxa"/>
          </w:tcPr>
          <w:p w14:paraId="327E5BF1" w14:textId="77777777" w:rsidR="0015258D" w:rsidRDefault="00EC6073" w:rsidP="00143697">
            <w:pPr>
              <w:spacing w:before="40" w:after="40" w:line="240" w:lineRule="auto"/>
              <w:ind w:left="0"/>
              <w:jc w:val="center"/>
              <w:rPr>
                <w:rFonts w:ascii="Arial Narrow" w:hAnsi="Arial Narrow"/>
              </w:rPr>
            </w:pPr>
            <w:r>
              <w:rPr>
                <w:rFonts w:ascii="Arial Narrow" w:hAnsi="Arial Narrow"/>
              </w:rPr>
              <w:t>0.011</w:t>
            </w:r>
          </w:p>
          <w:p w14:paraId="3499FFDF" w14:textId="77777777" w:rsidR="00EC6073" w:rsidRDefault="00EC6073" w:rsidP="00143697">
            <w:pPr>
              <w:spacing w:before="40" w:after="40" w:line="240" w:lineRule="auto"/>
              <w:ind w:left="0"/>
              <w:jc w:val="center"/>
              <w:rPr>
                <w:rFonts w:ascii="Arial Narrow" w:hAnsi="Arial Narrow"/>
              </w:rPr>
            </w:pPr>
            <w:r>
              <w:rPr>
                <w:rFonts w:ascii="Arial Narrow" w:hAnsi="Arial Narrow"/>
              </w:rPr>
              <w:t>0.011</w:t>
            </w:r>
          </w:p>
          <w:p w14:paraId="12F9E741" w14:textId="77777777" w:rsidR="00EC6073" w:rsidRPr="005D7CBC" w:rsidRDefault="00EC6073" w:rsidP="00143697">
            <w:pPr>
              <w:spacing w:before="40" w:after="40" w:line="240" w:lineRule="auto"/>
              <w:ind w:left="0"/>
              <w:jc w:val="center"/>
              <w:rPr>
                <w:rFonts w:ascii="Arial Narrow" w:hAnsi="Arial Narrow"/>
              </w:rPr>
            </w:pPr>
            <w:r>
              <w:rPr>
                <w:rFonts w:ascii="Arial Narrow" w:hAnsi="Arial Narrow"/>
              </w:rPr>
              <w:t>0.606</w:t>
            </w:r>
          </w:p>
        </w:tc>
      </w:tr>
      <w:tr w:rsidR="0015258D" w:rsidRPr="005D7CBC" w14:paraId="18CD9652" w14:textId="77777777" w:rsidTr="0015258D">
        <w:tc>
          <w:tcPr>
            <w:tcW w:w="2254" w:type="dxa"/>
          </w:tcPr>
          <w:p w14:paraId="07AA39EB" w14:textId="77777777" w:rsidR="0015258D" w:rsidRPr="005D7CBC" w:rsidRDefault="00EC6073" w:rsidP="005D7CBC">
            <w:pPr>
              <w:spacing w:before="40" w:after="40" w:line="240" w:lineRule="auto"/>
              <w:ind w:left="0"/>
              <w:rPr>
                <w:rFonts w:ascii="Arial Narrow" w:hAnsi="Arial Narrow"/>
              </w:rPr>
            </w:pPr>
            <w:r>
              <w:rPr>
                <w:rFonts w:ascii="Arial Narrow" w:hAnsi="Arial Narrow"/>
              </w:rPr>
              <w:t>Usual activities</w:t>
            </w:r>
          </w:p>
        </w:tc>
        <w:tc>
          <w:tcPr>
            <w:tcW w:w="1569" w:type="dxa"/>
          </w:tcPr>
          <w:p w14:paraId="287C913D"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31 (56.4)</w:t>
            </w:r>
          </w:p>
        </w:tc>
        <w:tc>
          <w:tcPr>
            <w:tcW w:w="1417" w:type="dxa"/>
          </w:tcPr>
          <w:p w14:paraId="4DDC92B9"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47 (83.9)</w:t>
            </w:r>
          </w:p>
        </w:tc>
        <w:tc>
          <w:tcPr>
            <w:tcW w:w="1418" w:type="dxa"/>
          </w:tcPr>
          <w:p w14:paraId="21F59A93"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49 (87.5)</w:t>
            </w:r>
          </w:p>
        </w:tc>
        <w:tc>
          <w:tcPr>
            <w:tcW w:w="2409" w:type="dxa"/>
          </w:tcPr>
          <w:p w14:paraId="6637CB4C" w14:textId="77777777" w:rsidR="0015258D" w:rsidRDefault="00EC6073" w:rsidP="00143697">
            <w:pPr>
              <w:spacing w:before="40" w:after="40" w:line="240" w:lineRule="auto"/>
              <w:ind w:left="0"/>
              <w:jc w:val="center"/>
              <w:rPr>
                <w:rFonts w:ascii="Arial Narrow" w:hAnsi="Arial Narrow"/>
              </w:rPr>
            </w:pPr>
            <w:r>
              <w:rPr>
                <w:rFonts w:ascii="Arial Narrow" w:hAnsi="Arial Narrow"/>
              </w:rPr>
              <w:t>0.001</w:t>
            </w:r>
          </w:p>
          <w:p w14:paraId="057F10E8" w14:textId="77777777" w:rsidR="00EC6073" w:rsidRDefault="00EC6073" w:rsidP="00143697">
            <w:pPr>
              <w:spacing w:before="40" w:after="40" w:line="240" w:lineRule="auto"/>
              <w:ind w:left="0"/>
              <w:jc w:val="center"/>
              <w:rPr>
                <w:rFonts w:ascii="Arial Narrow" w:hAnsi="Arial Narrow"/>
              </w:rPr>
            </w:pPr>
            <w:r>
              <w:rPr>
                <w:rFonts w:ascii="Arial Narrow" w:hAnsi="Arial Narrow"/>
              </w:rPr>
              <w:t>&lt;0.001</w:t>
            </w:r>
          </w:p>
          <w:p w14:paraId="76B85624" w14:textId="77777777" w:rsidR="00EC6073" w:rsidRPr="005D7CBC" w:rsidRDefault="00EC6073" w:rsidP="00143697">
            <w:pPr>
              <w:spacing w:before="40" w:after="40" w:line="240" w:lineRule="auto"/>
              <w:ind w:left="0"/>
              <w:jc w:val="center"/>
              <w:rPr>
                <w:rFonts w:ascii="Arial Narrow" w:hAnsi="Arial Narrow"/>
              </w:rPr>
            </w:pPr>
            <w:r>
              <w:rPr>
                <w:rFonts w:ascii="Arial Narrow" w:hAnsi="Arial Narrow"/>
              </w:rPr>
              <w:t>0.394</w:t>
            </w:r>
          </w:p>
        </w:tc>
      </w:tr>
      <w:tr w:rsidR="0015258D" w:rsidRPr="005D7CBC" w14:paraId="12C9AD6C" w14:textId="77777777" w:rsidTr="0015258D">
        <w:tc>
          <w:tcPr>
            <w:tcW w:w="2254" w:type="dxa"/>
          </w:tcPr>
          <w:p w14:paraId="220C895A" w14:textId="77777777" w:rsidR="0015258D" w:rsidRPr="005D7CBC" w:rsidRDefault="00EC6073" w:rsidP="005D7CBC">
            <w:pPr>
              <w:spacing w:before="40" w:after="40" w:line="240" w:lineRule="auto"/>
              <w:ind w:left="0"/>
              <w:rPr>
                <w:rFonts w:ascii="Arial Narrow" w:hAnsi="Arial Narrow"/>
              </w:rPr>
            </w:pPr>
            <w:r>
              <w:rPr>
                <w:rFonts w:ascii="Arial Narrow" w:hAnsi="Arial Narrow"/>
              </w:rPr>
              <w:t>Pain/discomfort</w:t>
            </w:r>
          </w:p>
        </w:tc>
        <w:tc>
          <w:tcPr>
            <w:tcW w:w="1569" w:type="dxa"/>
          </w:tcPr>
          <w:p w14:paraId="55FE1910"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38 (69.1)</w:t>
            </w:r>
          </w:p>
        </w:tc>
        <w:tc>
          <w:tcPr>
            <w:tcW w:w="1417" w:type="dxa"/>
          </w:tcPr>
          <w:p w14:paraId="10144CB6"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51 (91.1)</w:t>
            </w:r>
          </w:p>
        </w:tc>
        <w:tc>
          <w:tcPr>
            <w:tcW w:w="1418" w:type="dxa"/>
          </w:tcPr>
          <w:p w14:paraId="75CFAA0C"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49 (87.5)</w:t>
            </w:r>
          </w:p>
        </w:tc>
        <w:tc>
          <w:tcPr>
            <w:tcW w:w="2409" w:type="dxa"/>
          </w:tcPr>
          <w:p w14:paraId="3ABB7696" w14:textId="77777777" w:rsidR="0015258D" w:rsidRDefault="00EC6073" w:rsidP="00143697">
            <w:pPr>
              <w:spacing w:before="40" w:after="40" w:line="240" w:lineRule="auto"/>
              <w:ind w:left="0"/>
              <w:jc w:val="center"/>
              <w:rPr>
                <w:rFonts w:ascii="Arial Narrow" w:hAnsi="Arial Narrow"/>
              </w:rPr>
            </w:pPr>
            <w:r>
              <w:rPr>
                <w:rFonts w:ascii="Arial Narrow" w:hAnsi="Arial Narrow"/>
              </w:rPr>
              <w:t>0.003</w:t>
            </w:r>
          </w:p>
          <w:p w14:paraId="44C12572" w14:textId="77777777" w:rsidR="00EC6073" w:rsidRDefault="00EC6073" w:rsidP="00143697">
            <w:pPr>
              <w:spacing w:before="40" w:after="40" w:line="240" w:lineRule="auto"/>
              <w:ind w:left="0"/>
              <w:jc w:val="center"/>
              <w:rPr>
                <w:rFonts w:ascii="Arial Narrow" w:hAnsi="Arial Narrow"/>
              </w:rPr>
            </w:pPr>
            <w:r>
              <w:rPr>
                <w:rFonts w:ascii="Arial Narrow" w:hAnsi="Arial Narrow"/>
              </w:rPr>
              <w:t>0.016</w:t>
            </w:r>
          </w:p>
          <w:p w14:paraId="40C64ECC" w14:textId="77777777" w:rsidR="00EC6073" w:rsidRPr="005D7CBC" w:rsidRDefault="00EC6073" w:rsidP="00143697">
            <w:pPr>
              <w:spacing w:before="40" w:after="40" w:line="240" w:lineRule="auto"/>
              <w:ind w:left="0"/>
              <w:jc w:val="center"/>
              <w:rPr>
                <w:rFonts w:ascii="Arial Narrow" w:hAnsi="Arial Narrow"/>
              </w:rPr>
            </w:pPr>
            <w:r>
              <w:rPr>
                <w:rFonts w:ascii="Arial Narrow" w:hAnsi="Arial Narrow"/>
              </w:rPr>
              <w:t>0.820</w:t>
            </w:r>
          </w:p>
        </w:tc>
      </w:tr>
      <w:tr w:rsidR="0015258D" w:rsidRPr="005D7CBC" w14:paraId="4EE46054" w14:textId="77777777" w:rsidTr="0015258D">
        <w:tc>
          <w:tcPr>
            <w:tcW w:w="2254" w:type="dxa"/>
          </w:tcPr>
          <w:p w14:paraId="5E0EBC62" w14:textId="77777777" w:rsidR="0015258D" w:rsidRPr="005D7CBC" w:rsidRDefault="00EC6073" w:rsidP="005D7CBC">
            <w:pPr>
              <w:spacing w:before="40" w:after="40" w:line="240" w:lineRule="auto"/>
              <w:ind w:left="0"/>
              <w:rPr>
                <w:rFonts w:ascii="Arial Narrow" w:hAnsi="Arial Narrow"/>
              </w:rPr>
            </w:pPr>
            <w:r>
              <w:rPr>
                <w:rFonts w:ascii="Arial Narrow" w:hAnsi="Arial Narrow"/>
              </w:rPr>
              <w:t>Anxiety/depression</w:t>
            </w:r>
          </w:p>
        </w:tc>
        <w:tc>
          <w:tcPr>
            <w:tcW w:w="1569" w:type="dxa"/>
          </w:tcPr>
          <w:p w14:paraId="765DE59F"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37 (67.3)</w:t>
            </w:r>
          </w:p>
        </w:tc>
        <w:tc>
          <w:tcPr>
            <w:tcW w:w="1417" w:type="dxa"/>
          </w:tcPr>
          <w:p w14:paraId="0B3F05CB"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48 (85.7)</w:t>
            </w:r>
          </w:p>
        </w:tc>
        <w:tc>
          <w:tcPr>
            <w:tcW w:w="1418" w:type="dxa"/>
          </w:tcPr>
          <w:p w14:paraId="0BCDE822" w14:textId="77777777" w:rsidR="0015258D" w:rsidRPr="005D7CBC" w:rsidRDefault="00EC6073" w:rsidP="00143697">
            <w:pPr>
              <w:spacing w:before="40" w:after="40" w:line="240" w:lineRule="auto"/>
              <w:ind w:left="0"/>
              <w:jc w:val="center"/>
              <w:rPr>
                <w:rFonts w:ascii="Arial Narrow" w:hAnsi="Arial Narrow"/>
              </w:rPr>
            </w:pPr>
            <w:r>
              <w:rPr>
                <w:rFonts w:ascii="Arial Narrow" w:hAnsi="Arial Narrow"/>
              </w:rPr>
              <w:t>48 (85.7)</w:t>
            </w:r>
          </w:p>
        </w:tc>
        <w:tc>
          <w:tcPr>
            <w:tcW w:w="2409" w:type="dxa"/>
          </w:tcPr>
          <w:p w14:paraId="754F1A58" w14:textId="77777777" w:rsidR="0015258D" w:rsidRDefault="00EC6073" w:rsidP="00143697">
            <w:pPr>
              <w:spacing w:before="40" w:after="40" w:line="240" w:lineRule="auto"/>
              <w:ind w:left="0"/>
              <w:jc w:val="center"/>
              <w:rPr>
                <w:rFonts w:ascii="Arial Narrow" w:hAnsi="Arial Narrow"/>
              </w:rPr>
            </w:pPr>
            <w:r>
              <w:rPr>
                <w:rFonts w:ascii="Arial Narrow" w:hAnsi="Arial Narrow"/>
              </w:rPr>
              <w:t>0.019</w:t>
            </w:r>
          </w:p>
          <w:p w14:paraId="76B2926F" w14:textId="77777777" w:rsidR="00EC6073" w:rsidRDefault="00EC6073" w:rsidP="00143697">
            <w:pPr>
              <w:spacing w:before="40" w:after="40" w:line="240" w:lineRule="auto"/>
              <w:ind w:left="0"/>
              <w:jc w:val="center"/>
              <w:rPr>
                <w:rFonts w:ascii="Arial Narrow" w:hAnsi="Arial Narrow"/>
              </w:rPr>
            </w:pPr>
            <w:r>
              <w:rPr>
                <w:rFonts w:ascii="Arial Narrow" w:hAnsi="Arial Narrow"/>
              </w:rPr>
              <w:t>0.019</w:t>
            </w:r>
          </w:p>
          <w:p w14:paraId="3BA89EE4" w14:textId="77777777" w:rsidR="00EC6073" w:rsidRPr="005D7CBC" w:rsidRDefault="00EC6073" w:rsidP="00143697">
            <w:pPr>
              <w:spacing w:before="40" w:after="40" w:line="240" w:lineRule="auto"/>
              <w:ind w:left="0"/>
              <w:jc w:val="center"/>
              <w:rPr>
                <w:rFonts w:ascii="Arial Narrow" w:hAnsi="Arial Narrow"/>
              </w:rPr>
            </w:pPr>
            <w:r>
              <w:rPr>
                <w:rFonts w:ascii="Arial Narrow" w:hAnsi="Arial Narrow"/>
              </w:rPr>
              <w:t>0.606</w:t>
            </w:r>
          </w:p>
        </w:tc>
      </w:tr>
    </w:tbl>
    <w:p w14:paraId="2A5045A4" w14:textId="77777777" w:rsidR="001155A7" w:rsidRDefault="001155A7" w:rsidP="001155A7">
      <w:pPr>
        <w:pStyle w:val="Tablenotes0"/>
      </w:pPr>
      <w:r w:rsidRPr="001155A7">
        <w:t>Abbreviations: EQ-5D = EuroQoL 5-dimension health profile</w:t>
      </w:r>
    </w:p>
    <w:p w14:paraId="648C7739" w14:textId="77777777" w:rsidR="001155A7" w:rsidRDefault="001155A7" w:rsidP="001155A7">
      <w:pPr>
        <w:pStyle w:val="Tablenotes0"/>
      </w:pPr>
    </w:p>
    <w:p w14:paraId="7BC6ACF4" w14:textId="77777777" w:rsidR="005D7CBC" w:rsidRDefault="005F64B2" w:rsidP="005F64B2">
      <w:pPr>
        <w:pStyle w:val="Heading5"/>
      </w:pPr>
      <w:r>
        <w:t>EQ-VAS</w:t>
      </w:r>
    </w:p>
    <w:p w14:paraId="0FE61863" w14:textId="272BBEB9" w:rsidR="005F64B2" w:rsidRDefault="009260D8" w:rsidP="00192373">
      <w:pPr>
        <w:jc w:val="both"/>
      </w:pPr>
      <w:r>
        <w:t xml:space="preserve">There was a greater decline in overall health status for patients in the placebo group than </w:t>
      </w:r>
      <w:r w:rsidR="00585BF7">
        <w:t>in either treatment group</w:t>
      </w:r>
      <w:r>
        <w:t xml:space="preserve">. The differences in EQ-VAS were statistically significant in both instances (Wilcoxon p </w:t>
      </w:r>
      <w:r>
        <w:rPr>
          <w:rFonts w:cs="Calibri"/>
        </w:rPr>
        <w:t>≤</w:t>
      </w:r>
      <w:r>
        <w:t xml:space="preserve"> 0.005). The median score declined in the 0.2 g/kg group (-5.0 points; Q1, Q3: -15.0. 6.0) as well as the placebo group (-10.0 points; Q1, Q3: -25.0, 0.0) but remained stable in the 0.4 g/kg group (0.0 points; Q1, Q3: -7.5, 5.5)</w:t>
      </w:r>
      <w:r w:rsidR="009B6B8F">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r w:rsidR="00B727D6">
        <w:fldChar w:fldCharType="end"/>
      </w:r>
      <w:r>
        <w:t xml:space="preserve">. Results are presented graphically in </w:t>
      </w:r>
      <w:r w:rsidR="00381551">
        <w:fldChar w:fldCharType="begin"/>
      </w:r>
      <w:r w:rsidR="00381551">
        <w:instrText xml:space="preserve"> REF _Ref57214084 \h </w:instrText>
      </w:r>
      <w:r w:rsidR="00192373">
        <w:instrText xml:space="preserve"> \* MERGEFORMAT </w:instrText>
      </w:r>
      <w:r w:rsidR="00381551">
        <w:fldChar w:fldCharType="separate"/>
      </w:r>
      <w:r w:rsidR="004B3EA2">
        <w:t xml:space="preserve">Figure </w:t>
      </w:r>
      <w:r w:rsidR="004B3EA2">
        <w:rPr>
          <w:noProof/>
        </w:rPr>
        <w:t>5</w:t>
      </w:r>
      <w:r w:rsidR="00381551">
        <w:fldChar w:fldCharType="end"/>
      </w:r>
      <w:r w:rsidR="00381551">
        <w:t>. The observed data was used for this analysis.</w:t>
      </w:r>
    </w:p>
    <w:p w14:paraId="0942384E" w14:textId="77777777" w:rsidR="009260D8" w:rsidRDefault="009260D8" w:rsidP="00835A20">
      <w:r>
        <w:rPr>
          <w:noProof/>
        </w:rPr>
        <w:drawing>
          <wp:inline distT="0" distB="0" distL="0" distR="0" wp14:anchorId="06D87E6A" wp14:editId="2DCBBCF9">
            <wp:extent cx="4114800" cy="2518298"/>
            <wp:effectExtent l="0" t="0" r="0" b="0"/>
            <wp:docPr id="2" name="Picture 2" descr="EQ-VAS: median change from baseline to past post-dose observation " title="EQ-VAS: median change from baseline to past post-dose ob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38594" cy="2532860"/>
                    </a:xfrm>
                    <a:prstGeom prst="rect">
                      <a:avLst/>
                    </a:prstGeom>
                  </pic:spPr>
                </pic:pic>
              </a:graphicData>
            </a:graphic>
          </wp:inline>
        </w:drawing>
      </w:r>
    </w:p>
    <w:p w14:paraId="4C76AD80" w14:textId="544074C8" w:rsidR="009260D8" w:rsidRDefault="00381551" w:rsidP="00381551">
      <w:pPr>
        <w:pStyle w:val="Caption"/>
      </w:pPr>
      <w:bookmarkStart w:id="182" w:name="_Ref57214084"/>
      <w:bookmarkStart w:id="183" w:name="_Toc69305737"/>
      <w:r>
        <w:t xml:space="preserve">Figure </w:t>
      </w:r>
      <w:r w:rsidR="00003BA5">
        <w:fldChar w:fldCharType="begin"/>
      </w:r>
      <w:r w:rsidR="00003BA5">
        <w:instrText xml:space="preserve"> SEQ Figure \* ARABIC </w:instrText>
      </w:r>
      <w:r w:rsidR="00003BA5">
        <w:fldChar w:fldCharType="separate"/>
      </w:r>
      <w:r w:rsidR="004B3EA2">
        <w:rPr>
          <w:noProof/>
        </w:rPr>
        <w:t>5</w:t>
      </w:r>
      <w:r w:rsidR="00003BA5">
        <w:rPr>
          <w:noProof/>
        </w:rPr>
        <w:fldChar w:fldCharType="end"/>
      </w:r>
      <w:bookmarkEnd w:id="182"/>
      <w:r>
        <w:tab/>
        <w:t>EQ-VAS: median change from baseline to past post-dose observation</w:t>
      </w:r>
      <w:r w:rsidR="009B6B8F">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bookmarkEnd w:id="183"/>
      <w:r w:rsidR="00B727D6">
        <w:fldChar w:fldCharType="end"/>
      </w:r>
    </w:p>
    <w:p w14:paraId="7FEAE4EF" w14:textId="77777777" w:rsidR="001155A7" w:rsidRDefault="001155A7" w:rsidP="001155A7">
      <w:pPr>
        <w:pStyle w:val="Tablenotes0"/>
      </w:pPr>
      <w:r w:rsidRPr="001155A7">
        <w:t>Abbreviations: EQ-VAS = EurQoL health status visual analogue scale; Q = quartile</w:t>
      </w:r>
    </w:p>
    <w:p w14:paraId="715D9211" w14:textId="77777777" w:rsidR="00381551" w:rsidRDefault="00381551" w:rsidP="00381551">
      <w:pPr>
        <w:pStyle w:val="Heading5"/>
      </w:pPr>
      <w:r>
        <w:t>TSQM</w:t>
      </w:r>
    </w:p>
    <w:p w14:paraId="2DB99016" w14:textId="1663C76C" w:rsidR="00381551" w:rsidRDefault="00381551" w:rsidP="00192373">
      <w:pPr>
        <w:jc w:val="both"/>
      </w:pPr>
      <w:r>
        <w:t>There were some differences between treatment groups for change in TSQM</w:t>
      </w:r>
      <w:r w:rsidR="009F25D7">
        <w:t xml:space="preserve"> domains</w:t>
      </w:r>
      <w:r>
        <w:t xml:space="preserve">, however none of them reached statistical significance. The largest differences were found for overall satisfaction and effectiveness. The greatest reduction for both of these </w:t>
      </w:r>
      <w:r w:rsidR="009F25D7">
        <w:t>domain</w:t>
      </w:r>
      <w:r>
        <w:t xml:space="preserve">s was in the placebo group, </w:t>
      </w:r>
      <w:r w:rsidR="00C25EE2">
        <w:t xml:space="preserve">but there was a reduction in all groups. There were only minor differences for the </w:t>
      </w:r>
      <w:r w:rsidR="009F25D7">
        <w:t>domains</w:t>
      </w:r>
      <w:r w:rsidR="00C25EE2">
        <w:t xml:space="preserve"> of side effects and convenience</w:t>
      </w:r>
      <w:r w:rsidR="009B6B8F">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r w:rsidR="00B727D6">
        <w:fldChar w:fldCharType="end"/>
      </w:r>
      <w:r w:rsidR="00C25EE2">
        <w:t>. Results are reported graphically for overall satisfaction and effectiveness (</w:t>
      </w:r>
      <w:r w:rsidR="00C25EE2">
        <w:fldChar w:fldCharType="begin"/>
      </w:r>
      <w:r w:rsidR="00C25EE2">
        <w:instrText xml:space="preserve"> REF _Ref57214986 \h </w:instrText>
      </w:r>
      <w:r w:rsidR="00192373">
        <w:instrText xml:space="preserve"> \* MERGEFORMAT </w:instrText>
      </w:r>
      <w:r w:rsidR="00C25EE2">
        <w:fldChar w:fldCharType="separate"/>
      </w:r>
      <w:r w:rsidR="004B3EA2">
        <w:t xml:space="preserve">Figure </w:t>
      </w:r>
      <w:r w:rsidR="004B3EA2">
        <w:rPr>
          <w:noProof/>
        </w:rPr>
        <w:t>6</w:t>
      </w:r>
      <w:r w:rsidR="00C25EE2">
        <w:fldChar w:fldCharType="end"/>
      </w:r>
      <w:r w:rsidR="00C25EE2">
        <w:t>).</w:t>
      </w:r>
    </w:p>
    <w:p w14:paraId="42D963D9" w14:textId="77777777" w:rsidR="00381551" w:rsidRDefault="00C25EE2" w:rsidP="00835A20">
      <w:r>
        <w:rPr>
          <w:noProof/>
        </w:rPr>
        <w:drawing>
          <wp:inline distT="0" distB="0" distL="0" distR="0" wp14:anchorId="680197BF" wp14:editId="55743917">
            <wp:extent cx="3703320" cy="4609589"/>
            <wp:effectExtent l="0" t="0" r="0" b="635"/>
            <wp:docPr id="3" name="Picture 3" descr="Median change in TSQM from baseline to last post-dose observation for (a) overall satisfaction and (b) effectiveness &#10;" title="Median change in TSQM from baseline to last post-dose observation for (a) overall satisfaction and (b) effective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10601" cy="4618651"/>
                    </a:xfrm>
                    <a:prstGeom prst="rect">
                      <a:avLst/>
                    </a:prstGeom>
                  </pic:spPr>
                </pic:pic>
              </a:graphicData>
            </a:graphic>
          </wp:inline>
        </w:drawing>
      </w:r>
    </w:p>
    <w:p w14:paraId="28D85D17" w14:textId="0CE63DD3" w:rsidR="00381551" w:rsidRDefault="00C25EE2" w:rsidP="00C25EE2">
      <w:pPr>
        <w:pStyle w:val="Caption"/>
      </w:pPr>
      <w:bookmarkStart w:id="184" w:name="_Ref57214986"/>
      <w:bookmarkStart w:id="185" w:name="_Toc69305738"/>
      <w:r>
        <w:t xml:space="preserve">Figure </w:t>
      </w:r>
      <w:r w:rsidR="00003BA5">
        <w:fldChar w:fldCharType="begin"/>
      </w:r>
      <w:r w:rsidR="00003BA5">
        <w:instrText xml:space="preserve"> SEQ Figure \* ARABIC </w:instrText>
      </w:r>
      <w:r w:rsidR="00003BA5">
        <w:fldChar w:fldCharType="separate"/>
      </w:r>
      <w:r w:rsidR="004B3EA2">
        <w:rPr>
          <w:noProof/>
        </w:rPr>
        <w:t>6</w:t>
      </w:r>
      <w:r w:rsidR="00003BA5">
        <w:rPr>
          <w:noProof/>
        </w:rPr>
        <w:fldChar w:fldCharType="end"/>
      </w:r>
      <w:bookmarkEnd w:id="184"/>
      <w:r>
        <w:tab/>
        <w:t xml:space="preserve">Median change in TSQM from baseline to last post-dose observation for </w:t>
      </w:r>
      <w:r>
        <w:br/>
      </w:r>
      <w:r>
        <w:tab/>
      </w:r>
      <w:r>
        <w:tab/>
        <w:t>(a) overall satisfaction and (b) effectiveness</w:t>
      </w:r>
      <w:r w:rsidR="009B6B8F">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bookmarkEnd w:id="185"/>
      <w:r w:rsidR="00B727D6">
        <w:fldChar w:fldCharType="end"/>
      </w:r>
    </w:p>
    <w:p w14:paraId="0F780C5B" w14:textId="77777777" w:rsidR="001155A7" w:rsidRDefault="001155A7" w:rsidP="001155A7">
      <w:pPr>
        <w:pStyle w:val="Tablenotes1"/>
      </w:pPr>
      <w:r w:rsidRPr="001155A7">
        <w:t>Abbreviations: Q = quartile; TQSM = Treatment Satisfaction Questionnaire for Medicine</w:t>
      </w:r>
    </w:p>
    <w:p w14:paraId="0B7EC01A" w14:textId="77777777" w:rsidR="00C25EE2" w:rsidRDefault="00C25EE2" w:rsidP="00C25EE2">
      <w:pPr>
        <w:pStyle w:val="Heading5"/>
      </w:pPr>
      <w:r>
        <w:t>WPAI-GH</w:t>
      </w:r>
    </w:p>
    <w:p w14:paraId="189C4C09" w14:textId="77DE74FB" w:rsidR="009B6B8F" w:rsidRDefault="00FD20EB" w:rsidP="00192373">
      <w:pPr>
        <w:jc w:val="both"/>
      </w:pPr>
      <w:r>
        <w:t>The</w:t>
      </w:r>
      <w:r w:rsidR="009F25D7">
        <w:t xml:space="preserve"> domains of activity impairment, work impairment, and work productivity loss were relatively stable for the SCIg treated groups, showing little change from baseline. For the placebo group</w:t>
      </w:r>
      <w:r>
        <w:t xml:space="preserve">, reductions of </w:t>
      </w:r>
      <w:r w:rsidR="009F25D7">
        <w:t>10%, 30%, and 23% from baseline for activity impairment, work impairment, and work productivity loss respectively</w:t>
      </w:r>
      <w:r w:rsidR="00651FB2">
        <w:t xml:space="preserve"> were observed</w:t>
      </w:r>
      <w:r w:rsidR="009F25D7">
        <w:t xml:space="preserve">. </w:t>
      </w:r>
      <w:r w:rsidR="003C553E">
        <w:t>The</w:t>
      </w:r>
      <w:r w:rsidR="000728FB">
        <w:t xml:space="preserve"> stability in </w:t>
      </w:r>
      <w:r w:rsidR="00AD41A2">
        <w:t>those treated with</w:t>
      </w:r>
      <w:r w:rsidR="000728FB">
        <w:t xml:space="preserve"> </w:t>
      </w:r>
      <w:r w:rsidR="00211C7C">
        <w:t>either</w:t>
      </w:r>
      <w:r w:rsidR="00292494">
        <w:t xml:space="preserve"> 0.2 g/kg or 0.4 g/kg</w:t>
      </w:r>
      <w:r w:rsidR="00211C7C">
        <w:t xml:space="preserve"> </w:t>
      </w:r>
      <w:r w:rsidR="000728FB">
        <w:t xml:space="preserve">SCIg </w:t>
      </w:r>
      <w:r w:rsidR="00211C7C">
        <w:t xml:space="preserve">dose </w:t>
      </w:r>
      <w:r w:rsidR="003C553E">
        <w:t>appeared to be better than for</w:t>
      </w:r>
      <w:r w:rsidR="000728FB">
        <w:t xml:space="preserve"> those who received placebo, although the differences were not statistically significant</w:t>
      </w:r>
      <w:r w:rsidR="003C553E">
        <w:t xml:space="preserve"> for either dose compared to placebo</w:t>
      </w:r>
      <w:r w:rsidR="009B6B8F">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r w:rsidR="00B727D6">
        <w:fldChar w:fldCharType="end"/>
      </w:r>
      <w:r w:rsidR="000728FB">
        <w:t xml:space="preserve">. </w:t>
      </w:r>
    </w:p>
    <w:p w14:paraId="3F1DBDA7" w14:textId="358E38E8" w:rsidR="00C25EE2" w:rsidRDefault="00AD41A2" w:rsidP="00192373">
      <w:pPr>
        <w:jc w:val="both"/>
      </w:pPr>
      <w:r w:rsidRPr="00AD41A2">
        <w:t xml:space="preserve">For the </w:t>
      </w:r>
      <w:r>
        <w:t>work impairment and work productivity loss</w:t>
      </w:r>
      <w:r w:rsidR="00651FB2">
        <w:t xml:space="preserve"> domains</w:t>
      </w:r>
      <w:r w:rsidRPr="00AD41A2">
        <w:t xml:space="preserve"> there were fewer responses in the questionnaire (n = 56 and n = 49</w:t>
      </w:r>
      <w:r w:rsidR="000E2C4F">
        <w:t xml:space="preserve"> respectively</w:t>
      </w:r>
      <w:r w:rsidRPr="00AD41A2">
        <w:t>)</w:t>
      </w:r>
      <w:r>
        <w:t xml:space="preserve"> when</w:t>
      </w:r>
      <w:r w:rsidRPr="00AD41A2">
        <w:t xml:space="preserve"> compared to 147 responses in the analysis of the activity impairment domain. The authors acknowledged that missing data points were a limitation of </w:t>
      </w:r>
      <w:r w:rsidR="00651FB2">
        <w:t xml:space="preserve">the </w:t>
      </w:r>
      <w:r w:rsidRPr="00AD41A2">
        <w:t>study, but did not give reasons f</w:t>
      </w:r>
      <w:r>
        <w:t xml:space="preserve">or </w:t>
      </w:r>
      <w:r w:rsidR="000E2C4F">
        <w:t>their</w:t>
      </w:r>
      <w:r>
        <w:t xml:space="preserve"> absence. There was no analysis with imputed data. There was further c</w:t>
      </w:r>
      <w:r w:rsidRPr="00AD41A2">
        <w:t>omment that the WPAI-GH, while accepted in the scientific community, may not be sensitive enough to capture specific characteristics of CIDP.</w:t>
      </w:r>
      <w:r>
        <w:t xml:space="preserve"> </w:t>
      </w:r>
      <w:r w:rsidR="000728FB">
        <w:t>There were no relevant differences between groups for the absenteeism domain</w:t>
      </w:r>
      <w:r w:rsidR="009B6B8F">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r w:rsidR="00B727D6">
        <w:fldChar w:fldCharType="end"/>
      </w:r>
      <w:r w:rsidR="000728FB">
        <w:t>.</w:t>
      </w:r>
      <w:r>
        <w:t xml:space="preserve"> The results are illustrated in </w:t>
      </w:r>
      <w:r w:rsidR="009B6B8F">
        <w:fldChar w:fldCharType="begin"/>
      </w:r>
      <w:r w:rsidR="009B6B8F">
        <w:instrText xml:space="preserve"> REF _Ref57217331 \h </w:instrText>
      </w:r>
      <w:r w:rsidR="009B6B8F">
        <w:fldChar w:fldCharType="separate"/>
      </w:r>
      <w:r w:rsidR="004B3EA2">
        <w:t xml:space="preserve">Figure </w:t>
      </w:r>
      <w:r w:rsidR="004B3EA2">
        <w:rPr>
          <w:noProof/>
        </w:rPr>
        <w:t>7</w:t>
      </w:r>
      <w:r w:rsidR="009B6B8F">
        <w:fldChar w:fldCharType="end"/>
      </w:r>
      <w:r w:rsidR="009B6B8F">
        <w:t>.</w:t>
      </w:r>
    </w:p>
    <w:p w14:paraId="730174F9" w14:textId="77777777" w:rsidR="00C25EE2" w:rsidRDefault="006E7DB1" w:rsidP="00C25EE2">
      <w:r>
        <w:rPr>
          <w:noProof/>
        </w:rPr>
        <w:drawing>
          <wp:inline distT="0" distB="0" distL="0" distR="0" wp14:anchorId="210A98E8" wp14:editId="6411CD00">
            <wp:extent cx="3108325" cy="5501640"/>
            <wp:effectExtent l="0" t="0" r="0" b="3810"/>
            <wp:docPr id="5" name="Picture 5" descr="Median change in WPAI-GH from baseline to last post-dose observation for&#10;  (a) activity impairment (b) work impairment and (c) work productivity loss &#10;" title="Median change in WPAI-GH from baseline to last post-dose observation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18744" cy="5520081"/>
                    </a:xfrm>
                    <a:prstGeom prst="rect">
                      <a:avLst/>
                    </a:prstGeom>
                  </pic:spPr>
                </pic:pic>
              </a:graphicData>
            </a:graphic>
          </wp:inline>
        </w:drawing>
      </w:r>
    </w:p>
    <w:p w14:paraId="19F17556" w14:textId="2C29F812" w:rsidR="006E7DB1" w:rsidRDefault="006E7DB1" w:rsidP="006E7DB1">
      <w:pPr>
        <w:pStyle w:val="Caption"/>
      </w:pPr>
      <w:bookmarkStart w:id="186" w:name="_Ref57217331"/>
      <w:bookmarkStart w:id="187" w:name="_Toc69305739"/>
      <w:r>
        <w:t xml:space="preserve">Figure </w:t>
      </w:r>
      <w:r w:rsidR="00003BA5">
        <w:fldChar w:fldCharType="begin"/>
      </w:r>
      <w:r w:rsidR="00003BA5">
        <w:instrText xml:space="preserve"> SEQ Figure \* ARABIC </w:instrText>
      </w:r>
      <w:r w:rsidR="00003BA5">
        <w:fldChar w:fldCharType="separate"/>
      </w:r>
      <w:r w:rsidR="004B3EA2">
        <w:rPr>
          <w:noProof/>
        </w:rPr>
        <w:t>7</w:t>
      </w:r>
      <w:r w:rsidR="00003BA5">
        <w:rPr>
          <w:noProof/>
        </w:rPr>
        <w:fldChar w:fldCharType="end"/>
      </w:r>
      <w:bookmarkEnd w:id="186"/>
      <w:r>
        <w:tab/>
        <w:t>Median change in WPAI-GH from baseline to las</w:t>
      </w:r>
      <w:r w:rsidR="009B6B8F">
        <w:t>t post-dose observation for</w:t>
      </w:r>
      <w:r w:rsidR="009B6B8F">
        <w:br/>
      </w:r>
      <w:r w:rsidR="009B6B8F">
        <w:tab/>
      </w:r>
      <w:r w:rsidR="009B6B8F">
        <w:tab/>
      </w:r>
      <w:r>
        <w:t>(a)</w:t>
      </w:r>
      <w:r w:rsidR="009B6B8F">
        <w:t xml:space="preserve"> activit</w:t>
      </w:r>
      <w:r>
        <w:t>y impairment (b) work impairment and (c) work productivity loss</w:t>
      </w:r>
      <w:r w:rsidR="009B6B8F">
        <w:t xml:space="preserve"> </w: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 </w:instrText>
      </w:r>
      <w:r w:rsidR="00B727D6">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27" w:tooltip="Hartung, 2019 #15" w:history="1">
        <w:r w:rsidR="00D726F6">
          <w:rPr>
            <w:noProof/>
          </w:rPr>
          <w:t>Hartung et al. 2019</w:t>
        </w:r>
      </w:hyperlink>
      <w:r w:rsidR="00B727D6">
        <w:rPr>
          <w:noProof/>
        </w:rPr>
        <w:t>)</w:t>
      </w:r>
      <w:bookmarkEnd w:id="187"/>
      <w:r w:rsidR="00B727D6">
        <w:fldChar w:fldCharType="end"/>
      </w:r>
    </w:p>
    <w:p w14:paraId="5F2F27E7" w14:textId="77777777" w:rsidR="006E7DB1" w:rsidRDefault="000E2C4F" w:rsidP="000E2C4F">
      <w:pPr>
        <w:pStyle w:val="Tablenote"/>
      </w:pPr>
      <w:r>
        <w:t xml:space="preserve">Abbreviations: Q = quartile; WPAI-GH = </w:t>
      </w:r>
      <w:r w:rsidRPr="000E2C4F">
        <w:t>Work Productivity and Activity Impairment Questionnaire for General Health</w:t>
      </w:r>
    </w:p>
    <w:p w14:paraId="2F1AA395" w14:textId="77777777" w:rsidR="00CC2790" w:rsidRDefault="00B22969" w:rsidP="00B22969">
      <w:pPr>
        <w:pStyle w:val="Heading5"/>
      </w:pPr>
      <w:r>
        <w:t>Time to relapse</w:t>
      </w:r>
      <w:r w:rsidR="006345C2">
        <w:t xml:space="preserve"> or withdrawal</w:t>
      </w:r>
    </w:p>
    <w:p w14:paraId="2C025CBA" w14:textId="28A7D4B4" w:rsidR="008E0462" w:rsidRDefault="00B22969" w:rsidP="000E2C4F">
      <w:pPr>
        <w:jc w:val="both"/>
      </w:pPr>
      <w:r>
        <w:t xml:space="preserve">Results for the primary outcome from the PATH trial reported by van Schaik et al.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r w:rsidR="00B727D6">
        <w:fldChar w:fldCharType="end"/>
      </w:r>
      <w:r>
        <w:t xml:space="preserve"> are summarised in </w:t>
      </w:r>
      <w:r>
        <w:fldChar w:fldCharType="begin"/>
      </w:r>
      <w:r>
        <w:instrText xml:space="preserve"> REF _Ref57906238 \h </w:instrText>
      </w:r>
      <w:r w:rsidR="000E2C4F">
        <w:instrText xml:space="preserve"> \* MERGEFORMAT </w:instrText>
      </w:r>
      <w:r>
        <w:fldChar w:fldCharType="separate"/>
      </w:r>
      <w:r w:rsidR="004B3EA2">
        <w:t xml:space="preserve">Figure </w:t>
      </w:r>
      <w:r w:rsidR="004B3EA2">
        <w:rPr>
          <w:noProof/>
        </w:rPr>
        <w:t>8</w:t>
      </w:r>
      <w:r>
        <w:fldChar w:fldCharType="end"/>
      </w:r>
      <w:r w:rsidR="008E0462">
        <w:t xml:space="preserve"> and </w:t>
      </w:r>
      <w:r w:rsidR="008E0462">
        <w:fldChar w:fldCharType="begin"/>
      </w:r>
      <w:r w:rsidR="008E0462">
        <w:instrText xml:space="preserve"> REF _Ref58230764 \h </w:instrText>
      </w:r>
      <w:r w:rsidR="008E0462">
        <w:fldChar w:fldCharType="separate"/>
      </w:r>
      <w:r w:rsidR="004B3EA2">
        <w:t xml:space="preserve">Figure </w:t>
      </w:r>
      <w:r w:rsidR="004B3EA2">
        <w:rPr>
          <w:noProof/>
        </w:rPr>
        <w:t>9</w:t>
      </w:r>
      <w:r w:rsidR="008E0462">
        <w:fldChar w:fldCharType="end"/>
      </w:r>
      <w:r>
        <w:t>.</w:t>
      </w:r>
      <w:r w:rsidR="006C7777">
        <w:t xml:space="preserve"> The primary outcome was described as the proportion of patients with a CIDP relapse or who were withdrawn for any other reason during 24 weeks of treatment. </w:t>
      </w:r>
      <w:r w:rsidR="008E0462">
        <w:t>There was a statistically significant</w:t>
      </w:r>
      <w:r w:rsidR="00651FB2">
        <w:t>ly</w:t>
      </w:r>
      <w:r w:rsidR="008E0462">
        <w:t xml:space="preserve"> greater proportion of patients who relapsed or withdrew in the placebo group (63.2%) compared to either of the treatment groups (0.2 g/kg: 39.0%; 0.4 g/kg: 33.7%), but no difference between the treatment groups</w:t>
      </w:r>
      <w:r w:rsidR="006345C2">
        <w:t xml:space="preserve">. The relapse rate was 58% in the placebo group, 35% in the low-dose group, and 22.4% in the high-dose group, showing an inverse </w:t>
      </w:r>
      <w:r w:rsidR="00651FB2">
        <w:t>relationship between dose and</w:t>
      </w:r>
      <w:r w:rsidR="006345C2">
        <w:t xml:space="preserve"> relapse rate</w:t>
      </w:r>
      <w:r w:rsidR="008E0462">
        <w:t xml:space="preserve"> (</w:t>
      </w:r>
      <w:r w:rsidR="008E0462">
        <w:fldChar w:fldCharType="begin"/>
      </w:r>
      <w:r w:rsidR="008E0462">
        <w:instrText xml:space="preserve"> REF _Ref58230764 \h </w:instrText>
      </w:r>
      <w:r w:rsidR="008E0462">
        <w:fldChar w:fldCharType="separate"/>
      </w:r>
      <w:r w:rsidR="004B3EA2">
        <w:t xml:space="preserve">Figure </w:t>
      </w:r>
      <w:r w:rsidR="004B3EA2">
        <w:rPr>
          <w:noProof/>
        </w:rPr>
        <w:t>9</w:t>
      </w:r>
      <w:r w:rsidR="008E0462">
        <w:fldChar w:fldCharType="end"/>
      </w:r>
      <w:r w:rsidR="008E0462">
        <w:t xml:space="preserve">). </w:t>
      </w:r>
    </w:p>
    <w:p w14:paraId="71AC1DFD" w14:textId="0596E135" w:rsidR="00CC2790" w:rsidRDefault="006C7777" w:rsidP="000E2C4F">
      <w:pPr>
        <w:jc w:val="both"/>
      </w:pPr>
      <w:r>
        <w:t>The time to primary outcome was shorter for placebo compared to either dose of SCIg. The difference was statistically significant for the high SCIg dose (0.4 g/kg vs placebo: HR 0.38; 95%CI 0.22, 0.67; p = 0.005) and the low dose SCIg (0.2 g/kg vs placebo: HR 0.49; 95%CI 0.29, 0.84; p = 0.007). There was no difference shown between doses 0.2 g/kg and 0.4 g/kg of SCIg in time to reach the primary outcome</w:t>
      </w:r>
      <w:r w:rsidR="006345C2">
        <w:t xml:space="preserve"> (</w:t>
      </w:r>
      <w:r w:rsidR="006345C2">
        <w:fldChar w:fldCharType="begin"/>
      </w:r>
      <w:r w:rsidR="006345C2">
        <w:instrText xml:space="preserve"> REF _Ref57906238 \h </w:instrText>
      </w:r>
      <w:r w:rsidR="006345C2">
        <w:fldChar w:fldCharType="separate"/>
      </w:r>
      <w:r w:rsidR="004B3EA2">
        <w:t xml:space="preserve">Figure </w:t>
      </w:r>
      <w:r w:rsidR="004B3EA2">
        <w:rPr>
          <w:noProof/>
        </w:rPr>
        <w:t>8</w:t>
      </w:r>
      <w:r w:rsidR="006345C2">
        <w:fldChar w:fldCharType="end"/>
      </w:r>
      <w:r w:rsidR="006345C2">
        <w:t>)</w:t>
      </w:r>
      <w:r>
        <w:t xml:space="preserve">. </w:t>
      </w:r>
      <w:r w:rsidR="002A20D6">
        <w:t xml:space="preserve">The authors noted that four (7%) patients in the placebo group, three (5%) in the low-dose group, and nine (16%) in the high-dose group withdrew for reasons other than relapse. The reasons given were AE (two patients), </w:t>
      </w:r>
      <w:r w:rsidR="00C224E9">
        <w:t>subcutaneous</w:t>
      </w:r>
      <w:r w:rsidR="002A20D6">
        <w:t xml:space="preserve"> treatment related (one patient), withdrawn consent (13 patients), and physician’s decision (one patient)</w:t>
      </w:r>
      <w:r w:rsidR="00F31AE6">
        <w:t xml:space="preserve">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r w:rsidR="00B727D6">
        <w:fldChar w:fldCharType="end"/>
      </w:r>
      <w:r w:rsidR="002A20D6">
        <w:t xml:space="preserve">. </w:t>
      </w:r>
    </w:p>
    <w:p w14:paraId="73076B9E" w14:textId="77777777" w:rsidR="00CC2790" w:rsidRDefault="00CC2790" w:rsidP="00C25EE2">
      <w:r>
        <w:rPr>
          <w:noProof/>
        </w:rPr>
        <w:drawing>
          <wp:inline distT="0" distB="0" distL="0" distR="0" wp14:anchorId="3572B66E" wp14:editId="4B4BB139">
            <wp:extent cx="5731510" cy="3661410"/>
            <wp:effectExtent l="0" t="0" r="2540" b="0"/>
            <wp:docPr id="7" name="Picture 7" descr="Time to reach primary endpoint for high-dose-SCIg versus low-dose SCIg versus placebo " title="Time to reach primary endpoint for high-dose-SCIg versus low-dose SCIg versus place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661410"/>
                    </a:xfrm>
                    <a:prstGeom prst="rect">
                      <a:avLst/>
                    </a:prstGeom>
                  </pic:spPr>
                </pic:pic>
              </a:graphicData>
            </a:graphic>
          </wp:inline>
        </w:drawing>
      </w:r>
    </w:p>
    <w:p w14:paraId="7EB87E36" w14:textId="084A7417" w:rsidR="00CC2790" w:rsidRDefault="00CC2790" w:rsidP="00CC2790">
      <w:pPr>
        <w:pStyle w:val="Caption"/>
      </w:pPr>
      <w:bookmarkStart w:id="188" w:name="_Ref57906238"/>
      <w:bookmarkStart w:id="189" w:name="_Toc69305740"/>
      <w:r>
        <w:t xml:space="preserve">Figure </w:t>
      </w:r>
      <w:r w:rsidR="00003BA5">
        <w:fldChar w:fldCharType="begin"/>
      </w:r>
      <w:r w:rsidR="00003BA5">
        <w:instrText xml:space="preserve"> SEQ Figure \* ARABIC </w:instrText>
      </w:r>
      <w:r w:rsidR="00003BA5">
        <w:fldChar w:fldCharType="separate"/>
      </w:r>
      <w:r w:rsidR="004B3EA2">
        <w:rPr>
          <w:noProof/>
        </w:rPr>
        <w:t>8</w:t>
      </w:r>
      <w:r w:rsidR="00003BA5">
        <w:rPr>
          <w:noProof/>
        </w:rPr>
        <w:fldChar w:fldCharType="end"/>
      </w:r>
      <w:bookmarkEnd w:id="188"/>
      <w:r>
        <w:tab/>
      </w:r>
      <w:r w:rsidR="00B22969">
        <w:t xml:space="preserve">Time to reach primary endpoint for high-dose-SCIg versus low-dose SCIg versus placebo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bookmarkEnd w:id="189"/>
      <w:r w:rsidR="00B727D6">
        <w:fldChar w:fldCharType="end"/>
      </w:r>
    </w:p>
    <w:p w14:paraId="06CEDA87" w14:textId="77777777" w:rsidR="00CC2790" w:rsidRDefault="002E5304" w:rsidP="00B22969">
      <w:pPr>
        <w:pStyle w:val="Tablenote"/>
      </w:pPr>
      <w:r>
        <w:t xml:space="preserve">Abbreviations: </w:t>
      </w:r>
      <w:r w:rsidR="00B22969">
        <w:t>HR = hazard ratio; SCIg = subcutaneous immunoglobulin therapy</w:t>
      </w:r>
    </w:p>
    <w:p w14:paraId="48A218BA" w14:textId="77777777" w:rsidR="00B22969" w:rsidRDefault="00B22969" w:rsidP="00C25EE2">
      <w:r>
        <w:rPr>
          <w:noProof/>
        </w:rPr>
        <w:drawing>
          <wp:inline distT="0" distB="0" distL="0" distR="0" wp14:anchorId="3FC97DB0" wp14:editId="33EF5C45">
            <wp:extent cx="5716988" cy="1631259"/>
            <wp:effectExtent l="0" t="0" r="0" b="7620"/>
            <wp:docPr id="8" name="Picture 8" descr="Probability of primary outcome or relapse at 24 weeks " title="Probability of primary outcome or relapse at 24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97753" cy="1654304"/>
                    </a:xfrm>
                    <a:prstGeom prst="rect">
                      <a:avLst/>
                    </a:prstGeom>
                  </pic:spPr>
                </pic:pic>
              </a:graphicData>
            </a:graphic>
          </wp:inline>
        </w:drawing>
      </w:r>
    </w:p>
    <w:p w14:paraId="0D9B6D71" w14:textId="2B5454EC" w:rsidR="00B22969" w:rsidRDefault="008E0462" w:rsidP="008E0462">
      <w:pPr>
        <w:pStyle w:val="Caption"/>
      </w:pPr>
      <w:bookmarkStart w:id="190" w:name="_Ref58230764"/>
      <w:bookmarkStart w:id="191" w:name="_Toc69305741"/>
      <w:r>
        <w:t xml:space="preserve">Figure </w:t>
      </w:r>
      <w:r w:rsidR="00003BA5">
        <w:fldChar w:fldCharType="begin"/>
      </w:r>
      <w:r w:rsidR="00003BA5">
        <w:instrText xml:space="preserve"> SEQ Figure \* ARABIC </w:instrText>
      </w:r>
      <w:r w:rsidR="00003BA5">
        <w:fldChar w:fldCharType="separate"/>
      </w:r>
      <w:r w:rsidR="004B3EA2">
        <w:rPr>
          <w:noProof/>
        </w:rPr>
        <w:t>9</w:t>
      </w:r>
      <w:r w:rsidR="00003BA5">
        <w:rPr>
          <w:noProof/>
        </w:rPr>
        <w:fldChar w:fldCharType="end"/>
      </w:r>
      <w:bookmarkEnd w:id="190"/>
      <w:r>
        <w:tab/>
        <w:t xml:space="preserve">Probability of primary outcome or relapse at 24 weeks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bookmarkEnd w:id="191"/>
      <w:r w:rsidR="00B727D6">
        <w:fldChar w:fldCharType="end"/>
      </w:r>
    </w:p>
    <w:p w14:paraId="1EC241AC" w14:textId="77777777" w:rsidR="008E0462" w:rsidRDefault="00222944" w:rsidP="00222944">
      <w:pPr>
        <w:pStyle w:val="Tablenotes1"/>
      </w:pPr>
      <w:r>
        <w:t xml:space="preserve">Abbreviations: SCIg = </w:t>
      </w:r>
      <w:r w:rsidR="00C224E9">
        <w:t>subcutaneous</w:t>
      </w:r>
      <w:r>
        <w:t xml:space="preserve"> immunoglobulin therapy</w:t>
      </w:r>
    </w:p>
    <w:p w14:paraId="1D5E311D" w14:textId="77777777" w:rsidR="006345C2" w:rsidRDefault="006345C2" w:rsidP="002440F8">
      <w:pPr>
        <w:pStyle w:val="Heading5"/>
      </w:pPr>
      <w:r>
        <w:t>Secondary effectiveness outcomes</w:t>
      </w:r>
    </w:p>
    <w:p w14:paraId="418EDFE8" w14:textId="2A59D876" w:rsidR="006345C2" w:rsidRDefault="006345C2" w:rsidP="00B01853">
      <w:pPr>
        <w:jc w:val="both"/>
      </w:pPr>
      <w:r>
        <w:t xml:space="preserve">Change from baseline was measured using the INCAT, IRODS, Hand-grip strength (dominant hand and non-dominant hand), and MRC. All scores were worse </w:t>
      </w:r>
      <w:r w:rsidR="002440F8">
        <w:t xml:space="preserve">at the </w:t>
      </w:r>
      <w:r w:rsidR="008E42D2">
        <w:t>24-week</w:t>
      </w:r>
      <w:r w:rsidR="002440F8">
        <w:t xml:space="preserve"> assessment time-point. All measures were worse in the placebo group when compared to either treatment group, and all differences were statistically significant. When the two SCIg doses were compared, only the change from baseline in the IRODS score gave a statistically significant difference, although all scores were worse in the group treated with the lower dose SCIg</w:t>
      </w:r>
      <w:r w:rsidR="00222944">
        <w:t xml:space="preserve">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r w:rsidR="00B727D6">
        <w:fldChar w:fldCharType="end"/>
      </w:r>
      <w:r w:rsidR="002440F8">
        <w:t xml:space="preserve">. Change from baseline for the score can be seen in </w:t>
      </w:r>
      <w:r w:rsidR="002440F8">
        <w:fldChar w:fldCharType="begin"/>
      </w:r>
      <w:r w:rsidR="002440F8">
        <w:instrText xml:space="preserve"> REF _Ref58231802 \h </w:instrText>
      </w:r>
      <w:r w:rsidR="00B01853">
        <w:instrText xml:space="preserve"> \* MERGEFORMAT </w:instrText>
      </w:r>
      <w:r w:rsidR="002440F8">
        <w:fldChar w:fldCharType="separate"/>
      </w:r>
      <w:r w:rsidR="004B3EA2">
        <w:t xml:space="preserve">Figure </w:t>
      </w:r>
      <w:r w:rsidR="004B3EA2">
        <w:rPr>
          <w:noProof/>
        </w:rPr>
        <w:t>10</w:t>
      </w:r>
      <w:r w:rsidR="002440F8">
        <w:fldChar w:fldCharType="end"/>
      </w:r>
      <w:r w:rsidR="002440F8">
        <w:t>.</w:t>
      </w:r>
    </w:p>
    <w:p w14:paraId="21308DDE" w14:textId="77777777" w:rsidR="00B22969" w:rsidRDefault="00B22969" w:rsidP="006B06EC">
      <w:pPr>
        <w:keepNext/>
        <w:keepLines/>
      </w:pPr>
      <w:r>
        <w:rPr>
          <w:noProof/>
        </w:rPr>
        <w:drawing>
          <wp:inline distT="0" distB="0" distL="0" distR="0" wp14:anchorId="66B542EF" wp14:editId="5E5F3496">
            <wp:extent cx="5748793" cy="3466870"/>
            <wp:effectExtent l="0" t="0" r="4445" b="635"/>
            <wp:docPr id="9" name="Picture 9" descr="Secondary outcomes for the PATH trial " title="Secondary outcomes for the PATH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9260" cy="3521427"/>
                    </a:xfrm>
                    <a:prstGeom prst="rect">
                      <a:avLst/>
                    </a:prstGeom>
                  </pic:spPr>
                </pic:pic>
              </a:graphicData>
            </a:graphic>
          </wp:inline>
        </w:drawing>
      </w:r>
    </w:p>
    <w:p w14:paraId="5EBF352B" w14:textId="53D1FCE2" w:rsidR="00B22969" w:rsidRDefault="008E0462" w:rsidP="006B06EC">
      <w:pPr>
        <w:pStyle w:val="Caption"/>
        <w:keepLines/>
      </w:pPr>
      <w:bookmarkStart w:id="192" w:name="_Ref58231802"/>
      <w:bookmarkStart w:id="193" w:name="_Toc69305742"/>
      <w:r>
        <w:t xml:space="preserve">Figure </w:t>
      </w:r>
      <w:r w:rsidR="00003BA5">
        <w:fldChar w:fldCharType="begin"/>
      </w:r>
      <w:r w:rsidR="00003BA5">
        <w:instrText xml:space="preserve"> SEQ Figure \* ARABIC </w:instrText>
      </w:r>
      <w:r w:rsidR="00003BA5">
        <w:fldChar w:fldCharType="separate"/>
      </w:r>
      <w:r w:rsidR="004B3EA2">
        <w:rPr>
          <w:noProof/>
        </w:rPr>
        <w:t>10</w:t>
      </w:r>
      <w:r w:rsidR="00003BA5">
        <w:rPr>
          <w:noProof/>
        </w:rPr>
        <w:fldChar w:fldCharType="end"/>
      </w:r>
      <w:bookmarkEnd w:id="192"/>
      <w:r>
        <w:tab/>
        <w:t>Secondary outcomes for the PATH trial</w:t>
      </w:r>
      <w:r w:rsidR="00F31AE6">
        <w:t xml:space="preserve"> </w: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 </w:instrText>
      </w:r>
      <w:r w:rsidR="00B727D6">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74" w:tooltip="van Schaik, 2018 #23" w:history="1">
        <w:r w:rsidR="00D726F6">
          <w:rPr>
            <w:noProof/>
          </w:rPr>
          <w:t>van Schaik, Ivo N. et al. 2018</w:t>
        </w:r>
      </w:hyperlink>
      <w:r w:rsidR="00B727D6">
        <w:rPr>
          <w:noProof/>
        </w:rPr>
        <w:t>)</w:t>
      </w:r>
      <w:bookmarkEnd w:id="193"/>
      <w:r w:rsidR="00B727D6">
        <w:fldChar w:fldCharType="end"/>
      </w:r>
    </w:p>
    <w:p w14:paraId="6867A350" w14:textId="77777777" w:rsidR="008E0462" w:rsidRPr="008E0462" w:rsidRDefault="00222944" w:rsidP="00222944">
      <w:pPr>
        <w:pStyle w:val="Tablenotes1"/>
      </w:pPr>
      <w:r w:rsidRPr="00222944">
        <w:t xml:space="preserve">Abbreviations: SCIg = </w:t>
      </w:r>
      <w:r w:rsidR="00C224E9">
        <w:t>subcutaneous</w:t>
      </w:r>
      <w:r w:rsidRPr="00222944">
        <w:t xml:space="preserve"> immunoglobulin therapy</w:t>
      </w:r>
    </w:p>
    <w:p w14:paraId="6AF11518" w14:textId="77777777" w:rsidR="00E4024F" w:rsidRPr="00E3331A" w:rsidRDefault="00E4024F" w:rsidP="003E72FC">
      <w:pPr>
        <w:sectPr w:rsidR="00E4024F" w:rsidRPr="00E3331A" w:rsidSect="0080059D">
          <w:footerReference w:type="even" r:id="rId40"/>
          <w:type w:val="oddPage"/>
          <w:pgSz w:w="11906" w:h="16838"/>
          <w:pgMar w:top="1440" w:right="1440" w:bottom="1440" w:left="1440" w:header="720" w:footer="720" w:gutter="0"/>
          <w:paperSrc w:first="7" w:other="7"/>
          <w:cols w:space="720"/>
        </w:sectPr>
      </w:pPr>
    </w:p>
    <w:p w14:paraId="3DC31C2D" w14:textId="77777777" w:rsidR="0066686B" w:rsidRPr="00E3331A" w:rsidRDefault="0066686B" w:rsidP="003E4E1F">
      <w:pPr>
        <w:pStyle w:val="Heading2"/>
        <w:numPr>
          <w:ilvl w:val="1"/>
          <w:numId w:val="9"/>
        </w:numPr>
      </w:pPr>
      <w:bookmarkStart w:id="194" w:name="_Toc69305561"/>
      <w:r w:rsidRPr="00E3331A">
        <w:t>Extended Assessment of Harms</w:t>
      </w:r>
      <w:bookmarkEnd w:id="194"/>
    </w:p>
    <w:p w14:paraId="011CB7E7" w14:textId="675A58FC" w:rsidR="004A42E6" w:rsidRDefault="004A42E6" w:rsidP="00192373">
      <w:pPr>
        <w:jc w:val="both"/>
      </w:pPr>
      <w:r>
        <w:t xml:space="preserve">Following advice from </w:t>
      </w:r>
      <w:r w:rsidR="007247D6">
        <w:t>MSA</w:t>
      </w:r>
      <w:r>
        <w:t xml:space="preserve">C, targeted literature searches were performed to identify evidence for the </w:t>
      </w:r>
      <w:r w:rsidR="00A208E0">
        <w:t xml:space="preserve">long-term </w:t>
      </w:r>
      <w:r>
        <w:t>safety of the comparator treatments PE and corticosteroids, additional to th</w:t>
      </w:r>
      <w:r w:rsidR="00125179">
        <w:t>at</w:t>
      </w:r>
      <w:r>
        <w:t xml:space="preserve"> presented in the </w:t>
      </w:r>
      <w:r w:rsidR="00125179">
        <w:t>earlier</w:t>
      </w:r>
      <w:r>
        <w:t xml:space="preserve"> re</w:t>
      </w:r>
      <w:r w:rsidR="00125179">
        <w:t>view (</w:t>
      </w:r>
      <w:r w:rsidR="00914B37">
        <w:t>DCAR 1564</w:t>
      </w:r>
      <w:r w:rsidR="00125179">
        <w:t>)</w:t>
      </w:r>
      <w:r>
        <w:t xml:space="preserve">. Search terms and criteria used </w:t>
      </w:r>
      <w:r w:rsidR="00F32899">
        <w:t>to</w:t>
      </w:r>
      <w:r>
        <w:t xml:space="preserve"> guide the search were specified in the protocol for th</w:t>
      </w:r>
      <w:r w:rsidR="00125179">
        <w:t xml:space="preserve">e </w:t>
      </w:r>
      <w:r w:rsidR="003A1F33">
        <w:t>current</w:t>
      </w:r>
      <w:r>
        <w:t xml:space="preserve"> report</w:t>
      </w:r>
      <w:r w:rsidR="00125179">
        <w:t xml:space="preserve"> (</w:t>
      </w:r>
      <w:r w:rsidR="00914B37">
        <w:t>DCAR 1564</w:t>
      </w:r>
      <w:r w:rsidR="002B36A9">
        <w:t xml:space="preserve"> Update</w:t>
      </w:r>
      <w:r w:rsidR="00125179">
        <w:t>)</w:t>
      </w:r>
      <w:r>
        <w:t xml:space="preserve">, and can be seen in </w:t>
      </w:r>
      <w:r w:rsidRPr="005F6214">
        <w:rPr>
          <w:b/>
        </w:rPr>
        <w:t xml:space="preserve">Appendix </w:t>
      </w:r>
      <w:r w:rsidR="003A1F33" w:rsidRPr="005F6214">
        <w:rPr>
          <w:b/>
        </w:rPr>
        <w:t>B</w:t>
      </w:r>
      <w:r>
        <w:t xml:space="preserve">. </w:t>
      </w:r>
      <w:r w:rsidR="00A208E0">
        <w:t>Identified articles were screened to find the best quality data to represent the status of safety for PE and corticosteroids in patients with autoimmune neurological conditions. When there w</w:t>
      </w:r>
      <w:r w:rsidR="00125179">
        <w:t>ere</w:t>
      </w:r>
      <w:r w:rsidR="00A208E0">
        <w:t xml:space="preserve"> no satisfactory data in </w:t>
      </w:r>
      <w:r w:rsidR="00125179">
        <w:t>CIDP</w:t>
      </w:r>
      <w:r w:rsidR="00A208E0">
        <w:t xml:space="preserve"> patients, evidence was sought in broader populations who are treated with PE or corticosteroids, such as patients with </w:t>
      </w:r>
      <w:r w:rsidR="00D83B7A">
        <w:t>rheumatoid</w:t>
      </w:r>
      <w:r w:rsidR="00A208E0">
        <w:t xml:space="preserve"> art</w:t>
      </w:r>
      <w:r w:rsidR="00D83B7A">
        <w:t>h</w:t>
      </w:r>
      <w:r w:rsidR="00A208E0">
        <w:t>ritis (RA), giant cell</w:t>
      </w:r>
      <w:r w:rsidR="00D83B7A">
        <w:t xml:space="preserve"> arteritis (GCA) and systemic lupus </w:t>
      </w:r>
      <w:r w:rsidR="00C224E9">
        <w:t>erythematosus</w:t>
      </w:r>
      <w:r w:rsidR="00A208E0">
        <w:t xml:space="preserve"> (SLE). Single arm and observational study designs</w:t>
      </w:r>
      <w:r w:rsidR="00125179">
        <w:t xml:space="preserve"> were</w:t>
      </w:r>
      <w:r w:rsidR="00A208E0">
        <w:t xml:space="preserve"> included, as these designs can have larger numbers and longer follow-up periods than some </w:t>
      </w:r>
      <w:r w:rsidR="00D83B7A">
        <w:t>randomised</w:t>
      </w:r>
      <w:r w:rsidR="00A208E0">
        <w:t xml:space="preserve"> study designs.  </w:t>
      </w:r>
    </w:p>
    <w:p w14:paraId="45C7CC52" w14:textId="77777777" w:rsidR="00A208E0" w:rsidRDefault="007247D6" w:rsidP="0066686B">
      <w:r>
        <w:t xml:space="preserve">MSAC made the following specific requests for safety data: </w:t>
      </w:r>
    </w:p>
    <w:p w14:paraId="1CF6307F" w14:textId="77777777" w:rsidR="007247D6" w:rsidRPr="00143697" w:rsidRDefault="007247D6" w:rsidP="00D83B7A">
      <w:pPr>
        <w:ind w:left="567"/>
      </w:pPr>
      <w:r w:rsidRPr="00143697">
        <w:t>•</w:t>
      </w:r>
      <w:r w:rsidRPr="00143697">
        <w:tab/>
      </w:r>
      <w:r w:rsidR="00D83B7A" w:rsidRPr="00143697">
        <w:t>“</w:t>
      </w:r>
      <w:r w:rsidRPr="00143697">
        <w:rPr>
          <w:i/>
        </w:rPr>
        <w:t>Review evidence for safety of steroid use over the modelled lifetime of the disease and the appropriate utility decrements.</w:t>
      </w:r>
    </w:p>
    <w:p w14:paraId="2BAF3AC0" w14:textId="39DF5806" w:rsidR="007247D6" w:rsidRPr="00143697" w:rsidRDefault="007247D6" w:rsidP="00CB7954">
      <w:pPr>
        <w:ind w:left="567"/>
      </w:pPr>
      <w:r w:rsidRPr="00143697">
        <w:rPr>
          <w:i/>
        </w:rPr>
        <w:t>•</w:t>
      </w:r>
      <w:r w:rsidRPr="00143697">
        <w:rPr>
          <w:i/>
        </w:rPr>
        <w:tab/>
        <w:t>The DCAR reported insufficient evidence to make an assessment of the comparative safety between Ig and PE and this could be problematic for an economic comparison. Also review safety concerns resulting from vascular access for PE</w:t>
      </w:r>
      <w:r w:rsidRPr="00143697">
        <w:t>”</w:t>
      </w:r>
      <w:r w:rsidR="00580659" w:rsidRPr="00143697">
        <w:t xml:space="preserve"> </w:t>
      </w:r>
      <w:r w:rsidR="00B727D6">
        <w:fldChar w:fldCharType="begin"/>
      </w:r>
      <w:r w:rsidR="00B727D6">
        <w:instrText xml:space="preserve"> ADDIN EN.CITE &lt;EndNote&gt;&lt;Cite&gt;&lt;Author&gt;MSAC&lt;/Author&gt;&lt;Year&gt;2020&lt;/Year&gt;&lt;RecNum&gt;6&lt;/RecNum&gt;&lt;DisplayText&gt;(MSAC 2020)&lt;/DisplayText&gt;&lt;record&gt;&lt;rec-number&gt;6&lt;/rec-number&gt;&lt;foreign-keys&gt;&lt;key app="EN" db-id="p29e2t021fx2sker0f4p99xad5t02xpedpxr" timestamp="1605496504"&gt;6&lt;/key&gt;&lt;/foreign-keys&gt;&lt;ref-type name="Government Document"&gt;46&lt;/ref-type&gt;&lt;contributors&gt;&lt;authors&gt;&lt;author&gt;MSAC&lt;/author&gt;&lt;/authors&gt;&lt;secondary-authors&gt;&lt;author&gt;Department of Health&lt;/author&gt;&lt;/secondary-authors&gt;&lt;/contributors&gt;&lt;titles&gt;&lt;title&gt;Minutes -MSAC consideration of DCAR 1564&lt;/title&gt;&lt;/titles&gt;&lt;dates&gt;&lt;year&gt;2020&lt;/year&gt;&lt;/dates&gt;&lt;pub-location&gt;Canberra&lt;/pub-location&gt;&lt;publisher&gt;Medical Services Advisory Committee&lt;/publisher&gt;&lt;urls&gt;&lt;/urls&gt;&lt;/record&gt;&lt;/Cite&gt;&lt;/EndNote&gt;</w:instrText>
      </w:r>
      <w:r w:rsidR="00B727D6">
        <w:fldChar w:fldCharType="separate"/>
      </w:r>
      <w:r w:rsidR="00B727D6">
        <w:rPr>
          <w:noProof/>
        </w:rPr>
        <w:t>(</w:t>
      </w:r>
      <w:hyperlink w:anchor="_ENREF_47" w:tooltip="MSAC, 2020 #6" w:history="1">
        <w:r w:rsidR="00D726F6">
          <w:rPr>
            <w:noProof/>
          </w:rPr>
          <w:t>MSAC 2020</w:t>
        </w:r>
      </w:hyperlink>
      <w:r w:rsidR="00B727D6">
        <w:rPr>
          <w:noProof/>
        </w:rPr>
        <w:t>)</w:t>
      </w:r>
      <w:r w:rsidR="00B727D6">
        <w:fldChar w:fldCharType="end"/>
      </w:r>
    </w:p>
    <w:p w14:paraId="7C6D9D94" w14:textId="77777777" w:rsidR="00EA3E35" w:rsidRDefault="00192373" w:rsidP="00192373">
      <w:pPr>
        <w:jc w:val="both"/>
      </w:pPr>
      <w:r w:rsidRPr="00EA3E35">
        <w:t>Articles</w:t>
      </w:r>
      <w:r w:rsidR="00433BFD" w:rsidRPr="00EA3E35">
        <w:t xml:space="preserve"> were selected based on </w:t>
      </w:r>
      <w:r w:rsidR="00D32C0C">
        <w:t xml:space="preserve">the </w:t>
      </w:r>
      <w:r w:rsidR="00433BFD" w:rsidRPr="00EA3E35">
        <w:t xml:space="preserve">applicability of the patient population, </w:t>
      </w:r>
      <w:r w:rsidR="00E620F7">
        <w:t xml:space="preserve">follow-up period, </w:t>
      </w:r>
      <w:r w:rsidR="00D32C0C">
        <w:t xml:space="preserve">and </w:t>
      </w:r>
      <w:r w:rsidR="00433BFD" w:rsidRPr="00EA3E35">
        <w:t>steroid and PE dose and treatment regimens</w:t>
      </w:r>
      <w:r w:rsidR="00D32C0C">
        <w:t>. Further considerations for selection were</w:t>
      </w:r>
      <w:r w:rsidR="00433BFD" w:rsidRPr="00EA3E35">
        <w:t xml:space="preserve"> </w:t>
      </w:r>
      <w:r w:rsidR="00D32C0C">
        <w:t xml:space="preserve">the </w:t>
      </w:r>
      <w:r w:rsidR="00433BFD" w:rsidRPr="00EA3E35">
        <w:t xml:space="preserve">size of the study population, </w:t>
      </w:r>
      <w:r w:rsidR="00D83B7A">
        <w:t>date of</w:t>
      </w:r>
      <w:r w:rsidR="00822F9E">
        <w:t xml:space="preserve"> publication, </w:t>
      </w:r>
      <w:r w:rsidR="00EA3E35">
        <w:t xml:space="preserve">and </w:t>
      </w:r>
      <w:r w:rsidR="00125179">
        <w:t>risk of bias</w:t>
      </w:r>
      <w:r w:rsidR="00433BFD" w:rsidRPr="00EA3E35">
        <w:t xml:space="preserve"> of the </w:t>
      </w:r>
      <w:r w:rsidR="00EA3E35">
        <w:t>study</w:t>
      </w:r>
      <w:r w:rsidR="00125179">
        <w:rPr>
          <w:rStyle w:val="FootnoteReference"/>
        </w:rPr>
        <w:footnoteReference w:id="5"/>
      </w:r>
      <w:r w:rsidR="00385819">
        <w:t>,</w:t>
      </w:r>
      <w:r w:rsidR="00EA3E35">
        <w:t xml:space="preserve"> </w:t>
      </w:r>
      <w:r w:rsidR="00D32C0C">
        <w:t xml:space="preserve">as these factors contribute to the </w:t>
      </w:r>
      <w:r w:rsidR="00EA3E35">
        <w:t>reliability of the data</w:t>
      </w:r>
      <w:r w:rsidR="00EA3E35" w:rsidRPr="00EA3E35">
        <w:t>.</w:t>
      </w:r>
      <w:r w:rsidR="00EA3E35">
        <w:t xml:space="preserve"> The studies included will be discussed under separate headings for each comparator treatment</w:t>
      </w:r>
      <w:r w:rsidR="00385819">
        <w:t xml:space="preserve"> (PE and steroids)</w:t>
      </w:r>
      <w:r w:rsidR="00EA3E35">
        <w:t>.</w:t>
      </w:r>
    </w:p>
    <w:p w14:paraId="1443420F" w14:textId="77777777" w:rsidR="00580659" w:rsidRDefault="007752CA" w:rsidP="00CB7954">
      <w:pPr>
        <w:pStyle w:val="Heading3"/>
      </w:pPr>
      <w:bookmarkStart w:id="195" w:name="_Toc69305562"/>
      <w:r>
        <w:t>Adverse events in patients receiving p</w:t>
      </w:r>
      <w:r w:rsidR="00EA3E35">
        <w:t>lasma exchange therapy</w:t>
      </w:r>
      <w:bookmarkEnd w:id="195"/>
    </w:p>
    <w:p w14:paraId="734A06B3" w14:textId="6CB6D3FB" w:rsidR="00F757C0" w:rsidRDefault="00D32C0C" w:rsidP="00192373">
      <w:pPr>
        <w:jc w:val="both"/>
      </w:pPr>
      <w:r>
        <w:t xml:space="preserve">One SR was identified, published in 2016, which </w:t>
      </w:r>
      <w:r w:rsidR="00125179">
        <w:t>compared</w:t>
      </w:r>
      <w:r>
        <w:t xml:space="preserve"> AEs in patients with </w:t>
      </w:r>
      <w:r w:rsidR="00582189" w:rsidRPr="00582189">
        <w:t xml:space="preserve">Guillain-Barré syndrome </w:t>
      </w:r>
      <w:r w:rsidR="00582189">
        <w:t>(</w:t>
      </w:r>
      <w:r>
        <w:t>GBS</w:t>
      </w:r>
      <w:r w:rsidR="00582189">
        <w:t>)</w:t>
      </w:r>
      <w:r>
        <w:t xml:space="preserve"> or </w:t>
      </w:r>
      <w:r w:rsidR="00582189">
        <w:t>m</w:t>
      </w:r>
      <w:r w:rsidR="00582189" w:rsidRPr="00582189">
        <w:t>yasthenia gravis</w:t>
      </w:r>
      <w:r w:rsidR="00582189">
        <w:t xml:space="preserve"> (</w:t>
      </w:r>
      <w:r>
        <w:t>MG</w:t>
      </w:r>
      <w:r w:rsidR="00582189">
        <w:t>)</w:t>
      </w:r>
      <w:r>
        <w:t>, receiving either IVIg or PE</w:t>
      </w:r>
      <w:r w:rsidR="00F757C0">
        <w:t xml:space="preserve"> </w:t>
      </w:r>
      <w:r w:rsidR="00B727D6">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rsidR="00B727D6">
        <w:instrText xml:space="preserve"> ADDIN EN.CITE </w:instrText>
      </w:r>
      <w:r w:rsidR="00B727D6">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rsidR="00B727D6">
        <w:instrText xml:space="preserve"> ADDIN EN.CITE.DATA </w:instrText>
      </w:r>
      <w:r w:rsidR="00B727D6">
        <w:fldChar w:fldCharType="end"/>
      </w:r>
      <w:r w:rsidR="00B727D6">
        <w:fldChar w:fldCharType="separate"/>
      </w:r>
      <w:r w:rsidR="00B727D6">
        <w:rPr>
          <w:noProof/>
        </w:rPr>
        <w:t>(</w:t>
      </w:r>
      <w:hyperlink w:anchor="_ENREF_56" w:tooltip="Ortiz-Salas, 2016 #10" w:history="1">
        <w:r w:rsidR="00D726F6">
          <w:rPr>
            <w:noProof/>
          </w:rPr>
          <w:t>Ortiz-Salas et al. 2016</w:t>
        </w:r>
      </w:hyperlink>
      <w:r w:rsidR="00B727D6">
        <w:rPr>
          <w:noProof/>
        </w:rPr>
        <w:t>)</w:t>
      </w:r>
      <w:r w:rsidR="00B727D6">
        <w:fldChar w:fldCharType="end"/>
      </w:r>
      <w:r>
        <w:t>. Three additional s</w:t>
      </w:r>
      <w:r w:rsidR="007752CA">
        <w:t xml:space="preserve">tudies reporting on AEs for patients </w:t>
      </w:r>
      <w:r w:rsidR="00125179">
        <w:t>receiving</w:t>
      </w:r>
      <w:r w:rsidR="007752CA">
        <w:t xml:space="preserve"> PE were single or multicentre retrospective analyses in mixed </w:t>
      </w:r>
      <w:r w:rsidR="00125179">
        <w:t>populations</w:t>
      </w:r>
      <w:r w:rsidR="00F757C0">
        <w:t xml:space="preserve"> </w:t>
      </w:r>
      <w:r w:rsidR="00B727D6">
        <w:fldChar w:fldCharType="begin">
          <w:fldData xml:space="preserve">PEVuZE5vdGU+PENpdGU+PEF1dGhvcj5CYXNpYy1KdWtpYzwvQXV0aG9yPjxZZWFyPjIwMDU8L1ll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</w:fldData>
        </w:fldChar>
      </w:r>
      <w:r w:rsidR="00B727D6">
        <w:instrText xml:space="preserve"> ADDIN EN.CITE </w:instrText>
      </w:r>
      <w:r w:rsidR="00B727D6">
        <w:fldChar w:fldCharType="begin">
          <w:fldData xml:space="preserve">PEVuZE5vdGU+PENpdGU+PEF1dGhvcj5CYXNpYy1KdWtpYzwvQXV0aG9yPjxZZWFyPjIwMDU8L1ll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5" w:tooltip="Basic-Jukic, 2005 #7" w:history="1">
        <w:r w:rsidR="00D726F6">
          <w:rPr>
            <w:noProof/>
          </w:rPr>
          <w:t>Basic-Jukic et al. 2005</w:t>
        </w:r>
      </w:hyperlink>
      <w:r w:rsidR="00B727D6">
        <w:rPr>
          <w:noProof/>
        </w:rPr>
        <w:t xml:space="preserve">; </w:t>
      </w:r>
      <w:hyperlink w:anchor="_ENREF_46" w:tooltip="Mörtzell Henriksson, 2016 #8" w:history="1">
        <w:r w:rsidR="00D726F6">
          <w:rPr>
            <w:noProof/>
          </w:rPr>
          <w:t>Mörtzell Henriksson et al. 2016</w:t>
        </w:r>
      </w:hyperlink>
      <w:r w:rsidR="00B727D6">
        <w:rPr>
          <w:noProof/>
        </w:rPr>
        <w:t xml:space="preserve">; </w:t>
      </w:r>
      <w:hyperlink w:anchor="_ENREF_52" w:tooltip="Nieto-Aristizábal, 2020 #315" w:history="1">
        <w:r w:rsidR="00D726F6">
          <w:rPr>
            <w:noProof/>
          </w:rPr>
          <w:t>Nieto-Aristizábal, Vivas Á, et al. 2020</w:t>
        </w:r>
      </w:hyperlink>
      <w:r w:rsidR="00B727D6">
        <w:rPr>
          <w:noProof/>
        </w:rPr>
        <w:t>)</w:t>
      </w:r>
      <w:r w:rsidR="00B727D6">
        <w:fldChar w:fldCharType="end"/>
      </w:r>
      <w:r w:rsidR="007752CA">
        <w:t xml:space="preserve">. </w:t>
      </w:r>
      <w:r w:rsidR="00B87C02">
        <w:t>The multicentre study analysed data from the WAA apheresis registry</w:t>
      </w:r>
      <w:r>
        <w:rPr>
          <w:rStyle w:val="FootnoteReference"/>
        </w:rPr>
        <w:footnoteReference w:id="6"/>
      </w:r>
      <w:r w:rsidR="00B87C02">
        <w:t xml:space="preserve">, which </w:t>
      </w:r>
      <w:r w:rsidR="00B233A0">
        <w:t xml:space="preserve">assimilates data from </w:t>
      </w:r>
      <w:r w:rsidR="00385819">
        <w:t>national quality assessment apheresis registries developed in Canada, France, Italy, Sweden, and Korea</w:t>
      </w:r>
      <w:r w:rsidR="00333D62">
        <w:t xml:space="preserve"> amongst other countries</w:t>
      </w:r>
      <w:r w:rsidR="009652F7">
        <w:t>.</w:t>
      </w:r>
      <w:r w:rsidR="009652F7" w:rsidRPr="009652F7">
        <w:t xml:space="preserve"> </w:t>
      </w:r>
      <w:r w:rsidR="009652F7">
        <w:t xml:space="preserve">Length of follow-up was not a consideration in selecting PE studies, as treatments during which AE data is collected occur over short periods of </w:t>
      </w:r>
      <w:r w:rsidR="000651C7">
        <w:t>only a few days</w:t>
      </w:r>
      <w:r w:rsidR="00385819">
        <w:t>.</w:t>
      </w:r>
      <w:r w:rsidR="000651C7">
        <w:t xml:space="preserve"> </w:t>
      </w:r>
      <w:r w:rsidR="003907FC">
        <w:t>All studies were assessed to be moderate for risk of bias.</w:t>
      </w:r>
      <w:r w:rsidR="00385819">
        <w:t xml:space="preserve"> </w:t>
      </w:r>
      <w:r w:rsidR="00F757C0">
        <w:t>The essential details of the studies included</w:t>
      </w:r>
      <w:r w:rsidR="009652F7">
        <w:t xml:space="preserve">, including the overall </w:t>
      </w:r>
      <w:r w:rsidR="00B60A81">
        <w:t>AE</w:t>
      </w:r>
      <w:r w:rsidR="009652F7">
        <w:t xml:space="preserve"> rates reported, and whether they were used to</w:t>
      </w:r>
      <w:r w:rsidR="00F757C0">
        <w:t xml:space="preserve"> inform the economic modelling</w:t>
      </w:r>
      <w:r w:rsidR="009652F7">
        <w:t>,</w:t>
      </w:r>
      <w:r w:rsidR="00F757C0">
        <w:t xml:space="preserve"> are in </w:t>
      </w:r>
      <w:r w:rsidR="00F757C0">
        <w:fldChar w:fldCharType="begin"/>
      </w:r>
      <w:r w:rsidR="00F757C0">
        <w:instrText xml:space="preserve"> REF _Ref56524324 \h </w:instrText>
      </w:r>
      <w:r w:rsidR="00F757C0">
        <w:fldChar w:fldCharType="separate"/>
      </w:r>
      <w:r w:rsidR="004B3EA2">
        <w:t xml:space="preserve">Table </w:t>
      </w:r>
      <w:r w:rsidR="004B3EA2">
        <w:rPr>
          <w:noProof/>
        </w:rPr>
        <w:t>16</w:t>
      </w:r>
      <w:r w:rsidR="00F757C0">
        <w:fldChar w:fldCharType="end"/>
      </w:r>
      <w:r w:rsidR="00F757C0">
        <w:t>.</w:t>
      </w:r>
    </w:p>
    <w:p w14:paraId="79EFE547" w14:textId="03D168D0" w:rsidR="007752CA" w:rsidRPr="007752CA" w:rsidRDefault="007752CA" w:rsidP="007752CA">
      <w:pPr>
        <w:pStyle w:val="Caption"/>
      </w:pPr>
      <w:bookmarkStart w:id="196" w:name="_Ref56524324"/>
      <w:bookmarkStart w:id="197" w:name="_Toc69305657"/>
      <w:r>
        <w:t xml:space="preserve">Table </w:t>
      </w:r>
      <w:r w:rsidR="00003BA5">
        <w:fldChar w:fldCharType="begin"/>
      </w:r>
      <w:r w:rsidR="00003BA5">
        <w:instrText xml:space="preserve"> SEQ Table \* ARABIC </w:instrText>
      </w:r>
      <w:r w:rsidR="00003BA5">
        <w:fldChar w:fldCharType="separate"/>
      </w:r>
      <w:r w:rsidR="004B3EA2">
        <w:rPr>
          <w:noProof/>
        </w:rPr>
        <w:t>16</w:t>
      </w:r>
      <w:r w:rsidR="00003BA5">
        <w:rPr>
          <w:noProof/>
        </w:rPr>
        <w:fldChar w:fldCharType="end"/>
      </w:r>
      <w:bookmarkEnd w:id="196"/>
      <w:r>
        <w:tab/>
        <w:t>Studies reporting adverse events for patients receiving PE</w:t>
      </w:r>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tudies reporting adverse events for patients receiving PE"/>
        <w:tblDescription w:val="Studies reporting adverse events for patients receiving PE"/>
      </w:tblPr>
      <w:tblGrid>
        <w:gridCol w:w="970"/>
        <w:gridCol w:w="3421"/>
        <w:gridCol w:w="2692"/>
        <w:gridCol w:w="1933"/>
      </w:tblGrid>
      <w:tr w:rsidR="00D826BA" w:rsidRPr="00E3331A" w14:paraId="756D0BE9" w14:textId="77777777" w:rsidTr="00D826BA">
        <w:trPr>
          <w:tblHeader/>
        </w:trPr>
        <w:tc>
          <w:tcPr>
            <w:tcW w:w="538" w:type="pct"/>
            <w:shd w:val="clear" w:color="auto" w:fill="auto"/>
          </w:tcPr>
          <w:p w14:paraId="033BD67F" w14:textId="77777777" w:rsidR="00D826BA" w:rsidRDefault="00D826BA" w:rsidP="00822F9E">
            <w:pPr>
              <w:pStyle w:val="TableHeading"/>
            </w:pPr>
            <w:r w:rsidRPr="00E3331A">
              <w:t>Study ID</w:t>
            </w:r>
          </w:p>
          <w:p w14:paraId="29A089CC" w14:textId="77777777" w:rsidR="00D826BA" w:rsidRDefault="00D826BA" w:rsidP="00822F9E">
            <w:pPr>
              <w:pStyle w:val="TableHeading"/>
            </w:pPr>
            <w:r>
              <w:t>Country</w:t>
            </w:r>
          </w:p>
          <w:p w14:paraId="0ED331C7" w14:textId="77777777" w:rsidR="00D826BA" w:rsidRDefault="00D826BA" w:rsidP="00822F9E">
            <w:pPr>
              <w:pStyle w:val="TableHeading"/>
            </w:pPr>
            <w:r>
              <w:t>Study design</w:t>
            </w:r>
          </w:p>
          <w:p w14:paraId="57296187" w14:textId="77777777" w:rsidR="00D826BA" w:rsidRPr="00E3331A" w:rsidRDefault="00D826BA" w:rsidP="00822F9E">
            <w:pPr>
              <w:pStyle w:val="TableHeading"/>
            </w:pPr>
            <w:r>
              <w:t>ROB</w:t>
            </w:r>
          </w:p>
        </w:tc>
        <w:tc>
          <w:tcPr>
            <w:tcW w:w="1897" w:type="pct"/>
            <w:shd w:val="clear" w:color="auto" w:fill="auto"/>
          </w:tcPr>
          <w:p w14:paraId="698F67C2" w14:textId="77777777" w:rsidR="00D826BA" w:rsidRPr="00E3331A" w:rsidRDefault="00D826BA" w:rsidP="00822F9E">
            <w:pPr>
              <w:pStyle w:val="TableHeading"/>
            </w:pPr>
            <w:r>
              <w:t>Population/inclusion criteria</w:t>
            </w:r>
          </w:p>
          <w:p w14:paraId="3D8C7703" w14:textId="77777777" w:rsidR="00D826BA" w:rsidRPr="00E3331A" w:rsidRDefault="00D826BA" w:rsidP="00822F9E">
            <w:pPr>
              <w:pStyle w:val="TableHeading"/>
            </w:pPr>
            <w:r w:rsidRPr="00E3331A">
              <w:t>n</w:t>
            </w:r>
          </w:p>
        </w:tc>
        <w:tc>
          <w:tcPr>
            <w:tcW w:w="1493" w:type="pct"/>
            <w:shd w:val="clear" w:color="auto" w:fill="auto"/>
          </w:tcPr>
          <w:p w14:paraId="50BE7964" w14:textId="77777777" w:rsidR="00D826BA" w:rsidRDefault="00D826BA" w:rsidP="00822F9E">
            <w:pPr>
              <w:pStyle w:val="TableHeading"/>
            </w:pPr>
            <w:r>
              <w:t>Intervention</w:t>
            </w:r>
          </w:p>
          <w:p w14:paraId="3643E039" w14:textId="77777777" w:rsidR="00D826BA" w:rsidRPr="00E3331A" w:rsidRDefault="00D826BA" w:rsidP="00822F9E">
            <w:pPr>
              <w:pStyle w:val="TableHeading"/>
            </w:pPr>
            <w:r>
              <w:t>Comparator (if applicable)</w:t>
            </w:r>
          </w:p>
        </w:tc>
        <w:tc>
          <w:tcPr>
            <w:tcW w:w="1072" w:type="pct"/>
            <w:shd w:val="clear" w:color="auto" w:fill="auto"/>
          </w:tcPr>
          <w:p w14:paraId="64FDBDF3" w14:textId="77777777" w:rsidR="00D826BA" w:rsidRPr="00E3331A" w:rsidRDefault="00D826BA" w:rsidP="007E2EA8">
            <w:pPr>
              <w:pStyle w:val="TableHeading"/>
            </w:pPr>
            <w:r>
              <w:t>Overall adverse event rate</w:t>
            </w:r>
          </w:p>
        </w:tc>
      </w:tr>
      <w:tr w:rsidR="00D826BA" w:rsidRPr="00E3331A" w14:paraId="0A0ACEA7" w14:textId="77777777" w:rsidTr="00D826BA">
        <w:tc>
          <w:tcPr>
            <w:tcW w:w="538" w:type="pct"/>
            <w:shd w:val="clear" w:color="auto" w:fill="auto"/>
          </w:tcPr>
          <w:p w14:paraId="736ED46A" w14:textId="3CEF25AA" w:rsidR="00D826BA" w:rsidRDefault="00B727D6" w:rsidP="00822F9E">
            <w:pPr>
              <w:pStyle w:val="Tabletext1"/>
            </w:pPr>
            <w:r>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w:t>
            </w:r>
            <w:hyperlink w:anchor="_ENREF_56" w:tooltip="Ortiz-Salas, 2016 #10" w:history="1">
              <w:r w:rsidR="00D726F6">
                <w:rPr>
                  <w:noProof/>
                </w:rPr>
                <w:t>Ortiz-Salas et al. 2016</w:t>
              </w:r>
            </w:hyperlink>
            <w:r>
              <w:rPr>
                <w:noProof/>
              </w:rPr>
              <w:t>)</w:t>
            </w:r>
            <w:r>
              <w:fldChar w:fldCharType="end"/>
            </w:r>
          </w:p>
          <w:p w14:paraId="7DD7E090" w14:textId="77777777" w:rsidR="00D826BA" w:rsidRDefault="00D826BA" w:rsidP="00822F9E">
            <w:pPr>
              <w:pStyle w:val="Tabletext1"/>
            </w:pPr>
            <w:r>
              <w:t>Multinational</w:t>
            </w:r>
          </w:p>
          <w:p w14:paraId="5DCEF078" w14:textId="77777777" w:rsidR="00D826BA" w:rsidRDefault="00D826BA" w:rsidP="00822F9E">
            <w:pPr>
              <w:pStyle w:val="Tabletext1"/>
            </w:pPr>
            <w:r>
              <w:t>SR</w:t>
            </w:r>
          </w:p>
          <w:p w14:paraId="66EC04AE" w14:textId="77777777" w:rsidR="00D826BA" w:rsidRPr="00E3331A" w:rsidRDefault="00D826BA" w:rsidP="00822F9E">
            <w:pPr>
              <w:pStyle w:val="Tabletext1"/>
            </w:pPr>
            <w:r>
              <w:t>Moderate</w:t>
            </w:r>
          </w:p>
        </w:tc>
        <w:tc>
          <w:tcPr>
            <w:tcW w:w="1897" w:type="pct"/>
            <w:shd w:val="clear" w:color="auto" w:fill="auto"/>
          </w:tcPr>
          <w:p w14:paraId="077C864B" w14:textId="77777777" w:rsidR="00D826BA" w:rsidRDefault="00D826BA" w:rsidP="00822F9E">
            <w:pPr>
              <w:pStyle w:val="Tabletext1"/>
            </w:pPr>
            <w:r>
              <w:t>RCTs or analytical OS in patients with neurological disease (GBS or MG); comparison of IVIg and PE; publication up to 2014</w:t>
            </w:r>
          </w:p>
          <w:p w14:paraId="4F38A11E" w14:textId="77777777" w:rsidR="00D826BA" w:rsidRDefault="00D826BA" w:rsidP="00822F9E">
            <w:pPr>
              <w:pStyle w:val="Tabletext1"/>
            </w:pPr>
            <w:r>
              <w:t>Studies reporting AEs: k = 15 (published between 1994 and 2011)</w:t>
            </w:r>
          </w:p>
          <w:p w14:paraId="4A89ECBD" w14:textId="77777777" w:rsidR="00D826BA" w:rsidRPr="00E3331A" w:rsidRDefault="00D826BA" w:rsidP="00D35CFA">
            <w:pPr>
              <w:pStyle w:val="Tabletext1"/>
            </w:pPr>
            <w:r>
              <w:t>Patients: n = 2,388 in studies reporting AEs</w:t>
            </w:r>
          </w:p>
        </w:tc>
        <w:tc>
          <w:tcPr>
            <w:tcW w:w="1493" w:type="pct"/>
            <w:shd w:val="clear" w:color="auto" w:fill="auto"/>
          </w:tcPr>
          <w:p w14:paraId="284BFDA1" w14:textId="77777777" w:rsidR="00D826BA" w:rsidRPr="00D35CFA" w:rsidRDefault="00D826BA" w:rsidP="00822F9E">
            <w:pPr>
              <w:pStyle w:val="Tabletext1"/>
              <w:rPr>
                <w:u w:val="single"/>
              </w:rPr>
            </w:pPr>
            <w:r w:rsidRPr="00D35CFA">
              <w:rPr>
                <w:u w:val="single"/>
              </w:rPr>
              <w:t xml:space="preserve">PE </w:t>
            </w:r>
          </w:p>
          <w:p w14:paraId="064DE3B5" w14:textId="77777777" w:rsidR="00D826BA" w:rsidRDefault="00D826BA" w:rsidP="00822F9E">
            <w:pPr>
              <w:pStyle w:val="Tabletext1"/>
            </w:pPr>
            <w:r>
              <w:t>Patients: n = 4,642</w:t>
            </w:r>
          </w:p>
          <w:p w14:paraId="75253E8A" w14:textId="77777777" w:rsidR="00D826BA" w:rsidRDefault="00D826BA" w:rsidP="00822F9E">
            <w:pPr>
              <w:pStyle w:val="Tabletext1"/>
            </w:pPr>
            <w:r>
              <w:t>Cycles: typical strategy of 200-250 ml/kg over 10-14 days (5-6 cycles with 5% albumin)</w:t>
            </w:r>
          </w:p>
          <w:p w14:paraId="30DD1F48" w14:textId="77777777" w:rsidR="00D826BA" w:rsidRPr="00D35CFA" w:rsidRDefault="00D826BA" w:rsidP="009652F7">
            <w:pPr>
              <w:pStyle w:val="Tabletext1"/>
              <w:rPr>
                <w:u w:val="single"/>
              </w:rPr>
            </w:pPr>
            <w:r w:rsidRPr="00D35CFA">
              <w:rPr>
                <w:u w:val="single"/>
              </w:rPr>
              <w:t>IVIg</w:t>
            </w:r>
          </w:p>
          <w:p w14:paraId="2E05DD68" w14:textId="77777777" w:rsidR="00D826BA" w:rsidRDefault="00D826BA" w:rsidP="009652F7">
            <w:pPr>
              <w:pStyle w:val="Tabletext1"/>
            </w:pPr>
            <w:r>
              <w:t>Patients: n = 1,600</w:t>
            </w:r>
          </w:p>
          <w:p w14:paraId="320BA6DD" w14:textId="77777777" w:rsidR="00D826BA" w:rsidRPr="00E3331A" w:rsidRDefault="00D826BA" w:rsidP="009652F7">
            <w:pPr>
              <w:pStyle w:val="Tabletext1"/>
            </w:pPr>
            <w:r>
              <w:t>Dosage: 0.4 g/kg/day or a total of 2 g.kg</w:t>
            </w:r>
          </w:p>
        </w:tc>
        <w:tc>
          <w:tcPr>
            <w:tcW w:w="1072" w:type="pct"/>
            <w:shd w:val="clear" w:color="auto" w:fill="auto"/>
          </w:tcPr>
          <w:p w14:paraId="040D3C16" w14:textId="77777777" w:rsidR="00D826BA" w:rsidRDefault="00D826BA" w:rsidP="00822F9E">
            <w:pPr>
              <w:pStyle w:val="Tabletext1"/>
            </w:pPr>
            <w:r>
              <w:t>PE 49/1656 (2.05%)</w:t>
            </w:r>
          </w:p>
          <w:p w14:paraId="0AC6DCA1" w14:textId="77777777" w:rsidR="00D826BA" w:rsidRPr="00E3331A" w:rsidRDefault="00D826BA" w:rsidP="00822F9E">
            <w:pPr>
              <w:pStyle w:val="Tabletext1"/>
            </w:pPr>
            <w:r>
              <w:t>IVIg 41/732 (5.60%)</w:t>
            </w:r>
          </w:p>
        </w:tc>
      </w:tr>
      <w:tr w:rsidR="00D826BA" w:rsidRPr="00E3331A" w14:paraId="7B3C891C" w14:textId="77777777" w:rsidTr="00D826BA">
        <w:tc>
          <w:tcPr>
            <w:tcW w:w="538" w:type="pct"/>
            <w:shd w:val="clear" w:color="auto" w:fill="auto"/>
          </w:tcPr>
          <w:p w14:paraId="5BA69F0E" w14:textId="3D84D0BC" w:rsidR="00D826BA" w:rsidRDefault="00B727D6" w:rsidP="00822F9E">
            <w:pPr>
              <w:pStyle w:val="Tabletext1"/>
            </w:pPr>
            <w:r>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instrText xml:space="preserve"> ADDIN EN.CITE </w:instrText>
            </w:r>
            <w:r>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instrText xml:space="preserve"> ADDIN EN.CITE.DATA </w:instrText>
            </w:r>
            <w:r>
              <w:fldChar w:fldCharType="end"/>
            </w:r>
            <w:r>
              <w:fldChar w:fldCharType="separate"/>
            </w:r>
            <w:r>
              <w:rPr>
                <w:noProof/>
              </w:rPr>
              <w:t>(</w:t>
            </w:r>
            <w:hyperlink w:anchor="_ENREF_46" w:tooltip="Mörtzell Henriksson, 2016 #8" w:history="1">
              <w:r w:rsidR="00D726F6">
                <w:rPr>
                  <w:noProof/>
                </w:rPr>
                <w:t>Mörtzell Henriksson et al. 2016</w:t>
              </w:r>
            </w:hyperlink>
            <w:r>
              <w:rPr>
                <w:noProof/>
              </w:rPr>
              <w:t>)</w:t>
            </w:r>
            <w:r>
              <w:fldChar w:fldCharType="end"/>
            </w:r>
          </w:p>
          <w:p w14:paraId="2230B361" w14:textId="77777777" w:rsidR="00D826BA" w:rsidRDefault="00D826BA" w:rsidP="00822F9E">
            <w:pPr>
              <w:pStyle w:val="Tabletext1"/>
            </w:pPr>
            <w:r>
              <w:t>Multinational</w:t>
            </w:r>
          </w:p>
          <w:p w14:paraId="415E5B2B" w14:textId="77777777" w:rsidR="00D826BA" w:rsidRDefault="00D826BA" w:rsidP="00822F9E">
            <w:pPr>
              <w:pStyle w:val="Tabletext1"/>
            </w:pPr>
            <w:r>
              <w:t>R O MC</w:t>
            </w:r>
          </w:p>
          <w:p w14:paraId="5BDC4CAC" w14:textId="77777777" w:rsidR="00D826BA" w:rsidRPr="00E3331A" w:rsidRDefault="00D826BA" w:rsidP="00822F9E">
            <w:pPr>
              <w:pStyle w:val="Tabletext1"/>
            </w:pPr>
            <w:r>
              <w:t>Moderate</w:t>
            </w:r>
          </w:p>
        </w:tc>
        <w:tc>
          <w:tcPr>
            <w:tcW w:w="1897" w:type="pct"/>
            <w:shd w:val="clear" w:color="auto" w:fill="auto"/>
          </w:tcPr>
          <w:p w14:paraId="2D764A56" w14:textId="2B489E4E" w:rsidR="00D826BA" w:rsidRDefault="00D826BA" w:rsidP="00822F9E">
            <w:pPr>
              <w:pStyle w:val="Tabletext1"/>
            </w:pPr>
            <w:r>
              <w:t>Patient data from the WAA apheresis registry (</w:t>
            </w:r>
            <w:hyperlink r:id="rId41" w:history="1">
              <w:r w:rsidRPr="00757851">
                <w:rPr>
                  <w:rStyle w:val="Hyperlink"/>
                </w:rPr>
                <w:t>www.waa-registry.org</w:t>
              </w:r>
            </w:hyperlink>
            <w:r>
              <w:t xml:space="preserve"> ) between 2004 and 2014</w:t>
            </w:r>
          </w:p>
          <w:p w14:paraId="2E0E95A4" w14:textId="77777777" w:rsidR="00D826BA" w:rsidRDefault="00D826BA" w:rsidP="00822F9E">
            <w:pPr>
              <w:pStyle w:val="Tabletext1"/>
            </w:pPr>
            <w:r>
              <w:t>Total patients n = 7,142</w:t>
            </w:r>
          </w:p>
          <w:p w14:paraId="008F8A9A" w14:textId="77777777" w:rsidR="00D826BA" w:rsidRDefault="00D826BA" w:rsidP="00822F9E">
            <w:pPr>
              <w:pStyle w:val="Tabletext1"/>
            </w:pPr>
            <w:r>
              <w:t>Diagnostic groups n (%):</w:t>
            </w:r>
          </w:p>
          <w:p w14:paraId="1DC4D724" w14:textId="77777777" w:rsidR="00D826BA" w:rsidRDefault="00D826BA" w:rsidP="00752005">
            <w:pPr>
              <w:pStyle w:val="Tabletext1"/>
              <w:ind w:left="184"/>
            </w:pPr>
            <w:r>
              <w:t>Malignancy 2,950 (41.8)</w:t>
            </w:r>
          </w:p>
          <w:p w14:paraId="237E4577" w14:textId="77777777" w:rsidR="00D826BA" w:rsidRDefault="00D826BA" w:rsidP="00752005">
            <w:pPr>
              <w:pStyle w:val="Tabletext1"/>
              <w:ind w:left="184"/>
            </w:pPr>
            <w:r>
              <w:t>Neurology 990 (14.0)</w:t>
            </w:r>
          </w:p>
          <w:p w14:paraId="3E3BACDA" w14:textId="77777777" w:rsidR="00D826BA" w:rsidRDefault="00D826BA" w:rsidP="00752005">
            <w:pPr>
              <w:pStyle w:val="Tabletext1"/>
              <w:ind w:left="184"/>
            </w:pPr>
            <w:r>
              <w:t>Haematology 681 (9.6)</w:t>
            </w:r>
          </w:p>
          <w:p w14:paraId="1262F563" w14:textId="77777777" w:rsidR="00D826BA" w:rsidRDefault="00D826BA" w:rsidP="00752005">
            <w:pPr>
              <w:pStyle w:val="Tabletext1"/>
              <w:ind w:left="184"/>
            </w:pPr>
            <w:r>
              <w:t>Transplant and donors 576 (8.2)</w:t>
            </w:r>
          </w:p>
          <w:p w14:paraId="796C8C03" w14:textId="77777777" w:rsidR="00D826BA" w:rsidRDefault="00D826BA" w:rsidP="00752005">
            <w:pPr>
              <w:pStyle w:val="Tabletext1"/>
              <w:ind w:left="184"/>
            </w:pPr>
            <w:r>
              <w:t>Rheumatology 501 (7.1)</w:t>
            </w:r>
          </w:p>
          <w:p w14:paraId="54444002" w14:textId="77777777" w:rsidR="00D826BA" w:rsidRDefault="00D826BA" w:rsidP="00752005">
            <w:pPr>
              <w:pStyle w:val="Tabletext1"/>
              <w:ind w:left="184"/>
            </w:pPr>
            <w:r>
              <w:t>Endocrinology 446 (6.3)</w:t>
            </w:r>
          </w:p>
          <w:p w14:paraId="59585C60" w14:textId="77777777" w:rsidR="00D826BA" w:rsidRPr="00E3331A" w:rsidRDefault="00D826BA" w:rsidP="00752005">
            <w:pPr>
              <w:pStyle w:val="Tabletext1"/>
              <w:ind w:left="184"/>
            </w:pPr>
            <w:r>
              <w:t>Other 958 (13.4)</w:t>
            </w:r>
          </w:p>
        </w:tc>
        <w:tc>
          <w:tcPr>
            <w:tcW w:w="1493" w:type="pct"/>
            <w:shd w:val="clear" w:color="auto" w:fill="auto"/>
          </w:tcPr>
          <w:p w14:paraId="2DDCABF0" w14:textId="77777777" w:rsidR="00D826BA" w:rsidRDefault="00D826BA" w:rsidP="00AF5285">
            <w:pPr>
              <w:pStyle w:val="Tabletext1"/>
            </w:pPr>
            <w:r w:rsidRPr="00AF5285">
              <w:t>PE</w:t>
            </w:r>
            <w:r>
              <w:t xml:space="preserve"> by either filtration or centrifugation methods</w:t>
            </w:r>
          </w:p>
          <w:p w14:paraId="05BCE098" w14:textId="77777777" w:rsidR="00D826BA" w:rsidRPr="00E3331A" w:rsidRDefault="00D826BA" w:rsidP="00AF5285">
            <w:pPr>
              <w:pStyle w:val="Tabletext1"/>
            </w:pPr>
            <w:r>
              <w:t>procedures n = 50,846</w:t>
            </w:r>
          </w:p>
        </w:tc>
        <w:tc>
          <w:tcPr>
            <w:tcW w:w="1072" w:type="pct"/>
            <w:shd w:val="clear" w:color="auto" w:fill="auto"/>
          </w:tcPr>
          <w:p w14:paraId="3A00E8DB" w14:textId="77777777" w:rsidR="00D826BA" w:rsidRDefault="00D826BA" w:rsidP="00822F9E">
            <w:pPr>
              <w:pStyle w:val="Tabletext1"/>
            </w:pPr>
            <w:r>
              <w:t xml:space="preserve">AEs / 10,000 procedures </w:t>
            </w:r>
          </w:p>
          <w:p w14:paraId="4FF1F7E5" w14:textId="77777777" w:rsidR="00D826BA" w:rsidRDefault="00D826BA" w:rsidP="00822F9E">
            <w:pPr>
              <w:pStyle w:val="Tabletext1"/>
            </w:pPr>
            <w:r>
              <w:t>Total 699 (6.99%)</w:t>
            </w:r>
          </w:p>
          <w:p w14:paraId="10BFD9F8" w14:textId="77777777" w:rsidR="00D826BA" w:rsidRDefault="00D826BA" w:rsidP="00822F9E">
            <w:pPr>
              <w:pStyle w:val="Tabletext1"/>
            </w:pPr>
            <w:r>
              <w:t>Mild: 250 (2.5%)</w:t>
            </w:r>
          </w:p>
          <w:p w14:paraId="2B19C767" w14:textId="77777777" w:rsidR="00D826BA" w:rsidRDefault="00D826BA" w:rsidP="00822F9E">
            <w:pPr>
              <w:pStyle w:val="Tabletext1"/>
            </w:pPr>
            <w:r>
              <w:t>Moderate: 281 (2.81%)</w:t>
            </w:r>
          </w:p>
          <w:p w14:paraId="170378C3" w14:textId="77777777" w:rsidR="00D826BA" w:rsidRPr="00E3331A" w:rsidRDefault="00D826BA" w:rsidP="008A7537">
            <w:pPr>
              <w:pStyle w:val="Tabletext1"/>
            </w:pPr>
            <w:r>
              <w:t xml:space="preserve">Severe: 168 (1.68%) </w:t>
            </w:r>
          </w:p>
        </w:tc>
      </w:tr>
      <w:tr w:rsidR="00D826BA" w:rsidRPr="00E3331A" w14:paraId="6CD8CD0E" w14:textId="77777777" w:rsidTr="00D826BA">
        <w:tc>
          <w:tcPr>
            <w:tcW w:w="538" w:type="pct"/>
            <w:shd w:val="clear" w:color="auto" w:fill="auto"/>
          </w:tcPr>
          <w:p w14:paraId="5C64E0D2" w14:textId="1BEDE04B" w:rsidR="00D826BA" w:rsidRDefault="00B727D6" w:rsidP="00822F9E">
            <w:pPr>
              <w:pStyle w:val="Tabletext1"/>
            </w:pPr>
            <w:r>
              <w:fldChar w:fldCharType="begin"/>
            </w:r>
            <w:r>
              <w:instrText xml:space="preserve"> ADDIN EN.CITE &lt;EndNote&gt;&lt;Cite&gt;&lt;Author&gt;Nieto-Aristizábal&lt;/Author&gt;&lt;Year&gt;2020&lt;/Year&gt;&lt;RecNum&gt;315&lt;/RecNum&gt;&lt;DisplayText&gt;(Nieto-Aristizábal, Vivas Á, et al. 2020)&lt;/DisplayText&gt;&lt;record&gt;&lt;rec-number&gt;315&lt;/rec-number&gt;&lt;foreign-keys&gt;&lt;key app="EN" db-id="xtr5xfx2xf0wd7e0s2qvst2ietxxf0tpzr9v" timestamp="1602225743"&gt;315&lt;/key&gt;&lt;/foreign-keys&gt;&lt;ref-type name="Journal Article"&gt;17&lt;/ref-type&gt;&lt;contributors&gt;&lt;authors&gt;&lt;author&gt;Nieto-Aristizábal, I.&lt;/author&gt;&lt;author&gt;Vivas Á, J.&lt;/author&gt;&lt;author&gt;Ruiz-Montaño, P.&lt;/author&gt;&lt;author&gt;Aragón, C. C.&lt;/author&gt;&lt;author&gt;Posso-Osorio, I.&lt;/author&gt;&lt;author&gt;Quiñones, J.&lt;/author&gt;&lt;author&gt;Rivillas, J. A.&lt;/author&gt;&lt;author&gt;Tobón, G. J.&lt;/author&gt;&lt;/authors&gt;&lt;/contributors&gt;&lt;auth-address&gt;GIRAT: Grupo de Investigación en Reumatología, Autoinmunidad y Medicina Traslacional, Universidad Icesi and Fundación Valle del Lili, Cra. 98 18-49, Cali, Colombia.&amp;#xD;Medical School, Universidad Icesi, Calle 18 No. 122-135, Cali, Colombia.&amp;#xD;Department of Neurology, Fundación Valle del Lili, Cra. 98 18-49, Cali, Colombia.&amp;#xD;Unit of Neuroimmunology, Fundación Valle del Lili, Cra. 98 18-49, Cali, Colombia.&lt;/auth-address&gt;&lt;titles&gt;&lt;title&gt;Therapeutic Plasma Exchange as a Treatment for Autoimmune Neurological Disease&lt;/title&gt;&lt;secondary-title&gt;Autoimmune Dis&lt;/secondary-title&gt;&lt;/titles&gt;&lt;periodical&gt;&lt;full-title&gt;Autoimmune Dis&lt;/full-title&gt;&lt;/periodical&gt;&lt;pages&gt;3484659&lt;/pages&gt;&lt;volume&gt;2020&lt;/volume&gt;&lt;edition&gt;2020/08/18&lt;/edition&gt;&lt;dates&gt;&lt;year&gt;2020&lt;/year&gt;&lt;/dates&gt;&lt;isbn&gt;2090-0422 (Print)&amp;#xD;2090-0430 (Electronic)&amp;#xD;2090-0430 (Linking)&lt;/isbn&gt;&lt;accession-num&gt;32802495&lt;/accession-num&gt;&lt;urls&gt;&lt;related-urls&gt;&lt;url&gt;https://www.ncbi.nlm.nih.gov/pmc/articles/PMC7415086/pdf/AD2020-3484659.pdf&lt;/url&gt;&lt;/related-urls&gt;&lt;/urls&gt;&lt;custom2&gt;PMC7415086&lt;/custom2&gt;&lt;electronic-resource-num&gt;10.1155/2020/3484659&lt;/electronic-resource-num&gt;&lt;remote-database-provider&gt;NLM&lt;/remote-database-provider&gt;&lt;language&gt;eng&lt;/language&gt;&lt;/record&gt;&lt;/Cite&gt;&lt;/EndNote&gt;</w:instrText>
            </w:r>
            <w:r>
              <w:fldChar w:fldCharType="separate"/>
            </w:r>
            <w:r>
              <w:rPr>
                <w:noProof/>
              </w:rPr>
              <w:t>(</w:t>
            </w:r>
            <w:hyperlink w:anchor="_ENREF_52" w:tooltip="Nieto-Aristizábal, 2020 #315" w:history="1">
              <w:r w:rsidR="00D726F6">
                <w:rPr>
                  <w:noProof/>
                </w:rPr>
                <w:t>Nieto-Aristizábal, Vivas Á, et al. 2020</w:t>
              </w:r>
            </w:hyperlink>
            <w:r>
              <w:rPr>
                <w:noProof/>
              </w:rPr>
              <w:t>)</w:t>
            </w:r>
            <w:r>
              <w:fldChar w:fldCharType="end"/>
            </w:r>
          </w:p>
          <w:p w14:paraId="2511B6A0" w14:textId="77777777" w:rsidR="00D826BA" w:rsidRDefault="00D826BA" w:rsidP="00822F9E">
            <w:pPr>
              <w:pStyle w:val="Tabletext1"/>
            </w:pPr>
            <w:r>
              <w:t>Columbia</w:t>
            </w:r>
          </w:p>
          <w:p w14:paraId="3397E5E7" w14:textId="77777777" w:rsidR="00D826BA" w:rsidRDefault="00D826BA" w:rsidP="00822F9E">
            <w:pPr>
              <w:pStyle w:val="Tabletext1"/>
            </w:pPr>
            <w:r>
              <w:t>R O SC</w:t>
            </w:r>
          </w:p>
          <w:p w14:paraId="655B9739" w14:textId="77777777" w:rsidR="00D826BA" w:rsidRPr="00E3331A" w:rsidRDefault="00D826BA" w:rsidP="00822F9E">
            <w:pPr>
              <w:pStyle w:val="Tabletext1"/>
            </w:pPr>
            <w:r>
              <w:t>Moderate</w:t>
            </w:r>
          </w:p>
        </w:tc>
        <w:tc>
          <w:tcPr>
            <w:tcW w:w="1897" w:type="pct"/>
            <w:shd w:val="clear" w:color="auto" w:fill="auto"/>
          </w:tcPr>
          <w:p w14:paraId="05C54A6A" w14:textId="77777777" w:rsidR="00D826BA" w:rsidRDefault="00D826BA" w:rsidP="00822F9E">
            <w:pPr>
              <w:pStyle w:val="Tabletext1"/>
            </w:pPr>
            <w:r w:rsidRPr="00AF5285">
              <w:t>Patients receiving PE between 2011 and 2018, as prescribed by a neurologist</w:t>
            </w:r>
          </w:p>
          <w:p w14:paraId="7CC47CC7" w14:textId="77777777" w:rsidR="00D826BA" w:rsidRDefault="00D826BA" w:rsidP="00822F9E">
            <w:pPr>
              <w:pStyle w:val="Tabletext1"/>
            </w:pPr>
            <w:r>
              <w:t>Patients: n = 187</w:t>
            </w:r>
          </w:p>
          <w:p w14:paraId="18F3C7F2" w14:textId="77777777" w:rsidR="00D826BA" w:rsidRDefault="00D826BA" w:rsidP="00AF5285">
            <w:pPr>
              <w:pStyle w:val="Tabletext1"/>
            </w:pPr>
            <w:r>
              <w:t xml:space="preserve">Diagnoses n (%): </w:t>
            </w:r>
          </w:p>
          <w:p w14:paraId="5B4A46E2" w14:textId="77777777" w:rsidR="00D826BA" w:rsidRDefault="00D826BA" w:rsidP="00752005">
            <w:pPr>
              <w:pStyle w:val="Tabletext1"/>
              <w:ind w:left="184"/>
            </w:pPr>
            <w:r>
              <w:t>MG 70 (37.4)</w:t>
            </w:r>
          </w:p>
          <w:p w14:paraId="4B8E403D" w14:textId="77777777" w:rsidR="00D826BA" w:rsidRDefault="00D826BA" w:rsidP="00752005">
            <w:pPr>
              <w:pStyle w:val="Tabletext1"/>
              <w:ind w:left="184"/>
            </w:pPr>
            <w:r>
              <w:t>GBS 53 (28.3)</w:t>
            </w:r>
          </w:p>
          <w:p w14:paraId="2B4352D5" w14:textId="77777777" w:rsidR="00D826BA" w:rsidRDefault="00D826BA" w:rsidP="00752005">
            <w:pPr>
              <w:pStyle w:val="Tabletext1"/>
              <w:ind w:left="184"/>
            </w:pPr>
            <w:r>
              <w:t>NMOSD 35 (18.7)</w:t>
            </w:r>
          </w:p>
          <w:p w14:paraId="50CD73B8" w14:textId="77777777" w:rsidR="00D826BA" w:rsidRDefault="00D826BA" w:rsidP="00752005">
            <w:pPr>
              <w:pStyle w:val="Tabletext1"/>
              <w:ind w:left="184"/>
            </w:pPr>
            <w:r>
              <w:t>CIDP 23 (12.3)</w:t>
            </w:r>
          </w:p>
          <w:p w14:paraId="74DD387A" w14:textId="77777777" w:rsidR="00D826BA" w:rsidRPr="00E3331A" w:rsidRDefault="00D826BA" w:rsidP="00752005">
            <w:pPr>
              <w:pStyle w:val="Tabletext1"/>
              <w:ind w:left="184"/>
            </w:pPr>
            <w:r>
              <w:t>AE 6 (3.2)</w:t>
            </w:r>
          </w:p>
        </w:tc>
        <w:tc>
          <w:tcPr>
            <w:tcW w:w="1493" w:type="pct"/>
            <w:shd w:val="clear" w:color="auto" w:fill="auto"/>
          </w:tcPr>
          <w:p w14:paraId="65CC89F8" w14:textId="77777777" w:rsidR="00D826BA" w:rsidRDefault="00D826BA" w:rsidP="00822F9E">
            <w:pPr>
              <w:pStyle w:val="Tabletext1"/>
            </w:pPr>
            <w:r>
              <w:t>PE by centrifugation method</w:t>
            </w:r>
          </w:p>
          <w:p w14:paraId="72D5CD6D" w14:textId="77777777" w:rsidR="00D826BA" w:rsidRPr="00E3331A" w:rsidRDefault="00D826BA" w:rsidP="00822F9E">
            <w:pPr>
              <w:pStyle w:val="Tabletext1"/>
            </w:pPr>
            <w:r>
              <w:t>Average PE cycles per patient n = 5 (approx. 935)</w:t>
            </w:r>
          </w:p>
        </w:tc>
        <w:tc>
          <w:tcPr>
            <w:tcW w:w="1072" w:type="pct"/>
            <w:shd w:val="clear" w:color="auto" w:fill="auto"/>
          </w:tcPr>
          <w:p w14:paraId="0F36C2BD" w14:textId="77777777" w:rsidR="00D826BA" w:rsidRDefault="00D826BA" w:rsidP="00822F9E">
            <w:pPr>
              <w:pStyle w:val="Tabletext1"/>
            </w:pPr>
            <w:r>
              <w:t xml:space="preserve">AEs n/cycle </w:t>
            </w:r>
          </w:p>
          <w:p w14:paraId="42D9951E" w14:textId="77777777" w:rsidR="00D826BA" w:rsidRDefault="00D826BA" w:rsidP="00822F9E">
            <w:pPr>
              <w:pStyle w:val="Tabletext1"/>
            </w:pPr>
            <w:r>
              <w:t>All patients 378/935 (40%)</w:t>
            </w:r>
          </w:p>
          <w:p w14:paraId="303A6C2D" w14:textId="77777777" w:rsidR="00D826BA" w:rsidRDefault="00D826BA" w:rsidP="00822F9E">
            <w:pPr>
              <w:pStyle w:val="Tabletext1"/>
            </w:pPr>
            <w:r>
              <w:t>CIDP 44/115 (38.2%)</w:t>
            </w:r>
          </w:p>
          <w:p w14:paraId="4C54D0BD" w14:textId="77777777" w:rsidR="00D826BA" w:rsidRPr="00E3331A" w:rsidRDefault="00D826BA" w:rsidP="00822F9E">
            <w:pPr>
              <w:pStyle w:val="Tabletext1"/>
            </w:pPr>
          </w:p>
        </w:tc>
      </w:tr>
      <w:tr w:rsidR="00D826BA" w:rsidRPr="00E3331A" w14:paraId="70A0992A" w14:textId="77777777" w:rsidTr="00D826BA">
        <w:tc>
          <w:tcPr>
            <w:tcW w:w="538" w:type="pct"/>
            <w:shd w:val="clear" w:color="auto" w:fill="auto"/>
          </w:tcPr>
          <w:p w14:paraId="543F8F97" w14:textId="0FC25B71" w:rsidR="00D826BA" w:rsidRDefault="00B727D6" w:rsidP="00822F9E">
            <w:pPr>
              <w:pStyle w:val="Tabletext1"/>
            </w:pPr>
            <w:r>
              <w:fldChar w:fldCharType="begin"/>
            </w:r>
            <w:r>
              <w:instrText xml:space="preserve"> ADDIN EN.CITE &lt;EndNote&gt;&lt;Cite&gt;&lt;Author&gt;Basic-Jukic&lt;/Author&gt;&lt;Year&gt;2005&lt;/Year&gt;&lt;RecNum&gt;7&lt;/RecNum&gt;&lt;DisplayText&gt;(Basic-Jukic et al. 2005)&lt;/DisplayText&gt;&lt;record&gt;&lt;rec-number&gt;7&lt;/rec-number&gt;&lt;foreign-keys&gt;&lt;key app="EN" db-id="p29e2t021fx2sker0f4p99xad5t02xpedpxr" timestamp="1605655955"&gt;7&lt;/key&gt;&lt;/foreign-keys&gt;&lt;ref-type name="Journal Article"&gt;17&lt;/ref-type&gt;&lt;contributors&gt;&lt;authors&gt;&lt;author&gt;Basic-Jukic, Nikolina&lt;/author&gt;&lt;author&gt;Kes, Petar&lt;/author&gt;&lt;author&gt;Glavas-Boras, Snjezana&lt;/author&gt;&lt;author&gt;Brunetta, Bruna&lt;/author&gt;&lt;author&gt;Bubic-Filipi, Ljubica&lt;/author&gt;&lt;author&gt;Puretic, Zvonimir&lt;/author&gt;&lt;/authors&gt;&lt;/contributors&gt;&lt;titles&gt;&lt;title&gt;Complications of Therapeutic Plasma Exchange: Experience With 4857 Treatments&lt;/title&gt;&lt;secondary-title&gt;Therapeutic Apheresis and Dialysis&lt;/secondary-title&gt;&lt;/titles&gt;&lt;periodical&gt;&lt;full-title&gt;Therapeutic Apheresis and Dialysis&lt;/full-title&gt;&lt;/periodical&gt;&lt;pages&gt;391-395&lt;/pages&gt;&lt;volume&gt;9&lt;/volume&gt;&lt;number&gt;5&lt;/number&gt;&lt;dates&gt;&lt;year&gt;2005&lt;/year&gt;&lt;/dates&gt;&lt;isbn&gt;1744-9979&lt;/isbn&gt;&lt;urls&gt;&lt;related-urls&gt;&lt;url&gt;https://onlinelibrary.wiley.com/doi/abs/10.1111/j.1744-9987.2005.00319.x&lt;/url&gt;&lt;url&gt;https://onlinelibrary.wiley.com/doi/pdfdirect/10.1111/j.1744-9987.2005.00319.x?download=true&lt;/url&gt;&lt;/related-urls&gt;&lt;/urls&gt;&lt;electronic-resource-num&gt;10.1111/j.1744-9987.2005.00319.x&lt;/electronic-resource-num&gt;&lt;/record&gt;&lt;/Cite&gt;&lt;/EndNote&gt;</w:instrText>
            </w:r>
            <w:r>
              <w:fldChar w:fldCharType="separate"/>
            </w:r>
            <w:r>
              <w:rPr>
                <w:noProof/>
              </w:rPr>
              <w:t>(</w:t>
            </w:r>
            <w:hyperlink w:anchor="_ENREF_5" w:tooltip="Basic-Jukic, 2005 #7" w:history="1">
              <w:r w:rsidR="00D726F6">
                <w:rPr>
                  <w:noProof/>
                </w:rPr>
                <w:t>Basic-Jukic et al. 2005</w:t>
              </w:r>
            </w:hyperlink>
            <w:r>
              <w:rPr>
                <w:noProof/>
              </w:rPr>
              <w:t>)</w:t>
            </w:r>
            <w:r>
              <w:fldChar w:fldCharType="end"/>
            </w:r>
          </w:p>
          <w:p w14:paraId="2574774A" w14:textId="77777777" w:rsidR="00D826BA" w:rsidRDefault="00D826BA" w:rsidP="00822F9E">
            <w:pPr>
              <w:pStyle w:val="Tabletext1"/>
            </w:pPr>
            <w:r>
              <w:t>Croatia</w:t>
            </w:r>
          </w:p>
          <w:p w14:paraId="001106C9" w14:textId="77777777" w:rsidR="00D826BA" w:rsidRDefault="00D826BA" w:rsidP="00822F9E">
            <w:pPr>
              <w:pStyle w:val="Tabletext1"/>
            </w:pPr>
            <w:r>
              <w:t>R O SC</w:t>
            </w:r>
          </w:p>
          <w:p w14:paraId="283E09A3" w14:textId="77777777" w:rsidR="00D826BA" w:rsidRPr="00E3331A" w:rsidRDefault="00D826BA" w:rsidP="00822F9E">
            <w:pPr>
              <w:pStyle w:val="Tabletext1"/>
            </w:pPr>
            <w:r>
              <w:t>Moderate</w:t>
            </w:r>
          </w:p>
        </w:tc>
        <w:tc>
          <w:tcPr>
            <w:tcW w:w="1897" w:type="pct"/>
            <w:shd w:val="clear" w:color="auto" w:fill="auto"/>
          </w:tcPr>
          <w:p w14:paraId="6F048A08" w14:textId="77777777" w:rsidR="00D826BA" w:rsidRDefault="00D826BA" w:rsidP="00C05AE2">
            <w:pPr>
              <w:pStyle w:val="Tabletext1"/>
            </w:pPr>
            <w:r>
              <w:t>Data on PE procedures collected between 1982 and 2003 in a single dialysis centre</w:t>
            </w:r>
          </w:p>
          <w:p w14:paraId="1C3037E4" w14:textId="77777777" w:rsidR="00D826BA" w:rsidRDefault="00D826BA" w:rsidP="00C05AE2">
            <w:pPr>
              <w:pStyle w:val="Tabletext1"/>
            </w:pPr>
            <w:r>
              <w:t>Patients: n = 507</w:t>
            </w:r>
          </w:p>
          <w:p w14:paraId="00DCD75C" w14:textId="77777777" w:rsidR="00D826BA" w:rsidRDefault="00D826BA" w:rsidP="00C05AE2">
            <w:pPr>
              <w:pStyle w:val="Tabletext1"/>
            </w:pPr>
            <w:r>
              <w:t xml:space="preserve">Diagnoses n (%): </w:t>
            </w:r>
          </w:p>
          <w:p w14:paraId="333E9A5F" w14:textId="77777777" w:rsidR="00D826BA" w:rsidRDefault="00D826BA" w:rsidP="00752005">
            <w:pPr>
              <w:pStyle w:val="Tabletext1"/>
              <w:ind w:left="184"/>
            </w:pPr>
            <w:r>
              <w:t>MG 247 (48.7)</w:t>
            </w:r>
          </w:p>
          <w:p w14:paraId="03B4FFF7" w14:textId="77777777" w:rsidR="00D826BA" w:rsidRDefault="00D826BA" w:rsidP="00752005">
            <w:pPr>
              <w:pStyle w:val="Tabletext1"/>
              <w:ind w:left="184"/>
            </w:pPr>
            <w:r>
              <w:t>TTP/HUS 19 (3.7)</w:t>
            </w:r>
          </w:p>
          <w:p w14:paraId="51CC505A" w14:textId="77777777" w:rsidR="00D826BA" w:rsidRDefault="00D826BA" w:rsidP="00752005">
            <w:pPr>
              <w:pStyle w:val="Tabletext1"/>
              <w:ind w:left="184"/>
            </w:pPr>
            <w:r>
              <w:t>SLE 34 (6.7)</w:t>
            </w:r>
          </w:p>
          <w:p w14:paraId="263375EF" w14:textId="77777777" w:rsidR="00D826BA" w:rsidRDefault="00D826BA" w:rsidP="00752005">
            <w:pPr>
              <w:pStyle w:val="Tabletext1"/>
              <w:ind w:left="184"/>
            </w:pPr>
            <w:r>
              <w:t>GBS 60 (11.8)</w:t>
            </w:r>
          </w:p>
          <w:p w14:paraId="1F401CE8" w14:textId="77777777" w:rsidR="00D826BA" w:rsidRDefault="00D826BA" w:rsidP="00752005">
            <w:pPr>
              <w:pStyle w:val="Tabletext1"/>
              <w:ind w:left="184"/>
            </w:pPr>
            <w:r>
              <w:t>CIDP 13 (2.5)</w:t>
            </w:r>
          </w:p>
          <w:p w14:paraId="79A1A3E7" w14:textId="77777777" w:rsidR="00D826BA" w:rsidRDefault="00D826BA" w:rsidP="00752005">
            <w:pPr>
              <w:pStyle w:val="Tabletext1"/>
              <w:ind w:left="184"/>
            </w:pPr>
            <w:r>
              <w:t>ABO-incompatible BMT 23 (4.5)</w:t>
            </w:r>
          </w:p>
          <w:p w14:paraId="4919DAE4" w14:textId="77777777" w:rsidR="00D826BA" w:rsidRPr="00E3331A" w:rsidRDefault="00D826BA" w:rsidP="00752005">
            <w:pPr>
              <w:pStyle w:val="Tabletext1"/>
              <w:ind w:left="184"/>
            </w:pPr>
            <w:r>
              <w:t>Other 94 (18.5)</w:t>
            </w:r>
          </w:p>
        </w:tc>
        <w:tc>
          <w:tcPr>
            <w:tcW w:w="1493" w:type="pct"/>
            <w:shd w:val="clear" w:color="auto" w:fill="auto"/>
          </w:tcPr>
          <w:p w14:paraId="7FEF2DF9" w14:textId="77777777" w:rsidR="00D826BA" w:rsidRDefault="00D826BA" w:rsidP="00822F9E">
            <w:pPr>
              <w:pStyle w:val="Tabletext1"/>
            </w:pPr>
            <w:r>
              <w:t>PE by membrane/filtration method</w:t>
            </w:r>
          </w:p>
          <w:p w14:paraId="15C39ECC" w14:textId="77777777" w:rsidR="00D826BA" w:rsidRDefault="00D826BA" w:rsidP="00822F9E">
            <w:pPr>
              <w:pStyle w:val="Tabletext1"/>
            </w:pPr>
            <w:r>
              <w:t>Cycles n = 4857</w:t>
            </w:r>
          </w:p>
          <w:p w14:paraId="0CAFBCF9" w14:textId="77777777" w:rsidR="00D826BA" w:rsidRDefault="00D826BA" w:rsidP="00822F9E">
            <w:pPr>
              <w:pStyle w:val="Tabletext1"/>
            </w:pPr>
            <w:r>
              <w:t>Mean Session per patients 9.54 ± 13.71 (range 1 – 142)</w:t>
            </w:r>
          </w:p>
          <w:p w14:paraId="4CF14D29" w14:textId="77777777" w:rsidR="00D826BA" w:rsidRPr="00E3331A" w:rsidRDefault="00D826BA" w:rsidP="00822F9E">
            <w:pPr>
              <w:pStyle w:val="Tabletext1"/>
            </w:pPr>
          </w:p>
        </w:tc>
        <w:tc>
          <w:tcPr>
            <w:tcW w:w="1072" w:type="pct"/>
            <w:shd w:val="clear" w:color="auto" w:fill="auto"/>
          </w:tcPr>
          <w:p w14:paraId="6029FA48" w14:textId="77777777" w:rsidR="00D826BA" w:rsidRDefault="00D826BA" w:rsidP="00822F9E">
            <w:pPr>
              <w:pStyle w:val="Tabletext1"/>
            </w:pPr>
            <w:r>
              <w:t xml:space="preserve">AEs n (% of cycles) </w:t>
            </w:r>
          </w:p>
          <w:p w14:paraId="45737492" w14:textId="77777777" w:rsidR="00D826BA" w:rsidRDefault="00D826BA" w:rsidP="00822F9E">
            <w:pPr>
              <w:pStyle w:val="Tabletext1"/>
            </w:pPr>
            <w:r>
              <w:t>All patients 231 (4.75%)</w:t>
            </w:r>
          </w:p>
          <w:p w14:paraId="794BEBC3" w14:textId="77777777" w:rsidR="00D826BA" w:rsidRPr="00E3331A" w:rsidRDefault="00D826BA" w:rsidP="00822F9E">
            <w:pPr>
              <w:pStyle w:val="Tabletext1"/>
            </w:pPr>
          </w:p>
        </w:tc>
      </w:tr>
    </w:tbl>
    <w:p w14:paraId="5C20CDE0" w14:textId="77777777" w:rsidR="002E5304" w:rsidRDefault="002E5304" w:rsidP="002E5304">
      <w:pPr>
        <w:pStyle w:val="Tablenote"/>
        <w:jc w:val="both"/>
      </w:pPr>
      <w:r w:rsidRPr="002E5304">
        <w:t>Abbreviations: AE = adverse event; BMT = bone marrow transplant; Ig = immunoglobulin; St = steroids; Pl = placebo; I = intervention; C = comparator; CI = confidence interval; CIDP = chronic inflammatory demyelinating polyneuropathy; GBS = Guillain Barre Syndrome; INCAT = Inflammatory Neuropathy Cause and Treatment; MG = myasthenia gravis; MRC = Medical Research Council; NDS = Neurological Disability Score; MD = mean difference; ODSS = INCAT overall disability sum score; NMOSD = neuromyelitis optica spectrum disorder; ROB = risk of bias; RODS = Rasch-built Overall Disability Scale; SLE = systemic lupus erythematosus; TTP/HUS = thrombotic thrombocytopenic purpura/haemolytic uremic syndrome</w:t>
      </w:r>
      <w:r>
        <w:t xml:space="preserve"> </w:t>
      </w:r>
    </w:p>
    <w:p w14:paraId="718700AF" w14:textId="77777777" w:rsidR="00B236AD" w:rsidRDefault="00B236AD" w:rsidP="00B236AD">
      <w:pPr>
        <w:pStyle w:val="Heading5"/>
      </w:pPr>
      <w:r>
        <w:t>Adverse events associated with PE compared with IVIg</w:t>
      </w:r>
    </w:p>
    <w:p w14:paraId="63323282" w14:textId="34179EC9" w:rsidR="00453AD6" w:rsidRDefault="00A63778" w:rsidP="00192373">
      <w:pPr>
        <w:jc w:val="both"/>
      </w:pPr>
      <w:r>
        <w:t xml:space="preserve">RCTs and comparative observational studies were included in the SR by Ortiz-Salas et al (2016), </w:t>
      </w:r>
      <w:r w:rsidR="00F06E45">
        <w:t>with</w:t>
      </w:r>
      <w:r>
        <w:t xml:space="preserve"> the inclusion period </w:t>
      </w:r>
      <w:r w:rsidR="00F06E45">
        <w:t>covering</w:t>
      </w:r>
      <w:r>
        <w:t xml:space="preserve"> publications </w:t>
      </w:r>
      <w:r w:rsidR="00FE359A">
        <w:t>up to</w:t>
      </w:r>
      <w:r>
        <w:t xml:space="preserve"> 2014. Of the 24 studies included, 15 reported on AEs </w:t>
      </w:r>
      <w:r w:rsidR="00FE359A">
        <w:t xml:space="preserve">- </w:t>
      </w:r>
      <w:r>
        <w:t xml:space="preserve">a total of 4,642 patients who received PE, and 1,600 who received IVIg. The typical PE strategy used across studies was replacement of 200 – 250 ml/kg body weight given over 10 – 14 days. This required approximately </w:t>
      </w:r>
      <w:r w:rsidR="00416ECC">
        <w:t>five to six</w:t>
      </w:r>
      <w:r>
        <w:t xml:space="preserve"> cycles with 5% albumin replacement. The typical IVIg dosage was 0.4 g/kg body weight per day, to a total of 2g/kg body weight. There were </w:t>
      </w:r>
      <w:r w:rsidR="001E1E94">
        <w:t>fewer</w:t>
      </w:r>
      <w:r>
        <w:t xml:space="preserve"> AEs overall in those receiving PE compared to those who received IVIg (2.</w:t>
      </w:r>
      <w:r w:rsidR="001F32A1">
        <w:t>05</w:t>
      </w:r>
      <w:r>
        <w:t>% versus 5.60%)</w:t>
      </w:r>
      <w:r w:rsidR="00FE359A">
        <w:t xml:space="preserve"> </w:t>
      </w:r>
      <w:r>
        <w:t>(</w:t>
      </w:r>
      <w:r>
        <w:fldChar w:fldCharType="begin"/>
      </w:r>
      <w:r>
        <w:instrText xml:space="preserve"> REF _Ref56524324 \h </w:instrText>
      </w:r>
      <w:r w:rsidR="00192373">
        <w:instrText xml:space="preserve"> \* MERGEFORMAT </w:instrText>
      </w:r>
      <w:r>
        <w:fldChar w:fldCharType="separate"/>
      </w:r>
      <w:r w:rsidR="004B3EA2">
        <w:t xml:space="preserve">Table </w:t>
      </w:r>
      <w:r w:rsidR="004B3EA2">
        <w:rPr>
          <w:noProof/>
        </w:rPr>
        <w:t>16</w:t>
      </w:r>
      <w:r>
        <w:fldChar w:fldCharType="end"/>
      </w:r>
      <w:r>
        <w:t xml:space="preserve">). </w:t>
      </w:r>
    </w:p>
    <w:p w14:paraId="17C885A9" w14:textId="299FCED2" w:rsidR="00A65FB3" w:rsidRDefault="00A63778" w:rsidP="00192373">
      <w:pPr>
        <w:jc w:val="both"/>
      </w:pPr>
      <w:r>
        <w:t xml:space="preserve">AEs fell into categories of </w:t>
      </w:r>
      <w:r w:rsidR="00FE359A">
        <w:t>r</w:t>
      </w:r>
      <w:r>
        <w:t>espiratory, cardiovascular, genitourinary, central nervous system and other (including fever, temperature increase, chills, gastro-intestinal symptoms, phlebitis, haemolytic anaemia, allergic rea</w:t>
      </w:r>
      <w:r w:rsidR="00A83FC6">
        <w:t>c</w:t>
      </w:r>
      <w:r>
        <w:t>tions, and elevated transaminases). In meta-analyses of clinical trials, the chance of AEs was lower for those treated with IVIg than those treated with PE but the difference was not statistically significant (patients with MG</w:t>
      </w:r>
      <w:r w:rsidR="00F06E45">
        <w:t>:</w:t>
      </w:r>
      <w:r>
        <w:t xml:space="preserve"> OR = 0.65, 95%CI 0.16, 2.57; patients with GBS</w:t>
      </w:r>
      <w:r w:rsidR="00F06E45">
        <w:t>:</w:t>
      </w:r>
      <w:r>
        <w:t xml:space="preserve"> OR = 0.76, 95%CI 0.38, 1.49) (</w:t>
      </w:r>
      <w:r>
        <w:fldChar w:fldCharType="begin"/>
      </w:r>
      <w:r>
        <w:instrText xml:space="preserve"> REF _Ref56601128 \h </w:instrText>
      </w:r>
      <w:r w:rsidR="00192373">
        <w:instrText xml:space="preserve"> \* MERGEFORMAT </w:instrText>
      </w:r>
      <w:r>
        <w:fldChar w:fldCharType="separate"/>
      </w:r>
      <w:r w:rsidR="004B3EA2">
        <w:t xml:space="preserve">Figure </w:t>
      </w:r>
      <w:r w:rsidR="004B3EA2">
        <w:rPr>
          <w:noProof/>
        </w:rPr>
        <w:t>11</w:t>
      </w:r>
      <w:r>
        <w:fldChar w:fldCharType="end"/>
      </w:r>
      <w:r>
        <w:t>). When the outcomes were compared</w:t>
      </w:r>
      <w:r w:rsidR="00F06E45" w:rsidRPr="00F06E45">
        <w:t xml:space="preserve"> </w:t>
      </w:r>
      <w:r w:rsidR="00F06E45">
        <w:t>by study design</w:t>
      </w:r>
      <w:r>
        <w:t xml:space="preserve">, </w:t>
      </w:r>
      <w:r w:rsidR="00AE6CC2">
        <w:t xml:space="preserve">IVIg was favoured in </w:t>
      </w:r>
      <w:r>
        <w:t xml:space="preserve">comparative observational studies (OR 0.62; 95%CI0.41, 0.93; p = 0.023) </w:t>
      </w:r>
      <w:r w:rsidR="00E41206">
        <w:t>but not in</w:t>
      </w:r>
      <w:r>
        <w:t xml:space="preserve"> clinical trials (OR 0.81; 95%CI 0.45, 1.47; p = 0.496). </w:t>
      </w:r>
    </w:p>
    <w:p w14:paraId="02BC7579" w14:textId="77777777" w:rsidR="00076DE6" w:rsidRDefault="00A65FB3" w:rsidP="00192373">
      <w:pPr>
        <w:jc w:val="both"/>
      </w:pPr>
      <w:r>
        <w:t xml:space="preserve">The frequency of AEs for both PE and IVIg was low in comparison to that reported in </w:t>
      </w:r>
      <w:r w:rsidR="00E41206">
        <w:t>retrospective</w:t>
      </w:r>
      <w:r>
        <w:t xml:space="preserve"> studies</w:t>
      </w:r>
      <w:r w:rsidR="00E41206">
        <w:t xml:space="preserve"> discussed below</w:t>
      </w:r>
      <w:r>
        <w:t>, and it is possible that the included studies underreported AEs, or did not report mild AEs. As an e</w:t>
      </w:r>
      <w:r w:rsidR="00AE6CC2">
        <w:t>xample, there is no mention of h</w:t>
      </w:r>
      <w:r>
        <w:t xml:space="preserve">eadaches in patients receiving IVIg, and yet this is one of the most commonly reported AEs for this treatment. </w:t>
      </w:r>
      <w:r w:rsidR="00A83FC6">
        <w:t>As the</w:t>
      </w:r>
      <w:r w:rsidR="00D779B5">
        <w:t xml:space="preserve"> </w:t>
      </w:r>
      <w:r w:rsidR="00453AD6">
        <w:t>comparison between IVIg and PE</w:t>
      </w:r>
      <w:r w:rsidR="00D779B5">
        <w:t xml:space="preserve"> in this SR</w:t>
      </w:r>
      <w:r w:rsidR="00453AD6">
        <w:t xml:space="preserve"> </w:t>
      </w:r>
      <w:r w:rsidR="00A83FC6">
        <w:t xml:space="preserve">is not directly applicable to </w:t>
      </w:r>
      <w:r w:rsidR="00D779B5">
        <w:t xml:space="preserve">patients with CIDP, </w:t>
      </w:r>
      <w:r w:rsidR="00A83FC6">
        <w:t>the results should be considered with caution and in conjunction with results from studies in CIDP populations</w:t>
      </w:r>
      <w:r>
        <w:t xml:space="preserve"> where possible</w:t>
      </w:r>
      <w:r w:rsidR="00D779B5">
        <w:t xml:space="preserve">. </w:t>
      </w:r>
    </w:p>
    <w:p w14:paraId="12F3449A" w14:textId="77777777" w:rsidR="00076DE6" w:rsidRDefault="00A63778" w:rsidP="00580659">
      <w:r>
        <w:rPr>
          <w:noProof/>
        </w:rPr>
        <w:drawing>
          <wp:inline distT="0" distB="0" distL="0" distR="0" wp14:anchorId="6C315BDD" wp14:editId="17305E0C">
            <wp:extent cx="5158740" cy="3162644"/>
            <wp:effectExtent l="0" t="0" r="3810" b="0"/>
            <wp:docPr id="1" name="Picture 1" descr="A: Comparison of AEs for IVIg versus PE in clinical trials for GBS; B: Comparison of AEs for IVIg   versus PE in clinical trials for MG" title="A: Comparison of AEs for IVIg versus PE in clinical trials for GBS; B: Comparison of AEs for IVIg   versus PE in clinical trials for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73202" cy="3171510"/>
                    </a:xfrm>
                    <a:prstGeom prst="rect">
                      <a:avLst/>
                    </a:prstGeom>
                  </pic:spPr>
                </pic:pic>
              </a:graphicData>
            </a:graphic>
          </wp:inline>
        </w:drawing>
      </w:r>
    </w:p>
    <w:p w14:paraId="199B90C8" w14:textId="511E4071" w:rsidR="00076DE6" w:rsidRDefault="008D3F71" w:rsidP="008D3F71">
      <w:pPr>
        <w:pStyle w:val="Caption"/>
      </w:pPr>
      <w:bookmarkStart w:id="198" w:name="_Ref56601128"/>
      <w:bookmarkStart w:id="199" w:name="_Toc69305743"/>
      <w:r>
        <w:t xml:space="preserve">Figure </w:t>
      </w:r>
      <w:r w:rsidR="00003BA5">
        <w:fldChar w:fldCharType="begin"/>
      </w:r>
      <w:r w:rsidR="00003BA5">
        <w:instrText xml:space="preserve"> SEQ Figure \* ARABIC </w:instrText>
      </w:r>
      <w:r w:rsidR="00003BA5">
        <w:fldChar w:fldCharType="separate"/>
      </w:r>
      <w:r w:rsidR="004B3EA2">
        <w:rPr>
          <w:noProof/>
        </w:rPr>
        <w:t>11</w:t>
      </w:r>
      <w:r w:rsidR="00003BA5">
        <w:rPr>
          <w:noProof/>
        </w:rPr>
        <w:fldChar w:fldCharType="end"/>
      </w:r>
      <w:bookmarkEnd w:id="198"/>
      <w:r>
        <w:tab/>
      </w:r>
      <w:r w:rsidR="00A63778">
        <w:t xml:space="preserve">A: Comparison of AEs for IVIg versus PE in clinical trials for GBS; B: Comparison of AEs </w:t>
      </w:r>
      <w:r w:rsidR="00573B77">
        <w:t xml:space="preserve">for </w:t>
      </w:r>
      <w:r w:rsidR="00A63778">
        <w:t xml:space="preserve">IVIg </w:t>
      </w:r>
      <w:r w:rsidR="00A63778">
        <w:tab/>
      </w:r>
      <w:r w:rsidR="00A63778">
        <w:tab/>
        <w:t>versus PE in clinical trials for MG</w:t>
      </w:r>
      <w:bookmarkEnd w:id="199"/>
    </w:p>
    <w:p w14:paraId="000E020E" w14:textId="77777777" w:rsidR="008D3F71" w:rsidRDefault="00A63778" w:rsidP="00A63778">
      <w:pPr>
        <w:pStyle w:val="Tablenote"/>
      </w:pPr>
      <w:r>
        <w:t xml:space="preserve">Abbreviations: AEs = adverse events; GBS = Guillain Barre Syndrome; IVIg = intravenous </w:t>
      </w:r>
      <w:r w:rsidR="00FB29BF">
        <w:t>immunoglobulin</w:t>
      </w:r>
      <w:r>
        <w:t xml:space="preserve"> therapy; MG = myasthenia gravis; PE = plasma exchange therapy</w:t>
      </w:r>
    </w:p>
    <w:p w14:paraId="34718BCF" w14:textId="77777777" w:rsidR="00453AD6" w:rsidRDefault="00453AD6" w:rsidP="00A63778">
      <w:pPr>
        <w:pStyle w:val="Tablenote"/>
      </w:pPr>
    </w:p>
    <w:p w14:paraId="030D4AF0" w14:textId="77777777" w:rsidR="00B236AD" w:rsidRDefault="00E41206" w:rsidP="00B236AD">
      <w:pPr>
        <w:pStyle w:val="Heading5"/>
      </w:pPr>
      <w:r>
        <w:t>Any</w:t>
      </w:r>
      <w:r w:rsidR="00B236AD">
        <w:t xml:space="preserve"> adverse event in patients receiving PE</w:t>
      </w:r>
    </w:p>
    <w:p w14:paraId="300085EC" w14:textId="05C7F855" w:rsidR="00B236AD" w:rsidRDefault="00B236AD" w:rsidP="002C53C8">
      <w:pPr>
        <w:tabs>
          <w:tab w:val="left" w:pos="7371"/>
        </w:tabs>
        <w:jc w:val="both"/>
      </w:pPr>
      <w:r>
        <w:t xml:space="preserve">There were a total of 49 AEs reported in </w:t>
      </w:r>
      <w:r w:rsidR="00E41206">
        <w:t>2,388</w:t>
      </w:r>
      <w:r w:rsidR="00AE6CC2">
        <w:t xml:space="preserve"> </w:t>
      </w:r>
      <w:r>
        <w:t xml:space="preserve">patients </w:t>
      </w:r>
      <w:r w:rsidR="00FB29BF">
        <w:t xml:space="preserve">(2.05%) </w:t>
      </w:r>
      <w:r>
        <w:t>receiving PE in the SR</w:t>
      </w:r>
      <w:r w:rsidR="00A65FB3">
        <w:t xml:space="preserve"> </w:t>
      </w:r>
      <w:r w:rsidR="00B727D6">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rsidR="00B727D6">
        <w:instrText xml:space="preserve"> ADDIN EN.CITE </w:instrText>
      </w:r>
      <w:r w:rsidR="00B727D6">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rsidR="00B727D6">
        <w:instrText xml:space="preserve"> ADDIN EN.CITE.DATA </w:instrText>
      </w:r>
      <w:r w:rsidR="00B727D6">
        <w:fldChar w:fldCharType="end"/>
      </w:r>
      <w:r w:rsidR="00B727D6">
        <w:fldChar w:fldCharType="separate"/>
      </w:r>
      <w:r w:rsidR="00B727D6">
        <w:rPr>
          <w:noProof/>
        </w:rPr>
        <w:t>(</w:t>
      </w:r>
      <w:hyperlink w:anchor="_ENREF_56" w:tooltip="Ortiz-Salas, 2016 #10" w:history="1">
        <w:r w:rsidR="00D726F6">
          <w:rPr>
            <w:noProof/>
          </w:rPr>
          <w:t>Ortiz-Salas et al. 2016</w:t>
        </w:r>
      </w:hyperlink>
      <w:r w:rsidR="00B727D6">
        <w:rPr>
          <w:noProof/>
        </w:rPr>
        <w:t>)</w:t>
      </w:r>
      <w:r w:rsidR="00B727D6">
        <w:fldChar w:fldCharType="end"/>
      </w:r>
      <w:r>
        <w:t xml:space="preserve">. The severity of the AEs could not be </w:t>
      </w:r>
      <w:r w:rsidR="00292494">
        <w:t xml:space="preserve">determined by the authors </w:t>
      </w:r>
      <w:r>
        <w:t xml:space="preserve">due to the heterogeneity in primary study outcomes. The most frequently occurring </w:t>
      </w:r>
      <w:r w:rsidR="001E1E94">
        <w:t>AEs</w:t>
      </w:r>
      <w:r>
        <w:t xml:space="preserve"> were </w:t>
      </w:r>
      <w:r w:rsidR="00A65FB3">
        <w:t>a</w:t>
      </w:r>
      <w:r>
        <w:t xml:space="preserve">rterial hypotension (n = 10), </w:t>
      </w:r>
      <w:r w:rsidR="00A65FB3">
        <w:t>s</w:t>
      </w:r>
      <w:r>
        <w:t>epsis (n = 6), pneumonia (n = 5), alteration of coagulation (n = 4), nausea and vomiting (n = 4), and venous thrombosis (n =3). There were two incidences each of vasovagal reaction, poor venous access, acute renal failure, fever, and allergic citrate reaction, and one incident each of raised temperature, hypocalcaemia, haematoma, anaemia and skin eruption, vasospasm, syncope. T</w:t>
      </w:r>
      <w:r w:rsidR="00836121">
        <w:t xml:space="preserve">he most frequently occurring </w:t>
      </w:r>
      <w:r w:rsidR="001E1E94">
        <w:t>AEs</w:t>
      </w:r>
      <w:r w:rsidR="00836121">
        <w:t xml:space="preserve"> </w:t>
      </w:r>
      <w:r>
        <w:t>w</w:t>
      </w:r>
      <w:r w:rsidR="00836121">
        <w:t>ere</w:t>
      </w:r>
      <w:r>
        <w:t xml:space="preserve"> cardiovascular events</w:t>
      </w:r>
      <w:r w:rsidR="00F30E44">
        <w:t xml:space="preserve"> (which included occurrences of venous thrombosis and poor venous access)</w:t>
      </w:r>
      <w:r>
        <w:t>, for which there were 21 events (42.8%</w:t>
      </w:r>
      <w:r w:rsidR="00F30E44">
        <w:t xml:space="preserve"> of all AEs</w:t>
      </w:r>
      <w:r>
        <w:t>).</w:t>
      </w:r>
      <w:r w:rsidR="00F30E44">
        <w:t xml:space="preserve"> </w:t>
      </w:r>
      <w:r>
        <w:t xml:space="preserve">Results </w:t>
      </w:r>
      <w:r w:rsidR="00F30E44">
        <w:t xml:space="preserve">for the most frequent AEs </w:t>
      </w:r>
      <w:r>
        <w:t xml:space="preserve">can be seen in </w:t>
      </w:r>
      <w:r w:rsidR="002C53C8">
        <w:fldChar w:fldCharType="begin"/>
      </w:r>
      <w:r w:rsidR="002C53C8">
        <w:instrText xml:space="preserve"> REF _Ref57048517 \h </w:instrText>
      </w:r>
      <w:r w:rsidR="002C53C8">
        <w:fldChar w:fldCharType="separate"/>
      </w:r>
      <w:r w:rsidR="004B3EA2">
        <w:t xml:space="preserve">Table </w:t>
      </w:r>
      <w:r w:rsidR="004B3EA2">
        <w:rPr>
          <w:noProof/>
        </w:rPr>
        <w:t>17</w:t>
      </w:r>
      <w:r w:rsidR="002C53C8">
        <w:fldChar w:fldCharType="end"/>
      </w:r>
      <w:r>
        <w:t>.</w:t>
      </w:r>
    </w:p>
    <w:p w14:paraId="1F1E7313" w14:textId="77777777" w:rsidR="00E41206" w:rsidRDefault="00E41206" w:rsidP="00E41206">
      <w:pPr>
        <w:pStyle w:val="Heading5"/>
      </w:pPr>
      <w:r>
        <w:t>Mild and moderate adverse events in patients receiving PE</w:t>
      </w:r>
    </w:p>
    <w:p w14:paraId="6E315D31" w14:textId="638E8342" w:rsidR="00453AD6" w:rsidRDefault="00C42EE5" w:rsidP="00192373">
      <w:pPr>
        <w:jc w:val="both"/>
      </w:pPr>
      <w:r>
        <w:t xml:space="preserve">One large multicentre study </w: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 </w:instrTex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EN.CITE.DATA </w:instrText>
      </w:r>
      <w:r w:rsidR="00B727D6">
        <w:fldChar w:fldCharType="end"/>
      </w:r>
      <w:r w:rsidR="00B727D6">
        <w:fldChar w:fldCharType="separate"/>
      </w:r>
      <w:r w:rsidR="00B727D6">
        <w:rPr>
          <w:noProof/>
        </w:rPr>
        <w:t>(</w:t>
      </w:r>
      <w:hyperlink w:anchor="_ENREF_46" w:tooltip="Mörtzell Henriksson, 2016 #8" w:history="1">
        <w:r w:rsidR="00D726F6">
          <w:rPr>
            <w:noProof/>
          </w:rPr>
          <w:t>Mörtzell Henriksson et al. 2016</w:t>
        </w:r>
      </w:hyperlink>
      <w:r w:rsidR="00B727D6">
        <w:rPr>
          <w:noProof/>
        </w:rPr>
        <w:t>)</w:t>
      </w:r>
      <w:r w:rsidR="00B727D6">
        <w:fldChar w:fldCharType="end"/>
      </w:r>
      <w:r>
        <w:t xml:space="preserve"> reported on registry data from the WAA. The number of patients included in the analysis was 7,142, and the number of PE procedures </w:t>
      </w:r>
      <w:r w:rsidR="00A87B01">
        <w:t xml:space="preserve">analysed </w:t>
      </w:r>
      <w:r>
        <w:t xml:space="preserve">was </w:t>
      </w:r>
      <w:r w:rsidR="00EC756A">
        <w:t>47,856</w:t>
      </w:r>
      <w:r>
        <w:t xml:space="preserve">. </w:t>
      </w:r>
      <w:r w:rsidR="00A460E3">
        <w:t xml:space="preserve">The patient </w:t>
      </w:r>
      <w:r w:rsidR="00F30E44">
        <w:t>population</w:t>
      </w:r>
      <w:r w:rsidR="00A460E3">
        <w:t xml:space="preserve"> was composed of patients from various diagnostic groups, the largest of which were malignancy (n = 2,950; 41.8%), neurology (n = 990; 14.0%) and haematology (n = 681; 9.6%). </w:t>
      </w:r>
      <w:r w:rsidR="000D468A">
        <w:t>Because of the diversity of diagnostic groups, the applicability of data from th</w:t>
      </w:r>
      <w:r w:rsidR="00D4287B">
        <w:t>e</w:t>
      </w:r>
      <w:r w:rsidR="000D468A">
        <w:t xml:space="preserve"> study </w:t>
      </w:r>
      <w:r w:rsidR="00AE6CC2">
        <w:t>is</w:t>
      </w:r>
      <w:r w:rsidR="000D468A">
        <w:t xml:space="preserve"> reduced. </w:t>
      </w:r>
      <w:r w:rsidR="00A460E3">
        <w:t xml:space="preserve">AEs were graded as mild, moderate and severe, where mild AEs were defined as those tolerated without medication, moderate AEs were those that required medication, and severe were those events that interrupted the course of PE. Deaths due to AEs was a fourth grade. </w:t>
      </w:r>
      <w:r w:rsidR="00EC756A">
        <w:t xml:space="preserve">The severity of AEs was graded in sub-group of 2,760 procedures, and from the data, an AE rate for the total 47,856 procedures for each severity grade. There were 1,154 (2.4%) mild AEs, </w:t>
      </w:r>
      <w:r w:rsidR="00D363D8">
        <w:t xml:space="preserve">1,438 (3.0%) moderate </w:t>
      </w:r>
      <w:r w:rsidR="003C553E">
        <w:t xml:space="preserve">AEs, </w:t>
      </w:r>
      <w:r w:rsidR="00D363D8">
        <w:t>and 168 (0.35%) severe AEs.  The authors conducted further analyses, providing data on the number of AEs</w:t>
      </w:r>
      <w:r w:rsidR="00DE0CA5">
        <w:t xml:space="preserve"> per 10,000 procedures. </w:t>
      </w:r>
    </w:p>
    <w:p w14:paraId="76D110F7" w14:textId="5AF8AAAC" w:rsidR="000D468A" w:rsidRDefault="00D363D8" w:rsidP="00192373">
      <w:pPr>
        <w:jc w:val="both"/>
      </w:pPr>
      <w:r>
        <w:t>Data for the most common AEs amongst 2,760 events w</w:t>
      </w:r>
      <w:r w:rsidR="006C38A1">
        <w:t>ere</w:t>
      </w:r>
      <w:r>
        <w:t xml:space="preserve"> provided. </w:t>
      </w:r>
      <w:r w:rsidR="00F13A62">
        <w:t>The most common mild AE was an access problem</w:t>
      </w:r>
      <w:r w:rsidR="00D93F4E">
        <w:t>, with 130 occurring every 10,000 procedures (1.3%). The next most common mild AE was hypotension, which occurred 36 time</w:t>
      </w:r>
      <w:r w:rsidR="00AE6CC2">
        <w:t>s</w:t>
      </w:r>
      <w:r w:rsidR="00D93F4E">
        <w:t xml:space="preserve"> per 10,000 procedures (0.36%). The most commonly occurring moderate AEs were tingling (174/10,000 procedures, 1.74%), urticaria (45/10,000 procedures, 0.45%) and hypotension (30/10,000 procedures, 0.30%). There were severe AEs in 168 procedures, for </w:t>
      </w:r>
      <w:r w:rsidR="00491B2E">
        <w:t>w</w:t>
      </w:r>
      <w:r w:rsidR="00D93F4E">
        <w:t>hich the primary reason for stopping PE was given. The most common reasons were hypotension (10/10,000</w:t>
      </w:r>
      <w:r w:rsidR="00573B77">
        <w:t xml:space="preserve"> </w:t>
      </w:r>
      <w:r w:rsidR="00D93F4E">
        <w:t>procedures, 0.1%), urticaria (6/10,000 procedures, 0.06%) and fever or chills (3/10,000 procedures, 0.03%)</w:t>
      </w:r>
      <w:r w:rsidR="00D35130">
        <w:t xml:space="preserve"> </w: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 </w:instrTex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EN.CITE.DATA </w:instrText>
      </w:r>
      <w:r w:rsidR="00B727D6">
        <w:fldChar w:fldCharType="end"/>
      </w:r>
      <w:r w:rsidR="00B727D6">
        <w:fldChar w:fldCharType="separate"/>
      </w:r>
      <w:r w:rsidR="00B727D6">
        <w:rPr>
          <w:noProof/>
        </w:rPr>
        <w:t>(</w:t>
      </w:r>
      <w:hyperlink w:anchor="_ENREF_46" w:tooltip="Mörtzell Henriksson, 2016 #8" w:history="1">
        <w:r w:rsidR="00D726F6">
          <w:rPr>
            <w:noProof/>
          </w:rPr>
          <w:t>Mörtzell Henriksson et al. 2016</w:t>
        </w:r>
      </w:hyperlink>
      <w:r w:rsidR="00B727D6">
        <w:rPr>
          <w:noProof/>
        </w:rPr>
        <w:t>)</w:t>
      </w:r>
      <w:r w:rsidR="00B727D6">
        <w:fldChar w:fldCharType="end"/>
      </w:r>
      <w:r w:rsidR="00D93F4E">
        <w:t>.</w:t>
      </w:r>
      <w:r w:rsidR="00D35130">
        <w:t xml:space="preserve"> The</w:t>
      </w:r>
      <w:r w:rsidR="00DE0CA5">
        <w:t xml:space="preserve"> </w:t>
      </w:r>
      <w:r w:rsidR="00656E2E">
        <w:t>combined results for mild and moderate AEs</w:t>
      </w:r>
      <w:r w:rsidR="00DE0CA5">
        <w:t xml:space="preserve"> are reported in </w:t>
      </w:r>
      <w:r w:rsidR="00110B72">
        <w:fldChar w:fldCharType="begin"/>
      </w:r>
      <w:r w:rsidR="00110B72">
        <w:instrText xml:space="preserve"> REF _Ref57048517 \h </w:instrText>
      </w:r>
      <w:r w:rsidR="00192373">
        <w:instrText xml:space="preserve"> \* MERGEFORMAT </w:instrText>
      </w:r>
      <w:r w:rsidR="00110B72">
        <w:fldChar w:fldCharType="separate"/>
      </w:r>
      <w:r w:rsidR="004B3EA2">
        <w:t xml:space="preserve">Table </w:t>
      </w:r>
      <w:r w:rsidR="004B3EA2">
        <w:rPr>
          <w:noProof/>
        </w:rPr>
        <w:t>17</w:t>
      </w:r>
      <w:r w:rsidR="00110B72">
        <w:fldChar w:fldCharType="end"/>
      </w:r>
      <w:r w:rsidR="00DE0CA5">
        <w:t>.</w:t>
      </w:r>
    </w:p>
    <w:p w14:paraId="4D84D0C9" w14:textId="1019CF6A" w:rsidR="00656E2E" w:rsidRDefault="009E0367" w:rsidP="00192373">
      <w:pPr>
        <w:jc w:val="both"/>
      </w:pPr>
      <w:r w:rsidRPr="009E0367">
        <w:t xml:space="preserve">Mörtzell </w:t>
      </w:r>
      <w:r w:rsidR="00656E2E">
        <w:t xml:space="preserve">Henriksson </w:t>
      </w:r>
      <w:r>
        <w:t xml:space="preserve">et al. </w:t>
      </w:r>
      <w:r w:rsidR="00656E2E">
        <w:t>also compared AEs between filtration and centrifugation methods of plasmapheresis, and the changes in AE frequency with number of treatments. AEs were reported as a number or rate per 10,000 procedures. The comparison showed frequency rates of 11% (membrane filtration) versus 6% (centrifugation), which was a statistically significant difference (95%CI 1.5, 2.3; p &lt; 0.0001).</w:t>
      </w:r>
    </w:p>
    <w:p w14:paraId="7B4A8F00" w14:textId="588592A6" w:rsidR="00453AD6" w:rsidRDefault="00AE6CC2" w:rsidP="00192373">
      <w:pPr>
        <w:jc w:val="both"/>
      </w:pPr>
      <w:r>
        <w:t>T</w:t>
      </w:r>
      <w:r w:rsidR="00906091">
        <w:t>wo single centre retrospective</w:t>
      </w:r>
      <w:r w:rsidR="00D35130">
        <w:t xml:space="preserve"> </w:t>
      </w:r>
      <w:r w:rsidR="00906091">
        <w:t xml:space="preserve">studies </w:t>
      </w:r>
      <w:r w:rsidR="00B727D6">
        <w:fldChar w:fldCharType="begin">
          <w:fldData xml:space="preserve">PEVuZE5vdGU+PENpdGU+PEF1dGhvcj5CYXNpYy1KdWtpYzwvQXV0aG9yPjxZZWFyPjIwMDU8L1ll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</w:fldData>
        </w:fldChar>
      </w:r>
      <w:r w:rsidR="00B727D6">
        <w:instrText xml:space="preserve"> ADDIN EN.CITE </w:instrText>
      </w:r>
      <w:r w:rsidR="00B727D6">
        <w:fldChar w:fldCharType="begin">
          <w:fldData xml:space="preserve">PEVuZE5vdGU+PENpdGU+PEF1dGhvcj5CYXNpYy1KdWtpYzwvQXV0aG9yPjxZZWFyPjIwMDU8L1ll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5" w:tooltip="Basic-Jukic, 2005 #7" w:history="1">
        <w:r w:rsidR="00D726F6">
          <w:rPr>
            <w:noProof/>
          </w:rPr>
          <w:t>Basic-Jukic et al. 2005</w:t>
        </w:r>
      </w:hyperlink>
      <w:r w:rsidR="00B727D6">
        <w:rPr>
          <w:noProof/>
        </w:rPr>
        <w:t xml:space="preserve">; </w:t>
      </w:r>
      <w:hyperlink w:anchor="_ENREF_53" w:tooltip="Nieto-Aristizábal, 2020 #9" w:history="1">
        <w:r w:rsidR="00D726F6">
          <w:rPr>
            <w:noProof/>
          </w:rPr>
          <w:t>Nieto-Aristizábal, Vivas, et al. 2020</w:t>
        </w:r>
      </w:hyperlink>
      <w:r w:rsidR="00B727D6">
        <w:rPr>
          <w:noProof/>
        </w:rPr>
        <w:t>)</w:t>
      </w:r>
      <w:r w:rsidR="00B727D6">
        <w:fldChar w:fldCharType="end"/>
      </w:r>
      <w:r w:rsidR="00906091">
        <w:t xml:space="preserve"> provided AE data on 509 patients (4857 procedures) and 187 patients (approximately 935 procedures)</w:t>
      </w:r>
      <w:r>
        <w:t>, respectively, receiving PE</w:t>
      </w:r>
      <w:r w:rsidR="00906091">
        <w:t>. The studies both included CIDP patients, albeit small proportion</w:t>
      </w:r>
      <w:r w:rsidR="00877F58">
        <w:t>s</w:t>
      </w:r>
      <w:r w:rsidR="00906091">
        <w:t xml:space="preserve"> of the total </w:t>
      </w:r>
      <w:r w:rsidR="00D35130">
        <w:t>populations</w:t>
      </w:r>
      <w:r w:rsidR="00906091">
        <w:t xml:space="preserve">: n = 13 (2.56%) </w:t>
      </w:r>
      <w:r w:rsidR="00B727D6">
        <w:fldChar w:fldCharType="begin"/>
      </w:r>
      <w:r w:rsidR="00B727D6">
        <w:instrText xml:space="preserve"> ADDIN EN.CITE &lt;EndNote&gt;&lt;Cite&gt;&lt;Author&gt;Basic-Jukic&lt;/Author&gt;&lt;Year&gt;2005&lt;/Year&gt;&lt;RecNum&gt;7&lt;/RecNum&gt;&lt;DisplayText&gt;(Basic-Jukic et al. 2005)&lt;/DisplayText&gt;&lt;record&gt;&lt;rec-number&gt;7&lt;/rec-number&gt;&lt;foreign-keys&gt;&lt;key app="EN" db-id="p29e2t021fx2sker0f4p99xad5t02xpedpxr" timestamp="1605655955"&gt;7&lt;/key&gt;&lt;/foreign-keys&gt;&lt;ref-type name="Journal Article"&gt;17&lt;/ref-type&gt;&lt;contributors&gt;&lt;authors&gt;&lt;author&gt;Basic-Jukic, Nikolina&lt;/author&gt;&lt;author&gt;Kes, Petar&lt;/author&gt;&lt;author&gt;Glavas-Boras, Snjezana&lt;/author&gt;&lt;author&gt;Brunetta, Bruna&lt;/author&gt;&lt;author&gt;Bubic-Filipi, Ljubica&lt;/author&gt;&lt;author&gt;Puretic, Zvonimir&lt;/author&gt;&lt;/authors&gt;&lt;/contributors&gt;&lt;titles&gt;&lt;title&gt;Complications of Therapeutic Plasma Exchange: Experience With 4857 Treatments&lt;/title&gt;&lt;secondary-title&gt;Therapeutic Apheresis and Dialysis&lt;/secondary-title&gt;&lt;/titles&gt;&lt;periodical&gt;&lt;full-title&gt;Therapeutic Apheresis and Dialysis&lt;/full-title&gt;&lt;/periodical&gt;&lt;pages&gt;391-395&lt;/pages&gt;&lt;volume&gt;9&lt;/volume&gt;&lt;number&gt;5&lt;/number&gt;&lt;dates&gt;&lt;year&gt;2005&lt;/year&gt;&lt;/dates&gt;&lt;isbn&gt;1744-9979&lt;/isbn&gt;&lt;urls&gt;&lt;related-urls&gt;&lt;url&gt;https://onlinelibrary.wiley.com/doi/abs/10.1111/j.1744-9987.2005.00319.x&lt;/url&gt;&lt;url&gt;https://onlinelibrary.wiley.com/doi/pdfdirect/10.1111/j.1744-9987.2005.00319.x?download=true&lt;/url&gt;&lt;/related-urls&gt;&lt;/urls&gt;&lt;electronic-resource-num&gt;10.1111/j.1744-9987.2005.00319.x&lt;/electronic-resource-num&gt;&lt;/record&gt;&lt;/Cite&gt;&lt;/EndNote&gt;</w:instrText>
      </w:r>
      <w:r w:rsidR="00B727D6">
        <w:fldChar w:fldCharType="separate"/>
      </w:r>
      <w:r w:rsidR="00B727D6">
        <w:rPr>
          <w:noProof/>
        </w:rPr>
        <w:t>(</w:t>
      </w:r>
      <w:hyperlink w:anchor="_ENREF_5" w:tooltip="Basic-Jukic, 2005 #7" w:history="1">
        <w:r w:rsidR="00D726F6">
          <w:rPr>
            <w:noProof/>
          </w:rPr>
          <w:t>Basic-Jukic et al. 2005</w:t>
        </w:r>
      </w:hyperlink>
      <w:r w:rsidR="00B727D6">
        <w:rPr>
          <w:noProof/>
        </w:rPr>
        <w:t>)</w:t>
      </w:r>
      <w:r w:rsidR="00B727D6">
        <w:fldChar w:fldCharType="end"/>
      </w:r>
      <w:r w:rsidR="00906091">
        <w:t xml:space="preserve"> and n = 23 (12.3%) </w:t>
      </w:r>
      <w:r w:rsidR="00B727D6">
        <w:fldChar w:fldCharType="begin">
          <w:fldData xml:space="preserve">PEVuZE5vdGU+PENpdGU+PEF1dGhvcj5OaWV0by1BcmlzdGl6w6FiYWw8L0F1dGhvcj48WWVhcj4y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</w:fldData>
        </w:fldChar>
      </w:r>
      <w:r w:rsidR="00B727D6">
        <w:instrText xml:space="preserve"> ADDIN EN.CITE </w:instrText>
      </w:r>
      <w:r w:rsidR="00B727D6">
        <w:fldChar w:fldCharType="begin">
          <w:fldData xml:space="preserve">PEVuZE5vdGU+PENpdGU+PEF1dGhvcj5OaWV0by1BcmlzdGl6w6FiYWw8L0F1dGhvcj48WWVhcj4y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3" w:tooltip="Nieto-Aristizábal, 2020 #9" w:history="1">
        <w:r w:rsidR="00D726F6">
          <w:rPr>
            <w:noProof/>
          </w:rPr>
          <w:t>Nieto-Aristizábal, Vivas, et al. 2020</w:t>
        </w:r>
      </w:hyperlink>
      <w:r w:rsidR="00B727D6">
        <w:rPr>
          <w:noProof/>
        </w:rPr>
        <w:t>)</w:t>
      </w:r>
      <w:r w:rsidR="00B727D6">
        <w:fldChar w:fldCharType="end"/>
      </w:r>
      <w:r w:rsidR="00906091">
        <w:t>. The ea</w:t>
      </w:r>
      <w:r w:rsidR="00D35130">
        <w:t>r</w:t>
      </w:r>
      <w:r w:rsidR="00906091">
        <w:t xml:space="preserve">lier study included patients from a dialysis centre, so the patient diagnoses were broad. Despite this, more than half had </w:t>
      </w:r>
      <w:r w:rsidR="00877F58">
        <w:t xml:space="preserve">autoimmune </w:t>
      </w:r>
      <w:r w:rsidR="00906091">
        <w:t>neurological disorders</w:t>
      </w:r>
      <w:r w:rsidR="00877F58">
        <w:t xml:space="preserve">, and </w:t>
      </w:r>
      <w:r w:rsidR="00906091">
        <w:t xml:space="preserve">the majority </w:t>
      </w:r>
      <w:r w:rsidR="00877F58">
        <w:t xml:space="preserve">were patients with MG (n = 247, 48.5%). The latter study included only patients who received PE prescriptions from a neurologist, and all had autoimmune neurological disorders (100%). </w:t>
      </w:r>
    </w:p>
    <w:p w14:paraId="765CE6FC" w14:textId="447576C5" w:rsidR="00D35130" w:rsidRDefault="00877F58" w:rsidP="00192373">
      <w:pPr>
        <w:jc w:val="both"/>
      </w:pPr>
      <w:r>
        <w:t xml:space="preserve">Basic-Jukic et al (2005) reported a total of 231 AEs, which occurred in 4.75% of procedures. The most common AE was </w:t>
      </w:r>
      <w:r w:rsidRPr="00877F58">
        <w:t>thrombotic thrombocytopenic purpura/haemolytic uremic syndrome</w:t>
      </w:r>
      <w:r>
        <w:t xml:space="preserve"> (TTP/HUS), which occurred in 5% of procedures. The next most common AEs were </w:t>
      </w:r>
      <w:r w:rsidR="00956F19">
        <w:t>paraesthesia</w:t>
      </w:r>
      <w:r>
        <w:t xml:space="preserve"> (2.7% of procedures) and haematoma at puncture site (2.4% of procedures). AEs were graded as mild</w:t>
      </w:r>
      <w:r w:rsidR="00550A49">
        <w:t xml:space="preserve"> to </w:t>
      </w:r>
      <w:r>
        <w:t xml:space="preserve">moderate, however </w:t>
      </w:r>
      <w:r w:rsidR="0095248B">
        <w:t>five</w:t>
      </w:r>
      <w:r>
        <w:t xml:space="preserve"> severe and potentially life-threatening </w:t>
      </w:r>
      <w:r w:rsidR="0095248B">
        <w:t>anaphylactic reactions were recorded, and one case of respiratory arrest (n = 6, 0.12% of procedures)</w:t>
      </w:r>
      <w:r w:rsidR="00B236AD">
        <w:t xml:space="preserve"> (see </w:t>
      </w:r>
      <w:r w:rsidR="00B236AD">
        <w:fldChar w:fldCharType="begin"/>
      </w:r>
      <w:r w:rsidR="00B236AD">
        <w:instrText xml:space="preserve"> REF _Ref57051518 \h </w:instrText>
      </w:r>
      <w:r w:rsidR="00192373">
        <w:instrText xml:space="preserve"> \* MERGEFORMAT </w:instrText>
      </w:r>
      <w:r w:rsidR="00B236AD">
        <w:fldChar w:fldCharType="separate"/>
      </w:r>
      <w:r w:rsidR="004B3EA2">
        <w:t xml:space="preserve">Table </w:t>
      </w:r>
      <w:r w:rsidR="004B3EA2">
        <w:rPr>
          <w:noProof/>
        </w:rPr>
        <w:t>18</w:t>
      </w:r>
      <w:r w:rsidR="00B236AD">
        <w:fldChar w:fldCharType="end"/>
      </w:r>
      <w:r w:rsidR="00B236AD">
        <w:t>)</w:t>
      </w:r>
      <w:r w:rsidR="00D35130">
        <w:t xml:space="preserve"> </w:t>
      </w:r>
      <w:r w:rsidR="00B727D6">
        <w:fldChar w:fldCharType="begin"/>
      </w:r>
      <w:r w:rsidR="00B727D6">
        <w:instrText xml:space="preserve"> ADDIN EN.CITE &lt;EndNote&gt;&lt;Cite&gt;&lt;Author&gt;Basic-Jukic&lt;/Author&gt;&lt;Year&gt;2005&lt;/Year&gt;&lt;RecNum&gt;7&lt;/RecNum&gt;&lt;DisplayText&gt;(Basic-Jukic et al. 2005)&lt;/DisplayText&gt;&lt;record&gt;&lt;rec-number&gt;7&lt;/rec-number&gt;&lt;foreign-keys&gt;&lt;key app="EN" db-id="p29e2t021fx2sker0f4p99xad5t02xpedpxr" timestamp="1605655955"&gt;7&lt;/key&gt;&lt;/foreign-keys&gt;&lt;ref-type name="Journal Article"&gt;17&lt;/ref-type&gt;&lt;contributors&gt;&lt;authors&gt;&lt;author&gt;Basic-Jukic, Nikolina&lt;/author&gt;&lt;author&gt;Kes, Petar&lt;/author&gt;&lt;author&gt;Glavas-Boras, Snjezana&lt;/author&gt;&lt;author&gt;Brunetta, Bruna&lt;/author&gt;&lt;author&gt;Bubic-Filipi, Ljubica&lt;/author&gt;&lt;author&gt;Puretic, Zvonimir&lt;/author&gt;&lt;/authors&gt;&lt;/contributors&gt;&lt;titles&gt;&lt;title&gt;Complications of Therapeutic Plasma Exchange: Experience With 4857 Treatments&lt;/title&gt;&lt;secondary-title&gt;Therapeutic Apheresis and Dialysis&lt;/secondary-title&gt;&lt;/titles&gt;&lt;periodical&gt;&lt;full-title&gt;Therapeutic Apheresis and Dialysis&lt;/full-title&gt;&lt;/periodical&gt;&lt;pages&gt;391-395&lt;/pages&gt;&lt;volume&gt;9&lt;/volume&gt;&lt;number&gt;5&lt;/number&gt;&lt;dates&gt;&lt;year&gt;2005&lt;/year&gt;&lt;/dates&gt;&lt;isbn&gt;1744-9979&lt;/isbn&gt;&lt;urls&gt;&lt;related-urls&gt;&lt;url&gt;https://onlinelibrary.wiley.com/doi/abs/10.1111/j.1744-9987.2005.00319.x&lt;/url&gt;&lt;url&gt;https://onlinelibrary.wiley.com/doi/pdfdirect/10.1111/j.1744-9987.2005.00319.x?download=true&lt;/url&gt;&lt;/related-urls&gt;&lt;/urls&gt;&lt;electronic-resource-num&gt;10.1111/j.1744-9987.2005.00319.x&lt;/electronic-resource-num&gt;&lt;/record&gt;&lt;/Cite&gt;&lt;/EndNote&gt;</w:instrText>
      </w:r>
      <w:r w:rsidR="00B727D6">
        <w:fldChar w:fldCharType="separate"/>
      </w:r>
      <w:r w:rsidR="00B727D6">
        <w:rPr>
          <w:noProof/>
        </w:rPr>
        <w:t>(</w:t>
      </w:r>
      <w:hyperlink w:anchor="_ENREF_5" w:tooltip="Basic-Jukic, 2005 #7" w:history="1">
        <w:r w:rsidR="00D726F6">
          <w:rPr>
            <w:noProof/>
          </w:rPr>
          <w:t>Basic-Jukic et al. 2005</w:t>
        </w:r>
      </w:hyperlink>
      <w:r w:rsidR="00B727D6">
        <w:rPr>
          <w:noProof/>
        </w:rPr>
        <w:t>)</w:t>
      </w:r>
      <w:r w:rsidR="00B727D6">
        <w:fldChar w:fldCharType="end"/>
      </w:r>
      <w:r w:rsidR="0095248B">
        <w:t>.</w:t>
      </w:r>
      <w:r w:rsidR="008F16EC">
        <w:t xml:space="preserve"> By comparison, Nieto-Aristizabal et al (2020)</w:t>
      </w:r>
      <w:r w:rsidR="001D60C9">
        <w:t xml:space="preserve"> reported higher rates of AEs, with high rates per patient of hypotension (56.6%), electr</w:t>
      </w:r>
      <w:r w:rsidR="007533A0">
        <w:t>olyt</w:t>
      </w:r>
      <w:r w:rsidR="001D60C9">
        <w:t>ic di</w:t>
      </w:r>
      <w:r w:rsidR="007533A0">
        <w:t>s</w:t>
      </w:r>
      <w:r w:rsidR="001D60C9">
        <w:t xml:space="preserve">orders (54.5%), events related to Mahurkar catheters (45.4%), </w:t>
      </w:r>
      <w:r w:rsidR="0067497C">
        <w:t xml:space="preserve">and </w:t>
      </w:r>
      <w:r w:rsidR="001D60C9">
        <w:t>bleeding (29.9%). Three hospitalised patients (1.6%) died with causes related to their neurological disease and septic shock</w:t>
      </w:r>
      <w:r w:rsidR="00D35130">
        <w:t xml:space="preserve"> </w:t>
      </w:r>
      <w:r w:rsidR="00B727D6">
        <w:fldChar w:fldCharType="begin">
          <w:fldData xml:space="preserve">PEVuZE5vdGU+PENpdGU+PEF1dGhvcj5OaWV0by1BcmlzdGl6w6FiYWw8L0F1dGhvcj48WWVhcj4y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</w:fldData>
        </w:fldChar>
      </w:r>
      <w:r w:rsidR="00B727D6">
        <w:instrText xml:space="preserve"> ADDIN EN.CITE </w:instrText>
      </w:r>
      <w:r w:rsidR="00B727D6">
        <w:fldChar w:fldCharType="begin">
          <w:fldData xml:space="preserve">PEVuZE5vdGU+PENpdGU+PEF1dGhvcj5OaWV0by1BcmlzdGl6w6FiYWw8L0F1dGhvcj48WWVhcj4y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3" w:tooltip="Nieto-Aristizábal, 2020 #9" w:history="1">
        <w:r w:rsidR="00D726F6">
          <w:rPr>
            <w:noProof/>
          </w:rPr>
          <w:t>Nieto-Aristizábal, Vivas, et al. 2020</w:t>
        </w:r>
      </w:hyperlink>
      <w:r w:rsidR="00B727D6">
        <w:rPr>
          <w:noProof/>
        </w:rPr>
        <w:t>)</w:t>
      </w:r>
      <w:r w:rsidR="00B727D6">
        <w:fldChar w:fldCharType="end"/>
      </w:r>
      <w:r w:rsidR="001D60C9">
        <w:t xml:space="preserve">. </w:t>
      </w:r>
    </w:p>
    <w:p w14:paraId="651658A4" w14:textId="1E057F6F" w:rsidR="00877F58" w:rsidRDefault="001D60C9" w:rsidP="00192373">
      <w:pPr>
        <w:jc w:val="both"/>
      </w:pPr>
      <w:r>
        <w:t xml:space="preserve">The difference in AE rates between these two studies may be explained by </w:t>
      </w:r>
      <w:r w:rsidR="0067497C">
        <w:t xml:space="preserve">the selection of patients at each setting, and/or by </w:t>
      </w:r>
      <w:r>
        <w:t>technical differences</w:t>
      </w:r>
      <w:r w:rsidR="00D35130">
        <w:t xml:space="preserve"> in procedure, setting, or experience of practitioner. S</w:t>
      </w:r>
      <w:r>
        <w:t>urprising</w:t>
      </w:r>
      <w:r w:rsidR="00D35130">
        <w:t>ly,</w:t>
      </w:r>
      <w:r>
        <w:t xml:space="preserve"> the more recent study, which use</w:t>
      </w:r>
      <w:r w:rsidR="0067497C">
        <w:t>d</w:t>
      </w:r>
      <w:r>
        <w:t xml:space="preserve"> the centrifugation separation method</w:t>
      </w:r>
      <w:r w:rsidR="00B236AD">
        <w:t xml:space="preserve"> (which reputedly has fewer AEs associated than the filtration method)</w:t>
      </w:r>
      <w:r w:rsidR="00772105">
        <w:t>,</w:t>
      </w:r>
      <w:r>
        <w:t xml:space="preserve"> ha</w:t>
      </w:r>
      <w:r w:rsidR="0067497C">
        <w:t>d</w:t>
      </w:r>
      <w:r>
        <w:t xml:space="preserve"> a higher rate of AEs than the older study</w:t>
      </w:r>
      <w:r w:rsidR="00772105">
        <w:t>, which use</w:t>
      </w:r>
      <w:r w:rsidR="0067497C">
        <w:t>d</w:t>
      </w:r>
      <w:r>
        <w:t xml:space="preserve"> data from a centre </w:t>
      </w:r>
      <w:r w:rsidR="00550A49">
        <w:t xml:space="preserve">which </w:t>
      </w:r>
      <w:r w:rsidR="0067497C">
        <w:t>utilised</w:t>
      </w:r>
      <w:r>
        <w:t xml:space="preserve"> the membrane filtration technique. </w:t>
      </w:r>
      <w:r w:rsidR="00772105">
        <w:t xml:space="preserve">It is possible that patients with autoimmune </w:t>
      </w:r>
      <w:r w:rsidR="00D35130">
        <w:t xml:space="preserve">neurological </w:t>
      </w:r>
      <w:r w:rsidR="00772105">
        <w:t>disorders</w:t>
      </w:r>
      <w:r>
        <w:t xml:space="preserve"> </w:t>
      </w:r>
      <w:r w:rsidR="00772105">
        <w:t>are</w:t>
      </w:r>
      <w:r w:rsidR="00110B72">
        <w:t xml:space="preserve"> </w:t>
      </w:r>
      <w:r w:rsidR="00772105">
        <w:t xml:space="preserve">more susceptible to safety issues with PE, </w:t>
      </w:r>
      <w:r w:rsidR="0067497C">
        <w:t>or the patients included in the study</w:t>
      </w:r>
      <w:r w:rsidR="00B236AD">
        <w:t xml:space="preserve"> had more severe illness, explaining</w:t>
      </w:r>
      <w:r w:rsidR="00772105">
        <w:t xml:space="preserve"> the </w:t>
      </w:r>
      <w:r w:rsidR="00B236AD">
        <w:t xml:space="preserve">higher AE rate in the </w:t>
      </w:r>
      <w:r w:rsidR="00772105">
        <w:t>study by Nieto-Aristzabal et al (2020)</w:t>
      </w:r>
      <w:r w:rsidR="00B236AD">
        <w:t>.</w:t>
      </w:r>
      <w:r w:rsidR="00772105">
        <w:t xml:space="preserve"> Results are reported in </w:t>
      </w:r>
      <w:r w:rsidR="00110B72">
        <w:fldChar w:fldCharType="begin"/>
      </w:r>
      <w:r w:rsidR="00110B72">
        <w:instrText xml:space="preserve"> REF _Ref57048517 \h </w:instrText>
      </w:r>
      <w:r w:rsidR="00192373">
        <w:instrText xml:space="preserve"> \* MERGEFORMAT </w:instrText>
      </w:r>
      <w:r w:rsidR="00110B72">
        <w:fldChar w:fldCharType="separate"/>
      </w:r>
      <w:r w:rsidR="004B3EA2">
        <w:t xml:space="preserve">Table </w:t>
      </w:r>
      <w:r w:rsidR="004B3EA2">
        <w:rPr>
          <w:noProof/>
        </w:rPr>
        <w:t>17</w:t>
      </w:r>
      <w:r w:rsidR="00110B72">
        <w:fldChar w:fldCharType="end"/>
      </w:r>
      <w:r w:rsidR="00772105">
        <w:t>.</w:t>
      </w:r>
    </w:p>
    <w:p w14:paraId="2553789A" w14:textId="129953EA" w:rsidR="00453AD6" w:rsidRDefault="00772105" w:rsidP="00772105">
      <w:pPr>
        <w:pStyle w:val="Caption"/>
      </w:pPr>
      <w:bookmarkStart w:id="200" w:name="_Ref57048517"/>
      <w:bookmarkStart w:id="201" w:name="_Toc69305658"/>
      <w:r>
        <w:t xml:space="preserve">Table </w:t>
      </w:r>
      <w:r w:rsidR="00003BA5">
        <w:fldChar w:fldCharType="begin"/>
      </w:r>
      <w:r w:rsidR="00003BA5">
        <w:instrText xml:space="preserve"> SEQ Table \* ARABIC </w:instrText>
      </w:r>
      <w:r w:rsidR="00003BA5">
        <w:fldChar w:fldCharType="separate"/>
      </w:r>
      <w:r w:rsidR="004B3EA2">
        <w:rPr>
          <w:noProof/>
        </w:rPr>
        <w:t>17</w:t>
      </w:r>
      <w:r w:rsidR="00003BA5">
        <w:rPr>
          <w:noProof/>
        </w:rPr>
        <w:fldChar w:fldCharType="end"/>
      </w:r>
      <w:bookmarkEnd w:id="200"/>
      <w:r>
        <w:tab/>
      </w:r>
      <w:r w:rsidR="005231C8">
        <w:t>The most common m</w:t>
      </w:r>
      <w:r w:rsidR="00550A49">
        <w:t>ild or moderate a</w:t>
      </w:r>
      <w:r>
        <w:t xml:space="preserve">dverse events </w:t>
      </w:r>
      <w:r w:rsidR="005231C8">
        <w:t xml:space="preserve">reported </w:t>
      </w:r>
      <w:r>
        <w:t>in patients receiving PE</w:t>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e most common mild or moderate adverse events reported in patients receiving PE"/>
        <w:tblDescription w:val="The most common mild or moderate adverse events reported in patients receiving PE"/>
      </w:tblPr>
      <w:tblGrid>
        <w:gridCol w:w="1977"/>
        <w:gridCol w:w="842"/>
        <w:gridCol w:w="846"/>
        <w:gridCol w:w="867"/>
        <w:gridCol w:w="995"/>
        <w:gridCol w:w="851"/>
        <w:gridCol w:w="851"/>
        <w:gridCol w:w="849"/>
        <w:gridCol w:w="938"/>
      </w:tblGrid>
      <w:tr w:rsidR="00656E2E" w:rsidRPr="00772105" w14:paraId="1CB6073D" w14:textId="77777777" w:rsidTr="00656E2E">
        <w:trPr>
          <w:trHeight w:val="540"/>
          <w:tblHeader/>
        </w:trPr>
        <w:tc>
          <w:tcPr>
            <w:tcW w:w="1096" w:type="pct"/>
            <w:vMerge w:val="restart"/>
            <w:shd w:val="clear" w:color="auto" w:fill="auto"/>
            <w:vAlign w:val="center"/>
          </w:tcPr>
          <w:p w14:paraId="0E466A70" w14:textId="77777777" w:rsidR="00CF1BF2" w:rsidRPr="00772105" w:rsidRDefault="00CF1BF2" w:rsidP="00CF1BF2">
            <w:pPr>
              <w:keepNext/>
              <w:spacing w:before="40" w:after="40" w:line="240" w:lineRule="auto"/>
              <w:jc w:val="center"/>
              <w:rPr>
                <w:rFonts w:ascii="Arial Narrow" w:hAnsi="Arial Narrow"/>
                <w:b/>
                <w:sz w:val="20"/>
                <w:szCs w:val="20"/>
              </w:rPr>
            </w:pPr>
            <w:r>
              <w:rPr>
                <w:rFonts w:ascii="Arial Narrow" w:hAnsi="Arial Narrow"/>
                <w:b/>
                <w:sz w:val="20"/>
                <w:szCs w:val="20"/>
              </w:rPr>
              <w:t>Category/AE</w:t>
            </w:r>
          </w:p>
        </w:tc>
        <w:tc>
          <w:tcPr>
            <w:tcW w:w="936" w:type="pct"/>
            <w:gridSpan w:val="2"/>
            <w:vAlign w:val="center"/>
          </w:tcPr>
          <w:p w14:paraId="3E6E10E5" w14:textId="77777777" w:rsidR="00CF1BF2" w:rsidRPr="00584B4C" w:rsidRDefault="00CF1BF2" w:rsidP="00CF1BF2">
            <w:pPr>
              <w:tabs>
                <w:tab w:val="left" w:pos="735"/>
              </w:tabs>
              <w:spacing w:before="40" w:after="40" w:line="240" w:lineRule="auto"/>
              <w:jc w:val="center"/>
              <w:rPr>
                <w:rFonts w:ascii="Arial Narrow" w:hAnsi="Arial Narrow"/>
                <w:b/>
                <w:sz w:val="20"/>
                <w:szCs w:val="20"/>
              </w:rPr>
            </w:pPr>
            <w:r w:rsidRPr="00584B4C">
              <w:rPr>
                <w:rFonts w:ascii="Arial Narrow" w:hAnsi="Arial Narrow"/>
                <w:b/>
                <w:sz w:val="20"/>
                <w:szCs w:val="20"/>
              </w:rPr>
              <w:t>Ortiz-Salas 2016</w:t>
            </w:r>
            <w:r>
              <w:rPr>
                <w:rFonts w:ascii="Arial Narrow" w:hAnsi="Arial Narrow"/>
                <w:b/>
                <w:sz w:val="20"/>
                <w:szCs w:val="20"/>
                <w:vertAlign w:val="superscript"/>
              </w:rPr>
              <w:t>a</w:t>
            </w:r>
          </w:p>
        </w:tc>
        <w:tc>
          <w:tcPr>
            <w:tcW w:w="1033" w:type="pct"/>
            <w:gridSpan w:val="2"/>
            <w:vAlign w:val="center"/>
          </w:tcPr>
          <w:p w14:paraId="1F8B029A" w14:textId="77777777" w:rsidR="00CF1BF2" w:rsidRPr="00584B4C" w:rsidRDefault="00CF1BF2" w:rsidP="00CF1BF2">
            <w:pPr>
              <w:tabs>
                <w:tab w:val="left" w:pos="888"/>
              </w:tabs>
              <w:spacing w:before="40" w:after="40" w:line="240" w:lineRule="auto"/>
              <w:jc w:val="center"/>
              <w:rPr>
                <w:rFonts w:ascii="Arial Narrow" w:hAnsi="Arial Narrow"/>
                <w:b/>
                <w:sz w:val="20"/>
                <w:szCs w:val="20"/>
              </w:rPr>
            </w:pPr>
            <w:r w:rsidRPr="00584B4C">
              <w:rPr>
                <w:rFonts w:ascii="Arial Narrow" w:hAnsi="Arial Narrow"/>
                <w:b/>
                <w:sz w:val="20"/>
                <w:szCs w:val="20"/>
              </w:rPr>
              <w:t>Mörtzell</w:t>
            </w:r>
            <w:r w:rsidR="00D363D8">
              <w:rPr>
                <w:rFonts w:ascii="Arial Narrow" w:hAnsi="Arial Narrow"/>
                <w:b/>
                <w:sz w:val="20"/>
                <w:szCs w:val="20"/>
              </w:rPr>
              <w:t xml:space="preserve"> Henriksson 2016</w:t>
            </w:r>
          </w:p>
        </w:tc>
        <w:tc>
          <w:tcPr>
            <w:tcW w:w="944" w:type="pct"/>
            <w:gridSpan w:val="2"/>
            <w:vAlign w:val="center"/>
          </w:tcPr>
          <w:p w14:paraId="32EF8684" w14:textId="77777777" w:rsidR="00CF1BF2" w:rsidRPr="00584B4C" w:rsidRDefault="00CF1BF2" w:rsidP="00CF1BF2">
            <w:pPr>
              <w:tabs>
                <w:tab w:val="left" w:pos="744"/>
              </w:tabs>
              <w:spacing w:before="40" w:after="40" w:line="240" w:lineRule="auto"/>
              <w:jc w:val="center"/>
              <w:rPr>
                <w:rFonts w:ascii="Arial Narrow" w:hAnsi="Arial Narrow"/>
                <w:b/>
                <w:sz w:val="20"/>
                <w:szCs w:val="20"/>
              </w:rPr>
            </w:pPr>
            <w:r w:rsidRPr="00584B4C">
              <w:rPr>
                <w:rFonts w:ascii="Arial Narrow" w:hAnsi="Arial Narrow"/>
                <w:b/>
                <w:sz w:val="20"/>
                <w:szCs w:val="20"/>
              </w:rPr>
              <w:t>Nieto-Aristizábal 2020</w:t>
            </w:r>
          </w:p>
        </w:tc>
        <w:tc>
          <w:tcPr>
            <w:tcW w:w="992" w:type="pct"/>
            <w:gridSpan w:val="2"/>
            <w:vAlign w:val="center"/>
          </w:tcPr>
          <w:p w14:paraId="2A08551D" w14:textId="77777777" w:rsidR="00CF1BF2" w:rsidRPr="00584B4C" w:rsidRDefault="00CF1BF2" w:rsidP="00CF1BF2">
            <w:pPr>
              <w:tabs>
                <w:tab w:val="left" w:pos="885"/>
              </w:tabs>
              <w:spacing w:before="40" w:after="40" w:line="240" w:lineRule="auto"/>
              <w:jc w:val="center"/>
              <w:rPr>
                <w:rFonts w:ascii="Arial Narrow" w:hAnsi="Arial Narrow"/>
                <w:b/>
                <w:sz w:val="20"/>
                <w:szCs w:val="20"/>
              </w:rPr>
            </w:pPr>
            <w:r w:rsidRPr="00584B4C">
              <w:rPr>
                <w:rFonts w:ascii="Arial Narrow" w:hAnsi="Arial Narrow"/>
                <w:b/>
                <w:sz w:val="20"/>
                <w:szCs w:val="20"/>
              </w:rPr>
              <w:t>Basic-Jukic 2005</w:t>
            </w:r>
          </w:p>
        </w:tc>
      </w:tr>
      <w:tr w:rsidR="00656E2E" w:rsidRPr="00772105" w14:paraId="4A39EA16" w14:textId="77777777" w:rsidTr="00656E2E">
        <w:trPr>
          <w:trHeight w:val="516"/>
          <w:tblHeader/>
        </w:trPr>
        <w:tc>
          <w:tcPr>
            <w:tcW w:w="1096" w:type="pct"/>
            <w:vMerge/>
            <w:shd w:val="clear" w:color="auto" w:fill="auto"/>
          </w:tcPr>
          <w:p w14:paraId="0E407080" w14:textId="77777777" w:rsidR="00A45898" w:rsidRDefault="00A45898" w:rsidP="00550A49">
            <w:pPr>
              <w:keepNext/>
              <w:spacing w:before="40" w:after="40" w:line="240" w:lineRule="auto"/>
              <w:rPr>
                <w:rFonts w:ascii="Arial Narrow" w:hAnsi="Arial Narrow"/>
                <w:b/>
                <w:sz w:val="20"/>
                <w:szCs w:val="20"/>
              </w:rPr>
            </w:pPr>
          </w:p>
        </w:tc>
        <w:tc>
          <w:tcPr>
            <w:tcW w:w="467" w:type="pct"/>
            <w:tcBorders>
              <w:right w:val="single" w:sz="4" w:space="0" w:color="E7E6E6" w:themeColor="background2"/>
            </w:tcBorders>
          </w:tcPr>
          <w:p w14:paraId="5928A0F6" w14:textId="77777777" w:rsidR="00A45898" w:rsidRPr="00584B4C" w:rsidRDefault="00A45898" w:rsidP="00375C5E">
            <w:pPr>
              <w:tabs>
                <w:tab w:val="left" w:pos="885"/>
              </w:tabs>
              <w:spacing w:before="40" w:after="40" w:line="240" w:lineRule="auto"/>
              <w:rPr>
                <w:rFonts w:ascii="Arial Narrow" w:hAnsi="Arial Narrow"/>
                <w:b/>
                <w:sz w:val="20"/>
                <w:szCs w:val="20"/>
              </w:rPr>
            </w:pPr>
            <w:r>
              <w:rPr>
                <w:rFonts w:ascii="Arial Narrow" w:hAnsi="Arial Narrow"/>
                <w:b/>
                <w:sz w:val="20"/>
                <w:szCs w:val="20"/>
              </w:rPr>
              <w:t>N events</w:t>
            </w:r>
          </w:p>
        </w:tc>
        <w:tc>
          <w:tcPr>
            <w:tcW w:w="469" w:type="pct"/>
            <w:tcBorders>
              <w:left w:val="single" w:sz="4" w:space="0" w:color="E7E6E6" w:themeColor="background2"/>
            </w:tcBorders>
          </w:tcPr>
          <w:p w14:paraId="06B3DBA1" w14:textId="77777777" w:rsidR="00A45898" w:rsidRPr="00584B4C" w:rsidRDefault="00A45898" w:rsidP="00375C5E">
            <w:pPr>
              <w:tabs>
                <w:tab w:val="left" w:pos="885"/>
              </w:tabs>
              <w:spacing w:before="40" w:after="40" w:line="240" w:lineRule="auto"/>
              <w:rPr>
                <w:rFonts w:ascii="Arial Narrow" w:hAnsi="Arial Narrow"/>
                <w:b/>
                <w:sz w:val="20"/>
                <w:szCs w:val="20"/>
              </w:rPr>
            </w:pPr>
            <w:r>
              <w:rPr>
                <w:rFonts w:ascii="Arial Narrow" w:hAnsi="Arial Narrow"/>
                <w:b/>
                <w:sz w:val="20"/>
                <w:szCs w:val="20"/>
              </w:rPr>
              <w:t>% procedures</w:t>
            </w:r>
          </w:p>
        </w:tc>
        <w:tc>
          <w:tcPr>
            <w:tcW w:w="481" w:type="pct"/>
            <w:tcBorders>
              <w:right w:val="single" w:sz="4" w:space="0" w:color="E7E6E6" w:themeColor="background2"/>
            </w:tcBorders>
          </w:tcPr>
          <w:p w14:paraId="3CFD764C" w14:textId="77777777" w:rsidR="00A45898" w:rsidRPr="00584B4C" w:rsidRDefault="00A45898" w:rsidP="00D363D8">
            <w:pPr>
              <w:tabs>
                <w:tab w:val="left" w:pos="885"/>
              </w:tabs>
              <w:spacing w:before="40" w:after="40" w:line="240" w:lineRule="auto"/>
              <w:rPr>
                <w:rFonts w:ascii="Arial Narrow" w:hAnsi="Arial Narrow"/>
                <w:b/>
                <w:sz w:val="20"/>
                <w:szCs w:val="20"/>
              </w:rPr>
            </w:pPr>
            <w:r>
              <w:rPr>
                <w:rFonts w:ascii="Arial Narrow" w:hAnsi="Arial Narrow"/>
                <w:b/>
                <w:sz w:val="20"/>
                <w:szCs w:val="20"/>
              </w:rPr>
              <w:t>N events</w:t>
            </w:r>
            <w:r w:rsidR="00D363D8">
              <w:rPr>
                <w:rFonts w:ascii="Arial Narrow" w:hAnsi="Arial Narrow"/>
                <w:b/>
                <w:sz w:val="20"/>
                <w:szCs w:val="20"/>
              </w:rPr>
              <w:t>/10,000 procds</w:t>
            </w:r>
          </w:p>
        </w:tc>
        <w:tc>
          <w:tcPr>
            <w:tcW w:w="552" w:type="pct"/>
            <w:tcBorders>
              <w:left w:val="single" w:sz="4" w:space="0" w:color="E7E6E6" w:themeColor="background2"/>
            </w:tcBorders>
          </w:tcPr>
          <w:p w14:paraId="62B00E09" w14:textId="77777777" w:rsidR="00A45898" w:rsidRPr="00887A70" w:rsidRDefault="00A45898" w:rsidP="00375C5E">
            <w:pPr>
              <w:tabs>
                <w:tab w:val="left" w:pos="885"/>
              </w:tabs>
              <w:spacing w:before="40" w:after="40" w:line="240" w:lineRule="auto"/>
              <w:rPr>
                <w:rFonts w:ascii="Arial Narrow" w:hAnsi="Arial Narrow"/>
                <w:b/>
                <w:sz w:val="20"/>
                <w:szCs w:val="20"/>
              </w:rPr>
            </w:pPr>
            <w:r>
              <w:rPr>
                <w:rFonts w:ascii="Arial Narrow" w:hAnsi="Arial Narrow"/>
                <w:b/>
                <w:sz w:val="20"/>
                <w:szCs w:val="20"/>
              </w:rPr>
              <w:t>% procedures</w:t>
            </w:r>
          </w:p>
        </w:tc>
        <w:tc>
          <w:tcPr>
            <w:tcW w:w="472" w:type="pct"/>
            <w:tcBorders>
              <w:right w:val="single" w:sz="4" w:space="0" w:color="E7E6E6" w:themeColor="background2"/>
            </w:tcBorders>
          </w:tcPr>
          <w:p w14:paraId="1717539A" w14:textId="77777777" w:rsidR="00A45898" w:rsidRPr="00584B4C" w:rsidRDefault="00A45898" w:rsidP="00375C5E">
            <w:pPr>
              <w:tabs>
                <w:tab w:val="left" w:pos="885"/>
              </w:tabs>
              <w:spacing w:before="40" w:after="40" w:line="240" w:lineRule="auto"/>
              <w:rPr>
                <w:rFonts w:ascii="Arial Narrow" w:hAnsi="Arial Narrow"/>
                <w:b/>
                <w:sz w:val="20"/>
                <w:szCs w:val="20"/>
              </w:rPr>
            </w:pPr>
            <w:r>
              <w:rPr>
                <w:rFonts w:ascii="Arial Narrow" w:hAnsi="Arial Narrow"/>
                <w:b/>
                <w:sz w:val="20"/>
                <w:szCs w:val="20"/>
              </w:rPr>
              <w:t>N events</w:t>
            </w:r>
          </w:p>
        </w:tc>
        <w:tc>
          <w:tcPr>
            <w:tcW w:w="472" w:type="pct"/>
            <w:tcBorders>
              <w:left w:val="single" w:sz="4" w:space="0" w:color="E7E6E6" w:themeColor="background2"/>
            </w:tcBorders>
          </w:tcPr>
          <w:p w14:paraId="74EEF6BC" w14:textId="77777777" w:rsidR="00A45898" w:rsidRPr="00584B4C" w:rsidRDefault="00A45898" w:rsidP="00375C5E">
            <w:pPr>
              <w:tabs>
                <w:tab w:val="left" w:pos="885"/>
              </w:tabs>
              <w:spacing w:before="40" w:after="40" w:line="240" w:lineRule="auto"/>
              <w:rPr>
                <w:rFonts w:ascii="Arial Narrow" w:hAnsi="Arial Narrow"/>
                <w:b/>
                <w:sz w:val="20"/>
                <w:szCs w:val="20"/>
              </w:rPr>
            </w:pPr>
            <w:r>
              <w:rPr>
                <w:rFonts w:ascii="Arial Narrow" w:hAnsi="Arial Narrow"/>
                <w:b/>
                <w:sz w:val="20"/>
                <w:szCs w:val="20"/>
              </w:rPr>
              <w:t>% procedures</w:t>
            </w:r>
          </w:p>
        </w:tc>
        <w:tc>
          <w:tcPr>
            <w:tcW w:w="471" w:type="pct"/>
            <w:tcBorders>
              <w:right w:val="single" w:sz="4" w:space="0" w:color="E7E6E6" w:themeColor="background2"/>
            </w:tcBorders>
          </w:tcPr>
          <w:p w14:paraId="0E7C888E" w14:textId="77777777" w:rsidR="00A45898" w:rsidRPr="00584B4C" w:rsidRDefault="00A45898" w:rsidP="00375C5E">
            <w:pPr>
              <w:tabs>
                <w:tab w:val="left" w:pos="885"/>
              </w:tabs>
              <w:spacing w:before="40" w:after="40" w:line="240" w:lineRule="auto"/>
              <w:rPr>
                <w:rFonts w:ascii="Arial Narrow" w:hAnsi="Arial Narrow"/>
                <w:b/>
                <w:sz w:val="20"/>
                <w:szCs w:val="20"/>
              </w:rPr>
            </w:pPr>
            <w:r>
              <w:rPr>
                <w:rFonts w:ascii="Arial Narrow" w:hAnsi="Arial Narrow"/>
                <w:b/>
                <w:sz w:val="20"/>
                <w:szCs w:val="20"/>
              </w:rPr>
              <w:t>N events</w:t>
            </w:r>
          </w:p>
        </w:tc>
        <w:tc>
          <w:tcPr>
            <w:tcW w:w="521" w:type="pct"/>
            <w:tcBorders>
              <w:left w:val="single" w:sz="4" w:space="0" w:color="E7E6E6" w:themeColor="background2"/>
            </w:tcBorders>
          </w:tcPr>
          <w:p w14:paraId="5A8F659C" w14:textId="77777777" w:rsidR="00A45898" w:rsidRPr="00584B4C" w:rsidRDefault="00A45898" w:rsidP="00375C5E">
            <w:pPr>
              <w:tabs>
                <w:tab w:val="left" w:pos="885"/>
              </w:tabs>
              <w:spacing w:before="40" w:after="40" w:line="240" w:lineRule="auto"/>
              <w:rPr>
                <w:rFonts w:ascii="Arial Narrow" w:hAnsi="Arial Narrow"/>
                <w:b/>
                <w:sz w:val="20"/>
                <w:szCs w:val="20"/>
              </w:rPr>
            </w:pPr>
            <w:r>
              <w:rPr>
                <w:rFonts w:ascii="Arial Narrow" w:hAnsi="Arial Narrow"/>
                <w:b/>
                <w:sz w:val="20"/>
                <w:szCs w:val="20"/>
              </w:rPr>
              <w:t>% procedures</w:t>
            </w:r>
          </w:p>
        </w:tc>
      </w:tr>
      <w:tr w:rsidR="00656E2E" w:rsidRPr="00772105" w14:paraId="3D1B4B42" w14:textId="77777777" w:rsidTr="00656E2E">
        <w:tc>
          <w:tcPr>
            <w:tcW w:w="1096" w:type="pct"/>
            <w:shd w:val="clear" w:color="auto" w:fill="auto"/>
          </w:tcPr>
          <w:p w14:paraId="2AD634B8" w14:textId="77777777" w:rsidR="00D6599A" w:rsidRPr="00D54C3C" w:rsidRDefault="00D6599A" w:rsidP="00772105">
            <w:pPr>
              <w:spacing w:before="40" w:after="40" w:line="240" w:lineRule="auto"/>
              <w:rPr>
                <w:rFonts w:ascii="Arial Narrow" w:hAnsi="Arial Narrow"/>
                <w:sz w:val="20"/>
                <w:szCs w:val="20"/>
                <w:u w:val="single"/>
              </w:rPr>
            </w:pPr>
            <w:r w:rsidRPr="00D54C3C">
              <w:rPr>
                <w:rFonts w:ascii="Arial Narrow" w:hAnsi="Arial Narrow"/>
                <w:sz w:val="20"/>
                <w:szCs w:val="20"/>
                <w:u w:val="single"/>
              </w:rPr>
              <w:t>Cardiovascular</w:t>
            </w:r>
          </w:p>
          <w:p w14:paraId="76B151CE" w14:textId="77777777" w:rsidR="00D6599A" w:rsidRPr="00772105" w:rsidRDefault="00D6599A" w:rsidP="00B21990">
            <w:pPr>
              <w:spacing w:before="40" w:after="40" w:line="240" w:lineRule="auto"/>
              <w:rPr>
                <w:rFonts w:ascii="Arial Narrow" w:hAnsi="Arial Narrow"/>
                <w:sz w:val="20"/>
                <w:szCs w:val="20"/>
              </w:rPr>
            </w:pPr>
            <w:r>
              <w:rPr>
                <w:rFonts w:ascii="Arial Narrow" w:hAnsi="Arial Narrow"/>
                <w:sz w:val="20"/>
                <w:szCs w:val="20"/>
              </w:rPr>
              <w:t>H</w:t>
            </w:r>
            <w:r w:rsidRPr="00DB47AE">
              <w:rPr>
                <w:rFonts w:ascii="Arial Narrow" w:hAnsi="Arial Narrow"/>
                <w:sz w:val="20"/>
                <w:szCs w:val="20"/>
              </w:rPr>
              <w:t>ypotension</w:t>
            </w:r>
          </w:p>
          <w:p w14:paraId="0B9C394F" w14:textId="77777777" w:rsidR="00D6599A" w:rsidRDefault="0067497C" w:rsidP="00B21990">
            <w:pPr>
              <w:spacing w:before="40" w:after="40" w:line="240" w:lineRule="auto"/>
              <w:rPr>
                <w:rFonts w:ascii="Arial Narrow" w:hAnsi="Arial Narrow"/>
                <w:sz w:val="20"/>
                <w:szCs w:val="20"/>
              </w:rPr>
            </w:pPr>
            <w:r>
              <w:rPr>
                <w:rFonts w:ascii="Arial Narrow" w:hAnsi="Arial Narrow"/>
                <w:sz w:val="20"/>
                <w:szCs w:val="20"/>
              </w:rPr>
              <w:t>Vasova</w:t>
            </w:r>
            <w:r w:rsidR="00D6599A">
              <w:rPr>
                <w:rFonts w:ascii="Arial Narrow" w:hAnsi="Arial Narrow"/>
                <w:sz w:val="20"/>
                <w:szCs w:val="20"/>
              </w:rPr>
              <w:t>gal reaction, syncope</w:t>
            </w:r>
          </w:p>
          <w:p w14:paraId="034F4DB7" w14:textId="77777777" w:rsidR="00D6599A" w:rsidRDefault="00D6599A" w:rsidP="00B21990">
            <w:pPr>
              <w:spacing w:before="40" w:after="40" w:line="240" w:lineRule="auto"/>
              <w:rPr>
                <w:rFonts w:ascii="Arial Narrow" w:hAnsi="Arial Narrow"/>
                <w:sz w:val="20"/>
                <w:szCs w:val="20"/>
              </w:rPr>
            </w:pPr>
            <w:r>
              <w:rPr>
                <w:rFonts w:ascii="Arial Narrow" w:hAnsi="Arial Narrow"/>
                <w:sz w:val="20"/>
                <w:szCs w:val="20"/>
              </w:rPr>
              <w:t>Poor venous access</w:t>
            </w:r>
          </w:p>
          <w:p w14:paraId="146519EF" w14:textId="77777777" w:rsidR="00D6599A" w:rsidRDefault="00D6599A" w:rsidP="00B21990">
            <w:pPr>
              <w:spacing w:before="40" w:after="40" w:line="240" w:lineRule="auto"/>
              <w:rPr>
                <w:rFonts w:ascii="Arial Narrow" w:hAnsi="Arial Narrow"/>
                <w:sz w:val="20"/>
                <w:szCs w:val="20"/>
              </w:rPr>
            </w:pPr>
            <w:r>
              <w:rPr>
                <w:rFonts w:ascii="Arial Narrow" w:hAnsi="Arial Narrow"/>
                <w:sz w:val="20"/>
                <w:szCs w:val="20"/>
              </w:rPr>
              <w:t>Tingling, par</w:t>
            </w:r>
            <w:r w:rsidR="00956F19">
              <w:rPr>
                <w:rFonts w:ascii="Arial Narrow" w:hAnsi="Arial Narrow"/>
                <w:sz w:val="20"/>
                <w:szCs w:val="20"/>
              </w:rPr>
              <w:t>a</w:t>
            </w:r>
            <w:r>
              <w:rPr>
                <w:rFonts w:ascii="Arial Narrow" w:hAnsi="Arial Narrow"/>
                <w:sz w:val="20"/>
                <w:szCs w:val="20"/>
              </w:rPr>
              <w:t>sthesi</w:t>
            </w:r>
            <w:r w:rsidR="00956F19">
              <w:rPr>
                <w:rFonts w:ascii="Arial Narrow" w:hAnsi="Arial Narrow"/>
                <w:sz w:val="20"/>
                <w:szCs w:val="20"/>
              </w:rPr>
              <w:t>a</w:t>
            </w:r>
            <w:r>
              <w:rPr>
                <w:rFonts w:ascii="Arial Narrow" w:hAnsi="Arial Narrow"/>
                <w:sz w:val="20"/>
                <w:szCs w:val="20"/>
              </w:rPr>
              <w:t>, hypersensibility</w:t>
            </w:r>
          </w:p>
          <w:p w14:paraId="05A09F00" w14:textId="77777777" w:rsidR="00D6599A" w:rsidRDefault="00D6599A" w:rsidP="00584B4C">
            <w:pPr>
              <w:spacing w:before="40" w:after="40" w:line="240" w:lineRule="auto"/>
              <w:rPr>
                <w:rFonts w:ascii="Arial Narrow" w:hAnsi="Arial Narrow"/>
                <w:sz w:val="20"/>
                <w:szCs w:val="20"/>
              </w:rPr>
            </w:pPr>
            <w:r>
              <w:rPr>
                <w:rFonts w:ascii="Arial Narrow" w:hAnsi="Arial Narrow"/>
                <w:sz w:val="20"/>
                <w:szCs w:val="20"/>
              </w:rPr>
              <w:t xml:space="preserve">Hypertension </w:t>
            </w:r>
          </w:p>
          <w:p w14:paraId="7E007DD1" w14:textId="77777777" w:rsidR="00D6599A" w:rsidRDefault="00D6599A" w:rsidP="00584B4C">
            <w:pPr>
              <w:spacing w:before="40" w:after="40" w:line="240" w:lineRule="auto"/>
              <w:rPr>
                <w:rFonts w:ascii="Arial Narrow" w:hAnsi="Arial Narrow"/>
                <w:sz w:val="20"/>
                <w:szCs w:val="20"/>
              </w:rPr>
            </w:pPr>
            <w:r>
              <w:rPr>
                <w:rFonts w:ascii="Arial Narrow" w:hAnsi="Arial Narrow"/>
                <w:sz w:val="20"/>
                <w:szCs w:val="20"/>
              </w:rPr>
              <w:t>Arrhythmia</w:t>
            </w:r>
          </w:p>
          <w:p w14:paraId="73E7AB51" w14:textId="77777777" w:rsidR="00D6599A" w:rsidRDefault="00D6599A" w:rsidP="00584B4C">
            <w:pPr>
              <w:spacing w:before="40" w:after="40" w:line="240" w:lineRule="auto"/>
              <w:rPr>
                <w:rFonts w:ascii="Arial Narrow" w:hAnsi="Arial Narrow"/>
                <w:sz w:val="20"/>
                <w:szCs w:val="20"/>
              </w:rPr>
            </w:pPr>
            <w:r>
              <w:rPr>
                <w:rFonts w:ascii="Arial Narrow" w:hAnsi="Arial Narrow"/>
                <w:sz w:val="20"/>
                <w:szCs w:val="20"/>
              </w:rPr>
              <w:t>Phlebitis</w:t>
            </w:r>
          </w:p>
          <w:p w14:paraId="19A42DF3" w14:textId="77777777" w:rsidR="00D6599A" w:rsidRDefault="00D6599A" w:rsidP="00195B96">
            <w:pPr>
              <w:spacing w:before="40" w:after="40" w:line="240" w:lineRule="auto"/>
              <w:rPr>
                <w:rFonts w:ascii="Arial Narrow" w:hAnsi="Arial Narrow"/>
                <w:sz w:val="20"/>
                <w:szCs w:val="20"/>
              </w:rPr>
            </w:pPr>
            <w:r>
              <w:rPr>
                <w:rFonts w:ascii="Arial Narrow" w:hAnsi="Arial Narrow"/>
                <w:sz w:val="20"/>
                <w:szCs w:val="20"/>
              </w:rPr>
              <w:t>Electrolytic disorder</w:t>
            </w:r>
          </w:p>
          <w:p w14:paraId="4A838FEE" w14:textId="77777777" w:rsidR="00D6599A" w:rsidRDefault="00D6599A" w:rsidP="00501DD5">
            <w:pPr>
              <w:spacing w:before="40" w:after="40" w:line="240" w:lineRule="auto"/>
              <w:rPr>
                <w:rFonts w:ascii="Arial Narrow" w:hAnsi="Arial Narrow"/>
                <w:sz w:val="20"/>
                <w:szCs w:val="20"/>
              </w:rPr>
            </w:pPr>
            <w:r>
              <w:rPr>
                <w:rFonts w:ascii="Arial Narrow" w:hAnsi="Arial Narrow"/>
                <w:sz w:val="20"/>
                <w:szCs w:val="20"/>
              </w:rPr>
              <w:t>Chest pain</w:t>
            </w:r>
          </w:p>
        </w:tc>
        <w:tc>
          <w:tcPr>
            <w:tcW w:w="467" w:type="pct"/>
            <w:tcBorders>
              <w:right w:val="single" w:sz="4" w:space="0" w:color="E7E6E6" w:themeColor="background2"/>
            </w:tcBorders>
          </w:tcPr>
          <w:p w14:paraId="34357055" w14:textId="77777777" w:rsidR="00D6599A" w:rsidRPr="00584B4C" w:rsidRDefault="00D6599A" w:rsidP="00375C5E">
            <w:pPr>
              <w:tabs>
                <w:tab w:val="left" w:pos="735"/>
              </w:tabs>
              <w:spacing w:before="40" w:after="40" w:line="240" w:lineRule="auto"/>
              <w:rPr>
                <w:rFonts w:ascii="Arial Narrow" w:hAnsi="Arial Narrow"/>
                <w:sz w:val="20"/>
                <w:szCs w:val="20"/>
              </w:rPr>
            </w:pPr>
          </w:p>
          <w:p w14:paraId="012342AD" w14:textId="77777777" w:rsidR="00D6599A" w:rsidRPr="00584B4C" w:rsidRDefault="00D6599A" w:rsidP="00375C5E">
            <w:pPr>
              <w:tabs>
                <w:tab w:val="left" w:pos="735"/>
              </w:tabs>
              <w:spacing w:before="40" w:after="40" w:line="240" w:lineRule="auto"/>
              <w:rPr>
                <w:rFonts w:ascii="Arial Narrow" w:hAnsi="Arial Narrow"/>
                <w:sz w:val="20"/>
                <w:szCs w:val="20"/>
              </w:rPr>
            </w:pPr>
            <w:r w:rsidRPr="00584B4C">
              <w:rPr>
                <w:rFonts w:ascii="Arial Narrow" w:hAnsi="Arial Narrow"/>
                <w:sz w:val="20"/>
                <w:szCs w:val="20"/>
              </w:rPr>
              <w:t>10</w:t>
            </w:r>
          </w:p>
          <w:p w14:paraId="40C19980" w14:textId="77777777" w:rsidR="00D6599A" w:rsidRDefault="00D6599A" w:rsidP="00375C5E">
            <w:pPr>
              <w:tabs>
                <w:tab w:val="left" w:pos="735"/>
              </w:tabs>
              <w:spacing w:before="40" w:after="40" w:line="240" w:lineRule="auto"/>
              <w:rPr>
                <w:rFonts w:ascii="Arial Narrow" w:hAnsi="Arial Narrow"/>
                <w:sz w:val="20"/>
                <w:szCs w:val="20"/>
              </w:rPr>
            </w:pPr>
            <w:r>
              <w:rPr>
                <w:rFonts w:ascii="Arial Narrow" w:hAnsi="Arial Narrow"/>
                <w:sz w:val="20"/>
                <w:szCs w:val="20"/>
              </w:rPr>
              <w:t>3</w:t>
            </w:r>
            <w:r w:rsidR="00EB2A3B">
              <w:rPr>
                <w:rFonts w:ascii="Arial Narrow" w:hAnsi="Arial Narrow"/>
                <w:sz w:val="20"/>
                <w:szCs w:val="20"/>
              </w:rPr>
              <w:br/>
            </w:r>
          </w:p>
          <w:p w14:paraId="5E2A953F" w14:textId="77777777" w:rsidR="00D6599A" w:rsidRDefault="00D6599A" w:rsidP="00375C5E">
            <w:pPr>
              <w:tabs>
                <w:tab w:val="left" w:pos="735"/>
              </w:tabs>
              <w:spacing w:before="40" w:after="40" w:line="240" w:lineRule="auto"/>
              <w:rPr>
                <w:rFonts w:ascii="Arial Narrow" w:hAnsi="Arial Narrow"/>
                <w:sz w:val="20"/>
                <w:szCs w:val="20"/>
              </w:rPr>
            </w:pPr>
            <w:r>
              <w:rPr>
                <w:rFonts w:ascii="Arial Narrow" w:hAnsi="Arial Narrow"/>
                <w:sz w:val="20"/>
                <w:szCs w:val="20"/>
              </w:rPr>
              <w:t>2</w:t>
            </w:r>
            <w:r w:rsidR="00546425">
              <w:rPr>
                <w:rFonts w:ascii="Arial Narrow" w:hAnsi="Arial Narrow"/>
                <w:sz w:val="20"/>
                <w:szCs w:val="20"/>
              </w:rPr>
              <w:br/>
              <w:t>-</w:t>
            </w:r>
          </w:p>
          <w:p w14:paraId="22AC7DB6" w14:textId="77777777" w:rsidR="00546425" w:rsidRDefault="00546425" w:rsidP="00375C5E">
            <w:pPr>
              <w:tabs>
                <w:tab w:val="left" w:pos="735"/>
              </w:tabs>
              <w:spacing w:before="40" w:after="40" w:line="240" w:lineRule="auto"/>
              <w:rPr>
                <w:rFonts w:ascii="Arial Narrow" w:hAnsi="Arial Narrow"/>
                <w:sz w:val="20"/>
                <w:szCs w:val="20"/>
              </w:rPr>
            </w:pPr>
          </w:p>
          <w:p w14:paraId="4E5F7134" w14:textId="77777777" w:rsidR="00546425"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3E86B9AC" w14:textId="77777777" w:rsidR="00546425"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518DD6E5" w14:textId="77777777" w:rsidR="00546425"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497A001C" w14:textId="77777777" w:rsidR="00546425"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686301BE" w14:textId="77777777" w:rsidR="00546425"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tc>
        <w:tc>
          <w:tcPr>
            <w:tcW w:w="469" w:type="pct"/>
            <w:tcBorders>
              <w:left w:val="single" w:sz="4" w:space="0" w:color="E7E6E6" w:themeColor="background2"/>
            </w:tcBorders>
          </w:tcPr>
          <w:p w14:paraId="3946D27B" w14:textId="77777777" w:rsidR="00D6599A" w:rsidRDefault="00D6599A" w:rsidP="00375C5E">
            <w:pPr>
              <w:tabs>
                <w:tab w:val="left" w:pos="735"/>
              </w:tabs>
              <w:spacing w:before="40" w:after="40" w:line="240" w:lineRule="auto"/>
              <w:rPr>
                <w:rFonts w:ascii="Arial Narrow" w:hAnsi="Arial Narrow"/>
                <w:sz w:val="20"/>
                <w:szCs w:val="20"/>
              </w:rPr>
            </w:pPr>
          </w:p>
          <w:p w14:paraId="6D058735" w14:textId="77777777" w:rsidR="00D6599A" w:rsidRDefault="00D6599A" w:rsidP="00375C5E">
            <w:pPr>
              <w:tabs>
                <w:tab w:val="left" w:pos="735"/>
              </w:tabs>
              <w:spacing w:before="40" w:after="40" w:line="240" w:lineRule="auto"/>
              <w:rPr>
                <w:rFonts w:ascii="Arial Narrow" w:hAnsi="Arial Narrow"/>
                <w:sz w:val="20"/>
                <w:szCs w:val="20"/>
              </w:rPr>
            </w:pPr>
            <w:r>
              <w:rPr>
                <w:rFonts w:ascii="Arial Narrow" w:hAnsi="Arial Narrow"/>
                <w:sz w:val="20"/>
                <w:szCs w:val="20"/>
              </w:rPr>
              <w:t>0.04</w:t>
            </w:r>
          </w:p>
          <w:p w14:paraId="0820E3E2" w14:textId="77777777" w:rsidR="00D6599A" w:rsidRDefault="00D6599A" w:rsidP="00375C5E">
            <w:pPr>
              <w:tabs>
                <w:tab w:val="left" w:pos="735"/>
              </w:tabs>
              <w:spacing w:before="40" w:after="40" w:line="240" w:lineRule="auto"/>
              <w:rPr>
                <w:rFonts w:ascii="Arial Narrow" w:hAnsi="Arial Narrow"/>
                <w:sz w:val="20"/>
                <w:szCs w:val="20"/>
              </w:rPr>
            </w:pPr>
            <w:r>
              <w:rPr>
                <w:rFonts w:ascii="Arial Narrow" w:hAnsi="Arial Narrow"/>
                <w:sz w:val="20"/>
                <w:szCs w:val="20"/>
              </w:rPr>
              <w:t>0.012</w:t>
            </w:r>
            <w:r>
              <w:rPr>
                <w:rFonts w:ascii="Arial Narrow" w:hAnsi="Arial Narrow"/>
                <w:sz w:val="20"/>
                <w:szCs w:val="20"/>
              </w:rPr>
              <w:br/>
            </w:r>
          </w:p>
          <w:p w14:paraId="70D310AB" w14:textId="77777777" w:rsidR="00D6599A" w:rsidRDefault="00D6599A" w:rsidP="00375C5E">
            <w:pPr>
              <w:tabs>
                <w:tab w:val="left" w:pos="735"/>
              </w:tabs>
              <w:spacing w:before="40" w:after="40" w:line="240" w:lineRule="auto"/>
              <w:rPr>
                <w:rFonts w:ascii="Arial Narrow" w:hAnsi="Arial Narrow"/>
                <w:sz w:val="20"/>
                <w:szCs w:val="20"/>
              </w:rPr>
            </w:pPr>
            <w:r>
              <w:rPr>
                <w:rFonts w:ascii="Arial Narrow" w:hAnsi="Arial Narrow"/>
                <w:sz w:val="20"/>
                <w:szCs w:val="20"/>
              </w:rPr>
              <w:t>0.008</w:t>
            </w:r>
            <w:r w:rsidR="00546425">
              <w:rPr>
                <w:rFonts w:ascii="Arial Narrow" w:hAnsi="Arial Narrow"/>
                <w:sz w:val="20"/>
                <w:szCs w:val="20"/>
              </w:rPr>
              <w:br/>
              <w:t>-</w:t>
            </w:r>
          </w:p>
          <w:p w14:paraId="6C335978" w14:textId="77777777" w:rsidR="00D6599A" w:rsidRDefault="00D6599A" w:rsidP="00375C5E">
            <w:pPr>
              <w:tabs>
                <w:tab w:val="left" w:pos="735"/>
              </w:tabs>
              <w:spacing w:before="40" w:after="40" w:line="240" w:lineRule="auto"/>
              <w:rPr>
                <w:rFonts w:ascii="Arial Narrow" w:hAnsi="Arial Narrow"/>
                <w:sz w:val="20"/>
                <w:szCs w:val="20"/>
              </w:rPr>
            </w:pPr>
          </w:p>
          <w:p w14:paraId="08FC396C" w14:textId="77777777" w:rsidR="00D6599A"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4F339C35" w14:textId="77777777" w:rsidR="00546425"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09FC6B08" w14:textId="77777777" w:rsidR="00546425"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33A2DA37" w14:textId="77777777" w:rsidR="00546425"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099A2E53" w14:textId="77777777" w:rsidR="00546425" w:rsidRPr="00584B4C"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tc>
        <w:tc>
          <w:tcPr>
            <w:tcW w:w="481" w:type="pct"/>
            <w:tcBorders>
              <w:right w:val="single" w:sz="4" w:space="0" w:color="E7E6E6" w:themeColor="background2"/>
            </w:tcBorders>
            <w:shd w:val="clear" w:color="auto" w:fill="auto"/>
          </w:tcPr>
          <w:p w14:paraId="7AEFDE6C" w14:textId="77777777" w:rsidR="00D6599A" w:rsidRDefault="00D6599A" w:rsidP="00375C5E">
            <w:pPr>
              <w:tabs>
                <w:tab w:val="left" w:pos="888"/>
              </w:tabs>
              <w:spacing w:before="40" w:after="40" w:line="240" w:lineRule="auto"/>
              <w:rPr>
                <w:rFonts w:ascii="Arial Narrow" w:hAnsi="Arial Narrow"/>
                <w:sz w:val="20"/>
                <w:szCs w:val="20"/>
              </w:rPr>
            </w:pPr>
          </w:p>
          <w:p w14:paraId="5F34BEE2" w14:textId="77777777" w:rsidR="00D6599A" w:rsidRDefault="00D6599A" w:rsidP="00375C5E">
            <w:pPr>
              <w:tabs>
                <w:tab w:val="left" w:pos="888"/>
              </w:tabs>
              <w:spacing w:before="40" w:after="40" w:line="240" w:lineRule="auto"/>
              <w:rPr>
                <w:rFonts w:ascii="Arial Narrow" w:hAnsi="Arial Narrow"/>
                <w:sz w:val="20"/>
                <w:szCs w:val="20"/>
              </w:rPr>
            </w:pPr>
            <w:r>
              <w:rPr>
                <w:rFonts w:ascii="Arial Narrow" w:hAnsi="Arial Narrow"/>
                <w:sz w:val="20"/>
                <w:szCs w:val="20"/>
              </w:rPr>
              <w:t>66</w:t>
            </w:r>
          </w:p>
          <w:p w14:paraId="058BC271" w14:textId="77777777" w:rsidR="00D6599A"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r w:rsidR="00D6599A">
              <w:rPr>
                <w:rFonts w:ascii="Arial Narrow" w:hAnsi="Arial Narrow"/>
                <w:sz w:val="20"/>
                <w:szCs w:val="20"/>
              </w:rPr>
              <w:br/>
            </w:r>
          </w:p>
          <w:p w14:paraId="5DAF1076" w14:textId="77777777" w:rsidR="00D6599A" w:rsidRDefault="00D6599A" w:rsidP="0058648B">
            <w:pPr>
              <w:tabs>
                <w:tab w:val="left" w:pos="888"/>
              </w:tabs>
              <w:spacing w:before="40" w:after="40" w:line="240" w:lineRule="auto"/>
              <w:rPr>
                <w:rFonts w:ascii="Arial Narrow" w:hAnsi="Arial Narrow"/>
                <w:sz w:val="20"/>
                <w:szCs w:val="20"/>
              </w:rPr>
            </w:pPr>
            <w:r>
              <w:rPr>
                <w:rFonts w:ascii="Arial Narrow" w:hAnsi="Arial Narrow"/>
                <w:sz w:val="20"/>
                <w:szCs w:val="20"/>
              </w:rPr>
              <w:t>130</w:t>
            </w:r>
          </w:p>
          <w:p w14:paraId="20176D8A" w14:textId="77777777" w:rsidR="00D6599A" w:rsidRDefault="00D6599A" w:rsidP="0058648B">
            <w:pPr>
              <w:tabs>
                <w:tab w:val="left" w:pos="888"/>
              </w:tabs>
              <w:spacing w:before="40" w:after="40" w:line="240" w:lineRule="auto"/>
              <w:rPr>
                <w:rFonts w:ascii="Arial Narrow" w:hAnsi="Arial Narrow"/>
                <w:sz w:val="20"/>
                <w:szCs w:val="20"/>
              </w:rPr>
            </w:pPr>
            <w:r>
              <w:rPr>
                <w:rFonts w:ascii="Arial Narrow" w:hAnsi="Arial Narrow"/>
                <w:sz w:val="20"/>
                <w:szCs w:val="20"/>
              </w:rPr>
              <w:t>193</w:t>
            </w:r>
            <w:r>
              <w:rPr>
                <w:rFonts w:ascii="Arial Narrow" w:hAnsi="Arial Narrow"/>
                <w:sz w:val="20"/>
                <w:szCs w:val="20"/>
              </w:rPr>
              <w:br/>
            </w:r>
          </w:p>
          <w:p w14:paraId="3DD20579" w14:textId="77777777" w:rsidR="00D6599A" w:rsidRDefault="00887A70" w:rsidP="0058648B">
            <w:pPr>
              <w:tabs>
                <w:tab w:val="left" w:pos="888"/>
              </w:tabs>
              <w:spacing w:before="40" w:after="40" w:line="240" w:lineRule="auto"/>
              <w:rPr>
                <w:rFonts w:ascii="Arial Narrow" w:hAnsi="Arial Narrow"/>
                <w:sz w:val="20"/>
                <w:szCs w:val="20"/>
              </w:rPr>
            </w:pPr>
            <w:r>
              <w:rPr>
                <w:rFonts w:ascii="Arial Narrow" w:hAnsi="Arial Narrow"/>
                <w:sz w:val="20"/>
                <w:szCs w:val="20"/>
              </w:rPr>
              <w:t>11</w:t>
            </w:r>
          </w:p>
          <w:p w14:paraId="3D28D198" w14:textId="77777777" w:rsidR="00D6599A" w:rsidRDefault="00D6599A" w:rsidP="0058648B">
            <w:pPr>
              <w:tabs>
                <w:tab w:val="left" w:pos="888"/>
              </w:tabs>
              <w:spacing w:before="40" w:after="40" w:line="240" w:lineRule="auto"/>
              <w:rPr>
                <w:rFonts w:ascii="Arial Narrow" w:hAnsi="Arial Narrow"/>
                <w:sz w:val="20"/>
                <w:szCs w:val="20"/>
              </w:rPr>
            </w:pPr>
            <w:r>
              <w:rPr>
                <w:rFonts w:ascii="Arial Narrow" w:hAnsi="Arial Narrow"/>
                <w:sz w:val="20"/>
                <w:szCs w:val="20"/>
              </w:rPr>
              <w:t>1</w:t>
            </w:r>
          </w:p>
          <w:p w14:paraId="61FD7781" w14:textId="77777777" w:rsidR="00D6599A" w:rsidRDefault="00D6599A" w:rsidP="0058648B">
            <w:pPr>
              <w:tabs>
                <w:tab w:val="left" w:pos="888"/>
              </w:tabs>
              <w:spacing w:before="40" w:after="40" w:line="240" w:lineRule="auto"/>
              <w:rPr>
                <w:rFonts w:ascii="Arial Narrow" w:hAnsi="Arial Narrow"/>
                <w:sz w:val="20"/>
                <w:szCs w:val="20"/>
              </w:rPr>
            </w:pPr>
            <w:r>
              <w:rPr>
                <w:rFonts w:ascii="Arial Narrow" w:hAnsi="Arial Narrow"/>
                <w:sz w:val="20"/>
                <w:szCs w:val="20"/>
              </w:rPr>
              <w:t>2</w:t>
            </w:r>
          </w:p>
          <w:p w14:paraId="53DE6E0C" w14:textId="77777777" w:rsidR="00546425" w:rsidRDefault="00546425" w:rsidP="0058648B">
            <w:pPr>
              <w:tabs>
                <w:tab w:val="left" w:pos="888"/>
              </w:tabs>
              <w:spacing w:before="40" w:after="40" w:line="240" w:lineRule="auto"/>
              <w:rPr>
                <w:rFonts w:ascii="Arial Narrow" w:hAnsi="Arial Narrow"/>
                <w:sz w:val="20"/>
                <w:szCs w:val="20"/>
              </w:rPr>
            </w:pPr>
            <w:r>
              <w:rPr>
                <w:rFonts w:ascii="Arial Narrow" w:hAnsi="Arial Narrow"/>
                <w:sz w:val="20"/>
                <w:szCs w:val="20"/>
              </w:rPr>
              <w:t>-</w:t>
            </w:r>
          </w:p>
          <w:p w14:paraId="1730A890" w14:textId="77777777" w:rsidR="00546425" w:rsidRDefault="00546425" w:rsidP="0058648B">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552" w:type="pct"/>
            <w:tcBorders>
              <w:left w:val="single" w:sz="4" w:space="0" w:color="E7E6E6" w:themeColor="background2"/>
            </w:tcBorders>
            <w:shd w:val="clear" w:color="auto" w:fill="auto"/>
          </w:tcPr>
          <w:p w14:paraId="40BF6CDC" w14:textId="77777777" w:rsidR="00D6599A" w:rsidRDefault="00D6599A" w:rsidP="00375C5E">
            <w:pPr>
              <w:tabs>
                <w:tab w:val="left" w:pos="888"/>
              </w:tabs>
              <w:spacing w:before="40" w:after="40" w:line="240" w:lineRule="auto"/>
              <w:rPr>
                <w:rFonts w:ascii="Arial Narrow" w:hAnsi="Arial Narrow"/>
                <w:sz w:val="20"/>
                <w:szCs w:val="20"/>
              </w:rPr>
            </w:pPr>
          </w:p>
          <w:p w14:paraId="0AC017E1" w14:textId="77777777" w:rsidR="00D6599A"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0.66</w:t>
            </w:r>
          </w:p>
          <w:p w14:paraId="0660D20E" w14:textId="77777777" w:rsidR="00D6599A"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r w:rsidR="00D6599A">
              <w:rPr>
                <w:rFonts w:ascii="Arial Narrow" w:hAnsi="Arial Narrow"/>
                <w:sz w:val="20"/>
                <w:szCs w:val="20"/>
              </w:rPr>
              <w:br/>
            </w:r>
          </w:p>
          <w:p w14:paraId="4B672938" w14:textId="77777777" w:rsidR="00D6599A"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1.30</w:t>
            </w:r>
          </w:p>
          <w:p w14:paraId="4FA523C8" w14:textId="77777777" w:rsidR="00D6599A"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1.93</w:t>
            </w:r>
            <w:r w:rsidR="00D6599A">
              <w:rPr>
                <w:rFonts w:ascii="Arial Narrow" w:hAnsi="Arial Narrow"/>
                <w:sz w:val="20"/>
                <w:szCs w:val="20"/>
              </w:rPr>
              <w:br/>
            </w:r>
          </w:p>
          <w:p w14:paraId="0D5A92B7" w14:textId="77777777" w:rsidR="00D6599A"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0.11</w:t>
            </w:r>
          </w:p>
          <w:p w14:paraId="66BB2EE6" w14:textId="77777777" w:rsidR="00D6599A"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0.01</w:t>
            </w:r>
          </w:p>
          <w:p w14:paraId="36032524" w14:textId="77777777" w:rsidR="00D6599A"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0.02</w:t>
            </w:r>
          </w:p>
          <w:p w14:paraId="31B4AC06" w14:textId="77777777" w:rsidR="00546425"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p>
          <w:p w14:paraId="7B3822C4" w14:textId="77777777" w:rsidR="00546425" w:rsidRPr="00584B4C"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472" w:type="pct"/>
            <w:tcBorders>
              <w:right w:val="single" w:sz="4" w:space="0" w:color="E7E6E6" w:themeColor="background2"/>
            </w:tcBorders>
            <w:shd w:val="clear" w:color="auto" w:fill="auto"/>
          </w:tcPr>
          <w:p w14:paraId="339AA912" w14:textId="77777777" w:rsidR="00D6599A" w:rsidRDefault="00D6599A" w:rsidP="00375C5E">
            <w:pPr>
              <w:tabs>
                <w:tab w:val="left" w:pos="744"/>
              </w:tabs>
              <w:spacing w:before="40" w:after="40" w:line="240" w:lineRule="auto"/>
              <w:rPr>
                <w:rFonts w:ascii="Arial Narrow" w:hAnsi="Arial Narrow"/>
                <w:sz w:val="20"/>
                <w:szCs w:val="20"/>
              </w:rPr>
            </w:pPr>
          </w:p>
          <w:p w14:paraId="4F54F8B8" w14:textId="77777777" w:rsidR="00D6599A" w:rsidRDefault="00D6599A" w:rsidP="00375C5E">
            <w:pPr>
              <w:tabs>
                <w:tab w:val="left" w:pos="744"/>
              </w:tabs>
              <w:spacing w:before="40" w:after="40" w:line="240" w:lineRule="auto"/>
              <w:rPr>
                <w:rFonts w:ascii="Arial Narrow" w:hAnsi="Arial Narrow"/>
                <w:sz w:val="20"/>
                <w:szCs w:val="20"/>
              </w:rPr>
            </w:pPr>
            <w:r>
              <w:rPr>
                <w:rFonts w:ascii="Arial Narrow" w:hAnsi="Arial Narrow"/>
                <w:sz w:val="20"/>
                <w:szCs w:val="20"/>
              </w:rPr>
              <w:t>106</w:t>
            </w:r>
          </w:p>
          <w:p w14:paraId="09D69B3D" w14:textId="77777777" w:rsidR="00D6599A" w:rsidRDefault="00546425" w:rsidP="00375C5E">
            <w:pPr>
              <w:tabs>
                <w:tab w:val="left" w:pos="744"/>
              </w:tabs>
              <w:spacing w:before="40" w:after="40" w:line="240" w:lineRule="auto"/>
              <w:rPr>
                <w:rFonts w:ascii="Arial Narrow" w:hAnsi="Arial Narrow"/>
                <w:sz w:val="20"/>
                <w:szCs w:val="20"/>
              </w:rPr>
            </w:pPr>
            <w:r>
              <w:rPr>
                <w:rFonts w:ascii="Arial Narrow" w:hAnsi="Arial Narrow"/>
                <w:sz w:val="20"/>
                <w:szCs w:val="20"/>
              </w:rPr>
              <w:t>-</w:t>
            </w:r>
            <w:r w:rsidR="00D6599A">
              <w:rPr>
                <w:rFonts w:ascii="Arial Narrow" w:hAnsi="Arial Narrow"/>
                <w:sz w:val="20"/>
                <w:szCs w:val="20"/>
              </w:rPr>
              <w:br/>
            </w:r>
          </w:p>
          <w:p w14:paraId="090E3853" w14:textId="77777777" w:rsidR="00D6599A" w:rsidRPr="00195B96" w:rsidRDefault="00D6599A" w:rsidP="00375C5E">
            <w:pPr>
              <w:tabs>
                <w:tab w:val="left" w:pos="744"/>
              </w:tabs>
              <w:spacing w:before="40" w:after="40" w:line="240" w:lineRule="auto"/>
              <w:rPr>
                <w:rFonts w:ascii="Arial Narrow" w:hAnsi="Arial Narrow"/>
                <w:sz w:val="20"/>
                <w:szCs w:val="20"/>
              </w:rPr>
            </w:pPr>
            <w:r>
              <w:rPr>
                <w:rFonts w:ascii="Arial Narrow" w:hAnsi="Arial Narrow"/>
                <w:sz w:val="20"/>
                <w:szCs w:val="20"/>
              </w:rPr>
              <w:t>85</w:t>
            </w:r>
          </w:p>
          <w:p w14:paraId="01936E5F" w14:textId="77777777" w:rsidR="00D6599A" w:rsidRDefault="00D6599A" w:rsidP="00375C5E">
            <w:pPr>
              <w:tabs>
                <w:tab w:val="left" w:pos="744"/>
              </w:tabs>
              <w:spacing w:before="40" w:after="40" w:line="240" w:lineRule="auto"/>
              <w:rPr>
                <w:rFonts w:ascii="Arial Narrow" w:hAnsi="Arial Narrow"/>
                <w:sz w:val="20"/>
                <w:szCs w:val="20"/>
              </w:rPr>
            </w:pPr>
            <w:r>
              <w:rPr>
                <w:rFonts w:ascii="Arial Narrow" w:hAnsi="Arial Narrow"/>
                <w:sz w:val="20"/>
                <w:szCs w:val="20"/>
              </w:rPr>
              <w:t>2</w:t>
            </w:r>
            <w:r>
              <w:rPr>
                <w:rFonts w:ascii="Arial Narrow" w:hAnsi="Arial Narrow"/>
                <w:sz w:val="20"/>
                <w:szCs w:val="20"/>
              </w:rPr>
              <w:br/>
            </w:r>
          </w:p>
          <w:p w14:paraId="0FFDD80E" w14:textId="77777777" w:rsidR="00D6599A" w:rsidRDefault="00546425" w:rsidP="00375C5E">
            <w:pPr>
              <w:tabs>
                <w:tab w:val="left" w:pos="744"/>
              </w:tabs>
              <w:spacing w:before="40" w:after="40" w:line="240" w:lineRule="auto"/>
              <w:rPr>
                <w:rFonts w:ascii="Arial Narrow" w:hAnsi="Arial Narrow"/>
                <w:sz w:val="20"/>
                <w:szCs w:val="20"/>
              </w:rPr>
            </w:pPr>
            <w:r>
              <w:rPr>
                <w:rFonts w:ascii="Arial Narrow" w:hAnsi="Arial Narrow"/>
                <w:sz w:val="20"/>
                <w:szCs w:val="20"/>
              </w:rPr>
              <w:t>-</w:t>
            </w:r>
          </w:p>
          <w:p w14:paraId="185644A4" w14:textId="77777777" w:rsidR="00D6599A" w:rsidRDefault="00D6599A" w:rsidP="00375C5E">
            <w:pPr>
              <w:tabs>
                <w:tab w:val="left" w:pos="744"/>
              </w:tabs>
              <w:spacing w:before="40" w:after="40" w:line="240" w:lineRule="auto"/>
              <w:rPr>
                <w:rFonts w:ascii="Arial Narrow" w:hAnsi="Arial Narrow"/>
                <w:sz w:val="20"/>
                <w:szCs w:val="20"/>
              </w:rPr>
            </w:pPr>
            <w:r>
              <w:rPr>
                <w:rFonts w:ascii="Arial Narrow" w:hAnsi="Arial Narrow"/>
                <w:sz w:val="20"/>
                <w:szCs w:val="20"/>
              </w:rPr>
              <w:t>2</w:t>
            </w:r>
          </w:p>
          <w:p w14:paraId="4094055B" w14:textId="77777777" w:rsidR="00D6599A" w:rsidRDefault="00546425" w:rsidP="00375C5E">
            <w:pPr>
              <w:tabs>
                <w:tab w:val="left" w:pos="744"/>
              </w:tabs>
              <w:spacing w:before="40" w:after="40" w:line="240" w:lineRule="auto"/>
              <w:rPr>
                <w:rFonts w:ascii="Arial Narrow" w:hAnsi="Arial Narrow"/>
                <w:sz w:val="20"/>
                <w:szCs w:val="20"/>
              </w:rPr>
            </w:pPr>
            <w:r>
              <w:rPr>
                <w:rFonts w:ascii="Arial Narrow" w:hAnsi="Arial Narrow"/>
                <w:sz w:val="20"/>
                <w:szCs w:val="20"/>
              </w:rPr>
              <w:t>-</w:t>
            </w:r>
          </w:p>
          <w:p w14:paraId="099E57FB" w14:textId="77777777" w:rsidR="00D6599A" w:rsidRDefault="00D6599A" w:rsidP="00375C5E">
            <w:pPr>
              <w:tabs>
                <w:tab w:val="left" w:pos="744"/>
              </w:tabs>
              <w:spacing w:before="40" w:after="40" w:line="240" w:lineRule="auto"/>
              <w:rPr>
                <w:rFonts w:ascii="Arial Narrow" w:hAnsi="Arial Narrow"/>
                <w:sz w:val="20"/>
                <w:szCs w:val="20"/>
              </w:rPr>
            </w:pPr>
            <w:r>
              <w:rPr>
                <w:rFonts w:ascii="Arial Narrow" w:hAnsi="Arial Narrow"/>
                <w:sz w:val="20"/>
                <w:szCs w:val="20"/>
              </w:rPr>
              <w:t>102</w:t>
            </w:r>
          </w:p>
          <w:p w14:paraId="1AA1E0CC" w14:textId="77777777" w:rsidR="00546425" w:rsidRDefault="00546425" w:rsidP="00375C5E">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72" w:type="pct"/>
            <w:tcBorders>
              <w:left w:val="single" w:sz="4" w:space="0" w:color="E7E6E6" w:themeColor="background2"/>
            </w:tcBorders>
            <w:shd w:val="clear" w:color="auto" w:fill="auto"/>
          </w:tcPr>
          <w:p w14:paraId="4F39B6D1" w14:textId="77777777" w:rsidR="00D6599A" w:rsidRDefault="00D6599A" w:rsidP="00375C5E">
            <w:pPr>
              <w:tabs>
                <w:tab w:val="left" w:pos="744"/>
              </w:tabs>
              <w:spacing w:before="40" w:after="40" w:line="240" w:lineRule="auto"/>
              <w:rPr>
                <w:rFonts w:ascii="Arial Narrow" w:hAnsi="Arial Narrow"/>
                <w:sz w:val="20"/>
                <w:szCs w:val="20"/>
              </w:rPr>
            </w:pPr>
          </w:p>
          <w:p w14:paraId="74275F6B" w14:textId="77777777" w:rsidR="00D6599A" w:rsidRDefault="00D6599A" w:rsidP="00375C5E">
            <w:pPr>
              <w:tabs>
                <w:tab w:val="left" w:pos="744"/>
              </w:tabs>
              <w:spacing w:before="40" w:after="40" w:line="240" w:lineRule="auto"/>
              <w:rPr>
                <w:rFonts w:ascii="Arial Narrow" w:hAnsi="Arial Narrow"/>
                <w:sz w:val="20"/>
                <w:szCs w:val="20"/>
              </w:rPr>
            </w:pPr>
            <w:r>
              <w:rPr>
                <w:rFonts w:ascii="Arial Narrow" w:hAnsi="Arial Narrow"/>
                <w:sz w:val="20"/>
                <w:szCs w:val="20"/>
              </w:rPr>
              <w:t>11.3</w:t>
            </w:r>
            <w:r>
              <w:rPr>
                <w:rFonts w:ascii="Arial Narrow" w:hAnsi="Arial Narrow"/>
                <w:sz w:val="20"/>
                <w:szCs w:val="20"/>
              </w:rPr>
              <w:br/>
            </w:r>
            <w:r w:rsidR="00546425">
              <w:rPr>
                <w:rFonts w:ascii="Arial Narrow" w:hAnsi="Arial Narrow"/>
                <w:sz w:val="20"/>
                <w:szCs w:val="20"/>
              </w:rPr>
              <w:t>-</w:t>
            </w:r>
          </w:p>
          <w:p w14:paraId="25847080" w14:textId="77777777" w:rsidR="00D6599A" w:rsidRDefault="00D6599A" w:rsidP="00375C5E">
            <w:pPr>
              <w:tabs>
                <w:tab w:val="left" w:pos="744"/>
              </w:tabs>
              <w:spacing w:before="40" w:after="40" w:line="240" w:lineRule="auto"/>
              <w:rPr>
                <w:rFonts w:ascii="Arial Narrow" w:hAnsi="Arial Narrow"/>
                <w:sz w:val="20"/>
                <w:szCs w:val="20"/>
              </w:rPr>
            </w:pPr>
          </w:p>
          <w:p w14:paraId="64DCB63D" w14:textId="77777777" w:rsidR="00D6599A" w:rsidRDefault="00D6599A" w:rsidP="00375C5E">
            <w:pPr>
              <w:tabs>
                <w:tab w:val="left" w:pos="744"/>
              </w:tabs>
              <w:spacing w:before="40" w:after="40" w:line="240" w:lineRule="auto"/>
              <w:rPr>
                <w:rFonts w:ascii="Arial Narrow" w:hAnsi="Arial Narrow"/>
                <w:sz w:val="20"/>
                <w:szCs w:val="20"/>
              </w:rPr>
            </w:pPr>
            <w:r>
              <w:rPr>
                <w:rFonts w:ascii="Arial Narrow" w:hAnsi="Arial Narrow"/>
                <w:sz w:val="20"/>
                <w:szCs w:val="20"/>
              </w:rPr>
              <w:t>9</w:t>
            </w:r>
            <w:r>
              <w:rPr>
                <w:rFonts w:ascii="Arial Narrow" w:hAnsi="Arial Narrow"/>
                <w:sz w:val="20"/>
                <w:szCs w:val="20"/>
                <w:vertAlign w:val="superscript"/>
              </w:rPr>
              <w:t>b</w:t>
            </w:r>
          </w:p>
          <w:p w14:paraId="024836E7" w14:textId="77777777" w:rsidR="00D6599A" w:rsidRDefault="00D6599A" w:rsidP="002311D2">
            <w:pPr>
              <w:tabs>
                <w:tab w:val="left" w:pos="744"/>
              </w:tabs>
              <w:spacing w:before="40" w:after="40" w:line="240" w:lineRule="auto"/>
              <w:rPr>
                <w:rFonts w:ascii="Arial Narrow" w:hAnsi="Arial Narrow"/>
                <w:sz w:val="20"/>
                <w:szCs w:val="20"/>
              </w:rPr>
            </w:pPr>
            <w:r>
              <w:rPr>
                <w:rFonts w:ascii="Arial Narrow" w:hAnsi="Arial Narrow"/>
                <w:sz w:val="20"/>
                <w:szCs w:val="20"/>
              </w:rPr>
              <w:t>0.2</w:t>
            </w:r>
            <w:r>
              <w:rPr>
                <w:rFonts w:ascii="Arial Narrow" w:hAnsi="Arial Narrow"/>
                <w:sz w:val="20"/>
                <w:szCs w:val="20"/>
              </w:rPr>
              <w:br/>
            </w:r>
          </w:p>
          <w:p w14:paraId="276EEF3F" w14:textId="77777777" w:rsidR="00D6599A" w:rsidRDefault="00546425" w:rsidP="002311D2">
            <w:pPr>
              <w:tabs>
                <w:tab w:val="left" w:pos="744"/>
              </w:tabs>
              <w:spacing w:before="40" w:after="40" w:line="240" w:lineRule="auto"/>
              <w:rPr>
                <w:rFonts w:ascii="Arial Narrow" w:hAnsi="Arial Narrow"/>
                <w:sz w:val="20"/>
                <w:szCs w:val="20"/>
              </w:rPr>
            </w:pPr>
            <w:r>
              <w:rPr>
                <w:rFonts w:ascii="Arial Narrow" w:hAnsi="Arial Narrow"/>
                <w:sz w:val="20"/>
                <w:szCs w:val="20"/>
              </w:rPr>
              <w:t>-</w:t>
            </w:r>
          </w:p>
          <w:p w14:paraId="65DD079F" w14:textId="77777777" w:rsidR="00D6599A" w:rsidRDefault="00D6599A" w:rsidP="002311D2">
            <w:pPr>
              <w:tabs>
                <w:tab w:val="left" w:pos="744"/>
              </w:tabs>
              <w:spacing w:before="40" w:after="40" w:line="240" w:lineRule="auto"/>
              <w:rPr>
                <w:rFonts w:ascii="Arial Narrow" w:hAnsi="Arial Narrow"/>
                <w:sz w:val="20"/>
                <w:szCs w:val="20"/>
              </w:rPr>
            </w:pPr>
            <w:r>
              <w:rPr>
                <w:rFonts w:ascii="Arial Narrow" w:hAnsi="Arial Narrow"/>
                <w:sz w:val="20"/>
                <w:szCs w:val="20"/>
              </w:rPr>
              <w:t>0.2</w:t>
            </w:r>
          </w:p>
          <w:p w14:paraId="6B7A5765" w14:textId="77777777" w:rsidR="00D6599A" w:rsidRDefault="00546425" w:rsidP="002311D2">
            <w:pPr>
              <w:tabs>
                <w:tab w:val="left" w:pos="744"/>
              </w:tabs>
              <w:spacing w:before="40" w:after="40" w:line="240" w:lineRule="auto"/>
              <w:rPr>
                <w:rFonts w:ascii="Arial Narrow" w:hAnsi="Arial Narrow"/>
                <w:sz w:val="20"/>
                <w:szCs w:val="20"/>
              </w:rPr>
            </w:pPr>
            <w:r>
              <w:rPr>
                <w:rFonts w:ascii="Arial Narrow" w:hAnsi="Arial Narrow"/>
                <w:sz w:val="20"/>
                <w:szCs w:val="20"/>
              </w:rPr>
              <w:t>-</w:t>
            </w:r>
          </w:p>
          <w:p w14:paraId="4F77A877" w14:textId="77777777" w:rsidR="00D6599A" w:rsidRDefault="00D6599A" w:rsidP="002311D2">
            <w:pPr>
              <w:tabs>
                <w:tab w:val="left" w:pos="744"/>
              </w:tabs>
              <w:spacing w:before="40" w:after="40" w:line="240" w:lineRule="auto"/>
              <w:rPr>
                <w:rFonts w:ascii="Arial Narrow" w:hAnsi="Arial Narrow"/>
                <w:sz w:val="20"/>
                <w:szCs w:val="20"/>
              </w:rPr>
            </w:pPr>
            <w:r>
              <w:rPr>
                <w:rFonts w:ascii="Arial Narrow" w:hAnsi="Arial Narrow"/>
                <w:sz w:val="20"/>
                <w:szCs w:val="20"/>
              </w:rPr>
              <w:t>10.9</w:t>
            </w:r>
          </w:p>
          <w:p w14:paraId="3C86B0ED" w14:textId="77777777" w:rsidR="00546425" w:rsidRPr="00584B4C" w:rsidRDefault="00546425" w:rsidP="002311D2">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71" w:type="pct"/>
            <w:tcBorders>
              <w:right w:val="single" w:sz="4" w:space="0" w:color="E7E6E6" w:themeColor="background2"/>
            </w:tcBorders>
            <w:shd w:val="clear" w:color="auto" w:fill="auto"/>
          </w:tcPr>
          <w:p w14:paraId="163E49D2" w14:textId="77777777" w:rsidR="00D6599A" w:rsidRDefault="00D6599A" w:rsidP="00375C5E">
            <w:pPr>
              <w:tabs>
                <w:tab w:val="left" w:pos="885"/>
              </w:tabs>
              <w:spacing w:before="40" w:after="40" w:line="240" w:lineRule="auto"/>
              <w:rPr>
                <w:rFonts w:ascii="Arial Narrow" w:hAnsi="Arial Narrow"/>
                <w:sz w:val="20"/>
                <w:szCs w:val="20"/>
              </w:rPr>
            </w:pPr>
          </w:p>
          <w:p w14:paraId="6EA2A8F8" w14:textId="77777777" w:rsidR="00D6599A" w:rsidRDefault="00D6599A" w:rsidP="00375C5E">
            <w:pPr>
              <w:tabs>
                <w:tab w:val="left" w:pos="885"/>
              </w:tabs>
              <w:spacing w:before="40" w:after="40" w:line="240" w:lineRule="auto"/>
              <w:rPr>
                <w:rFonts w:ascii="Arial Narrow" w:hAnsi="Arial Narrow"/>
                <w:sz w:val="20"/>
                <w:szCs w:val="20"/>
              </w:rPr>
            </w:pPr>
            <w:r>
              <w:rPr>
                <w:rFonts w:ascii="Arial Narrow" w:hAnsi="Arial Narrow"/>
                <w:sz w:val="20"/>
                <w:szCs w:val="20"/>
              </w:rPr>
              <w:t>29</w:t>
            </w:r>
            <w:r>
              <w:rPr>
                <w:rFonts w:ascii="Arial Narrow" w:hAnsi="Arial Narrow"/>
                <w:sz w:val="20"/>
                <w:szCs w:val="20"/>
              </w:rPr>
              <w:br/>
            </w:r>
            <w:r w:rsidR="00546425">
              <w:rPr>
                <w:rFonts w:ascii="Arial Narrow" w:hAnsi="Arial Narrow"/>
                <w:sz w:val="20"/>
                <w:szCs w:val="20"/>
              </w:rPr>
              <w:t>-</w:t>
            </w:r>
          </w:p>
          <w:p w14:paraId="71392E52" w14:textId="77777777" w:rsidR="00D6599A" w:rsidRDefault="00D6599A" w:rsidP="00375C5E">
            <w:pPr>
              <w:tabs>
                <w:tab w:val="left" w:pos="885"/>
              </w:tabs>
              <w:spacing w:before="40" w:after="40" w:line="240" w:lineRule="auto"/>
              <w:rPr>
                <w:rFonts w:ascii="Arial Narrow" w:hAnsi="Arial Narrow"/>
                <w:sz w:val="20"/>
                <w:szCs w:val="20"/>
              </w:rPr>
            </w:pPr>
          </w:p>
          <w:p w14:paraId="39B30649" w14:textId="77777777" w:rsidR="00D6599A"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2404FA29" w14:textId="77777777" w:rsidR="00D6599A" w:rsidRDefault="00D6599A" w:rsidP="00375C5E">
            <w:pPr>
              <w:tabs>
                <w:tab w:val="left" w:pos="885"/>
              </w:tabs>
              <w:spacing w:before="40" w:after="40" w:line="240" w:lineRule="auto"/>
              <w:rPr>
                <w:rFonts w:ascii="Arial Narrow" w:hAnsi="Arial Narrow"/>
                <w:sz w:val="20"/>
                <w:szCs w:val="20"/>
              </w:rPr>
            </w:pPr>
            <w:r>
              <w:rPr>
                <w:rFonts w:ascii="Arial Narrow" w:hAnsi="Arial Narrow"/>
                <w:sz w:val="20"/>
                <w:szCs w:val="20"/>
              </w:rPr>
              <w:t>131</w:t>
            </w:r>
            <w:r>
              <w:rPr>
                <w:rFonts w:ascii="Arial Narrow" w:hAnsi="Arial Narrow"/>
                <w:sz w:val="20"/>
                <w:szCs w:val="20"/>
              </w:rPr>
              <w:br/>
            </w:r>
          </w:p>
          <w:p w14:paraId="6DFDAFFD" w14:textId="77777777" w:rsidR="00D6599A"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3855667C" w14:textId="77777777" w:rsidR="00D6599A"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3F497A57" w14:textId="77777777" w:rsidR="00D6599A"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00E7268A"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3EBE21D2" w14:textId="77777777" w:rsidR="00D6599A" w:rsidRDefault="00D6599A" w:rsidP="00375C5E">
            <w:pPr>
              <w:tabs>
                <w:tab w:val="left" w:pos="885"/>
              </w:tabs>
              <w:spacing w:before="40" w:after="40" w:line="240" w:lineRule="auto"/>
              <w:rPr>
                <w:rFonts w:ascii="Arial Narrow" w:hAnsi="Arial Narrow"/>
                <w:sz w:val="20"/>
                <w:szCs w:val="20"/>
              </w:rPr>
            </w:pPr>
            <w:r>
              <w:rPr>
                <w:rFonts w:ascii="Arial Narrow" w:hAnsi="Arial Narrow"/>
                <w:sz w:val="20"/>
                <w:szCs w:val="20"/>
              </w:rPr>
              <w:t>15</w:t>
            </w:r>
          </w:p>
        </w:tc>
        <w:tc>
          <w:tcPr>
            <w:tcW w:w="521" w:type="pct"/>
            <w:tcBorders>
              <w:left w:val="single" w:sz="4" w:space="0" w:color="E7E6E6" w:themeColor="background2"/>
            </w:tcBorders>
            <w:shd w:val="clear" w:color="auto" w:fill="auto"/>
          </w:tcPr>
          <w:p w14:paraId="1F245D25" w14:textId="77777777" w:rsidR="00D6599A" w:rsidRDefault="00D6599A" w:rsidP="00375C5E">
            <w:pPr>
              <w:tabs>
                <w:tab w:val="left" w:pos="885"/>
              </w:tabs>
              <w:spacing w:before="40" w:after="40" w:line="240" w:lineRule="auto"/>
              <w:rPr>
                <w:rFonts w:ascii="Arial Narrow" w:hAnsi="Arial Narrow"/>
                <w:sz w:val="20"/>
                <w:szCs w:val="20"/>
              </w:rPr>
            </w:pPr>
          </w:p>
          <w:p w14:paraId="511609F1" w14:textId="77777777" w:rsidR="00D6599A" w:rsidRDefault="00D6599A" w:rsidP="00375C5E">
            <w:pPr>
              <w:tabs>
                <w:tab w:val="left" w:pos="885"/>
              </w:tabs>
              <w:spacing w:before="40" w:after="40" w:line="240" w:lineRule="auto"/>
              <w:rPr>
                <w:rFonts w:ascii="Arial Narrow" w:hAnsi="Arial Narrow"/>
                <w:sz w:val="20"/>
                <w:szCs w:val="20"/>
              </w:rPr>
            </w:pPr>
            <w:r>
              <w:rPr>
                <w:rFonts w:ascii="Arial Narrow" w:hAnsi="Arial Narrow"/>
                <w:sz w:val="20"/>
                <w:szCs w:val="20"/>
              </w:rPr>
              <w:t>0.6</w:t>
            </w:r>
            <w:r>
              <w:rPr>
                <w:rFonts w:ascii="Arial Narrow" w:hAnsi="Arial Narrow"/>
                <w:sz w:val="20"/>
                <w:szCs w:val="20"/>
              </w:rPr>
              <w:br/>
            </w:r>
            <w:r w:rsidR="00546425">
              <w:rPr>
                <w:rFonts w:ascii="Arial Narrow" w:hAnsi="Arial Narrow"/>
                <w:sz w:val="20"/>
                <w:szCs w:val="20"/>
              </w:rPr>
              <w:t>-</w:t>
            </w:r>
          </w:p>
          <w:p w14:paraId="5588308D" w14:textId="77777777" w:rsidR="00D6599A" w:rsidRDefault="00D6599A" w:rsidP="00375C5E">
            <w:pPr>
              <w:tabs>
                <w:tab w:val="left" w:pos="885"/>
              </w:tabs>
              <w:spacing w:before="40" w:after="40" w:line="240" w:lineRule="auto"/>
              <w:rPr>
                <w:rFonts w:ascii="Arial Narrow" w:hAnsi="Arial Narrow"/>
                <w:sz w:val="20"/>
                <w:szCs w:val="20"/>
              </w:rPr>
            </w:pPr>
          </w:p>
          <w:p w14:paraId="64BB6E6E" w14:textId="77777777" w:rsidR="00D6599A" w:rsidRDefault="00546425" w:rsidP="00501DD5">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058870AB" w14:textId="77777777" w:rsidR="00D6599A" w:rsidRDefault="00D6599A" w:rsidP="00501DD5">
            <w:pPr>
              <w:tabs>
                <w:tab w:val="left" w:pos="885"/>
              </w:tabs>
              <w:spacing w:before="40" w:after="40" w:line="240" w:lineRule="auto"/>
              <w:rPr>
                <w:rFonts w:ascii="Arial Narrow" w:hAnsi="Arial Narrow"/>
                <w:sz w:val="20"/>
                <w:szCs w:val="20"/>
              </w:rPr>
            </w:pPr>
            <w:r>
              <w:rPr>
                <w:rFonts w:ascii="Arial Narrow" w:hAnsi="Arial Narrow"/>
                <w:sz w:val="20"/>
                <w:szCs w:val="20"/>
              </w:rPr>
              <w:t>2.7</w:t>
            </w:r>
            <w:r>
              <w:rPr>
                <w:rFonts w:ascii="Arial Narrow" w:hAnsi="Arial Narrow"/>
                <w:sz w:val="20"/>
                <w:szCs w:val="20"/>
              </w:rPr>
              <w:br/>
            </w:r>
          </w:p>
          <w:p w14:paraId="5E570984" w14:textId="77777777" w:rsidR="00D6599A" w:rsidRDefault="00546425" w:rsidP="00501DD5">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4C14EC09" w14:textId="77777777" w:rsidR="00D6599A" w:rsidRDefault="00546425" w:rsidP="00501DD5">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59B0025D" w14:textId="77777777" w:rsidR="00D6599A" w:rsidRDefault="00546425" w:rsidP="00501DD5">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5057959B" w14:textId="77777777" w:rsidR="00546425" w:rsidRDefault="00546425" w:rsidP="00501DD5">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4B1343C2" w14:textId="77777777" w:rsidR="00D6599A" w:rsidRPr="00584B4C" w:rsidRDefault="00D6599A" w:rsidP="00501DD5">
            <w:pPr>
              <w:tabs>
                <w:tab w:val="left" w:pos="885"/>
              </w:tabs>
              <w:spacing w:before="40" w:after="40" w:line="240" w:lineRule="auto"/>
              <w:rPr>
                <w:rFonts w:ascii="Arial Narrow" w:hAnsi="Arial Narrow"/>
                <w:sz w:val="20"/>
                <w:szCs w:val="20"/>
              </w:rPr>
            </w:pPr>
            <w:r>
              <w:rPr>
                <w:rFonts w:ascii="Arial Narrow" w:hAnsi="Arial Narrow"/>
                <w:sz w:val="20"/>
                <w:szCs w:val="20"/>
              </w:rPr>
              <w:t>0.3</w:t>
            </w:r>
          </w:p>
        </w:tc>
      </w:tr>
      <w:tr w:rsidR="00656E2E" w:rsidRPr="00772105" w14:paraId="02D700E6" w14:textId="77777777" w:rsidTr="00656E2E">
        <w:tc>
          <w:tcPr>
            <w:tcW w:w="1096" w:type="pct"/>
            <w:shd w:val="clear" w:color="auto" w:fill="auto"/>
          </w:tcPr>
          <w:p w14:paraId="5B22FE63" w14:textId="77777777" w:rsidR="0099723F" w:rsidRPr="00D54C3C" w:rsidRDefault="0099723F" w:rsidP="00772105">
            <w:pPr>
              <w:spacing w:before="40" w:after="40" w:line="240" w:lineRule="auto"/>
              <w:rPr>
                <w:rFonts w:ascii="Arial Narrow" w:hAnsi="Arial Narrow"/>
                <w:sz w:val="20"/>
                <w:szCs w:val="20"/>
                <w:u w:val="single"/>
              </w:rPr>
            </w:pPr>
            <w:r w:rsidRPr="00D54C3C">
              <w:rPr>
                <w:rFonts w:ascii="Arial Narrow" w:hAnsi="Arial Narrow"/>
                <w:sz w:val="20"/>
                <w:szCs w:val="20"/>
                <w:u w:val="single"/>
              </w:rPr>
              <w:t>Gastrointestinal</w:t>
            </w:r>
          </w:p>
          <w:p w14:paraId="68860CE1" w14:textId="77777777" w:rsidR="0099723F" w:rsidRDefault="0067497C" w:rsidP="00772105">
            <w:pPr>
              <w:spacing w:before="40" w:after="40" w:line="240" w:lineRule="auto"/>
              <w:rPr>
                <w:rFonts w:ascii="Arial Narrow" w:hAnsi="Arial Narrow"/>
                <w:sz w:val="20"/>
                <w:szCs w:val="20"/>
              </w:rPr>
            </w:pPr>
            <w:r>
              <w:rPr>
                <w:rFonts w:ascii="Arial Narrow" w:hAnsi="Arial Narrow"/>
                <w:sz w:val="20"/>
                <w:szCs w:val="20"/>
              </w:rPr>
              <w:t>Nause</w:t>
            </w:r>
            <w:r w:rsidR="0099723F">
              <w:rPr>
                <w:rFonts w:ascii="Arial Narrow" w:hAnsi="Arial Narrow"/>
                <w:sz w:val="20"/>
                <w:szCs w:val="20"/>
              </w:rPr>
              <w:t>a and vomiting</w:t>
            </w:r>
          </w:p>
        </w:tc>
        <w:tc>
          <w:tcPr>
            <w:tcW w:w="467" w:type="pct"/>
            <w:tcBorders>
              <w:right w:val="single" w:sz="4" w:space="0" w:color="E7E6E6" w:themeColor="background2"/>
            </w:tcBorders>
          </w:tcPr>
          <w:p w14:paraId="79A909AC" w14:textId="77777777" w:rsidR="0099723F" w:rsidRDefault="0099723F" w:rsidP="00375C5E">
            <w:pPr>
              <w:tabs>
                <w:tab w:val="left" w:pos="735"/>
              </w:tabs>
              <w:spacing w:before="40" w:after="40" w:line="240" w:lineRule="auto"/>
              <w:rPr>
                <w:rFonts w:ascii="Arial Narrow" w:hAnsi="Arial Narrow"/>
                <w:sz w:val="20"/>
                <w:szCs w:val="20"/>
              </w:rPr>
            </w:pPr>
          </w:p>
          <w:p w14:paraId="64E507F0" w14:textId="77777777" w:rsidR="0099723F" w:rsidRPr="00584B4C" w:rsidRDefault="0099723F" w:rsidP="00375C5E">
            <w:pPr>
              <w:tabs>
                <w:tab w:val="left" w:pos="735"/>
              </w:tabs>
              <w:spacing w:before="40" w:after="40" w:line="240" w:lineRule="auto"/>
              <w:rPr>
                <w:rFonts w:ascii="Arial Narrow" w:hAnsi="Arial Narrow"/>
                <w:sz w:val="20"/>
                <w:szCs w:val="20"/>
              </w:rPr>
            </w:pPr>
            <w:r>
              <w:rPr>
                <w:rFonts w:ascii="Arial Narrow" w:hAnsi="Arial Narrow"/>
                <w:sz w:val="20"/>
                <w:szCs w:val="20"/>
              </w:rPr>
              <w:t>4</w:t>
            </w:r>
          </w:p>
        </w:tc>
        <w:tc>
          <w:tcPr>
            <w:tcW w:w="469" w:type="pct"/>
            <w:tcBorders>
              <w:left w:val="single" w:sz="4" w:space="0" w:color="E7E6E6" w:themeColor="background2"/>
            </w:tcBorders>
          </w:tcPr>
          <w:p w14:paraId="416E7727" w14:textId="77777777" w:rsidR="0099723F" w:rsidRDefault="0099723F" w:rsidP="00375C5E">
            <w:pPr>
              <w:tabs>
                <w:tab w:val="left" w:pos="735"/>
              </w:tabs>
              <w:spacing w:before="40" w:after="40" w:line="240" w:lineRule="auto"/>
              <w:rPr>
                <w:rFonts w:ascii="Arial Narrow" w:hAnsi="Arial Narrow"/>
                <w:sz w:val="20"/>
                <w:szCs w:val="20"/>
              </w:rPr>
            </w:pPr>
          </w:p>
          <w:p w14:paraId="45DDDB66" w14:textId="77777777" w:rsidR="0099723F" w:rsidRPr="00584B4C" w:rsidRDefault="0099723F" w:rsidP="00375C5E">
            <w:pPr>
              <w:tabs>
                <w:tab w:val="left" w:pos="735"/>
              </w:tabs>
              <w:spacing w:before="40" w:after="40" w:line="240" w:lineRule="auto"/>
              <w:rPr>
                <w:rFonts w:ascii="Arial Narrow" w:hAnsi="Arial Narrow"/>
                <w:sz w:val="20"/>
                <w:szCs w:val="20"/>
              </w:rPr>
            </w:pPr>
            <w:r>
              <w:rPr>
                <w:rFonts w:ascii="Arial Narrow" w:hAnsi="Arial Narrow"/>
                <w:sz w:val="20"/>
                <w:szCs w:val="20"/>
              </w:rPr>
              <w:t>0.016</w:t>
            </w:r>
          </w:p>
        </w:tc>
        <w:tc>
          <w:tcPr>
            <w:tcW w:w="481" w:type="pct"/>
            <w:tcBorders>
              <w:right w:val="single" w:sz="4" w:space="0" w:color="E7E6E6" w:themeColor="background2"/>
            </w:tcBorders>
            <w:shd w:val="clear" w:color="auto" w:fill="auto"/>
          </w:tcPr>
          <w:p w14:paraId="6B36B5CA" w14:textId="77777777" w:rsidR="0099723F" w:rsidRDefault="0099723F" w:rsidP="00375C5E">
            <w:pPr>
              <w:tabs>
                <w:tab w:val="left" w:pos="888"/>
              </w:tabs>
              <w:spacing w:before="40" w:after="40" w:line="240" w:lineRule="auto"/>
              <w:rPr>
                <w:rFonts w:ascii="Arial Narrow" w:hAnsi="Arial Narrow"/>
                <w:sz w:val="20"/>
                <w:szCs w:val="20"/>
              </w:rPr>
            </w:pPr>
          </w:p>
          <w:p w14:paraId="2CE8E924" w14:textId="77777777" w:rsidR="0099723F" w:rsidRDefault="0099723F" w:rsidP="00375C5E">
            <w:pPr>
              <w:tabs>
                <w:tab w:val="left" w:pos="888"/>
              </w:tabs>
              <w:spacing w:before="40" w:after="40" w:line="240" w:lineRule="auto"/>
              <w:rPr>
                <w:rFonts w:ascii="Arial Narrow" w:hAnsi="Arial Narrow"/>
                <w:sz w:val="20"/>
                <w:szCs w:val="20"/>
              </w:rPr>
            </w:pPr>
            <w:r>
              <w:rPr>
                <w:rFonts w:ascii="Arial Narrow" w:hAnsi="Arial Narrow"/>
                <w:sz w:val="20"/>
                <w:szCs w:val="20"/>
              </w:rPr>
              <w:t>21</w:t>
            </w:r>
          </w:p>
        </w:tc>
        <w:tc>
          <w:tcPr>
            <w:tcW w:w="552" w:type="pct"/>
            <w:tcBorders>
              <w:left w:val="single" w:sz="4" w:space="0" w:color="E7E6E6" w:themeColor="background2"/>
            </w:tcBorders>
            <w:shd w:val="clear" w:color="auto" w:fill="auto"/>
          </w:tcPr>
          <w:p w14:paraId="7E44CD23" w14:textId="77777777" w:rsidR="0099723F" w:rsidRDefault="0099723F" w:rsidP="00375C5E">
            <w:pPr>
              <w:tabs>
                <w:tab w:val="left" w:pos="888"/>
              </w:tabs>
              <w:spacing w:before="40" w:after="40" w:line="240" w:lineRule="auto"/>
              <w:rPr>
                <w:rFonts w:ascii="Arial Narrow" w:hAnsi="Arial Narrow"/>
                <w:sz w:val="20"/>
                <w:szCs w:val="20"/>
              </w:rPr>
            </w:pPr>
          </w:p>
          <w:p w14:paraId="307EA75C" w14:textId="77777777" w:rsidR="0099723F" w:rsidRPr="00584B4C"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0.21</w:t>
            </w:r>
          </w:p>
        </w:tc>
        <w:tc>
          <w:tcPr>
            <w:tcW w:w="472" w:type="pct"/>
            <w:tcBorders>
              <w:right w:val="single" w:sz="4" w:space="0" w:color="E7E6E6" w:themeColor="background2"/>
            </w:tcBorders>
            <w:shd w:val="clear" w:color="auto" w:fill="auto"/>
          </w:tcPr>
          <w:p w14:paraId="05E740C7" w14:textId="77777777" w:rsidR="0099723F" w:rsidRDefault="0099723F" w:rsidP="00375C5E">
            <w:pPr>
              <w:tabs>
                <w:tab w:val="left" w:pos="744"/>
              </w:tabs>
              <w:spacing w:before="40" w:after="40" w:line="240" w:lineRule="auto"/>
              <w:rPr>
                <w:rFonts w:ascii="Arial Narrow" w:hAnsi="Arial Narrow"/>
                <w:sz w:val="20"/>
                <w:szCs w:val="20"/>
              </w:rPr>
            </w:pPr>
          </w:p>
          <w:p w14:paraId="13ACC94B" w14:textId="77777777" w:rsidR="00546425" w:rsidRPr="00584B4C" w:rsidRDefault="00546425" w:rsidP="00375C5E">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72" w:type="pct"/>
            <w:tcBorders>
              <w:left w:val="single" w:sz="4" w:space="0" w:color="E7E6E6" w:themeColor="background2"/>
            </w:tcBorders>
            <w:shd w:val="clear" w:color="auto" w:fill="auto"/>
          </w:tcPr>
          <w:p w14:paraId="66B30228" w14:textId="77777777" w:rsidR="0099723F" w:rsidRDefault="0099723F" w:rsidP="00375C5E">
            <w:pPr>
              <w:tabs>
                <w:tab w:val="left" w:pos="744"/>
              </w:tabs>
              <w:spacing w:before="40" w:after="40" w:line="240" w:lineRule="auto"/>
              <w:rPr>
                <w:rFonts w:ascii="Arial Narrow" w:hAnsi="Arial Narrow"/>
                <w:sz w:val="20"/>
                <w:szCs w:val="20"/>
              </w:rPr>
            </w:pPr>
          </w:p>
          <w:p w14:paraId="7C66B668" w14:textId="77777777" w:rsidR="00546425" w:rsidRPr="00584B4C" w:rsidRDefault="00546425" w:rsidP="00375C5E">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71" w:type="pct"/>
            <w:tcBorders>
              <w:right w:val="single" w:sz="4" w:space="0" w:color="E7E6E6" w:themeColor="background2"/>
            </w:tcBorders>
            <w:shd w:val="clear" w:color="auto" w:fill="auto"/>
          </w:tcPr>
          <w:p w14:paraId="0B70B9FB" w14:textId="77777777" w:rsidR="0099723F" w:rsidRDefault="0099723F" w:rsidP="00375C5E">
            <w:pPr>
              <w:tabs>
                <w:tab w:val="left" w:pos="885"/>
              </w:tabs>
              <w:spacing w:before="40" w:after="40" w:line="240" w:lineRule="auto"/>
              <w:rPr>
                <w:rFonts w:ascii="Arial Narrow" w:hAnsi="Arial Narrow"/>
                <w:sz w:val="20"/>
                <w:szCs w:val="20"/>
              </w:rPr>
            </w:pPr>
          </w:p>
          <w:p w14:paraId="7E9B91F2" w14:textId="77777777" w:rsidR="0099723F" w:rsidRDefault="0099723F" w:rsidP="00375C5E">
            <w:pPr>
              <w:tabs>
                <w:tab w:val="left" w:pos="885"/>
              </w:tabs>
              <w:spacing w:before="40" w:after="40" w:line="240" w:lineRule="auto"/>
              <w:rPr>
                <w:rFonts w:ascii="Arial Narrow" w:hAnsi="Arial Narrow"/>
                <w:sz w:val="20"/>
                <w:szCs w:val="20"/>
              </w:rPr>
            </w:pPr>
            <w:r>
              <w:rPr>
                <w:rFonts w:ascii="Arial Narrow" w:hAnsi="Arial Narrow"/>
                <w:sz w:val="20"/>
                <w:szCs w:val="20"/>
              </w:rPr>
              <w:t>7</w:t>
            </w:r>
          </w:p>
        </w:tc>
        <w:tc>
          <w:tcPr>
            <w:tcW w:w="521" w:type="pct"/>
            <w:tcBorders>
              <w:left w:val="single" w:sz="4" w:space="0" w:color="E7E6E6" w:themeColor="background2"/>
            </w:tcBorders>
            <w:shd w:val="clear" w:color="auto" w:fill="auto"/>
          </w:tcPr>
          <w:p w14:paraId="313AE0DC" w14:textId="77777777" w:rsidR="0099723F" w:rsidRDefault="0099723F" w:rsidP="00375C5E">
            <w:pPr>
              <w:tabs>
                <w:tab w:val="left" w:pos="885"/>
              </w:tabs>
              <w:spacing w:before="40" w:after="40" w:line="240" w:lineRule="auto"/>
              <w:rPr>
                <w:rFonts w:ascii="Arial Narrow" w:hAnsi="Arial Narrow"/>
                <w:sz w:val="20"/>
                <w:szCs w:val="20"/>
              </w:rPr>
            </w:pPr>
          </w:p>
          <w:p w14:paraId="3AD119C9" w14:textId="77777777" w:rsidR="0099723F" w:rsidRPr="00584B4C" w:rsidRDefault="0099723F" w:rsidP="00375C5E">
            <w:pPr>
              <w:tabs>
                <w:tab w:val="left" w:pos="885"/>
              </w:tabs>
              <w:spacing w:before="40" w:after="40" w:line="240" w:lineRule="auto"/>
              <w:rPr>
                <w:rFonts w:ascii="Arial Narrow" w:hAnsi="Arial Narrow"/>
                <w:sz w:val="20"/>
                <w:szCs w:val="20"/>
              </w:rPr>
            </w:pPr>
            <w:r>
              <w:rPr>
                <w:rFonts w:ascii="Arial Narrow" w:hAnsi="Arial Narrow"/>
                <w:sz w:val="20"/>
                <w:szCs w:val="20"/>
              </w:rPr>
              <w:t>0.16</w:t>
            </w:r>
          </w:p>
        </w:tc>
      </w:tr>
      <w:tr w:rsidR="00656E2E" w:rsidRPr="00772105" w14:paraId="63EF4750" w14:textId="77777777" w:rsidTr="00656E2E">
        <w:tc>
          <w:tcPr>
            <w:tcW w:w="1096" w:type="pct"/>
            <w:shd w:val="clear" w:color="auto" w:fill="auto"/>
          </w:tcPr>
          <w:p w14:paraId="0D4A38F8" w14:textId="77777777" w:rsidR="00EB2A3B" w:rsidRPr="00D54C3C" w:rsidRDefault="00EB2A3B" w:rsidP="00772105">
            <w:pPr>
              <w:spacing w:before="40" w:after="40" w:line="240" w:lineRule="auto"/>
              <w:rPr>
                <w:rFonts w:ascii="Arial Narrow" w:hAnsi="Arial Narrow"/>
                <w:sz w:val="20"/>
                <w:szCs w:val="20"/>
                <w:u w:val="single"/>
              </w:rPr>
            </w:pPr>
            <w:r w:rsidRPr="00D54C3C">
              <w:rPr>
                <w:rFonts w:ascii="Arial Narrow" w:hAnsi="Arial Narrow"/>
                <w:sz w:val="20"/>
                <w:szCs w:val="20"/>
                <w:u w:val="single"/>
              </w:rPr>
              <w:t>Haematological</w:t>
            </w:r>
          </w:p>
          <w:p w14:paraId="73784B86" w14:textId="77777777" w:rsidR="00EB2A3B" w:rsidRDefault="00EB2A3B" w:rsidP="00B21990">
            <w:pPr>
              <w:spacing w:before="40" w:after="40" w:line="240" w:lineRule="auto"/>
              <w:rPr>
                <w:rFonts w:ascii="Arial Narrow" w:hAnsi="Arial Narrow"/>
                <w:sz w:val="20"/>
                <w:szCs w:val="20"/>
              </w:rPr>
            </w:pPr>
            <w:r>
              <w:rPr>
                <w:rFonts w:ascii="Arial Narrow" w:hAnsi="Arial Narrow"/>
                <w:sz w:val="20"/>
                <w:szCs w:val="20"/>
              </w:rPr>
              <w:t>Haematoma, bleeding</w:t>
            </w:r>
          </w:p>
          <w:p w14:paraId="68F644CF" w14:textId="77777777" w:rsidR="00EB2A3B" w:rsidRDefault="00EB2A3B" w:rsidP="00EB2A3B">
            <w:pPr>
              <w:spacing w:before="40" w:after="40" w:line="240" w:lineRule="auto"/>
              <w:rPr>
                <w:rFonts w:ascii="Arial Narrow" w:hAnsi="Arial Narrow"/>
                <w:sz w:val="20"/>
                <w:szCs w:val="20"/>
              </w:rPr>
            </w:pPr>
            <w:r>
              <w:rPr>
                <w:rFonts w:ascii="Arial Narrow" w:hAnsi="Arial Narrow"/>
                <w:sz w:val="20"/>
                <w:szCs w:val="20"/>
              </w:rPr>
              <w:t xml:space="preserve">Coagulation alteration, thrombosis </w:t>
            </w:r>
          </w:p>
        </w:tc>
        <w:tc>
          <w:tcPr>
            <w:tcW w:w="467" w:type="pct"/>
            <w:tcBorders>
              <w:right w:val="single" w:sz="4" w:space="0" w:color="E7E6E6" w:themeColor="background2"/>
            </w:tcBorders>
          </w:tcPr>
          <w:p w14:paraId="4ABAB4E8" w14:textId="77777777" w:rsidR="00EB2A3B" w:rsidRPr="00584B4C" w:rsidRDefault="00EB2A3B" w:rsidP="00375C5E">
            <w:pPr>
              <w:tabs>
                <w:tab w:val="left" w:pos="735"/>
              </w:tabs>
              <w:spacing w:before="40" w:after="40" w:line="240" w:lineRule="auto"/>
              <w:rPr>
                <w:rFonts w:ascii="Arial Narrow" w:hAnsi="Arial Narrow"/>
                <w:sz w:val="20"/>
                <w:szCs w:val="20"/>
              </w:rPr>
            </w:pPr>
          </w:p>
          <w:p w14:paraId="77BAFDD9" w14:textId="77777777" w:rsidR="00EB2A3B" w:rsidRDefault="00EB2A3B" w:rsidP="00375C5E">
            <w:pPr>
              <w:tabs>
                <w:tab w:val="left" w:pos="735"/>
              </w:tabs>
              <w:spacing w:before="40" w:after="40" w:line="240" w:lineRule="auto"/>
              <w:rPr>
                <w:rFonts w:ascii="Arial Narrow" w:hAnsi="Arial Narrow"/>
                <w:sz w:val="20"/>
                <w:szCs w:val="20"/>
              </w:rPr>
            </w:pPr>
            <w:r w:rsidRPr="00584B4C">
              <w:rPr>
                <w:rFonts w:ascii="Arial Narrow" w:hAnsi="Arial Narrow"/>
                <w:sz w:val="20"/>
                <w:szCs w:val="20"/>
              </w:rPr>
              <w:t>1</w:t>
            </w:r>
          </w:p>
          <w:p w14:paraId="5BA9584E" w14:textId="77777777" w:rsidR="00EB2A3B" w:rsidRPr="00584B4C" w:rsidRDefault="00EB2A3B" w:rsidP="00375C5E">
            <w:pPr>
              <w:tabs>
                <w:tab w:val="left" w:pos="735"/>
              </w:tabs>
              <w:spacing w:before="40" w:after="40" w:line="240" w:lineRule="auto"/>
              <w:rPr>
                <w:rFonts w:ascii="Arial Narrow" w:hAnsi="Arial Narrow"/>
                <w:sz w:val="20"/>
                <w:szCs w:val="20"/>
              </w:rPr>
            </w:pPr>
            <w:r>
              <w:rPr>
                <w:rFonts w:ascii="Arial Narrow" w:hAnsi="Arial Narrow"/>
                <w:sz w:val="20"/>
                <w:szCs w:val="20"/>
              </w:rPr>
              <w:t>7</w:t>
            </w:r>
          </w:p>
        </w:tc>
        <w:tc>
          <w:tcPr>
            <w:tcW w:w="469" w:type="pct"/>
            <w:tcBorders>
              <w:left w:val="single" w:sz="4" w:space="0" w:color="E7E6E6" w:themeColor="background2"/>
            </w:tcBorders>
          </w:tcPr>
          <w:p w14:paraId="0AAD8686" w14:textId="77777777" w:rsidR="00EB2A3B" w:rsidRDefault="00EB2A3B" w:rsidP="00C23D3D">
            <w:pPr>
              <w:tabs>
                <w:tab w:val="left" w:pos="735"/>
              </w:tabs>
              <w:spacing w:before="40" w:after="40" w:line="240" w:lineRule="auto"/>
              <w:rPr>
                <w:rFonts w:ascii="Arial Narrow" w:hAnsi="Arial Narrow"/>
                <w:sz w:val="20"/>
                <w:szCs w:val="20"/>
              </w:rPr>
            </w:pPr>
          </w:p>
          <w:p w14:paraId="3E0E8285" w14:textId="77777777" w:rsidR="00EB2A3B" w:rsidRDefault="00EB2A3B" w:rsidP="00C23D3D">
            <w:pPr>
              <w:tabs>
                <w:tab w:val="left" w:pos="735"/>
              </w:tabs>
              <w:spacing w:before="40" w:after="40" w:line="240" w:lineRule="auto"/>
              <w:rPr>
                <w:rFonts w:ascii="Arial Narrow" w:hAnsi="Arial Narrow"/>
                <w:sz w:val="20"/>
                <w:szCs w:val="20"/>
              </w:rPr>
            </w:pPr>
            <w:r>
              <w:rPr>
                <w:rFonts w:ascii="Arial Narrow" w:hAnsi="Arial Narrow"/>
                <w:sz w:val="20"/>
                <w:szCs w:val="20"/>
              </w:rPr>
              <w:t>0.004</w:t>
            </w:r>
          </w:p>
          <w:p w14:paraId="4DB1F8DD" w14:textId="77777777" w:rsidR="00EB2A3B" w:rsidRPr="00584B4C" w:rsidRDefault="00EB2A3B" w:rsidP="00C23D3D">
            <w:pPr>
              <w:tabs>
                <w:tab w:val="left" w:pos="735"/>
              </w:tabs>
              <w:spacing w:before="40" w:after="40" w:line="240" w:lineRule="auto"/>
              <w:rPr>
                <w:rFonts w:ascii="Arial Narrow" w:hAnsi="Arial Narrow"/>
                <w:sz w:val="20"/>
                <w:szCs w:val="20"/>
              </w:rPr>
            </w:pPr>
            <w:r>
              <w:rPr>
                <w:rFonts w:ascii="Arial Narrow" w:hAnsi="Arial Narrow"/>
                <w:sz w:val="20"/>
                <w:szCs w:val="20"/>
              </w:rPr>
              <w:t>0.027</w:t>
            </w:r>
          </w:p>
        </w:tc>
        <w:tc>
          <w:tcPr>
            <w:tcW w:w="481" w:type="pct"/>
            <w:tcBorders>
              <w:right w:val="single" w:sz="4" w:space="0" w:color="E7E6E6" w:themeColor="background2"/>
            </w:tcBorders>
            <w:shd w:val="clear" w:color="auto" w:fill="auto"/>
          </w:tcPr>
          <w:p w14:paraId="3FA51A3D" w14:textId="77777777" w:rsidR="00EB2A3B" w:rsidRDefault="00EB2A3B" w:rsidP="00375C5E">
            <w:pPr>
              <w:tabs>
                <w:tab w:val="left" w:pos="888"/>
              </w:tabs>
              <w:spacing w:before="40" w:after="40" w:line="240" w:lineRule="auto"/>
              <w:rPr>
                <w:rFonts w:ascii="Arial Narrow" w:hAnsi="Arial Narrow"/>
                <w:sz w:val="20"/>
                <w:szCs w:val="20"/>
              </w:rPr>
            </w:pPr>
          </w:p>
          <w:p w14:paraId="3BEC7BD7" w14:textId="77777777" w:rsidR="00EB2A3B" w:rsidRDefault="00EB2A3B" w:rsidP="0099723F">
            <w:pPr>
              <w:tabs>
                <w:tab w:val="left" w:pos="888"/>
              </w:tabs>
              <w:spacing w:before="40" w:after="40" w:line="240" w:lineRule="auto"/>
              <w:rPr>
                <w:rFonts w:ascii="Arial Narrow" w:hAnsi="Arial Narrow"/>
                <w:sz w:val="20"/>
                <w:szCs w:val="20"/>
              </w:rPr>
            </w:pPr>
            <w:r>
              <w:rPr>
                <w:rFonts w:ascii="Arial Narrow" w:hAnsi="Arial Narrow"/>
                <w:sz w:val="20"/>
                <w:szCs w:val="20"/>
              </w:rPr>
              <w:t>10</w:t>
            </w:r>
          </w:p>
          <w:p w14:paraId="7A57AD3C" w14:textId="77777777" w:rsidR="00546425" w:rsidRDefault="00546425" w:rsidP="0099723F">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552" w:type="pct"/>
            <w:tcBorders>
              <w:left w:val="single" w:sz="4" w:space="0" w:color="E7E6E6" w:themeColor="background2"/>
            </w:tcBorders>
            <w:shd w:val="clear" w:color="auto" w:fill="auto"/>
          </w:tcPr>
          <w:p w14:paraId="109DD79A" w14:textId="77777777" w:rsidR="00EB2A3B" w:rsidRDefault="00EB2A3B" w:rsidP="00375C5E">
            <w:pPr>
              <w:tabs>
                <w:tab w:val="left" w:pos="888"/>
              </w:tabs>
              <w:spacing w:before="40" w:after="40" w:line="240" w:lineRule="auto"/>
              <w:rPr>
                <w:rFonts w:ascii="Arial Narrow" w:hAnsi="Arial Narrow"/>
                <w:sz w:val="20"/>
                <w:szCs w:val="20"/>
              </w:rPr>
            </w:pPr>
          </w:p>
          <w:p w14:paraId="1264EBB7" w14:textId="77777777" w:rsidR="00EB2A3B"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0.10</w:t>
            </w:r>
          </w:p>
          <w:p w14:paraId="44B38ADF" w14:textId="77777777" w:rsidR="00546425" w:rsidRPr="00584B4C"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472" w:type="pct"/>
            <w:tcBorders>
              <w:right w:val="single" w:sz="4" w:space="0" w:color="E7E6E6" w:themeColor="background2"/>
            </w:tcBorders>
            <w:shd w:val="clear" w:color="auto" w:fill="auto"/>
          </w:tcPr>
          <w:p w14:paraId="36E35A1D" w14:textId="77777777" w:rsidR="00EB2A3B" w:rsidRDefault="00EB2A3B" w:rsidP="00375C5E">
            <w:pPr>
              <w:tabs>
                <w:tab w:val="left" w:pos="744"/>
              </w:tabs>
              <w:spacing w:before="40" w:after="40" w:line="240" w:lineRule="auto"/>
              <w:rPr>
                <w:rFonts w:ascii="Arial Narrow" w:hAnsi="Arial Narrow"/>
                <w:sz w:val="20"/>
                <w:szCs w:val="20"/>
              </w:rPr>
            </w:pPr>
          </w:p>
          <w:p w14:paraId="4B04E0DA" w14:textId="77777777" w:rsidR="00EB2A3B" w:rsidRDefault="00EB2A3B" w:rsidP="0099723F">
            <w:pPr>
              <w:tabs>
                <w:tab w:val="left" w:pos="744"/>
              </w:tabs>
              <w:spacing w:before="40" w:after="40" w:line="240" w:lineRule="auto"/>
              <w:rPr>
                <w:rFonts w:ascii="Arial Narrow" w:hAnsi="Arial Narrow"/>
                <w:sz w:val="20"/>
                <w:szCs w:val="20"/>
              </w:rPr>
            </w:pPr>
            <w:r>
              <w:rPr>
                <w:rFonts w:ascii="Arial Narrow" w:hAnsi="Arial Narrow"/>
                <w:sz w:val="20"/>
                <w:szCs w:val="20"/>
              </w:rPr>
              <w:t>56</w:t>
            </w:r>
          </w:p>
          <w:p w14:paraId="1532EEA1" w14:textId="77777777" w:rsidR="00EB2A3B" w:rsidRDefault="00EB2A3B" w:rsidP="0099723F">
            <w:pPr>
              <w:tabs>
                <w:tab w:val="left" w:pos="744"/>
              </w:tabs>
              <w:spacing w:before="40" w:after="40" w:line="240" w:lineRule="auto"/>
              <w:rPr>
                <w:rFonts w:ascii="Arial Narrow" w:hAnsi="Arial Narrow"/>
                <w:sz w:val="20"/>
                <w:szCs w:val="20"/>
              </w:rPr>
            </w:pPr>
            <w:r>
              <w:rPr>
                <w:rFonts w:ascii="Arial Narrow" w:hAnsi="Arial Narrow"/>
                <w:sz w:val="20"/>
                <w:szCs w:val="20"/>
              </w:rPr>
              <w:t>4</w:t>
            </w:r>
          </w:p>
        </w:tc>
        <w:tc>
          <w:tcPr>
            <w:tcW w:w="472" w:type="pct"/>
            <w:tcBorders>
              <w:left w:val="single" w:sz="4" w:space="0" w:color="E7E6E6" w:themeColor="background2"/>
            </w:tcBorders>
            <w:shd w:val="clear" w:color="auto" w:fill="auto"/>
          </w:tcPr>
          <w:p w14:paraId="5DF94B63" w14:textId="77777777" w:rsidR="00EB2A3B" w:rsidRDefault="00EB2A3B" w:rsidP="00C23D3D">
            <w:pPr>
              <w:tabs>
                <w:tab w:val="left" w:pos="744"/>
              </w:tabs>
              <w:spacing w:before="40" w:after="40" w:line="240" w:lineRule="auto"/>
              <w:rPr>
                <w:rFonts w:ascii="Arial Narrow" w:hAnsi="Arial Narrow"/>
                <w:sz w:val="20"/>
                <w:szCs w:val="20"/>
              </w:rPr>
            </w:pPr>
          </w:p>
          <w:p w14:paraId="3FCDF7F2" w14:textId="77777777" w:rsidR="00EB2A3B" w:rsidRDefault="00EB2A3B" w:rsidP="00C23D3D">
            <w:pPr>
              <w:tabs>
                <w:tab w:val="left" w:pos="744"/>
              </w:tabs>
              <w:spacing w:before="40" w:after="40" w:line="240" w:lineRule="auto"/>
              <w:rPr>
                <w:rFonts w:ascii="Arial Narrow" w:hAnsi="Arial Narrow"/>
                <w:sz w:val="20"/>
                <w:szCs w:val="20"/>
              </w:rPr>
            </w:pPr>
            <w:r>
              <w:rPr>
                <w:rFonts w:ascii="Arial Narrow" w:hAnsi="Arial Narrow"/>
                <w:sz w:val="20"/>
                <w:szCs w:val="20"/>
              </w:rPr>
              <w:t>6.0</w:t>
            </w:r>
          </w:p>
          <w:p w14:paraId="5BADD6BB" w14:textId="77777777" w:rsidR="00EB2A3B" w:rsidRPr="00584B4C" w:rsidRDefault="00EB2A3B" w:rsidP="00C23D3D">
            <w:pPr>
              <w:tabs>
                <w:tab w:val="left" w:pos="744"/>
              </w:tabs>
              <w:spacing w:before="40" w:after="40" w:line="240" w:lineRule="auto"/>
              <w:rPr>
                <w:rFonts w:ascii="Arial Narrow" w:hAnsi="Arial Narrow"/>
                <w:sz w:val="20"/>
                <w:szCs w:val="20"/>
              </w:rPr>
            </w:pPr>
            <w:r>
              <w:rPr>
                <w:rFonts w:ascii="Arial Narrow" w:hAnsi="Arial Narrow"/>
                <w:sz w:val="20"/>
                <w:szCs w:val="20"/>
              </w:rPr>
              <w:t>0.4</w:t>
            </w:r>
          </w:p>
        </w:tc>
        <w:tc>
          <w:tcPr>
            <w:tcW w:w="471" w:type="pct"/>
            <w:tcBorders>
              <w:right w:val="single" w:sz="4" w:space="0" w:color="E7E6E6" w:themeColor="background2"/>
            </w:tcBorders>
            <w:shd w:val="clear" w:color="auto" w:fill="auto"/>
          </w:tcPr>
          <w:p w14:paraId="37139947" w14:textId="77777777" w:rsidR="00EB2A3B" w:rsidRDefault="00EB2A3B" w:rsidP="00375C5E">
            <w:pPr>
              <w:tabs>
                <w:tab w:val="left" w:pos="885"/>
              </w:tabs>
              <w:spacing w:before="40" w:after="40" w:line="240" w:lineRule="auto"/>
              <w:rPr>
                <w:rFonts w:ascii="Arial Narrow" w:hAnsi="Arial Narrow"/>
                <w:sz w:val="20"/>
                <w:szCs w:val="20"/>
              </w:rPr>
            </w:pPr>
          </w:p>
          <w:p w14:paraId="05EC0E5D" w14:textId="77777777" w:rsidR="00EB2A3B" w:rsidRDefault="00EB2A3B" w:rsidP="00375C5E">
            <w:pPr>
              <w:tabs>
                <w:tab w:val="left" w:pos="885"/>
              </w:tabs>
              <w:spacing w:before="40" w:after="40" w:line="240" w:lineRule="auto"/>
              <w:rPr>
                <w:rFonts w:ascii="Arial Narrow" w:hAnsi="Arial Narrow"/>
                <w:sz w:val="20"/>
                <w:szCs w:val="20"/>
              </w:rPr>
            </w:pPr>
            <w:r>
              <w:rPr>
                <w:rFonts w:ascii="Arial Narrow" w:hAnsi="Arial Narrow"/>
                <w:sz w:val="20"/>
                <w:szCs w:val="20"/>
              </w:rPr>
              <w:t>120</w:t>
            </w:r>
          </w:p>
          <w:p w14:paraId="4BEFC9E5" w14:textId="77777777" w:rsidR="00EB2A3B" w:rsidRDefault="00EB2A3B" w:rsidP="00375C5E">
            <w:pPr>
              <w:tabs>
                <w:tab w:val="left" w:pos="885"/>
              </w:tabs>
              <w:spacing w:before="40" w:after="40" w:line="240" w:lineRule="auto"/>
              <w:rPr>
                <w:rFonts w:ascii="Arial Narrow" w:hAnsi="Arial Narrow"/>
                <w:sz w:val="20"/>
                <w:szCs w:val="20"/>
              </w:rPr>
            </w:pPr>
            <w:r>
              <w:rPr>
                <w:rFonts w:ascii="Arial Narrow" w:hAnsi="Arial Narrow"/>
                <w:sz w:val="20"/>
                <w:szCs w:val="20"/>
              </w:rPr>
              <w:t>83</w:t>
            </w:r>
          </w:p>
        </w:tc>
        <w:tc>
          <w:tcPr>
            <w:tcW w:w="521" w:type="pct"/>
            <w:tcBorders>
              <w:left w:val="single" w:sz="4" w:space="0" w:color="E7E6E6" w:themeColor="background2"/>
            </w:tcBorders>
            <w:shd w:val="clear" w:color="auto" w:fill="auto"/>
          </w:tcPr>
          <w:p w14:paraId="4921344D" w14:textId="77777777" w:rsidR="00EB2A3B" w:rsidRDefault="00EB2A3B" w:rsidP="00C23D3D">
            <w:pPr>
              <w:tabs>
                <w:tab w:val="left" w:pos="885"/>
              </w:tabs>
              <w:spacing w:before="40" w:after="40" w:line="240" w:lineRule="auto"/>
              <w:rPr>
                <w:rFonts w:ascii="Arial Narrow" w:hAnsi="Arial Narrow"/>
                <w:sz w:val="20"/>
                <w:szCs w:val="20"/>
              </w:rPr>
            </w:pPr>
          </w:p>
          <w:p w14:paraId="19E04D36" w14:textId="77777777" w:rsidR="00EB2A3B" w:rsidRDefault="00EB2A3B" w:rsidP="00C23D3D">
            <w:pPr>
              <w:tabs>
                <w:tab w:val="left" w:pos="885"/>
              </w:tabs>
              <w:spacing w:before="40" w:after="40" w:line="240" w:lineRule="auto"/>
              <w:rPr>
                <w:rFonts w:ascii="Arial Narrow" w:hAnsi="Arial Narrow"/>
                <w:sz w:val="20"/>
                <w:szCs w:val="20"/>
              </w:rPr>
            </w:pPr>
            <w:r>
              <w:rPr>
                <w:rFonts w:ascii="Arial Narrow" w:hAnsi="Arial Narrow"/>
                <w:sz w:val="20"/>
                <w:szCs w:val="20"/>
              </w:rPr>
              <w:t>3.0</w:t>
            </w:r>
          </w:p>
          <w:p w14:paraId="4CFEBEEC" w14:textId="77777777" w:rsidR="00EB2A3B" w:rsidRPr="00584B4C" w:rsidRDefault="00EB2A3B" w:rsidP="00EB2A3B">
            <w:pPr>
              <w:tabs>
                <w:tab w:val="left" w:pos="885"/>
              </w:tabs>
              <w:spacing w:before="40" w:after="40" w:line="240" w:lineRule="auto"/>
              <w:rPr>
                <w:rFonts w:ascii="Arial Narrow" w:hAnsi="Arial Narrow"/>
                <w:sz w:val="20"/>
                <w:szCs w:val="20"/>
              </w:rPr>
            </w:pPr>
            <w:r>
              <w:rPr>
                <w:rFonts w:ascii="Arial Narrow" w:hAnsi="Arial Narrow"/>
                <w:sz w:val="20"/>
                <w:szCs w:val="20"/>
              </w:rPr>
              <w:t>1.7</w:t>
            </w:r>
          </w:p>
        </w:tc>
      </w:tr>
      <w:tr w:rsidR="00656E2E" w:rsidRPr="00772105" w14:paraId="70F53A43" w14:textId="77777777" w:rsidTr="00656E2E">
        <w:tc>
          <w:tcPr>
            <w:tcW w:w="1096" w:type="pct"/>
            <w:shd w:val="clear" w:color="auto" w:fill="auto"/>
          </w:tcPr>
          <w:p w14:paraId="6D8FB142" w14:textId="77777777" w:rsidR="0099723F" w:rsidRPr="00D54C3C" w:rsidRDefault="0099723F" w:rsidP="00772105">
            <w:pPr>
              <w:spacing w:before="40" w:after="40" w:line="240" w:lineRule="auto"/>
              <w:rPr>
                <w:rFonts w:ascii="Arial Narrow" w:hAnsi="Arial Narrow"/>
                <w:sz w:val="20"/>
                <w:szCs w:val="20"/>
                <w:u w:val="single"/>
              </w:rPr>
            </w:pPr>
            <w:r w:rsidRPr="00D54C3C">
              <w:rPr>
                <w:rFonts w:ascii="Arial Narrow" w:hAnsi="Arial Narrow"/>
                <w:sz w:val="20"/>
                <w:szCs w:val="20"/>
                <w:u w:val="single"/>
              </w:rPr>
              <w:t xml:space="preserve">Systemic </w:t>
            </w:r>
          </w:p>
          <w:p w14:paraId="3C903214" w14:textId="77777777" w:rsidR="0099723F" w:rsidRDefault="0099723F" w:rsidP="00B21990">
            <w:pPr>
              <w:spacing w:before="40" w:after="40" w:line="240" w:lineRule="auto"/>
              <w:rPr>
                <w:rFonts w:ascii="Arial Narrow" w:hAnsi="Arial Narrow"/>
                <w:sz w:val="20"/>
                <w:szCs w:val="20"/>
              </w:rPr>
            </w:pPr>
            <w:r>
              <w:rPr>
                <w:rFonts w:ascii="Arial Narrow" w:hAnsi="Arial Narrow"/>
                <w:sz w:val="20"/>
                <w:szCs w:val="20"/>
              </w:rPr>
              <w:t>Pneumonia</w:t>
            </w:r>
          </w:p>
          <w:p w14:paraId="02DE01E9" w14:textId="77777777" w:rsidR="0099723F" w:rsidRDefault="0099723F" w:rsidP="00B21990">
            <w:pPr>
              <w:spacing w:before="40" w:after="40" w:line="240" w:lineRule="auto"/>
              <w:rPr>
                <w:rFonts w:ascii="Arial Narrow" w:hAnsi="Arial Narrow"/>
                <w:sz w:val="20"/>
                <w:szCs w:val="20"/>
              </w:rPr>
            </w:pPr>
            <w:r>
              <w:rPr>
                <w:rFonts w:ascii="Arial Narrow" w:hAnsi="Arial Narrow"/>
                <w:sz w:val="20"/>
                <w:szCs w:val="20"/>
              </w:rPr>
              <w:t>Fever</w:t>
            </w:r>
          </w:p>
          <w:p w14:paraId="19FBF68D" w14:textId="77777777" w:rsidR="0099723F" w:rsidRDefault="0099723F" w:rsidP="00B21990">
            <w:pPr>
              <w:spacing w:before="40" w:after="40" w:line="240" w:lineRule="auto"/>
              <w:rPr>
                <w:rFonts w:ascii="Arial Narrow" w:hAnsi="Arial Narrow"/>
                <w:sz w:val="20"/>
                <w:szCs w:val="20"/>
              </w:rPr>
            </w:pPr>
            <w:r>
              <w:rPr>
                <w:rFonts w:ascii="Arial Narrow" w:hAnsi="Arial Narrow"/>
                <w:sz w:val="20"/>
                <w:szCs w:val="20"/>
              </w:rPr>
              <w:t>Sepsis</w:t>
            </w:r>
          </w:p>
          <w:p w14:paraId="722E4DD2" w14:textId="77777777" w:rsidR="0099723F" w:rsidRDefault="0099723F" w:rsidP="00501DD5">
            <w:pPr>
              <w:spacing w:before="40" w:after="40" w:line="240" w:lineRule="auto"/>
              <w:rPr>
                <w:rFonts w:ascii="Arial Narrow" w:hAnsi="Arial Narrow"/>
                <w:sz w:val="20"/>
                <w:szCs w:val="20"/>
              </w:rPr>
            </w:pPr>
            <w:r>
              <w:rPr>
                <w:rFonts w:ascii="Arial Narrow" w:hAnsi="Arial Narrow"/>
                <w:sz w:val="20"/>
                <w:szCs w:val="20"/>
              </w:rPr>
              <w:t>Infection</w:t>
            </w:r>
          </w:p>
        </w:tc>
        <w:tc>
          <w:tcPr>
            <w:tcW w:w="467" w:type="pct"/>
            <w:tcBorders>
              <w:right w:val="single" w:sz="4" w:space="0" w:color="E7E6E6" w:themeColor="background2"/>
            </w:tcBorders>
          </w:tcPr>
          <w:p w14:paraId="756C76E2" w14:textId="77777777" w:rsidR="0099723F" w:rsidRDefault="0099723F" w:rsidP="00375C5E">
            <w:pPr>
              <w:tabs>
                <w:tab w:val="left" w:pos="735"/>
              </w:tabs>
              <w:spacing w:before="40" w:after="40" w:line="240" w:lineRule="auto"/>
              <w:rPr>
                <w:rFonts w:ascii="Arial Narrow" w:hAnsi="Arial Narrow"/>
                <w:sz w:val="20"/>
                <w:szCs w:val="20"/>
              </w:rPr>
            </w:pPr>
          </w:p>
          <w:p w14:paraId="5D19B735" w14:textId="77777777" w:rsidR="0099723F" w:rsidRPr="00584B4C" w:rsidRDefault="0099723F" w:rsidP="00375C5E">
            <w:pPr>
              <w:tabs>
                <w:tab w:val="left" w:pos="735"/>
              </w:tabs>
              <w:spacing w:before="40" w:after="40" w:line="240" w:lineRule="auto"/>
              <w:rPr>
                <w:rFonts w:ascii="Arial Narrow" w:hAnsi="Arial Narrow"/>
                <w:sz w:val="20"/>
                <w:szCs w:val="20"/>
              </w:rPr>
            </w:pPr>
            <w:r>
              <w:rPr>
                <w:rFonts w:ascii="Arial Narrow" w:hAnsi="Arial Narrow"/>
                <w:sz w:val="20"/>
                <w:szCs w:val="20"/>
              </w:rPr>
              <w:t>5</w:t>
            </w:r>
          </w:p>
          <w:p w14:paraId="3E9656E1" w14:textId="77777777" w:rsidR="0099723F" w:rsidRDefault="0099723F" w:rsidP="00375C5E">
            <w:pPr>
              <w:tabs>
                <w:tab w:val="left" w:pos="735"/>
              </w:tabs>
              <w:spacing w:before="40" w:after="40" w:line="240" w:lineRule="auto"/>
              <w:rPr>
                <w:rFonts w:ascii="Arial Narrow" w:hAnsi="Arial Narrow"/>
                <w:sz w:val="20"/>
                <w:szCs w:val="20"/>
              </w:rPr>
            </w:pPr>
            <w:r>
              <w:rPr>
                <w:rFonts w:ascii="Arial Narrow" w:hAnsi="Arial Narrow"/>
                <w:sz w:val="20"/>
                <w:szCs w:val="20"/>
              </w:rPr>
              <w:t>5</w:t>
            </w:r>
          </w:p>
          <w:p w14:paraId="288FBB6C" w14:textId="77777777" w:rsidR="0099723F" w:rsidRDefault="0099723F" w:rsidP="00375C5E">
            <w:pPr>
              <w:tabs>
                <w:tab w:val="left" w:pos="735"/>
              </w:tabs>
              <w:spacing w:before="40" w:after="40" w:line="240" w:lineRule="auto"/>
              <w:rPr>
                <w:rFonts w:ascii="Arial Narrow" w:hAnsi="Arial Narrow"/>
                <w:sz w:val="20"/>
                <w:szCs w:val="20"/>
              </w:rPr>
            </w:pPr>
            <w:r>
              <w:rPr>
                <w:rFonts w:ascii="Arial Narrow" w:hAnsi="Arial Narrow"/>
                <w:sz w:val="20"/>
                <w:szCs w:val="20"/>
              </w:rPr>
              <w:t>6</w:t>
            </w:r>
          </w:p>
          <w:p w14:paraId="2D15F53A" w14:textId="77777777" w:rsidR="00546425" w:rsidRPr="00584B4C"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tc>
        <w:tc>
          <w:tcPr>
            <w:tcW w:w="469" w:type="pct"/>
            <w:tcBorders>
              <w:left w:val="single" w:sz="4" w:space="0" w:color="E7E6E6" w:themeColor="background2"/>
            </w:tcBorders>
          </w:tcPr>
          <w:p w14:paraId="3E6D877D" w14:textId="77777777" w:rsidR="0099723F" w:rsidRDefault="0099723F" w:rsidP="00375C5E">
            <w:pPr>
              <w:tabs>
                <w:tab w:val="left" w:pos="735"/>
              </w:tabs>
              <w:spacing w:before="40" w:after="40" w:line="240" w:lineRule="auto"/>
              <w:rPr>
                <w:rFonts w:ascii="Arial Narrow" w:hAnsi="Arial Narrow"/>
                <w:sz w:val="20"/>
                <w:szCs w:val="20"/>
              </w:rPr>
            </w:pPr>
          </w:p>
          <w:p w14:paraId="0AF3A2F3" w14:textId="77777777" w:rsidR="0099723F" w:rsidRDefault="0099723F" w:rsidP="00375C5E">
            <w:pPr>
              <w:tabs>
                <w:tab w:val="left" w:pos="735"/>
              </w:tabs>
              <w:spacing w:before="40" w:after="40" w:line="240" w:lineRule="auto"/>
              <w:rPr>
                <w:rFonts w:ascii="Arial Narrow" w:hAnsi="Arial Narrow"/>
                <w:sz w:val="20"/>
                <w:szCs w:val="20"/>
              </w:rPr>
            </w:pPr>
            <w:r>
              <w:rPr>
                <w:rFonts w:ascii="Arial Narrow" w:hAnsi="Arial Narrow"/>
                <w:sz w:val="20"/>
                <w:szCs w:val="20"/>
              </w:rPr>
              <w:t>0.020</w:t>
            </w:r>
          </w:p>
          <w:p w14:paraId="3FBF0444" w14:textId="77777777" w:rsidR="0099723F" w:rsidRDefault="0099723F" w:rsidP="00375C5E">
            <w:pPr>
              <w:tabs>
                <w:tab w:val="left" w:pos="735"/>
              </w:tabs>
              <w:spacing w:before="40" w:after="40" w:line="240" w:lineRule="auto"/>
              <w:rPr>
                <w:rFonts w:ascii="Arial Narrow" w:hAnsi="Arial Narrow"/>
                <w:sz w:val="20"/>
                <w:szCs w:val="20"/>
              </w:rPr>
            </w:pPr>
            <w:r>
              <w:rPr>
                <w:rFonts w:ascii="Arial Narrow" w:hAnsi="Arial Narrow"/>
                <w:sz w:val="20"/>
                <w:szCs w:val="20"/>
              </w:rPr>
              <w:t>0.008</w:t>
            </w:r>
          </w:p>
          <w:p w14:paraId="1E138331" w14:textId="77777777" w:rsidR="0099723F" w:rsidRDefault="0099723F" w:rsidP="00375C5E">
            <w:pPr>
              <w:tabs>
                <w:tab w:val="left" w:pos="735"/>
              </w:tabs>
              <w:spacing w:before="40" w:after="40" w:line="240" w:lineRule="auto"/>
              <w:rPr>
                <w:rFonts w:ascii="Arial Narrow" w:hAnsi="Arial Narrow"/>
                <w:sz w:val="20"/>
                <w:szCs w:val="20"/>
              </w:rPr>
            </w:pPr>
            <w:r>
              <w:rPr>
                <w:rFonts w:ascii="Arial Narrow" w:hAnsi="Arial Narrow"/>
                <w:sz w:val="20"/>
                <w:szCs w:val="20"/>
              </w:rPr>
              <w:t>0.024</w:t>
            </w:r>
          </w:p>
          <w:p w14:paraId="6D9CA426" w14:textId="77777777" w:rsidR="0099723F" w:rsidRPr="00584B4C"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tc>
        <w:tc>
          <w:tcPr>
            <w:tcW w:w="481" w:type="pct"/>
            <w:tcBorders>
              <w:right w:val="single" w:sz="4" w:space="0" w:color="E7E6E6" w:themeColor="background2"/>
            </w:tcBorders>
            <w:shd w:val="clear" w:color="auto" w:fill="auto"/>
          </w:tcPr>
          <w:p w14:paraId="2D522C3C" w14:textId="77777777" w:rsidR="0099723F" w:rsidRDefault="0099723F" w:rsidP="00375C5E">
            <w:pPr>
              <w:tabs>
                <w:tab w:val="left" w:pos="888"/>
              </w:tabs>
              <w:spacing w:before="40" w:after="40" w:line="240" w:lineRule="auto"/>
              <w:rPr>
                <w:rFonts w:ascii="Arial Narrow" w:hAnsi="Arial Narrow"/>
                <w:sz w:val="20"/>
                <w:szCs w:val="20"/>
              </w:rPr>
            </w:pPr>
          </w:p>
          <w:p w14:paraId="4477B8F6" w14:textId="77777777" w:rsidR="0099723F"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p>
          <w:p w14:paraId="3FFF93ED" w14:textId="77777777" w:rsidR="0099723F" w:rsidRDefault="0099723F" w:rsidP="00375C5E">
            <w:pPr>
              <w:tabs>
                <w:tab w:val="left" w:pos="888"/>
              </w:tabs>
              <w:spacing w:before="40" w:after="40" w:line="240" w:lineRule="auto"/>
              <w:rPr>
                <w:rFonts w:ascii="Arial Narrow" w:hAnsi="Arial Narrow"/>
                <w:sz w:val="20"/>
                <w:szCs w:val="20"/>
              </w:rPr>
            </w:pPr>
            <w:r>
              <w:rPr>
                <w:rFonts w:ascii="Arial Narrow" w:hAnsi="Arial Narrow"/>
                <w:sz w:val="20"/>
                <w:szCs w:val="20"/>
              </w:rPr>
              <w:t>8</w:t>
            </w:r>
          </w:p>
          <w:p w14:paraId="4ADACDC7" w14:textId="77777777" w:rsidR="00546425"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p>
          <w:p w14:paraId="47152D99" w14:textId="77777777" w:rsidR="00546425"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552" w:type="pct"/>
            <w:tcBorders>
              <w:left w:val="single" w:sz="4" w:space="0" w:color="E7E6E6" w:themeColor="background2"/>
            </w:tcBorders>
            <w:shd w:val="clear" w:color="auto" w:fill="auto"/>
          </w:tcPr>
          <w:p w14:paraId="12832C6A" w14:textId="77777777" w:rsidR="0099723F" w:rsidRDefault="0099723F" w:rsidP="00375C5E">
            <w:pPr>
              <w:tabs>
                <w:tab w:val="left" w:pos="888"/>
              </w:tabs>
              <w:spacing w:before="40" w:after="40" w:line="240" w:lineRule="auto"/>
              <w:rPr>
                <w:rFonts w:ascii="Arial Narrow" w:hAnsi="Arial Narrow"/>
                <w:sz w:val="20"/>
                <w:szCs w:val="20"/>
              </w:rPr>
            </w:pPr>
          </w:p>
          <w:p w14:paraId="4D4B8C37" w14:textId="77777777" w:rsidR="0099723F"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p>
          <w:p w14:paraId="664EEC2D" w14:textId="77777777" w:rsidR="0099723F"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0.08</w:t>
            </w:r>
          </w:p>
          <w:p w14:paraId="7CC75E26" w14:textId="77777777" w:rsidR="00546425"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p>
          <w:p w14:paraId="0773D5EA" w14:textId="77777777" w:rsidR="0099723F" w:rsidRPr="00195B96" w:rsidRDefault="00546425" w:rsidP="00375C5E">
            <w:pPr>
              <w:tabs>
                <w:tab w:val="left" w:pos="888"/>
              </w:tabs>
              <w:spacing w:before="40" w:after="40" w:line="240" w:lineRule="auto"/>
              <w:rPr>
                <w:rFonts w:ascii="Arial Narrow" w:hAnsi="Arial Narrow"/>
                <w:sz w:val="20"/>
                <w:szCs w:val="20"/>
                <w:vertAlign w:val="superscript"/>
              </w:rPr>
            </w:pPr>
            <w:r>
              <w:rPr>
                <w:rFonts w:ascii="Arial Narrow" w:hAnsi="Arial Narrow"/>
                <w:sz w:val="20"/>
                <w:szCs w:val="20"/>
                <w:vertAlign w:val="superscript"/>
              </w:rPr>
              <w:t>-</w:t>
            </w:r>
          </w:p>
        </w:tc>
        <w:tc>
          <w:tcPr>
            <w:tcW w:w="472" w:type="pct"/>
            <w:tcBorders>
              <w:right w:val="single" w:sz="4" w:space="0" w:color="E7E6E6" w:themeColor="background2"/>
            </w:tcBorders>
            <w:shd w:val="clear" w:color="auto" w:fill="auto"/>
          </w:tcPr>
          <w:p w14:paraId="01E21A19" w14:textId="77777777" w:rsidR="0099723F" w:rsidRDefault="0099723F" w:rsidP="00375C5E">
            <w:pPr>
              <w:tabs>
                <w:tab w:val="left" w:pos="744"/>
              </w:tabs>
              <w:spacing w:before="40" w:after="40" w:line="240" w:lineRule="auto"/>
              <w:rPr>
                <w:rFonts w:ascii="Arial Narrow" w:hAnsi="Arial Narrow"/>
                <w:sz w:val="20"/>
                <w:szCs w:val="20"/>
              </w:rPr>
            </w:pPr>
          </w:p>
          <w:p w14:paraId="5A0FEB60" w14:textId="77777777" w:rsidR="0099723F" w:rsidRDefault="00546425" w:rsidP="00375C5E">
            <w:pPr>
              <w:tabs>
                <w:tab w:val="left" w:pos="744"/>
              </w:tabs>
              <w:spacing w:before="40" w:after="40" w:line="240" w:lineRule="auto"/>
              <w:rPr>
                <w:rFonts w:ascii="Arial Narrow" w:hAnsi="Arial Narrow"/>
                <w:sz w:val="20"/>
                <w:szCs w:val="20"/>
              </w:rPr>
            </w:pPr>
            <w:r>
              <w:rPr>
                <w:rFonts w:ascii="Arial Narrow" w:hAnsi="Arial Narrow"/>
                <w:sz w:val="20"/>
                <w:szCs w:val="20"/>
              </w:rPr>
              <w:t>-</w:t>
            </w:r>
          </w:p>
          <w:p w14:paraId="2FC5A7DB" w14:textId="77777777" w:rsidR="0099723F" w:rsidRDefault="00546425" w:rsidP="00375C5E">
            <w:pPr>
              <w:tabs>
                <w:tab w:val="left" w:pos="744"/>
              </w:tabs>
              <w:spacing w:before="40" w:after="40" w:line="240" w:lineRule="auto"/>
              <w:rPr>
                <w:rFonts w:ascii="Arial Narrow" w:hAnsi="Arial Narrow"/>
                <w:sz w:val="20"/>
                <w:szCs w:val="20"/>
              </w:rPr>
            </w:pPr>
            <w:r>
              <w:rPr>
                <w:rFonts w:ascii="Arial Narrow" w:hAnsi="Arial Narrow"/>
                <w:sz w:val="20"/>
                <w:szCs w:val="20"/>
              </w:rPr>
              <w:t>-</w:t>
            </w:r>
          </w:p>
          <w:p w14:paraId="4CC54F34" w14:textId="77777777" w:rsidR="0099723F" w:rsidRDefault="00546425" w:rsidP="00375C5E">
            <w:pPr>
              <w:tabs>
                <w:tab w:val="left" w:pos="744"/>
              </w:tabs>
              <w:spacing w:before="40" w:after="40" w:line="240" w:lineRule="auto"/>
              <w:rPr>
                <w:rFonts w:ascii="Arial Narrow" w:hAnsi="Arial Narrow"/>
                <w:sz w:val="20"/>
                <w:szCs w:val="20"/>
              </w:rPr>
            </w:pPr>
            <w:r>
              <w:rPr>
                <w:rFonts w:ascii="Arial Narrow" w:hAnsi="Arial Narrow"/>
                <w:sz w:val="20"/>
                <w:szCs w:val="20"/>
              </w:rPr>
              <w:t>-</w:t>
            </w:r>
          </w:p>
          <w:p w14:paraId="487C6524" w14:textId="77777777" w:rsidR="0099723F" w:rsidRDefault="0099723F" w:rsidP="00375C5E">
            <w:pPr>
              <w:tabs>
                <w:tab w:val="left" w:pos="744"/>
              </w:tabs>
              <w:spacing w:before="40" w:after="40" w:line="240" w:lineRule="auto"/>
              <w:rPr>
                <w:rFonts w:ascii="Arial Narrow" w:hAnsi="Arial Narrow"/>
                <w:sz w:val="20"/>
                <w:szCs w:val="20"/>
              </w:rPr>
            </w:pPr>
            <w:r>
              <w:rPr>
                <w:rFonts w:ascii="Arial Narrow" w:hAnsi="Arial Narrow"/>
                <w:sz w:val="20"/>
                <w:szCs w:val="20"/>
              </w:rPr>
              <w:t>21</w:t>
            </w:r>
          </w:p>
        </w:tc>
        <w:tc>
          <w:tcPr>
            <w:tcW w:w="472" w:type="pct"/>
            <w:tcBorders>
              <w:left w:val="single" w:sz="4" w:space="0" w:color="E7E6E6" w:themeColor="background2"/>
            </w:tcBorders>
            <w:shd w:val="clear" w:color="auto" w:fill="auto"/>
          </w:tcPr>
          <w:p w14:paraId="6740FB74" w14:textId="77777777" w:rsidR="0099723F" w:rsidRDefault="0099723F" w:rsidP="00375C5E">
            <w:pPr>
              <w:tabs>
                <w:tab w:val="left" w:pos="744"/>
              </w:tabs>
              <w:spacing w:before="40" w:after="40" w:line="240" w:lineRule="auto"/>
              <w:rPr>
                <w:rFonts w:ascii="Arial Narrow" w:hAnsi="Arial Narrow"/>
                <w:sz w:val="20"/>
                <w:szCs w:val="20"/>
              </w:rPr>
            </w:pPr>
          </w:p>
          <w:p w14:paraId="42FB8820" w14:textId="77777777" w:rsidR="0099723F" w:rsidRDefault="00546425" w:rsidP="002A54D3">
            <w:pPr>
              <w:tabs>
                <w:tab w:val="left" w:pos="744"/>
              </w:tabs>
              <w:spacing w:before="40" w:after="40" w:line="240" w:lineRule="auto"/>
              <w:rPr>
                <w:rFonts w:ascii="Arial Narrow" w:hAnsi="Arial Narrow"/>
                <w:sz w:val="20"/>
                <w:szCs w:val="20"/>
              </w:rPr>
            </w:pPr>
            <w:r>
              <w:rPr>
                <w:rFonts w:ascii="Arial Narrow" w:hAnsi="Arial Narrow"/>
                <w:sz w:val="20"/>
                <w:szCs w:val="20"/>
              </w:rPr>
              <w:t>-</w:t>
            </w:r>
          </w:p>
          <w:p w14:paraId="46A21E8C" w14:textId="77777777" w:rsidR="0099723F" w:rsidRDefault="00546425" w:rsidP="002A54D3">
            <w:pPr>
              <w:tabs>
                <w:tab w:val="left" w:pos="744"/>
              </w:tabs>
              <w:spacing w:before="40" w:after="40" w:line="240" w:lineRule="auto"/>
              <w:rPr>
                <w:rFonts w:ascii="Arial Narrow" w:hAnsi="Arial Narrow"/>
                <w:sz w:val="20"/>
                <w:szCs w:val="20"/>
              </w:rPr>
            </w:pPr>
            <w:r>
              <w:rPr>
                <w:rFonts w:ascii="Arial Narrow" w:hAnsi="Arial Narrow"/>
                <w:sz w:val="20"/>
                <w:szCs w:val="20"/>
              </w:rPr>
              <w:t>-</w:t>
            </w:r>
          </w:p>
          <w:p w14:paraId="547AC26A" w14:textId="77777777" w:rsidR="0099723F" w:rsidRDefault="00546425" w:rsidP="002A54D3">
            <w:pPr>
              <w:tabs>
                <w:tab w:val="left" w:pos="744"/>
              </w:tabs>
              <w:spacing w:before="40" w:after="40" w:line="240" w:lineRule="auto"/>
              <w:rPr>
                <w:rFonts w:ascii="Arial Narrow" w:hAnsi="Arial Narrow"/>
                <w:sz w:val="20"/>
                <w:szCs w:val="20"/>
              </w:rPr>
            </w:pPr>
            <w:r>
              <w:rPr>
                <w:rFonts w:ascii="Arial Narrow" w:hAnsi="Arial Narrow"/>
                <w:sz w:val="20"/>
                <w:szCs w:val="20"/>
              </w:rPr>
              <w:t>-</w:t>
            </w:r>
          </w:p>
          <w:p w14:paraId="04814962" w14:textId="77777777" w:rsidR="0099723F" w:rsidRPr="00584B4C" w:rsidRDefault="0099723F" w:rsidP="002A54D3">
            <w:pPr>
              <w:tabs>
                <w:tab w:val="left" w:pos="744"/>
              </w:tabs>
              <w:spacing w:before="40" w:after="40" w:line="240" w:lineRule="auto"/>
              <w:rPr>
                <w:rFonts w:ascii="Arial Narrow" w:hAnsi="Arial Narrow"/>
                <w:sz w:val="20"/>
                <w:szCs w:val="20"/>
              </w:rPr>
            </w:pPr>
            <w:r>
              <w:rPr>
                <w:rFonts w:ascii="Arial Narrow" w:hAnsi="Arial Narrow"/>
                <w:sz w:val="20"/>
                <w:szCs w:val="20"/>
              </w:rPr>
              <w:t>2.2</w:t>
            </w:r>
            <w:r>
              <w:rPr>
                <w:rFonts w:ascii="Arial Narrow" w:hAnsi="Arial Narrow"/>
                <w:sz w:val="20"/>
                <w:szCs w:val="20"/>
                <w:vertAlign w:val="superscript"/>
              </w:rPr>
              <w:t>c</w:t>
            </w:r>
          </w:p>
        </w:tc>
        <w:tc>
          <w:tcPr>
            <w:tcW w:w="471" w:type="pct"/>
            <w:tcBorders>
              <w:right w:val="single" w:sz="4" w:space="0" w:color="E7E6E6" w:themeColor="background2"/>
            </w:tcBorders>
            <w:shd w:val="clear" w:color="auto" w:fill="auto"/>
          </w:tcPr>
          <w:p w14:paraId="6EE8E527" w14:textId="77777777" w:rsidR="0099723F" w:rsidRDefault="0099723F" w:rsidP="00375C5E">
            <w:pPr>
              <w:tabs>
                <w:tab w:val="left" w:pos="885"/>
              </w:tabs>
              <w:spacing w:before="40" w:after="40" w:line="240" w:lineRule="auto"/>
              <w:rPr>
                <w:rFonts w:ascii="Arial Narrow" w:hAnsi="Arial Narrow"/>
                <w:sz w:val="20"/>
                <w:szCs w:val="20"/>
              </w:rPr>
            </w:pPr>
          </w:p>
          <w:p w14:paraId="77ABFDFA" w14:textId="77777777" w:rsidR="0099723F"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1C3B66EB" w14:textId="77777777" w:rsidR="0099723F"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2DE80C08" w14:textId="77777777" w:rsidR="0099723F"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3A224D66" w14:textId="77777777" w:rsidR="0099723F" w:rsidRDefault="0099723F" w:rsidP="00375C5E">
            <w:pPr>
              <w:tabs>
                <w:tab w:val="left" w:pos="885"/>
              </w:tabs>
              <w:spacing w:before="40" w:after="40" w:line="240" w:lineRule="auto"/>
              <w:rPr>
                <w:rFonts w:ascii="Arial Narrow" w:hAnsi="Arial Narrow"/>
                <w:sz w:val="20"/>
                <w:szCs w:val="20"/>
              </w:rPr>
            </w:pPr>
            <w:r>
              <w:rPr>
                <w:rFonts w:ascii="Arial Narrow" w:hAnsi="Arial Narrow"/>
                <w:sz w:val="20"/>
                <w:szCs w:val="20"/>
              </w:rPr>
              <w:t>2</w:t>
            </w:r>
          </w:p>
        </w:tc>
        <w:tc>
          <w:tcPr>
            <w:tcW w:w="521" w:type="pct"/>
            <w:tcBorders>
              <w:left w:val="single" w:sz="4" w:space="0" w:color="E7E6E6" w:themeColor="background2"/>
            </w:tcBorders>
            <w:shd w:val="clear" w:color="auto" w:fill="auto"/>
          </w:tcPr>
          <w:p w14:paraId="51000843" w14:textId="77777777" w:rsidR="0099723F" w:rsidRDefault="0099723F" w:rsidP="00375C5E">
            <w:pPr>
              <w:tabs>
                <w:tab w:val="left" w:pos="885"/>
              </w:tabs>
              <w:spacing w:before="40" w:after="40" w:line="240" w:lineRule="auto"/>
              <w:rPr>
                <w:rFonts w:ascii="Arial Narrow" w:hAnsi="Arial Narrow"/>
                <w:sz w:val="20"/>
                <w:szCs w:val="20"/>
              </w:rPr>
            </w:pPr>
          </w:p>
          <w:p w14:paraId="0949D3C0" w14:textId="77777777" w:rsidR="0099723F"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704D2551" w14:textId="77777777" w:rsidR="0099723F"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5A9D99F2" w14:textId="77777777" w:rsidR="0099723F"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6B27CD20" w14:textId="77777777" w:rsidR="0099723F" w:rsidRPr="00584B4C" w:rsidRDefault="0099723F" w:rsidP="00375C5E">
            <w:pPr>
              <w:tabs>
                <w:tab w:val="left" w:pos="885"/>
              </w:tabs>
              <w:spacing w:before="40" w:after="40" w:line="240" w:lineRule="auto"/>
              <w:rPr>
                <w:rFonts w:ascii="Arial Narrow" w:hAnsi="Arial Narrow"/>
                <w:sz w:val="20"/>
                <w:szCs w:val="20"/>
              </w:rPr>
            </w:pPr>
            <w:r>
              <w:rPr>
                <w:rFonts w:ascii="Arial Narrow" w:hAnsi="Arial Narrow"/>
                <w:sz w:val="20"/>
                <w:szCs w:val="20"/>
              </w:rPr>
              <w:t>0.04</w:t>
            </w:r>
          </w:p>
        </w:tc>
      </w:tr>
      <w:tr w:rsidR="00656E2E" w:rsidRPr="00772105" w14:paraId="583AF9DB" w14:textId="77777777" w:rsidTr="00656E2E">
        <w:tc>
          <w:tcPr>
            <w:tcW w:w="1096" w:type="pct"/>
            <w:shd w:val="clear" w:color="auto" w:fill="auto"/>
          </w:tcPr>
          <w:p w14:paraId="0AC8FD13" w14:textId="77777777" w:rsidR="0099723F" w:rsidRPr="00D54C3C" w:rsidRDefault="0099723F" w:rsidP="00772105">
            <w:pPr>
              <w:spacing w:before="40" w:after="40" w:line="240" w:lineRule="auto"/>
              <w:rPr>
                <w:rFonts w:ascii="Arial Narrow" w:hAnsi="Arial Narrow"/>
                <w:sz w:val="20"/>
                <w:szCs w:val="20"/>
                <w:u w:val="single"/>
              </w:rPr>
            </w:pPr>
            <w:r w:rsidRPr="00D54C3C">
              <w:rPr>
                <w:rFonts w:ascii="Arial Narrow" w:hAnsi="Arial Narrow"/>
                <w:sz w:val="20"/>
                <w:szCs w:val="20"/>
                <w:u w:val="single"/>
              </w:rPr>
              <w:t>Immune</w:t>
            </w:r>
          </w:p>
          <w:p w14:paraId="5BA1888F" w14:textId="77777777" w:rsidR="0099723F" w:rsidRDefault="0099723F" w:rsidP="00584B4C">
            <w:pPr>
              <w:spacing w:before="40" w:after="40" w:line="240" w:lineRule="auto"/>
              <w:rPr>
                <w:rFonts w:ascii="Arial Narrow" w:hAnsi="Arial Narrow"/>
                <w:sz w:val="20"/>
                <w:szCs w:val="20"/>
              </w:rPr>
            </w:pPr>
            <w:r>
              <w:rPr>
                <w:rFonts w:ascii="Arial Narrow" w:hAnsi="Arial Narrow"/>
                <w:sz w:val="20"/>
                <w:szCs w:val="20"/>
              </w:rPr>
              <w:t xml:space="preserve">Allergic reaction </w:t>
            </w:r>
          </w:p>
          <w:p w14:paraId="5F00BACD" w14:textId="77777777" w:rsidR="0099723F" w:rsidRDefault="0099723F" w:rsidP="00584B4C">
            <w:pPr>
              <w:spacing w:before="40" w:after="40" w:line="240" w:lineRule="auto"/>
              <w:rPr>
                <w:rFonts w:ascii="Arial Narrow" w:hAnsi="Arial Narrow"/>
                <w:sz w:val="20"/>
                <w:szCs w:val="20"/>
              </w:rPr>
            </w:pPr>
            <w:r>
              <w:rPr>
                <w:rFonts w:ascii="Arial Narrow" w:hAnsi="Arial Narrow"/>
                <w:sz w:val="20"/>
                <w:szCs w:val="20"/>
              </w:rPr>
              <w:t>Urticaria</w:t>
            </w:r>
          </w:p>
        </w:tc>
        <w:tc>
          <w:tcPr>
            <w:tcW w:w="467" w:type="pct"/>
            <w:tcBorders>
              <w:right w:val="single" w:sz="4" w:space="0" w:color="E7E6E6" w:themeColor="background2"/>
            </w:tcBorders>
          </w:tcPr>
          <w:p w14:paraId="3A0B370B" w14:textId="77777777" w:rsidR="0099723F" w:rsidRDefault="0099723F" w:rsidP="00375C5E">
            <w:pPr>
              <w:tabs>
                <w:tab w:val="left" w:pos="735"/>
              </w:tabs>
              <w:spacing w:before="40" w:after="40" w:line="240" w:lineRule="auto"/>
              <w:rPr>
                <w:rFonts w:ascii="Arial Narrow" w:hAnsi="Arial Narrow"/>
                <w:sz w:val="20"/>
                <w:szCs w:val="20"/>
              </w:rPr>
            </w:pPr>
          </w:p>
          <w:p w14:paraId="5B4B8267" w14:textId="77777777" w:rsidR="0099723F" w:rsidRDefault="0099723F" w:rsidP="00375C5E">
            <w:pPr>
              <w:tabs>
                <w:tab w:val="left" w:pos="735"/>
              </w:tabs>
              <w:spacing w:before="40" w:after="40" w:line="240" w:lineRule="auto"/>
              <w:rPr>
                <w:rFonts w:ascii="Arial Narrow" w:hAnsi="Arial Narrow"/>
                <w:sz w:val="20"/>
                <w:szCs w:val="20"/>
              </w:rPr>
            </w:pPr>
            <w:r>
              <w:rPr>
                <w:rFonts w:ascii="Arial Narrow" w:hAnsi="Arial Narrow"/>
                <w:sz w:val="20"/>
                <w:szCs w:val="20"/>
              </w:rPr>
              <w:t>23</w:t>
            </w:r>
          </w:p>
          <w:p w14:paraId="7AD68859" w14:textId="77777777" w:rsidR="00546425" w:rsidRPr="00584B4C"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tc>
        <w:tc>
          <w:tcPr>
            <w:tcW w:w="469" w:type="pct"/>
            <w:tcBorders>
              <w:left w:val="single" w:sz="4" w:space="0" w:color="E7E6E6" w:themeColor="background2"/>
            </w:tcBorders>
          </w:tcPr>
          <w:p w14:paraId="1339C3DB" w14:textId="77777777" w:rsidR="0099723F" w:rsidRDefault="0099723F" w:rsidP="00375C5E">
            <w:pPr>
              <w:tabs>
                <w:tab w:val="left" w:pos="735"/>
              </w:tabs>
              <w:spacing w:before="40" w:after="40" w:line="240" w:lineRule="auto"/>
              <w:rPr>
                <w:rFonts w:ascii="Arial Narrow" w:hAnsi="Arial Narrow"/>
                <w:sz w:val="20"/>
                <w:szCs w:val="20"/>
              </w:rPr>
            </w:pPr>
          </w:p>
          <w:p w14:paraId="2A1B7669" w14:textId="77777777" w:rsidR="0099723F" w:rsidRDefault="0099723F" w:rsidP="00375C5E">
            <w:pPr>
              <w:tabs>
                <w:tab w:val="left" w:pos="735"/>
              </w:tabs>
              <w:spacing w:before="40" w:after="40" w:line="240" w:lineRule="auto"/>
              <w:rPr>
                <w:rFonts w:ascii="Arial Narrow" w:hAnsi="Arial Narrow"/>
                <w:sz w:val="20"/>
                <w:szCs w:val="20"/>
              </w:rPr>
            </w:pPr>
            <w:r>
              <w:rPr>
                <w:rFonts w:ascii="Arial Narrow" w:hAnsi="Arial Narrow"/>
                <w:sz w:val="20"/>
                <w:szCs w:val="20"/>
              </w:rPr>
              <w:t>0.008</w:t>
            </w:r>
          </w:p>
          <w:p w14:paraId="7A9A696A" w14:textId="77777777" w:rsidR="00546425" w:rsidRPr="00584B4C"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tc>
        <w:tc>
          <w:tcPr>
            <w:tcW w:w="481" w:type="pct"/>
            <w:tcBorders>
              <w:right w:val="single" w:sz="4" w:space="0" w:color="E7E6E6" w:themeColor="background2"/>
            </w:tcBorders>
            <w:shd w:val="clear" w:color="auto" w:fill="auto"/>
          </w:tcPr>
          <w:p w14:paraId="10CB0E75" w14:textId="77777777" w:rsidR="0099723F" w:rsidRDefault="0099723F" w:rsidP="00375C5E">
            <w:pPr>
              <w:tabs>
                <w:tab w:val="left" w:pos="888"/>
              </w:tabs>
              <w:spacing w:before="40" w:after="40" w:line="240" w:lineRule="auto"/>
              <w:rPr>
                <w:rFonts w:ascii="Arial Narrow" w:hAnsi="Arial Narrow"/>
                <w:sz w:val="20"/>
                <w:szCs w:val="20"/>
              </w:rPr>
            </w:pPr>
          </w:p>
          <w:p w14:paraId="58F65739" w14:textId="77777777" w:rsidR="0099723F"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p>
          <w:p w14:paraId="7D7D12CD" w14:textId="77777777" w:rsidR="0099723F" w:rsidRDefault="0099723F" w:rsidP="00375C5E">
            <w:pPr>
              <w:tabs>
                <w:tab w:val="left" w:pos="888"/>
              </w:tabs>
              <w:spacing w:before="40" w:after="40" w:line="240" w:lineRule="auto"/>
              <w:rPr>
                <w:rFonts w:ascii="Arial Narrow" w:hAnsi="Arial Narrow"/>
                <w:sz w:val="20"/>
                <w:szCs w:val="20"/>
              </w:rPr>
            </w:pPr>
            <w:r>
              <w:rPr>
                <w:rFonts w:ascii="Arial Narrow" w:hAnsi="Arial Narrow"/>
                <w:sz w:val="20"/>
                <w:szCs w:val="20"/>
              </w:rPr>
              <w:t>57</w:t>
            </w:r>
          </w:p>
        </w:tc>
        <w:tc>
          <w:tcPr>
            <w:tcW w:w="552" w:type="pct"/>
            <w:tcBorders>
              <w:left w:val="single" w:sz="4" w:space="0" w:color="E7E6E6" w:themeColor="background2"/>
            </w:tcBorders>
            <w:shd w:val="clear" w:color="auto" w:fill="auto"/>
          </w:tcPr>
          <w:p w14:paraId="42472E4B" w14:textId="77777777" w:rsidR="0099723F" w:rsidRDefault="0099723F" w:rsidP="00375C5E">
            <w:pPr>
              <w:tabs>
                <w:tab w:val="left" w:pos="888"/>
              </w:tabs>
              <w:spacing w:before="40" w:after="40" w:line="240" w:lineRule="auto"/>
              <w:rPr>
                <w:rFonts w:ascii="Arial Narrow" w:hAnsi="Arial Narrow"/>
                <w:sz w:val="20"/>
                <w:szCs w:val="20"/>
              </w:rPr>
            </w:pPr>
          </w:p>
          <w:p w14:paraId="3FC7DBC5" w14:textId="77777777" w:rsidR="0099723F" w:rsidRDefault="00546425" w:rsidP="00375C5E">
            <w:pPr>
              <w:tabs>
                <w:tab w:val="left" w:pos="888"/>
              </w:tabs>
              <w:spacing w:before="40" w:after="40" w:line="240" w:lineRule="auto"/>
              <w:rPr>
                <w:rFonts w:ascii="Arial Narrow" w:hAnsi="Arial Narrow"/>
                <w:sz w:val="20"/>
                <w:szCs w:val="20"/>
              </w:rPr>
            </w:pPr>
            <w:r>
              <w:rPr>
                <w:rFonts w:ascii="Arial Narrow" w:hAnsi="Arial Narrow"/>
                <w:sz w:val="20"/>
                <w:szCs w:val="20"/>
              </w:rPr>
              <w:t>-</w:t>
            </w:r>
          </w:p>
          <w:p w14:paraId="7146FD50" w14:textId="77777777" w:rsidR="0099723F" w:rsidRPr="00584B4C"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0.57</w:t>
            </w:r>
          </w:p>
        </w:tc>
        <w:tc>
          <w:tcPr>
            <w:tcW w:w="472" w:type="pct"/>
            <w:tcBorders>
              <w:right w:val="single" w:sz="4" w:space="0" w:color="E7E6E6" w:themeColor="background2"/>
            </w:tcBorders>
            <w:shd w:val="clear" w:color="auto" w:fill="auto"/>
          </w:tcPr>
          <w:p w14:paraId="4B70E3B8" w14:textId="77777777" w:rsidR="0099723F" w:rsidRDefault="0099723F" w:rsidP="00375C5E">
            <w:pPr>
              <w:tabs>
                <w:tab w:val="left" w:pos="885"/>
              </w:tabs>
              <w:spacing w:before="40" w:after="40" w:line="240" w:lineRule="auto"/>
              <w:rPr>
                <w:rFonts w:ascii="Arial Narrow" w:hAnsi="Arial Narrow"/>
                <w:sz w:val="20"/>
                <w:szCs w:val="20"/>
              </w:rPr>
            </w:pPr>
          </w:p>
          <w:p w14:paraId="44DCD4D9"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66DE5BDA" w14:textId="77777777" w:rsidR="00546425" w:rsidRPr="00584B4C"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472" w:type="pct"/>
            <w:tcBorders>
              <w:left w:val="single" w:sz="4" w:space="0" w:color="E7E6E6" w:themeColor="background2"/>
            </w:tcBorders>
            <w:shd w:val="clear" w:color="auto" w:fill="auto"/>
          </w:tcPr>
          <w:p w14:paraId="7B769DEC" w14:textId="77777777" w:rsidR="0099723F" w:rsidRDefault="0099723F" w:rsidP="00375C5E">
            <w:pPr>
              <w:tabs>
                <w:tab w:val="left" w:pos="885"/>
              </w:tabs>
              <w:spacing w:before="40" w:after="40" w:line="240" w:lineRule="auto"/>
              <w:rPr>
                <w:rFonts w:ascii="Arial Narrow" w:hAnsi="Arial Narrow"/>
                <w:sz w:val="20"/>
                <w:szCs w:val="20"/>
              </w:rPr>
            </w:pPr>
          </w:p>
          <w:p w14:paraId="10955DE0"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4D3F06A8" w14:textId="77777777" w:rsidR="00546425" w:rsidRPr="00584B4C"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471" w:type="pct"/>
            <w:tcBorders>
              <w:right w:val="single" w:sz="4" w:space="0" w:color="E7E6E6" w:themeColor="background2"/>
            </w:tcBorders>
            <w:shd w:val="clear" w:color="auto" w:fill="auto"/>
          </w:tcPr>
          <w:p w14:paraId="05EF4249" w14:textId="77777777" w:rsidR="0099723F" w:rsidRDefault="0099723F" w:rsidP="00375C5E">
            <w:pPr>
              <w:tabs>
                <w:tab w:val="left" w:pos="885"/>
              </w:tabs>
              <w:spacing w:before="40" w:after="40" w:line="240" w:lineRule="auto"/>
              <w:rPr>
                <w:rFonts w:ascii="Arial Narrow" w:hAnsi="Arial Narrow"/>
                <w:sz w:val="20"/>
                <w:szCs w:val="20"/>
              </w:rPr>
            </w:pPr>
          </w:p>
          <w:p w14:paraId="46CEA989"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014ABD66" w14:textId="77777777" w:rsidR="00546425" w:rsidRPr="00584B4C"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521" w:type="pct"/>
            <w:tcBorders>
              <w:left w:val="single" w:sz="4" w:space="0" w:color="E7E6E6" w:themeColor="background2"/>
            </w:tcBorders>
            <w:shd w:val="clear" w:color="auto" w:fill="auto"/>
          </w:tcPr>
          <w:p w14:paraId="2B509041" w14:textId="77777777" w:rsidR="0099723F" w:rsidRDefault="0099723F" w:rsidP="00375C5E">
            <w:pPr>
              <w:tabs>
                <w:tab w:val="left" w:pos="885"/>
              </w:tabs>
              <w:spacing w:before="40" w:after="40" w:line="240" w:lineRule="auto"/>
              <w:rPr>
                <w:rFonts w:ascii="Arial Narrow" w:hAnsi="Arial Narrow"/>
                <w:sz w:val="20"/>
                <w:szCs w:val="20"/>
              </w:rPr>
            </w:pPr>
          </w:p>
          <w:p w14:paraId="4CBAC8CF"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34B67F36" w14:textId="77777777" w:rsidR="00546425" w:rsidRPr="00584B4C"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656E2E" w:rsidRPr="00772105" w14:paraId="7046141A" w14:textId="77777777" w:rsidTr="00656E2E">
        <w:tc>
          <w:tcPr>
            <w:tcW w:w="1096" w:type="pct"/>
            <w:shd w:val="clear" w:color="auto" w:fill="auto"/>
          </w:tcPr>
          <w:p w14:paraId="69902C16" w14:textId="77777777" w:rsidR="0099723F" w:rsidRPr="00D54C3C" w:rsidRDefault="0099723F" w:rsidP="00772105">
            <w:pPr>
              <w:spacing w:before="40" w:after="40" w:line="240" w:lineRule="auto"/>
              <w:rPr>
                <w:rFonts w:ascii="Arial Narrow" w:hAnsi="Arial Narrow"/>
                <w:sz w:val="20"/>
                <w:szCs w:val="20"/>
                <w:u w:val="single"/>
              </w:rPr>
            </w:pPr>
            <w:r w:rsidRPr="00D54C3C">
              <w:rPr>
                <w:rFonts w:ascii="Arial Narrow" w:hAnsi="Arial Narrow"/>
                <w:sz w:val="20"/>
                <w:szCs w:val="20"/>
                <w:u w:val="single"/>
              </w:rPr>
              <w:t>Other</w:t>
            </w:r>
          </w:p>
          <w:p w14:paraId="5AF8268D" w14:textId="77777777" w:rsidR="0099723F" w:rsidRDefault="0099723F" w:rsidP="00B21990">
            <w:pPr>
              <w:spacing w:before="40" w:after="40" w:line="240" w:lineRule="auto"/>
              <w:rPr>
                <w:rFonts w:ascii="Arial Narrow" w:hAnsi="Arial Narrow"/>
                <w:sz w:val="20"/>
                <w:szCs w:val="20"/>
              </w:rPr>
            </w:pPr>
            <w:r>
              <w:rPr>
                <w:rFonts w:ascii="Arial Narrow" w:hAnsi="Arial Narrow"/>
                <w:sz w:val="20"/>
                <w:szCs w:val="20"/>
              </w:rPr>
              <w:t>Technical problems</w:t>
            </w:r>
          </w:p>
          <w:p w14:paraId="7CEBD1E6" w14:textId="77777777" w:rsidR="0099723F" w:rsidRDefault="0099723F" w:rsidP="00B21990">
            <w:pPr>
              <w:spacing w:before="40" w:after="40" w:line="240" w:lineRule="auto"/>
              <w:rPr>
                <w:rFonts w:ascii="Arial Narrow" w:hAnsi="Arial Narrow"/>
                <w:sz w:val="20"/>
                <w:szCs w:val="20"/>
              </w:rPr>
            </w:pPr>
            <w:r>
              <w:rPr>
                <w:rFonts w:ascii="Arial Narrow" w:hAnsi="Arial Narrow"/>
                <w:sz w:val="20"/>
                <w:szCs w:val="20"/>
              </w:rPr>
              <w:t>Back pain</w:t>
            </w:r>
          </w:p>
          <w:p w14:paraId="7DE06D38" w14:textId="77777777" w:rsidR="0099723F" w:rsidRDefault="0099723F" w:rsidP="00375C5E">
            <w:pPr>
              <w:spacing w:before="40" w:after="40" w:line="240" w:lineRule="auto"/>
              <w:rPr>
                <w:rFonts w:ascii="Arial Narrow" w:hAnsi="Arial Narrow"/>
                <w:sz w:val="20"/>
                <w:szCs w:val="20"/>
              </w:rPr>
            </w:pPr>
            <w:r>
              <w:rPr>
                <w:rFonts w:ascii="Arial Narrow" w:hAnsi="Arial Narrow"/>
                <w:sz w:val="20"/>
                <w:szCs w:val="20"/>
              </w:rPr>
              <w:t>Flush</w:t>
            </w:r>
          </w:p>
        </w:tc>
        <w:tc>
          <w:tcPr>
            <w:tcW w:w="467" w:type="pct"/>
            <w:tcBorders>
              <w:right w:val="single" w:sz="4" w:space="0" w:color="E7E6E6" w:themeColor="background2"/>
            </w:tcBorders>
          </w:tcPr>
          <w:p w14:paraId="25CB0989" w14:textId="77777777" w:rsidR="0099723F" w:rsidRDefault="0099723F" w:rsidP="00375C5E">
            <w:pPr>
              <w:tabs>
                <w:tab w:val="left" w:pos="735"/>
              </w:tabs>
              <w:spacing w:before="40" w:after="40" w:line="240" w:lineRule="auto"/>
              <w:rPr>
                <w:rFonts w:ascii="Arial Narrow" w:hAnsi="Arial Narrow"/>
                <w:sz w:val="20"/>
                <w:szCs w:val="20"/>
              </w:rPr>
            </w:pPr>
          </w:p>
          <w:p w14:paraId="7939A0E9" w14:textId="77777777" w:rsidR="00546425"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32DF0A2C" w14:textId="77777777" w:rsidR="00546425"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319619D2" w14:textId="77777777" w:rsidR="00546425" w:rsidRPr="00584B4C" w:rsidRDefault="00546425" w:rsidP="00375C5E">
            <w:pPr>
              <w:tabs>
                <w:tab w:val="left" w:pos="735"/>
              </w:tabs>
              <w:spacing w:before="40" w:after="40" w:line="240" w:lineRule="auto"/>
              <w:rPr>
                <w:rFonts w:ascii="Arial Narrow" w:hAnsi="Arial Narrow"/>
                <w:sz w:val="20"/>
                <w:szCs w:val="20"/>
              </w:rPr>
            </w:pPr>
            <w:r>
              <w:rPr>
                <w:rFonts w:ascii="Arial Narrow" w:hAnsi="Arial Narrow"/>
                <w:sz w:val="20"/>
                <w:szCs w:val="20"/>
              </w:rPr>
              <w:t>-</w:t>
            </w:r>
          </w:p>
        </w:tc>
        <w:tc>
          <w:tcPr>
            <w:tcW w:w="469" w:type="pct"/>
            <w:tcBorders>
              <w:left w:val="single" w:sz="4" w:space="0" w:color="E7E6E6" w:themeColor="background2"/>
            </w:tcBorders>
          </w:tcPr>
          <w:p w14:paraId="66694CFA" w14:textId="77777777" w:rsidR="0099723F" w:rsidRDefault="0099723F" w:rsidP="00501DD5">
            <w:pPr>
              <w:tabs>
                <w:tab w:val="left" w:pos="735"/>
              </w:tabs>
              <w:spacing w:before="40" w:after="40" w:line="240" w:lineRule="auto"/>
              <w:rPr>
                <w:rFonts w:ascii="Arial Narrow" w:hAnsi="Arial Narrow"/>
                <w:sz w:val="20"/>
                <w:szCs w:val="20"/>
              </w:rPr>
            </w:pPr>
          </w:p>
          <w:p w14:paraId="70BAFBCB" w14:textId="77777777" w:rsidR="00546425" w:rsidRDefault="00546425" w:rsidP="00501DD5">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505A86F1" w14:textId="77777777" w:rsidR="00546425" w:rsidRDefault="00546425" w:rsidP="00501DD5">
            <w:pPr>
              <w:tabs>
                <w:tab w:val="left" w:pos="735"/>
              </w:tabs>
              <w:spacing w:before="40" w:after="40" w:line="240" w:lineRule="auto"/>
              <w:rPr>
                <w:rFonts w:ascii="Arial Narrow" w:hAnsi="Arial Narrow"/>
                <w:sz w:val="20"/>
                <w:szCs w:val="20"/>
              </w:rPr>
            </w:pPr>
            <w:r>
              <w:rPr>
                <w:rFonts w:ascii="Arial Narrow" w:hAnsi="Arial Narrow"/>
                <w:sz w:val="20"/>
                <w:szCs w:val="20"/>
              </w:rPr>
              <w:t>-</w:t>
            </w:r>
          </w:p>
          <w:p w14:paraId="3BF7B07B" w14:textId="77777777" w:rsidR="00546425" w:rsidRPr="00584B4C" w:rsidRDefault="00546425" w:rsidP="00501DD5">
            <w:pPr>
              <w:tabs>
                <w:tab w:val="left" w:pos="735"/>
              </w:tabs>
              <w:spacing w:before="40" w:after="40" w:line="240" w:lineRule="auto"/>
              <w:rPr>
                <w:rFonts w:ascii="Arial Narrow" w:hAnsi="Arial Narrow"/>
                <w:sz w:val="20"/>
                <w:szCs w:val="20"/>
              </w:rPr>
            </w:pPr>
            <w:r>
              <w:rPr>
                <w:rFonts w:ascii="Arial Narrow" w:hAnsi="Arial Narrow"/>
                <w:sz w:val="20"/>
                <w:szCs w:val="20"/>
              </w:rPr>
              <w:t>-</w:t>
            </w:r>
          </w:p>
        </w:tc>
        <w:tc>
          <w:tcPr>
            <w:tcW w:w="481" w:type="pct"/>
            <w:tcBorders>
              <w:right w:val="single" w:sz="4" w:space="0" w:color="E7E6E6" w:themeColor="background2"/>
            </w:tcBorders>
            <w:shd w:val="clear" w:color="auto" w:fill="auto"/>
          </w:tcPr>
          <w:p w14:paraId="283A2BDD" w14:textId="77777777" w:rsidR="0099723F" w:rsidRDefault="0099723F" w:rsidP="00375C5E">
            <w:pPr>
              <w:tabs>
                <w:tab w:val="left" w:pos="888"/>
              </w:tabs>
              <w:spacing w:before="40" w:after="40" w:line="240" w:lineRule="auto"/>
              <w:rPr>
                <w:rFonts w:ascii="Arial Narrow" w:hAnsi="Arial Narrow"/>
                <w:sz w:val="20"/>
                <w:szCs w:val="20"/>
              </w:rPr>
            </w:pPr>
          </w:p>
          <w:p w14:paraId="5AB17435" w14:textId="77777777" w:rsidR="0099723F" w:rsidRDefault="0099723F" w:rsidP="00375C5E">
            <w:pPr>
              <w:tabs>
                <w:tab w:val="left" w:pos="888"/>
              </w:tabs>
              <w:spacing w:before="40" w:after="40" w:line="240" w:lineRule="auto"/>
              <w:rPr>
                <w:rFonts w:ascii="Arial Narrow" w:hAnsi="Arial Narrow"/>
                <w:sz w:val="20"/>
                <w:szCs w:val="20"/>
              </w:rPr>
            </w:pPr>
            <w:r>
              <w:rPr>
                <w:rFonts w:ascii="Arial Narrow" w:hAnsi="Arial Narrow"/>
                <w:sz w:val="20"/>
                <w:szCs w:val="20"/>
              </w:rPr>
              <w:t>23</w:t>
            </w:r>
          </w:p>
          <w:p w14:paraId="64C3F490" w14:textId="77777777" w:rsidR="0099723F" w:rsidRDefault="00FD4DAB" w:rsidP="00375C5E">
            <w:pPr>
              <w:tabs>
                <w:tab w:val="left" w:pos="888"/>
              </w:tabs>
              <w:spacing w:before="40" w:after="40" w:line="240" w:lineRule="auto"/>
              <w:rPr>
                <w:rFonts w:ascii="Arial Narrow" w:hAnsi="Arial Narrow"/>
                <w:sz w:val="20"/>
                <w:szCs w:val="20"/>
              </w:rPr>
            </w:pPr>
            <w:r>
              <w:rPr>
                <w:rFonts w:ascii="Arial Narrow" w:hAnsi="Arial Narrow"/>
                <w:sz w:val="20"/>
                <w:szCs w:val="20"/>
              </w:rPr>
              <w:t>1</w:t>
            </w:r>
          </w:p>
          <w:p w14:paraId="4C8A13F3" w14:textId="77777777" w:rsidR="0099723F" w:rsidRDefault="0099723F" w:rsidP="00375C5E">
            <w:pPr>
              <w:tabs>
                <w:tab w:val="left" w:pos="888"/>
              </w:tabs>
              <w:spacing w:before="40" w:after="40" w:line="240" w:lineRule="auto"/>
              <w:rPr>
                <w:rFonts w:ascii="Arial Narrow" w:hAnsi="Arial Narrow"/>
                <w:sz w:val="20"/>
                <w:szCs w:val="20"/>
              </w:rPr>
            </w:pPr>
            <w:r>
              <w:rPr>
                <w:rFonts w:ascii="Arial Narrow" w:hAnsi="Arial Narrow"/>
                <w:sz w:val="20"/>
                <w:szCs w:val="20"/>
              </w:rPr>
              <w:t>2</w:t>
            </w:r>
          </w:p>
        </w:tc>
        <w:tc>
          <w:tcPr>
            <w:tcW w:w="552" w:type="pct"/>
            <w:tcBorders>
              <w:left w:val="single" w:sz="4" w:space="0" w:color="E7E6E6" w:themeColor="background2"/>
            </w:tcBorders>
            <w:shd w:val="clear" w:color="auto" w:fill="auto"/>
          </w:tcPr>
          <w:p w14:paraId="682C30BC" w14:textId="77777777" w:rsidR="0099723F" w:rsidRDefault="0099723F" w:rsidP="00375C5E">
            <w:pPr>
              <w:tabs>
                <w:tab w:val="left" w:pos="888"/>
              </w:tabs>
              <w:spacing w:before="40" w:after="40" w:line="240" w:lineRule="auto"/>
              <w:rPr>
                <w:rFonts w:ascii="Arial Narrow" w:hAnsi="Arial Narrow"/>
                <w:sz w:val="20"/>
                <w:szCs w:val="20"/>
              </w:rPr>
            </w:pPr>
          </w:p>
          <w:p w14:paraId="025685E0" w14:textId="77777777" w:rsidR="0099723F"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0.23</w:t>
            </w:r>
          </w:p>
          <w:p w14:paraId="4C5A933A" w14:textId="77777777" w:rsidR="0099723F"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0.01</w:t>
            </w:r>
          </w:p>
          <w:p w14:paraId="49CF0265" w14:textId="77777777" w:rsidR="0099723F" w:rsidRPr="00584B4C" w:rsidRDefault="00887A70" w:rsidP="00375C5E">
            <w:pPr>
              <w:tabs>
                <w:tab w:val="left" w:pos="888"/>
              </w:tabs>
              <w:spacing w:before="40" w:after="40" w:line="240" w:lineRule="auto"/>
              <w:rPr>
                <w:rFonts w:ascii="Arial Narrow" w:hAnsi="Arial Narrow"/>
                <w:sz w:val="20"/>
                <w:szCs w:val="20"/>
              </w:rPr>
            </w:pPr>
            <w:r>
              <w:rPr>
                <w:rFonts w:ascii="Arial Narrow" w:hAnsi="Arial Narrow"/>
                <w:sz w:val="20"/>
                <w:szCs w:val="20"/>
              </w:rPr>
              <w:t>0.021</w:t>
            </w:r>
          </w:p>
        </w:tc>
        <w:tc>
          <w:tcPr>
            <w:tcW w:w="472" w:type="pct"/>
            <w:tcBorders>
              <w:right w:val="single" w:sz="4" w:space="0" w:color="E7E6E6" w:themeColor="background2"/>
            </w:tcBorders>
            <w:shd w:val="clear" w:color="auto" w:fill="auto"/>
          </w:tcPr>
          <w:p w14:paraId="259BC3DF" w14:textId="77777777" w:rsidR="0099723F" w:rsidRDefault="0099723F" w:rsidP="00375C5E">
            <w:pPr>
              <w:tabs>
                <w:tab w:val="left" w:pos="885"/>
              </w:tabs>
              <w:spacing w:before="40" w:after="40" w:line="240" w:lineRule="auto"/>
              <w:rPr>
                <w:rFonts w:ascii="Arial Narrow" w:hAnsi="Arial Narrow"/>
                <w:sz w:val="20"/>
                <w:szCs w:val="20"/>
              </w:rPr>
            </w:pPr>
          </w:p>
          <w:p w14:paraId="63B5FA0E"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5746E631"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55F9D059" w14:textId="77777777" w:rsidR="00546425" w:rsidRPr="00584B4C"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472" w:type="pct"/>
            <w:tcBorders>
              <w:left w:val="single" w:sz="4" w:space="0" w:color="E7E6E6" w:themeColor="background2"/>
            </w:tcBorders>
            <w:shd w:val="clear" w:color="auto" w:fill="auto"/>
          </w:tcPr>
          <w:p w14:paraId="6BBACB68" w14:textId="77777777" w:rsidR="0099723F" w:rsidRDefault="0099723F" w:rsidP="00375C5E">
            <w:pPr>
              <w:tabs>
                <w:tab w:val="left" w:pos="885"/>
              </w:tabs>
              <w:spacing w:before="40" w:after="40" w:line="240" w:lineRule="auto"/>
              <w:rPr>
                <w:rFonts w:ascii="Arial Narrow" w:hAnsi="Arial Narrow"/>
                <w:sz w:val="20"/>
                <w:szCs w:val="20"/>
              </w:rPr>
            </w:pPr>
          </w:p>
          <w:p w14:paraId="781A5641"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256BF706"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39F05AF3" w14:textId="77777777" w:rsidR="00546425" w:rsidRPr="00584B4C"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471" w:type="pct"/>
            <w:tcBorders>
              <w:right w:val="single" w:sz="4" w:space="0" w:color="E7E6E6" w:themeColor="background2"/>
            </w:tcBorders>
            <w:shd w:val="clear" w:color="auto" w:fill="auto"/>
          </w:tcPr>
          <w:p w14:paraId="54DDF7D7" w14:textId="77777777" w:rsidR="0099723F" w:rsidRDefault="0099723F" w:rsidP="00375C5E">
            <w:pPr>
              <w:tabs>
                <w:tab w:val="left" w:pos="885"/>
              </w:tabs>
              <w:spacing w:before="40" w:after="40" w:line="240" w:lineRule="auto"/>
              <w:rPr>
                <w:rFonts w:ascii="Arial Narrow" w:hAnsi="Arial Narrow"/>
                <w:sz w:val="20"/>
                <w:szCs w:val="20"/>
              </w:rPr>
            </w:pPr>
          </w:p>
          <w:p w14:paraId="6279CB98"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758473E9"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755FAED9" w14:textId="77777777" w:rsidR="00546425" w:rsidRPr="00584B4C"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521" w:type="pct"/>
            <w:tcBorders>
              <w:left w:val="single" w:sz="4" w:space="0" w:color="E7E6E6" w:themeColor="background2"/>
            </w:tcBorders>
            <w:shd w:val="clear" w:color="auto" w:fill="auto"/>
          </w:tcPr>
          <w:p w14:paraId="72C3A8C0" w14:textId="77777777" w:rsidR="0099723F" w:rsidRDefault="0099723F" w:rsidP="00375C5E">
            <w:pPr>
              <w:tabs>
                <w:tab w:val="left" w:pos="885"/>
              </w:tabs>
              <w:spacing w:before="40" w:after="40" w:line="240" w:lineRule="auto"/>
              <w:rPr>
                <w:rFonts w:ascii="Arial Narrow" w:hAnsi="Arial Narrow"/>
                <w:sz w:val="20"/>
                <w:szCs w:val="20"/>
              </w:rPr>
            </w:pPr>
          </w:p>
          <w:p w14:paraId="572DB992"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1034FE91" w14:textId="77777777" w:rsidR="00546425"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p w14:paraId="5C16C310" w14:textId="77777777" w:rsidR="00546425" w:rsidRPr="00584B4C" w:rsidRDefault="00546425" w:rsidP="00375C5E">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bl>
    <w:p w14:paraId="4B7E1ABD" w14:textId="77777777" w:rsidR="00453AD6" w:rsidRDefault="00195B96" w:rsidP="00195B96">
      <w:pPr>
        <w:pStyle w:val="Tablenote"/>
      </w:pPr>
      <w:r>
        <w:t>Abbreviations:</w:t>
      </w:r>
      <w:r w:rsidR="007533A0">
        <w:t xml:space="preserve"> </w:t>
      </w:r>
      <w:r w:rsidR="007E355D">
        <w:t>Ae = adverse event; PE = plasma exchange therapy; SR = systematic review</w:t>
      </w:r>
      <w:r w:rsidR="007533A0">
        <w:t xml:space="preserve"> </w:t>
      </w:r>
      <w:r>
        <w:t xml:space="preserve"> </w:t>
      </w:r>
    </w:p>
    <w:p w14:paraId="3FD490B6" w14:textId="77777777" w:rsidR="002A54D3" w:rsidRPr="002A54D3" w:rsidRDefault="002A54D3" w:rsidP="00195B96">
      <w:pPr>
        <w:pStyle w:val="Tablenote"/>
      </w:pPr>
      <w:r>
        <w:rPr>
          <w:vertAlign w:val="superscript"/>
        </w:rPr>
        <w:t>a</w:t>
      </w:r>
      <w:r>
        <w:t xml:space="preserve"> Severity of events could not be established in the SR</w:t>
      </w:r>
    </w:p>
    <w:p w14:paraId="58C07DF7" w14:textId="53F69951" w:rsidR="00195B96" w:rsidRDefault="002A54D3" w:rsidP="00195B96">
      <w:pPr>
        <w:pStyle w:val="Tablenote"/>
      </w:pPr>
      <w:r>
        <w:rPr>
          <w:vertAlign w:val="superscript"/>
        </w:rPr>
        <w:t>b</w:t>
      </w:r>
      <w:r w:rsidR="00195B96">
        <w:t xml:space="preserve"> Complications related to </w:t>
      </w:r>
      <w:hyperlink r:id="rId43" w:history="1">
        <w:r w:rsidR="00195B96" w:rsidRPr="005D63BF">
          <w:rPr>
            <w:rStyle w:val="Hyperlink"/>
          </w:rPr>
          <w:t>Mahurkar catheter</w:t>
        </w:r>
      </w:hyperlink>
      <w:r w:rsidR="005D63BF">
        <w:t xml:space="preserve"> – a dual lumen catheter used in dialysis and apheresis, made from a thermosensitive material, with variable stiffness</w:t>
      </w:r>
    </w:p>
    <w:p w14:paraId="6BAD637D" w14:textId="77777777" w:rsidR="00195B96" w:rsidRDefault="002A54D3" w:rsidP="00195B96">
      <w:pPr>
        <w:pStyle w:val="Tablenote"/>
      </w:pPr>
      <w:r>
        <w:rPr>
          <w:vertAlign w:val="superscript"/>
        </w:rPr>
        <w:t>c</w:t>
      </w:r>
      <w:r w:rsidR="00195B96">
        <w:rPr>
          <w:vertAlign w:val="superscript"/>
        </w:rPr>
        <w:t xml:space="preserve"> </w:t>
      </w:r>
      <w:r w:rsidR="00195B96">
        <w:t>Assessed at 14 days post procedure</w:t>
      </w:r>
    </w:p>
    <w:p w14:paraId="75CEAECA" w14:textId="77777777" w:rsidR="00791BF8" w:rsidRDefault="00791BF8" w:rsidP="00B236AD">
      <w:pPr>
        <w:pStyle w:val="Heading5"/>
      </w:pPr>
      <w:r>
        <w:t>Severe adverse events</w:t>
      </w:r>
      <w:r w:rsidR="0067497C">
        <w:t xml:space="preserve"> in patients receiving PE</w:t>
      </w:r>
    </w:p>
    <w:p w14:paraId="1514694E" w14:textId="488281EC" w:rsidR="00D54C3C" w:rsidRDefault="00110B72" w:rsidP="00192373">
      <w:pPr>
        <w:jc w:val="both"/>
      </w:pPr>
      <w:r>
        <w:t>Three studies reported the rate of most common severe AEs for patients receiving PE</w:t>
      </w:r>
      <w:r w:rsidR="00A8604C">
        <w:t xml:space="preserve"> (</w:t>
      </w:r>
      <w:r w:rsidR="00A8604C">
        <w:fldChar w:fldCharType="begin"/>
      </w:r>
      <w:r w:rsidR="00A8604C">
        <w:instrText xml:space="preserve"> REF _Ref57051518 \h </w:instrText>
      </w:r>
      <w:r w:rsidR="00A8604C">
        <w:fldChar w:fldCharType="separate"/>
      </w:r>
      <w:r w:rsidR="004B3EA2">
        <w:t xml:space="preserve">Table </w:t>
      </w:r>
      <w:r w:rsidR="004B3EA2">
        <w:rPr>
          <w:noProof/>
        </w:rPr>
        <w:t>18</w:t>
      </w:r>
      <w:r w:rsidR="00A8604C">
        <w:fldChar w:fldCharType="end"/>
      </w:r>
      <w:r w:rsidR="00A8604C">
        <w:t>)</w:t>
      </w:r>
      <w:r>
        <w:t xml:space="preserve">. </w:t>
      </w:r>
      <w:r w:rsidR="00295D1E">
        <w:t xml:space="preserve">The most comprehensive severe AE reporting came from the WAA data base </w: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 </w:instrTex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EN.CITE.DATA </w:instrText>
      </w:r>
      <w:r w:rsidR="00B727D6">
        <w:fldChar w:fldCharType="end"/>
      </w:r>
      <w:r w:rsidR="00B727D6">
        <w:fldChar w:fldCharType="separate"/>
      </w:r>
      <w:r w:rsidR="00B727D6">
        <w:rPr>
          <w:noProof/>
        </w:rPr>
        <w:t>(</w:t>
      </w:r>
      <w:hyperlink w:anchor="_ENREF_46" w:tooltip="Mörtzell Henriksson, 2016 #8" w:history="1">
        <w:r w:rsidR="00D726F6">
          <w:rPr>
            <w:noProof/>
          </w:rPr>
          <w:t>Mörtzell Henriksson et al. 2016</w:t>
        </w:r>
      </w:hyperlink>
      <w:r w:rsidR="00B727D6">
        <w:rPr>
          <w:noProof/>
        </w:rPr>
        <w:t>)</w:t>
      </w:r>
      <w:r w:rsidR="00B727D6">
        <w:fldChar w:fldCharType="end"/>
      </w:r>
      <w:r w:rsidR="00511E3A">
        <w:t>, who reported a per procedure rate of 1.68% for severe AEs overall</w:t>
      </w:r>
      <w:r w:rsidR="00295D1E">
        <w:t>. The most common severe AE was hypotension (11</w:t>
      </w:r>
      <w:r w:rsidR="00511E3A">
        <w:t xml:space="preserve"> </w:t>
      </w:r>
      <w:r w:rsidR="00295D1E">
        <w:t>events, 0.</w:t>
      </w:r>
      <w:r w:rsidR="00656E2E">
        <w:t>11</w:t>
      </w:r>
      <w:r w:rsidR="00295D1E">
        <w:t xml:space="preserve">% of procedures). </w:t>
      </w:r>
      <w:r w:rsidR="00561C17" w:rsidRPr="00561C17">
        <w:t xml:space="preserve">Nieto-Aristizábal </w:t>
      </w:r>
      <w:r w:rsidR="00561C17">
        <w:t xml:space="preserve">et al reported on three deaths, two of which occurred in patients currently receiving PE and the third occurring in a patient who had ceased PE several months prior. The deaths were stated to be caused by the patients’ neurological disease and septic shock. Basic-Jukic et al reported </w:t>
      </w:r>
      <w:r w:rsidR="00853202">
        <w:t>five</w:t>
      </w:r>
      <w:r w:rsidR="00561C17">
        <w:t xml:space="preserve"> incidents of severe </w:t>
      </w:r>
      <w:r w:rsidR="00B236AD">
        <w:t>anaphylactic</w:t>
      </w:r>
      <w:r w:rsidR="00561C17">
        <w:t xml:space="preserve"> reaction requiring the use of aminophylline, epinephrine and steroid treatments. T</w:t>
      </w:r>
      <w:r w:rsidR="00B236AD">
        <w:t>wo of these reactions oc</w:t>
      </w:r>
      <w:r w:rsidR="00561C17">
        <w:t xml:space="preserve">curred in one patient with TTP, and all cases were associated with the use of FFP (fresh frozen plasma). One patient with GBS with mild urticaria and hypotension experienced </w:t>
      </w:r>
      <w:r w:rsidR="00956F19">
        <w:t xml:space="preserve">a </w:t>
      </w:r>
      <w:r w:rsidR="00561C17">
        <w:t>respiratory arrest. The occurrence was explained by the combination of allergic reaction and respiratory insufficiency resulting from the patient</w:t>
      </w:r>
      <w:r w:rsidR="00853202">
        <w:t>’</w:t>
      </w:r>
      <w:r w:rsidR="00561C17">
        <w:t xml:space="preserve">s disease status. </w:t>
      </w:r>
    </w:p>
    <w:p w14:paraId="4B189ACB" w14:textId="661BF9FB" w:rsidR="00A725B1" w:rsidRDefault="00A725B1" w:rsidP="00A725B1">
      <w:pPr>
        <w:pStyle w:val="Caption"/>
      </w:pPr>
      <w:bookmarkStart w:id="202" w:name="_Ref57051518"/>
      <w:bookmarkStart w:id="203" w:name="_Toc69305659"/>
      <w:r>
        <w:t xml:space="preserve">Table </w:t>
      </w:r>
      <w:r w:rsidR="00003BA5">
        <w:fldChar w:fldCharType="begin"/>
      </w:r>
      <w:r w:rsidR="00003BA5">
        <w:instrText xml:space="preserve"> SEQ Table \* ARABIC </w:instrText>
      </w:r>
      <w:r w:rsidR="00003BA5">
        <w:fldChar w:fldCharType="separate"/>
      </w:r>
      <w:r w:rsidR="004B3EA2">
        <w:rPr>
          <w:noProof/>
        </w:rPr>
        <w:t>18</w:t>
      </w:r>
      <w:r w:rsidR="00003BA5">
        <w:rPr>
          <w:noProof/>
        </w:rPr>
        <w:fldChar w:fldCharType="end"/>
      </w:r>
      <w:bookmarkEnd w:id="202"/>
      <w:r>
        <w:tab/>
        <w:t>The most common severe AEs reported for patients receiving PE</w:t>
      </w:r>
      <w:bookmarkEnd w:id="203"/>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e most common severe AEs reported for patients receiving PE"/>
        <w:tblDescription w:val="The most common severe AEs reported for patients receiving PE"/>
      </w:tblPr>
      <w:tblGrid>
        <w:gridCol w:w="2265"/>
        <w:gridCol w:w="994"/>
        <w:gridCol w:w="1277"/>
        <w:gridCol w:w="850"/>
        <w:gridCol w:w="1277"/>
        <w:gridCol w:w="849"/>
        <w:gridCol w:w="1131"/>
      </w:tblGrid>
      <w:tr w:rsidR="00CF1BF2" w:rsidRPr="00772105" w14:paraId="14CA171E" w14:textId="77777777" w:rsidTr="00CF1BF2">
        <w:trPr>
          <w:trHeight w:val="453"/>
          <w:tblHeader/>
        </w:trPr>
        <w:tc>
          <w:tcPr>
            <w:tcW w:w="1310" w:type="pct"/>
            <w:vMerge w:val="restart"/>
            <w:shd w:val="clear" w:color="auto" w:fill="auto"/>
            <w:vAlign w:val="center"/>
          </w:tcPr>
          <w:p w14:paraId="09F74633" w14:textId="77777777" w:rsidR="00CF1BF2" w:rsidRPr="00772105" w:rsidRDefault="00CF1BF2" w:rsidP="00BC54ED">
            <w:pPr>
              <w:keepNext/>
              <w:spacing w:before="40" w:after="40" w:line="240" w:lineRule="auto"/>
              <w:jc w:val="center"/>
              <w:rPr>
                <w:rFonts w:ascii="Arial Narrow" w:hAnsi="Arial Narrow"/>
                <w:b/>
                <w:sz w:val="20"/>
                <w:szCs w:val="20"/>
              </w:rPr>
            </w:pPr>
            <w:r>
              <w:rPr>
                <w:rFonts w:ascii="Arial Narrow" w:hAnsi="Arial Narrow"/>
                <w:b/>
                <w:sz w:val="20"/>
                <w:szCs w:val="20"/>
              </w:rPr>
              <w:t>AE</w:t>
            </w:r>
          </w:p>
        </w:tc>
        <w:tc>
          <w:tcPr>
            <w:tcW w:w="1314" w:type="pct"/>
            <w:gridSpan w:val="2"/>
            <w:vAlign w:val="center"/>
          </w:tcPr>
          <w:p w14:paraId="6E4CCDF1" w14:textId="77777777" w:rsidR="00CF1BF2" w:rsidRPr="00584B4C" w:rsidRDefault="00CF1BF2" w:rsidP="00BC54ED">
            <w:pPr>
              <w:tabs>
                <w:tab w:val="left" w:pos="888"/>
              </w:tabs>
              <w:spacing w:before="40" w:after="40" w:line="240" w:lineRule="auto"/>
              <w:rPr>
                <w:rFonts w:ascii="Arial Narrow" w:hAnsi="Arial Narrow"/>
                <w:b/>
                <w:sz w:val="20"/>
                <w:szCs w:val="20"/>
              </w:rPr>
            </w:pPr>
            <w:r w:rsidRPr="00584B4C">
              <w:rPr>
                <w:rFonts w:ascii="Arial Narrow" w:hAnsi="Arial Narrow"/>
                <w:b/>
                <w:sz w:val="20"/>
                <w:szCs w:val="20"/>
              </w:rPr>
              <w:t xml:space="preserve">Mörtzell </w:t>
            </w:r>
            <w:r>
              <w:rPr>
                <w:rFonts w:ascii="Arial Narrow" w:hAnsi="Arial Narrow"/>
                <w:b/>
                <w:sz w:val="20"/>
                <w:szCs w:val="20"/>
              </w:rPr>
              <w:t>Henriksson 2016</w:t>
            </w:r>
            <w:r>
              <w:rPr>
                <w:rFonts w:ascii="Arial Narrow" w:hAnsi="Arial Narrow"/>
                <w:b/>
                <w:sz w:val="20"/>
                <w:szCs w:val="20"/>
                <w:vertAlign w:val="superscript"/>
              </w:rPr>
              <w:t>a</w:t>
            </w:r>
          </w:p>
        </w:tc>
        <w:tc>
          <w:tcPr>
            <w:tcW w:w="1230" w:type="pct"/>
            <w:gridSpan w:val="2"/>
            <w:vAlign w:val="center"/>
          </w:tcPr>
          <w:p w14:paraId="13859854" w14:textId="77777777" w:rsidR="00CF1BF2" w:rsidRPr="00584B4C" w:rsidRDefault="00CF1BF2" w:rsidP="00BC54ED">
            <w:pPr>
              <w:tabs>
                <w:tab w:val="left" w:pos="744"/>
              </w:tabs>
              <w:spacing w:before="40" w:after="40" w:line="240" w:lineRule="auto"/>
              <w:rPr>
                <w:rFonts w:ascii="Arial Narrow" w:hAnsi="Arial Narrow"/>
                <w:b/>
                <w:sz w:val="20"/>
                <w:szCs w:val="20"/>
              </w:rPr>
            </w:pPr>
            <w:r w:rsidRPr="00584B4C">
              <w:rPr>
                <w:rFonts w:ascii="Arial Narrow" w:hAnsi="Arial Narrow"/>
                <w:b/>
                <w:sz w:val="20"/>
                <w:szCs w:val="20"/>
              </w:rPr>
              <w:t>Nieto-Aristizábal 2020</w:t>
            </w:r>
          </w:p>
        </w:tc>
        <w:tc>
          <w:tcPr>
            <w:tcW w:w="1145" w:type="pct"/>
            <w:gridSpan w:val="2"/>
            <w:vAlign w:val="center"/>
          </w:tcPr>
          <w:p w14:paraId="07319913" w14:textId="77777777" w:rsidR="00CF1BF2" w:rsidRPr="00584B4C" w:rsidRDefault="00CF1BF2" w:rsidP="00CF1BF2">
            <w:pPr>
              <w:tabs>
                <w:tab w:val="left" w:pos="885"/>
              </w:tabs>
              <w:spacing w:before="40" w:after="40" w:line="240" w:lineRule="auto"/>
              <w:jc w:val="center"/>
              <w:rPr>
                <w:rFonts w:ascii="Arial Narrow" w:hAnsi="Arial Narrow"/>
                <w:b/>
                <w:sz w:val="20"/>
                <w:szCs w:val="20"/>
              </w:rPr>
            </w:pPr>
            <w:r w:rsidRPr="00584B4C">
              <w:rPr>
                <w:rFonts w:ascii="Arial Narrow" w:hAnsi="Arial Narrow"/>
                <w:b/>
                <w:sz w:val="20"/>
                <w:szCs w:val="20"/>
              </w:rPr>
              <w:t>Basic-Jukic 2005</w:t>
            </w:r>
          </w:p>
        </w:tc>
      </w:tr>
      <w:tr w:rsidR="0019777A" w:rsidRPr="00772105" w14:paraId="63EE4088" w14:textId="77777777" w:rsidTr="00085285">
        <w:trPr>
          <w:trHeight w:val="516"/>
          <w:tblHeader/>
        </w:trPr>
        <w:tc>
          <w:tcPr>
            <w:tcW w:w="1310" w:type="pct"/>
            <w:vMerge/>
            <w:shd w:val="clear" w:color="auto" w:fill="auto"/>
          </w:tcPr>
          <w:p w14:paraId="27E589A1" w14:textId="77777777" w:rsidR="0019777A" w:rsidRDefault="0019777A" w:rsidP="00BC54ED">
            <w:pPr>
              <w:keepNext/>
              <w:spacing w:before="40" w:after="40" w:line="240" w:lineRule="auto"/>
              <w:rPr>
                <w:rFonts w:ascii="Arial Narrow" w:hAnsi="Arial Narrow"/>
                <w:b/>
                <w:sz w:val="20"/>
                <w:szCs w:val="20"/>
              </w:rPr>
            </w:pPr>
          </w:p>
        </w:tc>
        <w:tc>
          <w:tcPr>
            <w:tcW w:w="575" w:type="pct"/>
            <w:tcBorders>
              <w:right w:val="single" w:sz="4" w:space="0" w:color="E7E6E6" w:themeColor="background2"/>
            </w:tcBorders>
          </w:tcPr>
          <w:p w14:paraId="2BDDB404" w14:textId="77777777" w:rsidR="0019777A" w:rsidRPr="00584B4C" w:rsidRDefault="0019777A" w:rsidP="00BC54ED">
            <w:pPr>
              <w:tabs>
                <w:tab w:val="left" w:pos="885"/>
              </w:tabs>
              <w:spacing w:before="40" w:after="40" w:line="240" w:lineRule="auto"/>
              <w:rPr>
                <w:rFonts w:ascii="Arial Narrow" w:hAnsi="Arial Narrow"/>
                <w:b/>
                <w:sz w:val="20"/>
                <w:szCs w:val="20"/>
              </w:rPr>
            </w:pPr>
            <w:r>
              <w:rPr>
                <w:rFonts w:ascii="Arial Narrow" w:hAnsi="Arial Narrow"/>
                <w:b/>
                <w:sz w:val="20"/>
                <w:szCs w:val="20"/>
              </w:rPr>
              <w:t>N events</w:t>
            </w:r>
            <w:r w:rsidR="00656E2E">
              <w:rPr>
                <w:rFonts w:ascii="Arial Narrow" w:hAnsi="Arial Narrow"/>
                <w:b/>
                <w:sz w:val="20"/>
                <w:szCs w:val="20"/>
              </w:rPr>
              <w:t>/</w:t>
            </w:r>
            <w:r w:rsidR="00656E2E">
              <w:rPr>
                <w:rFonts w:ascii="Arial Narrow" w:hAnsi="Arial Narrow"/>
                <w:b/>
                <w:sz w:val="20"/>
                <w:szCs w:val="20"/>
              </w:rPr>
              <w:br/>
              <w:t>10,000 procds</w:t>
            </w:r>
          </w:p>
        </w:tc>
        <w:tc>
          <w:tcPr>
            <w:tcW w:w="739" w:type="pct"/>
            <w:tcBorders>
              <w:left w:val="single" w:sz="4" w:space="0" w:color="E7E6E6" w:themeColor="background2"/>
            </w:tcBorders>
          </w:tcPr>
          <w:p w14:paraId="734FBEB6" w14:textId="77777777" w:rsidR="0019777A" w:rsidRPr="00584B4C" w:rsidRDefault="0019777A" w:rsidP="00BC54ED">
            <w:pPr>
              <w:tabs>
                <w:tab w:val="left" w:pos="885"/>
              </w:tabs>
              <w:spacing w:before="40" w:after="40" w:line="240" w:lineRule="auto"/>
              <w:rPr>
                <w:rFonts w:ascii="Arial Narrow" w:hAnsi="Arial Narrow"/>
                <w:b/>
                <w:sz w:val="20"/>
                <w:szCs w:val="20"/>
              </w:rPr>
            </w:pPr>
            <w:r>
              <w:rPr>
                <w:rFonts w:ascii="Arial Narrow" w:hAnsi="Arial Narrow"/>
                <w:b/>
                <w:sz w:val="20"/>
                <w:szCs w:val="20"/>
              </w:rPr>
              <w:t>% procedures</w:t>
            </w:r>
          </w:p>
        </w:tc>
        <w:tc>
          <w:tcPr>
            <w:tcW w:w="492" w:type="pct"/>
            <w:tcBorders>
              <w:right w:val="single" w:sz="4" w:space="0" w:color="E7E6E6" w:themeColor="background2"/>
            </w:tcBorders>
          </w:tcPr>
          <w:p w14:paraId="55545456" w14:textId="77777777" w:rsidR="0019777A" w:rsidRPr="00584B4C" w:rsidRDefault="0019777A" w:rsidP="00BC54ED">
            <w:pPr>
              <w:tabs>
                <w:tab w:val="left" w:pos="885"/>
              </w:tabs>
              <w:spacing w:before="40" w:after="40" w:line="240" w:lineRule="auto"/>
              <w:rPr>
                <w:rFonts w:ascii="Arial Narrow" w:hAnsi="Arial Narrow"/>
                <w:b/>
                <w:sz w:val="20"/>
                <w:szCs w:val="20"/>
              </w:rPr>
            </w:pPr>
            <w:r>
              <w:rPr>
                <w:rFonts w:ascii="Arial Narrow" w:hAnsi="Arial Narrow"/>
                <w:b/>
                <w:sz w:val="20"/>
                <w:szCs w:val="20"/>
              </w:rPr>
              <w:t>N events</w:t>
            </w:r>
          </w:p>
        </w:tc>
        <w:tc>
          <w:tcPr>
            <w:tcW w:w="739" w:type="pct"/>
            <w:tcBorders>
              <w:left w:val="single" w:sz="4" w:space="0" w:color="E7E6E6" w:themeColor="background2"/>
            </w:tcBorders>
          </w:tcPr>
          <w:p w14:paraId="1F3449C6" w14:textId="77777777" w:rsidR="0019777A" w:rsidRPr="00584B4C" w:rsidRDefault="0019777A" w:rsidP="00BC54ED">
            <w:pPr>
              <w:tabs>
                <w:tab w:val="left" w:pos="885"/>
              </w:tabs>
              <w:spacing w:before="40" w:after="40" w:line="240" w:lineRule="auto"/>
              <w:rPr>
                <w:rFonts w:ascii="Arial Narrow" w:hAnsi="Arial Narrow"/>
                <w:b/>
                <w:sz w:val="20"/>
                <w:szCs w:val="20"/>
              </w:rPr>
            </w:pPr>
            <w:r>
              <w:rPr>
                <w:rFonts w:ascii="Arial Narrow" w:hAnsi="Arial Narrow"/>
                <w:b/>
                <w:sz w:val="20"/>
                <w:szCs w:val="20"/>
              </w:rPr>
              <w:t>% procedures</w:t>
            </w:r>
          </w:p>
        </w:tc>
        <w:tc>
          <w:tcPr>
            <w:tcW w:w="491" w:type="pct"/>
            <w:tcBorders>
              <w:right w:val="single" w:sz="4" w:space="0" w:color="E7E6E6" w:themeColor="background2"/>
            </w:tcBorders>
          </w:tcPr>
          <w:p w14:paraId="33FF054D" w14:textId="77777777" w:rsidR="0019777A" w:rsidRPr="00584B4C" w:rsidRDefault="0019777A" w:rsidP="00BC54ED">
            <w:pPr>
              <w:tabs>
                <w:tab w:val="left" w:pos="885"/>
              </w:tabs>
              <w:spacing w:before="40" w:after="40" w:line="240" w:lineRule="auto"/>
              <w:rPr>
                <w:rFonts w:ascii="Arial Narrow" w:hAnsi="Arial Narrow"/>
                <w:b/>
                <w:sz w:val="20"/>
                <w:szCs w:val="20"/>
              </w:rPr>
            </w:pPr>
            <w:r>
              <w:rPr>
                <w:rFonts w:ascii="Arial Narrow" w:hAnsi="Arial Narrow"/>
                <w:b/>
                <w:sz w:val="20"/>
                <w:szCs w:val="20"/>
              </w:rPr>
              <w:t>N events</w:t>
            </w:r>
          </w:p>
        </w:tc>
        <w:tc>
          <w:tcPr>
            <w:tcW w:w="654" w:type="pct"/>
            <w:tcBorders>
              <w:left w:val="single" w:sz="4" w:space="0" w:color="E7E6E6" w:themeColor="background2"/>
            </w:tcBorders>
          </w:tcPr>
          <w:p w14:paraId="597B22AE" w14:textId="77777777" w:rsidR="0019777A" w:rsidRPr="00584B4C" w:rsidRDefault="0019777A" w:rsidP="00BC54ED">
            <w:pPr>
              <w:tabs>
                <w:tab w:val="left" w:pos="885"/>
              </w:tabs>
              <w:spacing w:before="40" w:after="40" w:line="240" w:lineRule="auto"/>
              <w:rPr>
                <w:rFonts w:ascii="Arial Narrow" w:hAnsi="Arial Narrow"/>
                <w:b/>
                <w:sz w:val="20"/>
                <w:szCs w:val="20"/>
              </w:rPr>
            </w:pPr>
            <w:r>
              <w:rPr>
                <w:rFonts w:ascii="Arial Narrow" w:hAnsi="Arial Narrow"/>
                <w:b/>
                <w:sz w:val="20"/>
                <w:szCs w:val="20"/>
              </w:rPr>
              <w:t>% procedures</w:t>
            </w:r>
          </w:p>
        </w:tc>
      </w:tr>
      <w:tr w:rsidR="00ED76FF" w:rsidRPr="00772105" w14:paraId="394DE429" w14:textId="77777777" w:rsidTr="00085285">
        <w:tc>
          <w:tcPr>
            <w:tcW w:w="1310" w:type="pct"/>
            <w:shd w:val="clear" w:color="auto" w:fill="auto"/>
          </w:tcPr>
          <w:p w14:paraId="462E7AA5" w14:textId="77777777" w:rsidR="00ED76FF" w:rsidRDefault="00ED76FF" w:rsidP="000D5CA0">
            <w:pPr>
              <w:spacing w:before="40" w:after="40" w:line="240" w:lineRule="auto"/>
              <w:rPr>
                <w:rFonts w:ascii="Arial Narrow" w:hAnsi="Arial Narrow"/>
                <w:sz w:val="20"/>
                <w:szCs w:val="20"/>
              </w:rPr>
            </w:pPr>
            <w:r>
              <w:rPr>
                <w:rFonts w:ascii="Arial Narrow" w:hAnsi="Arial Narrow"/>
                <w:sz w:val="20"/>
                <w:szCs w:val="20"/>
              </w:rPr>
              <w:t>H</w:t>
            </w:r>
            <w:r w:rsidRPr="00DB47AE">
              <w:rPr>
                <w:rFonts w:ascii="Arial Narrow" w:hAnsi="Arial Narrow"/>
                <w:sz w:val="20"/>
                <w:szCs w:val="20"/>
              </w:rPr>
              <w:t>ypotension</w:t>
            </w:r>
            <w:r>
              <w:rPr>
                <w:rFonts w:ascii="Arial Narrow" w:hAnsi="Arial Narrow"/>
                <w:sz w:val="20"/>
                <w:szCs w:val="20"/>
              </w:rPr>
              <w:t>, Syncope</w:t>
            </w:r>
          </w:p>
        </w:tc>
        <w:tc>
          <w:tcPr>
            <w:tcW w:w="575" w:type="pct"/>
            <w:tcBorders>
              <w:right w:val="single" w:sz="4" w:space="0" w:color="E7E6E6" w:themeColor="background2"/>
            </w:tcBorders>
            <w:shd w:val="clear" w:color="auto" w:fill="auto"/>
          </w:tcPr>
          <w:p w14:paraId="0023F299" w14:textId="77777777" w:rsidR="00ED76FF" w:rsidRPr="00584B4C" w:rsidRDefault="00ED76FF" w:rsidP="0019777A">
            <w:pPr>
              <w:tabs>
                <w:tab w:val="left" w:pos="888"/>
              </w:tabs>
              <w:spacing w:before="40" w:after="40" w:line="240" w:lineRule="auto"/>
              <w:rPr>
                <w:rFonts w:ascii="Arial Narrow" w:hAnsi="Arial Narrow"/>
                <w:sz w:val="20"/>
                <w:szCs w:val="20"/>
              </w:rPr>
            </w:pPr>
            <w:r>
              <w:rPr>
                <w:rFonts w:ascii="Arial Narrow" w:hAnsi="Arial Narrow"/>
                <w:sz w:val="20"/>
                <w:szCs w:val="20"/>
              </w:rPr>
              <w:t>11</w:t>
            </w:r>
          </w:p>
        </w:tc>
        <w:tc>
          <w:tcPr>
            <w:tcW w:w="739" w:type="pct"/>
            <w:tcBorders>
              <w:left w:val="single" w:sz="4" w:space="0" w:color="E7E6E6" w:themeColor="background2"/>
            </w:tcBorders>
            <w:shd w:val="clear" w:color="auto" w:fill="auto"/>
          </w:tcPr>
          <w:p w14:paraId="7E1E8536" w14:textId="77777777" w:rsidR="00ED76FF" w:rsidRPr="00584B4C" w:rsidRDefault="00656E2E" w:rsidP="000D5CA0">
            <w:pPr>
              <w:tabs>
                <w:tab w:val="left" w:pos="888"/>
              </w:tabs>
              <w:spacing w:before="40" w:after="40" w:line="240" w:lineRule="auto"/>
              <w:rPr>
                <w:rFonts w:ascii="Arial Narrow" w:hAnsi="Arial Narrow"/>
                <w:sz w:val="20"/>
                <w:szCs w:val="20"/>
              </w:rPr>
            </w:pPr>
            <w:r>
              <w:rPr>
                <w:rFonts w:ascii="Arial Narrow" w:hAnsi="Arial Narrow"/>
                <w:sz w:val="20"/>
                <w:szCs w:val="20"/>
              </w:rPr>
              <w:t>0.11</w:t>
            </w:r>
          </w:p>
        </w:tc>
        <w:tc>
          <w:tcPr>
            <w:tcW w:w="492" w:type="pct"/>
            <w:tcBorders>
              <w:right w:val="single" w:sz="4" w:space="0" w:color="E7E6E6" w:themeColor="background2"/>
            </w:tcBorders>
            <w:shd w:val="clear" w:color="auto" w:fill="auto"/>
          </w:tcPr>
          <w:p w14:paraId="73E95A35" w14:textId="77777777" w:rsidR="00ED76FF" w:rsidRPr="00584B4C" w:rsidRDefault="00C90C5F" w:rsidP="000D5CA0">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5A369990" w14:textId="77777777" w:rsidR="00ED76FF" w:rsidRPr="00584B4C" w:rsidRDefault="00C90C5F" w:rsidP="000D5CA0">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7BAE2252" w14:textId="77777777" w:rsidR="00ED76FF" w:rsidRPr="00584B4C" w:rsidRDefault="00C90C5F" w:rsidP="000D5CA0">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62678B0A" w14:textId="77777777" w:rsidR="00ED76FF" w:rsidRPr="00584B4C" w:rsidRDefault="00C90C5F" w:rsidP="000D5CA0">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ED76FF" w:rsidRPr="00772105" w14:paraId="30BF0BB5" w14:textId="77777777" w:rsidTr="00085285">
        <w:tc>
          <w:tcPr>
            <w:tcW w:w="1310" w:type="pct"/>
            <w:shd w:val="clear" w:color="auto" w:fill="auto"/>
          </w:tcPr>
          <w:p w14:paraId="7C36D773" w14:textId="77777777" w:rsidR="00ED76FF" w:rsidRPr="000D5CA0" w:rsidRDefault="00ED76FF" w:rsidP="00BC54ED">
            <w:pPr>
              <w:spacing w:before="40" w:after="40" w:line="240" w:lineRule="auto"/>
              <w:rPr>
                <w:rFonts w:ascii="Arial Narrow" w:hAnsi="Arial Narrow"/>
                <w:sz w:val="20"/>
                <w:szCs w:val="20"/>
              </w:rPr>
            </w:pPr>
            <w:r w:rsidRPr="000D5CA0">
              <w:rPr>
                <w:rFonts w:ascii="Arial Narrow" w:hAnsi="Arial Narrow"/>
                <w:sz w:val="20"/>
                <w:szCs w:val="20"/>
              </w:rPr>
              <w:t>Urticaria</w:t>
            </w:r>
          </w:p>
        </w:tc>
        <w:tc>
          <w:tcPr>
            <w:tcW w:w="575" w:type="pct"/>
            <w:tcBorders>
              <w:right w:val="single" w:sz="4" w:space="0" w:color="E7E6E6" w:themeColor="background2"/>
            </w:tcBorders>
            <w:shd w:val="clear" w:color="auto" w:fill="auto"/>
          </w:tcPr>
          <w:p w14:paraId="5EF45FD2" w14:textId="77777777" w:rsidR="00ED76FF" w:rsidRPr="00584B4C" w:rsidRDefault="00ED76FF" w:rsidP="0019777A">
            <w:pPr>
              <w:tabs>
                <w:tab w:val="left" w:pos="888"/>
              </w:tabs>
              <w:spacing w:before="40" w:after="40" w:line="240" w:lineRule="auto"/>
              <w:rPr>
                <w:rFonts w:ascii="Arial Narrow" w:hAnsi="Arial Narrow"/>
                <w:sz w:val="20"/>
                <w:szCs w:val="20"/>
              </w:rPr>
            </w:pPr>
            <w:r>
              <w:rPr>
                <w:rFonts w:ascii="Arial Narrow" w:hAnsi="Arial Narrow"/>
                <w:sz w:val="20"/>
                <w:szCs w:val="20"/>
              </w:rPr>
              <w:t>6</w:t>
            </w:r>
          </w:p>
        </w:tc>
        <w:tc>
          <w:tcPr>
            <w:tcW w:w="739" w:type="pct"/>
            <w:tcBorders>
              <w:left w:val="single" w:sz="4" w:space="0" w:color="E7E6E6" w:themeColor="background2"/>
            </w:tcBorders>
            <w:shd w:val="clear" w:color="auto" w:fill="auto"/>
          </w:tcPr>
          <w:p w14:paraId="600CDDAB" w14:textId="77777777" w:rsidR="00ED76FF" w:rsidRPr="00584B4C" w:rsidRDefault="00ED76FF" w:rsidP="00656E2E">
            <w:pPr>
              <w:tabs>
                <w:tab w:val="left" w:pos="888"/>
              </w:tabs>
              <w:spacing w:before="40" w:after="40" w:line="240" w:lineRule="auto"/>
              <w:rPr>
                <w:rFonts w:ascii="Arial Narrow" w:hAnsi="Arial Narrow"/>
                <w:sz w:val="20"/>
                <w:szCs w:val="20"/>
              </w:rPr>
            </w:pPr>
            <w:r>
              <w:rPr>
                <w:rFonts w:ascii="Arial Narrow" w:hAnsi="Arial Narrow"/>
                <w:sz w:val="20"/>
                <w:szCs w:val="20"/>
              </w:rPr>
              <w:t>0.</w:t>
            </w:r>
            <w:r w:rsidR="00656E2E">
              <w:rPr>
                <w:rFonts w:ascii="Arial Narrow" w:hAnsi="Arial Narrow"/>
                <w:sz w:val="20"/>
                <w:szCs w:val="20"/>
              </w:rPr>
              <w:t>06</w:t>
            </w:r>
          </w:p>
        </w:tc>
        <w:tc>
          <w:tcPr>
            <w:tcW w:w="492" w:type="pct"/>
            <w:tcBorders>
              <w:right w:val="single" w:sz="4" w:space="0" w:color="E7E6E6" w:themeColor="background2"/>
            </w:tcBorders>
            <w:shd w:val="clear" w:color="auto" w:fill="auto"/>
          </w:tcPr>
          <w:p w14:paraId="68A0D5EA"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7D3B6851"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6B1DE45C"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74CE7DDA"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ED76FF" w:rsidRPr="00772105" w14:paraId="087B0C52" w14:textId="77777777" w:rsidTr="00085285">
        <w:tc>
          <w:tcPr>
            <w:tcW w:w="1310" w:type="pct"/>
            <w:shd w:val="clear" w:color="auto" w:fill="auto"/>
          </w:tcPr>
          <w:p w14:paraId="2C30EDCE" w14:textId="77777777" w:rsidR="00ED76FF" w:rsidRPr="000D5CA0" w:rsidRDefault="00ED76FF" w:rsidP="000D5CA0">
            <w:pPr>
              <w:spacing w:before="40" w:after="40" w:line="240" w:lineRule="auto"/>
              <w:rPr>
                <w:rFonts w:ascii="Arial Narrow" w:hAnsi="Arial Narrow"/>
                <w:sz w:val="20"/>
                <w:szCs w:val="20"/>
              </w:rPr>
            </w:pPr>
            <w:r w:rsidRPr="000D5CA0">
              <w:rPr>
                <w:rFonts w:ascii="Arial Narrow" w:hAnsi="Arial Narrow"/>
                <w:sz w:val="20"/>
                <w:szCs w:val="20"/>
              </w:rPr>
              <w:t>Fever, chills</w:t>
            </w:r>
          </w:p>
        </w:tc>
        <w:tc>
          <w:tcPr>
            <w:tcW w:w="575" w:type="pct"/>
            <w:tcBorders>
              <w:right w:val="single" w:sz="4" w:space="0" w:color="E7E6E6" w:themeColor="background2"/>
            </w:tcBorders>
            <w:shd w:val="clear" w:color="auto" w:fill="auto"/>
          </w:tcPr>
          <w:p w14:paraId="6C1FC383" w14:textId="77777777" w:rsidR="00ED76FF" w:rsidRPr="00584B4C" w:rsidRDefault="00ED76FF" w:rsidP="0019777A">
            <w:pPr>
              <w:tabs>
                <w:tab w:val="left" w:pos="888"/>
              </w:tabs>
              <w:spacing w:before="40" w:after="40" w:line="240" w:lineRule="auto"/>
              <w:rPr>
                <w:rFonts w:ascii="Arial Narrow" w:hAnsi="Arial Narrow"/>
                <w:sz w:val="20"/>
                <w:szCs w:val="20"/>
              </w:rPr>
            </w:pPr>
            <w:r>
              <w:rPr>
                <w:rFonts w:ascii="Arial Narrow" w:hAnsi="Arial Narrow"/>
                <w:sz w:val="20"/>
                <w:szCs w:val="20"/>
              </w:rPr>
              <w:t>3</w:t>
            </w:r>
          </w:p>
        </w:tc>
        <w:tc>
          <w:tcPr>
            <w:tcW w:w="739" w:type="pct"/>
            <w:tcBorders>
              <w:left w:val="single" w:sz="4" w:space="0" w:color="E7E6E6" w:themeColor="background2"/>
            </w:tcBorders>
            <w:shd w:val="clear" w:color="auto" w:fill="auto"/>
          </w:tcPr>
          <w:p w14:paraId="199C63F7" w14:textId="77777777" w:rsidR="00ED76FF" w:rsidRPr="00584B4C" w:rsidRDefault="00ED76FF" w:rsidP="00656E2E">
            <w:pPr>
              <w:tabs>
                <w:tab w:val="left" w:pos="888"/>
              </w:tabs>
              <w:spacing w:before="40" w:after="40" w:line="240" w:lineRule="auto"/>
              <w:rPr>
                <w:rFonts w:ascii="Arial Narrow" w:hAnsi="Arial Narrow"/>
                <w:sz w:val="20"/>
                <w:szCs w:val="20"/>
              </w:rPr>
            </w:pPr>
            <w:r>
              <w:rPr>
                <w:rFonts w:ascii="Arial Narrow" w:hAnsi="Arial Narrow"/>
                <w:sz w:val="20"/>
                <w:szCs w:val="20"/>
              </w:rPr>
              <w:t>0.</w:t>
            </w:r>
            <w:r w:rsidR="00656E2E">
              <w:rPr>
                <w:rFonts w:ascii="Arial Narrow" w:hAnsi="Arial Narrow"/>
                <w:sz w:val="20"/>
                <w:szCs w:val="20"/>
              </w:rPr>
              <w:t>03</w:t>
            </w:r>
          </w:p>
        </w:tc>
        <w:tc>
          <w:tcPr>
            <w:tcW w:w="492" w:type="pct"/>
            <w:tcBorders>
              <w:right w:val="single" w:sz="4" w:space="0" w:color="E7E6E6" w:themeColor="background2"/>
            </w:tcBorders>
            <w:shd w:val="clear" w:color="auto" w:fill="auto"/>
          </w:tcPr>
          <w:p w14:paraId="1FB3B973" w14:textId="77777777" w:rsidR="00ED76FF" w:rsidRPr="00584B4C" w:rsidRDefault="00C90C5F" w:rsidP="000D5CA0">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4CDE2587" w14:textId="77777777" w:rsidR="00ED76FF" w:rsidRPr="00584B4C" w:rsidRDefault="00C90C5F" w:rsidP="00C90C5F">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01528117" w14:textId="77777777" w:rsidR="00ED76FF" w:rsidRPr="00584B4C" w:rsidRDefault="00C90C5F" w:rsidP="000D5CA0">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552F090D" w14:textId="77777777" w:rsidR="00ED76FF" w:rsidRPr="00584B4C" w:rsidRDefault="00C90C5F" w:rsidP="000D5CA0">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ED76FF" w:rsidRPr="00772105" w14:paraId="5849D373" w14:textId="77777777" w:rsidTr="00085285">
        <w:tc>
          <w:tcPr>
            <w:tcW w:w="1310" w:type="pct"/>
            <w:shd w:val="clear" w:color="auto" w:fill="auto"/>
          </w:tcPr>
          <w:p w14:paraId="73946780" w14:textId="77777777" w:rsidR="00ED76FF" w:rsidRPr="000D5CA0" w:rsidRDefault="00ED76FF" w:rsidP="00BC54ED">
            <w:pPr>
              <w:spacing w:before="40" w:after="40" w:line="240" w:lineRule="auto"/>
              <w:rPr>
                <w:rFonts w:ascii="Arial Narrow" w:hAnsi="Arial Narrow"/>
                <w:sz w:val="20"/>
                <w:szCs w:val="20"/>
              </w:rPr>
            </w:pPr>
            <w:r w:rsidRPr="000D5CA0">
              <w:rPr>
                <w:rFonts w:ascii="Arial Narrow" w:hAnsi="Arial Narrow"/>
                <w:sz w:val="20"/>
                <w:szCs w:val="20"/>
              </w:rPr>
              <w:t>Nausea vomiting</w:t>
            </w:r>
          </w:p>
        </w:tc>
        <w:tc>
          <w:tcPr>
            <w:tcW w:w="575" w:type="pct"/>
            <w:tcBorders>
              <w:right w:val="single" w:sz="4" w:space="0" w:color="E7E6E6" w:themeColor="background2"/>
            </w:tcBorders>
            <w:shd w:val="clear" w:color="auto" w:fill="auto"/>
          </w:tcPr>
          <w:p w14:paraId="1F537ECE" w14:textId="77777777" w:rsidR="00ED76FF" w:rsidRDefault="00ED76FF" w:rsidP="0019777A">
            <w:pPr>
              <w:tabs>
                <w:tab w:val="left" w:pos="888"/>
              </w:tabs>
              <w:spacing w:before="40" w:after="40" w:line="240" w:lineRule="auto"/>
              <w:rPr>
                <w:rFonts w:ascii="Arial Narrow" w:hAnsi="Arial Narrow"/>
                <w:sz w:val="20"/>
                <w:szCs w:val="20"/>
              </w:rPr>
            </w:pPr>
            <w:r>
              <w:rPr>
                <w:rFonts w:ascii="Arial Narrow" w:hAnsi="Arial Narrow"/>
                <w:sz w:val="20"/>
                <w:szCs w:val="20"/>
              </w:rPr>
              <w:t>2</w:t>
            </w:r>
          </w:p>
        </w:tc>
        <w:tc>
          <w:tcPr>
            <w:tcW w:w="739" w:type="pct"/>
            <w:tcBorders>
              <w:left w:val="single" w:sz="4" w:space="0" w:color="E7E6E6" w:themeColor="background2"/>
            </w:tcBorders>
            <w:shd w:val="clear" w:color="auto" w:fill="auto"/>
          </w:tcPr>
          <w:p w14:paraId="61346E7D" w14:textId="77777777" w:rsidR="00ED76FF" w:rsidRPr="0019777A" w:rsidRDefault="00ED76FF" w:rsidP="00656E2E">
            <w:pPr>
              <w:tabs>
                <w:tab w:val="left" w:pos="888"/>
              </w:tabs>
              <w:spacing w:before="40" w:after="40" w:line="240" w:lineRule="auto"/>
              <w:rPr>
                <w:rFonts w:ascii="Arial Narrow" w:hAnsi="Arial Narrow"/>
                <w:sz w:val="20"/>
                <w:szCs w:val="20"/>
              </w:rPr>
            </w:pPr>
            <w:r w:rsidRPr="0019777A">
              <w:rPr>
                <w:rFonts w:ascii="Arial Narrow" w:hAnsi="Arial Narrow"/>
                <w:sz w:val="20"/>
                <w:szCs w:val="20"/>
              </w:rPr>
              <w:t>0.</w:t>
            </w:r>
            <w:r w:rsidR="00656E2E">
              <w:rPr>
                <w:rFonts w:ascii="Arial Narrow" w:hAnsi="Arial Narrow"/>
                <w:sz w:val="20"/>
                <w:szCs w:val="20"/>
              </w:rPr>
              <w:t>02</w:t>
            </w:r>
          </w:p>
        </w:tc>
        <w:tc>
          <w:tcPr>
            <w:tcW w:w="492" w:type="pct"/>
            <w:tcBorders>
              <w:right w:val="single" w:sz="4" w:space="0" w:color="E7E6E6" w:themeColor="background2"/>
            </w:tcBorders>
            <w:shd w:val="clear" w:color="auto" w:fill="auto"/>
          </w:tcPr>
          <w:p w14:paraId="337FA074" w14:textId="77777777" w:rsidR="00ED76FF" w:rsidRPr="00584B4C" w:rsidRDefault="00C90C5F" w:rsidP="007533A0">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423B6353" w14:textId="77777777" w:rsidR="00ED76FF" w:rsidRPr="00584B4C" w:rsidRDefault="00C90C5F" w:rsidP="007533A0">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7B5E312E"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67919D3B"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ED76FF" w:rsidRPr="00772105" w14:paraId="5FD79684" w14:textId="77777777" w:rsidTr="00085285">
        <w:tc>
          <w:tcPr>
            <w:tcW w:w="1310" w:type="pct"/>
            <w:shd w:val="clear" w:color="auto" w:fill="auto"/>
          </w:tcPr>
          <w:p w14:paraId="2341B5A6" w14:textId="77777777" w:rsidR="00ED76FF" w:rsidRPr="000D5CA0" w:rsidRDefault="00ED76FF" w:rsidP="00BC54ED">
            <w:pPr>
              <w:spacing w:before="40" w:after="40" w:line="240" w:lineRule="auto"/>
              <w:rPr>
                <w:rFonts w:ascii="Arial Narrow" w:hAnsi="Arial Narrow"/>
                <w:sz w:val="20"/>
                <w:szCs w:val="20"/>
              </w:rPr>
            </w:pPr>
            <w:r w:rsidRPr="000D5CA0">
              <w:rPr>
                <w:rFonts w:ascii="Arial Narrow" w:hAnsi="Arial Narrow"/>
                <w:sz w:val="20"/>
                <w:szCs w:val="20"/>
              </w:rPr>
              <w:t>Access problem</w:t>
            </w:r>
          </w:p>
        </w:tc>
        <w:tc>
          <w:tcPr>
            <w:tcW w:w="575" w:type="pct"/>
            <w:tcBorders>
              <w:right w:val="single" w:sz="4" w:space="0" w:color="E7E6E6" w:themeColor="background2"/>
            </w:tcBorders>
            <w:shd w:val="clear" w:color="auto" w:fill="auto"/>
          </w:tcPr>
          <w:p w14:paraId="2AE27719" w14:textId="77777777" w:rsidR="00ED76FF" w:rsidRPr="00584B4C" w:rsidRDefault="00ED76FF" w:rsidP="0019777A">
            <w:pPr>
              <w:tabs>
                <w:tab w:val="left" w:pos="888"/>
              </w:tabs>
              <w:spacing w:before="40" w:after="40" w:line="240" w:lineRule="auto"/>
              <w:rPr>
                <w:rFonts w:ascii="Arial Narrow" w:hAnsi="Arial Narrow"/>
                <w:sz w:val="20"/>
                <w:szCs w:val="20"/>
              </w:rPr>
            </w:pPr>
            <w:r>
              <w:rPr>
                <w:rFonts w:ascii="Arial Narrow" w:hAnsi="Arial Narrow"/>
                <w:sz w:val="20"/>
                <w:szCs w:val="20"/>
              </w:rPr>
              <w:t>2</w:t>
            </w:r>
          </w:p>
        </w:tc>
        <w:tc>
          <w:tcPr>
            <w:tcW w:w="739" w:type="pct"/>
            <w:tcBorders>
              <w:left w:val="single" w:sz="4" w:space="0" w:color="E7E6E6" w:themeColor="background2"/>
            </w:tcBorders>
            <w:shd w:val="clear" w:color="auto" w:fill="auto"/>
          </w:tcPr>
          <w:p w14:paraId="4CFFD319" w14:textId="77777777" w:rsidR="00ED76FF" w:rsidRPr="00584B4C" w:rsidRDefault="00ED76FF" w:rsidP="00656E2E">
            <w:pPr>
              <w:tabs>
                <w:tab w:val="left" w:pos="888"/>
              </w:tabs>
              <w:spacing w:before="40" w:after="40" w:line="240" w:lineRule="auto"/>
              <w:rPr>
                <w:rFonts w:ascii="Arial Narrow" w:hAnsi="Arial Narrow"/>
                <w:sz w:val="20"/>
                <w:szCs w:val="20"/>
              </w:rPr>
            </w:pPr>
            <w:r>
              <w:rPr>
                <w:rFonts w:ascii="Arial Narrow" w:hAnsi="Arial Narrow"/>
                <w:sz w:val="20"/>
                <w:szCs w:val="20"/>
              </w:rPr>
              <w:t>0.</w:t>
            </w:r>
            <w:r w:rsidR="00656E2E">
              <w:rPr>
                <w:rFonts w:ascii="Arial Narrow" w:hAnsi="Arial Narrow"/>
                <w:sz w:val="20"/>
                <w:szCs w:val="20"/>
              </w:rPr>
              <w:t>02</w:t>
            </w:r>
          </w:p>
        </w:tc>
        <w:tc>
          <w:tcPr>
            <w:tcW w:w="492" w:type="pct"/>
            <w:tcBorders>
              <w:right w:val="single" w:sz="4" w:space="0" w:color="E7E6E6" w:themeColor="background2"/>
            </w:tcBorders>
            <w:shd w:val="clear" w:color="auto" w:fill="auto"/>
          </w:tcPr>
          <w:p w14:paraId="0D5237D5"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2634A060"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4BF94CFB"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360B0550"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ED76FF" w:rsidRPr="00772105" w14:paraId="36DB4683" w14:textId="77777777" w:rsidTr="00085285">
        <w:tc>
          <w:tcPr>
            <w:tcW w:w="1310" w:type="pct"/>
            <w:shd w:val="clear" w:color="auto" w:fill="auto"/>
          </w:tcPr>
          <w:p w14:paraId="6CB63897" w14:textId="77777777" w:rsidR="00ED76FF" w:rsidRDefault="00ED76FF" w:rsidP="00BC54ED">
            <w:pPr>
              <w:spacing w:before="40" w:after="40" w:line="240" w:lineRule="auto"/>
              <w:rPr>
                <w:rFonts w:ascii="Arial Narrow" w:hAnsi="Arial Narrow"/>
                <w:sz w:val="20"/>
                <w:szCs w:val="20"/>
              </w:rPr>
            </w:pPr>
            <w:r>
              <w:rPr>
                <w:rFonts w:ascii="Arial Narrow" w:hAnsi="Arial Narrow"/>
                <w:sz w:val="20"/>
                <w:szCs w:val="20"/>
              </w:rPr>
              <w:t>Flush</w:t>
            </w:r>
          </w:p>
        </w:tc>
        <w:tc>
          <w:tcPr>
            <w:tcW w:w="575" w:type="pct"/>
            <w:tcBorders>
              <w:right w:val="single" w:sz="4" w:space="0" w:color="E7E6E6" w:themeColor="background2"/>
            </w:tcBorders>
            <w:shd w:val="clear" w:color="auto" w:fill="auto"/>
          </w:tcPr>
          <w:p w14:paraId="25A5F59D" w14:textId="77777777" w:rsidR="00ED76FF" w:rsidRPr="00584B4C" w:rsidRDefault="00ED76FF" w:rsidP="0019777A">
            <w:pPr>
              <w:tabs>
                <w:tab w:val="left" w:pos="888"/>
              </w:tabs>
              <w:spacing w:before="40" w:after="40" w:line="240" w:lineRule="auto"/>
              <w:rPr>
                <w:rFonts w:ascii="Arial Narrow" w:hAnsi="Arial Narrow"/>
                <w:sz w:val="20"/>
                <w:szCs w:val="20"/>
              </w:rPr>
            </w:pPr>
            <w:r>
              <w:rPr>
                <w:rFonts w:ascii="Arial Narrow" w:hAnsi="Arial Narrow"/>
                <w:sz w:val="20"/>
                <w:szCs w:val="20"/>
              </w:rPr>
              <w:t>2</w:t>
            </w:r>
          </w:p>
        </w:tc>
        <w:tc>
          <w:tcPr>
            <w:tcW w:w="739" w:type="pct"/>
            <w:tcBorders>
              <w:left w:val="single" w:sz="4" w:space="0" w:color="E7E6E6" w:themeColor="background2"/>
            </w:tcBorders>
            <w:shd w:val="clear" w:color="auto" w:fill="auto"/>
          </w:tcPr>
          <w:p w14:paraId="6ACC4C25" w14:textId="77777777" w:rsidR="00ED76FF" w:rsidRPr="00584B4C" w:rsidRDefault="00ED76FF" w:rsidP="00656E2E">
            <w:pPr>
              <w:tabs>
                <w:tab w:val="left" w:pos="888"/>
              </w:tabs>
              <w:spacing w:before="40" w:after="40" w:line="240" w:lineRule="auto"/>
              <w:rPr>
                <w:rFonts w:ascii="Arial Narrow" w:hAnsi="Arial Narrow"/>
                <w:sz w:val="20"/>
                <w:szCs w:val="20"/>
              </w:rPr>
            </w:pPr>
            <w:r>
              <w:rPr>
                <w:rFonts w:ascii="Arial Narrow" w:hAnsi="Arial Narrow"/>
                <w:sz w:val="20"/>
                <w:szCs w:val="20"/>
              </w:rPr>
              <w:t>0.</w:t>
            </w:r>
            <w:r w:rsidR="00656E2E">
              <w:rPr>
                <w:rFonts w:ascii="Arial Narrow" w:hAnsi="Arial Narrow"/>
                <w:sz w:val="20"/>
                <w:szCs w:val="20"/>
              </w:rPr>
              <w:t>02</w:t>
            </w:r>
          </w:p>
        </w:tc>
        <w:tc>
          <w:tcPr>
            <w:tcW w:w="492" w:type="pct"/>
            <w:tcBorders>
              <w:right w:val="single" w:sz="4" w:space="0" w:color="E7E6E6" w:themeColor="background2"/>
            </w:tcBorders>
            <w:shd w:val="clear" w:color="auto" w:fill="auto"/>
          </w:tcPr>
          <w:p w14:paraId="3A92058D"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0EEBD176"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07CF4A2D"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365D5D91"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ED76FF" w:rsidRPr="00772105" w14:paraId="53054643" w14:textId="77777777" w:rsidTr="00085285">
        <w:tc>
          <w:tcPr>
            <w:tcW w:w="1310" w:type="pct"/>
            <w:shd w:val="clear" w:color="auto" w:fill="auto"/>
          </w:tcPr>
          <w:p w14:paraId="152CEA55" w14:textId="77777777" w:rsidR="00ED76FF" w:rsidRDefault="00ED76FF" w:rsidP="00BC54ED">
            <w:pPr>
              <w:spacing w:before="40" w:after="40" w:line="240" w:lineRule="auto"/>
              <w:rPr>
                <w:rFonts w:ascii="Arial Narrow" w:hAnsi="Arial Narrow"/>
                <w:sz w:val="20"/>
                <w:szCs w:val="20"/>
              </w:rPr>
            </w:pPr>
            <w:r>
              <w:rPr>
                <w:rFonts w:ascii="Arial Narrow" w:hAnsi="Arial Narrow"/>
                <w:sz w:val="20"/>
                <w:szCs w:val="20"/>
              </w:rPr>
              <w:t>Tingling, stitching</w:t>
            </w:r>
          </w:p>
        </w:tc>
        <w:tc>
          <w:tcPr>
            <w:tcW w:w="575" w:type="pct"/>
            <w:tcBorders>
              <w:right w:val="single" w:sz="4" w:space="0" w:color="E7E6E6" w:themeColor="background2"/>
            </w:tcBorders>
            <w:shd w:val="clear" w:color="auto" w:fill="auto"/>
          </w:tcPr>
          <w:p w14:paraId="77267114" w14:textId="77777777" w:rsidR="00ED76FF" w:rsidRPr="00584B4C" w:rsidRDefault="00ED76FF" w:rsidP="0019777A">
            <w:pPr>
              <w:tabs>
                <w:tab w:val="left" w:pos="888"/>
              </w:tabs>
              <w:spacing w:before="40" w:after="40" w:line="240" w:lineRule="auto"/>
              <w:rPr>
                <w:rFonts w:ascii="Arial Narrow" w:hAnsi="Arial Narrow"/>
                <w:sz w:val="20"/>
                <w:szCs w:val="20"/>
              </w:rPr>
            </w:pPr>
            <w:r>
              <w:rPr>
                <w:rFonts w:ascii="Arial Narrow" w:hAnsi="Arial Narrow"/>
                <w:sz w:val="20"/>
                <w:szCs w:val="20"/>
              </w:rPr>
              <w:t>2</w:t>
            </w:r>
          </w:p>
        </w:tc>
        <w:tc>
          <w:tcPr>
            <w:tcW w:w="739" w:type="pct"/>
            <w:tcBorders>
              <w:left w:val="single" w:sz="4" w:space="0" w:color="E7E6E6" w:themeColor="background2"/>
            </w:tcBorders>
            <w:shd w:val="clear" w:color="auto" w:fill="auto"/>
          </w:tcPr>
          <w:p w14:paraId="18CD00EF" w14:textId="77777777" w:rsidR="00ED76FF" w:rsidRPr="00584B4C" w:rsidRDefault="00ED76FF" w:rsidP="00656E2E">
            <w:pPr>
              <w:tabs>
                <w:tab w:val="left" w:pos="888"/>
              </w:tabs>
              <w:spacing w:before="40" w:after="40" w:line="240" w:lineRule="auto"/>
              <w:rPr>
                <w:rFonts w:ascii="Arial Narrow" w:hAnsi="Arial Narrow"/>
                <w:sz w:val="20"/>
                <w:szCs w:val="20"/>
              </w:rPr>
            </w:pPr>
            <w:r>
              <w:rPr>
                <w:rFonts w:ascii="Arial Narrow" w:hAnsi="Arial Narrow"/>
                <w:sz w:val="20"/>
                <w:szCs w:val="20"/>
              </w:rPr>
              <w:t>0.</w:t>
            </w:r>
            <w:r w:rsidR="00656E2E">
              <w:rPr>
                <w:rFonts w:ascii="Arial Narrow" w:hAnsi="Arial Narrow"/>
                <w:sz w:val="20"/>
                <w:szCs w:val="20"/>
              </w:rPr>
              <w:t>02</w:t>
            </w:r>
          </w:p>
        </w:tc>
        <w:tc>
          <w:tcPr>
            <w:tcW w:w="492" w:type="pct"/>
            <w:tcBorders>
              <w:right w:val="single" w:sz="4" w:space="0" w:color="E7E6E6" w:themeColor="background2"/>
            </w:tcBorders>
            <w:shd w:val="clear" w:color="auto" w:fill="auto"/>
          </w:tcPr>
          <w:p w14:paraId="0BA97D43"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00371BCE"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5D32649B"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714A860B"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ED76FF" w:rsidRPr="00772105" w14:paraId="3454176F" w14:textId="77777777" w:rsidTr="00085285">
        <w:tc>
          <w:tcPr>
            <w:tcW w:w="1310" w:type="pct"/>
            <w:shd w:val="clear" w:color="auto" w:fill="auto"/>
          </w:tcPr>
          <w:p w14:paraId="0C655255" w14:textId="77777777" w:rsidR="00ED76FF" w:rsidRDefault="00ED76FF" w:rsidP="00BC54ED">
            <w:pPr>
              <w:spacing w:before="40" w:after="40" w:line="240" w:lineRule="auto"/>
              <w:rPr>
                <w:rFonts w:ascii="Arial Narrow" w:hAnsi="Arial Narrow"/>
                <w:sz w:val="20"/>
                <w:szCs w:val="20"/>
              </w:rPr>
            </w:pPr>
            <w:r>
              <w:rPr>
                <w:rFonts w:ascii="Arial Narrow" w:hAnsi="Arial Narrow"/>
                <w:sz w:val="20"/>
                <w:szCs w:val="20"/>
              </w:rPr>
              <w:t>Arrhythmia</w:t>
            </w:r>
          </w:p>
        </w:tc>
        <w:tc>
          <w:tcPr>
            <w:tcW w:w="575" w:type="pct"/>
            <w:tcBorders>
              <w:right w:val="single" w:sz="4" w:space="0" w:color="E7E6E6" w:themeColor="background2"/>
            </w:tcBorders>
            <w:shd w:val="clear" w:color="auto" w:fill="auto"/>
          </w:tcPr>
          <w:p w14:paraId="26144020" w14:textId="77777777" w:rsidR="00ED76FF" w:rsidRPr="00584B4C" w:rsidRDefault="00ED76FF" w:rsidP="0019777A">
            <w:pPr>
              <w:tabs>
                <w:tab w:val="left" w:pos="888"/>
              </w:tabs>
              <w:spacing w:before="40" w:after="40" w:line="240" w:lineRule="auto"/>
              <w:rPr>
                <w:rFonts w:ascii="Arial Narrow" w:hAnsi="Arial Narrow"/>
                <w:sz w:val="20"/>
                <w:szCs w:val="20"/>
              </w:rPr>
            </w:pPr>
            <w:r>
              <w:rPr>
                <w:rFonts w:ascii="Arial Narrow" w:hAnsi="Arial Narrow"/>
                <w:sz w:val="20"/>
                <w:szCs w:val="20"/>
              </w:rPr>
              <w:t>2</w:t>
            </w:r>
          </w:p>
        </w:tc>
        <w:tc>
          <w:tcPr>
            <w:tcW w:w="739" w:type="pct"/>
            <w:tcBorders>
              <w:left w:val="single" w:sz="4" w:space="0" w:color="E7E6E6" w:themeColor="background2"/>
            </w:tcBorders>
            <w:shd w:val="clear" w:color="auto" w:fill="auto"/>
          </w:tcPr>
          <w:p w14:paraId="71ECDCC5" w14:textId="77777777" w:rsidR="00ED76FF" w:rsidRPr="00584B4C" w:rsidRDefault="00ED76FF" w:rsidP="00656E2E">
            <w:pPr>
              <w:tabs>
                <w:tab w:val="left" w:pos="888"/>
              </w:tabs>
              <w:spacing w:before="40" w:after="40" w:line="240" w:lineRule="auto"/>
              <w:rPr>
                <w:rFonts w:ascii="Arial Narrow" w:hAnsi="Arial Narrow"/>
                <w:sz w:val="20"/>
                <w:szCs w:val="20"/>
              </w:rPr>
            </w:pPr>
            <w:r>
              <w:rPr>
                <w:rFonts w:ascii="Arial Narrow" w:hAnsi="Arial Narrow"/>
                <w:sz w:val="20"/>
                <w:szCs w:val="20"/>
              </w:rPr>
              <w:t>0.</w:t>
            </w:r>
            <w:r w:rsidR="00656E2E">
              <w:rPr>
                <w:rFonts w:ascii="Arial Narrow" w:hAnsi="Arial Narrow"/>
                <w:sz w:val="20"/>
                <w:szCs w:val="20"/>
              </w:rPr>
              <w:t>02</w:t>
            </w:r>
          </w:p>
        </w:tc>
        <w:tc>
          <w:tcPr>
            <w:tcW w:w="492" w:type="pct"/>
            <w:tcBorders>
              <w:right w:val="single" w:sz="4" w:space="0" w:color="E7E6E6" w:themeColor="background2"/>
            </w:tcBorders>
            <w:shd w:val="clear" w:color="auto" w:fill="auto"/>
          </w:tcPr>
          <w:p w14:paraId="26DE66E8"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3D1E9724"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59991725"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6119C2D4"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ED76FF" w:rsidRPr="00772105" w14:paraId="26251FFF" w14:textId="77777777" w:rsidTr="00085285">
        <w:tc>
          <w:tcPr>
            <w:tcW w:w="1310" w:type="pct"/>
            <w:shd w:val="clear" w:color="auto" w:fill="auto"/>
          </w:tcPr>
          <w:p w14:paraId="1913BDB1" w14:textId="77777777" w:rsidR="00ED76FF" w:rsidRDefault="00ED76FF" w:rsidP="00BC54ED">
            <w:pPr>
              <w:spacing w:before="40" w:after="40" w:line="240" w:lineRule="auto"/>
              <w:rPr>
                <w:rFonts w:ascii="Arial Narrow" w:hAnsi="Arial Narrow"/>
                <w:sz w:val="20"/>
                <w:szCs w:val="20"/>
              </w:rPr>
            </w:pPr>
            <w:r>
              <w:rPr>
                <w:rFonts w:ascii="Arial Narrow" w:hAnsi="Arial Narrow"/>
                <w:sz w:val="20"/>
                <w:szCs w:val="20"/>
              </w:rPr>
              <w:t>Bronchospasm</w:t>
            </w:r>
          </w:p>
        </w:tc>
        <w:tc>
          <w:tcPr>
            <w:tcW w:w="575" w:type="pct"/>
            <w:tcBorders>
              <w:right w:val="single" w:sz="4" w:space="0" w:color="E7E6E6" w:themeColor="background2"/>
            </w:tcBorders>
            <w:shd w:val="clear" w:color="auto" w:fill="auto"/>
          </w:tcPr>
          <w:p w14:paraId="2560E3E7" w14:textId="77777777" w:rsidR="00ED76FF" w:rsidRPr="00584B4C" w:rsidRDefault="00ED76FF" w:rsidP="0019777A">
            <w:pPr>
              <w:tabs>
                <w:tab w:val="left" w:pos="888"/>
              </w:tabs>
              <w:spacing w:before="40" w:after="40" w:line="240" w:lineRule="auto"/>
              <w:rPr>
                <w:rFonts w:ascii="Arial Narrow" w:hAnsi="Arial Narrow"/>
                <w:sz w:val="20"/>
                <w:szCs w:val="20"/>
              </w:rPr>
            </w:pPr>
            <w:r>
              <w:rPr>
                <w:rFonts w:ascii="Arial Narrow" w:hAnsi="Arial Narrow"/>
                <w:sz w:val="20"/>
                <w:szCs w:val="20"/>
              </w:rPr>
              <w:t>1</w:t>
            </w:r>
          </w:p>
        </w:tc>
        <w:tc>
          <w:tcPr>
            <w:tcW w:w="739" w:type="pct"/>
            <w:tcBorders>
              <w:left w:val="single" w:sz="4" w:space="0" w:color="E7E6E6" w:themeColor="background2"/>
            </w:tcBorders>
            <w:shd w:val="clear" w:color="auto" w:fill="auto"/>
          </w:tcPr>
          <w:p w14:paraId="1113DC07" w14:textId="77777777" w:rsidR="00ED76FF" w:rsidRPr="00584B4C" w:rsidRDefault="00ED76FF" w:rsidP="00656E2E">
            <w:pPr>
              <w:tabs>
                <w:tab w:val="left" w:pos="888"/>
              </w:tabs>
              <w:spacing w:before="40" w:after="40" w:line="240" w:lineRule="auto"/>
              <w:rPr>
                <w:rFonts w:ascii="Arial Narrow" w:hAnsi="Arial Narrow"/>
                <w:sz w:val="20"/>
                <w:szCs w:val="20"/>
              </w:rPr>
            </w:pPr>
            <w:r>
              <w:rPr>
                <w:rFonts w:ascii="Arial Narrow" w:hAnsi="Arial Narrow"/>
                <w:sz w:val="20"/>
                <w:szCs w:val="20"/>
              </w:rPr>
              <w:t>0.</w:t>
            </w:r>
            <w:r w:rsidR="00656E2E">
              <w:rPr>
                <w:rFonts w:ascii="Arial Narrow" w:hAnsi="Arial Narrow"/>
                <w:sz w:val="20"/>
                <w:szCs w:val="20"/>
              </w:rPr>
              <w:t>01</w:t>
            </w:r>
          </w:p>
        </w:tc>
        <w:tc>
          <w:tcPr>
            <w:tcW w:w="492" w:type="pct"/>
            <w:tcBorders>
              <w:right w:val="single" w:sz="4" w:space="0" w:color="E7E6E6" w:themeColor="background2"/>
            </w:tcBorders>
            <w:shd w:val="clear" w:color="auto" w:fill="auto"/>
          </w:tcPr>
          <w:p w14:paraId="41ECBA7B"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31BAD488"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677822B2"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06D7F6D6"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ED76FF" w:rsidRPr="00772105" w14:paraId="40C71726" w14:textId="77777777" w:rsidTr="00085285">
        <w:tc>
          <w:tcPr>
            <w:tcW w:w="1310" w:type="pct"/>
            <w:shd w:val="clear" w:color="auto" w:fill="auto"/>
          </w:tcPr>
          <w:p w14:paraId="79495293" w14:textId="77777777" w:rsidR="00ED76FF" w:rsidRDefault="00ED76FF" w:rsidP="00BC54ED">
            <w:pPr>
              <w:spacing w:before="40" w:after="40" w:line="240" w:lineRule="auto"/>
              <w:rPr>
                <w:rFonts w:ascii="Arial Narrow" w:hAnsi="Arial Narrow"/>
                <w:sz w:val="20"/>
                <w:szCs w:val="20"/>
              </w:rPr>
            </w:pPr>
            <w:r>
              <w:rPr>
                <w:rFonts w:ascii="Arial Narrow" w:hAnsi="Arial Narrow"/>
                <w:sz w:val="20"/>
                <w:szCs w:val="20"/>
              </w:rPr>
              <w:t xml:space="preserve">Quincke </w:t>
            </w:r>
            <w:r w:rsidR="00C224E9">
              <w:rPr>
                <w:rFonts w:ascii="Arial Narrow" w:hAnsi="Arial Narrow"/>
                <w:sz w:val="20"/>
                <w:szCs w:val="20"/>
              </w:rPr>
              <w:t>oedema</w:t>
            </w:r>
          </w:p>
        </w:tc>
        <w:tc>
          <w:tcPr>
            <w:tcW w:w="575" w:type="pct"/>
            <w:tcBorders>
              <w:right w:val="single" w:sz="4" w:space="0" w:color="E7E6E6" w:themeColor="background2"/>
            </w:tcBorders>
            <w:shd w:val="clear" w:color="auto" w:fill="auto"/>
          </w:tcPr>
          <w:p w14:paraId="0CF1C28C" w14:textId="77777777" w:rsidR="00ED76FF" w:rsidRPr="00584B4C" w:rsidRDefault="00ED76FF" w:rsidP="0019777A">
            <w:pPr>
              <w:tabs>
                <w:tab w:val="left" w:pos="888"/>
              </w:tabs>
              <w:spacing w:before="40" w:after="40" w:line="240" w:lineRule="auto"/>
              <w:rPr>
                <w:rFonts w:ascii="Arial Narrow" w:hAnsi="Arial Narrow"/>
                <w:sz w:val="20"/>
                <w:szCs w:val="20"/>
              </w:rPr>
            </w:pPr>
            <w:r>
              <w:rPr>
                <w:rFonts w:ascii="Arial Narrow" w:hAnsi="Arial Narrow"/>
                <w:sz w:val="20"/>
                <w:szCs w:val="20"/>
              </w:rPr>
              <w:t>1</w:t>
            </w:r>
          </w:p>
        </w:tc>
        <w:tc>
          <w:tcPr>
            <w:tcW w:w="739" w:type="pct"/>
            <w:tcBorders>
              <w:left w:val="single" w:sz="4" w:space="0" w:color="E7E6E6" w:themeColor="background2"/>
            </w:tcBorders>
            <w:shd w:val="clear" w:color="auto" w:fill="auto"/>
          </w:tcPr>
          <w:p w14:paraId="31C13320" w14:textId="77777777" w:rsidR="00ED76FF" w:rsidRPr="00584B4C" w:rsidRDefault="00ED76FF" w:rsidP="00656E2E">
            <w:pPr>
              <w:tabs>
                <w:tab w:val="left" w:pos="888"/>
              </w:tabs>
              <w:spacing w:before="40" w:after="40" w:line="240" w:lineRule="auto"/>
              <w:rPr>
                <w:rFonts w:ascii="Arial Narrow" w:hAnsi="Arial Narrow"/>
                <w:sz w:val="20"/>
                <w:szCs w:val="20"/>
              </w:rPr>
            </w:pPr>
            <w:r>
              <w:rPr>
                <w:rFonts w:ascii="Arial Narrow" w:hAnsi="Arial Narrow"/>
                <w:sz w:val="20"/>
                <w:szCs w:val="20"/>
              </w:rPr>
              <w:t>0.</w:t>
            </w:r>
            <w:r w:rsidR="00656E2E">
              <w:rPr>
                <w:rFonts w:ascii="Arial Narrow" w:hAnsi="Arial Narrow"/>
                <w:sz w:val="20"/>
                <w:szCs w:val="20"/>
              </w:rPr>
              <w:t>01</w:t>
            </w:r>
          </w:p>
        </w:tc>
        <w:tc>
          <w:tcPr>
            <w:tcW w:w="492" w:type="pct"/>
            <w:tcBorders>
              <w:right w:val="single" w:sz="4" w:space="0" w:color="E7E6E6" w:themeColor="background2"/>
            </w:tcBorders>
            <w:shd w:val="clear" w:color="auto" w:fill="auto"/>
          </w:tcPr>
          <w:p w14:paraId="5BD32A4A"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4F0A46A7"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5845527A"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7679FC0B" w14:textId="77777777" w:rsidR="00ED76FF" w:rsidRPr="00584B4C"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ED76FF" w:rsidRPr="00772105" w14:paraId="07CD1539" w14:textId="77777777" w:rsidTr="00085285">
        <w:tc>
          <w:tcPr>
            <w:tcW w:w="1310" w:type="pct"/>
            <w:shd w:val="clear" w:color="auto" w:fill="auto"/>
          </w:tcPr>
          <w:p w14:paraId="30CFEF09" w14:textId="77777777" w:rsidR="00ED76FF" w:rsidRDefault="00ED76FF" w:rsidP="00BC54ED">
            <w:pPr>
              <w:spacing w:before="40" w:after="40" w:line="240" w:lineRule="auto"/>
              <w:rPr>
                <w:rFonts w:ascii="Arial Narrow" w:hAnsi="Arial Narrow"/>
                <w:sz w:val="20"/>
                <w:szCs w:val="20"/>
              </w:rPr>
            </w:pPr>
            <w:r>
              <w:rPr>
                <w:rFonts w:ascii="Arial Narrow" w:hAnsi="Arial Narrow"/>
                <w:sz w:val="20"/>
                <w:szCs w:val="20"/>
              </w:rPr>
              <w:t>Anaphylactic reaction</w:t>
            </w:r>
          </w:p>
        </w:tc>
        <w:tc>
          <w:tcPr>
            <w:tcW w:w="575" w:type="pct"/>
            <w:tcBorders>
              <w:right w:val="single" w:sz="4" w:space="0" w:color="E7E6E6" w:themeColor="background2"/>
            </w:tcBorders>
            <w:shd w:val="clear" w:color="auto" w:fill="auto"/>
          </w:tcPr>
          <w:p w14:paraId="34120B21" w14:textId="77777777" w:rsidR="00ED76FF" w:rsidRDefault="00C90C5F" w:rsidP="00BC54ED">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3341C92E" w14:textId="77777777" w:rsidR="00ED76FF" w:rsidRDefault="00C90C5F" w:rsidP="00BC54ED">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492" w:type="pct"/>
            <w:tcBorders>
              <w:right w:val="single" w:sz="4" w:space="0" w:color="E7E6E6" w:themeColor="background2"/>
            </w:tcBorders>
            <w:shd w:val="clear" w:color="auto" w:fill="auto"/>
          </w:tcPr>
          <w:p w14:paraId="7DCFBB87"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255A37BC"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1118ED5C" w14:textId="77777777" w:rsidR="00ED76FF" w:rsidRPr="00584B4C" w:rsidRDefault="00ED76FF" w:rsidP="00ED76FF">
            <w:pPr>
              <w:tabs>
                <w:tab w:val="left" w:pos="885"/>
              </w:tabs>
              <w:spacing w:before="40" w:after="40" w:line="240" w:lineRule="auto"/>
              <w:rPr>
                <w:rFonts w:ascii="Arial Narrow" w:hAnsi="Arial Narrow"/>
                <w:sz w:val="20"/>
                <w:szCs w:val="20"/>
              </w:rPr>
            </w:pPr>
            <w:r>
              <w:rPr>
                <w:rFonts w:ascii="Arial Narrow" w:hAnsi="Arial Narrow"/>
                <w:sz w:val="20"/>
                <w:szCs w:val="20"/>
              </w:rPr>
              <w:t>5</w:t>
            </w:r>
          </w:p>
        </w:tc>
        <w:tc>
          <w:tcPr>
            <w:tcW w:w="654" w:type="pct"/>
            <w:tcBorders>
              <w:left w:val="single" w:sz="4" w:space="0" w:color="E7E6E6" w:themeColor="background2"/>
            </w:tcBorders>
            <w:shd w:val="clear" w:color="auto" w:fill="auto"/>
          </w:tcPr>
          <w:p w14:paraId="04568F88" w14:textId="77777777" w:rsidR="00ED76FF" w:rsidRPr="00584B4C" w:rsidRDefault="00ED76FF" w:rsidP="000D5CA0">
            <w:pPr>
              <w:tabs>
                <w:tab w:val="left" w:pos="885"/>
              </w:tabs>
              <w:spacing w:before="40" w:after="40" w:line="240" w:lineRule="auto"/>
              <w:rPr>
                <w:rFonts w:ascii="Arial Narrow" w:hAnsi="Arial Narrow"/>
                <w:sz w:val="20"/>
                <w:szCs w:val="20"/>
              </w:rPr>
            </w:pPr>
            <w:r>
              <w:rPr>
                <w:rFonts w:ascii="Arial Narrow" w:hAnsi="Arial Narrow"/>
                <w:sz w:val="20"/>
                <w:szCs w:val="20"/>
              </w:rPr>
              <w:t>0.1</w:t>
            </w:r>
          </w:p>
        </w:tc>
      </w:tr>
      <w:tr w:rsidR="00ED76FF" w:rsidRPr="00772105" w14:paraId="60CD3192" w14:textId="77777777" w:rsidTr="00085285">
        <w:tc>
          <w:tcPr>
            <w:tcW w:w="1310" w:type="pct"/>
            <w:shd w:val="clear" w:color="auto" w:fill="auto"/>
          </w:tcPr>
          <w:p w14:paraId="61B3E3C0" w14:textId="77777777" w:rsidR="00ED76FF" w:rsidRDefault="00ED76FF" w:rsidP="00BC54ED">
            <w:pPr>
              <w:spacing w:before="40" w:after="40" w:line="240" w:lineRule="auto"/>
              <w:rPr>
                <w:rFonts w:ascii="Arial Narrow" w:hAnsi="Arial Narrow"/>
                <w:sz w:val="20"/>
                <w:szCs w:val="20"/>
              </w:rPr>
            </w:pPr>
            <w:r>
              <w:rPr>
                <w:rFonts w:ascii="Arial Narrow" w:hAnsi="Arial Narrow"/>
                <w:sz w:val="20"/>
                <w:szCs w:val="20"/>
              </w:rPr>
              <w:t>Respiratory arrest</w:t>
            </w:r>
          </w:p>
        </w:tc>
        <w:tc>
          <w:tcPr>
            <w:tcW w:w="575" w:type="pct"/>
            <w:tcBorders>
              <w:right w:val="single" w:sz="4" w:space="0" w:color="E7E6E6" w:themeColor="background2"/>
            </w:tcBorders>
            <w:shd w:val="clear" w:color="auto" w:fill="auto"/>
          </w:tcPr>
          <w:p w14:paraId="4D3537DB" w14:textId="77777777" w:rsidR="00ED76FF" w:rsidRDefault="00C90C5F" w:rsidP="00BC54ED">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0DACB71C" w14:textId="77777777" w:rsidR="00ED76FF" w:rsidRDefault="00C90C5F" w:rsidP="00BC54ED">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492" w:type="pct"/>
            <w:tcBorders>
              <w:right w:val="single" w:sz="4" w:space="0" w:color="E7E6E6" w:themeColor="background2"/>
            </w:tcBorders>
            <w:shd w:val="clear" w:color="auto" w:fill="auto"/>
          </w:tcPr>
          <w:p w14:paraId="35F96BE3"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3CACBE94" w14:textId="77777777" w:rsidR="00ED76FF" w:rsidRPr="00584B4C" w:rsidRDefault="00C90C5F" w:rsidP="00BC54ED">
            <w:pPr>
              <w:tabs>
                <w:tab w:val="left" w:pos="744"/>
              </w:tabs>
              <w:spacing w:before="40" w:after="40" w:line="240" w:lineRule="auto"/>
              <w:rPr>
                <w:rFonts w:ascii="Arial Narrow" w:hAnsi="Arial Narrow"/>
                <w:sz w:val="20"/>
                <w:szCs w:val="20"/>
              </w:rPr>
            </w:pPr>
            <w:r>
              <w:rPr>
                <w:rFonts w:ascii="Arial Narrow" w:hAnsi="Arial Narrow"/>
                <w:sz w:val="20"/>
                <w:szCs w:val="20"/>
              </w:rPr>
              <w:t>-</w:t>
            </w:r>
          </w:p>
        </w:tc>
        <w:tc>
          <w:tcPr>
            <w:tcW w:w="491" w:type="pct"/>
            <w:tcBorders>
              <w:right w:val="single" w:sz="4" w:space="0" w:color="E7E6E6" w:themeColor="background2"/>
            </w:tcBorders>
            <w:shd w:val="clear" w:color="auto" w:fill="auto"/>
          </w:tcPr>
          <w:p w14:paraId="4A1808CF" w14:textId="77777777" w:rsidR="00ED76FF" w:rsidRPr="00584B4C" w:rsidRDefault="00ED76FF" w:rsidP="00ED76FF">
            <w:pPr>
              <w:tabs>
                <w:tab w:val="left" w:pos="885"/>
              </w:tabs>
              <w:spacing w:before="40" w:after="40" w:line="240" w:lineRule="auto"/>
              <w:rPr>
                <w:rFonts w:ascii="Arial Narrow" w:hAnsi="Arial Narrow"/>
                <w:sz w:val="20"/>
                <w:szCs w:val="20"/>
              </w:rPr>
            </w:pPr>
            <w:r>
              <w:rPr>
                <w:rFonts w:ascii="Arial Narrow" w:hAnsi="Arial Narrow"/>
                <w:sz w:val="20"/>
                <w:szCs w:val="20"/>
              </w:rPr>
              <w:t>1</w:t>
            </w:r>
          </w:p>
        </w:tc>
        <w:tc>
          <w:tcPr>
            <w:tcW w:w="654" w:type="pct"/>
            <w:tcBorders>
              <w:left w:val="single" w:sz="4" w:space="0" w:color="E7E6E6" w:themeColor="background2"/>
            </w:tcBorders>
            <w:shd w:val="clear" w:color="auto" w:fill="auto"/>
          </w:tcPr>
          <w:p w14:paraId="1716CD43" w14:textId="77777777" w:rsidR="00ED76FF" w:rsidRPr="00584B4C" w:rsidRDefault="00ED76FF" w:rsidP="00BC54ED">
            <w:pPr>
              <w:tabs>
                <w:tab w:val="left" w:pos="885"/>
              </w:tabs>
              <w:spacing w:before="40" w:after="40" w:line="240" w:lineRule="auto"/>
              <w:rPr>
                <w:rFonts w:ascii="Arial Narrow" w:hAnsi="Arial Narrow"/>
                <w:sz w:val="20"/>
                <w:szCs w:val="20"/>
              </w:rPr>
            </w:pPr>
            <w:r>
              <w:rPr>
                <w:rFonts w:ascii="Arial Narrow" w:hAnsi="Arial Narrow"/>
                <w:sz w:val="20"/>
                <w:szCs w:val="20"/>
              </w:rPr>
              <w:t>0.02</w:t>
            </w:r>
          </w:p>
        </w:tc>
      </w:tr>
      <w:tr w:rsidR="00ED76FF" w:rsidRPr="00772105" w14:paraId="299CC005" w14:textId="77777777" w:rsidTr="00085285">
        <w:tc>
          <w:tcPr>
            <w:tcW w:w="1310" w:type="pct"/>
            <w:shd w:val="clear" w:color="auto" w:fill="auto"/>
          </w:tcPr>
          <w:p w14:paraId="3AF38AA7" w14:textId="77777777" w:rsidR="00ED76FF" w:rsidRPr="0051020B" w:rsidRDefault="00ED76FF" w:rsidP="00BC54ED">
            <w:pPr>
              <w:spacing w:before="40" w:after="40" w:line="240" w:lineRule="auto"/>
              <w:rPr>
                <w:rFonts w:ascii="Arial Narrow" w:hAnsi="Arial Narrow"/>
                <w:sz w:val="20"/>
                <w:szCs w:val="20"/>
                <w:vertAlign w:val="superscript"/>
              </w:rPr>
            </w:pPr>
            <w:r>
              <w:rPr>
                <w:rFonts w:ascii="Arial Narrow" w:hAnsi="Arial Narrow"/>
                <w:sz w:val="20"/>
                <w:szCs w:val="20"/>
              </w:rPr>
              <w:t>Death due to septic shock</w:t>
            </w:r>
            <w:r>
              <w:rPr>
                <w:rFonts w:ascii="Arial Narrow" w:hAnsi="Arial Narrow"/>
                <w:sz w:val="20"/>
                <w:szCs w:val="20"/>
                <w:vertAlign w:val="superscript"/>
              </w:rPr>
              <w:t>b</w:t>
            </w:r>
          </w:p>
        </w:tc>
        <w:tc>
          <w:tcPr>
            <w:tcW w:w="575" w:type="pct"/>
            <w:tcBorders>
              <w:right w:val="single" w:sz="4" w:space="0" w:color="E7E6E6" w:themeColor="background2"/>
            </w:tcBorders>
            <w:shd w:val="clear" w:color="auto" w:fill="auto"/>
          </w:tcPr>
          <w:p w14:paraId="2C1AEFA0" w14:textId="77777777" w:rsidR="00ED76FF" w:rsidRDefault="00C90C5F" w:rsidP="00BC54ED">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739" w:type="pct"/>
            <w:tcBorders>
              <w:left w:val="single" w:sz="4" w:space="0" w:color="E7E6E6" w:themeColor="background2"/>
            </w:tcBorders>
            <w:shd w:val="clear" w:color="auto" w:fill="auto"/>
          </w:tcPr>
          <w:p w14:paraId="2067A77E" w14:textId="77777777" w:rsidR="00ED76FF" w:rsidRDefault="00C90C5F" w:rsidP="00BC54ED">
            <w:pPr>
              <w:tabs>
                <w:tab w:val="left" w:pos="888"/>
              </w:tabs>
              <w:spacing w:before="40" w:after="40" w:line="240" w:lineRule="auto"/>
              <w:rPr>
                <w:rFonts w:ascii="Arial Narrow" w:hAnsi="Arial Narrow"/>
                <w:sz w:val="20"/>
                <w:szCs w:val="20"/>
              </w:rPr>
            </w:pPr>
            <w:r>
              <w:rPr>
                <w:rFonts w:ascii="Arial Narrow" w:hAnsi="Arial Narrow"/>
                <w:sz w:val="20"/>
                <w:szCs w:val="20"/>
              </w:rPr>
              <w:t>-</w:t>
            </w:r>
          </w:p>
        </w:tc>
        <w:tc>
          <w:tcPr>
            <w:tcW w:w="492" w:type="pct"/>
            <w:tcBorders>
              <w:right w:val="single" w:sz="4" w:space="0" w:color="E7E6E6" w:themeColor="background2"/>
            </w:tcBorders>
            <w:shd w:val="clear" w:color="auto" w:fill="auto"/>
          </w:tcPr>
          <w:p w14:paraId="4391427F" w14:textId="77777777" w:rsidR="00ED76FF" w:rsidRPr="00ED76FF" w:rsidRDefault="00ED76FF" w:rsidP="00ED76FF">
            <w:pPr>
              <w:tabs>
                <w:tab w:val="left" w:pos="744"/>
              </w:tabs>
              <w:spacing w:before="40" w:after="40" w:line="240" w:lineRule="auto"/>
              <w:rPr>
                <w:rFonts w:ascii="Arial Narrow" w:hAnsi="Arial Narrow"/>
                <w:sz w:val="20"/>
                <w:szCs w:val="20"/>
                <w:vertAlign w:val="superscript"/>
              </w:rPr>
            </w:pPr>
            <w:r>
              <w:rPr>
                <w:rFonts w:ascii="Arial Narrow" w:hAnsi="Arial Narrow"/>
                <w:sz w:val="20"/>
                <w:szCs w:val="20"/>
              </w:rPr>
              <w:t>3</w:t>
            </w:r>
            <w:r>
              <w:rPr>
                <w:rFonts w:ascii="Arial Narrow" w:hAnsi="Arial Narrow"/>
                <w:sz w:val="20"/>
                <w:szCs w:val="20"/>
                <w:vertAlign w:val="superscript"/>
              </w:rPr>
              <w:t>b</w:t>
            </w:r>
          </w:p>
        </w:tc>
        <w:tc>
          <w:tcPr>
            <w:tcW w:w="739" w:type="pct"/>
            <w:tcBorders>
              <w:left w:val="single" w:sz="4" w:space="0" w:color="E7E6E6" w:themeColor="background2"/>
            </w:tcBorders>
            <w:shd w:val="clear" w:color="auto" w:fill="auto"/>
          </w:tcPr>
          <w:p w14:paraId="36B0E50B" w14:textId="77777777" w:rsidR="00ED76FF" w:rsidRPr="00584B4C" w:rsidRDefault="00ED76FF" w:rsidP="00BC54ED">
            <w:pPr>
              <w:tabs>
                <w:tab w:val="left" w:pos="744"/>
              </w:tabs>
              <w:spacing w:before="40" w:after="40" w:line="240" w:lineRule="auto"/>
              <w:rPr>
                <w:rFonts w:ascii="Arial Narrow" w:hAnsi="Arial Narrow"/>
                <w:sz w:val="20"/>
                <w:szCs w:val="20"/>
              </w:rPr>
            </w:pPr>
            <w:r>
              <w:rPr>
                <w:rFonts w:ascii="Arial Narrow" w:hAnsi="Arial Narrow"/>
                <w:sz w:val="20"/>
                <w:szCs w:val="20"/>
              </w:rPr>
              <w:t>0.32</w:t>
            </w:r>
          </w:p>
        </w:tc>
        <w:tc>
          <w:tcPr>
            <w:tcW w:w="491" w:type="pct"/>
            <w:tcBorders>
              <w:right w:val="single" w:sz="4" w:space="0" w:color="E7E6E6" w:themeColor="background2"/>
            </w:tcBorders>
            <w:shd w:val="clear" w:color="auto" w:fill="auto"/>
          </w:tcPr>
          <w:p w14:paraId="3B4FA7D8" w14:textId="77777777" w:rsidR="00ED76FF"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654" w:type="pct"/>
            <w:tcBorders>
              <w:left w:val="single" w:sz="4" w:space="0" w:color="E7E6E6" w:themeColor="background2"/>
            </w:tcBorders>
            <w:shd w:val="clear" w:color="auto" w:fill="auto"/>
          </w:tcPr>
          <w:p w14:paraId="79E6E2EE" w14:textId="77777777" w:rsidR="00ED76FF" w:rsidRDefault="00C90C5F" w:rsidP="00BC54ED">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65462B" w:rsidRPr="000D5CA0" w14:paraId="278252B0" w14:textId="77777777" w:rsidTr="00085285">
        <w:tc>
          <w:tcPr>
            <w:tcW w:w="1310" w:type="pct"/>
            <w:shd w:val="clear" w:color="auto" w:fill="auto"/>
          </w:tcPr>
          <w:p w14:paraId="7D7F4785" w14:textId="77777777" w:rsidR="0065462B" w:rsidRPr="000D5CA0" w:rsidRDefault="0065462B" w:rsidP="00BC54ED">
            <w:pPr>
              <w:spacing w:before="40" w:after="40" w:line="240" w:lineRule="auto"/>
              <w:rPr>
                <w:rFonts w:ascii="Arial Narrow" w:hAnsi="Arial Narrow"/>
                <w:b/>
                <w:sz w:val="20"/>
                <w:szCs w:val="20"/>
              </w:rPr>
            </w:pPr>
            <w:r w:rsidRPr="000D5CA0">
              <w:rPr>
                <w:rFonts w:ascii="Arial Narrow" w:hAnsi="Arial Narrow"/>
                <w:b/>
                <w:sz w:val="20"/>
                <w:szCs w:val="20"/>
              </w:rPr>
              <w:t xml:space="preserve">Total </w:t>
            </w:r>
          </w:p>
        </w:tc>
        <w:tc>
          <w:tcPr>
            <w:tcW w:w="575" w:type="pct"/>
            <w:tcBorders>
              <w:right w:val="single" w:sz="4" w:space="0" w:color="E7E6E6" w:themeColor="background2"/>
            </w:tcBorders>
            <w:shd w:val="clear" w:color="auto" w:fill="auto"/>
          </w:tcPr>
          <w:p w14:paraId="16E7B301" w14:textId="77777777" w:rsidR="0065462B" w:rsidRPr="00FD4DAB" w:rsidRDefault="0065462B" w:rsidP="0019777A">
            <w:pPr>
              <w:tabs>
                <w:tab w:val="left" w:pos="888"/>
              </w:tabs>
              <w:spacing w:before="40" w:after="40" w:line="240" w:lineRule="auto"/>
              <w:rPr>
                <w:rFonts w:ascii="Arial Narrow" w:hAnsi="Arial Narrow"/>
                <w:b/>
                <w:sz w:val="20"/>
                <w:szCs w:val="20"/>
                <w:vertAlign w:val="superscript"/>
              </w:rPr>
            </w:pPr>
            <w:r w:rsidRPr="0019777A">
              <w:rPr>
                <w:rFonts w:ascii="Arial Narrow" w:hAnsi="Arial Narrow"/>
                <w:b/>
                <w:sz w:val="20"/>
                <w:szCs w:val="20"/>
              </w:rPr>
              <w:t>32</w:t>
            </w:r>
          </w:p>
        </w:tc>
        <w:tc>
          <w:tcPr>
            <w:tcW w:w="739" w:type="pct"/>
            <w:tcBorders>
              <w:left w:val="single" w:sz="4" w:space="0" w:color="E7E6E6" w:themeColor="background2"/>
            </w:tcBorders>
            <w:shd w:val="clear" w:color="auto" w:fill="auto"/>
          </w:tcPr>
          <w:p w14:paraId="51CAE03D" w14:textId="77777777" w:rsidR="0065462B" w:rsidRPr="0019777A" w:rsidRDefault="00656E2E" w:rsidP="00BC54ED">
            <w:pPr>
              <w:tabs>
                <w:tab w:val="left" w:pos="888"/>
              </w:tabs>
              <w:spacing w:before="40" w:after="40" w:line="240" w:lineRule="auto"/>
              <w:rPr>
                <w:rFonts w:ascii="Arial Narrow" w:hAnsi="Arial Narrow"/>
                <w:b/>
                <w:sz w:val="20"/>
                <w:szCs w:val="20"/>
                <w:vertAlign w:val="superscript"/>
              </w:rPr>
            </w:pPr>
            <w:r>
              <w:rPr>
                <w:rFonts w:ascii="Arial Narrow" w:hAnsi="Arial Narrow"/>
                <w:b/>
                <w:sz w:val="20"/>
                <w:szCs w:val="20"/>
              </w:rPr>
              <w:t>1.68</w:t>
            </w:r>
          </w:p>
        </w:tc>
        <w:tc>
          <w:tcPr>
            <w:tcW w:w="492" w:type="pct"/>
            <w:tcBorders>
              <w:right w:val="single" w:sz="4" w:space="0" w:color="E7E6E6" w:themeColor="background2"/>
            </w:tcBorders>
            <w:shd w:val="clear" w:color="auto" w:fill="auto"/>
          </w:tcPr>
          <w:p w14:paraId="6F096ACF" w14:textId="77777777" w:rsidR="0065462B" w:rsidRPr="000D5CA0" w:rsidRDefault="0065462B" w:rsidP="00ED76FF">
            <w:pPr>
              <w:tabs>
                <w:tab w:val="left" w:pos="744"/>
              </w:tabs>
              <w:spacing w:before="40" w:after="40" w:line="240" w:lineRule="auto"/>
              <w:rPr>
                <w:rFonts w:ascii="Arial Narrow" w:hAnsi="Arial Narrow"/>
                <w:b/>
                <w:sz w:val="20"/>
                <w:szCs w:val="20"/>
              </w:rPr>
            </w:pPr>
            <w:r>
              <w:rPr>
                <w:rFonts w:ascii="Arial Narrow" w:hAnsi="Arial Narrow"/>
                <w:b/>
                <w:sz w:val="20"/>
                <w:szCs w:val="20"/>
              </w:rPr>
              <w:t>3</w:t>
            </w:r>
          </w:p>
        </w:tc>
        <w:tc>
          <w:tcPr>
            <w:tcW w:w="739" w:type="pct"/>
            <w:tcBorders>
              <w:left w:val="single" w:sz="4" w:space="0" w:color="E7E6E6" w:themeColor="background2"/>
            </w:tcBorders>
            <w:shd w:val="clear" w:color="auto" w:fill="auto"/>
          </w:tcPr>
          <w:p w14:paraId="5753818E" w14:textId="77777777" w:rsidR="0065462B" w:rsidRPr="000D5CA0" w:rsidRDefault="0065462B" w:rsidP="00BC54ED">
            <w:pPr>
              <w:tabs>
                <w:tab w:val="left" w:pos="744"/>
              </w:tabs>
              <w:spacing w:before="40" w:after="40" w:line="240" w:lineRule="auto"/>
              <w:rPr>
                <w:rFonts w:ascii="Arial Narrow" w:hAnsi="Arial Narrow"/>
                <w:b/>
                <w:sz w:val="20"/>
                <w:szCs w:val="20"/>
              </w:rPr>
            </w:pPr>
            <w:r>
              <w:rPr>
                <w:rFonts w:ascii="Arial Narrow" w:hAnsi="Arial Narrow"/>
                <w:b/>
                <w:sz w:val="20"/>
                <w:szCs w:val="20"/>
              </w:rPr>
              <w:t>0.32</w:t>
            </w:r>
          </w:p>
        </w:tc>
        <w:tc>
          <w:tcPr>
            <w:tcW w:w="491" w:type="pct"/>
            <w:tcBorders>
              <w:right w:val="single" w:sz="4" w:space="0" w:color="E7E6E6" w:themeColor="background2"/>
            </w:tcBorders>
            <w:shd w:val="clear" w:color="auto" w:fill="auto"/>
          </w:tcPr>
          <w:p w14:paraId="399E1641" w14:textId="77777777" w:rsidR="0065462B" w:rsidRPr="000D5CA0" w:rsidRDefault="0065462B" w:rsidP="0065462B">
            <w:pPr>
              <w:tabs>
                <w:tab w:val="left" w:pos="885"/>
              </w:tabs>
              <w:spacing w:before="40" w:after="40" w:line="240" w:lineRule="auto"/>
              <w:rPr>
                <w:rFonts w:ascii="Arial Narrow" w:hAnsi="Arial Narrow"/>
                <w:b/>
                <w:sz w:val="20"/>
                <w:szCs w:val="20"/>
              </w:rPr>
            </w:pPr>
            <w:r w:rsidRPr="000D5CA0">
              <w:rPr>
                <w:rFonts w:ascii="Arial Narrow" w:hAnsi="Arial Narrow"/>
                <w:b/>
                <w:sz w:val="20"/>
                <w:szCs w:val="20"/>
              </w:rPr>
              <w:t>6</w:t>
            </w:r>
          </w:p>
        </w:tc>
        <w:tc>
          <w:tcPr>
            <w:tcW w:w="654" w:type="pct"/>
            <w:tcBorders>
              <w:left w:val="single" w:sz="4" w:space="0" w:color="E7E6E6" w:themeColor="background2"/>
            </w:tcBorders>
            <w:shd w:val="clear" w:color="auto" w:fill="auto"/>
          </w:tcPr>
          <w:p w14:paraId="00C88426" w14:textId="77777777" w:rsidR="0065462B" w:rsidRPr="000D5CA0" w:rsidRDefault="0065462B" w:rsidP="00BC54ED">
            <w:pPr>
              <w:tabs>
                <w:tab w:val="left" w:pos="885"/>
              </w:tabs>
              <w:spacing w:before="40" w:after="40" w:line="240" w:lineRule="auto"/>
              <w:rPr>
                <w:rFonts w:ascii="Arial Narrow" w:hAnsi="Arial Narrow"/>
                <w:b/>
                <w:sz w:val="20"/>
                <w:szCs w:val="20"/>
              </w:rPr>
            </w:pPr>
            <w:r>
              <w:rPr>
                <w:rFonts w:ascii="Arial Narrow" w:hAnsi="Arial Narrow"/>
                <w:b/>
                <w:sz w:val="20"/>
                <w:szCs w:val="20"/>
              </w:rPr>
              <w:t>0.12</w:t>
            </w:r>
          </w:p>
        </w:tc>
      </w:tr>
    </w:tbl>
    <w:p w14:paraId="4DAAFC36" w14:textId="77777777" w:rsidR="00D54C3C" w:rsidRDefault="000D5CA0" w:rsidP="000D5CA0">
      <w:pPr>
        <w:pStyle w:val="Tablenote"/>
      </w:pPr>
      <w:r>
        <w:t xml:space="preserve">Abbreviations: </w:t>
      </w:r>
      <w:r w:rsidR="007E355D">
        <w:t>AE = adverse event</w:t>
      </w:r>
      <w:r w:rsidR="00FB29BF">
        <w:t>; PE = plasma exchange therapy</w:t>
      </w:r>
    </w:p>
    <w:p w14:paraId="339A7388" w14:textId="77777777" w:rsidR="000D5CA0" w:rsidRDefault="000D5CA0" w:rsidP="000D5CA0">
      <w:pPr>
        <w:pStyle w:val="Tablenote"/>
      </w:pPr>
      <w:r>
        <w:rPr>
          <w:vertAlign w:val="superscript"/>
        </w:rPr>
        <w:t>a</w:t>
      </w:r>
      <w:r>
        <w:t xml:space="preserve"> Primary reason given in 168 procedures</w:t>
      </w:r>
    </w:p>
    <w:p w14:paraId="474EE459" w14:textId="77777777" w:rsidR="0051020B" w:rsidRDefault="0051020B" w:rsidP="000D5CA0">
      <w:pPr>
        <w:pStyle w:val="Tablenote"/>
      </w:pPr>
      <w:r>
        <w:rPr>
          <w:vertAlign w:val="superscript"/>
        </w:rPr>
        <w:t>b</w:t>
      </w:r>
      <w:r>
        <w:t xml:space="preserve"> Two patients were receiving PE at the time of death, and one patient had finished PE three months prior to death.</w:t>
      </w:r>
    </w:p>
    <w:p w14:paraId="389B1029" w14:textId="77777777" w:rsidR="00340563" w:rsidRDefault="00340563" w:rsidP="000D5CA0">
      <w:pPr>
        <w:pStyle w:val="Tablenote"/>
      </w:pPr>
      <w:r>
        <w:rPr>
          <w:vertAlign w:val="superscript"/>
        </w:rPr>
        <w:t>c</w:t>
      </w:r>
      <w:r>
        <w:t xml:space="preserve"> </w:t>
      </w:r>
      <w:r w:rsidR="00656E2E">
        <w:t xml:space="preserve">Only </w:t>
      </w:r>
      <w:r>
        <w:t>the 10 most frequently occurring severe adverse events</w:t>
      </w:r>
      <w:r w:rsidR="00656E2E">
        <w:t xml:space="preserve"> have been tabulated</w:t>
      </w:r>
    </w:p>
    <w:p w14:paraId="2FC7C8F7" w14:textId="77777777" w:rsidR="000D5CA0" w:rsidRDefault="00EF5572" w:rsidP="000C6A02">
      <w:pPr>
        <w:pStyle w:val="Heading5"/>
      </w:pPr>
      <w:r>
        <w:t>Complications associated with access</w:t>
      </w:r>
      <w:r w:rsidR="0067497C">
        <w:t xml:space="preserve"> in patients undergoing PE</w:t>
      </w:r>
    </w:p>
    <w:p w14:paraId="1E757DEE" w14:textId="284FE30B" w:rsidR="00EF5572" w:rsidRDefault="00110B72" w:rsidP="00192373">
      <w:pPr>
        <w:jc w:val="both"/>
      </w:pPr>
      <w:r>
        <w:t xml:space="preserve">The studies by </w: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 </w:instrTex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EN.CITE.DATA </w:instrText>
      </w:r>
      <w:r w:rsidR="00B727D6">
        <w:fldChar w:fldCharType="end"/>
      </w:r>
      <w:r w:rsidR="00B727D6">
        <w:fldChar w:fldCharType="separate"/>
      </w:r>
      <w:r w:rsidR="00B727D6">
        <w:rPr>
          <w:noProof/>
        </w:rPr>
        <w:t>(</w:t>
      </w:r>
      <w:hyperlink w:anchor="_ENREF_46" w:tooltip="Mörtzell Henriksson, 2016 #8" w:history="1">
        <w:r w:rsidR="00D726F6">
          <w:rPr>
            <w:noProof/>
          </w:rPr>
          <w:t>Mörtzell Henriksson et al. 2016</w:t>
        </w:r>
      </w:hyperlink>
      <w:r w:rsidR="00B727D6">
        <w:rPr>
          <w:noProof/>
        </w:rPr>
        <w:t>)</w:t>
      </w:r>
      <w:r w:rsidR="00B727D6">
        <w:fldChar w:fldCharType="end"/>
      </w:r>
      <w:r w:rsidR="000C6A02">
        <w:t xml:space="preserve"> and </w:t>
      </w:r>
      <w:r w:rsidR="00B727D6">
        <w:fldChar w:fldCharType="begin"/>
      </w:r>
      <w:r w:rsidR="00B727D6">
        <w:instrText xml:space="preserve"> ADDIN EN.CITE &lt;EndNote&gt;&lt;Cite&gt;&lt;Author&gt;Basic-Jukic&lt;/Author&gt;&lt;Year&gt;2005&lt;/Year&gt;&lt;RecNum&gt;7&lt;/RecNum&gt;&lt;DisplayText&gt;(Basic-Jukic et al. 2005)&lt;/DisplayText&gt;&lt;record&gt;&lt;rec-number&gt;7&lt;/rec-number&gt;&lt;foreign-keys&gt;&lt;key app="EN" db-id="p29e2t021fx2sker0f4p99xad5t02xpedpxr" timestamp="1605655955"&gt;7&lt;/key&gt;&lt;/foreign-keys&gt;&lt;ref-type name="Journal Article"&gt;17&lt;/ref-type&gt;&lt;contributors&gt;&lt;authors&gt;&lt;author&gt;Basic-Jukic, Nikolina&lt;/author&gt;&lt;author&gt;Kes, Petar&lt;/author&gt;&lt;author&gt;Glavas-Boras, Snjezana&lt;/author&gt;&lt;author&gt;Brunetta, Bruna&lt;/author&gt;&lt;author&gt;Bubic-Filipi, Ljubica&lt;/author&gt;&lt;author&gt;Puretic, Zvonimir&lt;/author&gt;&lt;/authors&gt;&lt;/contributors&gt;&lt;titles&gt;&lt;title&gt;Complications of Therapeutic Plasma Exchange: Experience With 4857 Treatments&lt;/title&gt;&lt;secondary-title&gt;Therapeutic Apheresis and Dialysis&lt;/secondary-title&gt;&lt;/titles&gt;&lt;periodical&gt;&lt;full-title&gt;Therapeutic Apheresis and Dialysis&lt;/full-title&gt;&lt;/periodical&gt;&lt;pages&gt;391-395&lt;/pages&gt;&lt;volume&gt;9&lt;/volume&gt;&lt;number&gt;5&lt;/number&gt;&lt;dates&gt;&lt;year&gt;2005&lt;/year&gt;&lt;/dates&gt;&lt;isbn&gt;1744-9979&lt;/isbn&gt;&lt;urls&gt;&lt;related-urls&gt;&lt;url&gt;https://onlinelibrary.wiley.com/doi/abs/10.1111/j.1744-9987.2005.00319.x&lt;/url&gt;&lt;url&gt;https://onlinelibrary.wiley.com/doi/pdfdirect/10.1111/j.1744-9987.2005.00319.x?download=true&lt;/url&gt;&lt;/related-urls&gt;&lt;/urls&gt;&lt;electronic-resource-num&gt;10.1111/j.1744-9987.2005.00319.x&lt;/electronic-resource-num&gt;&lt;/record&gt;&lt;/Cite&gt;&lt;/EndNote&gt;</w:instrText>
      </w:r>
      <w:r w:rsidR="00B727D6">
        <w:fldChar w:fldCharType="separate"/>
      </w:r>
      <w:r w:rsidR="00B727D6">
        <w:rPr>
          <w:noProof/>
        </w:rPr>
        <w:t>(</w:t>
      </w:r>
      <w:hyperlink w:anchor="_ENREF_5" w:tooltip="Basic-Jukic, 2005 #7" w:history="1">
        <w:r w:rsidR="00D726F6">
          <w:rPr>
            <w:noProof/>
          </w:rPr>
          <w:t>Basic-Jukic et al. 2005</w:t>
        </w:r>
      </w:hyperlink>
      <w:r w:rsidR="00B727D6">
        <w:rPr>
          <w:noProof/>
        </w:rPr>
        <w:t>)</w:t>
      </w:r>
      <w:r w:rsidR="00B727D6">
        <w:fldChar w:fldCharType="end"/>
      </w:r>
      <w:r w:rsidR="000C6A02">
        <w:t xml:space="preserve"> analysed data for AEs associated with vascular access points for PE. Basic-Jukic et al found that peripheral venous access was associated with haematoma in 5% of patients (n = 25). In 20% of these cases, the next session had to be delayed because of the </w:t>
      </w:r>
      <w:r w:rsidR="0036270A">
        <w:t>haematoma</w:t>
      </w:r>
      <w:r w:rsidR="000C6A02">
        <w:t xml:space="preserve">. </w:t>
      </w:r>
      <w:r w:rsidR="0036270A">
        <w:t xml:space="preserve">Of those receiving PE by central access, two patients experienced complication by occurrence of pneumothorax, which resolved spontaneously, and three developed a systemic infection at the catheter exit site </w:t>
      </w:r>
      <w:r w:rsidR="00B727D6">
        <w:fldChar w:fldCharType="begin"/>
      </w:r>
      <w:r w:rsidR="00B727D6">
        <w:instrText xml:space="preserve"> ADDIN EN.CITE &lt;EndNote&gt;&lt;Cite&gt;&lt;Author&gt;Basic-Jukic&lt;/Author&gt;&lt;Year&gt;2005&lt;/Year&gt;&lt;RecNum&gt;7&lt;/RecNum&gt;&lt;DisplayText&gt;(Basic-Jukic et al. 2005)&lt;/DisplayText&gt;&lt;record&gt;&lt;rec-number&gt;7&lt;/rec-number&gt;&lt;foreign-keys&gt;&lt;key app="EN" db-id="p29e2t021fx2sker0f4p99xad5t02xpedpxr" timestamp="1605655955"&gt;7&lt;/key&gt;&lt;/foreign-keys&gt;&lt;ref-type name="Journal Article"&gt;17&lt;/ref-type&gt;&lt;contributors&gt;&lt;authors&gt;&lt;author&gt;Basic-Jukic, Nikolina&lt;/author&gt;&lt;author&gt;Kes, Petar&lt;/author&gt;&lt;author&gt;Glavas-Boras, Snjezana&lt;/author&gt;&lt;author&gt;Brunetta, Bruna&lt;/author&gt;&lt;author&gt;Bubic-Filipi, Ljubica&lt;/author&gt;&lt;author&gt;Puretic, Zvonimir&lt;/author&gt;&lt;/authors&gt;&lt;/contributors&gt;&lt;titles&gt;&lt;title&gt;Complications of Therapeutic Plasma Exchange: Experience With 4857 Treatments&lt;/title&gt;&lt;secondary-title&gt;Therapeutic Apheresis and Dialysis&lt;/secondary-title&gt;&lt;/titles&gt;&lt;periodical&gt;&lt;full-title&gt;Therapeutic Apheresis and Dialysis&lt;/full-title&gt;&lt;/periodical&gt;&lt;pages&gt;391-395&lt;/pages&gt;&lt;volume&gt;9&lt;/volume&gt;&lt;number&gt;5&lt;/number&gt;&lt;dates&gt;&lt;year&gt;2005&lt;/year&gt;&lt;/dates&gt;&lt;isbn&gt;1744-9979&lt;/isbn&gt;&lt;urls&gt;&lt;related-urls&gt;&lt;url&gt;https://onlinelibrary.wiley.com/doi/abs/10.1111/j.1744-9987.2005.00319.x&lt;/url&gt;&lt;url&gt;https://onlinelibrary.wiley.com/doi/pdfdirect/10.1111/j.1744-9987.2005.00319.x?download=true&lt;/url&gt;&lt;/related-urls&gt;&lt;/urls&gt;&lt;electronic-resource-num&gt;10.1111/j.1744-9987.2005.00319.x&lt;/electronic-resource-num&gt;&lt;/record&gt;&lt;/Cite&gt;&lt;/EndNote&gt;</w:instrText>
      </w:r>
      <w:r w:rsidR="00B727D6">
        <w:fldChar w:fldCharType="separate"/>
      </w:r>
      <w:r w:rsidR="00B727D6">
        <w:rPr>
          <w:noProof/>
        </w:rPr>
        <w:t>(</w:t>
      </w:r>
      <w:hyperlink w:anchor="_ENREF_5" w:tooltip="Basic-Jukic, 2005 #7" w:history="1">
        <w:r w:rsidR="00D726F6">
          <w:rPr>
            <w:noProof/>
          </w:rPr>
          <w:t>Basic-Jukic et al. 2005</w:t>
        </w:r>
      </w:hyperlink>
      <w:r w:rsidR="00B727D6">
        <w:rPr>
          <w:noProof/>
        </w:rPr>
        <w:t>)</w:t>
      </w:r>
      <w:r w:rsidR="00B727D6">
        <w:fldChar w:fldCharType="end"/>
      </w:r>
      <w:r w:rsidR="0036270A">
        <w:t xml:space="preserve">. Mörtzell Henriksson et al reported that procedures performed by central access </w:t>
      </w:r>
      <w:r w:rsidR="00791BF8">
        <w:t xml:space="preserve">were associated with more severe AEs, but there were more access problems associated with peripheral access. There were 130 mild AEs occurring every 10,000 procedures (1.3%) associated with access. </w:t>
      </w:r>
      <w:r w:rsidR="00D93548">
        <w:t>Arteriovenous fistulae (</w:t>
      </w:r>
      <w:r w:rsidR="00791BF8">
        <w:t>AV-fistula</w:t>
      </w:r>
      <w:r w:rsidR="0043730A">
        <w:t>e</w:t>
      </w:r>
      <w:r w:rsidR="00D93548">
        <w:t>)</w:t>
      </w:r>
      <w:r w:rsidR="00791BF8">
        <w:t xml:space="preserve"> and </w:t>
      </w:r>
      <w:r w:rsidR="00D93548">
        <w:t>arteriovenous grafts (</w:t>
      </w:r>
      <w:r w:rsidR="00791BF8">
        <w:t>AV-grafts</w:t>
      </w:r>
      <w:r w:rsidR="00D93548">
        <w:t>)</w:t>
      </w:r>
      <w:r w:rsidR="00791BF8">
        <w:t xml:space="preserve"> were involved in the highest number of access problems compared to other access types </w: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 </w:instrTex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EN.CITE.DATA </w:instrText>
      </w:r>
      <w:r w:rsidR="00B727D6">
        <w:fldChar w:fldCharType="end"/>
      </w:r>
      <w:r w:rsidR="00B727D6">
        <w:fldChar w:fldCharType="separate"/>
      </w:r>
      <w:r w:rsidR="00B727D6">
        <w:rPr>
          <w:noProof/>
        </w:rPr>
        <w:t>(</w:t>
      </w:r>
      <w:hyperlink w:anchor="_ENREF_46" w:tooltip="Mörtzell Henriksson, 2016 #8" w:history="1">
        <w:r w:rsidR="00D726F6">
          <w:rPr>
            <w:noProof/>
          </w:rPr>
          <w:t>Mörtzell Henriksson et al. 2016</w:t>
        </w:r>
      </w:hyperlink>
      <w:r w:rsidR="00B727D6">
        <w:rPr>
          <w:noProof/>
        </w:rPr>
        <w:t>)</w:t>
      </w:r>
      <w:r w:rsidR="00B727D6">
        <w:fldChar w:fldCharType="end"/>
      </w:r>
      <w:r w:rsidR="00791BF8">
        <w:t>.</w:t>
      </w:r>
      <w:r w:rsidR="0036270A">
        <w:t xml:space="preserve"> </w:t>
      </w:r>
    </w:p>
    <w:p w14:paraId="1C6CD0E8" w14:textId="77777777" w:rsidR="00076DE6" w:rsidRDefault="00623E80" w:rsidP="00076DE6">
      <w:pPr>
        <w:pStyle w:val="Heading3"/>
      </w:pPr>
      <w:bookmarkStart w:id="204" w:name="_Toc69305563"/>
      <w:r>
        <w:t>Adverse events in patients receiving c</w:t>
      </w:r>
      <w:r w:rsidR="00076DE6">
        <w:t>orticosteroid therapy</w:t>
      </w:r>
      <w:bookmarkEnd w:id="204"/>
    </w:p>
    <w:p w14:paraId="159705A9" w14:textId="1230C2ED" w:rsidR="00BA0ACA" w:rsidRDefault="00623E80" w:rsidP="00192373">
      <w:pPr>
        <w:jc w:val="both"/>
      </w:pPr>
      <w:r>
        <w:t xml:space="preserve">The targeted literature search </w:t>
      </w:r>
      <w:r w:rsidR="00BC54ED">
        <w:t xml:space="preserve">identified </w:t>
      </w:r>
      <w:r w:rsidR="00EE4E63">
        <w:t xml:space="preserve">very </w:t>
      </w:r>
      <w:r w:rsidR="00BC54ED">
        <w:t xml:space="preserve">few articles that reported on the long-term </w:t>
      </w:r>
      <w:r w:rsidR="00CF1BF2">
        <w:t>safety</w:t>
      </w:r>
      <w:r w:rsidR="00BC54ED">
        <w:t xml:space="preserve"> of steroids in patients with </w:t>
      </w:r>
      <w:r w:rsidR="00CF1BF2">
        <w:t>autoimmune</w:t>
      </w:r>
      <w:r w:rsidR="00BC54ED">
        <w:t xml:space="preserve"> neurological diseases, therefore the population was broadened to all autoimmune diseases that are treated with steroids. Three studies were identified for inclusion: one SR, one multicentre retrospective data analysis, and one single</w:t>
      </w:r>
      <w:r w:rsidR="00837B62">
        <w:t>-</w:t>
      </w:r>
      <w:r w:rsidR="00BC54ED">
        <w:t>centre retrospective analysis</w:t>
      </w:r>
      <w:r w:rsidR="002D1EA5">
        <w:t xml:space="preserve"> </w:t>
      </w:r>
      <w:r w:rsidR="00B727D6">
        <w:fldChar w:fldCharType="begin">
          <w:fldData xml:space="preserve">PEVuZE5vdGU+PENpdGU+PEF1dGhvcj5IdXNjaGVyPC9BdXRob3I+PFllYXI+MjAwOTwvWWVhcj48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</w:fldData>
        </w:fldChar>
      </w:r>
      <w:r w:rsidR="00B727D6">
        <w:instrText xml:space="preserve"> ADDIN EN.CITE </w:instrText>
      </w:r>
      <w:r w:rsidR="00B727D6">
        <w:fldChar w:fldCharType="begin">
          <w:fldData xml:space="preserve">PEVuZE5vdGU+PENpdGU+PEF1dGhvcj5IdXNjaGVyPC9BdXRob3I+PFllYXI+MjAwOTwvWWVhcj48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29" w:tooltip="Huscher, 2009 #12" w:history="1">
        <w:r w:rsidR="00D726F6">
          <w:rPr>
            <w:noProof/>
          </w:rPr>
          <w:t>Huscher et al. 2009</w:t>
        </w:r>
      </w:hyperlink>
      <w:r w:rsidR="00B727D6">
        <w:rPr>
          <w:noProof/>
        </w:rPr>
        <w:t xml:space="preserve">; </w:t>
      </w:r>
      <w:hyperlink w:anchor="_ENREF_61" w:tooltip="Rice, 2017 #11" w:history="1">
        <w:r w:rsidR="00D726F6">
          <w:rPr>
            <w:noProof/>
          </w:rPr>
          <w:t>Rice et al. 2017</w:t>
        </w:r>
      </w:hyperlink>
      <w:r w:rsidR="00B727D6">
        <w:rPr>
          <w:noProof/>
        </w:rPr>
        <w:t xml:space="preserve">; </w:t>
      </w:r>
      <w:hyperlink w:anchor="_ENREF_73" w:tooltip="van Lieverloo, 2018 #13" w:history="1">
        <w:r w:rsidR="00D726F6">
          <w:rPr>
            <w:noProof/>
          </w:rPr>
          <w:t>van Lieverloo et al. 2018</w:t>
        </w:r>
      </w:hyperlink>
      <w:r w:rsidR="00B727D6">
        <w:rPr>
          <w:noProof/>
        </w:rPr>
        <w:t>)</w:t>
      </w:r>
      <w:r w:rsidR="00B727D6">
        <w:fldChar w:fldCharType="end"/>
      </w:r>
      <w:r w:rsidR="00BC54ED">
        <w:t>.</w:t>
      </w:r>
      <w:r w:rsidR="00EE4E63">
        <w:t xml:space="preserve"> </w:t>
      </w:r>
      <w:r w:rsidR="00BC54ED">
        <w:t>For comparison, data from the study by Wilson et al (2017), which was included in the original report on Ig for CIDP</w:t>
      </w:r>
      <w:r w:rsidR="00837B62">
        <w:t xml:space="preserve"> (</w:t>
      </w:r>
      <w:r w:rsidR="00914B37">
        <w:t>DCAR 1564</w:t>
      </w:r>
      <w:r w:rsidR="00837B62">
        <w:t>)</w:t>
      </w:r>
      <w:r w:rsidR="00BC54ED">
        <w:t>, were presented. Essential details of the fou</w:t>
      </w:r>
      <w:r w:rsidR="002D1EA5">
        <w:t>r</w:t>
      </w:r>
      <w:r w:rsidR="00BC54ED">
        <w:t xml:space="preserve"> studies are given in </w:t>
      </w:r>
      <w:r w:rsidR="00BC54ED">
        <w:fldChar w:fldCharType="begin"/>
      </w:r>
      <w:r w:rsidR="00BC54ED">
        <w:instrText xml:space="preserve"> REF _Ref56695721 \h </w:instrText>
      </w:r>
      <w:r w:rsidR="00192373">
        <w:instrText xml:space="preserve"> \* MERGEFORMAT </w:instrText>
      </w:r>
      <w:r w:rsidR="00BC54ED">
        <w:fldChar w:fldCharType="separate"/>
      </w:r>
      <w:r w:rsidR="004B3EA2">
        <w:t xml:space="preserve">Table </w:t>
      </w:r>
      <w:r w:rsidR="004B3EA2">
        <w:rPr>
          <w:noProof/>
        </w:rPr>
        <w:t>19</w:t>
      </w:r>
      <w:r w:rsidR="00BC54ED">
        <w:fldChar w:fldCharType="end"/>
      </w:r>
      <w:r w:rsidR="00BC54ED">
        <w:t xml:space="preserve">. </w:t>
      </w:r>
      <w:r w:rsidR="00EE4E63">
        <w:t>All studies were appraised as moderate for risk of bias.</w:t>
      </w:r>
    </w:p>
    <w:p w14:paraId="5DC0F2C5" w14:textId="73B2B445" w:rsidR="00FB29BF" w:rsidRDefault="00FB29BF" w:rsidP="00FB29BF">
      <w:pPr>
        <w:jc w:val="both"/>
      </w:pPr>
      <w:r>
        <w:t xml:space="preserve">One study was included that reported data from three large CIDP centres, in Serbia, Italy and The Netherlands </w:t>
      </w:r>
      <w:r w:rsidR="00B727D6">
        <w:fldChar w:fldCharType="begin">
          <w:fldData xml:space="preserve">PEVuZE5vdGU+PENpdGU+PEF1dGhvcj5OaWV0by1BcmlzdGl6w6FiYWw8L0F1dGhvcj48WWVhcj4y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</w:fldData>
        </w:fldChar>
      </w:r>
      <w:r w:rsidR="00B727D6">
        <w:instrText xml:space="preserve"> ADDIN EN.CITE </w:instrText>
      </w:r>
      <w:r w:rsidR="00B727D6">
        <w:fldChar w:fldCharType="begin">
          <w:fldData xml:space="preserve">PEVuZE5vdGU+PENpdGU+PEF1dGhvcj5OaWV0by1BcmlzdGl6w6FiYWw8L0F1dGhvcj48WWVhcj4y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3" w:tooltip="Nieto-Aristizábal, 2020 #9" w:history="1">
        <w:r w:rsidR="00D726F6">
          <w:rPr>
            <w:noProof/>
          </w:rPr>
          <w:t>Nieto-Aristizábal, Vivas, et al. 2020</w:t>
        </w:r>
      </w:hyperlink>
      <w:r w:rsidR="00B727D6">
        <w:rPr>
          <w:noProof/>
        </w:rPr>
        <w:t>)</w:t>
      </w:r>
      <w:r w:rsidR="00B727D6">
        <w:fldChar w:fldCharType="end"/>
      </w:r>
      <w:r>
        <w:t xml:space="preserve">. There were 125 patients in the study, and data were reported for up to 5 years from the start of steroid therapy. The treatments received were prednisone or prednisolone (n = 67, 54%), pulsed dexamethasone (n = 37, 30%), and pulsed intravenous methyl prednisolone (IV MP; n = 21, 17%). Neito-Aristizabal et al were the only authors to report AEs in categories of moderate and severe. The rate per patient of moderate AEs was 10%, and for severe AEs was 1.6%. This article was included because of the direct applicability of the patient population. However, there was insufficient detail to tabulate the rate of individual adverse events. </w:t>
      </w:r>
    </w:p>
    <w:p w14:paraId="4E2E4941" w14:textId="29BAA16C" w:rsidR="000B304F" w:rsidRDefault="00BC54ED" w:rsidP="00192373">
      <w:pPr>
        <w:jc w:val="both"/>
      </w:pPr>
      <w:r>
        <w:t xml:space="preserve">The SR </w:t>
      </w:r>
      <w:r w:rsidR="00B727D6">
        <w:fldChar w:fldCharType="begin"/>
      </w:r>
      <w:r w:rsidR="00B727D6">
        <w:instrText xml:space="preserve"> ADDIN EN.CITE &lt;EndNote&gt;&lt;Cite&gt;&lt;Author&gt;Rice&lt;/Author&gt;&lt;Year&gt;2017&lt;/Year&gt;&lt;RecNum&gt;11&lt;/RecNum&gt;&lt;DisplayText&gt;(Rice et al. 2017)&lt;/DisplayText&gt;&lt;record&gt;&lt;rec-number&gt;11&lt;/rec-number&gt;&lt;foreign-keys&gt;&lt;key app="EN" db-id="p29e2t021fx2sker0f4p99xad5t02xpedpxr" timestamp="1605656000"&gt;11&lt;/key&gt;&lt;/foreign-keys&gt;&lt;ref-type name="Journal Article"&gt;17&lt;/ref-type&gt;&lt;contributors&gt;&lt;authors&gt;&lt;author&gt;Rice, J. B.&lt;/author&gt;&lt;author&gt;White, A. G.&lt;/author&gt;&lt;author&gt;Scarpati, L. M.&lt;/author&gt;&lt;author&gt;Wan, G.&lt;/author&gt;&lt;author&gt;Nelson, W. W.&lt;/author&gt;&lt;/authors&gt;&lt;/contributors&gt;&lt;auth-address&gt;Analysis Group, Inc, Boston, Massachusetts. Electronic address: Brad.Rice@analysisgroup.com.&amp;#xD;Analysis Group, Inc, Boston, Massachusetts.&amp;#xD;Mallinckrodt Pharmaceuticals, Hampton, New Jersey.&lt;/auth-address&gt;&lt;titles&gt;&lt;title&gt;Long-term Systemic Corticosteroid Exposure: A Systematic Literature Review&lt;/title&gt;&lt;secondary-title&gt;Clin Ther&lt;/secondary-title&gt;&lt;/titles&gt;&lt;periodical&gt;&lt;full-title&gt;Clin Ther&lt;/full-title&gt;&lt;/periodical&gt;&lt;pages&gt;2216-2229&lt;/pages&gt;&lt;volume&gt;39&lt;/volume&gt;&lt;number&gt;11&lt;/number&gt;&lt;keywords&gt;&lt;keyword&gt;Adrenal Cortex Hormones/*administration &amp;amp; dosage/adverse effects/therapeutic use&lt;/keyword&gt;&lt;keyword&gt;Asthma/drug therapy&lt;/keyword&gt;&lt;keyword&gt;Costs and Cost Analysis&lt;/keyword&gt;&lt;keyword&gt;Diabetes Mellitus, Type 2/epidemiology&lt;/keyword&gt;&lt;keyword&gt;Gastrointestinal Diseases/chemically induced&lt;/keyword&gt;&lt;keyword&gt;Humans&lt;/keyword&gt;&lt;keyword&gt;Outcome Assessment, Health Care&lt;/keyword&gt;&lt;keyword&gt;Time Factors&lt;/keyword&gt;&lt;keyword&gt;adverse events&lt;/keyword&gt;&lt;keyword&gt;corticosteroids&lt;/keyword&gt;&lt;keyword&gt;costs&lt;/keyword&gt;&lt;keyword&gt;economic burden&lt;/keyword&gt;&lt;keyword&gt;long-term corticosteroid exposure&lt;/keyword&gt;&lt;/keywords&gt;&lt;dates&gt;&lt;year&gt;2017&lt;/year&gt;&lt;pub-dates&gt;&lt;date&gt;Nov&lt;/date&gt;&lt;/pub-dates&gt;&lt;/dates&gt;&lt;isbn&gt;1879-114X (Electronic)&amp;#xD;0149-2918 (Linking)&lt;/isbn&gt;&lt;accession-num&gt;29055500&lt;/accession-num&gt;&lt;urls&gt;&lt;related-urls&gt;&lt;url&gt;https://www.ncbi.nlm.nih.gov/pubmed/29055500&lt;/url&gt;&lt;/related-urls&gt;&lt;/urls&gt;&lt;electronic-resource-num&gt;10.1016/j.clinthera.2017.09.011&lt;/electronic-resource-num&gt;&lt;/record&gt;&lt;/Cite&gt;&lt;/EndNote&gt;</w:instrText>
      </w:r>
      <w:r w:rsidR="00B727D6">
        <w:fldChar w:fldCharType="separate"/>
      </w:r>
      <w:r w:rsidR="00B727D6">
        <w:rPr>
          <w:noProof/>
        </w:rPr>
        <w:t>(</w:t>
      </w:r>
      <w:hyperlink w:anchor="_ENREF_61" w:tooltip="Rice, 2017 #11" w:history="1">
        <w:r w:rsidR="00D726F6">
          <w:rPr>
            <w:noProof/>
          </w:rPr>
          <w:t>Rice et al. 2017</w:t>
        </w:r>
      </w:hyperlink>
      <w:r w:rsidR="00B727D6">
        <w:rPr>
          <w:noProof/>
        </w:rPr>
        <w:t>)</w:t>
      </w:r>
      <w:r w:rsidR="00B727D6">
        <w:fldChar w:fldCharType="end"/>
      </w:r>
      <w:r w:rsidR="002D1EA5">
        <w:t xml:space="preserve"> </w:t>
      </w:r>
      <w:r>
        <w:t xml:space="preserve">included full-text articles </w:t>
      </w:r>
      <w:r w:rsidR="00E83627">
        <w:t xml:space="preserve">reporting </w:t>
      </w:r>
      <w:r>
        <w:t xml:space="preserve">indicators of long-term corticosteroid use </w:t>
      </w:r>
      <w:r w:rsidR="00E83627">
        <w:t xml:space="preserve">in 40 cases or more, </w:t>
      </w:r>
      <w:r>
        <w:t xml:space="preserve">and published </w:t>
      </w:r>
      <w:r w:rsidR="00E83627">
        <w:t>between the years 2007 to 2016 - 32</w:t>
      </w:r>
      <w:r>
        <w:t xml:space="preserve"> studies in all. Patients were from a diverse range of </w:t>
      </w:r>
      <w:r w:rsidR="002D1EA5">
        <w:t xml:space="preserve">disease categories, but the largest proportion of studies were of patients with autoimmune disorders (31%). </w:t>
      </w:r>
      <w:r w:rsidR="002D5BD9">
        <w:t xml:space="preserve">While patients were described as long-term users of GC, the follow-up period was not further described. </w:t>
      </w:r>
      <w:r w:rsidR="000B304F">
        <w:t>An overall AE rate could not be calculated as only the most common AEs were reported. I</w:t>
      </w:r>
      <w:r w:rsidR="00E83627">
        <w:t>n</w:t>
      </w:r>
      <w:r w:rsidR="000B304F">
        <w:t xml:space="preserve"> addition, sleep disturbances were not reported, despite being a known side effect of GC. The most common AEs were hypertension (&gt; 30% of cases) and fractures or osteoporosis (21% - 30%). </w:t>
      </w:r>
      <w:r w:rsidR="00837B62">
        <w:t>A</w:t>
      </w:r>
      <w:r w:rsidR="002D5BD9">
        <w:t xml:space="preserve"> dose analysis was</w:t>
      </w:r>
      <w:r w:rsidR="00837B62">
        <w:t xml:space="preserve"> not</w:t>
      </w:r>
      <w:r w:rsidR="002D5BD9">
        <w:t xml:space="preserve"> performed</w:t>
      </w:r>
      <w:r w:rsidR="00E83627">
        <w:t>, and AEs were not separated into categories of severity</w:t>
      </w:r>
      <w:r w:rsidR="002D5BD9">
        <w:t xml:space="preserve">. </w:t>
      </w:r>
    </w:p>
    <w:p w14:paraId="60BD2CB6" w14:textId="48981684" w:rsidR="000B304F" w:rsidRDefault="002D1EA5" w:rsidP="00192373">
      <w:pPr>
        <w:jc w:val="both"/>
      </w:pPr>
      <w:r>
        <w:t>The single</w:t>
      </w:r>
      <w:r w:rsidR="00837B62">
        <w:t>-</w:t>
      </w:r>
      <w:r>
        <w:t>centre retrospective study provided an an</w:t>
      </w:r>
      <w:r w:rsidR="00CF1BF2">
        <w:t>a</w:t>
      </w:r>
      <w:r>
        <w:t xml:space="preserve">lysis of data from a rheumatoid arthritis (RA) database in Germany </w:t>
      </w:r>
      <w:r w:rsidR="00B727D6">
        <w:fldChar w:fldCharType="begin"/>
      </w:r>
      <w:r w:rsidR="00B727D6">
        <w:instrText xml:space="preserve"> ADDIN EN.CITE &lt;EndNote&gt;&lt;Cite&gt;&lt;Author&gt;Huscher&lt;/Author&gt;&lt;Year&gt;2009&lt;/Year&gt;&lt;RecNum&gt;12&lt;/RecNum&gt;&lt;DisplayText&gt;(Huscher et al. 2009)&lt;/DisplayText&gt;&lt;record&gt;&lt;rec-number&gt;12&lt;/rec-number&gt;&lt;foreign-keys&gt;&lt;key app="EN" db-id="p29e2t021fx2sker0f4p99xad5t02xpedpxr" timestamp="1605656036"&gt;12&lt;/key&gt;&lt;/foreign-keys&gt;&lt;ref-type name="Journal Article"&gt;17&lt;/ref-type&gt;&lt;contributors&gt;&lt;authors&gt;&lt;author&gt;Huscher, D.&lt;/author&gt;&lt;author&gt;Thiele, K.&lt;/author&gt;&lt;author&gt;Gromnica-Ihle, E.&lt;/author&gt;&lt;author&gt;Hein, G.&lt;/author&gt;&lt;author&gt;Demary, W.&lt;/author&gt;&lt;author&gt;Dreher, R.&lt;/author&gt;&lt;author&gt;Zink, A.&lt;/author&gt;&lt;author&gt;Buttgereit, F.&lt;/author&gt;&lt;/authors&gt;&lt;/contributors&gt;&lt;auth-address&gt;German Rheumatism Research Centre Berlin, Epidemiology Unit, Berlin, Germany. huscher@drfz.de&lt;/auth-address&gt;&lt;titles&gt;&lt;title&gt;Dose-related patterns of glucocorticoid-induced side effects&lt;/title&gt;&lt;secondary-title&gt;Ann Rheum Dis&lt;/secondary-title&gt;&lt;/titles&gt;&lt;periodical&gt;&lt;full-title&gt;Ann Rheum Dis&lt;/full-title&gt;&lt;/periodical&gt;&lt;pages&gt;1119-24&lt;/pages&gt;&lt;volume&gt;68&lt;/volume&gt;&lt;number&gt;7&lt;/number&gt;&lt;edition&gt;2008/08/08&lt;/edition&gt;&lt;keywords&gt;&lt;keyword&gt;Arthritis, Rheumatoid/ drug therapy&lt;/keyword&gt;&lt;keyword&gt;Data Collection&lt;/keyword&gt;&lt;keyword&gt;Dose-Response Relationship, Drug&lt;/keyword&gt;&lt;keyword&gt;Female&lt;/keyword&gt;&lt;keyword&gt;Glucocorticoids/administration &amp;amp; dosage/ adverse effects&lt;/keyword&gt;&lt;keyword&gt;Humans&lt;/keyword&gt;&lt;keyword&gt;Male&lt;/keyword&gt;&lt;keyword&gt;Middle Aged&lt;/keyword&gt;&lt;keyword&gt;Risk Factors&lt;/keyword&gt;&lt;keyword&gt;Time Factors&lt;/keyword&gt;&lt;/keywords&gt;&lt;dates&gt;&lt;year&gt;2009&lt;/year&gt;&lt;pub-dates&gt;&lt;date&gt;Jul&lt;/date&gt;&lt;/pub-dates&gt;&lt;/dates&gt;&lt;isbn&gt;1468-2060 (Electronic)&amp;#xD;0003-4967 (Linking)&lt;/isbn&gt;&lt;accession-num&gt;18684744&lt;/accession-num&gt;&lt;urls&gt;&lt;related-urls&gt;&lt;url&gt;https://ard.bmj.com/content/annrheumdis/68/7/1119.full.pdf&lt;/url&gt;&lt;/related-urls&gt;&lt;/urls&gt;&lt;electronic-resource-num&gt;10.1136/ard.2008.092163&lt;/electronic-resource-num&gt;&lt;remote-database-provider&gt;NLM&lt;/remote-database-provider&gt;&lt;language&gt;eng&lt;/language&gt;&lt;/record&gt;&lt;/Cite&gt;&lt;/EndNote&gt;</w:instrText>
      </w:r>
      <w:r w:rsidR="00B727D6">
        <w:fldChar w:fldCharType="separate"/>
      </w:r>
      <w:r w:rsidR="00B727D6">
        <w:rPr>
          <w:noProof/>
        </w:rPr>
        <w:t>(</w:t>
      </w:r>
      <w:hyperlink w:anchor="_ENREF_29" w:tooltip="Huscher, 2009 #12" w:history="1">
        <w:r w:rsidR="00D726F6">
          <w:rPr>
            <w:noProof/>
          </w:rPr>
          <w:t>Huscher et al. 2009</w:t>
        </w:r>
      </w:hyperlink>
      <w:r w:rsidR="00B727D6">
        <w:rPr>
          <w:noProof/>
        </w:rPr>
        <w:t>)</w:t>
      </w:r>
      <w:r w:rsidR="00B727D6">
        <w:fldChar w:fldCharType="end"/>
      </w:r>
      <w:r>
        <w:t xml:space="preserve">. Patients who had been treated with GC for a period of 6 months or longer were identified (n = 472) and </w:t>
      </w:r>
      <w:r w:rsidR="00EE4E63">
        <w:t xml:space="preserve">AE data </w:t>
      </w:r>
      <w:r>
        <w:t xml:space="preserve">were </w:t>
      </w:r>
      <w:r w:rsidR="00EE4E63">
        <w:t>collected</w:t>
      </w:r>
      <w:r>
        <w:t xml:space="preserve">. </w:t>
      </w:r>
      <w:r w:rsidR="000B304F">
        <w:t xml:space="preserve">The overall AE rate was not reported, but individual AE </w:t>
      </w:r>
      <w:r w:rsidR="00316A77">
        <w:t>rates</w:t>
      </w:r>
      <w:r w:rsidR="000B304F">
        <w:t xml:space="preserve"> are given in </w:t>
      </w:r>
      <w:r w:rsidR="00E83627">
        <w:fldChar w:fldCharType="begin"/>
      </w:r>
      <w:r w:rsidR="00E83627">
        <w:instrText xml:space="preserve"> REF _Ref57037515 \h </w:instrText>
      </w:r>
      <w:r w:rsidR="00E83627">
        <w:fldChar w:fldCharType="separate"/>
      </w:r>
      <w:r w:rsidR="004B3EA2">
        <w:t xml:space="preserve">Table </w:t>
      </w:r>
      <w:r w:rsidR="004B3EA2">
        <w:rPr>
          <w:noProof/>
        </w:rPr>
        <w:t>20</w:t>
      </w:r>
      <w:r w:rsidR="00E83627">
        <w:fldChar w:fldCharType="end"/>
      </w:r>
      <w:r w:rsidR="000B304F">
        <w:t xml:space="preserve">. </w:t>
      </w:r>
      <w:r>
        <w:t>A dose comparison was performed for dose categories of &lt; 5 mg/day, 5 – 7.5 mg/day, and &gt; 7.5 mg/day</w:t>
      </w:r>
      <w:r w:rsidR="000B304F">
        <w:t xml:space="preserve">, and can be seen in </w:t>
      </w:r>
      <w:r w:rsidR="00E83627">
        <w:fldChar w:fldCharType="begin"/>
      </w:r>
      <w:r w:rsidR="00E83627">
        <w:instrText xml:space="preserve"> REF _Ref57037531 \h </w:instrText>
      </w:r>
      <w:r w:rsidR="00E83627">
        <w:fldChar w:fldCharType="separate"/>
      </w:r>
      <w:r w:rsidR="004B3EA2">
        <w:t xml:space="preserve">Table </w:t>
      </w:r>
      <w:r w:rsidR="004B3EA2">
        <w:rPr>
          <w:noProof/>
        </w:rPr>
        <w:t>21</w:t>
      </w:r>
      <w:r w:rsidR="00E83627">
        <w:fldChar w:fldCharType="end"/>
      </w:r>
      <w:r>
        <w:t>.</w:t>
      </w:r>
    </w:p>
    <w:p w14:paraId="546923BF" w14:textId="0E67BB60" w:rsidR="00E83627" w:rsidRDefault="000008B3" w:rsidP="00192373">
      <w:pPr>
        <w:jc w:val="both"/>
      </w:pPr>
      <w:r>
        <w:t xml:space="preserve">Wilson et al (2017) performed a matched case-control analysis on patients with giant cell arteritis (GCA) from the Clinical Practice Research Datalink (CRPD) records in the UK. The analysis included 5011 GCA patients and 2011 matched controls that did not have the disease. </w:t>
      </w:r>
      <w:r w:rsidR="00BD3C5D">
        <w:t xml:space="preserve">Patients </w:t>
      </w:r>
      <w:r w:rsidR="00681207">
        <w:t xml:space="preserve">were required to have at least </w:t>
      </w:r>
      <w:r w:rsidR="00DD2C89">
        <w:t xml:space="preserve">three </w:t>
      </w:r>
      <w:r w:rsidR="00681207">
        <w:t>years of recorded medical history to be eligible for the study</w:t>
      </w:r>
      <w:r w:rsidR="00BD3C5D">
        <w:t xml:space="preserve">. </w:t>
      </w:r>
      <w:r w:rsidR="001B67AD">
        <w:t>There w</w:t>
      </w:r>
      <w:r w:rsidR="003D3263">
        <w:t>as a total of</w:t>
      </w:r>
      <w:r w:rsidR="001B67AD">
        <w:t xml:space="preserve"> 2190 (43.7%) GCA patients who experienced AEs, the most common of which were diabetes 321 (6.4%), osteoporosis 511 (10.2%), fractures 408 (8.1%), and infection 433 (8.4%). Death occurred </w:t>
      </w:r>
      <w:r w:rsidR="009F3BFA">
        <w:t xml:space="preserve">in </w:t>
      </w:r>
      <w:r w:rsidR="001B67AD">
        <w:t>517 (10.3%) of cases</w:t>
      </w:r>
      <w:r w:rsidR="00214F89">
        <w:t xml:space="preserve">. </w:t>
      </w:r>
    </w:p>
    <w:p w14:paraId="608D4A39" w14:textId="44DD04FF" w:rsidR="00076DE6" w:rsidRDefault="00623E80" w:rsidP="006C0A15">
      <w:pPr>
        <w:pStyle w:val="Caption"/>
      </w:pPr>
      <w:bookmarkStart w:id="205" w:name="_Ref56695721"/>
      <w:bookmarkStart w:id="206" w:name="_Toc69305660"/>
      <w:r>
        <w:t xml:space="preserve">Table </w:t>
      </w:r>
      <w:r w:rsidR="00003BA5">
        <w:fldChar w:fldCharType="begin"/>
      </w:r>
      <w:r w:rsidR="00003BA5">
        <w:instrText xml:space="preserve"> SEQ Table \* ARABIC </w:instrText>
      </w:r>
      <w:r w:rsidR="00003BA5">
        <w:fldChar w:fldCharType="separate"/>
      </w:r>
      <w:r w:rsidR="004B3EA2">
        <w:rPr>
          <w:noProof/>
        </w:rPr>
        <w:t>19</w:t>
      </w:r>
      <w:r w:rsidR="00003BA5">
        <w:rPr>
          <w:noProof/>
        </w:rPr>
        <w:fldChar w:fldCharType="end"/>
      </w:r>
      <w:bookmarkEnd w:id="205"/>
      <w:r>
        <w:tab/>
        <w:t>Studies reporting adverse events in patients receiving corticosteroid therapy</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udies reporting adverse events in patients receiving corticosteroid therapy"/>
        <w:tblDescription w:val="Studies reporting adverse events in patients receiving corticosteroid therapy"/>
      </w:tblPr>
      <w:tblGrid>
        <w:gridCol w:w="1272"/>
        <w:gridCol w:w="2692"/>
        <w:gridCol w:w="1700"/>
        <w:gridCol w:w="1277"/>
        <w:gridCol w:w="2075"/>
      </w:tblGrid>
      <w:tr w:rsidR="00623E80" w:rsidRPr="00E3331A" w14:paraId="663FDFE7" w14:textId="77777777" w:rsidTr="006040A7">
        <w:trPr>
          <w:tblHeader/>
        </w:trPr>
        <w:tc>
          <w:tcPr>
            <w:tcW w:w="705" w:type="pct"/>
            <w:shd w:val="clear" w:color="auto" w:fill="auto"/>
          </w:tcPr>
          <w:p w14:paraId="276565DE" w14:textId="77777777" w:rsidR="00623E80" w:rsidRDefault="00623E80" w:rsidP="00822F9E">
            <w:pPr>
              <w:pStyle w:val="TableHeading"/>
            </w:pPr>
            <w:r w:rsidRPr="00E3331A">
              <w:t>Study ID</w:t>
            </w:r>
          </w:p>
          <w:p w14:paraId="7801C478" w14:textId="77777777" w:rsidR="00623E80" w:rsidRDefault="00623E80" w:rsidP="00822F9E">
            <w:pPr>
              <w:pStyle w:val="TableHeading"/>
            </w:pPr>
            <w:r>
              <w:t>Country</w:t>
            </w:r>
          </w:p>
          <w:p w14:paraId="76DB3317" w14:textId="77777777" w:rsidR="00623E80" w:rsidRPr="00E3331A" w:rsidRDefault="00623E80" w:rsidP="00822F9E">
            <w:pPr>
              <w:pStyle w:val="TableHeading"/>
            </w:pPr>
            <w:r>
              <w:t>Study design</w:t>
            </w:r>
          </w:p>
        </w:tc>
        <w:tc>
          <w:tcPr>
            <w:tcW w:w="1493" w:type="pct"/>
            <w:shd w:val="clear" w:color="auto" w:fill="auto"/>
          </w:tcPr>
          <w:p w14:paraId="5243F12A" w14:textId="77777777" w:rsidR="00623E80" w:rsidRPr="00E3331A" w:rsidRDefault="00623E80" w:rsidP="00822F9E">
            <w:pPr>
              <w:pStyle w:val="TableHeading"/>
            </w:pPr>
            <w:r>
              <w:t>Population/inclusion criteria</w:t>
            </w:r>
          </w:p>
          <w:p w14:paraId="1387C32F" w14:textId="77777777" w:rsidR="00623E80" w:rsidRPr="00E3331A" w:rsidRDefault="00623E80" w:rsidP="00822F9E">
            <w:pPr>
              <w:pStyle w:val="TableHeading"/>
            </w:pPr>
            <w:r w:rsidRPr="00E3331A">
              <w:t>n</w:t>
            </w:r>
          </w:p>
        </w:tc>
        <w:tc>
          <w:tcPr>
            <w:tcW w:w="943" w:type="pct"/>
            <w:shd w:val="clear" w:color="auto" w:fill="auto"/>
          </w:tcPr>
          <w:p w14:paraId="5A579D44" w14:textId="77777777" w:rsidR="00623E80" w:rsidRDefault="00623E80" w:rsidP="00822F9E">
            <w:pPr>
              <w:pStyle w:val="TableHeading"/>
            </w:pPr>
            <w:r>
              <w:t>Intervention</w:t>
            </w:r>
          </w:p>
          <w:p w14:paraId="6E392692" w14:textId="77777777" w:rsidR="00623E80" w:rsidRPr="00E3331A" w:rsidRDefault="00623E80" w:rsidP="00822F9E">
            <w:pPr>
              <w:pStyle w:val="TableHeading"/>
            </w:pPr>
            <w:r>
              <w:t>Comparator (if applicable)</w:t>
            </w:r>
          </w:p>
        </w:tc>
        <w:tc>
          <w:tcPr>
            <w:tcW w:w="708" w:type="pct"/>
            <w:shd w:val="clear" w:color="auto" w:fill="auto"/>
          </w:tcPr>
          <w:p w14:paraId="2189AC52" w14:textId="77777777" w:rsidR="00623E80" w:rsidRPr="00E3331A" w:rsidRDefault="00623E80" w:rsidP="00822F9E">
            <w:pPr>
              <w:pStyle w:val="TableHeading"/>
            </w:pPr>
            <w:r>
              <w:t>Observation period</w:t>
            </w:r>
          </w:p>
        </w:tc>
        <w:tc>
          <w:tcPr>
            <w:tcW w:w="1151" w:type="pct"/>
            <w:shd w:val="clear" w:color="auto" w:fill="auto"/>
          </w:tcPr>
          <w:p w14:paraId="39A4943D" w14:textId="77777777" w:rsidR="00080648" w:rsidRDefault="00623E80" w:rsidP="00080648">
            <w:pPr>
              <w:pStyle w:val="TableHeading"/>
            </w:pPr>
            <w:r>
              <w:t>Adverse event</w:t>
            </w:r>
            <w:r w:rsidR="00080648">
              <w:t>s</w:t>
            </w:r>
            <w:r>
              <w:t xml:space="preserve"> </w:t>
            </w:r>
            <w:r w:rsidR="00080648">
              <w:t>overall</w:t>
            </w:r>
          </w:p>
          <w:p w14:paraId="79D7C8D0" w14:textId="77777777" w:rsidR="00623E80" w:rsidRPr="00E3331A" w:rsidRDefault="00080648" w:rsidP="00080648">
            <w:pPr>
              <w:pStyle w:val="TableHeading"/>
            </w:pPr>
            <w:r>
              <w:t>n (%)</w:t>
            </w:r>
          </w:p>
        </w:tc>
      </w:tr>
      <w:tr w:rsidR="00623E80" w:rsidRPr="00E3331A" w14:paraId="0DA6C9E5" w14:textId="77777777" w:rsidTr="006040A7">
        <w:tc>
          <w:tcPr>
            <w:tcW w:w="705" w:type="pct"/>
            <w:shd w:val="clear" w:color="auto" w:fill="auto"/>
          </w:tcPr>
          <w:p w14:paraId="3B7D8300" w14:textId="0DA49861" w:rsidR="00623E80" w:rsidRDefault="00B727D6" w:rsidP="00822F9E">
            <w:pPr>
              <w:pStyle w:val="Tabletext1"/>
            </w:pPr>
            <w:r>
              <w:fldChar w:fldCharType="begin"/>
            </w:r>
            <w:r>
              <w:instrText xml:space="preserve"> ADDIN EN.CITE &lt;EndNote&gt;&lt;Cite&gt;&lt;Author&gt;Huscher&lt;/Author&gt;&lt;Year&gt;2009&lt;/Year&gt;&lt;RecNum&gt;12&lt;/RecNum&gt;&lt;DisplayText&gt;(Huscher et al. 2009)&lt;/DisplayText&gt;&lt;record&gt;&lt;rec-number&gt;12&lt;/rec-number&gt;&lt;foreign-keys&gt;&lt;key app="EN" db-id="p29e2t021fx2sker0f4p99xad5t02xpedpxr" timestamp="1605656036"&gt;12&lt;/key&gt;&lt;/foreign-keys&gt;&lt;ref-type name="Journal Article"&gt;17&lt;/ref-type&gt;&lt;contributors&gt;&lt;authors&gt;&lt;author&gt;Huscher, D.&lt;/author&gt;&lt;author&gt;Thiele, K.&lt;/author&gt;&lt;author&gt;Gromnica-Ihle, E.&lt;/author&gt;&lt;author&gt;Hein, G.&lt;/author&gt;&lt;author&gt;Demary, W.&lt;/author&gt;&lt;author&gt;Dreher, R.&lt;/author&gt;&lt;author&gt;Zink, A.&lt;/author&gt;&lt;author&gt;Buttgereit, F.&lt;/author&gt;&lt;/authors&gt;&lt;/contributors&gt;&lt;auth-address&gt;German Rheumatism Research Centre Berlin, Epidemiology Unit, Berlin, Germany. huscher@drfz.de&lt;/auth-address&gt;&lt;titles&gt;&lt;title&gt;Dose-related patterns of glucocorticoid-induced side effects&lt;/title&gt;&lt;secondary-title&gt;Ann Rheum Dis&lt;/secondary-title&gt;&lt;/titles&gt;&lt;periodical&gt;&lt;full-title&gt;Ann Rheum Dis&lt;/full-title&gt;&lt;/periodical&gt;&lt;pages&gt;1119-24&lt;/pages&gt;&lt;volume&gt;68&lt;/volume&gt;&lt;number&gt;7&lt;/number&gt;&lt;edition&gt;2008/08/08&lt;/edition&gt;&lt;keywords&gt;&lt;keyword&gt;Arthritis, Rheumatoid/ drug therapy&lt;/keyword&gt;&lt;keyword&gt;Data Collection&lt;/keyword&gt;&lt;keyword&gt;Dose-Response Relationship, Drug&lt;/keyword&gt;&lt;keyword&gt;Female&lt;/keyword&gt;&lt;keyword&gt;Glucocorticoids/administration &amp;amp; dosage/ adverse effects&lt;/keyword&gt;&lt;keyword&gt;Humans&lt;/keyword&gt;&lt;keyword&gt;Male&lt;/keyword&gt;&lt;keyword&gt;Middle Aged&lt;/keyword&gt;&lt;keyword&gt;Risk Factors&lt;/keyword&gt;&lt;keyword&gt;Time Factors&lt;/keyword&gt;&lt;/keywords&gt;&lt;dates&gt;&lt;year&gt;2009&lt;/year&gt;&lt;pub-dates&gt;&lt;date&gt;Jul&lt;/date&gt;&lt;/pub-dates&gt;&lt;/dates&gt;&lt;isbn&gt;1468-2060 (Electronic)&amp;#xD;0003-4967 (Linking)&lt;/isbn&gt;&lt;accession-num&gt;18684744&lt;/accession-num&gt;&lt;urls&gt;&lt;related-urls&gt;&lt;url&gt;https://ard.bmj.com/content/annrheumdis/68/7/1119.full.pdf&lt;/url&gt;&lt;/related-urls&gt;&lt;/urls&gt;&lt;electronic-resource-num&gt;10.1136/ard.2008.092163&lt;/electronic-resource-num&gt;&lt;remote-database-provider&gt;NLM&lt;/remote-database-provider&gt;&lt;language&gt;eng&lt;/language&gt;&lt;/record&gt;&lt;/Cite&gt;&lt;/EndNote&gt;</w:instrText>
            </w:r>
            <w:r>
              <w:fldChar w:fldCharType="separate"/>
            </w:r>
            <w:r>
              <w:rPr>
                <w:noProof/>
              </w:rPr>
              <w:t>(</w:t>
            </w:r>
            <w:hyperlink w:anchor="_ENREF_29" w:tooltip="Huscher, 2009 #12" w:history="1">
              <w:r w:rsidR="00D726F6">
                <w:rPr>
                  <w:noProof/>
                </w:rPr>
                <w:t>Huscher et al. 2009</w:t>
              </w:r>
            </w:hyperlink>
            <w:r>
              <w:rPr>
                <w:noProof/>
              </w:rPr>
              <w:t>)</w:t>
            </w:r>
            <w:r>
              <w:fldChar w:fldCharType="end"/>
            </w:r>
          </w:p>
          <w:p w14:paraId="591767EC" w14:textId="77777777" w:rsidR="00080648" w:rsidRDefault="00080648" w:rsidP="00822F9E">
            <w:pPr>
              <w:pStyle w:val="Tabletext1"/>
            </w:pPr>
            <w:r>
              <w:t>Germany</w:t>
            </w:r>
          </w:p>
          <w:p w14:paraId="71FAA92A" w14:textId="77777777" w:rsidR="00080648" w:rsidRDefault="00080648" w:rsidP="00822F9E">
            <w:pPr>
              <w:pStyle w:val="Tabletext1"/>
            </w:pPr>
            <w:r>
              <w:t>R O</w:t>
            </w:r>
            <w:r w:rsidR="002D1EA5">
              <w:t xml:space="preserve"> SC</w:t>
            </w:r>
          </w:p>
          <w:p w14:paraId="3838A7B2" w14:textId="77777777" w:rsidR="00745B4C" w:rsidRPr="00E3331A" w:rsidRDefault="00745B4C" w:rsidP="00822F9E">
            <w:pPr>
              <w:pStyle w:val="Tabletext1"/>
            </w:pPr>
            <w:r>
              <w:t>Moderate</w:t>
            </w:r>
          </w:p>
        </w:tc>
        <w:tc>
          <w:tcPr>
            <w:tcW w:w="1493" w:type="pct"/>
            <w:shd w:val="clear" w:color="auto" w:fill="auto"/>
          </w:tcPr>
          <w:p w14:paraId="70861FD1" w14:textId="77777777" w:rsidR="00BD6535" w:rsidRDefault="00080648" w:rsidP="00822F9E">
            <w:pPr>
              <w:pStyle w:val="Tabletext1"/>
            </w:pPr>
            <w:r w:rsidRPr="00080648">
              <w:t xml:space="preserve">Patient data from a RA patient database, </w:t>
            </w:r>
          </w:p>
          <w:p w14:paraId="647F920E" w14:textId="77777777" w:rsidR="00080648" w:rsidRPr="00E3331A" w:rsidRDefault="00BD6535" w:rsidP="00BD6535">
            <w:pPr>
              <w:pStyle w:val="Tabletext1"/>
            </w:pPr>
            <w:r>
              <w:t>P</w:t>
            </w:r>
            <w:r w:rsidR="00080648" w:rsidRPr="00080648">
              <w:t>atients taking ongoing GC &gt; 6 months</w:t>
            </w:r>
            <w:r w:rsidR="00080648">
              <w:t xml:space="preserve"> n = </w:t>
            </w:r>
            <w:r>
              <w:t>472</w:t>
            </w:r>
          </w:p>
        </w:tc>
        <w:tc>
          <w:tcPr>
            <w:tcW w:w="943" w:type="pct"/>
            <w:shd w:val="clear" w:color="auto" w:fill="auto"/>
          </w:tcPr>
          <w:p w14:paraId="0D130A1E" w14:textId="77777777" w:rsidR="00167F41" w:rsidRDefault="00167F41" w:rsidP="00167F41">
            <w:pPr>
              <w:pStyle w:val="Tabletext1"/>
            </w:pPr>
            <w:r>
              <w:t>GC</w:t>
            </w:r>
          </w:p>
          <w:p w14:paraId="2E77CB02" w14:textId="77777777" w:rsidR="00167F41" w:rsidRDefault="00167F41" w:rsidP="00167F41">
            <w:pPr>
              <w:pStyle w:val="Tabletext1"/>
            </w:pPr>
            <w:r>
              <w:t>Dose categorisations:</w:t>
            </w:r>
          </w:p>
          <w:p w14:paraId="44B3E8B6" w14:textId="77777777" w:rsidR="00167F41" w:rsidRDefault="00167F41" w:rsidP="00167F41">
            <w:pPr>
              <w:pStyle w:val="Tabletext1"/>
            </w:pPr>
            <w:r>
              <w:t>&lt; 5mg/day</w:t>
            </w:r>
          </w:p>
          <w:p w14:paraId="44F377EA" w14:textId="77777777" w:rsidR="00167F41" w:rsidRDefault="00167F41" w:rsidP="00167F41">
            <w:pPr>
              <w:pStyle w:val="Tabletext1"/>
            </w:pPr>
            <w:r>
              <w:t>5-7.5 mg/day</w:t>
            </w:r>
          </w:p>
          <w:p w14:paraId="4B4C3821" w14:textId="77777777" w:rsidR="00623E80" w:rsidRPr="00E3331A" w:rsidRDefault="00167F41" w:rsidP="00167F41">
            <w:pPr>
              <w:pStyle w:val="Tabletext1"/>
            </w:pPr>
            <w:r>
              <w:t>&gt;7.5 mg/day</w:t>
            </w:r>
          </w:p>
        </w:tc>
        <w:tc>
          <w:tcPr>
            <w:tcW w:w="708" w:type="pct"/>
            <w:shd w:val="clear" w:color="auto" w:fill="auto"/>
          </w:tcPr>
          <w:p w14:paraId="461227F3" w14:textId="77777777" w:rsidR="00623E80" w:rsidRPr="00E3331A" w:rsidRDefault="00167F41" w:rsidP="00822F9E">
            <w:pPr>
              <w:pStyle w:val="Tabletext1"/>
            </w:pPr>
            <w:r w:rsidRPr="00167F41">
              <w:t>&gt; 6 months</w:t>
            </w:r>
          </w:p>
        </w:tc>
        <w:tc>
          <w:tcPr>
            <w:tcW w:w="1151" w:type="pct"/>
            <w:shd w:val="clear" w:color="auto" w:fill="auto"/>
          </w:tcPr>
          <w:p w14:paraId="41936693" w14:textId="77777777" w:rsidR="00167F41" w:rsidRDefault="006040A7" w:rsidP="00822F9E">
            <w:pPr>
              <w:pStyle w:val="Tabletext1"/>
            </w:pPr>
            <w:r>
              <w:t xml:space="preserve">Overall </w:t>
            </w:r>
            <w:r w:rsidR="00167F41">
              <w:t>AEs</w:t>
            </w:r>
            <w:r w:rsidR="001010A3">
              <w:t xml:space="preserve"> </w:t>
            </w:r>
            <w:r>
              <w:t>NR</w:t>
            </w:r>
          </w:p>
          <w:p w14:paraId="4ED2F250" w14:textId="77777777" w:rsidR="006040A7" w:rsidRPr="00E3331A" w:rsidRDefault="00167F41" w:rsidP="007A74D3">
            <w:pPr>
              <w:pStyle w:val="Tabletext1"/>
            </w:pPr>
            <w:r>
              <w:t>Dose comparison</w:t>
            </w:r>
            <w:r w:rsidR="007A74D3">
              <w:t xml:space="preserve"> for individual AEs</w:t>
            </w:r>
          </w:p>
        </w:tc>
      </w:tr>
      <w:tr w:rsidR="00623E80" w:rsidRPr="00E3331A" w14:paraId="1237E1CE" w14:textId="77777777" w:rsidTr="006040A7">
        <w:tc>
          <w:tcPr>
            <w:tcW w:w="705" w:type="pct"/>
            <w:shd w:val="clear" w:color="auto" w:fill="auto"/>
          </w:tcPr>
          <w:p w14:paraId="529C2012" w14:textId="7E766D38" w:rsidR="00623E80" w:rsidRDefault="00B727D6" w:rsidP="00822F9E">
            <w:pPr>
              <w:pStyle w:val="Tabletext1"/>
            </w:pPr>
            <w:r>
              <w:fldChar w:fldCharType="begin"/>
            </w:r>
            <w:r>
              <w:instrText xml:space="preserve"> ADDIN EN.CITE &lt;EndNote&gt;&lt;Cite&gt;&lt;Author&gt;Rice&lt;/Author&gt;&lt;Year&gt;2017&lt;/Year&gt;&lt;RecNum&gt;11&lt;/RecNum&gt;&lt;DisplayText&gt;(Rice et al. 2017)&lt;/DisplayText&gt;&lt;record&gt;&lt;rec-number&gt;11&lt;/rec-number&gt;&lt;foreign-keys&gt;&lt;key app="EN" db-id="p29e2t021fx2sker0f4p99xad5t02xpedpxr" timestamp="1605656000"&gt;11&lt;/key&gt;&lt;/foreign-keys&gt;&lt;ref-type name="Journal Article"&gt;17&lt;/ref-type&gt;&lt;contributors&gt;&lt;authors&gt;&lt;author&gt;Rice, J. B.&lt;/author&gt;&lt;author&gt;White, A. G.&lt;/author&gt;&lt;author&gt;Scarpati, L. M.&lt;/author&gt;&lt;author&gt;Wan, G.&lt;/author&gt;&lt;author&gt;Nelson, W. W.&lt;/author&gt;&lt;/authors&gt;&lt;/contributors&gt;&lt;auth-address&gt;Analysis Group, Inc, Boston, Massachusetts. Electronic address: Brad.Rice@analysisgroup.com.&amp;#xD;Analysis Group, Inc, Boston, Massachusetts.&amp;#xD;Mallinckrodt Pharmaceuticals, Hampton, New Jersey.&lt;/auth-address&gt;&lt;titles&gt;&lt;title&gt;Long-term Systemic Corticosteroid Exposure: A Systematic Literature Review&lt;/title&gt;&lt;secondary-title&gt;Clin Ther&lt;/secondary-title&gt;&lt;/titles&gt;&lt;periodical&gt;&lt;full-title&gt;Clin Ther&lt;/full-title&gt;&lt;/periodical&gt;&lt;pages&gt;2216-2229&lt;/pages&gt;&lt;volume&gt;39&lt;/volume&gt;&lt;number&gt;11&lt;/number&gt;&lt;keywords&gt;&lt;keyword&gt;Adrenal Cortex Hormones/*administration &amp;amp; dosage/adverse effects/therapeutic use&lt;/keyword&gt;&lt;keyword&gt;Asthma/drug therapy&lt;/keyword&gt;&lt;keyword&gt;Costs and Cost Analysis&lt;/keyword&gt;&lt;keyword&gt;Diabetes Mellitus, Type 2/epidemiology&lt;/keyword&gt;&lt;keyword&gt;Gastrointestinal Diseases/chemically induced&lt;/keyword&gt;&lt;keyword&gt;Humans&lt;/keyword&gt;&lt;keyword&gt;Outcome Assessment, Health Care&lt;/keyword&gt;&lt;keyword&gt;Time Factors&lt;/keyword&gt;&lt;keyword&gt;adverse events&lt;/keyword&gt;&lt;keyword&gt;corticosteroids&lt;/keyword&gt;&lt;keyword&gt;costs&lt;/keyword&gt;&lt;keyword&gt;economic burden&lt;/keyword&gt;&lt;keyword&gt;long-term corticosteroid exposure&lt;/keyword&gt;&lt;/keywords&gt;&lt;dates&gt;&lt;year&gt;2017&lt;/year&gt;&lt;pub-dates&gt;&lt;date&gt;Nov&lt;/date&gt;&lt;/pub-dates&gt;&lt;/dates&gt;&lt;isbn&gt;1879-114X (Electronic)&amp;#xD;0149-2918 (Linking)&lt;/isbn&gt;&lt;accession-num&gt;29055500&lt;/accession-num&gt;&lt;urls&gt;&lt;related-urls&gt;&lt;url&gt;https://www.ncbi.nlm.nih.gov/pubmed/29055500&lt;/url&gt;&lt;/related-urls&gt;&lt;/urls&gt;&lt;electronic-resource-num&gt;10.1016/j.clinthera.2017.09.011&lt;/electronic-resource-num&gt;&lt;/record&gt;&lt;/Cite&gt;&lt;/EndNote&gt;</w:instrText>
            </w:r>
            <w:r>
              <w:fldChar w:fldCharType="separate"/>
            </w:r>
            <w:r>
              <w:rPr>
                <w:noProof/>
              </w:rPr>
              <w:t>(</w:t>
            </w:r>
            <w:hyperlink w:anchor="_ENREF_61" w:tooltip="Rice, 2017 #11" w:history="1">
              <w:r w:rsidR="00D726F6">
                <w:rPr>
                  <w:noProof/>
                </w:rPr>
                <w:t>Rice et al. 2017</w:t>
              </w:r>
            </w:hyperlink>
            <w:r>
              <w:rPr>
                <w:noProof/>
              </w:rPr>
              <w:t>)</w:t>
            </w:r>
            <w:r>
              <w:fldChar w:fldCharType="end"/>
            </w:r>
          </w:p>
          <w:p w14:paraId="4A873020" w14:textId="77777777" w:rsidR="00080648" w:rsidRDefault="00080648" w:rsidP="00822F9E">
            <w:pPr>
              <w:pStyle w:val="Tabletext1"/>
            </w:pPr>
            <w:r>
              <w:t>Multinational</w:t>
            </w:r>
          </w:p>
          <w:p w14:paraId="3F4E1072" w14:textId="77777777" w:rsidR="00080648" w:rsidRDefault="00080648" w:rsidP="00080648">
            <w:pPr>
              <w:pStyle w:val="Tabletext1"/>
            </w:pPr>
            <w:r>
              <w:t>SR</w:t>
            </w:r>
          </w:p>
          <w:p w14:paraId="30D9B092" w14:textId="77777777" w:rsidR="00745B4C" w:rsidRPr="00E3331A" w:rsidRDefault="00745B4C" w:rsidP="00080648">
            <w:pPr>
              <w:pStyle w:val="Tabletext1"/>
            </w:pPr>
            <w:r>
              <w:t>Moderate</w:t>
            </w:r>
          </w:p>
        </w:tc>
        <w:tc>
          <w:tcPr>
            <w:tcW w:w="1493" w:type="pct"/>
            <w:shd w:val="clear" w:color="auto" w:fill="auto"/>
          </w:tcPr>
          <w:p w14:paraId="2A578BA2" w14:textId="77777777" w:rsidR="00080648" w:rsidRDefault="00080648" w:rsidP="00822F9E">
            <w:pPr>
              <w:pStyle w:val="Tabletext1"/>
            </w:pPr>
            <w:r>
              <w:t xml:space="preserve">Articles published between 2007 </w:t>
            </w:r>
            <w:r w:rsidR="00167F41">
              <w:t>and 2016</w:t>
            </w:r>
            <w:r w:rsidR="000B1204">
              <w:t xml:space="preserve"> reporting economic or utilisation data on CS</w:t>
            </w:r>
          </w:p>
          <w:p w14:paraId="7B94A156" w14:textId="77777777" w:rsidR="00167F41" w:rsidRDefault="001010A3" w:rsidP="00822F9E">
            <w:pPr>
              <w:pStyle w:val="Tabletext1"/>
            </w:pPr>
            <w:r>
              <w:t>Included</w:t>
            </w:r>
            <w:r w:rsidR="00167F41">
              <w:t xml:space="preserve"> studies</w:t>
            </w:r>
            <w:r>
              <w:t>:</w:t>
            </w:r>
            <w:r w:rsidR="00167F41">
              <w:t xml:space="preserve"> k = 32</w:t>
            </w:r>
          </w:p>
          <w:p w14:paraId="0FFE5821" w14:textId="77777777" w:rsidR="001010A3" w:rsidRDefault="001010A3" w:rsidP="00822F9E">
            <w:pPr>
              <w:pStyle w:val="Tabletext1"/>
            </w:pPr>
            <w:r>
              <w:t xml:space="preserve">Total patients: </w:t>
            </w:r>
            <w:r w:rsidR="00DC7DB1">
              <w:t>NR</w:t>
            </w:r>
          </w:p>
          <w:p w14:paraId="2B87B571" w14:textId="77777777" w:rsidR="00167F41" w:rsidRDefault="001010A3" w:rsidP="00167F41">
            <w:pPr>
              <w:pStyle w:val="Tabletext1"/>
            </w:pPr>
            <w:r>
              <w:t>Diagnoses</w:t>
            </w:r>
            <w:r w:rsidR="00167F41">
              <w:t>:</w:t>
            </w:r>
          </w:p>
          <w:p w14:paraId="10488685" w14:textId="77777777" w:rsidR="00167F41" w:rsidRDefault="00167F41" w:rsidP="00167F41">
            <w:pPr>
              <w:pStyle w:val="Tabletext1"/>
            </w:pPr>
            <w:r>
              <w:t>Autoimmun</w:t>
            </w:r>
            <w:r w:rsidR="001010A3">
              <w:t>e</w:t>
            </w:r>
            <w:r>
              <w:t xml:space="preserve"> diseases 31%</w:t>
            </w:r>
          </w:p>
          <w:p w14:paraId="495D6752" w14:textId="77777777" w:rsidR="00167F41" w:rsidRDefault="00167F41" w:rsidP="00167F41">
            <w:pPr>
              <w:pStyle w:val="Tabletext1"/>
            </w:pPr>
            <w:r>
              <w:t>Asthma 25%</w:t>
            </w:r>
          </w:p>
          <w:p w14:paraId="1F5187D0" w14:textId="77777777" w:rsidR="00167F41" w:rsidRDefault="00167F41" w:rsidP="00167F41">
            <w:pPr>
              <w:pStyle w:val="Tabletext1"/>
            </w:pPr>
            <w:r>
              <w:t>COPD &amp; Lung diseases 19%</w:t>
            </w:r>
          </w:p>
          <w:p w14:paraId="15D3F3EF" w14:textId="77777777" w:rsidR="00167F41" w:rsidRDefault="00167F41" w:rsidP="00167F41">
            <w:pPr>
              <w:pStyle w:val="Tabletext1"/>
            </w:pPr>
            <w:r>
              <w:t>Multiple disease areas 10%</w:t>
            </w:r>
          </w:p>
          <w:p w14:paraId="7F41C23B" w14:textId="77777777" w:rsidR="00167F41" w:rsidRPr="00E3331A" w:rsidRDefault="001010A3" w:rsidP="001010A3">
            <w:pPr>
              <w:pStyle w:val="Tabletext1"/>
            </w:pPr>
            <w:r>
              <w:t>Other</w:t>
            </w:r>
            <w:r w:rsidR="00167F41">
              <w:t xml:space="preserve"> </w:t>
            </w:r>
            <w:r>
              <w:t>15</w:t>
            </w:r>
            <w:r w:rsidR="00167F41">
              <w:t>%</w:t>
            </w:r>
          </w:p>
        </w:tc>
        <w:tc>
          <w:tcPr>
            <w:tcW w:w="943" w:type="pct"/>
            <w:shd w:val="clear" w:color="auto" w:fill="auto"/>
          </w:tcPr>
          <w:p w14:paraId="18C54A4C" w14:textId="77777777" w:rsidR="00080648" w:rsidRPr="00E3331A" w:rsidRDefault="00167F41" w:rsidP="00080648">
            <w:pPr>
              <w:pStyle w:val="Tabletext1"/>
            </w:pPr>
            <w:r>
              <w:t>GC</w:t>
            </w:r>
          </w:p>
        </w:tc>
        <w:tc>
          <w:tcPr>
            <w:tcW w:w="708" w:type="pct"/>
            <w:shd w:val="clear" w:color="auto" w:fill="auto"/>
          </w:tcPr>
          <w:p w14:paraId="63BFF8A2" w14:textId="77777777" w:rsidR="00623E80" w:rsidRPr="00E3331A" w:rsidRDefault="00681207" w:rsidP="00822F9E">
            <w:pPr>
              <w:pStyle w:val="Tabletext1"/>
            </w:pPr>
            <w:r>
              <w:t>“long-term”</w:t>
            </w:r>
            <w:r w:rsidR="001A114A">
              <w:t xml:space="preserve"> users of GC not further defined</w:t>
            </w:r>
          </w:p>
        </w:tc>
        <w:tc>
          <w:tcPr>
            <w:tcW w:w="1151" w:type="pct"/>
            <w:shd w:val="clear" w:color="auto" w:fill="auto"/>
          </w:tcPr>
          <w:p w14:paraId="56B25370" w14:textId="77777777" w:rsidR="001A114A" w:rsidRPr="00E3331A" w:rsidRDefault="001010A3" w:rsidP="001010A3">
            <w:pPr>
              <w:pStyle w:val="Tabletext1"/>
            </w:pPr>
            <w:r>
              <w:t xml:space="preserve">Individual </w:t>
            </w:r>
            <w:r w:rsidR="00BD6535">
              <w:t xml:space="preserve">AE </w:t>
            </w:r>
            <w:r>
              <w:t xml:space="preserve">prevalence </w:t>
            </w:r>
            <w:r w:rsidR="00BD6535">
              <w:t>rates (most commonly reported</w:t>
            </w:r>
            <w:r>
              <w:t xml:space="preserve"> AEs</w:t>
            </w:r>
            <w:r w:rsidR="00BD6535">
              <w:t>)</w:t>
            </w:r>
            <w:r w:rsidR="000B1204">
              <w:t>:</w:t>
            </w:r>
            <w:r>
              <w:t xml:space="preserve"> 1% - &gt; 30%</w:t>
            </w:r>
          </w:p>
        </w:tc>
      </w:tr>
      <w:tr w:rsidR="00623E80" w:rsidRPr="00E3331A" w14:paraId="4D51925B" w14:textId="77777777" w:rsidTr="006040A7">
        <w:tc>
          <w:tcPr>
            <w:tcW w:w="705" w:type="pct"/>
            <w:shd w:val="clear" w:color="auto" w:fill="auto"/>
          </w:tcPr>
          <w:p w14:paraId="04DE67D1" w14:textId="2048EF16" w:rsidR="00623E80" w:rsidRDefault="00B727D6" w:rsidP="00822F9E">
            <w:pPr>
              <w:pStyle w:val="Tabletext1"/>
            </w:pPr>
            <w:r>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instrText xml:space="preserve"> ADDIN EN.CITE </w:instrText>
            </w:r>
            <w:r>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instrText xml:space="preserve"> ADDIN EN.CITE.DATA </w:instrText>
            </w:r>
            <w:r>
              <w:fldChar w:fldCharType="end"/>
            </w:r>
            <w:r>
              <w:fldChar w:fldCharType="separate"/>
            </w:r>
            <w:r>
              <w:rPr>
                <w:noProof/>
              </w:rPr>
              <w:t>(</w:t>
            </w:r>
            <w:hyperlink w:anchor="_ENREF_73" w:tooltip="van Lieverloo, 2018 #13" w:history="1">
              <w:r w:rsidR="00D726F6">
                <w:rPr>
                  <w:noProof/>
                </w:rPr>
                <w:t>van Lieverloo et al. 2018</w:t>
              </w:r>
            </w:hyperlink>
            <w:r>
              <w:rPr>
                <w:noProof/>
              </w:rPr>
              <w:t>)</w:t>
            </w:r>
            <w:r>
              <w:fldChar w:fldCharType="end"/>
            </w:r>
          </w:p>
          <w:p w14:paraId="63417771" w14:textId="77777777" w:rsidR="00080648" w:rsidRDefault="00080648" w:rsidP="00822F9E">
            <w:pPr>
              <w:pStyle w:val="Tabletext1"/>
            </w:pPr>
            <w:r>
              <w:t>Serbia</w:t>
            </w:r>
          </w:p>
          <w:p w14:paraId="619024EE" w14:textId="77777777" w:rsidR="00080648" w:rsidRDefault="00080648" w:rsidP="00822F9E">
            <w:pPr>
              <w:pStyle w:val="Tabletext1"/>
            </w:pPr>
            <w:r>
              <w:t>The Netherlands</w:t>
            </w:r>
          </w:p>
          <w:p w14:paraId="71E5BA77" w14:textId="77777777" w:rsidR="00080648" w:rsidRDefault="00080648" w:rsidP="00822F9E">
            <w:pPr>
              <w:pStyle w:val="Tabletext1"/>
            </w:pPr>
            <w:r>
              <w:t>Italy</w:t>
            </w:r>
          </w:p>
          <w:p w14:paraId="152F58AD" w14:textId="77777777" w:rsidR="00080648" w:rsidRDefault="00080648" w:rsidP="00822F9E">
            <w:pPr>
              <w:pStyle w:val="Tabletext1"/>
            </w:pPr>
            <w:r>
              <w:t>R MC</w:t>
            </w:r>
          </w:p>
          <w:p w14:paraId="5469989F" w14:textId="77777777" w:rsidR="00745B4C" w:rsidRPr="00E3331A" w:rsidRDefault="00745B4C" w:rsidP="00822F9E">
            <w:pPr>
              <w:pStyle w:val="Tabletext1"/>
            </w:pPr>
            <w:r>
              <w:t>Moderate</w:t>
            </w:r>
          </w:p>
        </w:tc>
        <w:tc>
          <w:tcPr>
            <w:tcW w:w="1493" w:type="pct"/>
            <w:shd w:val="clear" w:color="auto" w:fill="auto"/>
          </w:tcPr>
          <w:p w14:paraId="7210F94E" w14:textId="77777777" w:rsidR="008968A9" w:rsidRDefault="008968A9" w:rsidP="008968A9">
            <w:pPr>
              <w:pStyle w:val="Tabletext1"/>
            </w:pPr>
            <w:r>
              <w:t xml:space="preserve">Patient data on from 3 large CIDP centres; </w:t>
            </w:r>
            <w:r w:rsidR="000B1204">
              <w:t>Patients</w:t>
            </w:r>
            <w:r>
              <w:t xml:space="preserve"> with treatment naïve CIDP; patients who underwent first-line treatment with corticos</w:t>
            </w:r>
            <w:r w:rsidR="001A114A">
              <w:t>teroids; definite, probable or p</w:t>
            </w:r>
            <w:r>
              <w:t>ossible CIDP according to EFNS/PNS criteria.</w:t>
            </w:r>
          </w:p>
          <w:p w14:paraId="1039149C" w14:textId="77777777" w:rsidR="00623E80" w:rsidRDefault="008968A9" w:rsidP="008968A9">
            <w:pPr>
              <w:pStyle w:val="Tabletext1"/>
            </w:pPr>
            <w:r>
              <w:t>Patients</w:t>
            </w:r>
            <w:r w:rsidR="000B1204">
              <w:t>:</w:t>
            </w:r>
            <w:r>
              <w:t xml:space="preserve"> </w:t>
            </w:r>
            <w:r w:rsidR="000B1204">
              <w:t>n</w:t>
            </w:r>
            <w:r>
              <w:t xml:space="preserve"> = 125</w:t>
            </w:r>
          </w:p>
          <w:p w14:paraId="78D84E1B" w14:textId="77777777" w:rsidR="008968A9" w:rsidRDefault="008968A9" w:rsidP="008968A9">
            <w:pPr>
              <w:pStyle w:val="Tabletext1"/>
            </w:pPr>
            <w:r>
              <w:t>CIDP subtype</w:t>
            </w:r>
            <w:r w:rsidR="000B1204">
              <w:t>:</w:t>
            </w:r>
          </w:p>
          <w:p w14:paraId="1D394CCF" w14:textId="77777777" w:rsidR="008968A9" w:rsidRDefault="008968A9" w:rsidP="008968A9">
            <w:pPr>
              <w:pStyle w:val="Tabletext1"/>
            </w:pPr>
            <w:r>
              <w:t>Typical 98 (78%)</w:t>
            </w:r>
          </w:p>
          <w:p w14:paraId="3A44635D" w14:textId="77777777" w:rsidR="008968A9" w:rsidRPr="00E3331A" w:rsidRDefault="000B1204" w:rsidP="000B1204">
            <w:pPr>
              <w:pStyle w:val="Tabletext1"/>
            </w:pPr>
            <w:r>
              <w:t xml:space="preserve">Atypical </w:t>
            </w:r>
            <w:r w:rsidR="008968A9">
              <w:t>27 (22%)</w:t>
            </w:r>
          </w:p>
        </w:tc>
        <w:tc>
          <w:tcPr>
            <w:tcW w:w="943" w:type="pct"/>
            <w:shd w:val="clear" w:color="auto" w:fill="auto"/>
          </w:tcPr>
          <w:p w14:paraId="6CA4A92B" w14:textId="77777777" w:rsidR="008968A9" w:rsidRDefault="008968A9" w:rsidP="008968A9">
            <w:pPr>
              <w:pStyle w:val="Tabletext1"/>
            </w:pPr>
            <w:r>
              <w:t>Prednisone or prednisolone n = 67 (54%)</w:t>
            </w:r>
          </w:p>
          <w:p w14:paraId="03FAD448" w14:textId="77777777" w:rsidR="008968A9" w:rsidRDefault="008968A9" w:rsidP="008968A9">
            <w:pPr>
              <w:pStyle w:val="Tabletext1"/>
            </w:pPr>
            <w:r>
              <w:t>Pulsed dexamethasone n = 37 (30%)</w:t>
            </w:r>
          </w:p>
          <w:p w14:paraId="48AE72CC" w14:textId="77777777" w:rsidR="00623E80" w:rsidRPr="00E3331A" w:rsidRDefault="008968A9" w:rsidP="008968A9">
            <w:pPr>
              <w:pStyle w:val="Tabletext1"/>
            </w:pPr>
            <w:r>
              <w:t>Pulsed IV MP 21 (17%)</w:t>
            </w:r>
          </w:p>
        </w:tc>
        <w:tc>
          <w:tcPr>
            <w:tcW w:w="708" w:type="pct"/>
            <w:shd w:val="clear" w:color="auto" w:fill="auto"/>
          </w:tcPr>
          <w:p w14:paraId="6776CF21" w14:textId="77777777" w:rsidR="00623E80" w:rsidRDefault="008968A9" w:rsidP="00822F9E">
            <w:pPr>
              <w:pStyle w:val="Tabletext1"/>
            </w:pPr>
            <w:r>
              <w:t>5 years</w:t>
            </w:r>
          </w:p>
          <w:p w14:paraId="53F508B8" w14:textId="77777777" w:rsidR="006040A7" w:rsidRPr="00E3331A" w:rsidRDefault="006040A7" w:rsidP="00822F9E">
            <w:pPr>
              <w:pStyle w:val="Tabletext1"/>
            </w:pPr>
            <w:r>
              <w:t>Median duration of treatment for responders (range): 6 (2-60) mo</w:t>
            </w:r>
          </w:p>
        </w:tc>
        <w:tc>
          <w:tcPr>
            <w:tcW w:w="1151" w:type="pct"/>
            <w:shd w:val="clear" w:color="auto" w:fill="auto"/>
          </w:tcPr>
          <w:p w14:paraId="7A5C4B9D" w14:textId="77777777" w:rsidR="006040A7" w:rsidRDefault="006040A7" w:rsidP="00822F9E">
            <w:pPr>
              <w:pStyle w:val="Tabletext1"/>
            </w:pPr>
            <w:r>
              <w:t>AEs n (patient rate)</w:t>
            </w:r>
          </w:p>
          <w:p w14:paraId="41CDBEE5" w14:textId="77777777" w:rsidR="00623E80" w:rsidRDefault="008968A9" w:rsidP="00822F9E">
            <w:pPr>
              <w:pStyle w:val="Tabletext1"/>
            </w:pPr>
            <w:r>
              <w:t>Moderate</w:t>
            </w:r>
            <w:r w:rsidR="000B1204">
              <w:t>:</w:t>
            </w:r>
            <w:r>
              <w:t xml:space="preserve"> 10 (8%)</w:t>
            </w:r>
          </w:p>
          <w:p w14:paraId="0D213096" w14:textId="77777777" w:rsidR="00080648" w:rsidRPr="00E3331A" w:rsidRDefault="00080648" w:rsidP="006040A7">
            <w:pPr>
              <w:pStyle w:val="Tabletext1"/>
            </w:pPr>
            <w:r>
              <w:t>Severe</w:t>
            </w:r>
            <w:r w:rsidR="000B1204">
              <w:t>:</w:t>
            </w:r>
            <w:r>
              <w:t xml:space="preserve"> 2 (1.6%)</w:t>
            </w:r>
          </w:p>
        </w:tc>
      </w:tr>
      <w:tr w:rsidR="00623E80" w:rsidRPr="00E3331A" w14:paraId="35A4E02A" w14:textId="77777777" w:rsidTr="006040A7">
        <w:tc>
          <w:tcPr>
            <w:tcW w:w="705" w:type="pct"/>
            <w:shd w:val="clear" w:color="auto" w:fill="auto"/>
          </w:tcPr>
          <w:p w14:paraId="4D6878D0" w14:textId="2908EEA5" w:rsidR="00623E80" w:rsidRDefault="00B727D6" w:rsidP="00822F9E">
            <w:pPr>
              <w:pStyle w:val="Tabletext1"/>
            </w:pPr>
            <w:r>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instrText xml:space="preserve"> ADDIN EN.CITE </w:instrText>
            </w:r>
            <w:r>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instrText xml:space="preserve"> ADDIN EN.CITE.DATA </w:instrText>
            </w:r>
            <w:r>
              <w:fldChar w:fldCharType="end"/>
            </w:r>
            <w:r>
              <w:fldChar w:fldCharType="separate"/>
            </w:r>
            <w:r>
              <w:rPr>
                <w:noProof/>
              </w:rPr>
              <w:t>(</w:t>
            </w:r>
            <w:hyperlink w:anchor="_ENREF_82" w:tooltip="Wilson, 2017 #3" w:history="1">
              <w:r w:rsidR="00D726F6">
                <w:rPr>
                  <w:noProof/>
                </w:rPr>
                <w:t>Wilson, J. C. et al. 2017b</w:t>
              </w:r>
            </w:hyperlink>
            <w:r>
              <w:rPr>
                <w:noProof/>
              </w:rPr>
              <w:t>)</w:t>
            </w:r>
            <w:r>
              <w:fldChar w:fldCharType="end"/>
            </w:r>
          </w:p>
          <w:p w14:paraId="3BEF8F8A" w14:textId="77777777" w:rsidR="008968A9" w:rsidRDefault="008968A9" w:rsidP="00822F9E">
            <w:pPr>
              <w:pStyle w:val="Tabletext1"/>
            </w:pPr>
            <w:r>
              <w:t>UK</w:t>
            </w:r>
          </w:p>
          <w:p w14:paraId="70628203" w14:textId="77777777" w:rsidR="008968A9" w:rsidRDefault="008968A9" w:rsidP="00822F9E">
            <w:pPr>
              <w:pStyle w:val="Tabletext1"/>
            </w:pPr>
            <w:r>
              <w:t>R MCo</w:t>
            </w:r>
          </w:p>
          <w:p w14:paraId="0E22A7FA" w14:textId="77777777" w:rsidR="00745B4C" w:rsidRPr="00E3331A" w:rsidRDefault="00745B4C" w:rsidP="00822F9E">
            <w:pPr>
              <w:pStyle w:val="Tabletext1"/>
            </w:pPr>
            <w:r>
              <w:t>Moderate</w:t>
            </w:r>
          </w:p>
        </w:tc>
        <w:tc>
          <w:tcPr>
            <w:tcW w:w="1493" w:type="pct"/>
            <w:shd w:val="clear" w:color="auto" w:fill="auto"/>
          </w:tcPr>
          <w:p w14:paraId="6292D119" w14:textId="77777777" w:rsidR="00623E80" w:rsidRDefault="008968A9" w:rsidP="008968A9">
            <w:pPr>
              <w:pStyle w:val="Tabletext1"/>
            </w:pPr>
            <w:r>
              <w:t>Patient d</w:t>
            </w:r>
            <w:r w:rsidRPr="008968A9">
              <w:t xml:space="preserve">ata from a UK database CPRD on all patients 50 y and older who had </w:t>
            </w:r>
            <w:r>
              <w:t xml:space="preserve">a </w:t>
            </w:r>
            <w:r w:rsidRPr="008968A9">
              <w:t>GCA diagnosis</w:t>
            </w:r>
            <w:r>
              <w:t>,</w:t>
            </w:r>
            <w:r w:rsidRPr="008968A9">
              <w:t xml:space="preserve"> at least one prednisolone prescription within 1 month of </w:t>
            </w:r>
            <w:r w:rsidR="000B1204" w:rsidRPr="008968A9">
              <w:t>diagnosis</w:t>
            </w:r>
            <w:r w:rsidRPr="008968A9">
              <w:t xml:space="preserve">, </w:t>
            </w:r>
            <w:r>
              <w:t xml:space="preserve">&amp; </w:t>
            </w:r>
            <w:r w:rsidRPr="008968A9">
              <w:t>3 years medical history on the CPRD</w:t>
            </w:r>
          </w:p>
          <w:p w14:paraId="356C9D86" w14:textId="77777777" w:rsidR="008968A9" w:rsidRDefault="008968A9" w:rsidP="008968A9">
            <w:pPr>
              <w:pStyle w:val="Tabletext1"/>
            </w:pPr>
            <w:r>
              <w:t>Patients</w:t>
            </w:r>
            <w:r w:rsidR="000B1204">
              <w:t>:</w:t>
            </w:r>
            <w:r>
              <w:t xml:space="preserve"> n = 5011</w:t>
            </w:r>
          </w:p>
          <w:p w14:paraId="22E3F7AC" w14:textId="77777777" w:rsidR="008968A9" w:rsidRPr="00E3331A" w:rsidRDefault="000B1204" w:rsidP="008968A9">
            <w:pPr>
              <w:pStyle w:val="Tabletext1"/>
            </w:pPr>
            <w:r>
              <w:t>Controls:</w:t>
            </w:r>
            <w:r w:rsidR="008968A9">
              <w:t xml:space="preserve"> n = 5011</w:t>
            </w:r>
          </w:p>
        </w:tc>
        <w:tc>
          <w:tcPr>
            <w:tcW w:w="943" w:type="pct"/>
            <w:shd w:val="clear" w:color="auto" w:fill="auto"/>
          </w:tcPr>
          <w:p w14:paraId="1EA13ABB" w14:textId="77777777" w:rsidR="00623E80" w:rsidRPr="00E3331A" w:rsidRDefault="008968A9" w:rsidP="00822F9E">
            <w:pPr>
              <w:pStyle w:val="Tabletext1"/>
            </w:pPr>
            <w:r>
              <w:t>Prednisolone</w:t>
            </w:r>
          </w:p>
        </w:tc>
        <w:tc>
          <w:tcPr>
            <w:tcW w:w="708" w:type="pct"/>
            <w:shd w:val="clear" w:color="auto" w:fill="auto"/>
          </w:tcPr>
          <w:p w14:paraId="2A56E915" w14:textId="77777777" w:rsidR="00623E80" w:rsidRDefault="00681207" w:rsidP="00822F9E">
            <w:pPr>
              <w:pStyle w:val="Tabletext1"/>
            </w:pPr>
            <w:r>
              <w:t xml:space="preserve">≥ </w:t>
            </w:r>
            <w:r w:rsidR="008968A9">
              <w:t>3 years</w:t>
            </w:r>
          </w:p>
          <w:p w14:paraId="6338999A" w14:textId="77777777" w:rsidR="00971C39" w:rsidRPr="00E3331A" w:rsidRDefault="00971C39" w:rsidP="00822F9E">
            <w:pPr>
              <w:pStyle w:val="Tabletext1"/>
            </w:pPr>
            <w:r>
              <w:t>Median prednisolone duration (IQR): cases 0.8 (1.9) y; controls 1.2 (2.1) y</w:t>
            </w:r>
          </w:p>
        </w:tc>
        <w:tc>
          <w:tcPr>
            <w:tcW w:w="1151" w:type="pct"/>
            <w:shd w:val="clear" w:color="auto" w:fill="auto"/>
          </w:tcPr>
          <w:p w14:paraId="0D699405" w14:textId="77777777" w:rsidR="00623E80" w:rsidRDefault="00971C39" w:rsidP="00822F9E">
            <w:pPr>
              <w:pStyle w:val="Tabletext1"/>
            </w:pPr>
            <w:r>
              <w:t>AEs n (% patients)</w:t>
            </w:r>
          </w:p>
          <w:p w14:paraId="26604CF3" w14:textId="77777777" w:rsidR="00971C39" w:rsidRPr="00971C39" w:rsidRDefault="00971C39" w:rsidP="00822F9E">
            <w:pPr>
              <w:pStyle w:val="Tabletext1"/>
              <w:rPr>
                <w:vertAlign w:val="superscript"/>
              </w:rPr>
            </w:pPr>
            <w:r>
              <w:t>All 2190 (43.7%)</w:t>
            </w:r>
            <w:r>
              <w:rPr>
                <w:vertAlign w:val="superscript"/>
              </w:rPr>
              <w:t>a</w:t>
            </w:r>
          </w:p>
          <w:p w14:paraId="5774C48B" w14:textId="77777777" w:rsidR="00971C39" w:rsidRPr="00E3331A" w:rsidRDefault="00971C39" w:rsidP="00822F9E">
            <w:pPr>
              <w:pStyle w:val="Tabletext1"/>
            </w:pPr>
          </w:p>
        </w:tc>
      </w:tr>
    </w:tbl>
    <w:p w14:paraId="113872AB" w14:textId="77777777" w:rsidR="00076DE6" w:rsidRDefault="00937A24" w:rsidP="00937A24">
      <w:pPr>
        <w:pStyle w:val="Tablenotes1"/>
        <w:ind w:left="0"/>
        <w:jc w:val="both"/>
      </w:pPr>
      <w:r>
        <w:t xml:space="preserve">Abbreviations: </w:t>
      </w:r>
      <w:r w:rsidR="00CA2DC6">
        <w:t xml:space="preserve">AE = adverse event; CIDP = </w:t>
      </w:r>
      <w:r w:rsidR="00837B62">
        <w:t>chronic inflammatory demyelinating polyneuropathy;</w:t>
      </w:r>
      <w:r w:rsidR="00DC7DB1">
        <w:t xml:space="preserve"> COPD = </w:t>
      </w:r>
      <w:r w:rsidR="00837B62">
        <w:t>chronic obstructive pulmonary disease</w:t>
      </w:r>
      <w:r w:rsidR="00DC7DB1">
        <w:t>; CPRD =</w:t>
      </w:r>
      <w:r w:rsidR="006328D3" w:rsidRPr="006328D3">
        <w:t xml:space="preserve"> Clinical Practice Research Datalink</w:t>
      </w:r>
      <w:r w:rsidR="00DC7DB1">
        <w:t>; EFNS/PNS =</w:t>
      </w:r>
      <w:r w:rsidR="006328D3" w:rsidRPr="006328D3">
        <w:t xml:space="preserve"> The European Federation of Neurological Societies/Peripheral Nerve Society</w:t>
      </w:r>
      <w:r w:rsidR="00DC7DB1">
        <w:t xml:space="preserve">; </w:t>
      </w:r>
      <w:r w:rsidR="00080648">
        <w:t xml:space="preserve">GC = glucocorticoids; </w:t>
      </w:r>
      <w:r>
        <w:t xml:space="preserve">GCA = giant cell arteritis; </w:t>
      </w:r>
      <w:r w:rsidR="00080648">
        <w:t xml:space="preserve">MC = multicentre; MCo matched cohort study; </w:t>
      </w:r>
      <w:r w:rsidR="00DC7DB1">
        <w:t xml:space="preserve">NR = not reported; </w:t>
      </w:r>
      <w:r w:rsidR="00080648">
        <w:t>O = observational study; R = retrospective study; RA = rheumatoid arthritis</w:t>
      </w:r>
    </w:p>
    <w:p w14:paraId="3D93C192" w14:textId="77777777" w:rsidR="00971C39" w:rsidRDefault="00971C39" w:rsidP="00080648">
      <w:pPr>
        <w:pStyle w:val="Tablenotes1"/>
      </w:pPr>
      <w:r>
        <w:rPr>
          <w:vertAlign w:val="superscript"/>
        </w:rPr>
        <w:t>a</w:t>
      </w:r>
      <w:r>
        <w:t xml:space="preserve"> Some patients may have more than one AE so 43.7% may not be a reliable proportion</w:t>
      </w:r>
    </w:p>
    <w:p w14:paraId="6875C166" w14:textId="56660861" w:rsidR="00076DE6" w:rsidRDefault="000D50CF" w:rsidP="00192373">
      <w:pPr>
        <w:jc w:val="both"/>
      </w:pPr>
      <w:r>
        <w:t xml:space="preserve">AEs reported by </w:t>
      </w:r>
      <w:r w:rsidR="000C6A02">
        <w:t xml:space="preserve">Rice et al </w:t>
      </w:r>
      <w:r w:rsidR="00B727D6">
        <w:fldChar w:fldCharType="begin"/>
      </w:r>
      <w:r w:rsidR="00B727D6">
        <w:instrText xml:space="preserve"> ADDIN EN.CITE &lt;EndNote&gt;&lt;Cite&gt;&lt;Author&gt;Rice&lt;/Author&gt;&lt;Year&gt;2017&lt;/Year&gt;&lt;RecNum&gt;11&lt;/RecNum&gt;&lt;DisplayText&gt;(Rice et al. 2017)&lt;/DisplayText&gt;&lt;record&gt;&lt;rec-number&gt;11&lt;/rec-number&gt;&lt;foreign-keys&gt;&lt;key app="EN" db-id="p29e2t021fx2sker0f4p99xad5t02xpedpxr" timestamp="1605656000"&gt;11&lt;/key&gt;&lt;/foreign-keys&gt;&lt;ref-type name="Journal Article"&gt;17&lt;/ref-type&gt;&lt;contributors&gt;&lt;authors&gt;&lt;author&gt;Rice, J. B.&lt;/author&gt;&lt;author&gt;White, A. G.&lt;/author&gt;&lt;author&gt;Scarpati, L. M.&lt;/author&gt;&lt;author&gt;Wan, G.&lt;/author&gt;&lt;author&gt;Nelson, W. W.&lt;/author&gt;&lt;/authors&gt;&lt;/contributors&gt;&lt;auth-address&gt;Analysis Group, Inc, Boston, Massachusetts. Electronic address: Brad.Rice@analysisgroup.com.&amp;#xD;Analysis Group, Inc, Boston, Massachusetts.&amp;#xD;Mallinckrodt Pharmaceuticals, Hampton, New Jersey.&lt;/auth-address&gt;&lt;titles&gt;&lt;title&gt;Long-term Systemic Corticosteroid Exposure: A Systematic Literature Review&lt;/title&gt;&lt;secondary-title&gt;Clin Ther&lt;/secondary-title&gt;&lt;/titles&gt;&lt;periodical&gt;&lt;full-title&gt;Clin Ther&lt;/full-title&gt;&lt;/periodical&gt;&lt;pages&gt;2216-2229&lt;/pages&gt;&lt;volume&gt;39&lt;/volume&gt;&lt;number&gt;11&lt;/number&gt;&lt;keywords&gt;&lt;keyword&gt;Adrenal Cortex Hormones/*administration &amp;amp; dosage/adverse effects/therapeutic use&lt;/keyword&gt;&lt;keyword&gt;Asthma/drug therapy&lt;/keyword&gt;&lt;keyword&gt;Costs and Cost Analysis&lt;/keyword&gt;&lt;keyword&gt;Diabetes Mellitus, Type 2/epidemiology&lt;/keyword&gt;&lt;keyword&gt;Gastrointestinal Diseases/chemically induced&lt;/keyword&gt;&lt;keyword&gt;Humans&lt;/keyword&gt;&lt;keyword&gt;Outcome Assessment, Health Care&lt;/keyword&gt;&lt;keyword&gt;Time Factors&lt;/keyword&gt;&lt;keyword&gt;adverse events&lt;/keyword&gt;&lt;keyword&gt;corticosteroids&lt;/keyword&gt;&lt;keyword&gt;costs&lt;/keyword&gt;&lt;keyword&gt;economic burden&lt;/keyword&gt;&lt;keyword&gt;long-term corticosteroid exposure&lt;/keyword&gt;&lt;/keywords&gt;&lt;dates&gt;&lt;year&gt;2017&lt;/year&gt;&lt;pub-dates&gt;&lt;date&gt;Nov&lt;/date&gt;&lt;/pub-dates&gt;&lt;/dates&gt;&lt;isbn&gt;1879-114X (Electronic)&amp;#xD;0149-2918 (Linking)&lt;/isbn&gt;&lt;accession-num&gt;29055500&lt;/accession-num&gt;&lt;urls&gt;&lt;related-urls&gt;&lt;url&gt;https://www.ncbi.nlm.nih.gov/pubmed/29055500&lt;/url&gt;&lt;/related-urls&gt;&lt;/urls&gt;&lt;electronic-resource-num&gt;10.1016/j.clinthera.2017.09.011&lt;/electronic-resource-num&gt;&lt;/record&gt;&lt;/Cite&gt;&lt;/EndNote&gt;</w:instrText>
      </w:r>
      <w:r w:rsidR="00B727D6">
        <w:fldChar w:fldCharType="separate"/>
      </w:r>
      <w:r w:rsidR="00B727D6">
        <w:rPr>
          <w:noProof/>
        </w:rPr>
        <w:t>(</w:t>
      </w:r>
      <w:hyperlink w:anchor="_ENREF_61" w:tooltip="Rice, 2017 #11" w:history="1">
        <w:r w:rsidR="00D726F6">
          <w:rPr>
            <w:noProof/>
          </w:rPr>
          <w:t>Rice et al. 2017</w:t>
        </w:r>
      </w:hyperlink>
      <w:r w:rsidR="00B727D6">
        <w:rPr>
          <w:noProof/>
        </w:rPr>
        <w:t>)</w:t>
      </w:r>
      <w:r w:rsidR="00B727D6">
        <w:fldChar w:fldCharType="end"/>
      </w:r>
      <w:r w:rsidR="00C526FE">
        <w:t xml:space="preserve"> and Wilson et al </w:t>
      </w:r>
      <w:r w:rsidR="00B727D6">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sidR="00B727D6">
        <w:instrText xml:space="preserve"> ADDIN EN.CITE </w:instrText>
      </w:r>
      <w:r w:rsidR="00B727D6">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80" w:tooltip="Wilson, 2017 #5" w:history="1">
        <w:r w:rsidR="00D726F6">
          <w:rPr>
            <w:noProof/>
          </w:rPr>
          <w:t>Wilson, J. C. et al. 2017a</w:t>
        </w:r>
      </w:hyperlink>
      <w:r w:rsidR="00B727D6">
        <w:rPr>
          <w:noProof/>
        </w:rPr>
        <w:t>)</w:t>
      </w:r>
      <w:r w:rsidR="00B727D6">
        <w:fldChar w:fldCharType="end"/>
      </w:r>
      <w:r>
        <w:t xml:space="preserve"> are compared in </w:t>
      </w:r>
      <w:r>
        <w:fldChar w:fldCharType="begin"/>
      </w:r>
      <w:r>
        <w:instrText xml:space="preserve"> REF _Ref57037515 \h </w:instrText>
      </w:r>
      <w:r w:rsidR="00192373">
        <w:instrText xml:space="preserve"> \* MERGEFORMAT </w:instrText>
      </w:r>
      <w:r>
        <w:fldChar w:fldCharType="separate"/>
      </w:r>
      <w:r w:rsidR="004B3EA2">
        <w:t xml:space="preserve">Table </w:t>
      </w:r>
      <w:r w:rsidR="004B3EA2">
        <w:rPr>
          <w:noProof/>
        </w:rPr>
        <w:t>20</w:t>
      </w:r>
      <w:r>
        <w:fldChar w:fldCharType="end"/>
      </w:r>
      <w:r>
        <w:t xml:space="preserve">. Rice et al reported the prevalence rate of the most commonly reported AEs, </w:t>
      </w:r>
      <w:r w:rsidR="005166BE">
        <w:t>but the number of events could not be calculated due to the lack of data.</w:t>
      </w:r>
      <w:r>
        <w:t xml:space="preserve"> Wils</w:t>
      </w:r>
      <w:r w:rsidR="005166BE">
        <w:t>o</w:t>
      </w:r>
      <w:r>
        <w:t xml:space="preserve">n et al </w:t>
      </w:r>
      <w:r w:rsidR="005166BE">
        <w:t>reported the incidence rate</w:t>
      </w:r>
      <w:r w:rsidR="0064531E">
        <w:t>s,</w:t>
      </w:r>
      <w:r w:rsidR="005166BE">
        <w:t xml:space="preserve"> fo</w:t>
      </w:r>
      <w:r w:rsidR="0064531E">
        <w:t>cussing on</w:t>
      </w:r>
      <w:r w:rsidR="005166BE">
        <w:t xml:space="preserve"> </w:t>
      </w:r>
      <w:r w:rsidR="008E1068">
        <w:t xml:space="preserve">a specific set of </w:t>
      </w:r>
      <w:r w:rsidR="005166BE">
        <w:t xml:space="preserve">AEs </w:t>
      </w:r>
      <w:r w:rsidR="0064531E">
        <w:t xml:space="preserve">commonly </w:t>
      </w:r>
      <w:r w:rsidR="005166BE">
        <w:t>i</w:t>
      </w:r>
      <w:r w:rsidR="008E1068">
        <w:t>dentified</w:t>
      </w:r>
      <w:r w:rsidR="005166BE">
        <w:t xml:space="preserve"> </w:t>
      </w:r>
      <w:r w:rsidR="0064531E">
        <w:t>in patients with</w:t>
      </w:r>
      <w:r w:rsidR="005166BE">
        <w:t xml:space="preserve"> </w:t>
      </w:r>
      <w:r w:rsidR="008E1068">
        <w:t>GCA</w:t>
      </w:r>
      <w:r w:rsidR="005166BE">
        <w:t xml:space="preserve">. </w:t>
      </w:r>
      <w:r w:rsidR="008E1068">
        <w:t xml:space="preserve">The two studies reported on rates of fractures and osteoporosis, and diabetes type II. </w:t>
      </w:r>
      <w:r w:rsidR="005166BE">
        <w:t>Whereas Rice et al reported fractures and cases of osteoporosis together</w:t>
      </w:r>
      <w:r w:rsidR="00980C79">
        <w:t xml:space="preserve"> (prevalence 21% - 30%)</w:t>
      </w:r>
      <w:r w:rsidR="005166BE">
        <w:t>, Wilson et al reported these two events separately</w:t>
      </w:r>
      <w:r w:rsidR="00980C79">
        <w:t xml:space="preserve"> (incidence: fractures 16.5%, osteoporosis 22.9%)</w:t>
      </w:r>
      <w:r w:rsidR="005166BE">
        <w:t xml:space="preserve">, although it is </w:t>
      </w:r>
      <w:r w:rsidR="00E64A7A">
        <w:t>likely</w:t>
      </w:r>
      <w:r w:rsidR="005166BE">
        <w:t xml:space="preserve"> that there </w:t>
      </w:r>
      <w:r w:rsidR="00EE4E63">
        <w:t>was</w:t>
      </w:r>
      <w:r w:rsidR="005166BE">
        <w:t xml:space="preserve"> overlap between patients who experienced osteoporosis and fractures</w:t>
      </w:r>
      <w:r w:rsidR="008E1068">
        <w:t xml:space="preserve"> in the latter study</w:t>
      </w:r>
      <w:r w:rsidR="005166BE">
        <w:t>.</w:t>
      </w:r>
      <w:r w:rsidR="008E1068">
        <w:t xml:space="preserve"> Rice et al (2017) reported diabetes prevalence to be </w:t>
      </w:r>
      <w:r w:rsidR="00781BF2">
        <w:rPr>
          <w:rFonts w:cs="Calibri"/>
        </w:rPr>
        <w:t>up to</w:t>
      </w:r>
      <w:r w:rsidR="008E1068">
        <w:t xml:space="preserve"> </w:t>
      </w:r>
      <w:r w:rsidR="00DD2C89">
        <w:t xml:space="preserve">four </w:t>
      </w:r>
      <w:r w:rsidR="008E1068">
        <w:t>times greater than that in controls (from one study that reported this outcome),</w:t>
      </w:r>
      <w:r w:rsidR="00D829C4">
        <w:t xml:space="preserve"> making it difficult to compare</w:t>
      </w:r>
      <w:r w:rsidR="008E1068">
        <w:t xml:space="preserve"> with the rate given in Wilson et al (14.2 %; 95%CI 12.7, 15.7). One of the studies reported that the </w:t>
      </w:r>
      <w:r w:rsidR="0084782E">
        <w:t>prevalence</w:t>
      </w:r>
      <w:r w:rsidR="008E1068">
        <w:t xml:space="preserve"> of cataracts was between 1% and 3% in those taking GC</w:t>
      </w:r>
      <w:r w:rsidR="0084782E">
        <w:t xml:space="preserve"> </w:t>
      </w:r>
      <w:r w:rsidR="00B727D6">
        <w:fldChar w:fldCharType="begin"/>
      </w:r>
      <w:r w:rsidR="00B727D6">
        <w:instrText xml:space="preserve"> ADDIN EN.CITE &lt;EndNote&gt;&lt;Cite&gt;&lt;Author&gt;Rice&lt;/Author&gt;&lt;Year&gt;2017&lt;/Year&gt;&lt;RecNum&gt;11&lt;/RecNum&gt;&lt;DisplayText&gt;(Rice et al. 2017)&lt;/DisplayText&gt;&lt;record&gt;&lt;rec-number&gt;11&lt;/rec-number&gt;&lt;foreign-keys&gt;&lt;key app="EN" db-id="p29e2t021fx2sker0f4p99xad5t02xpedpxr" timestamp="1605656000"&gt;11&lt;/key&gt;&lt;/foreign-keys&gt;&lt;ref-type name="Journal Article"&gt;17&lt;/ref-type&gt;&lt;contributors&gt;&lt;authors&gt;&lt;author&gt;Rice, J. B.&lt;/author&gt;&lt;author&gt;White, A. G.&lt;/author&gt;&lt;author&gt;Scarpati, L. M.&lt;/author&gt;&lt;author&gt;Wan, G.&lt;/author&gt;&lt;author&gt;Nelson, W. W.&lt;/author&gt;&lt;/authors&gt;&lt;/contributors&gt;&lt;auth-address&gt;Analysis Group, Inc, Boston, Massachusetts. Electronic address: Brad.Rice@analysisgroup.com.&amp;#xD;Analysis Group, Inc, Boston, Massachusetts.&amp;#xD;Mallinckrodt Pharmaceuticals, Hampton, New Jersey.&lt;/auth-address&gt;&lt;titles&gt;&lt;title&gt;Long-term Systemic Corticosteroid Exposure: A Systematic Literature Review&lt;/title&gt;&lt;secondary-title&gt;Clin Ther&lt;/secondary-title&gt;&lt;/titles&gt;&lt;periodical&gt;&lt;full-title&gt;Clin Ther&lt;/full-title&gt;&lt;/periodical&gt;&lt;pages&gt;2216-2229&lt;/pages&gt;&lt;volume&gt;39&lt;/volume&gt;&lt;number&gt;11&lt;/number&gt;&lt;keywords&gt;&lt;keyword&gt;Adrenal Cortex Hormones/*administration &amp;amp; dosage/adverse effects/therapeutic use&lt;/keyword&gt;&lt;keyword&gt;Asthma/drug therapy&lt;/keyword&gt;&lt;keyword&gt;Costs and Cost Analysis&lt;/keyword&gt;&lt;keyword&gt;Diabetes Mellitus, Type 2/epidemiology&lt;/keyword&gt;&lt;keyword&gt;Gastrointestinal Diseases/chemically induced&lt;/keyword&gt;&lt;keyword&gt;Humans&lt;/keyword&gt;&lt;keyword&gt;Outcome Assessment, Health Care&lt;/keyword&gt;&lt;keyword&gt;Time Factors&lt;/keyword&gt;&lt;keyword&gt;adverse events&lt;/keyword&gt;&lt;keyword&gt;corticosteroids&lt;/keyword&gt;&lt;keyword&gt;costs&lt;/keyword&gt;&lt;keyword&gt;economic burden&lt;/keyword&gt;&lt;keyword&gt;long-term corticosteroid exposure&lt;/keyword&gt;&lt;/keywords&gt;&lt;dates&gt;&lt;year&gt;2017&lt;/year&gt;&lt;pub-dates&gt;&lt;date&gt;Nov&lt;/date&gt;&lt;/pub-dates&gt;&lt;/dates&gt;&lt;isbn&gt;1879-114X (Electronic)&amp;#xD;0149-2918 (Linking)&lt;/isbn&gt;&lt;accession-num&gt;29055500&lt;/accession-num&gt;&lt;urls&gt;&lt;related-urls&gt;&lt;url&gt;https://www.ncbi.nlm.nih.gov/pubmed/29055500&lt;/url&gt;&lt;/related-urls&gt;&lt;/urls&gt;&lt;electronic-resource-num&gt;10.1016/j.clinthera.2017.09.011&lt;/electronic-resource-num&gt;&lt;/record&gt;&lt;/Cite&gt;&lt;/EndNote&gt;</w:instrText>
      </w:r>
      <w:r w:rsidR="00B727D6">
        <w:fldChar w:fldCharType="separate"/>
      </w:r>
      <w:r w:rsidR="00B727D6">
        <w:rPr>
          <w:noProof/>
        </w:rPr>
        <w:t>(</w:t>
      </w:r>
      <w:hyperlink w:anchor="_ENREF_61" w:tooltip="Rice, 2017 #11" w:history="1">
        <w:r w:rsidR="00D726F6">
          <w:rPr>
            <w:noProof/>
          </w:rPr>
          <w:t>Rice et al. 2017</w:t>
        </w:r>
      </w:hyperlink>
      <w:r w:rsidR="00B727D6">
        <w:rPr>
          <w:noProof/>
        </w:rPr>
        <w:t>)</w:t>
      </w:r>
      <w:r w:rsidR="00B727D6">
        <w:fldChar w:fldCharType="end"/>
      </w:r>
      <w:r w:rsidR="008E1068">
        <w:t xml:space="preserve">, whereas the other </w:t>
      </w:r>
      <w:r w:rsidR="0084782E">
        <w:t>reported</w:t>
      </w:r>
      <w:r w:rsidR="008E1068">
        <w:t xml:space="preserve"> on the incidence of glaucoma in GCA patients taking GC (10.2%; 95%CI 9.0, 11.5)</w:t>
      </w:r>
      <w:r w:rsidR="0084782E">
        <w:t xml:space="preserve"> </w:t>
      </w:r>
      <w:r w:rsidR="00B727D6">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sidR="00B727D6">
        <w:instrText xml:space="preserve"> ADDIN EN.CITE </w:instrText>
      </w:r>
      <w:r w:rsidR="00B727D6">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80" w:tooltip="Wilson, 2017 #5" w:history="1">
        <w:r w:rsidR="00D726F6">
          <w:rPr>
            <w:noProof/>
          </w:rPr>
          <w:t>Wilson, J. C. et al. 2017a</w:t>
        </w:r>
      </w:hyperlink>
      <w:r w:rsidR="00B727D6">
        <w:rPr>
          <w:noProof/>
        </w:rPr>
        <w:t>)</w:t>
      </w:r>
      <w:r w:rsidR="00B727D6">
        <w:fldChar w:fldCharType="end"/>
      </w:r>
      <w:r w:rsidR="008E1068">
        <w:t xml:space="preserve">. </w:t>
      </w:r>
      <w:r w:rsidR="0084782E">
        <w:t xml:space="preserve">The highest incidence </w:t>
      </w:r>
      <w:r w:rsidR="00E64A7A">
        <w:t xml:space="preserve">for an AE </w:t>
      </w:r>
      <w:r w:rsidR="0084782E">
        <w:t xml:space="preserve">was for serious infection (37.9% of GCA cases; 95%CI 34.7, 41.4) </w:t>
      </w:r>
      <w:r w:rsidR="00B727D6">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sidR="00B727D6">
        <w:instrText xml:space="preserve"> ADDIN EN.CITE </w:instrText>
      </w:r>
      <w:r w:rsidR="00B727D6">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80" w:tooltip="Wilson, 2017 #5" w:history="1">
        <w:r w:rsidR="00D726F6">
          <w:rPr>
            <w:noProof/>
          </w:rPr>
          <w:t>Wilson, J. C. et al. 2017a</w:t>
        </w:r>
      </w:hyperlink>
      <w:r w:rsidR="00B727D6">
        <w:rPr>
          <w:noProof/>
        </w:rPr>
        <w:t>)</w:t>
      </w:r>
      <w:r w:rsidR="00B727D6">
        <w:fldChar w:fldCharType="end"/>
      </w:r>
      <w:r w:rsidR="0084782E">
        <w:t xml:space="preserve">, whilst the highest prevalence was for hypertension (&gt; 30% of patients taking GC) </w:t>
      </w:r>
      <w:r w:rsidR="00B727D6">
        <w:fldChar w:fldCharType="begin"/>
      </w:r>
      <w:r w:rsidR="00B727D6">
        <w:instrText xml:space="preserve"> ADDIN EN.CITE &lt;EndNote&gt;&lt;Cite&gt;&lt;Author&gt;Rice&lt;/Author&gt;&lt;Year&gt;2017&lt;/Year&gt;&lt;RecNum&gt;11&lt;/RecNum&gt;&lt;DisplayText&gt;(Rice et al. 2017)&lt;/DisplayText&gt;&lt;record&gt;&lt;rec-number&gt;11&lt;/rec-number&gt;&lt;foreign-keys&gt;&lt;key app="EN" db-id="p29e2t021fx2sker0f4p99xad5t02xpedpxr" timestamp="1605656000"&gt;11&lt;/key&gt;&lt;/foreign-keys&gt;&lt;ref-type name="Journal Article"&gt;17&lt;/ref-type&gt;&lt;contributors&gt;&lt;authors&gt;&lt;author&gt;Rice, J. B.&lt;/author&gt;&lt;author&gt;White, A. G.&lt;/author&gt;&lt;author&gt;Scarpati, L. M.&lt;/author&gt;&lt;author&gt;Wan, G.&lt;/author&gt;&lt;author&gt;Nelson, W. W.&lt;/author&gt;&lt;/authors&gt;&lt;/contributors&gt;&lt;auth-address&gt;Analysis Group, Inc, Boston, Massachusetts. Electronic address: Brad.Rice@analysisgroup.com.&amp;#xD;Analysis Group, Inc, Boston, Massachusetts.&amp;#xD;Mallinckrodt Pharmaceuticals, Hampton, New Jersey.&lt;/auth-address&gt;&lt;titles&gt;&lt;title&gt;Long-term Systemic Corticosteroid Exposure: A Systematic Literature Review&lt;/title&gt;&lt;secondary-title&gt;Clin Ther&lt;/secondary-title&gt;&lt;/titles&gt;&lt;periodical&gt;&lt;full-title&gt;Clin Ther&lt;/full-title&gt;&lt;/periodical&gt;&lt;pages&gt;2216-2229&lt;/pages&gt;&lt;volume&gt;39&lt;/volume&gt;&lt;number&gt;11&lt;/number&gt;&lt;keywords&gt;&lt;keyword&gt;Adrenal Cortex Hormones/*administration &amp;amp; dosage/adverse effects/therapeutic use&lt;/keyword&gt;&lt;keyword&gt;Asthma/drug therapy&lt;/keyword&gt;&lt;keyword&gt;Costs and Cost Analysis&lt;/keyword&gt;&lt;keyword&gt;Diabetes Mellitus, Type 2/epidemiology&lt;/keyword&gt;&lt;keyword&gt;Gastrointestinal Diseases/chemically induced&lt;/keyword&gt;&lt;keyword&gt;Humans&lt;/keyword&gt;&lt;keyword&gt;Outcome Assessment, Health Care&lt;/keyword&gt;&lt;keyword&gt;Time Factors&lt;/keyword&gt;&lt;keyword&gt;adverse events&lt;/keyword&gt;&lt;keyword&gt;corticosteroids&lt;/keyword&gt;&lt;keyword&gt;costs&lt;/keyword&gt;&lt;keyword&gt;economic burden&lt;/keyword&gt;&lt;keyword&gt;long-term corticosteroid exposure&lt;/keyword&gt;&lt;/keywords&gt;&lt;dates&gt;&lt;year&gt;2017&lt;/year&gt;&lt;pub-dates&gt;&lt;date&gt;Nov&lt;/date&gt;&lt;/pub-dates&gt;&lt;/dates&gt;&lt;isbn&gt;1879-114X (Electronic)&amp;#xD;0149-2918 (Linking)&lt;/isbn&gt;&lt;accession-num&gt;29055500&lt;/accession-num&gt;&lt;urls&gt;&lt;related-urls&gt;&lt;url&gt;https://www.ncbi.nlm.nih.gov/pubmed/29055500&lt;/url&gt;&lt;/related-urls&gt;&lt;/urls&gt;&lt;electronic-resource-num&gt;10.1016/j.clinthera.2017.09.011&lt;/electronic-resource-num&gt;&lt;/record&gt;&lt;/Cite&gt;&lt;/EndNote&gt;</w:instrText>
      </w:r>
      <w:r w:rsidR="00B727D6">
        <w:fldChar w:fldCharType="separate"/>
      </w:r>
      <w:r w:rsidR="00B727D6">
        <w:rPr>
          <w:noProof/>
        </w:rPr>
        <w:t>(</w:t>
      </w:r>
      <w:hyperlink w:anchor="_ENREF_61" w:tooltip="Rice, 2017 #11" w:history="1">
        <w:r w:rsidR="00D726F6">
          <w:rPr>
            <w:noProof/>
          </w:rPr>
          <w:t>Rice et al. 2017</w:t>
        </w:r>
      </w:hyperlink>
      <w:r w:rsidR="00B727D6">
        <w:rPr>
          <w:noProof/>
        </w:rPr>
        <w:t>)</w:t>
      </w:r>
      <w:r w:rsidR="00B727D6">
        <w:fldChar w:fldCharType="end"/>
      </w:r>
      <w:r w:rsidR="0084782E">
        <w:t xml:space="preserve">. </w:t>
      </w:r>
    </w:p>
    <w:p w14:paraId="08894B36" w14:textId="77777777" w:rsidR="0084782E" w:rsidRDefault="0084782E" w:rsidP="00192373">
      <w:pPr>
        <w:jc w:val="both"/>
      </w:pPr>
      <w:r>
        <w:t>AEs were not separated by severity, however Wilson et al (2017) reported an incidence of mortality of 23.4% (95%CI 34.7, 41.4)</w:t>
      </w:r>
      <w:r w:rsidR="00944F94">
        <w:t>.</w:t>
      </w:r>
    </w:p>
    <w:p w14:paraId="16171257" w14:textId="46A657AE" w:rsidR="00CF1BF2" w:rsidRDefault="00CF1BF2" w:rsidP="00CF1BF2">
      <w:pPr>
        <w:pStyle w:val="Caption"/>
      </w:pPr>
      <w:bookmarkStart w:id="207" w:name="_Ref57037515"/>
      <w:bookmarkStart w:id="208" w:name="_Toc69305661"/>
      <w:r>
        <w:t xml:space="preserve">Table </w:t>
      </w:r>
      <w:r w:rsidR="00003BA5">
        <w:fldChar w:fldCharType="begin"/>
      </w:r>
      <w:r w:rsidR="00003BA5">
        <w:instrText xml:space="preserve"> SEQ Table \* ARABIC </w:instrText>
      </w:r>
      <w:r w:rsidR="00003BA5">
        <w:fldChar w:fldCharType="separate"/>
      </w:r>
      <w:r w:rsidR="004B3EA2">
        <w:rPr>
          <w:noProof/>
        </w:rPr>
        <w:t>20</w:t>
      </w:r>
      <w:r w:rsidR="00003BA5">
        <w:rPr>
          <w:noProof/>
        </w:rPr>
        <w:fldChar w:fldCharType="end"/>
      </w:r>
      <w:bookmarkEnd w:id="207"/>
      <w:r w:rsidR="00944F94">
        <w:tab/>
        <w:t>AE rates reported for patients treated with steroids long-term</w:t>
      </w:r>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E rates reported for patients treated with steroids long-term"/>
        <w:tblDescription w:val="AE rates reported for patients treated with steroids long-term"/>
      </w:tblPr>
      <w:tblGrid>
        <w:gridCol w:w="2459"/>
        <w:gridCol w:w="1507"/>
        <w:gridCol w:w="1504"/>
        <w:gridCol w:w="1773"/>
        <w:gridCol w:w="1773"/>
      </w:tblGrid>
      <w:tr w:rsidR="005C6B74" w:rsidRPr="00772105" w14:paraId="564FBEE1" w14:textId="77777777" w:rsidTr="005C6B74">
        <w:trPr>
          <w:trHeight w:val="540"/>
          <w:tblHeader/>
        </w:trPr>
        <w:tc>
          <w:tcPr>
            <w:tcW w:w="1364" w:type="pct"/>
            <w:vMerge w:val="restart"/>
            <w:shd w:val="clear" w:color="auto" w:fill="auto"/>
            <w:vAlign w:val="center"/>
          </w:tcPr>
          <w:p w14:paraId="0E273E2B" w14:textId="77777777" w:rsidR="005C6B74" w:rsidRPr="00772105" w:rsidRDefault="005C6B74" w:rsidP="0058648B">
            <w:pPr>
              <w:keepNext/>
              <w:spacing w:before="40" w:after="40" w:line="240" w:lineRule="auto"/>
              <w:jc w:val="center"/>
              <w:rPr>
                <w:rFonts w:ascii="Arial Narrow" w:hAnsi="Arial Narrow"/>
                <w:b/>
                <w:sz w:val="20"/>
                <w:szCs w:val="20"/>
              </w:rPr>
            </w:pPr>
            <w:r>
              <w:rPr>
                <w:rFonts w:ascii="Arial Narrow" w:hAnsi="Arial Narrow"/>
                <w:b/>
                <w:sz w:val="20"/>
                <w:szCs w:val="20"/>
              </w:rPr>
              <w:t>Category/AE</w:t>
            </w:r>
          </w:p>
        </w:tc>
        <w:tc>
          <w:tcPr>
            <w:tcW w:w="836" w:type="pct"/>
            <w:vAlign w:val="center"/>
          </w:tcPr>
          <w:p w14:paraId="1288B1B2" w14:textId="235C6142" w:rsidR="005C6B74" w:rsidRPr="00584B4C" w:rsidRDefault="00B727D6" w:rsidP="00D726F6">
            <w:pPr>
              <w:tabs>
                <w:tab w:val="left" w:pos="735"/>
              </w:tabs>
              <w:spacing w:before="40" w:after="40" w:line="240" w:lineRule="auto"/>
              <w:jc w:val="center"/>
              <w:rPr>
                <w:rFonts w:ascii="Arial Narrow" w:hAnsi="Arial Narrow"/>
                <w:b/>
                <w:sz w:val="20"/>
                <w:szCs w:val="20"/>
              </w:rPr>
            </w:pPr>
            <w:r>
              <w:rPr>
                <w:rFonts w:ascii="Arial Narrow" w:hAnsi="Arial Narrow"/>
                <w:b/>
                <w:sz w:val="20"/>
                <w:szCs w:val="20"/>
              </w:rPr>
              <w:fldChar w:fldCharType="begin"/>
            </w:r>
            <w:r>
              <w:rPr>
                <w:rFonts w:ascii="Arial Narrow" w:hAnsi="Arial Narrow"/>
                <w:b/>
                <w:sz w:val="20"/>
                <w:szCs w:val="20"/>
              </w:rPr>
              <w:instrText xml:space="preserve"> ADDIN EN.CITE &lt;EndNote&gt;&lt;Cite&gt;&lt;Author&gt;Rice&lt;/Author&gt;&lt;Year&gt;2017&lt;/Year&gt;&lt;RecNum&gt;11&lt;/RecNum&gt;&lt;DisplayText&gt;(Rice et al. 2017)&lt;/DisplayText&gt;&lt;record&gt;&lt;rec-number&gt;11&lt;/rec-number&gt;&lt;foreign-keys&gt;&lt;key app="EN" db-id="p29e2t021fx2sker0f4p99xad5t02xpedpxr" timestamp="1605656000"&gt;11&lt;/key&gt;&lt;/foreign-keys&gt;&lt;ref-type name="Journal Article"&gt;17&lt;/ref-type&gt;&lt;contributors&gt;&lt;authors&gt;&lt;author&gt;Rice, J. B.&lt;/author&gt;&lt;author&gt;White, A. G.&lt;/author&gt;&lt;author&gt;Scarpati, L. M.&lt;/author&gt;&lt;author&gt;Wan, G.&lt;/author&gt;&lt;author&gt;Nelson, W. W.&lt;/author&gt;&lt;/authors&gt;&lt;/contributors&gt;&lt;auth-address&gt;Analysis Group, Inc, Boston, Massachusetts. Electronic address: Brad.Rice@analysisgroup.com.&amp;#xD;Analysis Group, Inc, Boston, Massachusetts.&amp;#xD;Mallinckrodt Pharmaceuticals, Hampton, New Jersey.&lt;/auth-address&gt;&lt;titles&gt;&lt;title&gt;Long-term Systemic Corticosteroid Exposure: A Systematic Literature Review&lt;/title&gt;&lt;secondary-title&gt;Clin Ther&lt;/secondary-title&gt;&lt;/titles&gt;&lt;periodical&gt;&lt;full-title&gt;Clin Ther&lt;/full-title&gt;&lt;/periodical&gt;&lt;pages&gt;2216-2229&lt;/pages&gt;&lt;volume&gt;39&lt;/volume&gt;&lt;number&gt;11&lt;/number&gt;&lt;keywords&gt;&lt;keyword&gt;Adrenal Cortex Hormones/*administration &amp;amp; dosage/adverse effects/therapeutic use&lt;/keyword&gt;&lt;keyword&gt;Asthma/drug therapy&lt;/keyword&gt;&lt;keyword&gt;Costs and Cost Analysis&lt;/keyword&gt;&lt;keyword&gt;Diabetes Mellitus, Type 2/epidemiology&lt;/keyword&gt;&lt;keyword&gt;Gastrointestinal Diseases/chemically induced&lt;/keyword&gt;&lt;keyword&gt;Humans&lt;/keyword&gt;&lt;keyword&gt;Outcome Assessment, Health Care&lt;/keyword&gt;&lt;keyword&gt;Time Factors&lt;/keyword&gt;&lt;keyword&gt;adverse events&lt;/keyword&gt;&lt;keyword&gt;corticosteroids&lt;/keyword&gt;&lt;keyword&gt;costs&lt;/keyword&gt;&lt;keyword&gt;economic burden&lt;/keyword&gt;&lt;keyword&gt;long-term corticosteroid exposure&lt;/keyword&gt;&lt;/keywords&gt;&lt;dates&gt;&lt;year&gt;2017&lt;/year&gt;&lt;pub-dates&gt;&lt;date&gt;Nov&lt;/date&gt;&lt;/pub-dates&gt;&lt;/dates&gt;&lt;isbn&gt;1879-114X (Electronic)&amp;#xD;0149-2918 (Linking)&lt;/isbn&gt;&lt;accession-num&gt;29055500&lt;/accession-num&gt;&lt;urls&gt;&lt;related-urls&gt;&lt;url&gt;https://www.ncbi.nlm.nih.gov/pubmed/29055500&lt;/url&gt;&lt;/related-urls&gt;&lt;/urls&gt;&lt;electronic-resource-num&gt;10.1016/j.clinthera.2017.09.011&lt;/electronic-resource-num&gt;&lt;/record&gt;&lt;/Cite&gt;&lt;/EndNote&gt;</w:instrText>
            </w:r>
            <w:r>
              <w:rPr>
                <w:rFonts w:ascii="Arial Narrow" w:hAnsi="Arial Narrow"/>
                <w:b/>
                <w:sz w:val="20"/>
                <w:szCs w:val="20"/>
              </w:rPr>
              <w:fldChar w:fldCharType="separate"/>
            </w:r>
            <w:r>
              <w:rPr>
                <w:rFonts w:ascii="Arial Narrow" w:hAnsi="Arial Narrow"/>
                <w:b/>
                <w:noProof/>
                <w:sz w:val="20"/>
                <w:szCs w:val="20"/>
              </w:rPr>
              <w:t>(</w:t>
            </w:r>
            <w:hyperlink w:anchor="_ENREF_61" w:tooltip="Rice, 2017 #11" w:history="1">
              <w:r w:rsidR="00D726F6">
                <w:rPr>
                  <w:rFonts w:ascii="Arial Narrow" w:hAnsi="Arial Narrow"/>
                  <w:b/>
                  <w:noProof/>
                  <w:sz w:val="20"/>
                  <w:szCs w:val="20"/>
                </w:rPr>
                <w:t>Rice et al. 2017</w:t>
              </w:r>
            </w:hyperlink>
            <w:r>
              <w:rPr>
                <w:rFonts w:ascii="Arial Narrow" w:hAnsi="Arial Narrow"/>
                <w:b/>
                <w:noProof/>
                <w:sz w:val="20"/>
                <w:szCs w:val="20"/>
              </w:rPr>
              <w:t>)</w:t>
            </w:r>
            <w:r>
              <w:rPr>
                <w:rFonts w:ascii="Arial Narrow" w:hAnsi="Arial Narrow"/>
                <w:b/>
                <w:sz w:val="20"/>
                <w:szCs w:val="20"/>
              </w:rPr>
              <w:fldChar w:fldCharType="end"/>
            </w:r>
          </w:p>
        </w:tc>
        <w:tc>
          <w:tcPr>
            <w:tcW w:w="2801" w:type="pct"/>
            <w:gridSpan w:val="3"/>
            <w:vAlign w:val="center"/>
          </w:tcPr>
          <w:p w14:paraId="2115A460" w14:textId="2A0BE9A9" w:rsidR="005C6B74" w:rsidRPr="00584B4C" w:rsidRDefault="00B727D6" w:rsidP="00D726F6">
            <w:pPr>
              <w:tabs>
                <w:tab w:val="left" w:pos="885"/>
              </w:tabs>
              <w:spacing w:before="40" w:after="40" w:line="240" w:lineRule="auto"/>
              <w:jc w:val="center"/>
              <w:rPr>
                <w:rFonts w:ascii="Arial Narrow" w:hAnsi="Arial Narrow"/>
                <w:b/>
                <w:sz w:val="20"/>
                <w:szCs w:val="20"/>
              </w:rPr>
            </w:pPr>
            <w:r>
              <w:rPr>
                <w:rFonts w:ascii="Arial Narrow" w:hAnsi="Arial Narrow"/>
                <w:b/>
                <w:sz w:val="20"/>
                <w:szCs w:val="20"/>
              </w:rPr>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Pr>
                <w:rFonts w:ascii="Arial Narrow" w:hAnsi="Arial Narrow"/>
                <w:b/>
                <w:sz w:val="20"/>
                <w:szCs w:val="20"/>
              </w:rPr>
              <w:instrText xml:space="preserve"> ADDIN EN.CITE </w:instrText>
            </w:r>
            <w:r>
              <w:rPr>
                <w:rFonts w:ascii="Arial Narrow" w:hAnsi="Arial Narrow"/>
                <w:b/>
                <w:sz w:val="20"/>
                <w:szCs w:val="20"/>
              </w:rPr>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Pr>
                <w:rFonts w:ascii="Arial Narrow" w:hAnsi="Arial Narrow"/>
                <w:b/>
                <w:sz w:val="20"/>
                <w:szCs w:val="20"/>
              </w:rPr>
              <w:instrText xml:space="preserve"> ADDIN EN.CITE.DATA </w:instrText>
            </w:r>
            <w:r>
              <w:rPr>
                <w:rFonts w:ascii="Arial Narrow" w:hAnsi="Arial Narrow"/>
                <w:b/>
                <w:sz w:val="20"/>
                <w:szCs w:val="20"/>
              </w:rPr>
            </w:r>
            <w:r>
              <w:rPr>
                <w:rFonts w:ascii="Arial Narrow" w:hAnsi="Arial Narrow"/>
                <w:b/>
                <w:sz w:val="20"/>
                <w:szCs w:val="20"/>
              </w:rPr>
              <w:fldChar w:fldCharType="end"/>
            </w:r>
            <w:r>
              <w:rPr>
                <w:rFonts w:ascii="Arial Narrow" w:hAnsi="Arial Narrow"/>
                <w:b/>
                <w:sz w:val="20"/>
                <w:szCs w:val="20"/>
              </w:rPr>
            </w:r>
            <w:r>
              <w:rPr>
                <w:rFonts w:ascii="Arial Narrow" w:hAnsi="Arial Narrow"/>
                <w:b/>
                <w:sz w:val="20"/>
                <w:szCs w:val="20"/>
              </w:rPr>
              <w:fldChar w:fldCharType="separate"/>
            </w:r>
            <w:r>
              <w:rPr>
                <w:rFonts w:ascii="Arial Narrow" w:hAnsi="Arial Narrow"/>
                <w:b/>
                <w:noProof/>
                <w:sz w:val="20"/>
                <w:szCs w:val="20"/>
              </w:rPr>
              <w:t>(</w:t>
            </w:r>
            <w:hyperlink w:anchor="_ENREF_80" w:tooltip="Wilson, 2017 #5" w:history="1">
              <w:r w:rsidR="00D726F6">
                <w:rPr>
                  <w:rFonts w:ascii="Arial Narrow" w:hAnsi="Arial Narrow"/>
                  <w:b/>
                  <w:noProof/>
                  <w:sz w:val="20"/>
                  <w:szCs w:val="20"/>
                </w:rPr>
                <w:t>Wilson, J. C. et al. 2017a</w:t>
              </w:r>
            </w:hyperlink>
            <w:r>
              <w:rPr>
                <w:rFonts w:ascii="Arial Narrow" w:hAnsi="Arial Narrow"/>
                <w:b/>
                <w:noProof/>
                <w:sz w:val="20"/>
                <w:szCs w:val="20"/>
              </w:rPr>
              <w:t>)</w:t>
            </w:r>
            <w:r>
              <w:rPr>
                <w:rFonts w:ascii="Arial Narrow" w:hAnsi="Arial Narrow"/>
                <w:b/>
                <w:sz w:val="20"/>
                <w:szCs w:val="20"/>
              </w:rPr>
              <w:fldChar w:fldCharType="end"/>
            </w:r>
          </w:p>
        </w:tc>
      </w:tr>
      <w:tr w:rsidR="005C6B74" w:rsidRPr="00772105" w14:paraId="2098CBA2" w14:textId="77777777" w:rsidTr="00E479D0">
        <w:trPr>
          <w:trHeight w:val="516"/>
          <w:tblHeader/>
        </w:trPr>
        <w:tc>
          <w:tcPr>
            <w:tcW w:w="1364" w:type="pct"/>
            <w:vMerge/>
            <w:shd w:val="clear" w:color="auto" w:fill="auto"/>
          </w:tcPr>
          <w:p w14:paraId="4C5AACEE" w14:textId="77777777" w:rsidR="005C6B74" w:rsidRDefault="005C6B74" w:rsidP="0058648B">
            <w:pPr>
              <w:keepNext/>
              <w:spacing w:before="40" w:after="40" w:line="240" w:lineRule="auto"/>
              <w:rPr>
                <w:rFonts w:ascii="Arial Narrow" w:hAnsi="Arial Narrow"/>
                <w:b/>
                <w:sz w:val="20"/>
                <w:szCs w:val="20"/>
              </w:rPr>
            </w:pPr>
          </w:p>
        </w:tc>
        <w:tc>
          <w:tcPr>
            <w:tcW w:w="836" w:type="pct"/>
          </w:tcPr>
          <w:p w14:paraId="4DA91594" w14:textId="77777777" w:rsidR="005C6B74" w:rsidRPr="005166BE" w:rsidRDefault="005C6B74" w:rsidP="00DC7DB1">
            <w:pPr>
              <w:tabs>
                <w:tab w:val="left" w:pos="885"/>
              </w:tabs>
              <w:spacing w:before="40" w:after="40" w:line="240" w:lineRule="auto"/>
              <w:rPr>
                <w:rFonts w:ascii="Arial Narrow" w:hAnsi="Arial Narrow"/>
                <w:b/>
                <w:sz w:val="20"/>
                <w:szCs w:val="20"/>
                <w:vertAlign w:val="superscript"/>
              </w:rPr>
            </w:pPr>
            <w:r>
              <w:rPr>
                <w:rFonts w:ascii="Arial Narrow" w:hAnsi="Arial Narrow"/>
                <w:b/>
                <w:sz w:val="20"/>
                <w:szCs w:val="20"/>
              </w:rPr>
              <w:t>Prevalence range (%)</w:t>
            </w:r>
            <w:r>
              <w:rPr>
                <w:rFonts w:ascii="Arial Narrow" w:hAnsi="Arial Narrow"/>
                <w:b/>
                <w:sz w:val="20"/>
                <w:szCs w:val="20"/>
                <w:vertAlign w:val="superscript"/>
              </w:rPr>
              <w:t>a</w:t>
            </w:r>
          </w:p>
        </w:tc>
        <w:tc>
          <w:tcPr>
            <w:tcW w:w="834" w:type="pct"/>
            <w:tcBorders>
              <w:right w:val="single" w:sz="4" w:space="0" w:color="E7E6E6" w:themeColor="background2"/>
            </w:tcBorders>
          </w:tcPr>
          <w:p w14:paraId="6AADB6EA" w14:textId="77777777" w:rsidR="005C6B74" w:rsidRPr="00584B4C" w:rsidRDefault="005C6B74" w:rsidP="0058648B">
            <w:pPr>
              <w:tabs>
                <w:tab w:val="left" w:pos="885"/>
              </w:tabs>
              <w:spacing w:before="40" w:after="40" w:line="240" w:lineRule="auto"/>
              <w:rPr>
                <w:rFonts w:ascii="Arial Narrow" w:hAnsi="Arial Narrow"/>
                <w:b/>
                <w:sz w:val="20"/>
                <w:szCs w:val="20"/>
              </w:rPr>
            </w:pPr>
            <w:r>
              <w:rPr>
                <w:rFonts w:ascii="Arial Narrow" w:hAnsi="Arial Narrow"/>
                <w:b/>
                <w:sz w:val="20"/>
                <w:szCs w:val="20"/>
              </w:rPr>
              <w:t>N events</w:t>
            </w:r>
          </w:p>
        </w:tc>
        <w:tc>
          <w:tcPr>
            <w:tcW w:w="983" w:type="pct"/>
            <w:tcBorders>
              <w:left w:val="single" w:sz="4" w:space="0" w:color="E7E6E6" w:themeColor="background2"/>
              <w:right w:val="single" w:sz="4" w:space="0" w:color="E7E6E6" w:themeColor="background2"/>
            </w:tcBorders>
          </w:tcPr>
          <w:p w14:paraId="254F1B48" w14:textId="77777777" w:rsidR="005C6B74" w:rsidRDefault="005C6B74" w:rsidP="00511B6C">
            <w:pPr>
              <w:tabs>
                <w:tab w:val="left" w:pos="885"/>
              </w:tabs>
              <w:spacing w:before="40" w:after="40" w:line="240" w:lineRule="auto"/>
              <w:rPr>
                <w:rFonts w:ascii="Arial Narrow" w:hAnsi="Arial Narrow"/>
                <w:b/>
                <w:sz w:val="20"/>
                <w:szCs w:val="20"/>
              </w:rPr>
            </w:pPr>
            <w:r>
              <w:rPr>
                <w:rFonts w:ascii="Arial Narrow" w:hAnsi="Arial Narrow"/>
                <w:b/>
                <w:sz w:val="20"/>
                <w:szCs w:val="20"/>
              </w:rPr>
              <w:t>Incidence (%)</w:t>
            </w:r>
          </w:p>
          <w:p w14:paraId="66D65EB0" w14:textId="77777777" w:rsidR="005C6B74" w:rsidRPr="009249D5" w:rsidRDefault="005C6B74" w:rsidP="00511B6C">
            <w:pPr>
              <w:tabs>
                <w:tab w:val="left" w:pos="885"/>
              </w:tabs>
              <w:spacing w:before="40" w:after="40" w:line="240" w:lineRule="auto"/>
              <w:rPr>
                <w:rFonts w:ascii="Arial Narrow" w:hAnsi="Arial Narrow"/>
                <w:b/>
                <w:sz w:val="20"/>
                <w:szCs w:val="20"/>
                <w:vertAlign w:val="superscript"/>
              </w:rPr>
            </w:pPr>
            <w:r>
              <w:rPr>
                <w:rFonts w:ascii="Arial Narrow" w:hAnsi="Arial Narrow"/>
                <w:b/>
                <w:sz w:val="20"/>
                <w:szCs w:val="20"/>
              </w:rPr>
              <w:t>(95%CI)</w:t>
            </w:r>
            <w:r>
              <w:rPr>
                <w:rFonts w:ascii="Arial Narrow" w:hAnsi="Arial Narrow"/>
                <w:b/>
                <w:sz w:val="20"/>
                <w:szCs w:val="20"/>
                <w:vertAlign w:val="superscript"/>
              </w:rPr>
              <w:t>b</w:t>
            </w:r>
          </w:p>
        </w:tc>
        <w:tc>
          <w:tcPr>
            <w:tcW w:w="983" w:type="pct"/>
            <w:tcBorders>
              <w:left w:val="single" w:sz="4" w:space="0" w:color="E7E6E6" w:themeColor="background2"/>
            </w:tcBorders>
          </w:tcPr>
          <w:p w14:paraId="48FB755B" w14:textId="77777777" w:rsidR="005C6B74" w:rsidRDefault="005C6B74" w:rsidP="00511B6C">
            <w:pPr>
              <w:tabs>
                <w:tab w:val="left" w:pos="885"/>
              </w:tabs>
              <w:spacing w:before="40" w:after="40" w:line="240" w:lineRule="auto"/>
              <w:rPr>
                <w:rFonts w:ascii="Arial Narrow" w:hAnsi="Arial Narrow"/>
                <w:b/>
                <w:sz w:val="20"/>
                <w:szCs w:val="20"/>
                <w:vertAlign w:val="superscript"/>
              </w:rPr>
            </w:pPr>
            <w:r>
              <w:rPr>
                <w:rFonts w:ascii="Arial Narrow" w:hAnsi="Arial Narrow"/>
                <w:b/>
                <w:sz w:val="20"/>
                <w:szCs w:val="20"/>
              </w:rPr>
              <w:t>IRR</w:t>
            </w:r>
            <w:r>
              <w:rPr>
                <w:rFonts w:ascii="Arial Narrow" w:hAnsi="Arial Narrow"/>
                <w:b/>
                <w:sz w:val="20"/>
                <w:szCs w:val="20"/>
                <w:vertAlign w:val="superscript"/>
              </w:rPr>
              <w:t>c</w:t>
            </w:r>
          </w:p>
          <w:p w14:paraId="71D201B7" w14:textId="77777777" w:rsidR="005C6B74" w:rsidRPr="005C6B74" w:rsidRDefault="005C6B74" w:rsidP="00511B6C">
            <w:pPr>
              <w:tabs>
                <w:tab w:val="left" w:pos="885"/>
              </w:tabs>
              <w:spacing w:before="40" w:after="40" w:line="240" w:lineRule="auto"/>
              <w:rPr>
                <w:rFonts w:ascii="Arial Narrow" w:hAnsi="Arial Narrow"/>
                <w:b/>
                <w:sz w:val="20"/>
                <w:szCs w:val="20"/>
              </w:rPr>
            </w:pPr>
            <w:r w:rsidRPr="005C6B74">
              <w:rPr>
                <w:rFonts w:ascii="Arial Narrow" w:hAnsi="Arial Narrow"/>
                <w:b/>
                <w:sz w:val="20"/>
                <w:szCs w:val="20"/>
              </w:rPr>
              <w:t>(95%CI)</w:t>
            </w:r>
          </w:p>
        </w:tc>
      </w:tr>
      <w:tr w:rsidR="005C6B74" w:rsidRPr="00772105" w14:paraId="0309B143" w14:textId="77777777" w:rsidTr="00E479D0">
        <w:tc>
          <w:tcPr>
            <w:tcW w:w="1364" w:type="pct"/>
            <w:shd w:val="clear" w:color="auto" w:fill="auto"/>
          </w:tcPr>
          <w:p w14:paraId="20C8CCF6" w14:textId="77777777" w:rsidR="005C6B74" w:rsidRPr="00366915" w:rsidRDefault="005C6B74" w:rsidP="001F2BB8">
            <w:pPr>
              <w:spacing w:before="40" w:after="40" w:line="240" w:lineRule="auto"/>
              <w:rPr>
                <w:rFonts w:ascii="Arial Narrow" w:hAnsi="Arial Narrow"/>
                <w:sz w:val="20"/>
                <w:szCs w:val="20"/>
              </w:rPr>
            </w:pPr>
            <w:r>
              <w:rPr>
                <w:rFonts w:ascii="Arial Narrow" w:hAnsi="Arial Narrow"/>
                <w:sz w:val="20"/>
                <w:szCs w:val="20"/>
              </w:rPr>
              <w:t>Cardiac condition</w:t>
            </w:r>
          </w:p>
        </w:tc>
        <w:tc>
          <w:tcPr>
            <w:tcW w:w="836" w:type="pct"/>
          </w:tcPr>
          <w:p w14:paraId="526BBB4E" w14:textId="77777777" w:rsidR="005C6B74" w:rsidRPr="00584B4C" w:rsidRDefault="005C6B74" w:rsidP="001F2BB8">
            <w:pPr>
              <w:tabs>
                <w:tab w:val="left" w:pos="885"/>
              </w:tabs>
              <w:spacing w:before="40" w:after="40" w:line="240" w:lineRule="auto"/>
              <w:rPr>
                <w:rFonts w:ascii="Arial Narrow" w:hAnsi="Arial Narrow"/>
                <w:sz w:val="20"/>
                <w:szCs w:val="20"/>
              </w:rPr>
            </w:pPr>
            <w:r w:rsidRPr="00A83797">
              <w:rPr>
                <w:rFonts w:ascii="Arial Narrow" w:hAnsi="Arial Narrow"/>
                <w:sz w:val="20"/>
                <w:szCs w:val="20"/>
              </w:rPr>
              <w:t>4</w:t>
            </w:r>
          </w:p>
        </w:tc>
        <w:tc>
          <w:tcPr>
            <w:tcW w:w="834" w:type="pct"/>
            <w:tcBorders>
              <w:right w:val="single" w:sz="4" w:space="0" w:color="E7E6E6" w:themeColor="background2"/>
            </w:tcBorders>
          </w:tcPr>
          <w:p w14:paraId="09FD732F"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983" w:type="pct"/>
            <w:tcBorders>
              <w:left w:val="single" w:sz="4" w:space="0" w:color="E7E6E6" w:themeColor="background2"/>
              <w:right w:val="single" w:sz="4" w:space="0" w:color="E7E6E6" w:themeColor="background2"/>
            </w:tcBorders>
          </w:tcPr>
          <w:p w14:paraId="5B388F5D"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983" w:type="pct"/>
            <w:tcBorders>
              <w:left w:val="single" w:sz="4" w:space="0" w:color="E7E6E6" w:themeColor="background2"/>
            </w:tcBorders>
          </w:tcPr>
          <w:p w14:paraId="23E0D2F4"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5C6B74" w:rsidRPr="00772105" w14:paraId="6A5B5FBC" w14:textId="77777777" w:rsidTr="00E479D0">
        <w:tc>
          <w:tcPr>
            <w:tcW w:w="1364" w:type="pct"/>
            <w:shd w:val="clear" w:color="auto" w:fill="auto"/>
          </w:tcPr>
          <w:p w14:paraId="25E209EB" w14:textId="77777777" w:rsidR="005C6B74" w:rsidRPr="00366915" w:rsidRDefault="005C6B74" w:rsidP="001F2BB8">
            <w:pPr>
              <w:spacing w:before="40" w:after="40" w:line="240" w:lineRule="auto"/>
              <w:rPr>
                <w:rFonts w:ascii="Arial Narrow" w:hAnsi="Arial Narrow"/>
                <w:sz w:val="20"/>
                <w:szCs w:val="20"/>
              </w:rPr>
            </w:pPr>
            <w:r>
              <w:rPr>
                <w:rFonts w:ascii="Arial Narrow" w:hAnsi="Arial Narrow"/>
                <w:sz w:val="20"/>
                <w:szCs w:val="20"/>
              </w:rPr>
              <w:t>Nausea, vomiting or other GI condition</w:t>
            </w:r>
          </w:p>
        </w:tc>
        <w:tc>
          <w:tcPr>
            <w:tcW w:w="836" w:type="pct"/>
          </w:tcPr>
          <w:p w14:paraId="6BA34726" w14:textId="77777777" w:rsidR="005C6B74" w:rsidRPr="00584B4C" w:rsidRDefault="005C6B74" w:rsidP="001F2BB8">
            <w:pPr>
              <w:tabs>
                <w:tab w:val="left" w:pos="885"/>
              </w:tabs>
              <w:spacing w:before="40" w:after="40" w:line="240" w:lineRule="auto"/>
              <w:rPr>
                <w:rFonts w:ascii="Arial Narrow" w:hAnsi="Arial Narrow"/>
                <w:sz w:val="20"/>
                <w:szCs w:val="20"/>
              </w:rPr>
            </w:pPr>
            <w:r w:rsidRPr="00A83797">
              <w:rPr>
                <w:rFonts w:ascii="Arial Narrow" w:hAnsi="Arial Narrow"/>
                <w:sz w:val="20"/>
                <w:szCs w:val="20"/>
              </w:rPr>
              <w:t>1-5</w:t>
            </w:r>
          </w:p>
        </w:tc>
        <w:tc>
          <w:tcPr>
            <w:tcW w:w="834" w:type="pct"/>
            <w:tcBorders>
              <w:right w:val="single" w:sz="4" w:space="0" w:color="E7E6E6" w:themeColor="background2"/>
            </w:tcBorders>
          </w:tcPr>
          <w:p w14:paraId="71ED7849"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983" w:type="pct"/>
            <w:tcBorders>
              <w:left w:val="single" w:sz="4" w:space="0" w:color="E7E6E6" w:themeColor="background2"/>
              <w:right w:val="single" w:sz="4" w:space="0" w:color="E7E6E6" w:themeColor="background2"/>
            </w:tcBorders>
          </w:tcPr>
          <w:p w14:paraId="3E2C6F8C"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983" w:type="pct"/>
            <w:tcBorders>
              <w:left w:val="single" w:sz="4" w:space="0" w:color="E7E6E6" w:themeColor="background2"/>
            </w:tcBorders>
          </w:tcPr>
          <w:p w14:paraId="49C01E68"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5C6B74" w:rsidRPr="00772105" w14:paraId="0C8B5F7F" w14:textId="77777777" w:rsidTr="00E479D0">
        <w:tc>
          <w:tcPr>
            <w:tcW w:w="1364" w:type="pct"/>
            <w:shd w:val="clear" w:color="auto" w:fill="auto"/>
          </w:tcPr>
          <w:p w14:paraId="4E7494F9" w14:textId="77777777" w:rsidR="005C6B74" w:rsidRPr="00366915" w:rsidRDefault="005C6B74" w:rsidP="00BD3C5D">
            <w:pPr>
              <w:spacing w:before="40" w:after="40" w:line="240" w:lineRule="auto"/>
              <w:rPr>
                <w:rFonts w:ascii="Arial Narrow" w:hAnsi="Arial Narrow"/>
                <w:sz w:val="20"/>
                <w:szCs w:val="20"/>
              </w:rPr>
            </w:pPr>
            <w:r>
              <w:rPr>
                <w:rFonts w:ascii="Arial Narrow" w:hAnsi="Arial Narrow"/>
                <w:sz w:val="20"/>
                <w:szCs w:val="20"/>
              </w:rPr>
              <w:t>Fracture or Osteoporosis</w:t>
            </w:r>
          </w:p>
        </w:tc>
        <w:tc>
          <w:tcPr>
            <w:tcW w:w="836" w:type="pct"/>
          </w:tcPr>
          <w:p w14:paraId="698400F3" w14:textId="77777777" w:rsidR="005C6B74" w:rsidRPr="00584B4C" w:rsidRDefault="005C6B74" w:rsidP="001F2BB8">
            <w:pPr>
              <w:tabs>
                <w:tab w:val="left" w:pos="885"/>
              </w:tabs>
              <w:spacing w:before="40" w:after="40" w:line="240" w:lineRule="auto"/>
              <w:rPr>
                <w:rFonts w:ascii="Arial Narrow" w:hAnsi="Arial Narrow"/>
                <w:sz w:val="20"/>
                <w:szCs w:val="20"/>
              </w:rPr>
            </w:pPr>
            <w:r w:rsidRPr="00A83797">
              <w:rPr>
                <w:rFonts w:ascii="Arial Narrow" w:hAnsi="Arial Narrow"/>
                <w:sz w:val="20"/>
                <w:szCs w:val="20"/>
              </w:rPr>
              <w:t>21-30</w:t>
            </w:r>
          </w:p>
        </w:tc>
        <w:tc>
          <w:tcPr>
            <w:tcW w:w="834" w:type="pct"/>
            <w:tcBorders>
              <w:right w:val="single" w:sz="4" w:space="0" w:color="E7E6E6" w:themeColor="background2"/>
            </w:tcBorders>
          </w:tcPr>
          <w:p w14:paraId="08256B15" w14:textId="77777777" w:rsidR="005C6B74"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F: 433</w:t>
            </w:r>
          </w:p>
          <w:p w14:paraId="1E89C153" w14:textId="77777777" w:rsidR="005C6B74" w:rsidRPr="00584B4C"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O: 532</w:t>
            </w:r>
          </w:p>
        </w:tc>
        <w:tc>
          <w:tcPr>
            <w:tcW w:w="983" w:type="pct"/>
            <w:tcBorders>
              <w:left w:val="single" w:sz="4" w:space="0" w:color="E7E6E6" w:themeColor="background2"/>
              <w:right w:val="single" w:sz="4" w:space="0" w:color="E7E6E6" w:themeColor="background2"/>
            </w:tcBorders>
          </w:tcPr>
          <w:p w14:paraId="25CA4593" w14:textId="77777777" w:rsidR="005C6B74"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F: 16.5 (15.0, 18.1)</w:t>
            </w:r>
          </w:p>
          <w:p w14:paraId="5BDBE9A0" w14:textId="77777777" w:rsidR="005C6B74" w:rsidRPr="00584B4C"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O: 22.9 (21.1, 24.9)</w:t>
            </w:r>
          </w:p>
        </w:tc>
        <w:tc>
          <w:tcPr>
            <w:tcW w:w="983" w:type="pct"/>
            <w:tcBorders>
              <w:left w:val="single" w:sz="4" w:space="0" w:color="E7E6E6" w:themeColor="background2"/>
            </w:tcBorders>
          </w:tcPr>
          <w:p w14:paraId="1E9E7512" w14:textId="77777777" w:rsidR="005C6B74"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1.4 (1.2, 1.6)</w:t>
            </w:r>
          </w:p>
          <w:p w14:paraId="3FFDF421" w14:textId="77777777" w:rsidR="005C6B74"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2.4 (2.1, 2.8)</w:t>
            </w:r>
          </w:p>
        </w:tc>
      </w:tr>
      <w:tr w:rsidR="005C6B74" w:rsidRPr="00772105" w14:paraId="69C59246" w14:textId="77777777" w:rsidTr="00E479D0">
        <w:tc>
          <w:tcPr>
            <w:tcW w:w="1364" w:type="pct"/>
            <w:shd w:val="clear" w:color="auto" w:fill="auto"/>
          </w:tcPr>
          <w:p w14:paraId="59DB45E1" w14:textId="77777777" w:rsidR="005C6B74" w:rsidRPr="00366915" w:rsidRDefault="005C6B74" w:rsidP="001F2BB8">
            <w:pPr>
              <w:spacing w:before="40" w:after="40" w:line="240" w:lineRule="auto"/>
              <w:rPr>
                <w:rFonts w:ascii="Arial Narrow" w:hAnsi="Arial Narrow"/>
                <w:sz w:val="20"/>
                <w:szCs w:val="20"/>
              </w:rPr>
            </w:pPr>
            <w:r>
              <w:rPr>
                <w:rFonts w:ascii="Arial Narrow" w:hAnsi="Arial Narrow"/>
                <w:sz w:val="20"/>
                <w:szCs w:val="20"/>
              </w:rPr>
              <w:t>Cataract</w:t>
            </w:r>
            <w:r w:rsidR="008305F2">
              <w:rPr>
                <w:rFonts w:ascii="Arial Narrow" w:hAnsi="Arial Narrow"/>
                <w:sz w:val="20"/>
                <w:szCs w:val="20"/>
              </w:rPr>
              <w:t>s</w:t>
            </w:r>
            <w:r>
              <w:rPr>
                <w:rFonts w:ascii="Arial Narrow" w:hAnsi="Arial Narrow"/>
                <w:sz w:val="20"/>
                <w:szCs w:val="20"/>
              </w:rPr>
              <w:t xml:space="preserve"> </w:t>
            </w:r>
          </w:p>
        </w:tc>
        <w:tc>
          <w:tcPr>
            <w:tcW w:w="836" w:type="pct"/>
          </w:tcPr>
          <w:p w14:paraId="4C14B229" w14:textId="77777777" w:rsidR="005C6B74" w:rsidRPr="00584B4C" w:rsidRDefault="005C6B74" w:rsidP="001F2BB8">
            <w:pPr>
              <w:tabs>
                <w:tab w:val="left" w:pos="885"/>
              </w:tabs>
              <w:spacing w:before="40" w:after="40" w:line="240" w:lineRule="auto"/>
              <w:rPr>
                <w:rFonts w:ascii="Arial Narrow" w:hAnsi="Arial Narrow"/>
                <w:sz w:val="20"/>
                <w:szCs w:val="20"/>
              </w:rPr>
            </w:pPr>
            <w:r w:rsidRPr="00A83797">
              <w:rPr>
                <w:rFonts w:ascii="Arial Narrow" w:hAnsi="Arial Narrow"/>
                <w:sz w:val="20"/>
                <w:szCs w:val="20"/>
              </w:rPr>
              <w:t>1-3</w:t>
            </w:r>
          </w:p>
        </w:tc>
        <w:tc>
          <w:tcPr>
            <w:tcW w:w="834" w:type="pct"/>
            <w:tcBorders>
              <w:right w:val="single" w:sz="4" w:space="0" w:color="E7E6E6" w:themeColor="background2"/>
            </w:tcBorders>
          </w:tcPr>
          <w:p w14:paraId="5103BE89"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983" w:type="pct"/>
            <w:tcBorders>
              <w:left w:val="single" w:sz="4" w:space="0" w:color="E7E6E6" w:themeColor="background2"/>
              <w:right w:val="single" w:sz="4" w:space="0" w:color="E7E6E6" w:themeColor="background2"/>
            </w:tcBorders>
          </w:tcPr>
          <w:p w14:paraId="17B18056"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983" w:type="pct"/>
            <w:tcBorders>
              <w:left w:val="single" w:sz="4" w:space="0" w:color="E7E6E6" w:themeColor="background2"/>
            </w:tcBorders>
          </w:tcPr>
          <w:p w14:paraId="0F9532AB"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5C6B74" w:rsidRPr="00772105" w14:paraId="5507A6C3" w14:textId="77777777" w:rsidTr="00E479D0">
        <w:tc>
          <w:tcPr>
            <w:tcW w:w="1364" w:type="pct"/>
            <w:shd w:val="clear" w:color="auto" w:fill="auto"/>
          </w:tcPr>
          <w:p w14:paraId="5B89848F" w14:textId="77777777" w:rsidR="005C6B74" w:rsidRDefault="005C6B74" w:rsidP="001F2BB8">
            <w:pPr>
              <w:spacing w:before="40" w:after="40" w:line="240" w:lineRule="auto"/>
              <w:rPr>
                <w:rFonts w:ascii="Arial Narrow" w:hAnsi="Arial Narrow"/>
                <w:sz w:val="20"/>
                <w:szCs w:val="20"/>
              </w:rPr>
            </w:pPr>
            <w:r>
              <w:rPr>
                <w:rFonts w:ascii="Arial Narrow" w:hAnsi="Arial Narrow"/>
                <w:sz w:val="20"/>
                <w:szCs w:val="20"/>
              </w:rPr>
              <w:t>Glaucoma</w:t>
            </w:r>
          </w:p>
        </w:tc>
        <w:tc>
          <w:tcPr>
            <w:tcW w:w="836" w:type="pct"/>
          </w:tcPr>
          <w:p w14:paraId="45AF48D3" w14:textId="77777777" w:rsidR="005C6B74"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34" w:type="pct"/>
            <w:tcBorders>
              <w:right w:val="single" w:sz="4" w:space="0" w:color="E7E6E6" w:themeColor="background2"/>
            </w:tcBorders>
          </w:tcPr>
          <w:p w14:paraId="7089AF8D" w14:textId="77777777" w:rsidR="005C6B74" w:rsidRPr="00584B4C"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253</w:t>
            </w:r>
          </w:p>
        </w:tc>
        <w:tc>
          <w:tcPr>
            <w:tcW w:w="983" w:type="pct"/>
            <w:tcBorders>
              <w:left w:val="single" w:sz="4" w:space="0" w:color="E7E6E6" w:themeColor="background2"/>
              <w:right w:val="single" w:sz="4" w:space="0" w:color="E7E6E6" w:themeColor="background2"/>
            </w:tcBorders>
          </w:tcPr>
          <w:p w14:paraId="6D209973" w14:textId="77777777" w:rsidR="005C6B74" w:rsidRPr="00584B4C"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10.2 (9.0, 11.5)</w:t>
            </w:r>
          </w:p>
        </w:tc>
        <w:tc>
          <w:tcPr>
            <w:tcW w:w="983" w:type="pct"/>
            <w:tcBorders>
              <w:left w:val="single" w:sz="4" w:space="0" w:color="E7E6E6" w:themeColor="background2"/>
            </w:tcBorders>
          </w:tcPr>
          <w:p w14:paraId="16ABB9E8" w14:textId="77777777" w:rsidR="005C6B74"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2.0 (1.6,</w:t>
            </w:r>
            <w:r w:rsidR="00800520">
              <w:rPr>
                <w:rFonts w:ascii="Arial Narrow" w:hAnsi="Arial Narrow"/>
                <w:sz w:val="20"/>
                <w:szCs w:val="20"/>
              </w:rPr>
              <w:t xml:space="preserve"> </w:t>
            </w:r>
            <w:r>
              <w:rPr>
                <w:rFonts w:ascii="Arial Narrow" w:hAnsi="Arial Narrow"/>
                <w:sz w:val="20"/>
                <w:szCs w:val="20"/>
              </w:rPr>
              <w:t>2.5)</w:t>
            </w:r>
          </w:p>
        </w:tc>
      </w:tr>
      <w:tr w:rsidR="005C6B74" w:rsidRPr="00772105" w14:paraId="18415AB5" w14:textId="77777777" w:rsidTr="00E479D0">
        <w:tc>
          <w:tcPr>
            <w:tcW w:w="1364" w:type="pct"/>
            <w:shd w:val="clear" w:color="auto" w:fill="auto"/>
          </w:tcPr>
          <w:p w14:paraId="21956A7F" w14:textId="77777777" w:rsidR="005C6B74" w:rsidRPr="00366915" w:rsidRDefault="005C6B74" w:rsidP="001F2BB8">
            <w:pPr>
              <w:spacing w:before="40" w:after="40" w:line="240" w:lineRule="auto"/>
              <w:rPr>
                <w:rFonts w:ascii="Arial Narrow" w:hAnsi="Arial Narrow"/>
                <w:sz w:val="20"/>
                <w:szCs w:val="20"/>
              </w:rPr>
            </w:pPr>
            <w:r>
              <w:rPr>
                <w:rFonts w:ascii="Arial Narrow" w:hAnsi="Arial Narrow"/>
                <w:sz w:val="20"/>
                <w:szCs w:val="20"/>
              </w:rPr>
              <w:t>Hypertension</w:t>
            </w:r>
          </w:p>
        </w:tc>
        <w:tc>
          <w:tcPr>
            <w:tcW w:w="836" w:type="pct"/>
          </w:tcPr>
          <w:p w14:paraId="7C2353F0" w14:textId="77777777" w:rsidR="005C6B74" w:rsidRPr="00584B4C" w:rsidRDefault="005C6B74" w:rsidP="001F2BB8">
            <w:pPr>
              <w:tabs>
                <w:tab w:val="left" w:pos="885"/>
              </w:tabs>
              <w:spacing w:before="40" w:after="40" w:line="240" w:lineRule="auto"/>
              <w:rPr>
                <w:rFonts w:ascii="Arial Narrow" w:hAnsi="Arial Narrow"/>
                <w:sz w:val="20"/>
                <w:szCs w:val="20"/>
              </w:rPr>
            </w:pPr>
            <w:r w:rsidRPr="00A83797">
              <w:rPr>
                <w:rFonts w:ascii="Arial Narrow" w:hAnsi="Arial Narrow"/>
                <w:sz w:val="20"/>
                <w:szCs w:val="20"/>
              </w:rPr>
              <w:t>&gt; 30</w:t>
            </w:r>
          </w:p>
        </w:tc>
        <w:tc>
          <w:tcPr>
            <w:tcW w:w="834" w:type="pct"/>
            <w:tcBorders>
              <w:right w:val="single" w:sz="4" w:space="0" w:color="E7E6E6" w:themeColor="background2"/>
            </w:tcBorders>
          </w:tcPr>
          <w:p w14:paraId="72581B2A"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983" w:type="pct"/>
            <w:tcBorders>
              <w:left w:val="single" w:sz="4" w:space="0" w:color="E7E6E6" w:themeColor="background2"/>
              <w:right w:val="single" w:sz="4" w:space="0" w:color="E7E6E6" w:themeColor="background2"/>
            </w:tcBorders>
          </w:tcPr>
          <w:p w14:paraId="39171990"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983" w:type="pct"/>
            <w:tcBorders>
              <w:left w:val="single" w:sz="4" w:space="0" w:color="E7E6E6" w:themeColor="background2"/>
            </w:tcBorders>
          </w:tcPr>
          <w:p w14:paraId="463C742A" w14:textId="77777777" w:rsidR="005C6B74" w:rsidRPr="00584B4C"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5C6B74" w:rsidRPr="00772105" w14:paraId="77A0DFFB" w14:textId="77777777" w:rsidTr="00E479D0">
        <w:tc>
          <w:tcPr>
            <w:tcW w:w="1364" w:type="pct"/>
            <w:shd w:val="clear" w:color="auto" w:fill="auto"/>
          </w:tcPr>
          <w:p w14:paraId="1E41975D" w14:textId="77777777" w:rsidR="005C6B74" w:rsidRPr="00366915" w:rsidRDefault="005C6B74" w:rsidP="001F2BB8">
            <w:pPr>
              <w:spacing w:before="40" w:after="40" w:line="240" w:lineRule="auto"/>
              <w:rPr>
                <w:rFonts w:ascii="Arial Narrow" w:hAnsi="Arial Narrow"/>
                <w:sz w:val="20"/>
                <w:szCs w:val="20"/>
              </w:rPr>
            </w:pPr>
            <w:r>
              <w:rPr>
                <w:rFonts w:ascii="Arial Narrow" w:hAnsi="Arial Narrow"/>
                <w:sz w:val="20"/>
                <w:szCs w:val="20"/>
              </w:rPr>
              <w:t>Diabetes type II , hyperglycaemia</w:t>
            </w:r>
          </w:p>
        </w:tc>
        <w:tc>
          <w:tcPr>
            <w:tcW w:w="836" w:type="pct"/>
          </w:tcPr>
          <w:p w14:paraId="55589ACF" w14:textId="77777777" w:rsidR="005C6B74" w:rsidRPr="005166BE" w:rsidRDefault="003C5A92" w:rsidP="003C5A92">
            <w:pPr>
              <w:tabs>
                <w:tab w:val="left" w:pos="885"/>
              </w:tabs>
              <w:spacing w:before="40" w:after="40" w:line="240" w:lineRule="auto"/>
              <w:rPr>
                <w:rFonts w:ascii="Arial Narrow" w:hAnsi="Arial Narrow"/>
                <w:sz w:val="20"/>
                <w:szCs w:val="20"/>
                <w:vertAlign w:val="superscript"/>
              </w:rPr>
            </w:pPr>
            <w:r>
              <w:rPr>
                <w:rFonts w:ascii="Arial Narrow" w:hAnsi="Arial Narrow"/>
                <w:sz w:val="20"/>
                <w:szCs w:val="20"/>
              </w:rPr>
              <w:t>8.3</w:t>
            </w:r>
            <w:r w:rsidR="005C6B74">
              <w:rPr>
                <w:rFonts w:ascii="Arial Narrow" w:hAnsi="Arial Narrow"/>
                <w:sz w:val="20"/>
                <w:szCs w:val="20"/>
                <w:vertAlign w:val="superscript"/>
              </w:rPr>
              <w:t>b</w:t>
            </w:r>
          </w:p>
        </w:tc>
        <w:tc>
          <w:tcPr>
            <w:tcW w:w="834" w:type="pct"/>
            <w:tcBorders>
              <w:right w:val="single" w:sz="4" w:space="0" w:color="E7E6E6" w:themeColor="background2"/>
            </w:tcBorders>
          </w:tcPr>
          <w:p w14:paraId="4337D0BD" w14:textId="77777777" w:rsidR="005C6B74" w:rsidRPr="00584B4C"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340</w:t>
            </w:r>
          </w:p>
        </w:tc>
        <w:tc>
          <w:tcPr>
            <w:tcW w:w="983" w:type="pct"/>
            <w:tcBorders>
              <w:left w:val="single" w:sz="4" w:space="0" w:color="E7E6E6" w:themeColor="background2"/>
              <w:right w:val="single" w:sz="4" w:space="0" w:color="E7E6E6" w:themeColor="background2"/>
            </w:tcBorders>
          </w:tcPr>
          <w:p w14:paraId="4F4FBED2" w14:textId="77777777" w:rsidR="005C6B74" w:rsidRPr="00584B4C" w:rsidRDefault="005C6B74" w:rsidP="009249D5">
            <w:pPr>
              <w:tabs>
                <w:tab w:val="left" w:pos="885"/>
              </w:tabs>
              <w:spacing w:before="40" w:after="40" w:line="240" w:lineRule="auto"/>
              <w:rPr>
                <w:rFonts w:ascii="Arial Narrow" w:hAnsi="Arial Narrow"/>
                <w:sz w:val="20"/>
                <w:szCs w:val="20"/>
              </w:rPr>
            </w:pPr>
            <w:r>
              <w:rPr>
                <w:rFonts w:ascii="Arial Narrow" w:hAnsi="Arial Narrow"/>
                <w:sz w:val="20"/>
                <w:szCs w:val="20"/>
              </w:rPr>
              <w:t>14.2 (12.7, 15.7)</w:t>
            </w:r>
          </w:p>
        </w:tc>
        <w:tc>
          <w:tcPr>
            <w:tcW w:w="983" w:type="pct"/>
            <w:tcBorders>
              <w:left w:val="single" w:sz="4" w:space="0" w:color="E7E6E6" w:themeColor="background2"/>
            </w:tcBorders>
          </w:tcPr>
          <w:p w14:paraId="4158682A" w14:textId="77777777" w:rsidR="005C6B74" w:rsidRDefault="005C6B74" w:rsidP="005C6B74">
            <w:pPr>
              <w:tabs>
                <w:tab w:val="left" w:pos="885"/>
              </w:tabs>
              <w:spacing w:before="40" w:after="40" w:line="240" w:lineRule="auto"/>
              <w:rPr>
                <w:rFonts w:ascii="Arial Narrow" w:hAnsi="Arial Narrow"/>
                <w:sz w:val="20"/>
                <w:szCs w:val="20"/>
              </w:rPr>
            </w:pPr>
            <w:r>
              <w:rPr>
                <w:rFonts w:ascii="Arial Narrow" w:hAnsi="Arial Narrow"/>
                <w:sz w:val="20"/>
                <w:szCs w:val="20"/>
              </w:rPr>
              <w:t>1.4 (1.2,</w:t>
            </w:r>
            <w:r w:rsidR="00800520">
              <w:rPr>
                <w:rFonts w:ascii="Arial Narrow" w:hAnsi="Arial Narrow"/>
                <w:sz w:val="20"/>
                <w:szCs w:val="20"/>
              </w:rPr>
              <w:t xml:space="preserve"> </w:t>
            </w:r>
            <w:r>
              <w:rPr>
                <w:rFonts w:ascii="Arial Narrow" w:hAnsi="Arial Narrow"/>
                <w:sz w:val="20"/>
                <w:szCs w:val="20"/>
              </w:rPr>
              <w:t>1.7)</w:t>
            </w:r>
          </w:p>
        </w:tc>
      </w:tr>
      <w:tr w:rsidR="005C6B74" w:rsidRPr="00772105" w14:paraId="1BE94C4E" w14:textId="77777777" w:rsidTr="00E479D0">
        <w:tc>
          <w:tcPr>
            <w:tcW w:w="1364" w:type="pct"/>
            <w:shd w:val="clear" w:color="auto" w:fill="auto"/>
          </w:tcPr>
          <w:p w14:paraId="71BDA062" w14:textId="77777777" w:rsidR="005C6B74" w:rsidRDefault="005C6B74" w:rsidP="00A83797">
            <w:pPr>
              <w:spacing w:before="40" w:after="40" w:line="240" w:lineRule="auto"/>
              <w:rPr>
                <w:rFonts w:ascii="Arial Narrow" w:hAnsi="Arial Narrow"/>
                <w:sz w:val="20"/>
                <w:szCs w:val="20"/>
              </w:rPr>
            </w:pPr>
            <w:r>
              <w:rPr>
                <w:rFonts w:ascii="Arial Narrow" w:hAnsi="Arial Narrow"/>
                <w:sz w:val="20"/>
                <w:szCs w:val="20"/>
              </w:rPr>
              <w:t>Serious infection</w:t>
            </w:r>
          </w:p>
        </w:tc>
        <w:tc>
          <w:tcPr>
            <w:tcW w:w="836" w:type="pct"/>
          </w:tcPr>
          <w:p w14:paraId="12BEC7B7" w14:textId="77777777" w:rsidR="005C6B74" w:rsidRPr="00A83797" w:rsidRDefault="00E479D0" w:rsidP="001F2BB8">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34" w:type="pct"/>
            <w:tcBorders>
              <w:right w:val="single" w:sz="4" w:space="0" w:color="E7E6E6" w:themeColor="background2"/>
            </w:tcBorders>
          </w:tcPr>
          <w:p w14:paraId="3C00718D" w14:textId="77777777" w:rsidR="005C6B74"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476</w:t>
            </w:r>
          </w:p>
        </w:tc>
        <w:tc>
          <w:tcPr>
            <w:tcW w:w="983" w:type="pct"/>
            <w:tcBorders>
              <w:left w:val="single" w:sz="4" w:space="0" w:color="E7E6E6" w:themeColor="background2"/>
              <w:right w:val="single" w:sz="4" w:space="0" w:color="E7E6E6" w:themeColor="background2"/>
            </w:tcBorders>
          </w:tcPr>
          <w:p w14:paraId="7810FF4B" w14:textId="77777777" w:rsidR="005C6B74" w:rsidRPr="00584B4C"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37.9 (34.7, 41.4)</w:t>
            </w:r>
          </w:p>
        </w:tc>
        <w:tc>
          <w:tcPr>
            <w:tcW w:w="983" w:type="pct"/>
            <w:tcBorders>
              <w:left w:val="single" w:sz="4" w:space="0" w:color="E7E6E6" w:themeColor="background2"/>
            </w:tcBorders>
          </w:tcPr>
          <w:p w14:paraId="3F1ECE9E" w14:textId="77777777" w:rsidR="005C6B74" w:rsidRDefault="005C6B74" w:rsidP="001F2BB8">
            <w:pPr>
              <w:tabs>
                <w:tab w:val="left" w:pos="885"/>
              </w:tabs>
              <w:spacing w:before="40" w:after="40" w:line="240" w:lineRule="auto"/>
              <w:rPr>
                <w:rFonts w:ascii="Arial Narrow" w:hAnsi="Arial Narrow"/>
                <w:sz w:val="20"/>
                <w:szCs w:val="20"/>
              </w:rPr>
            </w:pPr>
            <w:r>
              <w:rPr>
                <w:rFonts w:ascii="Arial Narrow" w:hAnsi="Arial Narrow"/>
                <w:sz w:val="20"/>
                <w:szCs w:val="20"/>
              </w:rPr>
              <w:t>1.5 (1.3, 1.7)</w:t>
            </w:r>
          </w:p>
        </w:tc>
      </w:tr>
      <w:tr w:rsidR="005C6B74" w:rsidRPr="00772105" w14:paraId="424DC406" w14:textId="77777777" w:rsidTr="00E479D0">
        <w:tc>
          <w:tcPr>
            <w:tcW w:w="1364" w:type="pct"/>
            <w:shd w:val="clear" w:color="auto" w:fill="auto"/>
          </w:tcPr>
          <w:p w14:paraId="60211C0F" w14:textId="77777777" w:rsidR="005C6B74" w:rsidRDefault="005C6B74" w:rsidP="00366915">
            <w:pPr>
              <w:spacing w:before="40" w:after="40" w:line="240" w:lineRule="auto"/>
              <w:rPr>
                <w:rFonts w:ascii="Arial Narrow" w:hAnsi="Arial Narrow"/>
                <w:sz w:val="20"/>
                <w:szCs w:val="20"/>
              </w:rPr>
            </w:pPr>
            <w:r>
              <w:rPr>
                <w:rFonts w:ascii="Arial Narrow" w:hAnsi="Arial Narrow"/>
                <w:sz w:val="20"/>
                <w:szCs w:val="20"/>
              </w:rPr>
              <w:t>Mortality</w:t>
            </w:r>
          </w:p>
        </w:tc>
        <w:tc>
          <w:tcPr>
            <w:tcW w:w="836" w:type="pct"/>
          </w:tcPr>
          <w:p w14:paraId="713E4F7A" w14:textId="77777777" w:rsidR="005C6B74" w:rsidRDefault="00E479D0" w:rsidP="00366915">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34" w:type="pct"/>
            <w:tcBorders>
              <w:right w:val="single" w:sz="4" w:space="0" w:color="E7E6E6" w:themeColor="background2"/>
            </w:tcBorders>
          </w:tcPr>
          <w:p w14:paraId="7E7BE7F6" w14:textId="77777777" w:rsidR="005C6B74" w:rsidRPr="00584B4C" w:rsidRDefault="005C6B74" w:rsidP="00366915">
            <w:pPr>
              <w:tabs>
                <w:tab w:val="left" w:pos="885"/>
              </w:tabs>
              <w:spacing w:before="40" w:after="40" w:line="240" w:lineRule="auto"/>
              <w:rPr>
                <w:rFonts w:ascii="Arial Narrow" w:hAnsi="Arial Narrow"/>
                <w:sz w:val="20"/>
                <w:szCs w:val="20"/>
              </w:rPr>
            </w:pPr>
            <w:r>
              <w:rPr>
                <w:rFonts w:ascii="Arial Narrow" w:hAnsi="Arial Narrow"/>
                <w:sz w:val="20"/>
                <w:szCs w:val="20"/>
              </w:rPr>
              <w:t>653</w:t>
            </w:r>
          </w:p>
        </w:tc>
        <w:tc>
          <w:tcPr>
            <w:tcW w:w="983" w:type="pct"/>
            <w:tcBorders>
              <w:left w:val="single" w:sz="4" w:space="0" w:color="E7E6E6" w:themeColor="background2"/>
              <w:right w:val="single" w:sz="4" w:space="0" w:color="E7E6E6" w:themeColor="background2"/>
            </w:tcBorders>
          </w:tcPr>
          <w:p w14:paraId="727ED741" w14:textId="77777777" w:rsidR="005C6B74" w:rsidRPr="00584B4C" w:rsidRDefault="005C6B74" w:rsidP="00366915">
            <w:pPr>
              <w:tabs>
                <w:tab w:val="left" w:pos="885"/>
              </w:tabs>
              <w:spacing w:before="40" w:after="40" w:line="240" w:lineRule="auto"/>
              <w:rPr>
                <w:rFonts w:ascii="Arial Narrow" w:hAnsi="Arial Narrow"/>
                <w:sz w:val="20"/>
                <w:szCs w:val="20"/>
              </w:rPr>
            </w:pPr>
            <w:r>
              <w:rPr>
                <w:rFonts w:ascii="Arial Narrow" w:hAnsi="Arial Narrow"/>
                <w:sz w:val="20"/>
                <w:szCs w:val="20"/>
              </w:rPr>
              <w:t>23.4 (21.7, 25.2)</w:t>
            </w:r>
          </w:p>
        </w:tc>
        <w:tc>
          <w:tcPr>
            <w:tcW w:w="983" w:type="pct"/>
            <w:tcBorders>
              <w:left w:val="single" w:sz="4" w:space="0" w:color="E7E6E6" w:themeColor="background2"/>
            </w:tcBorders>
          </w:tcPr>
          <w:p w14:paraId="0714C171" w14:textId="77777777" w:rsidR="005C6B74" w:rsidRDefault="005C6B74" w:rsidP="00366915">
            <w:pPr>
              <w:tabs>
                <w:tab w:val="left" w:pos="885"/>
              </w:tabs>
              <w:spacing w:before="40" w:after="40" w:line="240" w:lineRule="auto"/>
              <w:rPr>
                <w:rFonts w:ascii="Arial Narrow" w:hAnsi="Arial Narrow"/>
                <w:sz w:val="20"/>
                <w:szCs w:val="20"/>
              </w:rPr>
            </w:pPr>
            <w:r>
              <w:rPr>
                <w:rFonts w:ascii="Arial Narrow" w:hAnsi="Arial Narrow"/>
                <w:sz w:val="20"/>
                <w:szCs w:val="20"/>
              </w:rPr>
              <w:t>1.2 (1.0, 1.3)</w:t>
            </w:r>
          </w:p>
        </w:tc>
      </w:tr>
    </w:tbl>
    <w:p w14:paraId="3C65E7F5" w14:textId="77777777" w:rsidR="001F32A1" w:rsidRDefault="001F32A1" w:rsidP="001F32A1">
      <w:pPr>
        <w:pStyle w:val="Tablenote"/>
      </w:pPr>
      <w:r w:rsidRPr="001F32A1">
        <w:t>Abbreviations: AE = adverse event; CI = confidence interval; GI = gastro intestinal; GC = glucocorticoids; GCA = giant cell arteritis; IRR = incidence rate ratio; SLE = systemic lupus erythematosus</w:t>
      </w:r>
    </w:p>
    <w:p w14:paraId="2C806A50" w14:textId="435B0F02" w:rsidR="009249D5" w:rsidRDefault="005166BE" w:rsidP="005166BE">
      <w:pPr>
        <w:pStyle w:val="Tablenote"/>
      </w:pPr>
      <w:r>
        <w:rPr>
          <w:vertAlign w:val="superscript"/>
        </w:rPr>
        <w:t>b</w:t>
      </w:r>
      <w:r w:rsidR="004E535F">
        <w:t xml:space="preserve"> </w:t>
      </w:r>
      <w:r>
        <w:t xml:space="preserve">Prevalence was compared between cases receiving GC and a cases not exposed to GC. </w:t>
      </w:r>
      <w:r w:rsidR="008305F2">
        <w:t xml:space="preserve">The result </w:t>
      </w:r>
      <w:r w:rsidR="00154241">
        <w:t xml:space="preserve">reported by Rice et al (2017) </w:t>
      </w:r>
      <w:r w:rsidR="008305F2">
        <w:t xml:space="preserve">came from one study, which </w:t>
      </w:r>
      <w:r w:rsidR="006D3B76">
        <w:t xml:space="preserve">also reported </w:t>
      </w:r>
      <w:r w:rsidR="00781BF2">
        <w:t>a prevalence of 8.3% , and a</w:t>
      </w:r>
      <w:r w:rsidR="006D3B76">
        <w:t xml:space="preserve"> risk ratio </w:t>
      </w:r>
      <w:r w:rsidR="00781BF2">
        <w:t>for</w:t>
      </w:r>
      <w:r w:rsidR="006D3B76">
        <w:t xml:space="preserve"> </w:t>
      </w:r>
      <w:r w:rsidR="00C934B9">
        <w:t>diabetes</w:t>
      </w:r>
      <w:r w:rsidR="006D3B76">
        <w:t xml:space="preserve"> type II </w:t>
      </w:r>
      <w:r w:rsidR="00781BF2">
        <w:t>of</w:t>
      </w:r>
      <w:r w:rsidR="006D3B76">
        <w:t xml:space="preserve"> 1 </w:t>
      </w:r>
      <w:r w:rsidR="00781BF2">
        <w:t>-</w:t>
      </w:r>
      <w:r w:rsidR="006D3B76">
        <w:t xml:space="preserve"> 2 </w:t>
      </w:r>
      <w:r w:rsidR="00B727D6">
        <w:fldChar w:fldCharType="begin"/>
      </w:r>
      <w:r w:rsidR="00B727D6">
        <w:instrText xml:space="preserve"> ADDIN EN.CITE &lt;EndNote&gt;&lt;Cite&gt;&lt;Author&gt;Sarnes&lt;/Author&gt;&lt;Year&gt;2011&lt;/Year&gt;&lt;RecNum&gt;17&lt;/RecNum&gt;&lt;DisplayText&gt;(Sarnes et al. 2011)&lt;/DisplayText&gt;&lt;record&gt;&lt;rec-number&gt;17&lt;/rec-number&gt;&lt;foreign-keys&gt;&lt;key app="EN" db-id="p29e2t021fx2sker0f4p99xad5t02xpedpxr" timestamp="1606867766"&gt;17&lt;/key&gt;&lt;/foreign-keys&gt;&lt;ref-type name="Journal Article"&gt;17&lt;/ref-type&gt;&lt;contributors&gt;&lt;authors&gt;&lt;author&gt;Sarnes, Evelyn&lt;/author&gt;&lt;author&gt;Crofford, Leslie&lt;/author&gt;&lt;author&gt;Watson, Maria&lt;/author&gt;&lt;author&gt;Dennis, Greg&lt;/author&gt;&lt;author&gt;Kan, Hong&lt;/author&gt;&lt;author&gt;Bass, Damon&lt;/author&gt;&lt;/authors&gt;&lt;/contributors&gt;&lt;titles&gt;&lt;title&gt;Incidence and US Costs of Corticosteroid-Associated Adverse Events: A Systematic Literature Review&lt;/title&gt;&lt;secondary-title&gt;Clinical Therapeutics&lt;/secondary-title&gt;&lt;/titles&gt;&lt;periodical&gt;&lt;full-title&gt;Clinical Therapeutics&lt;/full-title&gt;&lt;/periodical&gt;&lt;pages&gt;1413-1432&lt;/pages&gt;&lt;volume&gt;33&lt;/volume&gt;&lt;number&gt;10&lt;/number&gt;&lt;keywords&gt;&lt;keyword&gt;adverse events&lt;/keyword&gt;&lt;keyword&gt;corticosteroids&lt;/keyword&gt;&lt;keyword&gt;cost analysis&lt;/keyword&gt;&lt;keyword&gt;long-term treatment&lt;/keyword&gt;&lt;/keywords&gt;&lt;dates&gt;&lt;year&gt;2011&lt;/year&gt;&lt;pub-dates&gt;&lt;date&gt;2011/10/01/&lt;/date&gt;&lt;/pub-dates&gt;&lt;/dates&gt;&lt;isbn&gt;0149-2918&lt;/isbn&gt;&lt;urls&gt;&lt;related-urls&gt;&lt;url&gt;http://www.sciencedirect.com/science/article/pii/S0149291811006175&lt;/url&gt;&lt;/related-urls&gt;&lt;/urls&gt;&lt;electronic-resource-num&gt;https://doi.org/10.1016/j.clinthera.2011.09.009&lt;/electronic-resource-num&gt;&lt;/record&gt;&lt;/Cite&gt;&lt;/EndNote&gt;</w:instrText>
      </w:r>
      <w:r w:rsidR="00B727D6">
        <w:fldChar w:fldCharType="separate"/>
      </w:r>
      <w:r w:rsidR="00B727D6">
        <w:rPr>
          <w:noProof/>
        </w:rPr>
        <w:t>(</w:t>
      </w:r>
      <w:hyperlink w:anchor="_ENREF_64" w:tooltip="Sarnes, 2011 #17" w:history="1">
        <w:r w:rsidR="00D726F6">
          <w:rPr>
            <w:noProof/>
          </w:rPr>
          <w:t>Sarnes et al. 2011</w:t>
        </w:r>
      </w:hyperlink>
      <w:r w:rsidR="00B727D6">
        <w:rPr>
          <w:noProof/>
        </w:rPr>
        <w:t>)</w:t>
      </w:r>
      <w:r w:rsidR="00B727D6">
        <w:fldChar w:fldCharType="end"/>
      </w:r>
      <w:r w:rsidR="006D3B76">
        <w:t>.</w:t>
      </w:r>
      <w:r w:rsidR="002D1230">
        <w:t xml:space="preserve"> A second study </w:t>
      </w:r>
      <w:r w:rsidR="00C934B9">
        <w:t>included</w:t>
      </w:r>
      <w:r w:rsidR="002D1230">
        <w:t xml:space="preserve"> in Rice et al</w:t>
      </w:r>
      <w:r w:rsidR="00C934B9">
        <w:t xml:space="preserve"> (2017)</w:t>
      </w:r>
      <w:r w:rsidR="002D1230">
        <w:t>, found that amongst 989</w:t>
      </w:r>
      <w:r w:rsidR="00C934B9">
        <w:t xml:space="preserve"> patient with SLE using GC, there was a 1.5 times the risk of diabetes type II than controls </w:t>
      </w:r>
      <w:r w:rsidR="00B727D6">
        <w:fldChar w:fldCharType="begin"/>
      </w:r>
      <w:r w:rsidR="00B727D6">
        <w:instrText xml:space="preserve"> ADDIN EN.CITE &lt;EndNote&gt;&lt;Cite&gt;&lt;Author&gt;Shah&lt;/Author&gt;&lt;Year&gt;2013&lt;/Year&gt;&lt;RecNum&gt;18&lt;/RecNum&gt;&lt;DisplayText&gt;(Shah et al. 2013)&lt;/DisplayText&gt;&lt;record&gt;&lt;rec-number&gt;18&lt;/rec-number&gt;&lt;foreign-keys&gt;&lt;key app="EN" db-id="p29e2t021fx2sker0f4p99xad5t02xpedpxr" timestamp="1606868091"&gt;18&lt;/key&gt;&lt;/foreign-keys&gt;&lt;ref-type name="Journal Article"&gt;17&lt;/ref-type&gt;&lt;contributors&gt;&lt;authors&gt;&lt;author&gt;Shah, Manan&lt;/author&gt;&lt;author&gt;Chaudhari, Sham&lt;/author&gt;&lt;author&gt;McLaughlin, Trent P.&lt;/author&gt;&lt;author&gt;Kan, Hong J.&lt;/author&gt;&lt;author&gt;Bechtel, Benno&lt;/author&gt;&lt;author&gt;Dennis, Gregory J.&lt;/author&gt;&lt;author&gt;Molta, Charles T.&lt;/author&gt;&lt;/authors&gt;&lt;/contributors&gt;&lt;titles&gt;&lt;title&gt;Cumulative Burden of Oral Corticosteroid Adverse Effects and the Economic Implications of Corticosteroid Use in Patients With Systemic Lupus Erythematosus&lt;/title&gt;&lt;secondary-title&gt;Clinical Therapeutics&lt;/secondary-title&gt;&lt;/titles&gt;&lt;periodical&gt;&lt;full-title&gt;Clinical Therapeutics&lt;/full-title&gt;&lt;/periodical&gt;&lt;pages&gt;486-497&lt;/pages&gt;&lt;volume&gt;35&lt;/volume&gt;&lt;number&gt;4&lt;/number&gt;&lt;keywords&gt;&lt;keyword&gt;adverse events&lt;/keyword&gt;&lt;keyword&gt;corticosteroids&lt;/keyword&gt;&lt;keyword&gt;costs&lt;/keyword&gt;&lt;keyword&gt;systemic lupus erythematosus&lt;/keyword&gt;&lt;/keywords&gt;&lt;dates&gt;&lt;year&gt;2013&lt;/year&gt;&lt;pub-dates&gt;&lt;date&gt;2013/04/01/&lt;/date&gt;&lt;/pub-dates&gt;&lt;/dates&gt;&lt;isbn&gt;0149-2918&lt;/isbn&gt;&lt;urls&gt;&lt;related-urls&gt;&lt;url&gt;http://www.sciencedirect.com/science/article/pii/S0149291813001112&lt;/url&gt;&lt;/related-urls&gt;&lt;/urls&gt;&lt;electronic-resource-num&gt;https://doi.org/10.1016/j.clinthera.2013.03.001&lt;/electronic-resource-num&gt;&lt;/record&gt;&lt;/Cite&gt;&lt;/EndNote&gt;</w:instrText>
      </w:r>
      <w:r w:rsidR="00B727D6">
        <w:fldChar w:fldCharType="separate"/>
      </w:r>
      <w:r w:rsidR="00B727D6">
        <w:rPr>
          <w:noProof/>
        </w:rPr>
        <w:t>(</w:t>
      </w:r>
      <w:hyperlink w:anchor="_ENREF_65" w:tooltip="Shah, 2013 #18" w:history="1">
        <w:r w:rsidR="00D726F6">
          <w:rPr>
            <w:noProof/>
          </w:rPr>
          <w:t>Shah et al. 2013</w:t>
        </w:r>
      </w:hyperlink>
      <w:r w:rsidR="00B727D6">
        <w:rPr>
          <w:noProof/>
        </w:rPr>
        <w:t>)</w:t>
      </w:r>
      <w:r w:rsidR="00B727D6">
        <w:fldChar w:fldCharType="end"/>
      </w:r>
      <w:r w:rsidR="00C934B9">
        <w:t xml:space="preserve">. </w:t>
      </w:r>
    </w:p>
    <w:p w14:paraId="557B3D67" w14:textId="77777777" w:rsidR="0084782E" w:rsidRDefault="005C6B74" w:rsidP="005166BE">
      <w:pPr>
        <w:pStyle w:val="Tablenote"/>
      </w:pPr>
      <w:r>
        <w:rPr>
          <w:vertAlign w:val="superscript"/>
        </w:rPr>
        <w:t>c</w:t>
      </w:r>
      <w:r>
        <w:t xml:space="preserve"> Incidence rate ratio, when compared to a control group without GCA and not taking long-term GC.</w:t>
      </w:r>
    </w:p>
    <w:p w14:paraId="73EF770D" w14:textId="504588E7" w:rsidR="00CF1BF2" w:rsidRDefault="0084782E" w:rsidP="00192373">
      <w:pPr>
        <w:jc w:val="both"/>
      </w:pPr>
      <w:r>
        <w:t xml:space="preserve">AEs identified in the large </w:t>
      </w:r>
      <w:r w:rsidR="000C6A02">
        <w:t>R</w:t>
      </w:r>
      <w:r>
        <w:t>A database</w:t>
      </w:r>
      <w:r w:rsidR="0064531E">
        <w:t xml:space="preserve"> </w:t>
      </w:r>
      <w:r w:rsidR="00B727D6">
        <w:fldChar w:fldCharType="begin"/>
      </w:r>
      <w:r w:rsidR="00B727D6">
        <w:instrText xml:space="preserve"> ADDIN EN.CITE &lt;EndNote&gt;&lt;Cite&gt;&lt;Author&gt;Huscher&lt;/Author&gt;&lt;Year&gt;2009&lt;/Year&gt;&lt;RecNum&gt;12&lt;/RecNum&gt;&lt;DisplayText&gt;(Huscher et al. 2009)&lt;/DisplayText&gt;&lt;record&gt;&lt;rec-number&gt;12&lt;/rec-number&gt;&lt;foreign-keys&gt;&lt;key app="EN" db-id="p29e2t021fx2sker0f4p99xad5t02xpedpxr" timestamp="1605656036"&gt;12&lt;/key&gt;&lt;/foreign-keys&gt;&lt;ref-type name="Journal Article"&gt;17&lt;/ref-type&gt;&lt;contributors&gt;&lt;authors&gt;&lt;author&gt;Huscher, D.&lt;/author&gt;&lt;author&gt;Thiele, K.&lt;/author&gt;&lt;author&gt;Gromnica-Ihle, E.&lt;/author&gt;&lt;author&gt;Hein, G.&lt;/author&gt;&lt;author&gt;Demary, W.&lt;/author&gt;&lt;author&gt;Dreher, R.&lt;/author&gt;&lt;author&gt;Zink, A.&lt;/author&gt;&lt;author&gt;Buttgereit, F.&lt;/author&gt;&lt;/authors&gt;&lt;/contributors&gt;&lt;auth-address&gt;German Rheumatism Research Centre Berlin, Epidemiology Unit, Berlin, Germany. huscher@drfz.de&lt;/auth-address&gt;&lt;titles&gt;&lt;title&gt;Dose-related patterns of glucocorticoid-induced side effects&lt;/title&gt;&lt;secondary-title&gt;Ann Rheum Dis&lt;/secondary-title&gt;&lt;/titles&gt;&lt;periodical&gt;&lt;full-title&gt;Ann Rheum Dis&lt;/full-title&gt;&lt;/periodical&gt;&lt;pages&gt;1119-24&lt;/pages&gt;&lt;volume&gt;68&lt;/volume&gt;&lt;number&gt;7&lt;/number&gt;&lt;edition&gt;2008/08/08&lt;/edition&gt;&lt;keywords&gt;&lt;keyword&gt;Arthritis, Rheumatoid/ drug therapy&lt;/keyword&gt;&lt;keyword&gt;Data Collection&lt;/keyword&gt;&lt;keyword&gt;Dose-Response Relationship, Drug&lt;/keyword&gt;&lt;keyword&gt;Female&lt;/keyword&gt;&lt;keyword&gt;Glucocorticoids/administration &amp;amp; dosage/ adverse effects&lt;/keyword&gt;&lt;keyword&gt;Humans&lt;/keyword&gt;&lt;keyword&gt;Male&lt;/keyword&gt;&lt;keyword&gt;Middle Aged&lt;/keyword&gt;&lt;keyword&gt;Risk Factors&lt;/keyword&gt;&lt;keyword&gt;Time Factors&lt;/keyword&gt;&lt;/keywords&gt;&lt;dates&gt;&lt;year&gt;2009&lt;/year&gt;&lt;pub-dates&gt;&lt;date&gt;Jul&lt;/date&gt;&lt;/pub-dates&gt;&lt;/dates&gt;&lt;isbn&gt;1468-2060 (Electronic)&amp;#xD;0003-4967 (Linking)&lt;/isbn&gt;&lt;accession-num&gt;18684744&lt;/accession-num&gt;&lt;urls&gt;&lt;related-urls&gt;&lt;url&gt;https://ard.bmj.com/content/annrheumdis/68/7/1119.full.pdf&lt;/url&gt;&lt;/related-urls&gt;&lt;/urls&gt;&lt;electronic-resource-num&gt;10.1136/ard.2008.092163&lt;/electronic-resource-num&gt;&lt;remote-database-provider&gt;NLM&lt;/remote-database-provider&gt;&lt;language&gt;eng&lt;/language&gt;&lt;/record&gt;&lt;/Cite&gt;&lt;/EndNote&gt;</w:instrText>
      </w:r>
      <w:r w:rsidR="00B727D6">
        <w:fldChar w:fldCharType="separate"/>
      </w:r>
      <w:r w:rsidR="00B727D6">
        <w:rPr>
          <w:noProof/>
        </w:rPr>
        <w:t>(</w:t>
      </w:r>
      <w:hyperlink w:anchor="_ENREF_29" w:tooltip="Huscher, 2009 #12" w:history="1">
        <w:r w:rsidR="00D726F6">
          <w:rPr>
            <w:noProof/>
          </w:rPr>
          <w:t>Huscher et al. 2009</w:t>
        </w:r>
      </w:hyperlink>
      <w:r w:rsidR="00B727D6">
        <w:rPr>
          <w:noProof/>
        </w:rPr>
        <w:t>)</w:t>
      </w:r>
      <w:r w:rsidR="00B727D6">
        <w:fldChar w:fldCharType="end"/>
      </w:r>
      <w:r>
        <w:t xml:space="preserve"> </w:t>
      </w:r>
      <w:r w:rsidR="00C878C6">
        <w:t xml:space="preserve">were largely different to those </w:t>
      </w:r>
      <w:r w:rsidR="0064531E">
        <w:t xml:space="preserve">reported </w:t>
      </w:r>
      <w:r w:rsidR="00E64A7A">
        <w:t xml:space="preserve">by Rice et al </w:t>
      </w:r>
      <w:r w:rsidR="0064531E">
        <w:t>and Wilson et al. Huscher et al conducted a dose comparison to determine the impact of GC dose on the rate of AE</w:t>
      </w:r>
      <w:r w:rsidR="00800520">
        <w:t>s (</w:t>
      </w:r>
      <w:r w:rsidR="0064531E">
        <w:fldChar w:fldCharType="begin"/>
      </w:r>
      <w:r w:rsidR="0064531E">
        <w:instrText xml:space="preserve"> REF _Ref57037531 \h </w:instrText>
      </w:r>
      <w:r w:rsidR="00192373">
        <w:instrText xml:space="preserve"> \* MERGEFORMAT </w:instrText>
      </w:r>
      <w:r w:rsidR="0064531E">
        <w:fldChar w:fldCharType="separate"/>
      </w:r>
      <w:r w:rsidR="004B3EA2">
        <w:t xml:space="preserve">Table </w:t>
      </w:r>
      <w:r w:rsidR="004B3EA2">
        <w:rPr>
          <w:noProof/>
        </w:rPr>
        <w:t>21</w:t>
      </w:r>
      <w:r w:rsidR="0064531E">
        <w:fldChar w:fldCharType="end"/>
      </w:r>
      <w:r w:rsidR="00800520">
        <w:t>)</w:t>
      </w:r>
      <w:r w:rsidR="0064531E">
        <w:t>. The AE ra</w:t>
      </w:r>
      <w:r w:rsidR="00800520">
        <w:t>tes that increased in a linear pattern</w:t>
      </w:r>
      <w:r w:rsidR="0064531E">
        <w:t xml:space="preserve"> with increase in GC dose were Cushingoid phenotype, </w:t>
      </w:r>
      <w:r w:rsidR="007B74C1">
        <w:t>ecchymosis</w:t>
      </w:r>
      <w:r w:rsidR="0064531E">
        <w:t xml:space="preserve">, leg </w:t>
      </w:r>
      <w:r w:rsidR="007B74C1">
        <w:t>oedema</w:t>
      </w:r>
      <w:r w:rsidR="0064531E">
        <w:t>, mycosis, parchment-like skin, shortness of breath and sleep disturbance.</w:t>
      </w:r>
      <w:r w:rsidR="007B74C1">
        <w:t xml:space="preserve"> Sleep disturbance was the most frequent AE, occurring at a frequency of 33.3% in the &lt; 5mg/day dosage group and increasing to 44% in the &gt; 7.5mg/day dosage group. A threshold effect was seen with other AEs. In these cases, the AE occurred at a consistent increased rate over the threshold dosage. Cataracts occurred at rates between 7.7% and 10.1% </w:t>
      </w:r>
      <w:r w:rsidR="00D829C4">
        <w:t>at doses over</w:t>
      </w:r>
      <w:r w:rsidR="007B74C1">
        <w:t xml:space="preserve"> a low threshold of less than 5 mg/day. Epistaxis and weight gain occurred more frequently with GC doses over 5 mg/day. Depression, glaucoma and increased blood pressure had an increased incidence with doses over 7.5 mg/day. </w:t>
      </w:r>
      <w:r w:rsidR="00800520">
        <w:t xml:space="preserve">The overall incidence of increased blood pressure in patients </w:t>
      </w:r>
      <w:r w:rsidR="000C6A02">
        <w:t>with RA</w:t>
      </w:r>
      <w:r w:rsidR="00800520">
        <w:t xml:space="preserve"> was 18.2%, which is lower than that reported in the</w:t>
      </w:r>
      <w:r w:rsidR="000C6A02">
        <w:t xml:space="preserve"> </w:t>
      </w:r>
      <w:r w:rsidR="00800520">
        <w:t>SR of patients taking GC (&gt; 30% prevalence)</w:t>
      </w:r>
      <w:r w:rsidR="00944F94">
        <w:t xml:space="preserve"> </w:t>
      </w:r>
      <w:r w:rsidR="00B727D6">
        <w:fldChar w:fldCharType="begin"/>
      </w:r>
      <w:r w:rsidR="00B727D6">
        <w:instrText xml:space="preserve"> ADDIN EN.CITE &lt;EndNote&gt;&lt;Cite&gt;&lt;Author&gt;Rice&lt;/Author&gt;&lt;Year&gt;2017&lt;/Year&gt;&lt;RecNum&gt;11&lt;/RecNum&gt;&lt;DisplayText&gt;(Rice et al. 2017)&lt;/DisplayText&gt;&lt;record&gt;&lt;rec-number&gt;11&lt;/rec-number&gt;&lt;foreign-keys&gt;&lt;key app="EN" db-id="p29e2t021fx2sker0f4p99xad5t02xpedpxr" timestamp="1605656000"&gt;11&lt;/key&gt;&lt;/foreign-keys&gt;&lt;ref-type name="Journal Article"&gt;17&lt;/ref-type&gt;&lt;contributors&gt;&lt;authors&gt;&lt;author&gt;Rice, J. B.&lt;/author&gt;&lt;author&gt;White, A. G.&lt;/author&gt;&lt;author&gt;Scarpati, L. M.&lt;/author&gt;&lt;author&gt;Wan, G.&lt;/author&gt;&lt;author&gt;Nelson, W. W.&lt;/author&gt;&lt;/authors&gt;&lt;/contributors&gt;&lt;auth-address&gt;Analysis Group, Inc, Boston, Massachusetts. Electronic address: Brad.Rice@analysisgroup.com.&amp;#xD;Analysis Group, Inc, Boston, Massachusetts.&amp;#xD;Mallinckrodt Pharmaceuticals, Hampton, New Jersey.&lt;/auth-address&gt;&lt;titles&gt;&lt;title&gt;Long-term Systemic Corticosteroid Exposure: A Systematic Literature Review&lt;/title&gt;&lt;secondary-title&gt;Clin Ther&lt;/secondary-title&gt;&lt;/titles&gt;&lt;periodical&gt;&lt;full-title&gt;Clin Ther&lt;/full-title&gt;&lt;/periodical&gt;&lt;pages&gt;2216-2229&lt;/pages&gt;&lt;volume&gt;39&lt;/volume&gt;&lt;number&gt;11&lt;/number&gt;&lt;keywords&gt;&lt;keyword&gt;Adrenal Cortex Hormones/*administration &amp;amp; dosage/adverse effects/therapeutic use&lt;/keyword&gt;&lt;keyword&gt;Asthma/drug therapy&lt;/keyword&gt;&lt;keyword&gt;Costs and Cost Analysis&lt;/keyword&gt;&lt;keyword&gt;Diabetes Mellitus, Type 2/epidemiology&lt;/keyword&gt;&lt;keyword&gt;Gastrointestinal Diseases/chemically induced&lt;/keyword&gt;&lt;keyword&gt;Humans&lt;/keyword&gt;&lt;keyword&gt;Outcome Assessment, Health Care&lt;/keyword&gt;&lt;keyword&gt;Time Factors&lt;/keyword&gt;&lt;keyword&gt;adverse events&lt;/keyword&gt;&lt;keyword&gt;corticosteroids&lt;/keyword&gt;&lt;keyword&gt;costs&lt;/keyword&gt;&lt;keyword&gt;economic burden&lt;/keyword&gt;&lt;keyword&gt;long-term corticosteroid exposure&lt;/keyword&gt;&lt;/keywords&gt;&lt;dates&gt;&lt;year&gt;2017&lt;/year&gt;&lt;pub-dates&gt;&lt;date&gt;Nov&lt;/date&gt;&lt;/pub-dates&gt;&lt;/dates&gt;&lt;isbn&gt;1879-114X (Electronic)&amp;#xD;0149-2918 (Linking)&lt;/isbn&gt;&lt;accession-num&gt;29055500&lt;/accession-num&gt;&lt;urls&gt;&lt;related-urls&gt;&lt;url&gt;https://www.ncbi.nlm.nih.gov/pubmed/29055500&lt;/url&gt;&lt;/related-urls&gt;&lt;/urls&gt;&lt;electronic-resource-num&gt;10.1016/j.clinthera.2017.09.011&lt;/electronic-resource-num&gt;&lt;/record&gt;&lt;/Cite&gt;&lt;/EndNote&gt;</w:instrText>
      </w:r>
      <w:r w:rsidR="00B727D6">
        <w:fldChar w:fldCharType="separate"/>
      </w:r>
      <w:r w:rsidR="00B727D6">
        <w:rPr>
          <w:noProof/>
        </w:rPr>
        <w:t>(</w:t>
      </w:r>
      <w:hyperlink w:anchor="_ENREF_61" w:tooltip="Rice, 2017 #11" w:history="1">
        <w:r w:rsidR="00D726F6">
          <w:rPr>
            <w:noProof/>
          </w:rPr>
          <w:t>Rice et al. 2017</w:t>
        </w:r>
      </w:hyperlink>
      <w:r w:rsidR="00B727D6">
        <w:rPr>
          <w:noProof/>
        </w:rPr>
        <w:t>)</w:t>
      </w:r>
      <w:r w:rsidR="00B727D6">
        <w:fldChar w:fldCharType="end"/>
      </w:r>
      <w:r w:rsidR="00800520">
        <w:t xml:space="preserve">. However, the </w:t>
      </w:r>
      <w:r w:rsidR="000C6A02">
        <w:t>R</w:t>
      </w:r>
      <w:r w:rsidR="00800520">
        <w:t xml:space="preserve">A glaucoma incidence was similar (3.5% overall) </w:t>
      </w:r>
      <w:r w:rsidR="00E64A7A">
        <w:t>to</w:t>
      </w:r>
      <w:r w:rsidR="00800520">
        <w:t xml:space="preserve"> that reported for patients with GCA (2.0%; 95%CI 1.6, 2.5)</w:t>
      </w:r>
      <w:r w:rsidR="00944F94">
        <w:t xml:space="preserve"> </w:t>
      </w:r>
      <w:r w:rsidR="00B727D6">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sidR="00B727D6">
        <w:instrText xml:space="preserve"> ADDIN EN.CITE </w:instrText>
      </w:r>
      <w:r w:rsidR="00B727D6">
        <w:fldChar w:fldCharType="begin">
          <w:fldData xml:space="preserve">PEVuZE5vdGU+PENpdGU+PEF1dGhvcj5XaWxzb248L0F1dGhvcj48WWVhcj4yMDE3PC9ZZWFyPjxS
ZWNOdW0+NTwvUmVjTnVtPjxEaXNwbGF5VGV4dD4oV2lsc29uLCBKLiBDLiBldCBhbC4gMjAxN2Ep
PC9EaXNwbGF5VGV4dD48cmVjb3JkPjxyZWMtbnVtYmVyPjU8L3JlYy1udW1iZXI+PGZvcmVpZ24t
a2V5cz48a2V5IGFwcD0iRU4iIGRiLWlkPSJwMjllMnQwMjFmeDJza2VyMGY0cDk5eGFkNXQwMnhw
ZWRweHIiIHRpbWVzdGFtcD0iMTYwNDg4MTY5MyI+NTwva2V5PjwvZm9yZWlnbi1rZXlzPjxyZWYt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IFBoYXJtYWNvZXBpZGVtaW9sb2d5IFVuaXQsIFVuaXZlcnNpdHkgb2YgQmFzZWwsIEJhc2VsLCBT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80" w:tooltip="Wilson, 2017 #5" w:history="1">
        <w:r w:rsidR="00D726F6">
          <w:rPr>
            <w:noProof/>
          </w:rPr>
          <w:t>Wilson, J. C. et al. 2017a</w:t>
        </w:r>
      </w:hyperlink>
      <w:r w:rsidR="00B727D6">
        <w:rPr>
          <w:noProof/>
        </w:rPr>
        <w:t>)</w:t>
      </w:r>
      <w:r w:rsidR="00B727D6">
        <w:fldChar w:fldCharType="end"/>
      </w:r>
      <w:r w:rsidR="00800520">
        <w:t xml:space="preserve">. Considering the variations between study </w:t>
      </w:r>
      <w:r w:rsidR="00944F94">
        <w:t>populations</w:t>
      </w:r>
      <w:r w:rsidR="00800520">
        <w:t xml:space="preserve">, </w:t>
      </w:r>
      <w:r w:rsidR="00944F94">
        <w:t xml:space="preserve">it is not unexpected to see some difference in AE rates. </w:t>
      </w:r>
    </w:p>
    <w:p w14:paraId="44B7175F" w14:textId="16A1E8AD" w:rsidR="00951D25" w:rsidRDefault="00951D25" w:rsidP="00951D25">
      <w:pPr>
        <w:pStyle w:val="Caption"/>
      </w:pPr>
      <w:bookmarkStart w:id="209" w:name="_Ref57037531"/>
      <w:bookmarkStart w:id="210" w:name="_Toc69305662"/>
      <w:r>
        <w:t xml:space="preserve">Table </w:t>
      </w:r>
      <w:r w:rsidR="00003BA5">
        <w:fldChar w:fldCharType="begin"/>
      </w:r>
      <w:r w:rsidR="00003BA5">
        <w:instrText xml:space="preserve"> SEQ Table \* ARABIC </w:instrText>
      </w:r>
      <w:r w:rsidR="00003BA5">
        <w:fldChar w:fldCharType="separate"/>
      </w:r>
      <w:r w:rsidR="004B3EA2">
        <w:rPr>
          <w:noProof/>
        </w:rPr>
        <w:t>21</w:t>
      </w:r>
      <w:r w:rsidR="00003BA5">
        <w:rPr>
          <w:noProof/>
        </w:rPr>
        <w:fldChar w:fldCharType="end"/>
      </w:r>
      <w:bookmarkEnd w:id="209"/>
      <w:r>
        <w:tab/>
      </w:r>
      <w:r w:rsidR="00944F94">
        <w:t xml:space="preserve">AEs compared between GC doses for patients </w:t>
      </w:r>
      <w:r w:rsidR="00D829C4">
        <w:t xml:space="preserve">with RA </w:t>
      </w:r>
      <w:r w:rsidR="00944F94">
        <w:t xml:space="preserve">treated with GCs longer than 6 months </w:t>
      </w:r>
      <w:r w:rsidR="00B727D6">
        <w:fldChar w:fldCharType="begin"/>
      </w:r>
      <w:r w:rsidR="00B727D6">
        <w:instrText xml:space="preserve"> ADDIN EN.CITE &lt;EndNote&gt;&lt;Cite&gt;&lt;Author&gt;Huscher&lt;/Author&gt;&lt;Year&gt;2009&lt;/Year&gt;&lt;RecNum&gt;12&lt;/RecNum&gt;&lt;DisplayText&gt;(Huscher et al. 2009)&lt;/DisplayText&gt;&lt;record&gt;&lt;rec-number&gt;12&lt;/rec-number&gt;&lt;foreign-keys&gt;&lt;key app="EN" db-id="p29e2t021fx2sker0f4p99xad5t02xpedpxr" timestamp="1605656036"&gt;12&lt;/key&gt;&lt;/foreign-keys&gt;&lt;ref-type name="Journal Article"&gt;17&lt;/ref-type&gt;&lt;contributors&gt;&lt;authors&gt;&lt;author&gt;Huscher, D.&lt;/author&gt;&lt;author&gt;Thiele, K.&lt;/author&gt;&lt;author&gt;Gromnica-Ihle, E.&lt;/author&gt;&lt;author&gt;Hein, G.&lt;/author&gt;&lt;author&gt;Demary, W.&lt;/author&gt;&lt;author&gt;Dreher, R.&lt;/author&gt;&lt;author&gt;Zink, A.&lt;/author&gt;&lt;author&gt;Buttgereit, F.&lt;/author&gt;&lt;/authors&gt;&lt;/contributors&gt;&lt;auth-address&gt;German Rheumatism Research Centre Berlin, Epidemiology Unit, Berlin, Germany. huscher@drfz.de&lt;/auth-address&gt;&lt;titles&gt;&lt;title&gt;Dose-related patterns of glucocorticoid-induced side effects&lt;/title&gt;&lt;secondary-title&gt;Ann Rheum Dis&lt;/secondary-title&gt;&lt;/titles&gt;&lt;periodical&gt;&lt;full-title&gt;Ann Rheum Dis&lt;/full-title&gt;&lt;/periodical&gt;&lt;pages&gt;1119-24&lt;/pages&gt;&lt;volume&gt;68&lt;/volume&gt;&lt;number&gt;7&lt;/number&gt;&lt;edition&gt;2008/08/08&lt;/edition&gt;&lt;keywords&gt;&lt;keyword&gt;Arthritis, Rheumatoid/ drug therapy&lt;/keyword&gt;&lt;keyword&gt;Data Collection&lt;/keyword&gt;&lt;keyword&gt;Dose-Response Relationship, Drug&lt;/keyword&gt;&lt;keyword&gt;Female&lt;/keyword&gt;&lt;keyword&gt;Glucocorticoids/administration &amp;amp; dosage/ adverse effects&lt;/keyword&gt;&lt;keyword&gt;Humans&lt;/keyword&gt;&lt;keyword&gt;Male&lt;/keyword&gt;&lt;keyword&gt;Middle Aged&lt;/keyword&gt;&lt;keyword&gt;Risk Factors&lt;/keyword&gt;&lt;keyword&gt;Time Factors&lt;/keyword&gt;&lt;/keywords&gt;&lt;dates&gt;&lt;year&gt;2009&lt;/year&gt;&lt;pub-dates&gt;&lt;date&gt;Jul&lt;/date&gt;&lt;/pub-dates&gt;&lt;/dates&gt;&lt;isbn&gt;1468-2060 (Electronic)&amp;#xD;0003-4967 (Linking)&lt;/isbn&gt;&lt;accession-num&gt;18684744&lt;/accession-num&gt;&lt;urls&gt;&lt;related-urls&gt;&lt;url&gt;https://ard.bmj.com/content/annrheumdis/68/7/1119.full.pdf&lt;/url&gt;&lt;/related-urls&gt;&lt;/urls&gt;&lt;electronic-resource-num&gt;10.1136/ard.2008.092163&lt;/electronic-resource-num&gt;&lt;remote-database-provider&gt;NLM&lt;/remote-database-provider&gt;&lt;language&gt;eng&lt;/language&gt;&lt;/record&gt;&lt;/Cite&gt;&lt;/EndNote&gt;</w:instrText>
      </w:r>
      <w:r w:rsidR="00B727D6">
        <w:fldChar w:fldCharType="separate"/>
      </w:r>
      <w:r w:rsidR="00B727D6">
        <w:rPr>
          <w:noProof/>
        </w:rPr>
        <w:t>(</w:t>
      </w:r>
      <w:hyperlink w:anchor="_ENREF_29" w:tooltip="Huscher, 2009 #12" w:history="1">
        <w:r w:rsidR="00D726F6">
          <w:rPr>
            <w:noProof/>
          </w:rPr>
          <w:t>Huscher et al. 2009</w:t>
        </w:r>
      </w:hyperlink>
      <w:r w:rsidR="00B727D6">
        <w:rPr>
          <w:noProof/>
        </w:rPr>
        <w:t>)</w:t>
      </w:r>
      <w:bookmarkEnd w:id="210"/>
      <w:r w:rsidR="00B727D6">
        <w:fldChar w:fldCharType="end"/>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Es compared between GC doses for patients with RA treated with GCs longer than 6 months "/>
        <w:tblDescription w:val="AEs compared between GC doses for patients with RA treated with GCs longer than 6 months "/>
      </w:tblPr>
      <w:tblGrid>
        <w:gridCol w:w="2120"/>
        <w:gridCol w:w="1702"/>
        <w:gridCol w:w="1700"/>
        <w:gridCol w:w="1699"/>
        <w:gridCol w:w="1562"/>
      </w:tblGrid>
      <w:tr w:rsidR="00A2748D" w:rsidRPr="00772105" w14:paraId="14F68E87" w14:textId="77777777" w:rsidTr="00C526FE">
        <w:trPr>
          <w:trHeight w:val="516"/>
          <w:tblHeader/>
        </w:trPr>
        <w:tc>
          <w:tcPr>
            <w:tcW w:w="1207" w:type="pct"/>
            <w:vMerge w:val="restart"/>
            <w:shd w:val="clear" w:color="auto" w:fill="auto"/>
            <w:vAlign w:val="center"/>
          </w:tcPr>
          <w:p w14:paraId="3F0875D9" w14:textId="77777777" w:rsidR="00A2748D" w:rsidRDefault="00A2748D" w:rsidP="00A2748D">
            <w:pPr>
              <w:keepNext/>
              <w:spacing w:before="40" w:after="40" w:line="240" w:lineRule="auto"/>
              <w:jc w:val="center"/>
              <w:rPr>
                <w:rFonts w:ascii="Arial Narrow" w:hAnsi="Arial Narrow"/>
                <w:b/>
                <w:sz w:val="20"/>
                <w:szCs w:val="20"/>
              </w:rPr>
            </w:pPr>
            <w:r>
              <w:rPr>
                <w:rFonts w:ascii="Arial Narrow" w:hAnsi="Arial Narrow"/>
                <w:b/>
                <w:sz w:val="20"/>
                <w:szCs w:val="20"/>
              </w:rPr>
              <w:t>Category/AE</w:t>
            </w:r>
          </w:p>
        </w:tc>
        <w:tc>
          <w:tcPr>
            <w:tcW w:w="3793" w:type="pct"/>
            <w:gridSpan w:val="4"/>
            <w:vAlign w:val="center"/>
          </w:tcPr>
          <w:p w14:paraId="429DD39C" w14:textId="77777777" w:rsidR="00A2748D" w:rsidRDefault="00A2748D" w:rsidP="00A2748D">
            <w:pPr>
              <w:tabs>
                <w:tab w:val="left" w:pos="885"/>
              </w:tabs>
              <w:spacing w:before="40" w:after="40" w:line="240" w:lineRule="auto"/>
              <w:jc w:val="center"/>
              <w:rPr>
                <w:rFonts w:ascii="Arial Narrow" w:hAnsi="Arial Narrow"/>
                <w:b/>
                <w:sz w:val="20"/>
                <w:szCs w:val="20"/>
              </w:rPr>
            </w:pPr>
            <w:r>
              <w:rPr>
                <w:rFonts w:ascii="Arial Narrow" w:hAnsi="Arial Narrow"/>
                <w:b/>
                <w:sz w:val="20"/>
                <w:szCs w:val="20"/>
              </w:rPr>
              <w:t>Dose category</w:t>
            </w:r>
          </w:p>
          <w:p w14:paraId="3BCBCFFA" w14:textId="77777777" w:rsidR="00A2748D" w:rsidRDefault="00A2748D" w:rsidP="00A2748D">
            <w:pPr>
              <w:tabs>
                <w:tab w:val="left" w:pos="885"/>
              </w:tabs>
              <w:spacing w:before="40" w:after="40" w:line="240" w:lineRule="auto"/>
              <w:jc w:val="center"/>
              <w:rPr>
                <w:rFonts w:ascii="Arial Narrow" w:hAnsi="Arial Narrow"/>
                <w:b/>
                <w:sz w:val="20"/>
                <w:szCs w:val="20"/>
              </w:rPr>
            </w:pPr>
            <w:r>
              <w:rPr>
                <w:rFonts w:ascii="Arial Narrow" w:hAnsi="Arial Narrow"/>
                <w:b/>
                <w:sz w:val="20"/>
                <w:szCs w:val="20"/>
              </w:rPr>
              <w:t>(% patients)</w:t>
            </w:r>
          </w:p>
        </w:tc>
      </w:tr>
      <w:tr w:rsidR="00A2748D" w:rsidRPr="00772105" w14:paraId="4C6D0A25" w14:textId="77777777" w:rsidTr="007E2FA1">
        <w:trPr>
          <w:trHeight w:val="516"/>
          <w:tblHeader/>
        </w:trPr>
        <w:tc>
          <w:tcPr>
            <w:tcW w:w="1207" w:type="pct"/>
            <w:vMerge/>
            <w:shd w:val="clear" w:color="auto" w:fill="auto"/>
          </w:tcPr>
          <w:p w14:paraId="51C68950" w14:textId="77777777" w:rsidR="00A2748D" w:rsidRDefault="00A2748D" w:rsidP="0058648B">
            <w:pPr>
              <w:keepNext/>
              <w:spacing w:before="40" w:after="40" w:line="240" w:lineRule="auto"/>
              <w:rPr>
                <w:rFonts w:ascii="Arial Narrow" w:hAnsi="Arial Narrow"/>
                <w:b/>
                <w:sz w:val="20"/>
                <w:szCs w:val="20"/>
              </w:rPr>
            </w:pPr>
          </w:p>
        </w:tc>
        <w:tc>
          <w:tcPr>
            <w:tcW w:w="969" w:type="pct"/>
          </w:tcPr>
          <w:p w14:paraId="488EABB6" w14:textId="77777777" w:rsidR="00A2748D" w:rsidRPr="004E535F" w:rsidRDefault="00A2748D" w:rsidP="0058648B">
            <w:pPr>
              <w:tabs>
                <w:tab w:val="left" w:pos="885"/>
              </w:tabs>
              <w:spacing w:before="40" w:after="40" w:line="240" w:lineRule="auto"/>
              <w:rPr>
                <w:rFonts w:ascii="Arial Narrow" w:hAnsi="Arial Narrow"/>
                <w:b/>
                <w:sz w:val="20"/>
                <w:szCs w:val="20"/>
                <w:vertAlign w:val="superscript"/>
              </w:rPr>
            </w:pPr>
            <w:r>
              <w:rPr>
                <w:rFonts w:ascii="Arial Narrow" w:hAnsi="Arial Narrow"/>
                <w:b/>
                <w:sz w:val="20"/>
                <w:szCs w:val="20"/>
              </w:rPr>
              <w:t>&lt; 5 mg/day</w:t>
            </w:r>
          </w:p>
        </w:tc>
        <w:tc>
          <w:tcPr>
            <w:tcW w:w="968" w:type="pct"/>
          </w:tcPr>
          <w:p w14:paraId="245E434E" w14:textId="77777777" w:rsidR="00A2748D" w:rsidRPr="00A83797" w:rsidRDefault="00A2748D" w:rsidP="00A2748D">
            <w:pPr>
              <w:tabs>
                <w:tab w:val="left" w:pos="885"/>
              </w:tabs>
              <w:spacing w:before="40" w:after="40" w:line="240" w:lineRule="auto"/>
              <w:rPr>
                <w:rFonts w:ascii="Arial Narrow" w:hAnsi="Arial Narrow"/>
                <w:b/>
                <w:sz w:val="20"/>
                <w:szCs w:val="20"/>
                <w:vertAlign w:val="superscript"/>
              </w:rPr>
            </w:pPr>
            <w:r>
              <w:rPr>
                <w:rFonts w:ascii="Arial Narrow" w:hAnsi="Arial Narrow"/>
                <w:b/>
                <w:sz w:val="20"/>
                <w:szCs w:val="20"/>
              </w:rPr>
              <w:t>%5 – 7.5 mg/day</w:t>
            </w:r>
          </w:p>
        </w:tc>
        <w:tc>
          <w:tcPr>
            <w:tcW w:w="967" w:type="pct"/>
          </w:tcPr>
          <w:p w14:paraId="4F48C72D" w14:textId="77777777" w:rsidR="00A2748D" w:rsidRPr="00584B4C" w:rsidRDefault="00A2748D" w:rsidP="0058648B">
            <w:pPr>
              <w:tabs>
                <w:tab w:val="left" w:pos="885"/>
              </w:tabs>
              <w:spacing w:before="40" w:after="40" w:line="240" w:lineRule="auto"/>
              <w:rPr>
                <w:rFonts w:ascii="Arial Narrow" w:hAnsi="Arial Narrow"/>
                <w:b/>
                <w:sz w:val="20"/>
                <w:szCs w:val="20"/>
              </w:rPr>
            </w:pPr>
            <w:r>
              <w:rPr>
                <w:rFonts w:ascii="Arial Narrow" w:hAnsi="Arial Narrow"/>
                <w:b/>
                <w:sz w:val="20"/>
                <w:szCs w:val="20"/>
              </w:rPr>
              <w:t>&gt; 7.5 mg/day</w:t>
            </w:r>
          </w:p>
        </w:tc>
        <w:tc>
          <w:tcPr>
            <w:tcW w:w="889" w:type="pct"/>
          </w:tcPr>
          <w:p w14:paraId="360DD9E6" w14:textId="77777777" w:rsidR="00A2748D" w:rsidRPr="00584B4C" w:rsidRDefault="00A2748D" w:rsidP="0058648B">
            <w:pPr>
              <w:tabs>
                <w:tab w:val="left" w:pos="885"/>
              </w:tabs>
              <w:spacing w:before="40" w:after="40" w:line="240" w:lineRule="auto"/>
              <w:rPr>
                <w:rFonts w:ascii="Arial Narrow" w:hAnsi="Arial Narrow"/>
                <w:b/>
                <w:sz w:val="20"/>
                <w:szCs w:val="20"/>
              </w:rPr>
            </w:pPr>
            <w:r>
              <w:rPr>
                <w:rFonts w:ascii="Arial Narrow" w:hAnsi="Arial Narrow"/>
                <w:b/>
                <w:sz w:val="20"/>
                <w:szCs w:val="20"/>
              </w:rPr>
              <w:t>All</w:t>
            </w:r>
          </w:p>
        </w:tc>
      </w:tr>
      <w:tr w:rsidR="00A2748D" w:rsidRPr="008602A5" w14:paraId="25895266" w14:textId="77777777" w:rsidTr="00A2748D">
        <w:tc>
          <w:tcPr>
            <w:tcW w:w="5000" w:type="pct"/>
            <w:gridSpan w:val="5"/>
            <w:shd w:val="clear" w:color="auto" w:fill="auto"/>
          </w:tcPr>
          <w:p w14:paraId="0E2B131F" w14:textId="77777777" w:rsidR="00A2748D" w:rsidRPr="008602A5" w:rsidRDefault="00A2748D" w:rsidP="0058648B">
            <w:pPr>
              <w:tabs>
                <w:tab w:val="left" w:pos="885"/>
              </w:tabs>
              <w:spacing w:before="40" w:after="40" w:line="240" w:lineRule="auto"/>
              <w:rPr>
                <w:rFonts w:ascii="Arial Narrow" w:hAnsi="Arial Narrow"/>
                <w:b/>
                <w:sz w:val="20"/>
                <w:szCs w:val="20"/>
              </w:rPr>
            </w:pPr>
            <w:r w:rsidRPr="008602A5">
              <w:rPr>
                <w:rFonts w:ascii="Arial Narrow" w:hAnsi="Arial Narrow"/>
                <w:b/>
                <w:sz w:val="20"/>
                <w:szCs w:val="20"/>
              </w:rPr>
              <w:t>Linear increase by dose</w:t>
            </w:r>
          </w:p>
        </w:tc>
      </w:tr>
      <w:tr w:rsidR="00A2748D" w:rsidRPr="00772105" w14:paraId="4A63B83D" w14:textId="77777777" w:rsidTr="007E2FA1">
        <w:tc>
          <w:tcPr>
            <w:tcW w:w="1207" w:type="pct"/>
            <w:shd w:val="clear" w:color="auto" w:fill="auto"/>
          </w:tcPr>
          <w:p w14:paraId="202AC722" w14:textId="77777777" w:rsidR="00A2748D" w:rsidRDefault="00A2748D" w:rsidP="0058648B">
            <w:pPr>
              <w:spacing w:before="40" w:after="40" w:line="240" w:lineRule="auto"/>
              <w:rPr>
                <w:rFonts w:ascii="Arial Narrow" w:hAnsi="Arial Narrow"/>
                <w:sz w:val="20"/>
                <w:szCs w:val="20"/>
              </w:rPr>
            </w:pPr>
            <w:r>
              <w:rPr>
                <w:rFonts w:ascii="Arial Narrow" w:hAnsi="Arial Narrow"/>
                <w:sz w:val="20"/>
                <w:szCs w:val="20"/>
              </w:rPr>
              <w:t>Cushingoid phenotype</w:t>
            </w:r>
          </w:p>
        </w:tc>
        <w:tc>
          <w:tcPr>
            <w:tcW w:w="969" w:type="pct"/>
          </w:tcPr>
          <w:p w14:paraId="2426200C" w14:textId="77777777" w:rsidR="00A2748D" w:rsidRPr="00584B4C" w:rsidRDefault="0064531E" w:rsidP="0058648B">
            <w:pPr>
              <w:tabs>
                <w:tab w:val="left" w:pos="885"/>
              </w:tabs>
              <w:spacing w:before="40" w:after="40" w:line="240" w:lineRule="auto"/>
              <w:rPr>
                <w:rFonts w:ascii="Arial Narrow" w:hAnsi="Arial Narrow"/>
                <w:sz w:val="20"/>
                <w:szCs w:val="20"/>
              </w:rPr>
            </w:pPr>
            <w:r>
              <w:rPr>
                <w:rFonts w:ascii="Arial Narrow" w:hAnsi="Arial Narrow"/>
                <w:sz w:val="20"/>
                <w:szCs w:val="20"/>
              </w:rPr>
              <w:t>4.3</w:t>
            </w:r>
          </w:p>
        </w:tc>
        <w:tc>
          <w:tcPr>
            <w:tcW w:w="968" w:type="pct"/>
          </w:tcPr>
          <w:p w14:paraId="65A824C7" w14:textId="77777777" w:rsidR="00A2748D" w:rsidRDefault="0064531E" w:rsidP="0058648B">
            <w:pPr>
              <w:tabs>
                <w:tab w:val="left" w:pos="885"/>
              </w:tabs>
              <w:spacing w:before="40" w:after="40" w:line="240" w:lineRule="auto"/>
              <w:rPr>
                <w:rFonts w:ascii="Arial Narrow" w:hAnsi="Arial Narrow"/>
                <w:sz w:val="20"/>
                <w:szCs w:val="20"/>
              </w:rPr>
            </w:pPr>
            <w:r>
              <w:rPr>
                <w:rFonts w:ascii="Arial Narrow" w:hAnsi="Arial Narrow"/>
                <w:sz w:val="20"/>
                <w:szCs w:val="20"/>
              </w:rPr>
              <w:t>15.8</w:t>
            </w:r>
          </w:p>
        </w:tc>
        <w:tc>
          <w:tcPr>
            <w:tcW w:w="967" w:type="pct"/>
          </w:tcPr>
          <w:p w14:paraId="7E97DDE0"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24.6</w:t>
            </w:r>
          </w:p>
        </w:tc>
        <w:tc>
          <w:tcPr>
            <w:tcW w:w="889" w:type="pct"/>
          </w:tcPr>
          <w:p w14:paraId="2327D6AF"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15.0</w:t>
            </w:r>
          </w:p>
        </w:tc>
      </w:tr>
      <w:tr w:rsidR="00A2748D" w:rsidRPr="00772105" w14:paraId="45DAB7E7" w14:textId="77777777" w:rsidTr="007E2FA1">
        <w:tc>
          <w:tcPr>
            <w:tcW w:w="1207" w:type="pct"/>
            <w:shd w:val="clear" w:color="auto" w:fill="auto"/>
          </w:tcPr>
          <w:p w14:paraId="6E9FCCA1" w14:textId="77777777" w:rsidR="00A2748D" w:rsidRDefault="00A2748D" w:rsidP="0058648B">
            <w:pPr>
              <w:spacing w:before="40" w:after="40" w:line="240" w:lineRule="auto"/>
              <w:rPr>
                <w:rFonts w:ascii="Arial Narrow" w:hAnsi="Arial Narrow"/>
                <w:sz w:val="20"/>
                <w:szCs w:val="20"/>
              </w:rPr>
            </w:pPr>
            <w:r>
              <w:rPr>
                <w:rFonts w:ascii="Arial Narrow" w:hAnsi="Arial Narrow"/>
                <w:sz w:val="20"/>
                <w:szCs w:val="20"/>
              </w:rPr>
              <w:t>Ecchymosis</w:t>
            </w:r>
          </w:p>
        </w:tc>
        <w:tc>
          <w:tcPr>
            <w:tcW w:w="969" w:type="pct"/>
          </w:tcPr>
          <w:p w14:paraId="037A3FD7"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17.4</w:t>
            </w:r>
          </w:p>
        </w:tc>
        <w:tc>
          <w:tcPr>
            <w:tcW w:w="968" w:type="pct"/>
          </w:tcPr>
          <w:p w14:paraId="03EFDE9F" w14:textId="77777777" w:rsidR="00A2748D"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23.5</w:t>
            </w:r>
          </w:p>
        </w:tc>
        <w:tc>
          <w:tcPr>
            <w:tcW w:w="967" w:type="pct"/>
          </w:tcPr>
          <w:p w14:paraId="243C2021"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24.6</w:t>
            </w:r>
          </w:p>
        </w:tc>
        <w:tc>
          <w:tcPr>
            <w:tcW w:w="889" w:type="pct"/>
          </w:tcPr>
          <w:p w14:paraId="31A94577"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22.1</w:t>
            </w:r>
          </w:p>
        </w:tc>
      </w:tr>
      <w:tr w:rsidR="00A2748D" w:rsidRPr="00772105" w14:paraId="73C2992A" w14:textId="77777777" w:rsidTr="007E2FA1">
        <w:tc>
          <w:tcPr>
            <w:tcW w:w="1207" w:type="pct"/>
            <w:shd w:val="clear" w:color="auto" w:fill="auto"/>
          </w:tcPr>
          <w:p w14:paraId="72CDF24E" w14:textId="77777777" w:rsidR="00A2748D" w:rsidRDefault="00A2748D" w:rsidP="0058648B">
            <w:pPr>
              <w:spacing w:before="40" w:after="40" w:line="240" w:lineRule="auto"/>
              <w:rPr>
                <w:rFonts w:ascii="Arial Narrow" w:hAnsi="Arial Narrow"/>
                <w:sz w:val="20"/>
                <w:szCs w:val="20"/>
              </w:rPr>
            </w:pPr>
            <w:r>
              <w:rPr>
                <w:rFonts w:ascii="Arial Narrow" w:hAnsi="Arial Narrow"/>
                <w:sz w:val="20"/>
                <w:szCs w:val="20"/>
              </w:rPr>
              <w:t>Leg oedema</w:t>
            </w:r>
          </w:p>
        </w:tc>
        <w:tc>
          <w:tcPr>
            <w:tcW w:w="969" w:type="pct"/>
          </w:tcPr>
          <w:p w14:paraId="61D58EEC" w14:textId="77777777" w:rsidR="00A2748D" w:rsidRPr="00584B4C" w:rsidRDefault="0064531E" w:rsidP="0058648B">
            <w:pPr>
              <w:tabs>
                <w:tab w:val="left" w:pos="885"/>
              </w:tabs>
              <w:spacing w:before="40" w:after="40" w:line="240" w:lineRule="auto"/>
              <w:rPr>
                <w:rFonts w:ascii="Arial Narrow" w:hAnsi="Arial Narrow"/>
                <w:sz w:val="20"/>
                <w:szCs w:val="20"/>
              </w:rPr>
            </w:pPr>
            <w:r>
              <w:rPr>
                <w:rFonts w:ascii="Arial Narrow" w:hAnsi="Arial Narrow"/>
                <w:sz w:val="20"/>
                <w:szCs w:val="20"/>
              </w:rPr>
              <w:t>11.6</w:t>
            </w:r>
          </w:p>
        </w:tc>
        <w:tc>
          <w:tcPr>
            <w:tcW w:w="968" w:type="pct"/>
          </w:tcPr>
          <w:p w14:paraId="58D8E5D9" w14:textId="77777777" w:rsidR="00A2748D" w:rsidRDefault="0064531E" w:rsidP="0058648B">
            <w:pPr>
              <w:tabs>
                <w:tab w:val="left" w:pos="885"/>
              </w:tabs>
              <w:spacing w:before="40" w:after="40" w:line="240" w:lineRule="auto"/>
              <w:rPr>
                <w:rFonts w:ascii="Arial Narrow" w:hAnsi="Arial Narrow"/>
                <w:sz w:val="20"/>
                <w:szCs w:val="20"/>
              </w:rPr>
            </w:pPr>
            <w:r>
              <w:rPr>
                <w:rFonts w:ascii="Arial Narrow" w:hAnsi="Arial Narrow"/>
                <w:sz w:val="20"/>
                <w:szCs w:val="20"/>
              </w:rPr>
              <w:t>20.2</w:t>
            </w:r>
          </w:p>
        </w:tc>
        <w:tc>
          <w:tcPr>
            <w:tcW w:w="967" w:type="pct"/>
          </w:tcPr>
          <w:p w14:paraId="13F6A82D"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26.2</w:t>
            </w:r>
          </w:p>
        </w:tc>
        <w:tc>
          <w:tcPr>
            <w:tcW w:w="889" w:type="pct"/>
          </w:tcPr>
          <w:p w14:paraId="789E80DD"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19.5</w:t>
            </w:r>
          </w:p>
        </w:tc>
      </w:tr>
      <w:tr w:rsidR="00A2748D" w:rsidRPr="00772105" w14:paraId="716A9EDA" w14:textId="77777777" w:rsidTr="007E2FA1">
        <w:tc>
          <w:tcPr>
            <w:tcW w:w="1207" w:type="pct"/>
            <w:shd w:val="clear" w:color="auto" w:fill="auto"/>
          </w:tcPr>
          <w:p w14:paraId="0B7ADC45" w14:textId="77777777" w:rsidR="00A2748D" w:rsidRDefault="00A2748D" w:rsidP="0058648B">
            <w:pPr>
              <w:spacing w:before="40" w:after="40" w:line="240" w:lineRule="auto"/>
              <w:rPr>
                <w:rFonts w:ascii="Arial Narrow" w:hAnsi="Arial Narrow"/>
                <w:sz w:val="20"/>
                <w:szCs w:val="20"/>
              </w:rPr>
            </w:pPr>
            <w:r>
              <w:rPr>
                <w:rFonts w:ascii="Arial Narrow" w:hAnsi="Arial Narrow"/>
                <w:sz w:val="20"/>
                <w:szCs w:val="20"/>
              </w:rPr>
              <w:t>Mycosis</w:t>
            </w:r>
          </w:p>
        </w:tc>
        <w:tc>
          <w:tcPr>
            <w:tcW w:w="969" w:type="pct"/>
          </w:tcPr>
          <w:p w14:paraId="0360E7DC"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5.8</w:t>
            </w:r>
          </w:p>
        </w:tc>
        <w:tc>
          <w:tcPr>
            <w:tcW w:w="968" w:type="pct"/>
          </w:tcPr>
          <w:p w14:paraId="37AB9D84" w14:textId="77777777" w:rsidR="00A2748D"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6.6</w:t>
            </w:r>
          </w:p>
        </w:tc>
        <w:tc>
          <w:tcPr>
            <w:tcW w:w="967" w:type="pct"/>
          </w:tcPr>
          <w:p w14:paraId="4DC6AC71"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8.2</w:t>
            </w:r>
          </w:p>
        </w:tc>
        <w:tc>
          <w:tcPr>
            <w:tcW w:w="889" w:type="pct"/>
          </w:tcPr>
          <w:p w14:paraId="59D23C92"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5.4</w:t>
            </w:r>
          </w:p>
        </w:tc>
      </w:tr>
      <w:tr w:rsidR="00A2748D" w:rsidRPr="00772105" w14:paraId="12E7E463" w14:textId="77777777" w:rsidTr="007E2FA1">
        <w:tc>
          <w:tcPr>
            <w:tcW w:w="1207" w:type="pct"/>
            <w:shd w:val="clear" w:color="auto" w:fill="auto"/>
          </w:tcPr>
          <w:p w14:paraId="225D0E07" w14:textId="77777777" w:rsidR="00A2748D" w:rsidRDefault="00A2748D" w:rsidP="0058648B">
            <w:pPr>
              <w:spacing w:before="40" w:after="40" w:line="240" w:lineRule="auto"/>
              <w:rPr>
                <w:rFonts w:ascii="Arial Narrow" w:hAnsi="Arial Narrow"/>
                <w:sz w:val="20"/>
                <w:szCs w:val="20"/>
              </w:rPr>
            </w:pPr>
            <w:r>
              <w:rPr>
                <w:rFonts w:ascii="Arial Narrow" w:hAnsi="Arial Narrow"/>
                <w:sz w:val="20"/>
                <w:szCs w:val="20"/>
              </w:rPr>
              <w:t>Parchment-like skin</w:t>
            </w:r>
          </w:p>
        </w:tc>
        <w:tc>
          <w:tcPr>
            <w:tcW w:w="969" w:type="pct"/>
          </w:tcPr>
          <w:p w14:paraId="66EFEDB2"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10.1</w:t>
            </w:r>
          </w:p>
        </w:tc>
        <w:tc>
          <w:tcPr>
            <w:tcW w:w="968" w:type="pct"/>
          </w:tcPr>
          <w:p w14:paraId="1D7EA6A0" w14:textId="77777777" w:rsidR="00A2748D"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15.8</w:t>
            </w:r>
          </w:p>
        </w:tc>
        <w:tc>
          <w:tcPr>
            <w:tcW w:w="967" w:type="pct"/>
          </w:tcPr>
          <w:p w14:paraId="1ECAFD40"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21.3</w:t>
            </w:r>
          </w:p>
        </w:tc>
        <w:tc>
          <w:tcPr>
            <w:tcW w:w="889" w:type="pct"/>
          </w:tcPr>
          <w:p w14:paraId="6C6251C5"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16.6</w:t>
            </w:r>
          </w:p>
        </w:tc>
      </w:tr>
      <w:tr w:rsidR="00A2748D" w:rsidRPr="00772105" w14:paraId="0EE8F2BD" w14:textId="77777777" w:rsidTr="007E2FA1">
        <w:tc>
          <w:tcPr>
            <w:tcW w:w="1207" w:type="pct"/>
            <w:shd w:val="clear" w:color="auto" w:fill="auto"/>
          </w:tcPr>
          <w:p w14:paraId="65315A24" w14:textId="77777777" w:rsidR="00A2748D" w:rsidRDefault="00A2748D" w:rsidP="0058648B">
            <w:pPr>
              <w:spacing w:before="40" w:after="40" w:line="240" w:lineRule="auto"/>
              <w:rPr>
                <w:rFonts w:ascii="Arial Narrow" w:hAnsi="Arial Narrow"/>
                <w:sz w:val="20"/>
                <w:szCs w:val="20"/>
              </w:rPr>
            </w:pPr>
            <w:r>
              <w:rPr>
                <w:rFonts w:ascii="Arial Narrow" w:hAnsi="Arial Narrow"/>
                <w:sz w:val="20"/>
                <w:szCs w:val="20"/>
              </w:rPr>
              <w:t>Shortness of breath</w:t>
            </w:r>
          </w:p>
        </w:tc>
        <w:tc>
          <w:tcPr>
            <w:tcW w:w="969" w:type="pct"/>
          </w:tcPr>
          <w:p w14:paraId="315C0F6A"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10.1</w:t>
            </w:r>
          </w:p>
        </w:tc>
        <w:tc>
          <w:tcPr>
            <w:tcW w:w="968" w:type="pct"/>
          </w:tcPr>
          <w:p w14:paraId="33C82469" w14:textId="77777777" w:rsidR="00A2748D"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12.6</w:t>
            </w:r>
          </w:p>
        </w:tc>
        <w:tc>
          <w:tcPr>
            <w:tcW w:w="967" w:type="pct"/>
          </w:tcPr>
          <w:p w14:paraId="20298DE3"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16.4</w:t>
            </w:r>
          </w:p>
        </w:tc>
        <w:tc>
          <w:tcPr>
            <w:tcW w:w="889" w:type="pct"/>
          </w:tcPr>
          <w:p w14:paraId="75350AB7"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12.8</w:t>
            </w:r>
          </w:p>
        </w:tc>
      </w:tr>
      <w:tr w:rsidR="00A2748D" w:rsidRPr="00772105" w14:paraId="4CFF3389" w14:textId="77777777" w:rsidTr="007E2FA1">
        <w:tc>
          <w:tcPr>
            <w:tcW w:w="1207" w:type="pct"/>
            <w:shd w:val="clear" w:color="auto" w:fill="auto"/>
          </w:tcPr>
          <w:p w14:paraId="19B4F1A3" w14:textId="77777777" w:rsidR="00A2748D" w:rsidRDefault="00A2748D" w:rsidP="0058648B">
            <w:pPr>
              <w:spacing w:before="40" w:after="40" w:line="240" w:lineRule="auto"/>
              <w:rPr>
                <w:rFonts w:ascii="Arial Narrow" w:hAnsi="Arial Narrow"/>
                <w:sz w:val="20"/>
                <w:szCs w:val="20"/>
              </w:rPr>
            </w:pPr>
            <w:r>
              <w:rPr>
                <w:rFonts w:ascii="Arial Narrow" w:hAnsi="Arial Narrow"/>
                <w:sz w:val="20"/>
                <w:szCs w:val="20"/>
              </w:rPr>
              <w:t>Sleep disturbance</w:t>
            </w:r>
          </w:p>
        </w:tc>
        <w:tc>
          <w:tcPr>
            <w:tcW w:w="969" w:type="pct"/>
          </w:tcPr>
          <w:p w14:paraId="4DA6BDCD"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33.3</w:t>
            </w:r>
          </w:p>
        </w:tc>
        <w:tc>
          <w:tcPr>
            <w:tcW w:w="968" w:type="pct"/>
          </w:tcPr>
          <w:p w14:paraId="10CC352C"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37.2</w:t>
            </w:r>
          </w:p>
        </w:tc>
        <w:tc>
          <w:tcPr>
            <w:tcW w:w="967" w:type="pct"/>
          </w:tcPr>
          <w:p w14:paraId="05208858"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44.3</w:t>
            </w:r>
          </w:p>
        </w:tc>
        <w:tc>
          <w:tcPr>
            <w:tcW w:w="889" w:type="pct"/>
          </w:tcPr>
          <w:p w14:paraId="4C1B43A7"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37.7</w:t>
            </w:r>
          </w:p>
        </w:tc>
      </w:tr>
      <w:tr w:rsidR="00A2748D" w:rsidRPr="00772105" w14:paraId="559C2FBD" w14:textId="77777777" w:rsidTr="00A2748D">
        <w:tc>
          <w:tcPr>
            <w:tcW w:w="5000" w:type="pct"/>
            <w:gridSpan w:val="5"/>
            <w:shd w:val="clear" w:color="auto" w:fill="auto"/>
          </w:tcPr>
          <w:p w14:paraId="7568EEC0" w14:textId="77777777" w:rsidR="00A2748D" w:rsidRPr="00A2748D" w:rsidRDefault="00A2748D" w:rsidP="0058648B">
            <w:pPr>
              <w:tabs>
                <w:tab w:val="left" w:pos="885"/>
              </w:tabs>
              <w:spacing w:before="40" w:after="40" w:line="240" w:lineRule="auto"/>
              <w:rPr>
                <w:rFonts w:ascii="Arial Narrow" w:hAnsi="Arial Narrow"/>
                <w:b/>
                <w:sz w:val="20"/>
                <w:szCs w:val="20"/>
              </w:rPr>
            </w:pPr>
            <w:r w:rsidRPr="00A2748D">
              <w:rPr>
                <w:rFonts w:ascii="Arial Narrow" w:hAnsi="Arial Narrow"/>
                <w:b/>
                <w:sz w:val="20"/>
                <w:szCs w:val="20"/>
              </w:rPr>
              <w:t>Threshold dose effect</w:t>
            </w:r>
          </w:p>
        </w:tc>
      </w:tr>
      <w:tr w:rsidR="008602A5" w:rsidRPr="00772105" w14:paraId="2DF95746" w14:textId="77777777" w:rsidTr="00A2748D">
        <w:tc>
          <w:tcPr>
            <w:tcW w:w="5000" w:type="pct"/>
            <w:gridSpan w:val="5"/>
            <w:shd w:val="clear" w:color="auto" w:fill="auto"/>
          </w:tcPr>
          <w:p w14:paraId="63E04664" w14:textId="77777777" w:rsidR="008602A5" w:rsidRPr="00A2748D" w:rsidRDefault="008602A5" w:rsidP="0058648B">
            <w:pPr>
              <w:tabs>
                <w:tab w:val="left" w:pos="885"/>
              </w:tabs>
              <w:spacing w:before="40" w:after="40" w:line="240" w:lineRule="auto"/>
              <w:rPr>
                <w:rFonts w:ascii="Arial Narrow" w:hAnsi="Arial Narrow"/>
                <w:b/>
                <w:sz w:val="20"/>
                <w:szCs w:val="20"/>
              </w:rPr>
            </w:pPr>
            <w:r>
              <w:rPr>
                <w:rFonts w:ascii="Arial Narrow" w:hAnsi="Arial Narrow"/>
                <w:b/>
                <w:sz w:val="20"/>
                <w:szCs w:val="20"/>
              </w:rPr>
              <w:t>&lt; 5 mg/day</w:t>
            </w:r>
          </w:p>
        </w:tc>
      </w:tr>
      <w:tr w:rsidR="00A2748D" w:rsidRPr="00772105" w14:paraId="7A4AB3E9" w14:textId="77777777" w:rsidTr="007E2FA1">
        <w:tc>
          <w:tcPr>
            <w:tcW w:w="1207" w:type="pct"/>
            <w:shd w:val="clear" w:color="auto" w:fill="auto"/>
          </w:tcPr>
          <w:p w14:paraId="5195F650" w14:textId="77777777" w:rsidR="00A2748D" w:rsidRPr="00366915" w:rsidRDefault="00A2748D" w:rsidP="0058648B">
            <w:pPr>
              <w:spacing w:before="40" w:after="40" w:line="240" w:lineRule="auto"/>
              <w:rPr>
                <w:rFonts w:ascii="Arial Narrow" w:hAnsi="Arial Narrow"/>
                <w:sz w:val="20"/>
                <w:szCs w:val="20"/>
              </w:rPr>
            </w:pPr>
            <w:r>
              <w:rPr>
                <w:rFonts w:ascii="Arial Narrow" w:hAnsi="Arial Narrow"/>
                <w:sz w:val="20"/>
                <w:szCs w:val="20"/>
              </w:rPr>
              <w:t xml:space="preserve">Cataract </w:t>
            </w:r>
          </w:p>
        </w:tc>
        <w:tc>
          <w:tcPr>
            <w:tcW w:w="969" w:type="pct"/>
          </w:tcPr>
          <w:p w14:paraId="01174BC2"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10.1</w:t>
            </w:r>
          </w:p>
        </w:tc>
        <w:tc>
          <w:tcPr>
            <w:tcW w:w="968" w:type="pct"/>
          </w:tcPr>
          <w:p w14:paraId="75C20C24"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7.7</w:t>
            </w:r>
          </w:p>
        </w:tc>
        <w:tc>
          <w:tcPr>
            <w:tcW w:w="967" w:type="pct"/>
          </w:tcPr>
          <w:p w14:paraId="3058C9E6"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8.2</w:t>
            </w:r>
          </w:p>
        </w:tc>
        <w:tc>
          <w:tcPr>
            <w:tcW w:w="889" w:type="pct"/>
          </w:tcPr>
          <w:p w14:paraId="5946557E"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8.3</w:t>
            </w:r>
          </w:p>
        </w:tc>
      </w:tr>
      <w:tr w:rsidR="008602A5" w:rsidRPr="00772105" w14:paraId="51B71137" w14:textId="77777777" w:rsidTr="008602A5">
        <w:tc>
          <w:tcPr>
            <w:tcW w:w="5000" w:type="pct"/>
            <w:gridSpan w:val="5"/>
            <w:shd w:val="clear" w:color="auto" w:fill="auto"/>
          </w:tcPr>
          <w:p w14:paraId="1EE4FC7D" w14:textId="77777777" w:rsidR="008602A5" w:rsidRPr="008602A5" w:rsidRDefault="008602A5" w:rsidP="0058648B">
            <w:pPr>
              <w:tabs>
                <w:tab w:val="left" w:pos="885"/>
              </w:tabs>
              <w:spacing w:before="40" w:after="40" w:line="240" w:lineRule="auto"/>
              <w:rPr>
                <w:rFonts w:ascii="Arial Narrow" w:hAnsi="Arial Narrow"/>
                <w:b/>
                <w:sz w:val="20"/>
                <w:szCs w:val="20"/>
              </w:rPr>
            </w:pPr>
            <w:r w:rsidRPr="008602A5">
              <w:rPr>
                <w:rFonts w:ascii="Arial Narrow" w:hAnsi="Arial Narrow"/>
                <w:b/>
                <w:sz w:val="20"/>
                <w:szCs w:val="20"/>
              </w:rPr>
              <w:t>5 – 7.5 mg/day</w:t>
            </w:r>
          </w:p>
        </w:tc>
      </w:tr>
      <w:tr w:rsidR="00A2748D" w:rsidRPr="00772105" w14:paraId="57ECF6A5" w14:textId="77777777" w:rsidTr="007E2FA1">
        <w:tc>
          <w:tcPr>
            <w:tcW w:w="1207" w:type="pct"/>
            <w:shd w:val="clear" w:color="auto" w:fill="auto"/>
          </w:tcPr>
          <w:p w14:paraId="771C4198" w14:textId="77777777" w:rsidR="00A2748D" w:rsidRDefault="00A2748D" w:rsidP="0058648B">
            <w:pPr>
              <w:spacing w:before="40" w:after="40" w:line="240" w:lineRule="auto"/>
              <w:rPr>
                <w:rFonts w:ascii="Arial Narrow" w:hAnsi="Arial Narrow"/>
                <w:sz w:val="20"/>
                <w:szCs w:val="20"/>
              </w:rPr>
            </w:pPr>
            <w:r>
              <w:rPr>
                <w:rFonts w:ascii="Arial Narrow" w:hAnsi="Arial Narrow"/>
                <w:sz w:val="20"/>
                <w:szCs w:val="20"/>
              </w:rPr>
              <w:t>Epistaxis</w:t>
            </w:r>
          </w:p>
        </w:tc>
        <w:tc>
          <w:tcPr>
            <w:tcW w:w="969" w:type="pct"/>
          </w:tcPr>
          <w:p w14:paraId="120D6386"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1.4</w:t>
            </w:r>
          </w:p>
        </w:tc>
        <w:tc>
          <w:tcPr>
            <w:tcW w:w="968" w:type="pct"/>
          </w:tcPr>
          <w:p w14:paraId="26AFD689" w14:textId="77777777" w:rsidR="00A2748D"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6.6</w:t>
            </w:r>
          </w:p>
        </w:tc>
        <w:tc>
          <w:tcPr>
            <w:tcW w:w="967" w:type="pct"/>
          </w:tcPr>
          <w:p w14:paraId="42C60ADB"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4.9</w:t>
            </w:r>
          </w:p>
        </w:tc>
        <w:tc>
          <w:tcPr>
            <w:tcW w:w="889" w:type="pct"/>
          </w:tcPr>
          <w:p w14:paraId="429B392B"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5.1</w:t>
            </w:r>
          </w:p>
        </w:tc>
      </w:tr>
      <w:tr w:rsidR="00A2748D" w:rsidRPr="00772105" w14:paraId="1C079F8A" w14:textId="77777777" w:rsidTr="007E2FA1">
        <w:tc>
          <w:tcPr>
            <w:tcW w:w="1207" w:type="pct"/>
            <w:shd w:val="clear" w:color="auto" w:fill="auto"/>
          </w:tcPr>
          <w:p w14:paraId="38BEF17B" w14:textId="77777777" w:rsidR="00A2748D" w:rsidRDefault="00A2748D" w:rsidP="0058648B">
            <w:pPr>
              <w:spacing w:before="40" w:after="40" w:line="240" w:lineRule="auto"/>
              <w:rPr>
                <w:rFonts w:ascii="Arial Narrow" w:hAnsi="Arial Narrow"/>
                <w:sz w:val="20"/>
                <w:szCs w:val="20"/>
              </w:rPr>
            </w:pPr>
            <w:r>
              <w:rPr>
                <w:rFonts w:ascii="Arial Narrow" w:hAnsi="Arial Narrow"/>
                <w:sz w:val="20"/>
                <w:szCs w:val="20"/>
              </w:rPr>
              <w:t>Weight gain</w:t>
            </w:r>
          </w:p>
        </w:tc>
        <w:tc>
          <w:tcPr>
            <w:tcW w:w="969" w:type="pct"/>
          </w:tcPr>
          <w:p w14:paraId="1042D7D9"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8.7</w:t>
            </w:r>
          </w:p>
        </w:tc>
        <w:tc>
          <w:tcPr>
            <w:tcW w:w="968" w:type="pct"/>
          </w:tcPr>
          <w:p w14:paraId="6F5F6357" w14:textId="77777777" w:rsidR="00A2748D"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22.4</w:t>
            </w:r>
          </w:p>
        </w:tc>
        <w:tc>
          <w:tcPr>
            <w:tcW w:w="967" w:type="pct"/>
          </w:tcPr>
          <w:p w14:paraId="3972F3B2"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21.3</w:t>
            </w:r>
          </w:p>
        </w:tc>
        <w:tc>
          <w:tcPr>
            <w:tcW w:w="889" w:type="pct"/>
          </w:tcPr>
          <w:p w14:paraId="09FBCD82"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19.6</w:t>
            </w:r>
          </w:p>
        </w:tc>
      </w:tr>
      <w:tr w:rsidR="008602A5" w:rsidRPr="008602A5" w14:paraId="2DF8071F" w14:textId="77777777" w:rsidTr="008602A5">
        <w:tc>
          <w:tcPr>
            <w:tcW w:w="5000" w:type="pct"/>
            <w:gridSpan w:val="5"/>
            <w:shd w:val="clear" w:color="auto" w:fill="auto"/>
          </w:tcPr>
          <w:p w14:paraId="6B802428" w14:textId="77777777" w:rsidR="008602A5" w:rsidRPr="008602A5" w:rsidRDefault="008602A5" w:rsidP="0058648B">
            <w:pPr>
              <w:tabs>
                <w:tab w:val="left" w:pos="885"/>
              </w:tabs>
              <w:spacing w:before="40" w:after="40" w:line="240" w:lineRule="auto"/>
              <w:rPr>
                <w:rFonts w:ascii="Arial Narrow" w:hAnsi="Arial Narrow"/>
                <w:b/>
                <w:sz w:val="20"/>
                <w:szCs w:val="20"/>
              </w:rPr>
            </w:pPr>
            <w:r w:rsidRPr="008602A5">
              <w:rPr>
                <w:rFonts w:ascii="Arial Narrow" w:hAnsi="Arial Narrow"/>
                <w:b/>
                <w:sz w:val="20"/>
                <w:szCs w:val="20"/>
              </w:rPr>
              <w:t>&gt; 7.5 mg/day</w:t>
            </w:r>
          </w:p>
        </w:tc>
      </w:tr>
      <w:tr w:rsidR="008602A5" w:rsidRPr="00772105" w14:paraId="2CA7AE8E" w14:textId="77777777" w:rsidTr="007E2FA1">
        <w:tc>
          <w:tcPr>
            <w:tcW w:w="1207" w:type="pct"/>
            <w:shd w:val="clear" w:color="auto" w:fill="auto"/>
          </w:tcPr>
          <w:p w14:paraId="1F35FC04" w14:textId="77777777" w:rsidR="008602A5" w:rsidRPr="00366915" w:rsidRDefault="008602A5" w:rsidP="0058648B">
            <w:pPr>
              <w:spacing w:before="40" w:after="40" w:line="240" w:lineRule="auto"/>
              <w:rPr>
                <w:rFonts w:ascii="Arial Narrow" w:hAnsi="Arial Narrow"/>
                <w:sz w:val="20"/>
                <w:szCs w:val="20"/>
              </w:rPr>
            </w:pPr>
            <w:r>
              <w:rPr>
                <w:rFonts w:ascii="Arial Narrow" w:hAnsi="Arial Narrow"/>
                <w:sz w:val="20"/>
                <w:szCs w:val="20"/>
              </w:rPr>
              <w:t>Increased blood pressure</w:t>
            </w:r>
          </w:p>
        </w:tc>
        <w:tc>
          <w:tcPr>
            <w:tcW w:w="969" w:type="pct"/>
          </w:tcPr>
          <w:p w14:paraId="7511F16D" w14:textId="77777777" w:rsidR="008602A5"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18.8</w:t>
            </w:r>
          </w:p>
        </w:tc>
        <w:tc>
          <w:tcPr>
            <w:tcW w:w="968" w:type="pct"/>
          </w:tcPr>
          <w:p w14:paraId="4C67E9D8" w14:textId="77777777" w:rsidR="008602A5"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16.4</w:t>
            </w:r>
          </w:p>
        </w:tc>
        <w:tc>
          <w:tcPr>
            <w:tcW w:w="967" w:type="pct"/>
          </w:tcPr>
          <w:p w14:paraId="4982D810" w14:textId="77777777" w:rsidR="008602A5"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23.0</w:t>
            </w:r>
          </w:p>
        </w:tc>
        <w:tc>
          <w:tcPr>
            <w:tcW w:w="889" w:type="pct"/>
          </w:tcPr>
          <w:p w14:paraId="3BA7BA6D" w14:textId="77777777" w:rsidR="008602A5"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18.2</w:t>
            </w:r>
          </w:p>
        </w:tc>
      </w:tr>
      <w:tr w:rsidR="00A2748D" w:rsidRPr="00772105" w14:paraId="6C22C568" w14:textId="77777777" w:rsidTr="007E2FA1">
        <w:tc>
          <w:tcPr>
            <w:tcW w:w="1207" w:type="pct"/>
            <w:shd w:val="clear" w:color="auto" w:fill="auto"/>
          </w:tcPr>
          <w:p w14:paraId="37E057F3" w14:textId="77777777" w:rsidR="00A2748D" w:rsidRDefault="00A2748D" w:rsidP="0058648B">
            <w:pPr>
              <w:spacing w:before="40" w:after="40" w:line="240" w:lineRule="auto"/>
              <w:rPr>
                <w:rFonts w:ascii="Arial Narrow" w:hAnsi="Arial Narrow"/>
                <w:sz w:val="20"/>
                <w:szCs w:val="20"/>
              </w:rPr>
            </w:pPr>
            <w:r>
              <w:rPr>
                <w:rFonts w:ascii="Arial Narrow" w:hAnsi="Arial Narrow"/>
                <w:sz w:val="20"/>
                <w:szCs w:val="20"/>
              </w:rPr>
              <w:t>Depression, listlessness</w:t>
            </w:r>
          </w:p>
        </w:tc>
        <w:tc>
          <w:tcPr>
            <w:tcW w:w="969" w:type="pct"/>
          </w:tcPr>
          <w:p w14:paraId="349AE15E"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10.1</w:t>
            </w:r>
          </w:p>
        </w:tc>
        <w:tc>
          <w:tcPr>
            <w:tcW w:w="968" w:type="pct"/>
          </w:tcPr>
          <w:p w14:paraId="34C48FB1" w14:textId="77777777" w:rsidR="00A2748D"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13.7</w:t>
            </w:r>
          </w:p>
        </w:tc>
        <w:tc>
          <w:tcPr>
            <w:tcW w:w="967" w:type="pct"/>
          </w:tcPr>
          <w:p w14:paraId="73C94A25" w14:textId="77777777" w:rsidR="00A2748D"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19.7</w:t>
            </w:r>
          </w:p>
        </w:tc>
        <w:tc>
          <w:tcPr>
            <w:tcW w:w="889" w:type="pct"/>
          </w:tcPr>
          <w:p w14:paraId="0C2E6D46" w14:textId="77777777" w:rsidR="00A2748D" w:rsidRPr="00584B4C" w:rsidRDefault="00A2748D" w:rsidP="0058648B">
            <w:pPr>
              <w:tabs>
                <w:tab w:val="left" w:pos="885"/>
              </w:tabs>
              <w:spacing w:before="40" w:after="40" w:line="240" w:lineRule="auto"/>
              <w:rPr>
                <w:rFonts w:ascii="Arial Narrow" w:hAnsi="Arial Narrow"/>
                <w:sz w:val="20"/>
                <w:szCs w:val="20"/>
              </w:rPr>
            </w:pPr>
            <w:r>
              <w:rPr>
                <w:rFonts w:ascii="Arial Narrow" w:hAnsi="Arial Narrow"/>
                <w:sz w:val="20"/>
                <w:szCs w:val="20"/>
              </w:rPr>
              <w:t>14.1</w:t>
            </w:r>
          </w:p>
        </w:tc>
      </w:tr>
      <w:tr w:rsidR="008602A5" w:rsidRPr="00772105" w14:paraId="7931E55F" w14:textId="77777777" w:rsidTr="007E2FA1">
        <w:tc>
          <w:tcPr>
            <w:tcW w:w="1207" w:type="pct"/>
            <w:shd w:val="clear" w:color="auto" w:fill="auto"/>
          </w:tcPr>
          <w:p w14:paraId="0CFC22B7" w14:textId="77777777" w:rsidR="008602A5" w:rsidRDefault="008602A5" w:rsidP="0058648B">
            <w:pPr>
              <w:spacing w:before="40" w:after="40" w:line="240" w:lineRule="auto"/>
              <w:rPr>
                <w:rFonts w:ascii="Arial Narrow" w:hAnsi="Arial Narrow"/>
                <w:sz w:val="20"/>
                <w:szCs w:val="20"/>
              </w:rPr>
            </w:pPr>
            <w:r>
              <w:rPr>
                <w:rFonts w:ascii="Arial Narrow" w:hAnsi="Arial Narrow"/>
                <w:sz w:val="20"/>
                <w:szCs w:val="20"/>
              </w:rPr>
              <w:t>Glaucoma</w:t>
            </w:r>
          </w:p>
        </w:tc>
        <w:tc>
          <w:tcPr>
            <w:tcW w:w="969" w:type="pct"/>
          </w:tcPr>
          <w:p w14:paraId="3FCC8ABE" w14:textId="77777777" w:rsidR="008602A5"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2.9</w:t>
            </w:r>
          </w:p>
        </w:tc>
        <w:tc>
          <w:tcPr>
            <w:tcW w:w="968" w:type="pct"/>
          </w:tcPr>
          <w:p w14:paraId="24F360B5" w14:textId="77777777" w:rsidR="008602A5"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2.7</w:t>
            </w:r>
          </w:p>
        </w:tc>
        <w:tc>
          <w:tcPr>
            <w:tcW w:w="967" w:type="pct"/>
          </w:tcPr>
          <w:p w14:paraId="27D1D6BF" w14:textId="77777777" w:rsidR="008602A5"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6.6</w:t>
            </w:r>
          </w:p>
        </w:tc>
        <w:tc>
          <w:tcPr>
            <w:tcW w:w="889" w:type="pct"/>
          </w:tcPr>
          <w:p w14:paraId="382832CE" w14:textId="77777777" w:rsidR="008602A5" w:rsidRPr="00584B4C" w:rsidRDefault="008602A5" w:rsidP="0058648B">
            <w:pPr>
              <w:tabs>
                <w:tab w:val="left" w:pos="885"/>
              </w:tabs>
              <w:spacing w:before="40" w:after="40" w:line="240" w:lineRule="auto"/>
              <w:rPr>
                <w:rFonts w:ascii="Arial Narrow" w:hAnsi="Arial Narrow"/>
                <w:sz w:val="20"/>
                <w:szCs w:val="20"/>
              </w:rPr>
            </w:pPr>
            <w:r>
              <w:rPr>
                <w:rFonts w:ascii="Arial Narrow" w:hAnsi="Arial Narrow"/>
                <w:sz w:val="20"/>
                <w:szCs w:val="20"/>
              </w:rPr>
              <w:t>3.5</w:t>
            </w:r>
          </w:p>
        </w:tc>
      </w:tr>
    </w:tbl>
    <w:p w14:paraId="0A3953DE" w14:textId="77777777" w:rsidR="009249D5" w:rsidRDefault="00E479D0" w:rsidP="00E479D0">
      <w:pPr>
        <w:pStyle w:val="Tablenote"/>
      </w:pPr>
      <w:r>
        <w:t>Abbreviations: AE = adverse event; GC = glucocorticoids</w:t>
      </w:r>
      <w:r w:rsidR="001F32A1">
        <w:t>; RA = rheumatoid arthritis</w:t>
      </w:r>
    </w:p>
    <w:p w14:paraId="545323EB" w14:textId="5C67F7C2" w:rsidR="009249D5" w:rsidRPr="00076DE6" w:rsidRDefault="008B1A93" w:rsidP="00192373">
      <w:pPr>
        <w:jc w:val="both"/>
      </w:pPr>
      <w:r w:rsidRPr="008B1A93">
        <w:t xml:space="preserve">The smaller study by van Lieverloo et al </w:t>
      </w:r>
      <w:r w:rsidR="00B727D6">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rsidR="00B727D6">
        <w:instrText xml:space="preserve"> ADDIN EN.CITE </w:instrText>
      </w:r>
      <w:r w:rsidR="00B727D6">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3" w:tooltip="van Lieverloo, 2018 #13" w:history="1">
        <w:r w:rsidR="00D726F6">
          <w:rPr>
            <w:noProof/>
          </w:rPr>
          <w:t>van Lieverloo et al. 2018</w:t>
        </w:r>
      </w:hyperlink>
      <w:r w:rsidR="00B727D6">
        <w:rPr>
          <w:noProof/>
        </w:rPr>
        <w:t>)</w:t>
      </w:r>
      <w:r w:rsidR="00B727D6">
        <w:fldChar w:fldCharType="end"/>
      </w:r>
      <w:r w:rsidRPr="008B1A93">
        <w:t xml:space="preserve"> included patients with CIDP, and analysed data from three treatment centres. Of the study population of 125 patients, 10 (8%) were reported to have experienced a moderate AE. Nine of the patients were treated with prednisolone, and one with dexamethasone. The AEs were not fully described, but included hypertension, diabetes </w:t>
      </w:r>
      <w:r w:rsidR="00E479D0" w:rsidRPr="008B1A93">
        <w:t>mellitus</w:t>
      </w:r>
      <w:r w:rsidRPr="008B1A93">
        <w:t xml:space="preserve"> </w:t>
      </w:r>
      <w:r w:rsidR="000D0179">
        <w:t>de novo, glaucoma, depression, C</w:t>
      </w:r>
      <w:r w:rsidRPr="008B1A93">
        <w:t>ushingoid appearance, and gastro-intestinal complaints. Severe AEs occurred in two patients (1.6%) treated with prednisolone. One event was a se</w:t>
      </w:r>
      <w:r w:rsidR="000C6A02">
        <w:t>v</w:t>
      </w:r>
      <w:r w:rsidRPr="008B1A93">
        <w:t>ere case of hypertension, and the other was an acute myocardial infarction. Mild AEs were not reported, and no dose comparison was performed. The majority of patients were treated with oral prednisolone (53.6%), and the remainder were treated with either oral pulsed dexamethasone (29.6%), or</w:t>
      </w:r>
      <w:r w:rsidR="00D829C4">
        <w:t xml:space="preserve"> pulsed</w:t>
      </w:r>
      <w:r w:rsidRPr="008B1A93">
        <w:t xml:space="preserve"> </w:t>
      </w:r>
      <w:r w:rsidR="00D829C4">
        <w:t>IVMP</w:t>
      </w:r>
      <w:r w:rsidRPr="008B1A93">
        <w:t xml:space="preserve"> (16.8%). The authors stated that the patients treated with prednisolone were more severely affected</w:t>
      </w:r>
      <w:r w:rsidR="00E64A7A">
        <w:t xml:space="preserve"> by their disease</w:t>
      </w:r>
      <w:r w:rsidRPr="008B1A93">
        <w:t xml:space="preserve"> than the other treatment groups (MRC sum score p = 0.003; walking unassisted p = 0.01), which may </w:t>
      </w:r>
      <w:r w:rsidR="00D829C4">
        <w:t xml:space="preserve">have contributed to </w:t>
      </w:r>
      <w:r w:rsidRPr="008B1A93">
        <w:t>the higher rate of moderate and severe AEs in the prednisolone group.</w:t>
      </w:r>
    </w:p>
    <w:p w14:paraId="1495D806" w14:textId="77777777" w:rsidR="0066686B" w:rsidRPr="00E3331A" w:rsidRDefault="0066686B" w:rsidP="0066686B">
      <w:pPr>
        <w:pStyle w:val="Heading3"/>
        <w:jc w:val="both"/>
      </w:pPr>
      <w:bookmarkStart w:id="211" w:name="_Toc69305564"/>
      <w:r w:rsidRPr="00E3331A">
        <w:t xml:space="preserve">Adverse events in patients receiving </w:t>
      </w:r>
      <w:r w:rsidR="0025076A">
        <w:t>IVIg</w:t>
      </w:r>
      <w:r w:rsidR="0025076A" w:rsidRPr="00E3331A">
        <w:t xml:space="preserve"> </w:t>
      </w:r>
      <w:r w:rsidR="00C53E6E">
        <w:t>in an outpatient setting</w:t>
      </w:r>
      <w:bookmarkEnd w:id="211"/>
    </w:p>
    <w:p w14:paraId="538D1600" w14:textId="56EF706B" w:rsidR="00832A4E" w:rsidRDefault="00C53E6E" w:rsidP="00192373">
      <w:pPr>
        <w:jc w:val="both"/>
      </w:pPr>
      <w:r>
        <w:t>One retrospective cohort analysis provided data on AEs for 438 patients with neuromuscular diseases receiving IVIg</w:t>
      </w:r>
      <w:r w:rsidR="002F7C2E">
        <w:t xml:space="preserve"> </w:t>
      </w:r>
      <w:r w:rsidR="00B727D6">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sidR="00B727D6">
        <w:instrText xml:space="preserve"> ADDIN EN.CITE </w:instrText>
      </w:r>
      <w:r w:rsidR="00B727D6">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7" w:tooltip="Waheed, 2019 #14" w:history="1">
        <w:r w:rsidR="00D726F6">
          <w:rPr>
            <w:noProof/>
          </w:rPr>
          <w:t>Waheed et al. 2019</w:t>
        </w:r>
      </w:hyperlink>
      <w:r w:rsidR="00B727D6">
        <w:rPr>
          <w:noProof/>
        </w:rPr>
        <w:t>)</w:t>
      </w:r>
      <w:r w:rsidR="00B727D6">
        <w:fldChar w:fldCharType="end"/>
      </w:r>
      <w:r>
        <w:t xml:space="preserve">. The patient group included 221 patients with CIDP (50.5%), data for </w:t>
      </w:r>
      <w:r w:rsidR="00E64A7A">
        <w:t>whom</w:t>
      </w:r>
      <w:r>
        <w:t xml:space="preserve"> were reported separately. The patients were treated at home by a specialty home infusion provider</w:t>
      </w:r>
      <w:r w:rsidR="00140662">
        <w:t xml:space="preserve">, or at a specialty home infusion pharmacy treatment centre within a </w:t>
      </w:r>
      <w:r w:rsidR="0067548C">
        <w:t xml:space="preserve">seven </w:t>
      </w:r>
      <w:r w:rsidR="00154241">
        <w:t>month</w:t>
      </w:r>
      <w:r w:rsidR="00140662">
        <w:t xml:space="preserve"> period in 2010. The specialty provider and treatment centres were jointly managed an</w:t>
      </w:r>
      <w:r w:rsidR="0080676E">
        <w:t>d operated by a company in the U</w:t>
      </w:r>
      <w:r w:rsidR="00140662">
        <w:t xml:space="preserve">nited States. </w:t>
      </w:r>
      <w:r w:rsidR="0080676E">
        <w:t>D</w:t>
      </w:r>
      <w:r w:rsidR="00140662">
        <w:t xml:space="preserve">ata </w:t>
      </w:r>
      <w:r w:rsidR="0080676E">
        <w:t xml:space="preserve">for AEs related to IVIg were extracted from the company database in a standardised manner, so </w:t>
      </w:r>
      <w:r w:rsidR="001742F8">
        <w:t xml:space="preserve">some </w:t>
      </w:r>
      <w:r w:rsidR="0080676E">
        <w:t>infrequent observations were not considered in the analysis</w:t>
      </w:r>
      <w:r w:rsidR="001742F8">
        <w:t xml:space="preserve"> if they were not listed on the standardised data collection form</w:t>
      </w:r>
      <w:r w:rsidR="0080676E">
        <w:t>. There were</w:t>
      </w:r>
      <w:r w:rsidR="00140662">
        <w:t xml:space="preserve"> 5867 infusions in total, including 3256 infusions for patients with CIDP, </w:t>
      </w:r>
      <w:r w:rsidR="0080676E">
        <w:t>within the data collection period</w:t>
      </w:r>
      <w:r w:rsidR="00140662">
        <w:t xml:space="preserve">. </w:t>
      </w:r>
      <w:r w:rsidR="00E13030">
        <w:t xml:space="preserve">Other diagnostic categories within the population were MG (80 patients, 18.3%), and myositis (56 patients, 12.8%). </w:t>
      </w:r>
      <w:r w:rsidR="001521E0">
        <w:t xml:space="preserve">The median follow-up time across the study was 21 weeks (IQR 7 – 27 weeks), however 8% of the overall population </w:t>
      </w:r>
      <w:r w:rsidR="00E9096F">
        <w:t>had undergone their first-lifetime IVIg course a</w:t>
      </w:r>
      <w:r w:rsidR="00E64A7A">
        <w:t>t</w:t>
      </w:r>
      <w:r w:rsidR="00E9096F">
        <w:t xml:space="preserve"> the time of data collection. </w:t>
      </w:r>
      <w:r w:rsidR="002F7C2E">
        <w:t xml:space="preserve">A summary of </w:t>
      </w:r>
      <w:r w:rsidR="001742F8">
        <w:t>essenti</w:t>
      </w:r>
      <w:r w:rsidR="002F7C2E">
        <w:t xml:space="preserve">al characteristics of the study is found in </w:t>
      </w:r>
      <w:r w:rsidR="002F7C2E">
        <w:fldChar w:fldCharType="begin"/>
      </w:r>
      <w:r w:rsidR="002F7C2E">
        <w:instrText xml:space="preserve"> REF _Ref57294599 \h </w:instrText>
      </w:r>
      <w:r w:rsidR="002F7C2E">
        <w:fldChar w:fldCharType="separate"/>
      </w:r>
      <w:r w:rsidR="004B3EA2">
        <w:t xml:space="preserve">Table </w:t>
      </w:r>
      <w:r w:rsidR="004B3EA2">
        <w:rPr>
          <w:noProof/>
        </w:rPr>
        <w:t>22</w:t>
      </w:r>
      <w:r w:rsidR="002F7C2E">
        <w:fldChar w:fldCharType="end"/>
      </w:r>
      <w:r w:rsidR="002F7C2E">
        <w:t>.</w:t>
      </w:r>
    </w:p>
    <w:p w14:paraId="6691E433" w14:textId="75DED491" w:rsidR="002F7C2E" w:rsidRDefault="002F7C2E" w:rsidP="002F7C2E">
      <w:pPr>
        <w:pStyle w:val="Caption"/>
      </w:pPr>
      <w:bookmarkStart w:id="212" w:name="_Ref57294599"/>
      <w:bookmarkStart w:id="213" w:name="_Toc69305663"/>
      <w:r>
        <w:t xml:space="preserve">Table </w:t>
      </w:r>
      <w:r w:rsidR="00003BA5">
        <w:fldChar w:fldCharType="begin"/>
      </w:r>
      <w:r w:rsidR="00003BA5">
        <w:instrText xml:space="preserve"> SEQ Table \* ARABIC </w:instrText>
      </w:r>
      <w:r w:rsidR="00003BA5">
        <w:fldChar w:fldCharType="separate"/>
      </w:r>
      <w:r w:rsidR="004B3EA2">
        <w:rPr>
          <w:noProof/>
        </w:rPr>
        <w:t>22</w:t>
      </w:r>
      <w:r w:rsidR="00003BA5">
        <w:rPr>
          <w:noProof/>
        </w:rPr>
        <w:fldChar w:fldCharType="end"/>
      </w:r>
      <w:bookmarkEnd w:id="212"/>
      <w:r>
        <w:tab/>
        <w:t>Studies reporting adverse events in patients receiving IVIg therapy</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udies reporting adverse events in patients receiving IVIg therapy"/>
        <w:tblDescription w:val="Studies reporting adverse events in patients receiving IVIg therapy"/>
      </w:tblPr>
      <w:tblGrid>
        <w:gridCol w:w="2122"/>
        <w:gridCol w:w="2375"/>
        <w:gridCol w:w="1167"/>
        <w:gridCol w:w="1277"/>
        <w:gridCol w:w="2075"/>
      </w:tblGrid>
      <w:tr w:rsidR="002F7C2E" w:rsidRPr="00E3331A" w14:paraId="695CBA63" w14:textId="77777777" w:rsidTr="003E7EE3">
        <w:trPr>
          <w:tblHeader/>
        </w:trPr>
        <w:tc>
          <w:tcPr>
            <w:tcW w:w="1177" w:type="pct"/>
            <w:shd w:val="clear" w:color="auto" w:fill="auto"/>
          </w:tcPr>
          <w:p w14:paraId="05EC6F71" w14:textId="77777777" w:rsidR="002F7C2E" w:rsidRDefault="002F7C2E" w:rsidP="002F7C2E">
            <w:pPr>
              <w:pStyle w:val="TableHeading"/>
            </w:pPr>
            <w:r w:rsidRPr="00E3331A">
              <w:t>Study ID</w:t>
            </w:r>
          </w:p>
          <w:p w14:paraId="5A7BFFA4" w14:textId="77777777" w:rsidR="002F7C2E" w:rsidRDefault="002F7C2E" w:rsidP="002F7C2E">
            <w:pPr>
              <w:pStyle w:val="TableHeading"/>
            </w:pPr>
            <w:r>
              <w:t>Country</w:t>
            </w:r>
          </w:p>
          <w:p w14:paraId="620B1C41" w14:textId="77777777" w:rsidR="002F7C2E" w:rsidRDefault="002F7C2E" w:rsidP="002F7C2E">
            <w:pPr>
              <w:pStyle w:val="TableHeading"/>
            </w:pPr>
            <w:r>
              <w:t>Study design</w:t>
            </w:r>
          </w:p>
          <w:p w14:paraId="5F47D61C" w14:textId="77777777" w:rsidR="003E7EE3" w:rsidRPr="00E3331A" w:rsidRDefault="003E7EE3" w:rsidP="002F7C2E">
            <w:pPr>
              <w:pStyle w:val="TableHeading"/>
            </w:pPr>
            <w:r>
              <w:t>ROB</w:t>
            </w:r>
          </w:p>
        </w:tc>
        <w:tc>
          <w:tcPr>
            <w:tcW w:w="1317" w:type="pct"/>
            <w:shd w:val="clear" w:color="auto" w:fill="auto"/>
          </w:tcPr>
          <w:p w14:paraId="61EDCA9C" w14:textId="77777777" w:rsidR="002F7C2E" w:rsidRPr="00E3331A" w:rsidRDefault="002F7C2E" w:rsidP="003E7EE3">
            <w:pPr>
              <w:pStyle w:val="TableHeading"/>
            </w:pPr>
            <w:r>
              <w:t>Population/inclusion criteria</w:t>
            </w:r>
          </w:p>
        </w:tc>
        <w:tc>
          <w:tcPr>
            <w:tcW w:w="647" w:type="pct"/>
            <w:shd w:val="clear" w:color="auto" w:fill="auto"/>
          </w:tcPr>
          <w:p w14:paraId="7A82A5B9" w14:textId="77777777" w:rsidR="002F7C2E" w:rsidRPr="00E3331A" w:rsidRDefault="002F7C2E" w:rsidP="003E7EE3">
            <w:pPr>
              <w:pStyle w:val="TableHeading"/>
            </w:pPr>
            <w:r>
              <w:t>Intervention</w:t>
            </w:r>
          </w:p>
        </w:tc>
        <w:tc>
          <w:tcPr>
            <w:tcW w:w="708" w:type="pct"/>
            <w:shd w:val="clear" w:color="auto" w:fill="auto"/>
          </w:tcPr>
          <w:p w14:paraId="011CAF5C" w14:textId="77777777" w:rsidR="002F7C2E" w:rsidRPr="00E3331A" w:rsidRDefault="002F7C2E" w:rsidP="002F7C2E">
            <w:pPr>
              <w:pStyle w:val="TableHeading"/>
            </w:pPr>
            <w:r>
              <w:t>Observation period</w:t>
            </w:r>
          </w:p>
        </w:tc>
        <w:tc>
          <w:tcPr>
            <w:tcW w:w="1151" w:type="pct"/>
            <w:shd w:val="clear" w:color="auto" w:fill="auto"/>
          </w:tcPr>
          <w:p w14:paraId="4480075B" w14:textId="77777777" w:rsidR="002F7C2E" w:rsidRDefault="002F7C2E" w:rsidP="002F7C2E">
            <w:pPr>
              <w:pStyle w:val="TableHeading"/>
            </w:pPr>
            <w:r>
              <w:t>Adverse events overall</w:t>
            </w:r>
          </w:p>
          <w:p w14:paraId="7EA70AF8" w14:textId="77777777" w:rsidR="002F7C2E" w:rsidRPr="00E3331A" w:rsidRDefault="002F7C2E" w:rsidP="002F7C2E">
            <w:pPr>
              <w:pStyle w:val="TableHeading"/>
            </w:pPr>
            <w:r>
              <w:t>n (%)</w:t>
            </w:r>
          </w:p>
        </w:tc>
      </w:tr>
      <w:tr w:rsidR="002F7C2E" w:rsidRPr="00E3331A" w14:paraId="398A56C4" w14:textId="77777777" w:rsidTr="003E7EE3">
        <w:tc>
          <w:tcPr>
            <w:tcW w:w="1177" w:type="pct"/>
            <w:shd w:val="clear" w:color="auto" w:fill="auto"/>
          </w:tcPr>
          <w:p w14:paraId="25675031" w14:textId="3AB8A12C" w:rsidR="002F7C2E" w:rsidRDefault="00B727D6" w:rsidP="002F7C2E">
            <w:pPr>
              <w:pStyle w:val="Tabletext1"/>
            </w:pPr>
            <w:r>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fldChar w:fldCharType="separate"/>
            </w:r>
            <w:r>
              <w:rPr>
                <w:noProof/>
              </w:rPr>
              <w:t>(</w:t>
            </w:r>
            <w:hyperlink w:anchor="_ENREF_77" w:tooltip="Waheed, 2019 #14" w:history="1">
              <w:r w:rsidR="00D726F6">
                <w:rPr>
                  <w:noProof/>
                </w:rPr>
                <w:t>Waheed et al. 2019</w:t>
              </w:r>
            </w:hyperlink>
            <w:r>
              <w:rPr>
                <w:noProof/>
              </w:rPr>
              <w:t>)</w:t>
            </w:r>
            <w:r>
              <w:fldChar w:fldCharType="end"/>
            </w:r>
          </w:p>
          <w:p w14:paraId="077C34AE" w14:textId="77777777" w:rsidR="002F7C2E" w:rsidRDefault="002F7C2E" w:rsidP="002F7C2E">
            <w:pPr>
              <w:pStyle w:val="Tabletext1"/>
            </w:pPr>
            <w:r>
              <w:t>United States</w:t>
            </w:r>
          </w:p>
          <w:p w14:paraId="42FDB8A0" w14:textId="77777777" w:rsidR="002F7C2E" w:rsidRDefault="002F7C2E" w:rsidP="002F7C2E">
            <w:pPr>
              <w:pStyle w:val="Tabletext1"/>
            </w:pPr>
            <w:r>
              <w:t>R O MC</w:t>
            </w:r>
          </w:p>
          <w:p w14:paraId="1AA09B8F" w14:textId="77777777" w:rsidR="003E7EE3" w:rsidRPr="00E3331A" w:rsidRDefault="003E7EE3" w:rsidP="002F7C2E">
            <w:pPr>
              <w:pStyle w:val="Tabletext1"/>
            </w:pPr>
            <w:r>
              <w:t xml:space="preserve">Moderate </w:t>
            </w:r>
          </w:p>
        </w:tc>
        <w:tc>
          <w:tcPr>
            <w:tcW w:w="1317" w:type="pct"/>
            <w:shd w:val="clear" w:color="auto" w:fill="auto"/>
          </w:tcPr>
          <w:p w14:paraId="1E7C70BA" w14:textId="77777777" w:rsidR="002F7C2E" w:rsidRDefault="002F7C2E" w:rsidP="002F7C2E">
            <w:pPr>
              <w:spacing w:after="0" w:line="240" w:lineRule="auto"/>
              <w:rPr>
                <w:rFonts w:ascii="Arial Narrow" w:hAnsi="Arial Narrow" w:cs="Calibri"/>
                <w:color w:val="000000"/>
                <w:sz w:val="18"/>
                <w:szCs w:val="18"/>
              </w:rPr>
            </w:pPr>
            <w:r>
              <w:rPr>
                <w:rFonts w:ascii="Arial Narrow" w:hAnsi="Arial Narrow" w:cs="Calibri"/>
                <w:color w:val="000000"/>
                <w:sz w:val="18"/>
                <w:szCs w:val="18"/>
              </w:rPr>
              <w:t xml:space="preserve">Database </w:t>
            </w:r>
            <w:r w:rsidR="003E7EE3">
              <w:rPr>
                <w:rFonts w:ascii="Arial Narrow" w:hAnsi="Arial Narrow" w:cs="Calibri"/>
                <w:color w:val="000000"/>
                <w:sz w:val="18"/>
                <w:szCs w:val="18"/>
              </w:rPr>
              <w:t>of</w:t>
            </w:r>
            <w:r>
              <w:rPr>
                <w:rFonts w:ascii="Arial Narrow" w:hAnsi="Arial Narrow" w:cs="Calibri"/>
                <w:color w:val="000000"/>
                <w:sz w:val="18"/>
                <w:szCs w:val="18"/>
              </w:rPr>
              <w:t xml:space="preserve"> a</w:t>
            </w:r>
            <w:r w:rsidR="003E7EE3">
              <w:rPr>
                <w:rFonts w:ascii="Arial Narrow" w:hAnsi="Arial Narrow" w:cs="Calibri"/>
                <w:color w:val="000000"/>
                <w:sz w:val="18"/>
                <w:szCs w:val="18"/>
              </w:rPr>
              <w:t>n</w:t>
            </w:r>
            <w:r>
              <w:rPr>
                <w:rFonts w:ascii="Arial Narrow" w:hAnsi="Arial Narrow" w:cs="Calibri"/>
                <w:color w:val="000000"/>
                <w:sz w:val="18"/>
                <w:szCs w:val="18"/>
              </w:rPr>
              <w:t xml:space="preserve"> infusion provider company; infusions provided in homes or pharmaceutical centres (outpatient setting); p</w:t>
            </w:r>
            <w:r w:rsidRPr="00AA4950">
              <w:rPr>
                <w:rFonts w:ascii="Arial Narrow" w:hAnsi="Arial Narrow" w:cs="Calibri"/>
                <w:color w:val="000000"/>
                <w:sz w:val="18"/>
                <w:szCs w:val="18"/>
              </w:rPr>
              <w:t>atients with neuromuscular</w:t>
            </w:r>
            <w:r>
              <w:rPr>
                <w:rFonts w:ascii="Arial Narrow" w:hAnsi="Arial Narrow" w:cs="Calibri"/>
                <w:color w:val="000000"/>
                <w:sz w:val="18"/>
                <w:szCs w:val="18"/>
              </w:rPr>
              <w:t xml:space="preserve"> disorders </w:t>
            </w:r>
          </w:p>
          <w:p w14:paraId="26FD56C1" w14:textId="77777777" w:rsidR="002F7C2E" w:rsidRDefault="002F7C2E" w:rsidP="002F7C2E">
            <w:pPr>
              <w:spacing w:after="0" w:line="240" w:lineRule="auto"/>
              <w:rPr>
                <w:rFonts w:ascii="Arial Narrow" w:hAnsi="Arial Narrow" w:cs="Calibri"/>
                <w:color w:val="000000"/>
                <w:sz w:val="18"/>
                <w:szCs w:val="18"/>
              </w:rPr>
            </w:pPr>
            <w:r>
              <w:rPr>
                <w:rFonts w:ascii="Arial Narrow" w:hAnsi="Arial Narrow" w:cs="Calibri"/>
                <w:color w:val="000000"/>
                <w:sz w:val="18"/>
                <w:szCs w:val="18"/>
              </w:rPr>
              <w:t xml:space="preserve">All patients : n = 438 </w:t>
            </w:r>
          </w:p>
          <w:p w14:paraId="5FF5F304" w14:textId="77777777" w:rsidR="002F7C2E" w:rsidRDefault="002F7C2E" w:rsidP="002F7C2E">
            <w:pPr>
              <w:spacing w:after="0" w:line="240" w:lineRule="auto"/>
              <w:rPr>
                <w:rFonts w:ascii="Arial Narrow" w:hAnsi="Arial Narrow" w:cs="Calibri"/>
                <w:color w:val="000000"/>
                <w:sz w:val="18"/>
                <w:szCs w:val="18"/>
              </w:rPr>
            </w:pPr>
            <w:r>
              <w:rPr>
                <w:rFonts w:ascii="Arial Narrow" w:hAnsi="Arial Narrow" w:cs="Calibri"/>
                <w:color w:val="000000"/>
                <w:sz w:val="18"/>
                <w:szCs w:val="18"/>
              </w:rPr>
              <w:t>CIDP = 221</w:t>
            </w:r>
          </w:p>
          <w:p w14:paraId="7978D689" w14:textId="77777777" w:rsidR="002F7C2E" w:rsidRDefault="002F7C2E" w:rsidP="002F7C2E">
            <w:pPr>
              <w:spacing w:after="0" w:line="240" w:lineRule="auto"/>
              <w:rPr>
                <w:rFonts w:ascii="Arial Narrow" w:hAnsi="Arial Narrow" w:cs="Calibri"/>
                <w:color w:val="000000"/>
                <w:sz w:val="18"/>
                <w:szCs w:val="18"/>
              </w:rPr>
            </w:pPr>
            <w:r>
              <w:rPr>
                <w:rFonts w:ascii="Arial Narrow" w:hAnsi="Arial Narrow" w:cs="Calibri"/>
                <w:color w:val="000000"/>
                <w:sz w:val="18"/>
                <w:szCs w:val="18"/>
              </w:rPr>
              <w:t>Infusions all: 5867</w:t>
            </w:r>
          </w:p>
          <w:p w14:paraId="2BCB502A" w14:textId="77777777" w:rsidR="002F7C2E" w:rsidRPr="00E3331A" w:rsidRDefault="002F7C2E" w:rsidP="002F7C2E">
            <w:pPr>
              <w:pStyle w:val="Tabletext1"/>
            </w:pPr>
            <w:r>
              <w:rPr>
                <w:rFonts w:cs="Calibri"/>
                <w:color w:val="000000"/>
                <w:sz w:val="18"/>
                <w:szCs w:val="18"/>
              </w:rPr>
              <w:t>Infusions CIDP: 3256</w:t>
            </w:r>
          </w:p>
        </w:tc>
        <w:tc>
          <w:tcPr>
            <w:tcW w:w="647" w:type="pct"/>
            <w:shd w:val="clear" w:color="auto" w:fill="auto"/>
          </w:tcPr>
          <w:p w14:paraId="31CF219E" w14:textId="77777777" w:rsidR="002F7C2E" w:rsidRPr="00E3331A" w:rsidRDefault="002F7C2E" w:rsidP="002F7C2E">
            <w:pPr>
              <w:pStyle w:val="Tabletext1"/>
            </w:pPr>
            <w:r>
              <w:t>IVIg</w:t>
            </w:r>
          </w:p>
        </w:tc>
        <w:tc>
          <w:tcPr>
            <w:tcW w:w="708" w:type="pct"/>
            <w:shd w:val="clear" w:color="auto" w:fill="auto"/>
          </w:tcPr>
          <w:p w14:paraId="72497360" w14:textId="77777777" w:rsidR="002F7C2E" w:rsidRDefault="002F7C2E" w:rsidP="002F7C2E">
            <w:pPr>
              <w:pStyle w:val="Tabletext1"/>
            </w:pPr>
            <w:r>
              <w:t>7</w:t>
            </w:r>
            <w:r w:rsidRPr="00167F41">
              <w:t xml:space="preserve"> months</w:t>
            </w:r>
          </w:p>
          <w:p w14:paraId="06DC26EF" w14:textId="77777777" w:rsidR="002F7C2E" w:rsidRPr="00E3331A" w:rsidRDefault="002F7C2E" w:rsidP="002F7C2E">
            <w:pPr>
              <w:pStyle w:val="Tabletext1"/>
            </w:pPr>
            <w:r>
              <w:t>Median follow-up (IQR): 21 (7, 21) weeks</w:t>
            </w:r>
          </w:p>
        </w:tc>
        <w:tc>
          <w:tcPr>
            <w:tcW w:w="1151" w:type="pct"/>
            <w:shd w:val="clear" w:color="auto" w:fill="auto"/>
          </w:tcPr>
          <w:p w14:paraId="46CE5872" w14:textId="77777777" w:rsidR="002F7C2E" w:rsidRDefault="003E7EE3" w:rsidP="002F7C2E">
            <w:pPr>
              <w:pStyle w:val="Tabletext1"/>
            </w:pPr>
            <w:r>
              <w:t xml:space="preserve">AEs </w:t>
            </w:r>
            <w:r w:rsidR="00EC7959">
              <w:t>(16.9% of patients; 2.9% of infusions)</w:t>
            </w:r>
          </w:p>
          <w:p w14:paraId="7523DB09" w14:textId="77777777" w:rsidR="002F7C2E" w:rsidRDefault="002F7C2E" w:rsidP="002F7C2E">
            <w:pPr>
              <w:pStyle w:val="Tabletext1"/>
            </w:pPr>
            <w:r>
              <w:t>Serious AEs</w:t>
            </w:r>
          </w:p>
          <w:p w14:paraId="7B96EF5D" w14:textId="77777777" w:rsidR="002F7C2E" w:rsidRDefault="002F7C2E" w:rsidP="002F7C2E">
            <w:pPr>
              <w:pStyle w:val="Tabletext1"/>
            </w:pPr>
            <w:r>
              <w:t>Dose analysis</w:t>
            </w:r>
          </w:p>
          <w:p w14:paraId="6869AFCE" w14:textId="77777777" w:rsidR="002F7C2E" w:rsidRPr="00E3331A" w:rsidRDefault="002F7C2E" w:rsidP="002F7C2E">
            <w:pPr>
              <w:pStyle w:val="Tabletext1"/>
            </w:pPr>
            <w:r>
              <w:t>Treatment number analysis</w:t>
            </w:r>
          </w:p>
        </w:tc>
      </w:tr>
    </w:tbl>
    <w:p w14:paraId="0B2F6A62" w14:textId="77777777" w:rsidR="002F7C2E" w:rsidRDefault="003E7EE3" w:rsidP="003E7EE3">
      <w:pPr>
        <w:pStyle w:val="Tablenote"/>
      </w:pPr>
      <w:r>
        <w:t>Abbreviations: AE = adverse event; CIDP = chronic inflammatory demyelinated polyneuropathy</w:t>
      </w:r>
      <w:r w:rsidR="00E13030">
        <w:t>;</w:t>
      </w:r>
      <w:r>
        <w:t xml:space="preserve"> IQR = interquartile range; IVIg = intravenous immunoglobulin therapy</w:t>
      </w:r>
      <w:r w:rsidR="001742F8">
        <w:t>; MC = multicentre; O = observational; R = retrospective</w:t>
      </w:r>
    </w:p>
    <w:p w14:paraId="3510E886" w14:textId="696053AB" w:rsidR="00140662" w:rsidRDefault="00A16B3C" w:rsidP="00192373">
      <w:pPr>
        <w:jc w:val="both"/>
      </w:pPr>
      <w:r>
        <w:t>AEs occurred in 2.9% of infusions and 16.9% of patients</w:t>
      </w:r>
      <w:r w:rsidR="00E64A7A">
        <w:t xml:space="preserve"> overall</w:t>
      </w:r>
      <w:r>
        <w:t xml:space="preserve">. By comparison, in the CIDP group, AEs occurred in 1.9% of infusions and 12.2% of patients. </w:t>
      </w:r>
      <w:r w:rsidR="00140662">
        <w:t xml:space="preserve">The most frequent AE was headache which occurred in 1.5% of infusions overall, and 0.8% of CIDP infusions. The </w:t>
      </w:r>
      <w:r w:rsidR="0080676E">
        <w:t>next</w:t>
      </w:r>
      <w:r w:rsidR="00140662">
        <w:t xml:space="preserve"> most commonly occurring AEs were hypertension (all infusions 0.5%; CIDP infusions 0.4%), rash (all infusions 0.5%; CIDP infusions 0.4%), and nausea (all infusions 0.4%; CIDP infusions </w:t>
      </w:r>
      <w:r w:rsidR="0080676E">
        <w:t>0.2%). Further AE frequencies can be seen in</w:t>
      </w:r>
      <w:r w:rsidR="002F7C2E">
        <w:t xml:space="preserve"> </w:t>
      </w:r>
      <w:r w:rsidR="002F7C2E">
        <w:fldChar w:fldCharType="begin"/>
      </w:r>
      <w:r w:rsidR="002F7C2E">
        <w:instrText xml:space="preserve"> REF _Ref57294650 \h </w:instrText>
      </w:r>
      <w:r w:rsidR="00192373">
        <w:instrText xml:space="preserve"> \* MERGEFORMAT </w:instrText>
      </w:r>
      <w:r w:rsidR="002F7C2E">
        <w:fldChar w:fldCharType="separate"/>
      </w:r>
      <w:r w:rsidR="004B3EA2">
        <w:t xml:space="preserve">Table </w:t>
      </w:r>
      <w:r w:rsidR="004B3EA2">
        <w:rPr>
          <w:noProof/>
        </w:rPr>
        <w:t>23</w:t>
      </w:r>
      <w:r w:rsidR="002F7C2E">
        <w:fldChar w:fldCharType="end"/>
      </w:r>
      <w:r w:rsidR="002F7C2E">
        <w:t>.</w:t>
      </w:r>
      <w:r w:rsidR="00E13030">
        <w:t xml:space="preserve"> </w:t>
      </w:r>
    </w:p>
    <w:p w14:paraId="64B53BFD" w14:textId="77777777" w:rsidR="00A16B3C" w:rsidRDefault="00AF145A" w:rsidP="00192373">
      <w:pPr>
        <w:jc w:val="both"/>
      </w:pPr>
      <w:r>
        <w:t xml:space="preserve">Four serious AEs were recorded, all of which were cases </w:t>
      </w:r>
      <w:r w:rsidR="00E64A7A">
        <w:t xml:space="preserve">of </w:t>
      </w:r>
      <w:r>
        <w:t>aseptic meningitis</w:t>
      </w:r>
      <w:r w:rsidR="002232D7">
        <w:t xml:space="preserve"> (</w:t>
      </w:r>
      <w:r w:rsidR="00E13030">
        <w:t>0.9% of patients)</w:t>
      </w:r>
      <w:r>
        <w:t>.</w:t>
      </w:r>
      <w:r w:rsidR="0067402C">
        <w:t xml:space="preserve"> </w:t>
      </w:r>
      <w:r w:rsidR="002232D7">
        <w:t>One of the cases occurred in a patient with CIDP</w:t>
      </w:r>
      <w:r w:rsidR="00E13030">
        <w:t xml:space="preserve"> (0.5% of patients)</w:t>
      </w:r>
      <w:r w:rsidR="002232D7">
        <w:t>.</w:t>
      </w:r>
    </w:p>
    <w:p w14:paraId="17CB348D" w14:textId="150DAD81" w:rsidR="0080676E" w:rsidRDefault="0080676E" w:rsidP="0080676E">
      <w:pPr>
        <w:pStyle w:val="Caption"/>
      </w:pPr>
      <w:bookmarkStart w:id="214" w:name="_Ref57294650"/>
      <w:bookmarkStart w:id="215" w:name="_Toc69305664"/>
      <w:r>
        <w:t xml:space="preserve">Table </w:t>
      </w:r>
      <w:r w:rsidR="00003BA5">
        <w:fldChar w:fldCharType="begin"/>
      </w:r>
      <w:r w:rsidR="00003BA5">
        <w:instrText xml:space="preserve"> SEQ Table \* ARABIC </w:instrText>
      </w:r>
      <w:r w:rsidR="00003BA5">
        <w:fldChar w:fldCharType="separate"/>
      </w:r>
      <w:r w:rsidR="004B3EA2">
        <w:rPr>
          <w:noProof/>
        </w:rPr>
        <w:t>23</w:t>
      </w:r>
      <w:r w:rsidR="00003BA5">
        <w:rPr>
          <w:noProof/>
        </w:rPr>
        <w:fldChar w:fldCharType="end"/>
      </w:r>
      <w:bookmarkEnd w:id="214"/>
      <w:r>
        <w:tab/>
      </w:r>
      <w:r w:rsidR="003E7EE3">
        <w:t xml:space="preserve">Most common </w:t>
      </w:r>
      <w:r>
        <w:t xml:space="preserve">AEs </w:t>
      </w:r>
      <w:r w:rsidR="003E7EE3">
        <w:t>in patients receiving IVIg in an outpatient setting</w:t>
      </w:r>
      <w:bookmarkEnd w:id="215"/>
      <w:r>
        <w:t xml:space="preserve"> </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ost common AEs in patients receiving IVIg in an outpatient setting "/>
        <w:tblDescription w:val="Most common AEs in patients receiving IVIg in an outpatient setting "/>
      </w:tblPr>
      <w:tblGrid>
        <w:gridCol w:w="2121"/>
        <w:gridCol w:w="1702"/>
        <w:gridCol w:w="1700"/>
        <w:gridCol w:w="1702"/>
        <w:gridCol w:w="1558"/>
      </w:tblGrid>
      <w:tr w:rsidR="003E7EE3" w:rsidRPr="00772105" w14:paraId="25B82E4E" w14:textId="77777777" w:rsidTr="003E7EE3">
        <w:trPr>
          <w:trHeight w:val="174"/>
          <w:tblHeader/>
        </w:trPr>
        <w:tc>
          <w:tcPr>
            <w:tcW w:w="1207" w:type="pct"/>
            <w:vMerge w:val="restart"/>
            <w:shd w:val="clear" w:color="auto" w:fill="auto"/>
            <w:vAlign w:val="center"/>
          </w:tcPr>
          <w:p w14:paraId="69ABBE51" w14:textId="77777777" w:rsidR="003E7EE3" w:rsidRDefault="003E7EE3" w:rsidP="002F7C2E">
            <w:pPr>
              <w:keepNext/>
              <w:spacing w:before="40" w:after="40" w:line="240" w:lineRule="auto"/>
              <w:jc w:val="center"/>
              <w:rPr>
                <w:rFonts w:ascii="Arial Narrow" w:hAnsi="Arial Narrow"/>
                <w:b/>
                <w:sz w:val="20"/>
                <w:szCs w:val="20"/>
              </w:rPr>
            </w:pPr>
            <w:r>
              <w:rPr>
                <w:rFonts w:ascii="Arial Narrow" w:hAnsi="Arial Narrow"/>
                <w:b/>
                <w:sz w:val="20"/>
                <w:szCs w:val="20"/>
              </w:rPr>
              <w:t>AE</w:t>
            </w:r>
          </w:p>
        </w:tc>
        <w:tc>
          <w:tcPr>
            <w:tcW w:w="1937" w:type="pct"/>
            <w:gridSpan w:val="2"/>
            <w:vAlign w:val="center"/>
          </w:tcPr>
          <w:p w14:paraId="7CB112FF" w14:textId="77777777" w:rsidR="003E7EE3" w:rsidRDefault="003E7EE3" w:rsidP="003E7EE3">
            <w:pPr>
              <w:tabs>
                <w:tab w:val="left" w:pos="885"/>
              </w:tabs>
              <w:spacing w:before="40" w:after="40" w:line="240" w:lineRule="auto"/>
              <w:jc w:val="center"/>
              <w:rPr>
                <w:rFonts w:ascii="Arial Narrow" w:hAnsi="Arial Narrow"/>
                <w:b/>
                <w:sz w:val="20"/>
                <w:szCs w:val="20"/>
              </w:rPr>
            </w:pPr>
            <w:r>
              <w:rPr>
                <w:rFonts w:ascii="Arial Narrow" w:hAnsi="Arial Narrow"/>
                <w:b/>
                <w:sz w:val="20"/>
                <w:szCs w:val="20"/>
              </w:rPr>
              <w:t>All patients</w:t>
            </w:r>
          </w:p>
        </w:tc>
        <w:tc>
          <w:tcPr>
            <w:tcW w:w="1856" w:type="pct"/>
            <w:gridSpan w:val="2"/>
            <w:vAlign w:val="center"/>
          </w:tcPr>
          <w:p w14:paraId="3032BE38" w14:textId="77777777" w:rsidR="003E7EE3" w:rsidRDefault="003E7EE3" w:rsidP="003E7EE3">
            <w:pPr>
              <w:tabs>
                <w:tab w:val="left" w:pos="885"/>
              </w:tabs>
              <w:spacing w:before="40" w:after="40" w:line="240" w:lineRule="auto"/>
              <w:jc w:val="center"/>
              <w:rPr>
                <w:rFonts w:ascii="Arial Narrow" w:hAnsi="Arial Narrow"/>
                <w:b/>
                <w:sz w:val="20"/>
                <w:szCs w:val="20"/>
              </w:rPr>
            </w:pPr>
            <w:r>
              <w:rPr>
                <w:rFonts w:ascii="Arial Narrow" w:hAnsi="Arial Narrow"/>
                <w:b/>
                <w:sz w:val="20"/>
                <w:szCs w:val="20"/>
              </w:rPr>
              <w:t>CIDP patients</w:t>
            </w:r>
          </w:p>
        </w:tc>
      </w:tr>
      <w:tr w:rsidR="003E7EE3" w:rsidRPr="00772105" w14:paraId="0EF7B3BD" w14:textId="77777777" w:rsidTr="003E7EE3">
        <w:trPr>
          <w:trHeight w:val="174"/>
          <w:tblHeader/>
        </w:trPr>
        <w:tc>
          <w:tcPr>
            <w:tcW w:w="1207" w:type="pct"/>
            <w:vMerge/>
            <w:shd w:val="clear" w:color="auto" w:fill="auto"/>
            <w:vAlign w:val="center"/>
          </w:tcPr>
          <w:p w14:paraId="25D53683" w14:textId="77777777" w:rsidR="003E7EE3" w:rsidRDefault="003E7EE3" w:rsidP="002F7C2E">
            <w:pPr>
              <w:keepNext/>
              <w:spacing w:before="40" w:after="40" w:line="240" w:lineRule="auto"/>
              <w:jc w:val="center"/>
              <w:rPr>
                <w:rFonts w:ascii="Arial Narrow" w:hAnsi="Arial Narrow"/>
                <w:b/>
                <w:sz w:val="20"/>
                <w:szCs w:val="20"/>
              </w:rPr>
            </w:pPr>
          </w:p>
        </w:tc>
        <w:tc>
          <w:tcPr>
            <w:tcW w:w="969" w:type="pct"/>
            <w:vAlign w:val="center"/>
          </w:tcPr>
          <w:p w14:paraId="7F9900B3" w14:textId="77777777" w:rsidR="003E7EE3" w:rsidRDefault="00A16B3C" w:rsidP="002F7C2E">
            <w:pPr>
              <w:tabs>
                <w:tab w:val="left" w:pos="885"/>
              </w:tabs>
              <w:spacing w:before="40" w:after="40" w:line="240" w:lineRule="auto"/>
              <w:rPr>
                <w:rFonts w:ascii="Arial Narrow" w:hAnsi="Arial Narrow"/>
                <w:b/>
                <w:sz w:val="20"/>
                <w:szCs w:val="20"/>
              </w:rPr>
            </w:pPr>
            <w:r>
              <w:rPr>
                <w:rFonts w:ascii="Arial Narrow" w:hAnsi="Arial Narrow"/>
                <w:b/>
                <w:sz w:val="20"/>
                <w:szCs w:val="20"/>
              </w:rPr>
              <w:t>I</w:t>
            </w:r>
            <w:r w:rsidR="003E7EE3">
              <w:rPr>
                <w:rFonts w:ascii="Arial Narrow" w:hAnsi="Arial Narrow"/>
                <w:b/>
                <w:sz w:val="20"/>
                <w:szCs w:val="20"/>
              </w:rPr>
              <w:t>nfusions</w:t>
            </w:r>
            <w:r>
              <w:rPr>
                <w:rFonts w:ascii="Arial Narrow" w:hAnsi="Arial Narrow"/>
                <w:b/>
                <w:sz w:val="20"/>
                <w:szCs w:val="20"/>
              </w:rPr>
              <w:br/>
              <w:t>n = 5867</w:t>
            </w:r>
          </w:p>
        </w:tc>
        <w:tc>
          <w:tcPr>
            <w:tcW w:w="968" w:type="pct"/>
            <w:vAlign w:val="center"/>
          </w:tcPr>
          <w:p w14:paraId="2BBCCD50" w14:textId="77777777" w:rsidR="003E7EE3" w:rsidRDefault="00A16B3C" w:rsidP="002F7C2E">
            <w:pPr>
              <w:tabs>
                <w:tab w:val="left" w:pos="885"/>
              </w:tabs>
              <w:spacing w:before="40" w:after="40" w:line="240" w:lineRule="auto"/>
              <w:rPr>
                <w:rFonts w:ascii="Arial Narrow" w:hAnsi="Arial Narrow"/>
                <w:b/>
                <w:sz w:val="20"/>
                <w:szCs w:val="20"/>
              </w:rPr>
            </w:pPr>
            <w:r>
              <w:rPr>
                <w:rFonts w:ascii="Arial Narrow" w:hAnsi="Arial Narrow"/>
                <w:b/>
                <w:sz w:val="20"/>
                <w:szCs w:val="20"/>
              </w:rPr>
              <w:t>Patients</w:t>
            </w:r>
            <w:r>
              <w:rPr>
                <w:rFonts w:ascii="Arial Narrow" w:hAnsi="Arial Narrow"/>
                <w:b/>
                <w:sz w:val="20"/>
                <w:szCs w:val="20"/>
              </w:rPr>
              <w:br/>
              <w:t>n = 438</w:t>
            </w:r>
          </w:p>
        </w:tc>
        <w:tc>
          <w:tcPr>
            <w:tcW w:w="969" w:type="pct"/>
            <w:vAlign w:val="center"/>
          </w:tcPr>
          <w:p w14:paraId="051D3A53" w14:textId="77777777" w:rsidR="003E7EE3" w:rsidRDefault="00A16B3C" w:rsidP="002F7C2E">
            <w:pPr>
              <w:tabs>
                <w:tab w:val="left" w:pos="885"/>
              </w:tabs>
              <w:spacing w:before="40" w:after="40" w:line="240" w:lineRule="auto"/>
              <w:rPr>
                <w:rFonts w:ascii="Arial Narrow" w:hAnsi="Arial Narrow"/>
                <w:b/>
                <w:sz w:val="20"/>
                <w:szCs w:val="20"/>
              </w:rPr>
            </w:pPr>
            <w:r>
              <w:rPr>
                <w:rFonts w:ascii="Arial Narrow" w:hAnsi="Arial Narrow"/>
                <w:b/>
                <w:sz w:val="20"/>
                <w:szCs w:val="20"/>
              </w:rPr>
              <w:t>Infusions</w:t>
            </w:r>
            <w:r>
              <w:rPr>
                <w:rFonts w:ascii="Arial Narrow" w:hAnsi="Arial Narrow"/>
                <w:b/>
                <w:sz w:val="20"/>
                <w:szCs w:val="20"/>
              </w:rPr>
              <w:br/>
              <w:t>n = 3256</w:t>
            </w:r>
          </w:p>
        </w:tc>
        <w:tc>
          <w:tcPr>
            <w:tcW w:w="887" w:type="pct"/>
            <w:vAlign w:val="center"/>
          </w:tcPr>
          <w:p w14:paraId="4D5347D6" w14:textId="77777777" w:rsidR="003E7EE3" w:rsidRDefault="00A16B3C" w:rsidP="002F7C2E">
            <w:pPr>
              <w:tabs>
                <w:tab w:val="left" w:pos="885"/>
              </w:tabs>
              <w:spacing w:before="40" w:after="40" w:line="240" w:lineRule="auto"/>
              <w:rPr>
                <w:rFonts w:ascii="Arial Narrow" w:hAnsi="Arial Narrow"/>
                <w:b/>
                <w:sz w:val="20"/>
                <w:szCs w:val="20"/>
              </w:rPr>
            </w:pPr>
            <w:r>
              <w:rPr>
                <w:rFonts w:ascii="Arial Narrow" w:hAnsi="Arial Narrow"/>
                <w:b/>
                <w:sz w:val="20"/>
                <w:szCs w:val="20"/>
              </w:rPr>
              <w:t>Patients</w:t>
            </w:r>
            <w:r>
              <w:rPr>
                <w:rFonts w:ascii="Arial Narrow" w:hAnsi="Arial Narrow"/>
                <w:b/>
                <w:sz w:val="20"/>
                <w:szCs w:val="20"/>
              </w:rPr>
              <w:br/>
              <w:t>n = 221</w:t>
            </w:r>
          </w:p>
        </w:tc>
      </w:tr>
      <w:tr w:rsidR="0080676E" w:rsidRPr="00772105" w14:paraId="38B166EE" w14:textId="77777777" w:rsidTr="003E7EE3">
        <w:tc>
          <w:tcPr>
            <w:tcW w:w="1207" w:type="pct"/>
            <w:shd w:val="clear" w:color="auto" w:fill="auto"/>
          </w:tcPr>
          <w:p w14:paraId="4FB708B7" w14:textId="77777777" w:rsidR="0080676E" w:rsidRDefault="00A16B3C" w:rsidP="002F7C2E">
            <w:pPr>
              <w:spacing w:before="40" w:after="40" w:line="240" w:lineRule="auto"/>
              <w:rPr>
                <w:rFonts w:ascii="Arial Narrow" w:hAnsi="Arial Narrow"/>
                <w:sz w:val="20"/>
                <w:szCs w:val="20"/>
              </w:rPr>
            </w:pPr>
            <w:r>
              <w:rPr>
                <w:rFonts w:ascii="Arial Narrow" w:hAnsi="Arial Narrow"/>
                <w:sz w:val="20"/>
                <w:szCs w:val="20"/>
              </w:rPr>
              <w:t>Total</w:t>
            </w:r>
          </w:p>
        </w:tc>
        <w:tc>
          <w:tcPr>
            <w:tcW w:w="969" w:type="pct"/>
          </w:tcPr>
          <w:p w14:paraId="3BD63104"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172 (2.9)</w:t>
            </w:r>
          </w:p>
        </w:tc>
        <w:tc>
          <w:tcPr>
            <w:tcW w:w="968" w:type="pct"/>
          </w:tcPr>
          <w:p w14:paraId="23234CCF" w14:textId="77777777" w:rsidR="0080676E"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74 (16.9)</w:t>
            </w:r>
          </w:p>
        </w:tc>
        <w:tc>
          <w:tcPr>
            <w:tcW w:w="969" w:type="pct"/>
          </w:tcPr>
          <w:p w14:paraId="1C465953"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63 (1.9)</w:t>
            </w:r>
          </w:p>
        </w:tc>
        <w:tc>
          <w:tcPr>
            <w:tcW w:w="887" w:type="pct"/>
          </w:tcPr>
          <w:p w14:paraId="51DD7A80"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27 (12.2)</w:t>
            </w:r>
          </w:p>
        </w:tc>
      </w:tr>
      <w:tr w:rsidR="0080676E" w:rsidRPr="00772105" w14:paraId="575CA4B0" w14:textId="77777777" w:rsidTr="003E7EE3">
        <w:tc>
          <w:tcPr>
            <w:tcW w:w="1207" w:type="pct"/>
            <w:shd w:val="clear" w:color="auto" w:fill="auto"/>
          </w:tcPr>
          <w:p w14:paraId="08C6778E" w14:textId="77777777" w:rsidR="0080676E" w:rsidRDefault="00AF145A" w:rsidP="002F7C2E">
            <w:pPr>
              <w:spacing w:before="40" w:after="40" w:line="240" w:lineRule="auto"/>
              <w:rPr>
                <w:rFonts w:ascii="Arial Narrow" w:hAnsi="Arial Narrow"/>
                <w:sz w:val="20"/>
                <w:szCs w:val="20"/>
              </w:rPr>
            </w:pPr>
            <w:r>
              <w:rPr>
                <w:rFonts w:ascii="Arial Narrow" w:hAnsi="Arial Narrow"/>
                <w:sz w:val="20"/>
                <w:szCs w:val="20"/>
              </w:rPr>
              <w:t>Headache</w:t>
            </w:r>
          </w:p>
        </w:tc>
        <w:tc>
          <w:tcPr>
            <w:tcW w:w="969" w:type="pct"/>
          </w:tcPr>
          <w:p w14:paraId="40E533D0" w14:textId="77777777" w:rsidR="0067402C" w:rsidRPr="00584B4C" w:rsidRDefault="0067402C" w:rsidP="0067402C">
            <w:pPr>
              <w:tabs>
                <w:tab w:val="left" w:pos="885"/>
              </w:tabs>
              <w:spacing w:before="40" w:after="40" w:line="240" w:lineRule="auto"/>
              <w:rPr>
                <w:rFonts w:ascii="Arial Narrow" w:hAnsi="Arial Narrow"/>
                <w:sz w:val="20"/>
                <w:szCs w:val="20"/>
              </w:rPr>
            </w:pPr>
            <w:r>
              <w:rPr>
                <w:rFonts w:ascii="Arial Narrow" w:hAnsi="Arial Narrow"/>
                <w:sz w:val="20"/>
                <w:szCs w:val="20"/>
              </w:rPr>
              <w:t>90 (1.5)</w:t>
            </w:r>
          </w:p>
        </w:tc>
        <w:tc>
          <w:tcPr>
            <w:tcW w:w="968" w:type="pct"/>
          </w:tcPr>
          <w:p w14:paraId="3401995D" w14:textId="77777777" w:rsidR="0080676E"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51 (11.6)</w:t>
            </w:r>
          </w:p>
        </w:tc>
        <w:tc>
          <w:tcPr>
            <w:tcW w:w="969" w:type="pct"/>
          </w:tcPr>
          <w:p w14:paraId="3C6566B8" w14:textId="77777777" w:rsidR="0080676E" w:rsidRPr="00584B4C" w:rsidRDefault="002232D7" w:rsidP="002232D7">
            <w:pPr>
              <w:tabs>
                <w:tab w:val="left" w:pos="885"/>
              </w:tabs>
              <w:spacing w:before="40" w:after="40" w:line="240" w:lineRule="auto"/>
              <w:rPr>
                <w:rFonts w:ascii="Arial Narrow" w:hAnsi="Arial Narrow"/>
                <w:sz w:val="20"/>
                <w:szCs w:val="20"/>
              </w:rPr>
            </w:pPr>
            <w:r>
              <w:rPr>
                <w:rFonts w:ascii="Arial Narrow" w:hAnsi="Arial Narrow"/>
                <w:sz w:val="20"/>
                <w:szCs w:val="20"/>
              </w:rPr>
              <w:t>26 (0.8)</w:t>
            </w:r>
          </w:p>
        </w:tc>
        <w:tc>
          <w:tcPr>
            <w:tcW w:w="887" w:type="pct"/>
          </w:tcPr>
          <w:p w14:paraId="192263D5"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16 (7.2)</w:t>
            </w:r>
          </w:p>
        </w:tc>
      </w:tr>
      <w:tr w:rsidR="0080676E" w:rsidRPr="00772105" w14:paraId="7E733936" w14:textId="77777777" w:rsidTr="003E7EE3">
        <w:tc>
          <w:tcPr>
            <w:tcW w:w="1207" w:type="pct"/>
            <w:shd w:val="clear" w:color="auto" w:fill="auto"/>
          </w:tcPr>
          <w:p w14:paraId="1826EAA0" w14:textId="77777777" w:rsidR="0080676E" w:rsidRDefault="00AF145A" w:rsidP="002F7C2E">
            <w:pPr>
              <w:spacing w:before="40" w:after="40" w:line="240" w:lineRule="auto"/>
              <w:rPr>
                <w:rFonts w:ascii="Arial Narrow" w:hAnsi="Arial Narrow"/>
                <w:sz w:val="20"/>
                <w:szCs w:val="20"/>
              </w:rPr>
            </w:pPr>
            <w:r>
              <w:rPr>
                <w:rFonts w:ascii="Arial Narrow" w:hAnsi="Arial Narrow"/>
                <w:sz w:val="20"/>
                <w:szCs w:val="20"/>
              </w:rPr>
              <w:t>Hypertension</w:t>
            </w:r>
          </w:p>
        </w:tc>
        <w:tc>
          <w:tcPr>
            <w:tcW w:w="969" w:type="pct"/>
          </w:tcPr>
          <w:p w14:paraId="2803CB2D"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28 (0.5)</w:t>
            </w:r>
          </w:p>
        </w:tc>
        <w:tc>
          <w:tcPr>
            <w:tcW w:w="968" w:type="pct"/>
          </w:tcPr>
          <w:p w14:paraId="34964907" w14:textId="77777777" w:rsidR="0080676E"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18 (4.1)</w:t>
            </w:r>
          </w:p>
        </w:tc>
        <w:tc>
          <w:tcPr>
            <w:tcW w:w="969" w:type="pct"/>
          </w:tcPr>
          <w:p w14:paraId="047C568E"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14 (0.4)</w:t>
            </w:r>
          </w:p>
        </w:tc>
        <w:tc>
          <w:tcPr>
            <w:tcW w:w="887" w:type="pct"/>
          </w:tcPr>
          <w:p w14:paraId="3111443A"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9 (4.1)</w:t>
            </w:r>
          </w:p>
        </w:tc>
      </w:tr>
      <w:tr w:rsidR="0080676E" w:rsidRPr="00772105" w14:paraId="62E3F3C7" w14:textId="77777777" w:rsidTr="003E7EE3">
        <w:tc>
          <w:tcPr>
            <w:tcW w:w="1207" w:type="pct"/>
            <w:shd w:val="clear" w:color="auto" w:fill="auto"/>
          </w:tcPr>
          <w:p w14:paraId="2566CC26" w14:textId="77777777" w:rsidR="0080676E" w:rsidRDefault="00AF145A" w:rsidP="002F7C2E">
            <w:pPr>
              <w:spacing w:before="40" w:after="40" w:line="240" w:lineRule="auto"/>
              <w:rPr>
                <w:rFonts w:ascii="Arial Narrow" w:hAnsi="Arial Narrow"/>
                <w:sz w:val="20"/>
                <w:szCs w:val="20"/>
              </w:rPr>
            </w:pPr>
            <w:r>
              <w:rPr>
                <w:rFonts w:ascii="Arial Narrow" w:hAnsi="Arial Narrow"/>
                <w:sz w:val="20"/>
                <w:szCs w:val="20"/>
              </w:rPr>
              <w:t>Rash</w:t>
            </w:r>
          </w:p>
        </w:tc>
        <w:tc>
          <w:tcPr>
            <w:tcW w:w="969" w:type="pct"/>
          </w:tcPr>
          <w:p w14:paraId="73B28746"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27  (0.5)</w:t>
            </w:r>
          </w:p>
        </w:tc>
        <w:tc>
          <w:tcPr>
            <w:tcW w:w="968" w:type="pct"/>
          </w:tcPr>
          <w:p w14:paraId="22FC6E7C" w14:textId="77777777" w:rsidR="0080676E"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15 (3.4)</w:t>
            </w:r>
          </w:p>
        </w:tc>
        <w:tc>
          <w:tcPr>
            <w:tcW w:w="969" w:type="pct"/>
          </w:tcPr>
          <w:p w14:paraId="49274DCF"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12 (0.4)</w:t>
            </w:r>
          </w:p>
        </w:tc>
        <w:tc>
          <w:tcPr>
            <w:tcW w:w="887" w:type="pct"/>
          </w:tcPr>
          <w:p w14:paraId="03E0D1F9"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6 (2.7)</w:t>
            </w:r>
          </w:p>
        </w:tc>
      </w:tr>
      <w:tr w:rsidR="0080676E" w:rsidRPr="00772105" w14:paraId="6D174574" w14:textId="77777777" w:rsidTr="003E7EE3">
        <w:tc>
          <w:tcPr>
            <w:tcW w:w="1207" w:type="pct"/>
            <w:shd w:val="clear" w:color="auto" w:fill="auto"/>
          </w:tcPr>
          <w:p w14:paraId="5E0C0D95" w14:textId="77777777" w:rsidR="0080676E" w:rsidRPr="00AF145A" w:rsidRDefault="00AF145A" w:rsidP="002F7C2E">
            <w:pPr>
              <w:spacing w:before="40" w:after="40" w:line="240" w:lineRule="auto"/>
              <w:rPr>
                <w:rFonts w:ascii="Arial Narrow" w:hAnsi="Arial Narrow"/>
                <w:sz w:val="20"/>
                <w:szCs w:val="20"/>
                <w:vertAlign w:val="superscript"/>
              </w:rPr>
            </w:pPr>
            <w:r>
              <w:rPr>
                <w:rFonts w:ascii="Arial Narrow" w:hAnsi="Arial Narrow"/>
                <w:sz w:val="20"/>
                <w:szCs w:val="20"/>
              </w:rPr>
              <w:t>Other</w:t>
            </w:r>
            <w:r>
              <w:rPr>
                <w:rFonts w:ascii="Arial Narrow" w:hAnsi="Arial Narrow"/>
                <w:sz w:val="20"/>
                <w:szCs w:val="20"/>
                <w:vertAlign w:val="superscript"/>
              </w:rPr>
              <w:t>a</w:t>
            </w:r>
          </w:p>
        </w:tc>
        <w:tc>
          <w:tcPr>
            <w:tcW w:w="969" w:type="pct"/>
          </w:tcPr>
          <w:p w14:paraId="0F71E360"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23 (0.4)</w:t>
            </w:r>
          </w:p>
        </w:tc>
        <w:tc>
          <w:tcPr>
            <w:tcW w:w="968" w:type="pct"/>
          </w:tcPr>
          <w:p w14:paraId="1F2C8FFA" w14:textId="77777777" w:rsidR="0080676E"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15 (3.4)</w:t>
            </w:r>
          </w:p>
        </w:tc>
        <w:tc>
          <w:tcPr>
            <w:tcW w:w="969" w:type="pct"/>
          </w:tcPr>
          <w:p w14:paraId="0B9C22D8"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9 (0.3)</w:t>
            </w:r>
          </w:p>
        </w:tc>
        <w:tc>
          <w:tcPr>
            <w:tcW w:w="887" w:type="pct"/>
          </w:tcPr>
          <w:p w14:paraId="7FF174B5"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5 (2.3)</w:t>
            </w:r>
          </w:p>
        </w:tc>
      </w:tr>
      <w:tr w:rsidR="0080676E" w:rsidRPr="00772105" w14:paraId="313ED88A" w14:textId="77777777" w:rsidTr="003E7EE3">
        <w:tc>
          <w:tcPr>
            <w:tcW w:w="1207" w:type="pct"/>
            <w:shd w:val="clear" w:color="auto" w:fill="auto"/>
          </w:tcPr>
          <w:p w14:paraId="30D05D2A" w14:textId="77777777" w:rsidR="0080676E" w:rsidRDefault="00AF145A" w:rsidP="002F7C2E">
            <w:pPr>
              <w:spacing w:before="40" w:after="40" w:line="240" w:lineRule="auto"/>
              <w:rPr>
                <w:rFonts w:ascii="Arial Narrow" w:hAnsi="Arial Narrow"/>
                <w:sz w:val="20"/>
                <w:szCs w:val="20"/>
              </w:rPr>
            </w:pPr>
            <w:r>
              <w:rPr>
                <w:rFonts w:ascii="Arial Narrow" w:hAnsi="Arial Narrow"/>
                <w:sz w:val="20"/>
                <w:szCs w:val="20"/>
              </w:rPr>
              <w:t>Nausea</w:t>
            </w:r>
          </w:p>
        </w:tc>
        <w:tc>
          <w:tcPr>
            <w:tcW w:w="969" w:type="pct"/>
          </w:tcPr>
          <w:p w14:paraId="4492EEFF"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22 (0.4)</w:t>
            </w:r>
          </w:p>
        </w:tc>
        <w:tc>
          <w:tcPr>
            <w:tcW w:w="968" w:type="pct"/>
          </w:tcPr>
          <w:p w14:paraId="53E78533" w14:textId="77777777" w:rsidR="0080676E"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14 (3.2)</w:t>
            </w:r>
          </w:p>
        </w:tc>
        <w:tc>
          <w:tcPr>
            <w:tcW w:w="969" w:type="pct"/>
          </w:tcPr>
          <w:p w14:paraId="73EDEA30" w14:textId="77777777" w:rsidR="0080676E" w:rsidRPr="00584B4C" w:rsidRDefault="002232D7" w:rsidP="002232D7">
            <w:pPr>
              <w:tabs>
                <w:tab w:val="left" w:pos="885"/>
              </w:tabs>
              <w:spacing w:before="40" w:after="40" w:line="240" w:lineRule="auto"/>
              <w:rPr>
                <w:rFonts w:ascii="Arial Narrow" w:hAnsi="Arial Narrow"/>
                <w:sz w:val="20"/>
                <w:szCs w:val="20"/>
              </w:rPr>
            </w:pPr>
            <w:r>
              <w:rPr>
                <w:rFonts w:ascii="Arial Narrow" w:hAnsi="Arial Narrow"/>
                <w:sz w:val="20"/>
                <w:szCs w:val="20"/>
              </w:rPr>
              <w:t>6 (0.2)</w:t>
            </w:r>
          </w:p>
        </w:tc>
        <w:tc>
          <w:tcPr>
            <w:tcW w:w="887" w:type="pct"/>
          </w:tcPr>
          <w:p w14:paraId="093E2C86"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4 (1.8)</w:t>
            </w:r>
          </w:p>
        </w:tc>
      </w:tr>
      <w:tr w:rsidR="0080676E" w:rsidRPr="00772105" w14:paraId="0928DA51" w14:textId="77777777" w:rsidTr="003E7EE3">
        <w:tc>
          <w:tcPr>
            <w:tcW w:w="1207" w:type="pct"/>
            <w:shd w:val="clear" w:color="auto" w:fill="auto"/>
          </w:tcPr>
          <w:p w14:paraId="5305E107" w14:textId="77777777" w:rsidR="0080676E" w:rsidRDefault="00AF145A" w:rsidP="002F7C2E">
            <w:pPr>
              <w:spacing w:before="40" w:after="40" w:line="240" w:lineRule="auto"/>
              <w:rPr>
                <w:rFonts w:ascii="Arial Narrow" w:hAnsi="Arial Narrow"/>
                <w:sz w:val="20"/>
                <w:szCs w:val="20"/>
              </w:rPr>
            </w:pPr>
            <w:r>
              <w:rPr>
                <w:rFonts w:ascii="Arial Narrow" w:hAnsi="Arial Narrow"/>
                <w:sz w:val="20"/>
                <w:szCs w:val="20"/>
              </w:rPr>
              <w:t>Flu-like symptoms</w:t>
            </w:r>
          </w:p>
        </w:tc>
        <w:tc>
          <w:tcPr>
            <w:tcW w:w="969" w:type="pct"/>
          </w:tcPr>
          <w:p w14:paraId="23969A8B"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16 (0.3)</w:t>
            </w:r>
          </w:p>
        </w:tc>
        <w:tc>
          <w:tcPr>
            <w:tcW w:w="968" w:type="pct"/>
          </w:tcPr>
          <w:p w14:paraId="63B38788"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13 (3.0)</w:t>
            </w:r>
          </w:p>
        </w:tc>
        <w:tc>
          <w:tcPr>
            <w:tcW w:w="969" w:type="pct"/>
          </w:tcPr>
          <w:p w14:paraId="79635FB8"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7 (0.2)</w:t>
            </w:r>
          </w:p>
        </w:tc>
        <w:tc>
          <w:tcPr>
            <w:tcW w:w="887" w:type="pct"/>
          </w:tcPr>
          <w:p w14:paraId="745C0496"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6 (2.7)</w:t>
            </w:r>
          </w:p>
        </w:tc>
      </w:tr>
      <w:tr w:rsidR="0080676E" w:rsidRPr="00772105" w14:paraId="362FBF51" w14:textId="77777777" w:rsidTr="003E7EE3">
        <w:tc>
          <w:tcPr>
            <w:tcW w:w="1207" w:type="pct"/>
            <w:shd w:val="clear" w:color="auto" w:fill="auto"/>
          </w:tcPr>
          <w:p w14:paraId="7F4C1795" w14:textId="77777777" w:rsidR="0080676E" w:rsidRPr="00366915" w:rsidRDefault="00AF145A" w:rsidP="002F7C2E">
            <w:pPr>
              <w:spacing w:before="40" w:after="40" w:line="240" w:lineRule="auto"/>
              <w:rPr>
                <w:rFonts w:ascii="Arial Narrow" w:hAnsi="Arial Narrow"/>
                <w:sz w:val="20"/>
                <w:szCs w:val="20"/>
              </w:rPr>
            </w:pPr>
            <w:r>
              <w:rPr>
                <w:rFonts w:ascii="Arial Narrow" w:hAnsi="Arial Narrow"/>
                <w:sz w:val="20"/>
                <w:szCs w:val="20"/>
              </w:rPr>
              <w:t>Fever</w:t>
            </w:r>
          </w:p>
        </w:tc>
        <w:tc>
          <w:tcPr>
            <w:tcW w:w="969" w:type="pct"/>
          </w:tcPr>
          <w:p w14:paraId="2531BE3E"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7 (0.1)</w:t>
            </w:r>
          </w:p>
        </w:tc>
        <w:tc>
          <w:tcPr>
            <w:tcW w:w="968" w:type="pct"/>
          </w:tcPr>
          <w:p w14:paraId="005C27F8"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5 (1.1)</w:t>
            </w:r>
          </w:p>
        </w:tc>
        <w:tc>
          <w:tcPr>
            <w:tcW w:w="969" w:type="pct"/>
          </w:tcPr>
          <w:p w14:paraId="6A760798"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5 (0.2)</w:t>
            </w:r>
          </w:p>
        </w:tc>
        <w:tc>
          <w:tcPr>
            <w:tcW w:w="887" w:type="pct"/>
          </w:tcPr>
          <w:p w14:paraId="4D0E3C65"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3 (1.4)</w:t>
            </w:r>
          </w:p>
        </w:tc>
      </w:tr>
      <w:tr w:rsidR="0080676E" w:rsidRPr="00772105" w14:paraId="2362346C" w14:textId="77777777" w:rsidTr="003E7EE3">
        <w:tc>
          <w:tcPr>
            <w:tcW w:w="1207" w:type="pct"/>
            <w:shd w:val="clear" w:color="auto" w:fill="auto"/>
          </w:tcPr>
          <w:p w14:paraId="60CB4AFC" w14:textId="77777777" w:rsidR="0080676E" w:rsidRDefault="0067402C" w:rsidP="002F7C2E">
            <w:pPr>
              <w:spacing w:before="40" w:after="40" w:line="240" w:lineRule="auto"/>
              <w:rPr>
                <w:rFonts w:ascii="Arial Narrow" w:hAnsi="Arial Narrow"/>
                <w:sz w:val="20"/>
                <w:szCs w:val="20"/>
              </w:rPr>
            </w:pPr>
            <w:r>
              <w:rPr>
                <w:rFonts w:ascii="Arial Narrow" w:hAnsi="Arial Narrow"/>
                <w:sz w:val="20"/>
                <w:szCs w:val="20"/>
              </w:rPr>
              <w:t>Back pain</w:t>
            </w:r>
          </w:p>
        </w:tc>
        <w:tc>
          <w:tcPr>
            <w:tcW w:w="969" w:type="pct"/>
          </w:tcPr>
          <w:p w14:paraId="7208871A"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4 (0.1)</w:t>
            </w:r>
          </w:p>
        </w:tc>
        <w:tc>
          <w:tcPr>
            <w:tcW w:w="968" w:type="pct"/>
          </w:tcPr>
          <w:p w14:paraId="4C33DD51" w14:textId="77777777" w:rsidR="0080676E"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4 (0.9)</w:t>
            </w:r>
          </w:p>
        </w:tc>
        <w:tc>
          <w:tcPr>
            <w:tcW w:w="969" w:type="pct"/>
          </w:tcPr>
          <w:p w14:paraId="7CBE436A"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0 (0.0)</w:t>
            </w:r>
          </w:p>
        </w:tc>
        <w:tc>
          <w:tcPr>
            <w:tcW w:w="887" w:type="pct"/>
          </w:tcPr>
          <w:p w14:paraId="2A2D354A"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0 (0.0)</w:t>
            </w:r>
          </w:p>
        </w:tc>
      </w:tr>
      <w:tr w:rsidR="0080676E" w:rsidRPr="00772105" w14:paraId="78D838DF" w14:textId="77777777" w:rsidTr="003E7EE3">
        <w:tc>
          <w:tcPr>
            <w:tcW w:w="1207" w:type="pct"/>
            <w:shd w:val="clear" w:color="auto" w:fill="auto"/>
          </w:tcPr>
          <w:p w14:paraId="0981D33A" w14:textId="77777777" w:rsidR="0080676E" w:rsidRDefault="0067402C" w:rsidP="002F7C2E">
            <w:pPr>
              <w:spacing w:before="40" w:after="40" w:line="240" w:lineRule="auto"/>
              <w:rPr>
                <w:rFonts w:ascii="Arial Narrow" w:hAnsi="Arial Narrow"/>
                <w:sz w:val="20"/>
                <w:szCs w:val="20"/>
              </w:rPr>
            </w:pPr>
            <w:r>
              <w:rPr>
                <w:rFonts w:ascii="Arial Narrow" w:hAnsi="Arial Narrow"/>
                <w:sz w:val="20"/>
                <w:szCs w:val="20"/>
              </w:rPr>
              <w:t>Aseptic meningitis Syndrome</w:t>
            </w:r>
          </w:p>
        </w:tc>
        <w:tc>
          <w:tcPr>
            <w:tcW w:w="969" w:type="pct"/>
          </w:tcPr>
          <w:p w14:paraId="54911031"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4 (0.1)</w:t>
            </w:r>
          </w:p>
        </w:tc>
        <w:tc>
          <w:tcPr>
            <w:tcW w:w="968" w:type="pct"/>
          </w:tcPr>
          <w:p w14:paraId="5C270383" w14:textId="77777777" w:rsidR="0080676E"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4 (0.9)</w:t>
            </w:r>
          </w:p>
        </w:tc>
        <w:tc>
          <w:tcPr>
            <w:tcW w:w="969" w:type="pct"/>
          </w:tcPr>
          <w:p w14:paraId="5FBE9F04"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1 (0.1)</w:t>
            </w:r>
          </w:p>
        </w:tc>
        <w:tc>
          <w:tcPr>
            <w:tcW w:w="887" w:type="pct"/>
          </w:tcPr>
          <w:p w14:paraId="2EE741E8" w14:textId="77777777" w:rsidR="0080676E" w:rsidRPr="00584B4C" w:rsidRDefault="0080676E" w:rsidP="002232D7">
            <w:pPr>
              <w:tabs>
                <w:tab w:val="left" w:pos="885"/>
              </w:tabs>
              <w:spacing w:before="40" w:after="40" w:line="240" w:lineRule="auto"/>
              <w:rPr>
                <w:rFonts w:ascii="Arial Narrow" w:hAnsi="Arial Narrow"/>
                <w:sz w:val="20"/>
                <w:szCs w:val="20"/>
              </w:rPr>
            </w:pPr>
            <w:r>
              <w:rPr>
                <w:rFonts w:ascii="Arial Narrow" w:hAnsi="Arial Narrow"/>
                <w:sz w:val="20"/>
                <w:szCs w:val="20"/>
              </w:rPr>
              <w:t>1</w:t>
            </w:r>
            <w:r w:rsidR="002232D7">
              <w:rPr>
                <w:rFonts w:ascii="Arial Narrow" w:hAnsi="Arial Narrow"/>
                <w:sz w:val="20"/>
                <w:szCs w:val="20"/>
              </w:rPr>
              <w:t xml:space="preserve"> (0.5)</w:t>
            </w:r>
          </w:p>
        </w:tc>
      </w:tr>
      <w:tr w:rsidR="0080676E" w:rsidRPr="00772105" w14:paraId="27A95983" w14:textId="77777777" w:rsidTr="003E7EE3">
        <w:tc>
          <w:tcPr>
            <w:tcW w:w="1207" w:type="pct"/>
            <w:shd w:val="clear" w:color="auto" w:fill="auto"/>
          </w:tcPr>
          <w:p w14:paraId="1A0AA9D1" w14:textId="77777777" w:rsidR="0080676E" w:rsidRPr="00366915" w:rsidRDefault="0067402C" w:rsidP="002F7C2E">
            <w:pPr>
              <w:spacing w:before="40" w:after="40" w:line="240" w:lineRule="auto"/>
              <w:rPr>
                <w:rFonts w:ascii="Arial Narrow" w:hAnsi="Arial Narrow"/>
                <w:sz w:val="20"/>
                <w:szCs w:val="20"/>
              </w:rPr>
            </w:pPr>
            <w:r>
              <w:rPr>
                <w:rFonts w:ascii="Arial Narrow" w:hAnsi="Arial Narrow"/>
                <w:sz w:val="20"/>
                <w:szCs w:val="20"/>
              </w:rPr>
              <w:t>Stiff neck</w:t>
            </w:r>
          </w:p>
        </w:tc>
        <w:tc>
          <w:tcPr>
            <w:tcW w:w="969" w:type="pct"/>
          </w:tcPr>
          <w:p w14:paraId="2621727F"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3 (0.1)</w:t>
            </w:r>
          </w:p>
        </w:tc>
        <w:tc>
          <w:tcPr>
            <w:tcW w:w="968" w:type="pct"/>
          </w:tcPr>
          <w:p w14:paraId="6C32351F"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3 (0.7)</w:t>
            </w:r>
          </w:p>
        </w:tc>
        <w:tc>
          <w:tcPr>
            <w:tcW w:w="969" w:type="pct"/>
          </w:tcPr>
          <w:p w14:paraId="5D2CCEEF"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0 (0.0)</w:t>
            </w:r>
          </w:p>
        </w:tc>
        <w:tc>
          <w:tcPr>
            <w:tcW w:w="887" w:type="pct"/>
          </w:tcPr>
          <w:p w14:paraId="1B0B9D97"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0 (0.0)</w:t>
            </w:r>
          </w:p>
        </w:tc>
      </w:tr>
      <w:tr w:rsidR="0080676E" w:rsidRPr="00772105" w14:paraId="5B38EDAB" w14:textId="77777777" w:rsidTr="003E7EE3">
        <w:tc>
          <w:tcPr>
            <w:tcW w:w="1207" w:type="pct"/>
            <w:shd w:val="clear" w:color="auto" w:fill="auto"/>
          </w:tcPr>
          <w:p w14:paraId="26DBBE26" w14:textId="77777777" w:rsidR="0080676E" w:rsidRDefault="0067402C" w:rsidP="002F7C2E">
            <w:pPr>
              <w:spacing w:before="40" w:after="40" w:line="240" w:lineRule="auto"/>
              <w:rPr>
                <w:rFonts w:ascii="Arial Narrow" w:hAnsi="Arial Narrow"/>
                <w:sz w:val="20"/>
                <w:szCs w:val="20"/>
              </w:rPr>
            </w:pPr>
            <w:r>
              <w:rPr>
                <w:rFonts w:ascii="Arial Narrow" w:hAnsi="Arial Narrow"/>
                <w:sz w:val="20"/>
                <w:szCs w:val="20"/>
              </w:rPr>
              <w:t>Shortness of breath</w:t>
            </w:r>
          </w:p>
        </w:tc>
        <w:tc>
          <w:tcPr>
            <w:tcW w:w="969" w:type="pct"/>
          </w:tcPr>
          <w:p w14:paraId="571A7D30" w14:textId="77777777" w:rsidR="0080676E" w:rsidRPr="00584B4C" w:rsidRDefault="0067402C" w:rsidP="002F7C2E">
            <w:pPr>
              <w:tabs>
                <w:tab w:val="left" w:pos="885"/>
              </w:tabs>
              <w:spacing w:before="40" w:after="40" w:line="240" w:lineRule="auto"/>
              <w:rPr>
                <w:rFonts w:ascii="Arial Narrow" w:hAnsi="Arial Narrow"/>
                <w:sz w:val="20"/>
                <w:szCs w:val="20"/>
              </w:rPr>
            </w:pPr>
            <w:r>
              <w:rPr>
                <w:rFonts w:ascii="Arial Narrow" w:hAnsi="Arial Narrow"/>
                <w:sz w:val="20"/>
                <w:szCs w:val="20"/>
              </w:rPr>
              <w:t>3 (0.1)</w:t>
            </w:r>
          </w:p>
        </w:tc>
        <w:tc>
          <w:tcPr>
            <w:tcW w:w="968" w:type="pct"/>
          </w:tcPr>
          <w:p w14:paraId="2E417BEC" w14:textId="77777777" w:rsidR="0080676E"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3 (0.7)</w:t>
            </w:r>
          </w:p>
        </w:tc>
        <w:tc>
          <w:tcPr>
            <w:tcW w:w="969" w:type="pct"/>
          </w:tcPr>
          <w:p w14:paraId="213BCC47"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1 (0.1)</w:t>
            </w:r>
          </w:p>
        </w:tc>
        <w:tc>
          <w:tcPr>
            <w:tcW w:w="887" w:type="pct"/>
          </w:tcPr>
          <w:p w14:paraId="0E187479" w14:textId="77777777" w:rsidR="0080676E" w:rsidRPr="00584B4C" w:rsidRDefault="002232D7" w:rsidP="002F7C2E">
            <w:pPr>
              <w:tabs>
                <w:tab w:val="left" w:pos="885"/>
              </w:tabs>
              <w:spacing w:before="40" w:after="40" w:line="240" w:lineRule="auto"/>
              <w:rPr>
                <w:rFonts w:ascii="Arial Narrow" w:hAnsi="Arial Narrow"/>
                <w:sz w:val="20"/>
                <w:szCs w:val="20"/>
              </w:rPr>
            </w:pPr>
            <w:r>
              <w:rPr>
                <w:rFonts w:ascii="Arial Narrow" w:hAnsi="Arial Narrow"/>
                <w:sz w:val="20"/>
                <w:szCs w:val="20"/>
              </w:rPr>
              <w:t>1 (0.5)</w:t>
            </w:r>
          </w:p>
        </w:tc>
      </w:tr>
    </w:tbl>
    <w:p w14:paraId="32029D4D" w14:textId="77777777" w:rsidR="00B92875" w:rsidRPr="00B92875" w:rsidRDefault="00B92875" w:rsidP="00745B4C">
      <w:pPr>
        <w:pStyle w:val="Tablenote"/>
      </w:pPr>
      <w:r>
        <w:t xml:space="preserve">Abbreviations: </w:t>
      </w:r>
      <w:r w:rsidR="00745B4C">
        <w:t>AE = adverse event; CIDP = chronic inflammatory demyelinating polyneuropathy; IVIg = intravenous immunoglobulin therapy</w:t>
      </w:r>
    </w:p>
    <w:p w14:paraId="29596732" w14:textId="77777777" w:rsidR="00C53E6E" w:rsidRDefault="00CB4E4D" w:rsidP="00745B4C">
      <w:pPr>
        <w:pStyle w:val="Tablenote"/>
        <w:rPr>
          <w:rStyle w:val="TablenoteChar"/>
        </w:rPr>
      </w:pPr>
      <w:r>
        <w:rPr>
          <w:vertAlign w:val="superscript"/>
        </w:rPr>
        <w:t>a</w:t>
      </w:r>
      <w:r>
        <w:t xml:space="preserve"> </w:t>
      </w:r>
      <w:r w:rsidRPr="009F0E8F">
        <w:rPr>
          <w:rStyle w:val="TablenoteChar"/>
        </w:rPr>
        <w:t>Other AEs included</w:t>
      </w:r>
      <w:r w:rsidR="00B92875" w:rsidRPr="009F0E8F">
        <w:rPr>
          <w:rStyle w:val="TablenoteChar"/>
        </w:rPr>
        <w:t xml:space="preserve"> achy feeling, </w:t>
      </w:r>
      <w:r w:rsidR="001F32A1" w:rsidRPr="009F0E8F">
        <w:rPr>
          <w:rStyle w:val="TablenoteChar"/>
        </w:rPr>
        <w:t>diarrhoea</w:t>
      </w:r>
      <w:r w:rsidR="00B92875" w:rsidRPr="009F0E8F">
        <w:rPr>
          <w:rStyle w:val="TablenoteChar"/>
        </w:rPr>
        <w:t>, shakin</w:t>
      </w:r>
      <w:r w:rsidR="001F32A1">
        <w:rPr>
          <w:rStyle w:val="TablenoteChar"/>
        </w:rPr>
        <w:t>g</w:t>
      </w:r>
      <w:r w:rsidR="00B92875" w:rsidRPr="009F0E8F">
        <w:rPr>
          <w:rStyle w:val="TablenoteChar"/>
        </w:rPr>
        <w:t>, chills, dizziness, cold sweats, tight chest, pseudo-seizure, pain in neck and leg, pounding heart, heavy feeling, swollen lymph nodes, leg cramps, bruising at port site.</w:t>
      </w:r>
    </w:p>
    <w:p w14:paraId="65D8A2EF" w14:textId="7EC69B01" w:rsidR="00AA4247" w:rsidRDefault="00E13030" w:rsidP="009F0E8F">
      <w:pPr>
        <w:jc w:val="both"/>
      </w:pPr>
      <w:r>
        <w:t>The authors performed a multivariate analysis to determine associations between patient and infusion characteristics and AE</w:t>
      </w:r>
      <w:r w:rsidR="00AD2101">
        <w:t xml:space="preserve"> frequency per infusion</w:t>
      </w:r>
      <w:r>
        <w:t xml:space="preserve">. </w:t>
      </w:r>
      <w:r w:rsidR="00AA4247">
        <w:t xml:space="preserve">Associations that reached statistical </w:t>
      </w:r>
      <w:r w:rsidR="00802228">
        <w:t>significance</w:t>
      </w:r>
      <w:r w:rsidR="00AA4247">
        <w:t xml:space="preserve"> are reported in </w:t>
      </w:r>
      <w:r w:rsidR="00AD2101">
        <w:fldChar w:fldCharType="begin"/>
      </w:r>
      <w:r w:rsidR="00AD2101">
        <w:instrText xml:space="preserve"> REF _Ref57300718 \h </w:instrText>
      </w:r>
      <w:r w:rsidR="009F0E8F">
        <w:instrText xml:space="preserve"> \* MERGEFORMAT </w:instrText>
      </w:r>
      <w:r w:rsidR="00AD2101">
        <w:fldChar w:fldCharType="separate"/>
      </w:r>
      <w:r w:rsidR="004B3EA2">
        <w:t xml:space="preserve">Table </w:t>
      </w:r>
      <w:r w:rsidR="004B3EA2">
        <w:rPr>
          <w:noProof/>
        </w:rPr>
        <w:t>24</w:t>
      </w:r>
      <w:r w:rsidR="00AD2101">
        <w:fldChar w:fldCharType="end"/>
      </w:r>
      <w:r w:rsidR="00AD2101">
        <w:t xml:space="preserve">. First lifetime course was strongly associated with a higher </w:t>
      </w:r>
      <w:r w:rsidR="009C5093">
        <w:t>risk</w:t>
      </w:r>
      <w:r w:rsidR="00AD2101">
        <w:t xml:space="preserve"> of </w:t>
      </w:r>
      <w:r w:rsidR="009C5093">
        <w:t xml:space="preserve">any </w:t>
      </w:r>
      <w:r w:rsidR="00AD2101">
        <w:t xml:space="preserve">AE when compared to the frequency in subsequent courses. Higher IVIg dose, diagnosis of MG, and female sex were </w:t>
      </w:r>
      <w:r w:rsidR="009C5093">
        <w:t xml:space="preserve">also </w:t>
      </w:r>
      <w:r w:rsidR="00AD2101">
        <w:t>found to be associated with a higher r</w:t>
      </w:r>
      <w:r w:rsidR="009C5093">
        <w:t>isk</w:t>
      </w:r>
      <w:r w:rsidR="00AD2101">
        <w:t xml:space="preserve"> of </w:t>
      </w:r>
      <w:r w:rsidR="009C5093">
        <w:t xml:space="preserve">any </w:t>
      </w:r>
      <w:r w:rsidR="00AD2101">
        <w:t xml:space="preserve">AE. </w:t>
      </w:r>
      <w:r w:rsidR="00802228">
        <w:t xml:space="preserve">For individual AE analyses, a higher </w:t>
      </w:r>
      <w:r w:rsidR="009C5093">
        <w:t>risk</w:t>
      </w:r>
      <w:r w:rsidR="00802228">
        <w:t xml:space="preserve"> of headache was associated with first</w:t>
      </w:r>
      <w:r w:rsidR="00A31CFC">
        <w:t>-life</w:t>
      </w:r>
      <w:r w:rsidR="00802228">
        <w:t xml:space="preserve">time course of IVIg, and MG diagnosis. </w:t>
      </w:r>
      <w:r w:rsidR="009C5093">
        <w:t>Higher frequency of hypertension was associated with first</w:t>
      </w:r>
      <w:r w:rsidR="00A31CFC">
        <w:t>-</w:t>
      </w:r>
      <w:r w:rsidR="009C5093">
        <w:t xml:space="preserve">lifetime dose and consecutive dosing. Older age was found to be associated with a lower chance of rash. </w:t>
      </w:r>
      <w:r w:rsidR="00E64A7A">
        <w:t>When a per-</w:t>
      </w:r>
      <w:r w:rsidR="00AD2101">
        <w:t>patient multivariate analysis was performed</w:t>
      </w:r>
      <w:r w:rsidR="00E3682D">
        <w:t>, central line catheter was associated with higher rates of hypertens</w:t>
      </w:r>
      <w:r w:rsidR="002A256F">
        <w:t xml:space="preserve">ion, when compared to the rate </w:t>
      </w:r>
      <w:r w:rsidR="00E3682D">
        <w:t>for peripheral catheters (OR 5.15, 95%CI 1.65, 16.1, p = 0.005).</w:t>
      </w:r>
    </w:p>
    <w:p w14:paraId="42EF8663" w14:textId="0DD45D7A" w:rsidR="00AA4247" w:rsidRDefault="00AA4247" w:rsidP="00AA4247">
      <w:pPr>
        <w:pStyle w:val="Caption"/>
      </w:pPr>
      <w:bookmarkStart w:id="216" w:name="_Ref57300718"/>
      <w:bookmarkStart w:id="217" w:name="_Toc69305665"/>
      <w:r>
        <w:t xml:space="preserve">Table </w:t>
      </w:r>
      <w:r w:rsidR="00003BA5">
        <w:fldChar w:fldCharType="begin"/>
      </w:r>
      <w:r w:rsidR="00003BA5">
        <w:instrText xml:space="preserve"> SEQ Table \* ARABIC </w:instrText>
      </w:r>
      <w:r w:rsidR="00003BA5">
        <w:fldChar w:fldCharType="separate"/>
      </w:r>
      <w:r w:rsidR="004B3EA2">
        <w:rPr>
          <w:noProof/>
        </w:rPr>
        <w:t>24</w:t>
      </w:r>
      <w:r w:rsidR="00003BA5">
        <w:rPr>
          <w:noProof/>
        </w:rPr>
        <w:fldChar w:fldCharType="end"/>
      </w:r>
      <w:bookmarkEnd w:id="216"/>
      <w:r w:rsidR="00AD2101">
        <w:tab/>
        <w:t xml:space="preserve">ORs for AEs </w:t>
      </w:r>
      <w:r w:rsidR="00E3682D">
        <w:t xml:space="preserve">per infusion </w:t>
      </w:r>
      <w:r w:rsidR="00AD2101">
        <w:t>by multivariate logistic regression</w:t>
      </w:r>
      <w:bookmarkEnd w:id="217"/>
      <w:r w:rsidR="00AD2101">
        <w:t xml:space="preserve"> </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Rs for AEs per infusion by multivariate logistic regression "/>
        <w:tblDescription w:val="ORs for AEs per infusion by multivariate logistic regression "/>
      </w:tblPr>
      <w:tblGrid>
        <w:gridCol w:w="2689"/>
        <w:gridCol w:w="1560"/>
        <w:gridCol w:w="1560"/>
        <w:gridCol w:w="1416"/>
        <w:gridCol w:w="1558"/>
      </w:tblGrid>
      <w:tr w:rsidR="00B92875" w:rsidRPr="00772105" w14:paraId="776FD1DB" w14:textId="77777777" w:rsidTr="00B92875">
        <w:trPr>
          <w:trHeight w:val="566"/>
          <w:tblHeader/>
        </w:trPr>
        <w:tc>
          <w:tcPr>
            <w:tcW w:w="1531" w:type="pct"/>
            <w:shd w:val="clear" w:color="auto" w:fill="auto"/>
            <w:vAlign w:val="center"/>
          </w:tcPr>
          <w:p w14:paraId="7A035C74" w14:textId="77777777" w:rsidR="00B92875" w:rsidRDefault="00B92875" w:rsidP="00AA4247">
            <w:pPr>
              <w:keepNext/>
              <w:spacing w:before="40" w:after="40" w:line="240" w:lineRule="auto"/>
              <w:jc w:val="center"/>
              <w:rPr>
                <w:rFonts w:ascii="Arial Narrow" w:hAnsi="Arial Narrow"/>
                <w:b/>
                <w:sz w:val="20"/>
                <w:szCs w:val="20"/>
              </w:rPr>
            </w:pPr>
            <w:r>
              <w:rPr>
                <w:rFonts w:ascii="Arial Narrow" w:hAnsi="Arial Narrow"/>
                <w:b/>
                <w:sz w:val="20"/>
                <w:szCs w:val="20"/>
              </w:rPr>
              <w:t>Predictor (n events)</w:t>
            </w:r>
          </w:p>
        </w:tc>
        <w:tc>
          <w:tcPr>
            <w:tcW w:w="888" w:type="pct"/>
            <w:vAlign w:val="center"/>
          </w:tcPr>
          <w:p w14:paraId="6DFEBBD5" w14:textId="77777777" w:rsidR="00B92875" w:rsidRDefault="00B92875" w:rsidP="00AA4247">
            <w:pPr>
              <w:tabs>
                <w:tab w:val="left" w:pos="885"/>
              </w:tabs>
              <w:spacing w:before="40" w:after="40" w:line="240" w:lineRule="auto"/>
              <w:rPr>
                <w:rFonts w:ascii="Arial Narrow" w:hAnsi="Arial Narrow"/>
                <w:b/>
                <w:sz w:val="20"/>
                <w:szCs w:val="20"/>
              </w:rPr>
            </w:pPr>
            <w:r>
              <w:rPr>
                <w:rFonts w:ascii="Arial Narrow" w:hAnsi="Arial Narrow"/>
                <w:b/>
                <w:sz w:val="20"/>
                <w:szCs w:val="20"/>
              </w:rPr>
              <w:t>Any AE</w:t>
            </w:r>
          </w:p>
          <w:p w14:paraId="6078D795" w14:textId="77777777" w:rsidR="00B92875" w:rsidRDefault="00B92875" w:rsidP="001F32A1">
            <w:pPr>
              <w:tabs>
                <w:tab w:val="left" w:pos="885"/>
              </w:tabs>
              <w:spacing w:before="40" w:after="40" w:line="240" w:lineRule="auto"/>
              <w:rPr>
                <w:rFonts w:ascii="Arial Narrow" w:hAnsi="Arial Narrow"/>
                <w:b/>
                <w:sz w:val="20"/>
                <w:szCs w:val="20"/>
              </w:rPr>
            </w:pPr>
            <w:r>
              <w:rPr>
                <w:rFonts w:ascii="Arial Narrow" w:hAnsi="Arial Narrow"/>
                <w:b/>
                <w:sz w:val="20"/>
                <w:szCs w:val="20"/>
              </w:rPr>
              <w:t>O</w:t>
            </w:r>
            <w:r w:rsidR="001F32A1">
              <w:rPr>
                <w:rFonts w:ascii="Arial Narrow" w:hAnsi="Arial Narrow"/>
                <w:b/>
                <w:sz w:val="20"/>
                <w:szCs w:val="20"/>
              </w:rPr>
              <w:t>R</w:t>
            </w:r>
            <w:r>
              <w:rPr>
                <w:rFonts w:ascii="Arial Narrow" w:hAnsi="Arial Narrow"/>
                <w:b/>
                <w:sz w:val="20"/>
                <w:szCs w:val="20"/>
              </w:rPr>
              <w:t xml:space="preserve"> (95%CI), P</w:t>
            </w:r>
          </w:p>
        </w:tc>
        <w:tc>
          <w:tcPr>
            <w:tcW w:w="888" w:type="pct"/>
            <w:vAlign w:val="center"/>
          </w:tcPr>
          <w:p w14:paraId="16F35D0D" w14:textId="77777777" w:rsidR="00B92875" w:rsidRDefault="00B92875" w:rsidP="00AA4247">
            <w:pPr>
              <w:tabs>
                <w:tab w:val="left" w:pos="885"/>
              </w:tabs>
              <w:spacing w:before="40" w:after="40" w:line="240" w:lineRule="auto"/>
              <w:rPr>
                <w:rFonts w:ascii="Arial Narrow" w:hAnsi="Arial Narrow"/>
                <w:b/>
                <w:sz w:val="20"/>
                <w:szCs w:val="20"/>
              </w:rPr>
            </w:pPr>
            <w:r>
              <w:rPr>
                <w:rFonts w:ascii="Arial Narrow" w:hAnsi="Arial Narrow"/>
                <w:b/>
                <w:sz w:val="20"/>
                <w:szCs w:val="20"/>
              </w:rPr>
              <w:t>Headache</w:t>
            </w:r>
          </w:p>
          <w:p w14:paraId="1145811C" w14:textId="77777777" w:rsidR="00B92875" w:rsidRDefault="00B92875" w:rsidP="00AA4247">
            <w:pPr>
              <w:tabs>
                <w:tab w:val="left" w:pos="885"/>
              </w:tabs>
              <w:spacing w:before="40" w:after="40" w:line="240" w:lineRule="auto"/>
              <w:rPr>
                <w:rFonts w:ascii="Arial Narrow" w:hAnsi="Arial Narrow"/>
                <w:b/>
                <w:sz w:val="20"/>
                <w:szCs w:val="20"/>
              </w:rPr>
            </w:pPr>
            <w:r>
              <w:rPr>
                <w:rFonts w:ascii="Arial Narrow" w:hAnsi="Arial Narrow"/>
                <w:b/>
                <w:sz w:val="20"/>
                <w:szCs w:val="20"/>
              </w:rPr>
              <w:t>OR (95%CI), p</w:t>
            </w:r>
          </w:p>
        </w:tc>
        <w:tc>
          <w:tcPr>
            <w:tcW w:w="806" w:type="pct"/>
            <w:vAlign w:val="center"/>
          </w:tcPr>
          <w:p w14:paraId="3276CA4B" w14:textId="77777777" w:rsidR="00B92875" w:rsidRDefault="00B92875" w:rsidP="00AA4247">
            <w:pPr>
              <w:tabs>
                <w:tab w:val="left" w:pos="885"/>
              </w:tabs>
              <w:spacing w:before="40" w:after="40" w:line="240" w:lineRule="auto"/>
              <w:rPr>
                <w:rFonts w:ascii="Arial Narrow" w:hAnsi="Arial Narrow"/>
                <w:b/>
                <w:sz w:val="20"/>
                <w:szCs w:val="20"/>
              </w:rPr>
            </w:pPr>
            <w:r>
              <w:rPr>
                <w:rFonts w:ascii="Arial Narrow" w:hAnsi="Arial Narrow"/>
                <w:b/>
                <w:sz w:val="20"/>
                <w:szCs w:val="20"/>
              </w:rPr>
              <w:t>Hypertension</w:t>
            </w:r>
          </w:p>
          <w:p w14:paraId="123B5ECA" w14:textId="77777777" w:rsidR="00B92875" w:rsidRDefault="00B92875" w:rsidP="00AA4247">
            <w:pPr>
              <w:tabs>
                <w:tab w:val="left" w:pos="885"/>
              </w:tabs>
              <w:spacing w:before="40" w:after="40" w:line="240" w:lineRule="auto"/>
              <w:rPr>
                <w:rFonts w:ascii="Arial Narrow" w:hAnsi="Arial Narrow"/>
                <w:b/>
                <w:sz w:val="20"/>
                <w:szCs w:val="20"/>
              </w:rPr>
            </w:pPr>
            <w:r>
              <w:rPr>
                <w:rFonts w:ascii="Arial Narrow" w:hAnsi="Arial Narrow"/>
                <w:b/>
                <w:sz w:val="20"/>
                <w:szCs w:val="20"/>
              </w:rPr>
              <w:t>OR (95%CI), p</w:t>
            </w:r>
          </w:p>
        </w:tc>
        <w:tc>
          <w:tcPr>
            <w:tcW w:w="887" w:type="pct"/>
            <w:vAlign w:val="center"/>
          </w:tcPr>
          <w:p w14:paraId="0AB02010" w14:textId="77777777" w:rsidR="00B92875" w:rsidRDefault="00B92875" w:rsidP="00AA4247">
            <w:pPr>
              <w:tabs>
                <w:tab w:val="left" w:pos="885"/>
              </w:tabs>
              <w:spacing w:before="40" w:after="40" w:line="240" w:lineRule="auto"/>
              <w:rPr>
                <w:rFonts w:ascii="Arial Narrow" w:hAnsi="Arial Narrow"/>
                <w:b/>
                <w:sz w:val="20"/>
                <w:szCs w:val="20"/>
              </w:rPr>
            </w:pPr>
            <w:r>
              <w:rPr>
                <w:rFonts w:ascii="Arial Narrow" w:hAnsi="Arial Narrow"/>
                <w:b/>
                <w:sz w:val="20"/>
                <w:szCs w:val="20"/>
              </w:rPr>
              <w:t>Rash</w:t>
            </w:r>
          </w:p>
          <w:p w14:paraId="21CAAD87" w14:textId="77777777" w:rsidR="00B92875" w:rsidRDefault="00B92875" w:rsidP="00AA4247">
            <w:pPr>
              <w:tabs>
                <w:tab w:val="left" w:pos="885"/>
              </w:tabs>
              <w:spacing w:before="40" w:after="40" w:line="240" w:lineRule="auto"/>
              <w:rPr>
                <w:rFonts w:ascii="Arial Narrow" w:hAnsi="Arial Narrow"/>
                <w:b/>
                <w:sz w:val="20"/>
                <w:szCs w:val="20"/>
              </w:rPr>
            </w:pPr>
            <w:r>
              <w:rPr>
                <w:rFonts w:ascii="Arial Narrow" w:hAnsi="Arial Narrow"/>
                <w:b/>
                <w:sz w:val="20"/>
                <w:szCs w:val="20"/>
              </w:rPr>
              <w:t>OR (95%CI), p</w:t>
            </w:r>
          </w:p>
        </w:tc>
      </w:tr>
      <w:tr w:rsidR="00AA4247" w:rsidRPr="00772105" w14:paraId="67EB9D37" w14:textId="77777777" w:rsidTr="00CB4E4D">
        <w:tc>
          <w:tcPr>
            <w:tcW w:w="1531" w:type="pct"/>
            <w:shd w:val="clear" w:color="auto" w:fill="auto"/>
          </w:tcPr>
          <w:p w14:paraId="17D2B925" w14:textId="77777777" w:rsidR="00AA4247" w:rsidRDefault="00AA4247" w:rsidP="00AA4247">
            <w:pPr>
              <w:spacing w:before="40" w:after="40" w:line="240" w:lineRule="auto"/>
              <w:rPr>
                <w:rFonts w:ascii="Arial Narrow" w:hAnsi="Arial Narrow"/>
                <w:sz w:val="20"/>
                <w:szCs w:val="20"/>
              </w:rPr>
            </w:pPr>
            <w:r>
              <w:rPr>
                <w:rFonts w:ascii="Arial Narrow" w:hAnsi="Arial Narrow"/>
                <w:sz w:val="20"/>
                <w:szCs w:val="20"/>
              </w:rPr>
              <w:t>First life-time course (116)</w:t>
            </w:r>
          </w:p>
          <w:p w14:paraId="0A157A37" w14:textId="77777777" w:rsidR="00AA4247" w:rsidRDefault="00AA4247" w:rsidP="00AA4247">
            <w:pPr>
              <w:spacing w:before="40" w:after="40" w:line="240" w:lineRule="auto"/>
              <w:rPr>
                <w:rFonts w:ascii="Arial Narrow" w:hAnsi="Arial Narrow"/>
                <w:sz w:val="20"/>
                <w:szCs w:val="20"/>
              </w:rPr>
            </w:pPr>
            <w:r>
              <w:rPr>
                <w:rFonts w:ascii="Arial Narrow" w:hAnsi="Arial Narrow"/>
                <w:sz w:val="20"/>
                <w:szCs w:val="20"/>
              </w:rPr>
              <w:t>Reference: subsequent courses (5751)</w:t>
            </w:r>
          </w:p>
        </w:tc>
        <w:tc>
          <w:tcPr>
            <w:tcW w:w="888" w:type="pct"/>
          </w:tcPr>
          <w:p w14:paraId="74FE452D" w14:textId="77777777" w:rsidR="00AA4247" w:rsidRDefault="00AA4247" w:rsidP="00AA4247">
            <w:pPr>
              <w:tabs>
                <w:tab w:val="left" w:pos="885"/>
              </w:tabs>
              <w:spacing w:before="40" w:after="40" w:line="240" w:lineRule="auto"/>
              <w:rPr>
                <w:rFonts w:ascii="Arial Narrow" w:hAnsi="Arial Narrow"/>
                <w:sz w:val="20"/>
                <w:szCs w:val="20"/>
              </w:rPr>
            </w:pPr>
            <w:r>
              <w:rPr>
                <w:rFonts w:ascii="Arial Narrow" w:hAnsi="Arial Narrow"/>
                <w:sz w:val="20"/>
                <w:szCs w:val="20"/>
              </w:rPr>
              <w:t>3.74 (1.46, 9.58)</w:t>
            </w:r>
          </w:p>
          <w:p w14:paraId="59B0CE33" w14:textId="77777777" w:rsidR="00AA4247" w:rsidRPr="00584B4C" w:rsidRDefault="00AA4247" w:rsidP="00AA4247">
            <w:pPr>
              <w:tabs>
                <w:tab w:val="left" w:pos="885"/>
              </w:tabs>
              <w:spacing w:before="40" w:after="40" w:line="240" w:lineRule="auto"/>
              <w:rPr>
                <w:rFonts w:ascii="Arial Narrow" w:hAnsi="Arial Narrow"/>
                <w:sz w:val="20"/>
                <w:szCs w:val="20"/>
              </w:rPr>
            </w:pPr>
            <w:r>
              <w:rPr>
                <w:rFonts w:ascii="Arial Narrow" w:hAnsi="Arial Narrow"/>
                <w:sz w:val="20"/>
                <w:szCs w:val="20"/>
              </w:rPr>
              <w:t>0.006</w:t>
            </w:r>
          </w:p>
        </w:tc>
        <w:tc>
          <w:tcPr>
            <w:tcW w:w="888" w:type="pct"/>
          </w:tcPr>
          <w:p w14:paraId="6EE3684B" w14:textId="77777777" w:rsidR="00AA4247" w:rsidRDefault="00AA4247" w:rsidP="00AA4247">
            <w:pPr>
              <w:tabs>
                <w:tab w:val="left" w:pos="885"/>
              </w:tabs>
              <w:spacing w:before="40" w:after="40" w:line="240" w:lineRule="auto"/>
              <w:rPr>
                <w:rFonts w:ascii="Arial Narrow" w:hAnsi="Arial Narrow"/>
                <w:sz w:val="20"/>
                <w:szCs w:val="20"/>
              </w:rPr>
            </w:pPr>
            <w:r>
              <w:rPr>
                <w:rFonts w:ascii="Arial Narrow" w:hAnsi="Arial Narrow"/>
                <w:sz w:val="20"/>
                <w:szCs w:val="20"/>
              </w:rPr>
              <w:t>5.75 (2.16, 15.4)</w:t>
            </w:r>
          </w:p>
          <w:p w14:paraId="2525096C" w14:textId="77777777" w:rsidR="00AA4247" w:rsidRDefault="00AA4247" w:rsidP="00AA4247">
            <w:pPr>
              <w:tabs>
                <w:tab w:val="left" w:pos="885"/>
              </w:tabs>
              <w:spacing w:before="40" w:after="40" w:line="240" w:lineRule="auto"/>
              <w:rPr>
                <w:rFonts w:ascii="Arial Narrow" w:hAnsi="Arial Narrow"/>
                <w:sz w:val="20"/>
                <w:szCs w:val="20"/>
              </w:rPr>
            </w:pPr>
            <w:r>
              <w:rPr>
                <w:rFonts w:ascii="Arial Narrow" w:hAnsi="Arial Narrow"/>
                <w:sz w:val="20"/>
                <w:szCs w:val="20"/>
              </w:rPr>
              <w:t>&lt;0.001</w:t>
            </w:r>
          </w:p>
        </w:tc>
        <w:tc>
          <w:tcPr>
            <w:tcW w:w="806" w:type="pct"/>
          </w:tcPr>
          <w:p w14:paraId="18E73799" w14:textId="77777777" w:rsidR="00AA4247" w:rsidRDefault="00AA4247" w:rsidP="00AA4247">
            <w:pPr>
              <w:tabs>
                <w:tab w:val="left" w:pos="885"/>
              </w:tabs>
              <w:spacing w:before="40" w:after="40" w:line="240" w:lineRule="auto"/>
              <w:rPr>
                <w:rFonts w:ascii="Arial Narrow" w:hAnsi="Arial Narrow"/>
                <w:sz w:val="20"/>
                <w:szCs w:val="20"/>
              </w:rPr>
            </w:pPr>
            <w:r>
              <w:rPr>
                <w:rFonts w:ascii="Arial Narrow" w:hAnsi="Arial Narrow"/>
                <w:sz w:val="20"/>
                <w:szCs w:val="20"/>
              </w:rPr>
              <w:t>13.99 (4.8, 41.8)</w:t>
            </w:r>
          </w:p>
          <w:p w14:paraId="794CA75E" w14:textId="77777777" w:rsidR="00AA4247" w:rsidRPr="00584B4C" w:rsidRDefault="00AA4247" w:rsidP="00AA4247">
            <w:pPr>
              <w:tabs>
                <w:tab w:val="left" w:pos="885"/>
              </w:tabs>
              <w:spacing w:before="40" w:after="40" w:line="240" w:lineRule="auto"/>
              <w:rPr>
                <w:rFonts w:ascii="Arial Narrow" w:hAnsi="Arial Narrow"/>
                <w:sz w:val="20"/>
                <w:szCs w:val="20"/>
              </w:rPr>
            </w:pPr>
            <w:r>
              <w:rPr>
                <w:rFonts w:ascii="Arial Narrow" w:hAnsi="Arial Narrow"/>
                <w:sz w:val="20"/>
                <w:szCs w:val="20"/>
              </w:rPr>
              <w:t>&lt;0.001</w:t>
            </w:r>
          </w:p>
        </w:tc>
        <w:tc>
          <w:tcPr>
            <w:tcW w:w="887" w:type="pct"/>
          </w:tcPr>
          <w:p w14:paraId="0CBDC999" w14:textId="77777777" w:rsidR="00AA4247" w:rsidRPr="00584B4C" w:rsidRDefault="00AA4247"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AA4247" w:rsidRPr="00772105" w14:paraId="6E79AD48" w14:textId="77777777" w:rsidTr="00CB4E4D">
        <w:tc>
          <w:tcPr>
            <w:tcW w:w="1531" w:type="pct"/>
            <w:shd w:val="clear" w:color="auto" w:fill="auto"/>
          </w:tcPr>
          <w:p w14:paraId="54FB2E61" w14:textId="77777777" w:rsidR="00AA4247" w:rsidRDefault="00AA4247" w:rsidP="00AA4247">
            <w:pPr>
              <w:spacing w:before="40" w:after="40" w:line="240" w:lineRule="auto"/>
              <w:rPr>
                <w:rFonts w:ascii="Arial Narrow" w:hAnsi="Arial Narrow"/>
                <w:sz w:val="20"/>
                <w:szCs w:val="20"/>
              </w:rPr>
            </w:pPr>
            <w:r>
              <w:rPr>
                <w:rFonts w:ascii="Arial Narrow" w:hAnsi="Arial Narrow"/>
                <w:sz w:val="20"/>
                <w:szCs w:val="20"/>
              </w:rPr>
              <w:t>IVIg dose &gt;1.75 g/kg (1606)</w:t>
            </w:r>
          </w:p>
          <w:p w14:paraId="432F328E" w14:textId="77777777" w:rsidR="00CB4E4D" w:rsidRDefault="00CB4E4D" w:rsidP="00CB4E4D">
            <w:pPr>
              <w:spacing w:before="40" w:after="40" w:line="240" w:lineRule="auto"/>
              <w:rPr>
                <w:rFonts w:ascii="Arial Narrow" w:hAnsi="Arial Narrow"/>
                <w:sz w:val="20"/>
                <w:szCs w:val="20"/>
              </w:rPr>
            </w:pPr>
            <w:r>
              <w:rPr>
                <w:rFonts w:ascii="Arial Narrow" w:hAnsi="Arial Narrow"/>
                <w:sz w:val="20"/>
                <w:szCs w:val="20"/>
              </w:rPr>
              <w:t>IVIg dose 1.00-1.75 g/kg (1056)</w:t>
            </w:r>
          </w:p>
          <w:p w14:paraId="04B339F8" w14:textId="77777777" w:rsidR="00AA4247" w:rsidRDefault="00AA4247" w:rsidP="00AA4247">
            <w:pPr>
              <w:spacing w:before="40" w:after="40" w:line="240" w:lineRule="auto"/>
              <w:rPr>
                <w:rFonts w:ascii="Arial Narrow" w:hAnsi="Arial Narrow"/>
                <w:sz w:val="20"/>
                <w:szCs w:val="20"/>
              </w:rPr>
            </w:pPr>
            <w:r>
              <w:rPr>
                <w:rFonts w:ascii="Arial Narrow" w:hAnsi="Arial Narrow"/>
                <w:sz w:val="20"/>
                <w:szCs w:val="20"/>
              </w:rPr>
              <w:t>Reference: 0.5-0.99 (1648)</w:t>
            </w:r>
          </w:p>
        </w:tc>
        <w:tc>
          <w:tcPr>
            <w:tcW w:w="888" w:type="pct"/>
          </w:tcPr>
          <w:p w14:paraId="6AC3A466" w14:textId="77777777" w:rsidR="00AA4247" w:rsidRDefault="00AA4247" w:rsidP="00AA4247">
            <w:pPr>
              <w:tabs>
                <w:tab w:val="left" w:pos="885"/>
              </w:tabs>
              <w:spacing w:before="40" w:after="40" w:line="240" w:lineRule="auto"/>
              <w:rPr>
                <w:rFonts w:ascii="Arial Narrow" w:hAnsi="Arial Narrow"/>
                <w:sz w:val="20"/>
                <w:szCs w:val="20"/>
              </w:rPr>
            </w:pPr>
            <w:r>
              <w:rPr>
                <w:rFonts w:ascii="Arial Narrow" w:hAnsi="Arial Narrow"/>
                <w:sz w:val="20"/>
                <w:szCs w:val="20"/>
              </w:rPr>
              <w:t>3.87 (1.73, 8.68)</w:t>
            </w:r>
          </w:p>
          <w:p w14:paraId="6E86DDEE" w14:textId="77777777" w:rsidR="00CB4E4D"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2.34 (1.04, 5.30)</w:t>
            </w:r>
          </w:p>
          <w:p w14:paraId="46FCDD7C" w14:textId="77777777" w:rsidR="00CB4E4D" w:rsidRPr="00584B4C"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0.008</w:t>
            </w:r>
          </w:p>
        </w:tc>
        <w:tc>
          <w:tcPr>
            <w:tcW w:w="888" w:type="pct"/>
          </w:tcPr>
          <w:p w14:paraId="6DC9B8C8" w14:textId="77777777" w:rsidR="00AA4247"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06" w:type="pct"/>
          </w:tcPr>
          <w:p w14:paraId="6EC2CF95" w14:textId="77777777" w:rsidR="00AA4247" w:rsidRPr="00584B4C"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87" w:type="pct"/>
          </w:tcPr>
          <w:p w14:paraId="42A27BF1" w14:textId="77777777" w:rsidR="00AA4247" w:rsidRPr="00584B4C"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AA4247" w:rsidRPr="00772105" w14:paraId="0A70954E" w14:textId="77777777" w:rsidTr="00CB4E4D">
        <w:tc>
          <w:tcPr>
            <w:tcW w:w="1531" w:type="pct"/>
            <w:shd w:val="clear" w:color="auto" w:fill="auto"/>
          </w:tcPr>
          <w:p w14:paraId="4CF9901A" w14:textId="77777777" w:rsidR="00AA4247" w:rsidRDefault="00CB4E4D" w:rsidP="00CB4E4D">
            <w:pPr>
              <w:spacing w:before="40" w:after="40" w:line="240" w:lineRule="auto"/>
              <w:rPr>
                <w:rFonts w:ascii="Arial Narrow" w:hAnsi="Arial Narrow"/>
                <w:sz w:val="20"/>
                <w:szCs w:val="20"/>
              </w:rPr>
            </w:pPr>
            <w:r>
              <w:rPr>
                <w:rFonts w:ascii="Arial Narrow" w:hAnsi="Arial Narrow"/>
                <w:sz w:val="20"/>
                <w:szCs w:val="20"/>
              </w:rPr>
              <w:t>Age, per</w:t>
            </w:r>
            <w:r w:rsidR="00B92875">
              <w:rPr>
                <w:rFonts w:ascii="Arial Narrow" w:hAnsi="Arial Narrow"/>
                <w:sz w:val="20"/>
                <w:szCs w:val="20"/>
              </w:rPr>
              <w:t xml:space="preserve"> </w:t>
            </w:r>
            <w:r>
              <w:rPr>
                <w:rFonts w:ascii="Arial Narrow" w:hAnsi="Arial Narrow"/>
                <w:sz w:val="20"/>
                <w:szCs w:val="20"/>
              </w:rPr>
              <w:t>10 y increase (5867)</w:t>
            </w:r>
          </w:p>
        </w:tc>
        <w:tc>
          <w:tcPr>
            <w:tcW w:w="888" w:type="pct"/>
          </w:tcPr>
          <w:p w14:paraId="1D1A137C" w14:textId="77777777" w:rsidR="00AA4247"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0.81 (0.67, 0.97)</w:t>
            </w:r>
          </w:p>
          <w:p w14:paraId="0C6A2DF4" w14:textId="77777777" w:rsidR="00CB4E4D" w:rsidRPr="00584B4C"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0.023</w:t>
            </w:r>
          </w:p>
        </w:tc>
        <w:tc>
          <w:tcPr>
            <w:tcW w:w="888" w:type="pct"/>
          </w:tcPr>
          <w:p w14:paraId="60719C11" w14:textId="77777777" w:rsidR="00AA4247" w:rsidRDefault="00CB4E4D" w:rsidP="00CB4E4D">
            <w:pPr>
              <w:tabs>
                <w:tab w:val="left" w:pos="885"/>
              </w:tabs>
              <w:spacing w:before="40" w:after="40" w:line="240" w:lineRule="auto"/>
              <w:rPr>
                <w:rFonts w:ascii="Arial Narrow" w:hAnsi="Arial Narrow"/>
                <w:sz w:val="20"/>
                <w:szCs w:val="20"/>
              </w:rPr>
            </w:pPr>
            <w:r>
              <w:rPr>
                <w:rFonts w:ascii="Arial Narrow" w:hAnsi="Arial Narrow"/>
                <w:sz w:val="20"/>
                <w:szCs w:val="20"/>
              </w:rPr>
              <w:t>0.74</w:t>
            </w:r>
            <w:r w:rsidR="00AA4247">
              <w:rPr>
                <w:rFonts w:ascii="Arial Narrow" w:hAnsi="Arial Narrow"/>
                <w:sz w:val="20"/>
                <w:szCs w:val="20"/>
              </w:rPr>
              <w:t xml:space="preserve"> (</w:t>
            </w:r>
            <w:r>
              <w:rPr>
                <w:rFonts w:ascii="Arial Narrow" w:hAnsi="Arial Narrow"/>
                <w:sz w:val="20"/>
                <w:szCs w:val="20"/>
              </w:rPr>
              <w:t>0.61, 0.90</w:t>
            </w:r>
            <w:r w:rsidR="00AA4247">
              <w:rPr>
                <w:rFonts w:ascii="Arial Narrow" w:hAnsi="Arial Narrow"/>
                <w:sz w:val="20"/>
                <w:szCs w:val="20"/>
              </w:rPr>
              <w:t>)</w:t>
            </w:r>
          </w:p>
          <w:p w14:paraId="017D1B63" w14:textId="77777777" w:rsidR="00CB4E4D" w:rsidRDefault="00CB4E4D" w:rsidP="00CB4E4D">
            <w:pPr>
              <w:tabs>
                <w:tab w:val="left" w:pos="885"/>
              </w:tabs>
              <w:spacing w:before="40" w:after="40" w:line="240" w:lineRule="auto"/>
              <w:rPr>
                <w:rFonts w:ascii="Arial Narrow" w:hAnsi="Arial Narrow"/>
                <w:sz w:val="20"/>
                <w:szCs w:val="20"/>
              </w:rPr>
            </w:pPr>
            <w:r>
              <w:rPr>
                <w:rFonts w:ascii="Arial Narrow" w:hAnsi="Arial Narrow"/>
                <w:sz w:val="20"/>
                <w:szCs w:val="20"/>
              </w:rPr>
              <w:t>0.003</w:t>
            </w:r>
          </w:p>
        </w:tc>
        <w:tc>
          <w:tcPr>
            <w:tcW w:w="806" w:type="pct"/>
          </w:tcPr>
          <w:p w14:paraId="379044F6" w14:textId="77777777" w:rsidR="00AA4247" w:rsidRPr="00584B4C" w:rsidRDefault="00CB4E4D" w:rsidP="00CB4E4D">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87" w:type="pct"/>
          </w:tcPr>
          <w:p w14:paraId="34B25A59" w14:textId="77777777" w:rsidR="00AA4247"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0.73 (0.56, 0.97)</w:t>
            </w:r>
          </w:p>
          <w:p w14:paraId="3940EA7D" w14:textId="77777777" w:rsidR="00CB4E4D" w:rsidRPr="00584B4C"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0.027</w:t>
            </w:r>
          </w:p>
        </w:tc>
      </w:tr>
      <w:tr w:rsidR="00AA4247" w:rsidRPr="00772105" w14:paraId="5A488CEE" w14:textId="77777777" w:rsidTr="00CB4E4D">
        <w:tc>
          <w:tcPr>
            <w:tcW w:w="1531" w:type="pct"/>
            <w:shd w:val="clear" w:color="auto" w:fill="auto"/>
          </w:tcPr>
          <w:p w14:paraId="1C1C8749" w14:textId="77777777" w:rsidR="00AA4247" w:rsidRDefault="00CB4E4D" w:rsidP="00AA4247">
            <w:pPr>
              <w:spacing w:before="40" w:after="40" w:line="240" w:lineRule="auto"/>
              <w:rPr>
                <w:rFonts w:ascii="Arial Narrow" w:hAnsi="Arial Narrow"/>
                <w:sz w:val="20"/>
                <w:szCs w:val="20"/>
              </w:rPr>
            </w:pPr>
            <w:r>
              <w:rPr>
                <w:rFonts w:ascii="Arial Narrow" w:hAnsi="Arial Narrow"/>
                <w:sz w:val="20"/>
                <w:szCs w:val="20"/>
              </w:rPr>
              <w:t>Sex Women (3089)</w:t>
            </w:r>
          </w:p>
          <w:p w14:paraId="0D7ECCF8" w14:textId="77777777" w:rsidR="00CB4E4D" w:rsidRDefault="00CB4E4D" w:rsidP="00AA4247">
            <w:pPr>
              <w:spacing w:before="40" w:after="40" w:line="240" w:lineRule="auto"/>
              <w:rPr>
                <w:rFonts w:ascii="Arial Narrow" w:hAnsi="Arial Narrow"/>
                <w:sz w:val="20"/>
                <w:szCs w:val="20"/>
              </w:rPr>
            </w:pPr>
            <w:r>
              <w:rPr>
                <w:rFonts w:ascii="Arial Narrow" w:hAnsi="Arial Narrow"/>
                <w:sz w:val="20"/>
                <w:szCs w:val="20"/>
              </w:rPr>
              <w:t>Reference: men (2778)</w:t>
            </w:r>
          </w:p>
        </w:tc>
        <w:tc>
          <w:tcPr>
            <w:tcW w:w="888" w:type="pct"/>
          </w:tcPr>
          <w:p w14:paraId="548A0A94" w14:textId="77777777" w:rsidR="00AA4247" w:rsidRDefault="00CB4E4D" w:rsidP="00CB4E4D">
            <w:pPr>
              <w:tabs>
                <w:tab w:val="left" w:pos="885"/>
              </w:tabs>
              <w:spacing w:before="40" w:after="40" w:line="240" w:lineRule="auto"/>
              <w:rPr>
                <w:rFonts w:ascii="Arial Narrow" w:hAnsi="Arial Narrow"/>
                <w:sz w:val="20"/>
                <w:szCs w:val="20"/>
              </w:rPr>
            </w:pPr>
            <w:r>
              <w:rPr>
                <w:rFonts w:ascii="Arial Narrow" w:hAnsi="Arial Narrow"/>
                <w:sz w:val="20"/>
                <w:szCs w:val="20"/>
              </w:rPr>
              <w:t>1.85</w:t>
            </w:r>
            <w:r w:rsidR="00AA4247">
              <w:rPr>
                <w:rFonts w:ascii="Arial Narrow" w:hAnsi="Arial Narrow"/>
                <w:sz w:val="20"/>
                <w:szCs w:val="20"/>
              </w:rPr>
              <w:t xml:space="preserve"> (</w:t>
            </w:r>
            <w:r>
              <w:rPr>
                <w:rFonts w:ascii="Arial Narrow" w:hAnsi="Arial Narrow"/>
                <w:sz w:val="20"/>
                <w:szCs w:val="20"/>
              </w:rPr>
              <w:t>1.05, 3.27</w:t>
            </w:r>
            <w:r w:rsidR="00AA4247">
              <w:rPr>
                <w:rFonts w:ascii="Arial Narrow" w:hAnsi="Arial Narrow"/>
                <w:sz w:val="20"/>
                <w:szCs w:val="20"/>
              </w:rPr>
              <w:t>)</w:t>
            </w:r>
          </w:p>
          <w:p w14:paraId="4EC4AA5A" w14:textId="77777777" w:rsidR="00CB4E4D" w:rsidRPr="00584B4C" w:rsidRDefault="00CB4E4D" w:rsidP="00CB4E4D">
            <w:pPr>
              <w:tabs>
                <w:tab w:val="left" w:pos="885"/>
              </w:tabs>
              <w:spacing w:before="40" w:after="40" w:line="240" w:lineRule="auto"/>
              <w:rPr>
                <w:rFonts w:ascii="Arial Narrow" w:hAnsi="Arial Narrow"/>
                <w:sz w:val="20"/>
                <w:szCs w:val="20"/>
              </w:rPr>
            </w:pPr>
            <w:r>
              <w:rPr>
                <w:rFonts w:ascii="Arial Narrow" w:hAnsi="Arial Narrow"/>
                <w:sz w:val="20"/>
                <w:szCs w:val="20"/>
              </w:rPr>
              <w:t>0.033</w:t>
            </w:r>
          </w:p>
        </w:tc>
        <w:tc>
          <w:tcPr>
            <w:tcW w:w="888" w:type="pct"/>
          </w:tcPr>
          <w:p w14:paraId="69C82FAF" w14:textId="77777777" w:rsidR="00AA4247"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06" w:type="pct"/>
          </w:tcPr>
          <w:p w14:paraId="3FDA497B" w14:textId="77777777" w:rsidR="00AA4247" w:rsidRPr="00584B4C"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87" w:type="pct"/>
          </w:tcPr>
          <w:p w14:paraId="3441C5A8" w14:textId="77777777" w:rsidR="00AA4247" w:rsidRPr="00584B4C" w:rsidRDefault="00CB4E4D"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AA4247" w:rsidRPr="00772105" w14:paraId="7F374727" w14:textId="77777777" w:rsidTr="00CB4E4D">
        <w:tc>
          <w:tcPr>
            <w:tcW w:w="1531" w:type="pct"/>
            <w:shd w:val="clear" w:color="auto" w:fill="auto"/>
          </w:tcPr>
          <w:p w14:paraId="2C536A91" w14:textId="77777777" w:rsidR="00AA4247" w:rsidRDefault="00CB4E4D" w:rsidP="00AA4247">
            <w:pPr>
              <w:spacing w:before="40" w:after="40" w:line="240" w:lineRule="auto"/>
              <w:rPr>
                <w:rFonts w:ascii="Arial Narrow" w:hAnsi="Arial Narrow"/>
                <w:sz w:val="20"/>
                <w:szCs w:val="20"/>
              </w:rPr>
            </w:pPr>
            <w:r>
              <w:rPr>
                <w:rFonts w:ascii="Arial Narrow" w:hAnsi="Arial Narrow"/>
                <w:sz w:val="20"/>
                <w:szCs w:val="20"/>
              </w:rPr>
              <w:t>Diagnosis MG (889)</w:t>
            </w:r>
          </w:p>
          <w:p w14:paraId="172C09EE" w14:textId="77777777" w:rsidR="00CB4E4D" w:rsidRPr="00AF145A" w:rsidRDefault="00CB4E4D" w:rsidP="00AA4247">
            <w:pPr>
              <w:spacing w:before="40" w:after="40" w:line="240" w:lineRule="auto"/>
              <w:rPr>
                <w:rFonts w:ascii="Arial Narrow" w:hAnsi="Arial Narrow"/>
                <w:sz w:val="20"/>
                <w:szCs w:val="20"/>
                <w:vertAlign w:val="superscript"/>
              </w:rPr>
            </w:pPr>
            <w:r>
              <w:rPr>
                <w:rFonts w:ascii="Arial Narrow" w:hAnsi="Arial Narrow"/>
                <w:sz w:val="20"/>
                <w:szCs w:val="20"/>
              </w:rPr>
              <w:t>Reference: CIDP (3273)</w:t>
            </w:r>
          </w:p>
        </w:tc>
        <w:tc>
          <w:tcPr>
            <w:tcW w:w="888" w:type="pct"/>
          </w:tcPr>
          <w:p w14:paraId="0F85AD5B" w14:textId="77777777" w:rsidR="00AA4247" w:rsidRDefault="00CB4E4D" w:rsidP="00CB4E4D">
            <w:pPr>
              <w:tabs>
                <w:tab w:val="left" w:pos="885"/>
              </w:tabs>
              <w:spacing w:before="40" w:after="40" w:line="240" w:lineRule="auto"/>
              <w:rPr>
                <w:rFonts w:ascii="Arial Narrow" w:hAnsi="Arial Narrow"/>
                <w:sz w:val="20"/>
                <w:szCs w:val="20"/>
              </w:rPr>
            </w:pPr>
            <w:r>
              <w:rPr>
                <w:rFonts w:ascii="Arial Narrow" w:hAnsi="Arial Narrow"/>
                <w:sz w:val="20"/>
                <w:szCs w:val="20"/>
              </w:rPr>
              <w:t>2.26</w:t>
            </w:r>
            <w:r w:rsidR="00AA4247">
              <w:rPr>
                <w:rFonts w:ascii="Arial Narrow" w:hAnsi="Arial Narrow"/>
                <w:sz w:val="20"/>
                <w:szCs w:val="20"/>
              </w:rPr>
              <w:t xml:space="preserve"> (</w:t>
            </w:r>
            <w:r>
              <w:rPr>
                <w:rFonts w:ascii="Arial Narrow" w:hAnsi="Arial Narrow"/>
                <w:sz w:val="20"/>
                <w:szCs w:val="20"/>
              </w:rPr>
              <w:t>1.09, 4.69</w:t>
            </w:r>
            <w:r w:rsidR="00AA4247">
              <w:rPr>
                <w:rFonts w:ascii="Arial Narrow" w:hAnsi="Arial Narrow"/>
                <w:sz w:val="20"/>
                <w:szCs w:val="20"/>
              </w:rPr>
              <w:t>)</w:t>
            </w:r>
          </w:p>
          <w:p w14:paraId="165830E3" w14:textId="77777777" w:rsidR="00CB4E4D" w:rsidRPr="00584B4C" w:rsidRDefault="00CB4E4D" w:rsidP="00CB4E4D">
            <w:pPr>
              <w:tabs>
                <w:tab w:val="left" w:pos="885"/>
              </w:tabs>
              <w:spacing w:before="40" w:after="40" w:line="240" w:lineRule="auto"/>
              <w:rPr>
                <w:rFonts w:ascii="Arial Narrow" w:hAnsi="Arial Narrow"/>
                <w:sz w:val="20"/>
                <w:szCs w:val="20"/>
              </w:rPr>
            </w:pPr>
            <w:r>
              <w:rPr>
                <w:rFonts w:ascii="Arial Narrow" w:hAnsi="Arial Narrow"/>
                <w:sz w:val="20"/>
                <w:szCs w:val="20"/>
              </w:rPr>
              <w:t>0.035</w:t>
            </w:r>
          </w:p>
        </w:tc>
        <w:tc>
          <w:tcPr>
            <w:tcW w:w="888" w:type="pct"/>
          </w:tcPr>
          <w:p w14:paraId="50582A1D" w14:textId="77777777" w:rsidR="00AA4247" w:rsidRDefault="00CB4E4D" w:rsidP="00CB4E4D">
            <w:pPr>
              <w:tabs>
                <w:tab w:val="left" w:pos="885"/>
              </w:tabs>
              <w:spacing w:before="40" w:after="40" w:line="240" w:lineRule="auto"/>
              <w:rPr>
                <w:rFonts w:ascii="Arial Narrow" w:hAnsi="Arial Narrow"/>
                <w:sz w:val="20"/>
                <w:szCs w:val="20"/>
              </w:rPr>
            </w:pPr>
            <w:r>
              <w:rPr>
                <w:rFonts w:ascii="Arial Narrow" w:hAnsi="Arial Narrow"/>
                <w:sz w:val="20"/>
                <w:szCs w:val="20"/>
              </w:rPr>
              <w:t>4.19</w:t>
            </w:r>
            <w:r w:rsidR="00AA4247">
              <w:rPr>
                <w:rFonts w:ascii="Arial Narrow" w:hAnsi="Arial Narrow"/>
                <w:sz w:val="20"/>
                <w:szCs w:val="20"/>
              </w:rPr>
              <w:t xml:space="preserve"> (</w:t>
            </w:r>
            <w:r>
              <w:rPr>
                <w:rFonts w:ascii="Arial Narrow" w:hAnsi="Arial Narrow"/>
                <w:sz w:val="20"/>
                <w:szCs w:val="20"/>
              </w:rPr>
              <w:t>1.88, 9.30</w:t>
            </w:r>
            <w:r w:rsidR="00AA4247">
              <w:rPr>
                <w:rFonts w:ascii="Arial Narrow" w:hAnsi="Arial Narrow"/>
                <w:sz w:val="20"/>
                <w:szCs w:val="20"/>
              </w:rPr>
              <w:t>)</w:t>
            </w:r>
          </w:p>
          <w:p w14:paraId="61547678" w14:textId="77777777" w:rsidR="00CB4E4D" w:rsidRDefault="00CB4E4D" w:rsidP="00CB4E4D">
            <w:pPr>
              <w:tabs>
                <w:tab w:val="left" w:pos="885"/>
              </w:tabs>
              <w:spacing w:before="40" w:after="40" w:line="240" w:lineRule="auto"/>
              <w:rPr>
                <w:rFonts w:ascii="Arial Narrow" w:hAnsi="Arial Narrow"/>
                <w:sz w:val="20"/>
                <w:szCs w:val="20"/>
              </w:rPr>
            </w:pPr>
            <w:r>
              <w:rPr>
                <w:rFonts w:ascii="Arial Narrow" w:hAnsi="Arial Narrow"/>
                <w:sz w:val="20"/>
                <w:szCs w:val="20"/>
              </w:rPr>
              <w:t>0.003</w:t>
            </w:r>
          </w:p>
        </w:tc>
        <w:tc>
          <w:tcPr>
            <w:tcW w:w="806" w:type="pct"/>
          </w:tcPr>
          <w:p w14:paraId="0051D4EE" w14:textId="77777777" w:rsidR="00AA4247" w:rsidRPr="00584B4C" w:rsidRDefault="00AD2101"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87" w:type="pct"/>
          </w:tcPr>
          <w:p w14:paraId="5E626130" w14:textId="77777777" w:rsidR="00AA4247" w:rsidRPr="00584B4C" w:rsidRDefault="00AD2101"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r w:rsidR="00AA4247" w:rsidRPr="00772105" w14:paraId="2B2B6BB4" w14:textId="77777777" w:rsidTr="00CB4E4D">
        <w:tc>
          <w:tcPr>
            <w:tcW w:w="1531" w:type="pct"/>
            <w:shd w:val="clear" w:color="auto" w:fill="auto"/>
          </w:tcPr>
          <w:p w14:paraId="06B18DCB" w14:textId="77777777" w:rsidR="00AA4247" w:rsidRDefault="00CB4E4D" w:rsidP="00AA4247">
            <w:pPr>
              <w:spacing w:before="40" w:after="40" w:line="240" w:lineRule="auto"/>
              <w:rPr>
                <w:rFonts w:ascii="Arial Narrow" w:hAnsi="Arial Narrow"/>
                <w:sz w:val="20"/>
                <w:szCs w:val="20"/>
              </w:rPr>
            </w:pPr>
            <w:r>
              <w:rPr>
                <w:rFonts w:ascii="Arial Narrow" w:hAnsi="Arial Narrow"/>
                <w:sz w:val="20"/>
                <w:szCs w:val="20"/>
              </w:rPr>
              <w:t>Consecutive dosing (1915)</w:t>
            </w:r>
          </w:p>
          <w:p w14:paraId="64996A81" w14:textId="77777777" w:rsidR="00CB4E4D" w:rsidRDefault="00CB4E4D" w:rsidP="00AA4247">
            <w:pPr>
              <w:spacing w:before="40" w:after="40" w:line="240" w:lineRule="auto"/>
              <w:rPr>
                <w:rFonts w:ascii="Arial Narrow" w:hAnsi="Arial Narrow"/>
                <w:sz w:val="20"/>
                <w:szCs w:val="20"/>
              </w:rPr>
            </w:pPr>
            <w:r>
              <w:rPr>
                <w:rFonts w:ascii="Arial Narrow" w:hAnsi="Arial Narrow"/>
                <w:sz w:val="20"/>
                <w:szCs w:val="20"/>
              </w:rPr>
              <w:t>Reference: non-consecutive (</w:t>
            </w:r>
            <w:r w:rsidR="00AD2101">
              <w:rPr>
                <w:rFonts w:ascii="Arial Narrow" w:hAnsi="Arial Narrow"/>
                <w:sz w:val="20"/>
                <w:szCs w:val="20"/>
              </w:rPr>
              <w:t>3953)</w:t>
            </w:r>
          </w:p>
        </w:tc>
        <w:tc>
          <w:tcPr>
            <w:tcW w:w="888" w:type="pct"/>
          </w:tcPr>
          <w:p w14:paraId="6C97B4D2" w14:textId="77777777" w:rsidR="00AA4247" w:rsidRPr="00584B4C" w:rsidRDefault="00AD2101"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88" w:type="pct"/>
          </w:tcPr>
          <w:p w14:paraId="1300D3F4" w14:textId="77777777" w:rsidR="00AA4247" w:rsidRDefault="00AD2101"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c>
          <w:tcPr>
            <w:tcW w:w="806" w:type="pct"/>
          </w:tcPr>
          <w:p w14:paraId="21CFEE44" w14:textId="77777777" w:rsidR="00AA4247" w:rsidRDefault="00AD2101" w:rsidP="00AD2101">
            <w:pPr>
              <w:tabs>
                <w:tab w:val="left" w:pos="885"/>
              </w:tabs>
              <w:spacing w:before="40" w:after="40" w:line="240" w:lineRule="auto"/>
              <w:rPr>
                <w:rFonts w:ascii="Arial Narrow" w:hAnsi="Arial Narrow"/>
                <w:sz w:val="20"/>
                <w:szCs w:val="20"/>
              </w:rPr>
            </w:pPr>
            <w:r>
              <w:rPr>
                <w:rFonts w:ascii="Arial Narrow" w:hAnsi="Arial Narrow"/>
                <w:sz w:val="20"/>
                <w:szCs w:val="20"/>
              </w:rPr>
              <w:t>2.15 (1.26, 3.69)</w:t>
            </w:r>
          </w:p>
          <w:p w14:paraId="40F46A24" w14:textId="77777777" w:rsidR="00AD2101" w:rsidRPr="00584B4C" w:rsidRDefault="00AD2101" w:rsidP="00AD2101">
            <w:pPr>
              <w:tabs>
                <w:tab w:val="left" w:pos="885"/>
              </w:tabs>
              <w:spacing w:before="40" w:after="40" w:line="240" w:lineRule="auto"/>
              <w:rPr>
                <w:rFonts w:ascii="Arial Narrow" w:hAnsi="Arial Narrow"/>
                <w:sz w:val="20"/>
                <w:szCs w:val="20"/>
              </w:rPr>
            </w:pPr>
            <w:r>
              <w:rPr>
                <w:rFonts w:ascii="Arial Narrow" w:hAnsi="Arial Narrow"/>
                <w:sz w:val="20"/>
                <w:szCs w:val="20"/>
              </w:rPr>
              <w:t>0.006</w:t>
            </w:r>
          </w:p>
        </w:tc>
        <w:tc>
          <w:tcPr>
            <w:tcW w:w="887" w:type="pct"/>
          </w:tcPr>
          <w:p w14:paraId="7B98ACD5" w14:textId="77777777" w:rsidR="00AA4247" w:rsidRPr="00584B4C" w:rsidRDefault="00AD2101" w:rsidP="00AA4247">
            <w:pPr>
              <w:tabs>
                <w:tab w:val="left" w:pos="885"/>
              </w:tabs>
              <w:spacing w:before="40" w:after="40" w:line="240" w:lineRule="auto"/>
              <w:rPr>
                <w:rFonts w:ascii="Arial Narrow" w:hAnsi="Arial Narrow"/>
                <w:sz w:val="20"/>
                <w:szCs w:val="20"/>
              </w:rPr>
            </w:pPr>
            <w:r>
              <w:rPr>
                <w:rFonts w:ascii="Arial Narrow" w:hAnsi="Arial Narrow"/>
                <w:sz w:val="20"/>
                <w:szCs w:val="20"/>
              </w:rPr>
              <w:t>-</w:t>
            </w:r>
          </w:p>
        </w:tc>
      </w:tr>
    </w:tbl>
    <w:p w14:paraId="3BCFA9D7" w14:textId="77777777" w:rsidR="00E13030" w:rsidRDefault="00B92875" w:rsidP="00B92875">
      <w:pPr>
        <w:pStyle w:val="Tablenotes1"/>
      </w:pPr>
      <w:r>
        <w:t>Abbreviation: AE = adverse event; CIDP = chronic</w:t>
      </w:r>
      <w:r w:rsidR="00EE2EB2">
        <w:t xml:space="preserve"> inflammatory demyelinating polyneuropathy</w:t>
      </w:r>
      <w:r>
        <w:t xml:space="preserve">; </w:t>
      </w:r>
      <w:r w:rsidR="001F32A1">
        <w:t>OR = odds ratio</w:t>
      </w:r>
    </w:p>
    <w:p w14:paraId="28B36197" w14:textId="77777777" w:rsidR="0025076A" w:rsidRDefault="0025076A" w:rsidP="0025076A">
      <w:pPr>
        <w:pStyle w:val="Heading3"/>
        <w:jc w:val="both"/>
      </w:pPr>
      <w:bookmarkStart w:id="218" w:name="_Toc69305565"/>
      <w:r>
        <w:t>Summary of extended</w:t>
      </w:r>
      <w:r w:rsidRPr="00E3331A">
        <w:t xml:space="preserve"> safety</w:t>
      </w:r>
      <w:r>
        <w:t xml:space="preserve"> data</w:t>
      </w:r>
      <w:bookmarkEnd w:id="218"/>
    </w:p>
    <w:p w14:paraId="04B3B873" w14:textId="5D0631D1" w:rsidR="00B6590E" w:rsidRPr="00B6590E" w:rsidRDefault="00B6590E" w:rsidP="00B6590E">
      <w:r>
        <w:t xml:space="preserve">A summary and comparison of AEs reported in retrospective cohorts of patients IVIg, PE or GC for neurological, autoimmune or other disorders can be seen in </w:t>
      </w:r>
      <w:r w:rsidR="00A8604C">
        <w:fldChar w:fldCharType="begin"/>
      </w:r>
      <w:r w:rsidR="00A8604C">
        <w:instrText xml:space="preserve"> REF _Ref58238706 \h  \* MERGEFORMAT </w:instrText>
      </w:r>
      <w:r w:rsidR="00A8604C">
        <w:fldChar w:fldCharType="separate"/>
      </w:r>
      <w:r w:rsidR="004B3EA2" w:rsidRPr="00B6590E">
        <w:t xml:space="preserve">Table </w:t>
      </w:r>
      <w:r w:rsidR="004B3EA2">
        <w:t>25</w:t>
      </w:r>
      <w:r w:rsidR="00A8604C">
        <w:fldChar w:fldCharType="end"/>
      </w:r>
      <w:r>
        <w:t>.</w:t>
      </w:r>
    </w:p>
    <w:p w14:paraId="7DB7B80A" w14:textId="18D63984" w:rsidR="00B6590E" w:rsidRPr="00B6590E" w:rsidRDefault="00B6590E" w:rsidP="00541B0D">
      <w:pPr>
        <w:pStyle w:val="Tableheading1"/>
      </w:pPr>
      <w:bookmarkStart w:id="219" w:name="_Ref58238706"/>
      <w:bookmarkStart w:id="220" w:name="_Toc69305666"/>
      <w:r w:rsidRPr="00B6590E">
        <w:t xml:space="preserve">Table </w:t>
      </w:r>
      <w:r w:rsidR="00003BA5">
        <w:fldChar w:fldCharType="begin"/>
      </w:r>
      <w:r w:rsidR="00003BA5">
        <w:instrText xml:space="preserve"> SEQ Table \* ARABIC </w:instrText>
      </w:r>
      <w:r w:rsidR="00003BA5">
        <w:fldChar w:fldCharType="separate"/>
      </w:r>
      <w:r w:rsidR="004B3EA2">
        <w:rPr>
          <w:noProof/>
        </w:rPr>
        <w:t>25</w:t>
      </w:r>
      <w:r w:rsidR="00003BA5">
        <w:rPr>
          <w:noProof/>
        </w:rPr>
        <w:fldChar w:fldCharType="end"/>
      </w:r>
      <w:bookmarkEnd w:id="219"/>
      <w:r w:rsidRPr="00B6590E">
        <w:tab/>
        <w:t>Comparison of adverse events reported in retrospective cohorts of patients receiving IVIg, PE or GC</w:t>
      </w:r>
      <w:bookmarkEnd w:id="220"/>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arison of adverse events reported in retrospective cohorts of patients receiving IVIg, PE or GC"/>
        <w:tblDescription w:val="Comparison of adverse events reported in retrospective cohorts of patients receiving IVIg, PE or GC"/>
      </w:tblPr>
      <w:tblGrid>
        <w:gridCol w:w="1696"/>
        <w:gridCol w:w="2553"/>
        <w:gridCol w:w="2412"/>
        <w:gridCol w:w="2265"/>
      </w:tblGrid>
      <w:tr w:rsidR="00B6590E" w:rsidRPr="00B6590E" w14:paraId="40366A60" w14:textId="77777777" w:rsidTr="0069579C">
        <w:trPr>
          <w:tblHeader/>
        </w:trPr>
        <w:tc>
          <w:tcPr>
            <w:tcW w:w="950" w:type="pct"/>
            <w:shd w:val="clear" w:color="auto" w:fill="auto"/>
          </w:tcPr>
          <w:p w14:paraId="0C1C548B" w14:textId="77777777" w:rsidR="00B6590E" w:rsidRPr="00B6590E" w:rsidRDefault="00B6590E" w:rsidP="00B6590E">
            <w:pPr>
              <w:keepNext/>
              <w:spacing w:before="40" w:after="40" w:line="240" w:lineRule="auto"/>
              <w:rPr>
                <w:rFonts w:ascii="Arial Narrow" w:hAnsi="Arial Narrow"/>
                <w:b/>
                <w:sz w:val="20"/>
                <w:szCs w:val="20"/>
              </w:rPr>
            </w:pPr>
            <w:r w:rsidRPr="00B6590E">
              <w:rPr>
                <w:rFonts w:ascii="Arial Narrow" w:hAnsi="Arial Narrow"/>
                <w:b/>
                <w:sz w:val="20"/>
                <w:szCs w:val="20"/>
              </w:rPr>
              <w:t>Description</w:t>
            </w:r>
          </w:p>
        </w:tc>
        <w:tc>
          <w:tcPr>
            <w:tcW w:w="1430" w:type="pct"/>
            <w:shd w:val="clear" w:color="auto" w:fill="auto"/>
          </w:tcPr>
          <w:p w14:paraId="35E4042E" w14:textId="77777777" w:rsidR="00B6590E" w:rsidRPr="00B6590E" w:rsidRDefault="00B6590E" w:rsidP="00B6590E">
            <w:pPr>
              <w:keepNext/>
              <w:spacing w:before="40" w:after="40" w:line="240" w:lineRule="auto"/>
              <w:rPr>
                <w:rFonts w:ascii="Arial Narrow" w:hAnsi="Arial Narrow"/>
                <w:b/>
                <w:sz w:val="20"/>
                <w:szCs w:val="20"/>
              </w:rPr>
            </w:pPr>
            <w:r w:rsidRPr="00B6590E">
              <w:rPr>
                <w:rFonts w:ascii="Arial Narrow" w:hAnsi="Arial Narrow"/>
                <w:b/>
                <w:sz w:val="20"/>
                <w:szCs w:val="20"/>
              </w:rPr>
              <w:t>IVIg</w:t>
            </w:r>
          </w:p>
        </w:tc>
        <w:tc>
          <w:tcPr>
            <w:tcW w:w="1351" w:type="pct"/>
            <w:shd w:val="clear" w:color="auto" w:fill="auto"/>
          </w:tcPr>
          <w:p w14:paraId="07812E95" w14:textId="77777777" w:rsidR="00B6590E" w:rsidRPr="00B6590E" w:rsidRDefault="00B6590E" w:rsidP="00B6590E">
            <w:pPr>
              <w:keepNext/>
              <w:spacing w:before="40" w:after="40" w:line="240" w:lineRule="auto"/>
              <w:rPr>
                <w:rFonts w:ascii="Arial Narrow" w:hAnsi="Arial Narrow"/>
                <w:b/>
                <w:sz w:val="20"/>
                <w:szCs w:val="20"/>
              </w:rPr>
            </w:pPr>
            <w:r w:rsidRPr="00B6590E">
              <w:rPr>
                <w:rFonts w:ascii="Arial Narrow" w:hAnsi="Arial Narrow"/>
                <w:b/>
                <w:sz w:val="20"/>
                <w:szCs w:val="20"/>
              </w:rPr>
              <w:t>PE</w:t>
            </w:r>
          </w:p>
        </w:tc>
        <w:tc>
          <w:tcPr>
            <w:tcW w:w="1269" w:type="pct"/>
            <w:shd w:val="clear" w:color="auto" w:fill="auto"/>
          </w:tcPr>
          <w:p w14:paraId="01E4C3C1" w14:textId="77777777" w:rsidR="00B6590E" w:rsidRPr="00B6590E" w:rsidRDefault="00B6590E" w:rsidP="00B6590E">
            <w:pPr>
              <w:keepNext/>
              <w:spacing w:before="40" w:after="40" w:line="240" w:lineRule="auto"/>
              <w:rPr>
                <w:rFonts w:ascii="Arial Narrow" w:hAnsi="Arial Narrow"/>
                <w:b/>
                <w:sz w:val="20"/>
                <w:szCs w:val="20"/>
              </w:rPr>
            </w:pPr>
            <w:r w:rsidRPr="00B6590E">
              <w:rPr>
                <w:rFonts w:ascii="Arial Narrow" w:hAnsi="Arial Narrow"/>
                <w:b/>
                <w:sz w:val="20"/>
                <w:szCs w:val="20"/>
              </w:rPr>
              <w:t>GC</w:t>
            </w:r>
          </w:p>
        </w:tc>
      </w:tr>
      <w:tr w:rsidR="00B6590E" w:rsidRPr="00B6590E" w14:paraId="0A120504" w14:textId="77777777" w:rsidTr="0069579C">
        <w:tc>
          <w:tcPr>
            <w:tcW w:w="950" w:type="pct"/>
            <w:shd w:val="clear" w:color="auto" w:fill="auto"/>
          </w:tcPr>
          <w:p w14:paraId="029BC59D"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Population</w:t>
            </w:r>
          </w:p>
        </w:tc>
        <w:tc>
          <w:tcPr>
            <w:tcW w:w="1430" w:type="pct"/>
            <w:shd w:val="clear" w:color="auto" w:fill="auto"/>
          </w:tcPr>
          <w:p w14:paraId="2CF8CF42"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Outpatients with autoimmune neurological disorders including CIDP (50.5%)</w:t>
            </w:r>
          </w:p>
          <w:p w14:paraId="6033EBCC"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 xml:space="preserve">All patients : n = 438 </w:t>
            </w:r>
          </w:p>
          <w:p w14:paraId="42E9D344"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CIDP = 221</w:t>
            </w:r>
          </w:p>
          <w:p w14:paraId="1F5AAF99"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Infusions all: 5867</w:t>
            </w:r>
          </w:p>
          <w:p w14:paraId="750F3687"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Infusions CIDP: 3256</w:t>
            </w:r>
          </w:p>
        </w:tc>
        <w:tc>
          <w:tcPr>
            <w:tcW w:w="1351" w:type="pct"/>
            <w:shd w:val="clear" w:color="auto" w:fill="auto"/>
          </w:tcPr>
          <w:p w14:paraId="63ABD0DA"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Patients with malignancy, neurological or haematological disorders</w:t>
            </w:r>
          </w:p>
          <w:p w14:paraId="5178261E" w14:textId="77777777" w:rsidR="00B6590E" w:rsidRPr="00B6590E" w:rsidRDefault="00B6590E" w:rsidP="00B6590E">
            <w:pPr>
              <w:spacing w:before="40" w:after="40" w:line="240" w:lineRule="auto"/>
              <w:rPr>
                <w:rFonts w:ascii="Arial Narrow" w:hAnsi="Arial Narrow"/>
                <w:sz w:val="20"/>
                <w:szCs w:val="20"/>
              </w:rPr>
            </w:pPr>
          </w:p>
        </w:tc>
        <w:tc>
          <w:tcPr>
            <w:tcW w:w="1269" w:type="pct"/>
            <w:shd w:val="clear" w:color="auto" w:fill="auto"/>
          </w:tcPr>
          <w:p w14:paraId="095B2E75"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Autoimmune disorders including RA, SLE, GCA, and CIDP; asthma and lung diseases</w:t>
            </w:r>
          </w:p>
        </w:tc>
      </w:tr>
      <w:tr w:rsidR="00B6590E" w:rsidRPr="00B6590E" w14:paraId="67C3E5D5" w14:textId="77777777" w:rsidTr="0069579C">
        <w:tc>
          <w:tcPr>
            <w:tcW w:w="950" w:type="pct"/>
            <w:shd w:val="clear" w:color="auto" w:fill="auto"/>
          </w:tcPr>
          <w:p w14:paraId="70571B01"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Observation period</w:t>
            </w:r>
          </w:p>
          <w:p w14:paraId="58B3EA2D"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Follow-up time</w:t>
            </w:r>
          </w:p>
        </w:tc>
        <w:tc>
          <w:tcPr>
            <w:tcW w:w="1430" w:type="pct"/>
            <w:shd w:val="clear" w:color="auto" w:fill="auto"/>
          </w:tcPr>
          <w:p w14:paraId="092BA115"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7 months</w:t>
            </w:r>
          </w:p>
          <w:p w14:paraId="69CF6936"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Median follow-up (IQR): 21 (7, 21) weeks</w:t>
            </w:r>
          </w:p>
        </w:tc>
        <w:tc>
          <w:tcPr>
            <w:tcW w:w="1351" w:type="pct"/>
            <w:shd w:val="clear" w:color="auto" w:fill="auto"/>
          </w:tcPr>
          <w:p w14:paraId="55041A80"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NR</w:t>
            </w:r>
          </w:p>
        </w:tc>
        <w:tc>
          <w:tcPr>
            <w:tcW w:w="1269" w:type="pct"/>
            <w:shd w:val="clear" w:color="auto" w:fill="auto"/>
          </w:tcPr>
          <w:p w14:paraId="19799132"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6 months to 5 years</w:t>
            </w:r>
          </w:p>
        </w:tc>
      </w:tr>
      <w:tr w:rsidR="00B6590E" w:rsidRPr="00B6590E" w14:paraId="276C1865" w14:textId="77777777" w:rsidTr="0069579C">
        <w:tc>
          <w:tcPr>
            <w:tcW w:w="950" w:type="pct"/>
            <w:shd w:val="clear" w:color="auto" w:fill="auto"/>
          </w:tcPr>
          <w:p w14:paraId="6154FED5"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Mild or moderate AEs</w:t>
            </w:r>
          </w:p>
        </w:tc>
        <w:tc>
          <w:tcPr>
            <w:tcW w:w="1430" w:type="pct"/>
            <w:shd w:val="clear" w:color="auto" w:fill="auto"/>
          </w:tcPr>
          <w:p w14:paraId="14C12525"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16.9% of all patients</w:t>
            </w:r>
          </w:p>
          <w:p w14:paraId="50BAC845"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2.9% of all infusions</w:t>
            </w:r>
          </w:p>
          <w:p w14:paraId="28A1D204"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12.2% of CIDP patients</w:t>
            </w:r>
          </w:p>
          <w:p w14:paraId="630299D9"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1.9% of CIDP infusions</w:t>
            </w:r>
          </w:p>
        </w:tc>
        <w:tc>
          <w:tcPr>
            <w:tcW w:w="1351" w:type="pct"/>
            <w:shd w:val="clear" w:color="auto" w:fill="auto"/>
          </w:tcPr>
          <w:p w14:paraId="75D51516"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2.</w:t>
            </w:r>
            <w:r w:rsidR="001F32A1">
              <w:rPr>
                <w:rFonts w:ascii="Arial Narrow" w:hAnsi="Arial Narrow"/>
                <w:sz w:val="20"/>
                <w:szCs w:val="20"/>
              </w:rPr>
              <w:t>05</w:t>
            </w:r>
            <w:r w:rsidRPr="00B6590E">
              <w:rPr>
                <w:rFonts w:ascii="Arial Narrow" w:hAnsi="Arial Narrow"/>
                <w:sz w:val="20"/>
                <w:szCs w:val="20"/>
              </w:rPr>
              <w:t>% of patients</w:t>
            </w:r>
          </w:p>
          <w:p w14:paraId="0A96E57B" w14:textId="77777777" w:rsidR="00B6590E" w:rsidRPr="00B6590E" w:rsidRDefault="00285279" w:rsidP="00B6590E">
            <w:pPr>
              <w:spacing w:before="40" w:after="40" w:line="240" w:lineRule="auto"/>
              <w:rPr>
                <w:rFonts w:ascii="Arial Narrow" w:hAnsi="Arial Narrow"/>
                <w:sz w:val="20"/>
                <w:szCs w:val="20"/>
              </w:rPr>
            </w:pPr>
            <w:r>
              <w:rPr>
                <w:rFonts w:ascii="Arial Narrow" w:hAnsi="Arial Narrow"/>
                <w:sz w:val="20"/>
                <w:szCs w:val="20"/>
              </w:rPr>
              <w:t>4.75</w:t>
            </w:r>
            <w:r w:rsidR="00B6590E" w:rsidRPr="00B6590E">
              <w:rPr>
                <w:rFonts w:ascii="Arial Narrow" w:hAnsi="Arial Narrow"/>
                <w:sz w:val="20"/>
                <w:szCs w:val="20"/>
              </w:rPr>
              <w:t>% to 40% of procedures</w:t>
            </w:r>
          </w:p>
        </w:tc>
        <w:tc>
          <w:tcPr>
            <w:tcW w:w="1269" w:type="pct"/>
            <w:shd w:val="clear" w:color="auto" w:fill="auto"/>
          </w:tcPr>
          <w:p w14:paraId="59EE5628"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Up to 37.9% of patients per AE (only most common AEs were reported)</w:t>
            </w:r>
          </w:p>
        </w:tc>
      </w:tr>
      <w:tr w:rsidR="00B6590E" w:rsidRPr="00B6590E" w14:paraId="2619ABB2" w14:textId="77777777" w:rsidTr="0069579C">
        <w:tc>
          <w:tcPr>
            <w:tcW w:w="950" w:type="pct"/>
            <w:shd w:val="clear" w:color="auto" w:fill="auto"/>
          </w:tcPr>
          <w:p w14:paraId="78F0A8B0"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Serious AEs</w:t>
            </w:r>
          </w:p>
        </w:tc>
        <w:tc>
          <w:tcPr>
            <w:tcW w:w="1430" w:type="pct"/>
            <w:shd w:val="clear" w:color="auto" w:fill="auto"/>
          </w:tcPr>
          <w:p w14:paraId="43846B83"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0.8% of all patients</w:t>
            </w:r>
          </w:p>
          <w:p w14:paraId="4A1D58EE"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0.5% of CIDP patients</w:t>
            </w:r>
          </w:p>
        </w:tc>
        <w:tc>
          <w:tcPr>
            <w:tcW w:w="1351" w:type="pct"/>
            <w:shd w:val="clear" w:color="auto" w:fill="auto"/>
          </w:tcPr>
          <w:p w14:paraId="62E98238"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0.1% to 1.68% of procedures</w:t>
            </w:r>
          </w:p>
        </w:tc>
        <w:tc>
          <w:tcPr>
            <w:tcW w:w="1269" w:type="pct"/>
            <w:shd w:val="clear" w:color="auto" w:fill="auto"/>
          </w:tcPr>
          <w:p w14:paraId="33357D6E"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1.6% of CIDP patients</w:t>
            </w:r>
          </w:p>
        </w:tc>
      </w:tr>
      <w:tr w:rsidR="00B6590E" w:rsidRPr="00B6590E" w14:paraId="6CC7A3AC" w14:textId="77777777" w:rsidTr="0069579C">
        <w:tc>
          <w:tcPr>
            <w:tcW w:w="950" w:type="pct"/>
            <w:shd w:val="clear" w:color="auto" w:fill="auto"/>
          </w:tcPr>
          <w:p w14:paraId="41DC911F"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Most common AEs</w:t>
            </w:r>
          </w:p>
        </w:tc>
        <w:tc>
          <w:tcPr>
            <w:tcW w:w="1430" w:type="pct"/>
            <w:shd w:val="clear" w:color="auto" w:fill="auto"/>
          </w:tcPr>
          <w:p w14:paraId="45B83AB6"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Headache</w:t>
            </w:r>
          </w:p>
          <w:p w14:paraId="47B139E6"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Hypertension</w:t>
            </w:r>
          </w:p>
          <w:p w14:paraId="750707F7"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Rash</w:t>
            </w:r>
          </w:p>
          <w:p w14:paraId="29C97FA6" w14:textId="77777777" w:rsidR="00B6590E" w:rsidRPr="00B6590E" w:rsidRDefault="00B6590E" w:rsidP="00B6590E">
            <w:pPr>
              <w:spacing w:before="40" w:after="40" w:line="240" w:lineRule="auto"/>
              <w:rPr>
                <w:rFonts w:ascii="Arial Narrow" w:hAnsi="Arial Narrow" w:cs="Calibri"/>
                <w:color w:val="000000"/>
                <w:sz w:val="18"/>
                <w:szCs w:val="18"/>
              </w:rPr>
            </w:pPr>
            <w:r w:rsidRPr="00B6590E">
              <w:rPr>
                <w:rFonts w:ascii="Arial Narrow" w:hAnsi="Arial Narrow"/>
                <w:sz w:val="20"/>
                <w:szCs w:val="20"/>
              </w:rPr>
              <w:t>Nausea</w:t>
            </w:r>
            <w:r w:rsidRPr="00B6590E">
              <w:rPr>
                <w:rFonts w:ascii="Arial Narrow" w:hAnsi="Arial Narrow" w:cs="Calibri"/>
                <w:color w:val="000000"/>
                <w:sz w:val="18"/>
                <w:szCs w:val="18"/>
              </w:rPr>
              <w:t xml:space="preserve"> </w:t>
            </w:r>
          </w:p>
        </w:tc>
        <w:tc>
          <w:tcPr>
            <w:tcW w:w="1351" w:type="pct"/>
            <w:shd w:val="clear" w:color="auto" w:fill="auto"/>
          </w:tcPr>
          <w:p w14:paraId="3232D2F4"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Hypotension</w:t>
            </w:r>
          </w:p>
          <w:p w14:paraId="62D3B7B3"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Poor venous access</w:t>
            </w:r>
          </w:p>
          <w:p w14:paraId="6F3B3ECB"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 xml:space="preserve">Tingling, </w:t>
            </w:r>
            <w:r w:rsidR="00201335" w:rsidRPr="00B6590E">
              <w:rPr>
                <w:rFonts w:ascii="Arial Narrow" w:hAnsi="Arial Narrow"/>
                <w:sz w:val="20"/>
                <w:szCs w:val="20"/>
              </w:rPr>
              <w:t>par</w:t>
            </w:r>
            <w:r w:rsidR="00201335">
              <w:rPr>
                <w:rFonts w:ascii="Arial Narrow" w:hAnsi="Arial Narrow"/>
                <w:sz w:val="20"/>
                <w:szCs w:val="20"/>
              </w:rPr>
              <w:t>a</w:t>
            </w:r>
            <w:r w:rsidR="00201335" w:rsidRPr="00B6590E">
              <w:rPr>
                <w:rFonts w:ascii="Arial Narrow" w:hAnsi="Arial Narrow"/>
                <w:sz w:val="20"/>
                <w:szCs w:val="20"/>
              </w:rPr>
              <w:t>sthesi</w:t>
            </w:r>
            <w:r w:rsidR="00201335">
              <w:rPr>
                <w:rFonts w:ascii="Arial Narrow" w:hAnsi="Arial Narrow"/>
                <w:sz w:val="20"/>
                <w:szCs w:val="20"/>
              </w:rPr>
              <w:t>a</w:t>
            </w:r>
          </w:p>
          <w:p w14:paraId="4EE4D9BF"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Infection</w:t>
            </w:r>
          </w:p>
          <w:p w14:paraId="3C8252B9"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Urticaria</w:t>
            </w:r>
          </w:p>
          <w:p w14:paraId="6EAC50FB"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Nausea, vomiting</w:t>
            </w:r>
          </w:p>
          <w:p w14:paraId="63AB9BDA"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Electrolytic disorder</w:t>
            </w:r>
          </w:p>
          <w:p w14:paraId="4986DEF9"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 xml:space="preserve">Haematoma </w:t>
            </w:r>
          </w:p>
        </w:tc>
        <w:tc>
          <w:tcPr>
            <w:tcW w:w="1269" w:type="pct"/>
            <w:shd w:val="clear" w:color="auto" w:fill="auto"/>
          </w:tcPr>
          <w:p w14:paraId="5624DC0F"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Serious infection</w:t>
            </w:r>
          </w:p>
          <w:p w14:paraId="5F1B10FA"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Sleep disturbance</w:t>
            </w:r>
          </w:p>
          <w:p w14:paraId="2C672562"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Hypertension</w:t>
            </w:r>
          </w:p>
          <w:p w14:paraId="0C11DCEC"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Fracture and osteoporosis</w:t>
            </w:r>
          </w:p>
          <w:p w14:paraId="245505AE" w14:textId="77777777" w:rsidR="00B6590E" w:rsidRPr="00B6590E" w:rsidRDefault="00B6590E" w:rsidP="00B6590E">
            <w:pPr>
              <w:spacing w:before="40" w:after="40" w:line="240" w:lineRule="auto"/>
              <w:rPr>
                <w:rFonts w:ascii="Arial Narrow" w:hAnsi="Arial Narrow"/>
                <w:sz w:val="20"/>
                <w:szCs w:val="20"/>
              </w:rPr>
            </w:pPr>
            <w:r w:rsidRPr="00B6590E">
              <w:rPr>
                <w:rFonts w:ascii="Arial Narrow" w:hAnsi="Arial Narrow"/>
                <w:sz w:val="20"/>
                <w:szCs w:val="20"/>
              </w:rPr>
              <w:t>Weight gain</w:t>
            </w:r>
          </w:p>
        </w:tc>
      </w:tr>
    </w:tbl>
    <w:p w14:paraId="41DEF7EB" w14:textId="77777777" w:rsidR="00B6590E" w:rsidRPr="00B6590E" w:rsidRDefault="00B6590E" w:rsidP="00B6590E">
      <w:pPr>
        <w:spacing w:after="200" w:line="240" w:lineRule="auto"/>
        <w:ind w:left="57" w:right="57"/>
        <w:contextualSpacing/>
        <w:rPr>
          <w:rFonts w:ascii="Arial Narrow" w:eastAsia="Calibri" w:hAnsi="Arial Narrow" w:cs="Times New Roman"/>
          <w:sz w:val="18"/>
          <w:szCs w:val="18"/>
          <w:lang w:eastAsia="en-US"/>
        </w:rPr>
      </w:pPr>
      <w:r w:rsidRPr="00B6590E">
        <w:rPr>
          <w:rFonts w:ascii="Arial Narrow" w:eastAsia="Calibri" w:hAnsi="Arial Narrow" w:cs="Times New Roman"/>
          <w:sz w:val="18"/>
          <w:szCs w:val="18"/>
          <w:lang w:eastAsia="en-US"/>
        </w:rPr>
        <w:t xml:space="preserve">Abbreviations: AE = adverse event; CIDP = chronic inflammatory demyelinating polyneuropathy; GC = glucocorticoid therapy; GCA = giant cell arteritis; IVIg = intravenous immunoglobulin therapy; RA = rheumatoid arthritis; SLE = systemic lupus erythematosus </w:t>
      </w:r>
    </w:p>
    <w:p w14:paraId="21D9C4B8" w14:textId="77777777" w:rsidR="00AF5D9D" w:rsidRPr="00E3331A" w:rsidRDefault="00AF5D9D" w:rsidP="0066686B"/>
    <w:p w14:paraId="3A5C9239" w14:textId="77777777" w:rsidR="00AF5D9D" w:rsidRPr="00E3331A" w:rsidRDefault="00AF5D9D" w:rsidP="0066686B">
      <w:pPr>
        <w:sectPr w:rsidR="00AF5D9D" w:rsidRPr="00E3331A" w:rsidSect="007945EF">
          <w:pgSz w:w="11906" w:h="16838"/>
          <w:pgMar w:top="1440" w:right="1440" w:bottom="1440" w:left="1440" w:header="720" w:footer="720" w:gutter="0"/>
          <w:paperSrc w:first="7" w:other="7"/>
          <w:cols w:space="720"/>
          <w:docGrid w:linePitch="299"/>
        </w:sectPr>
      </w:pPr>
    </w:p>
    <w:p w14:paraId="0C626436" w14:textId="77777777" w:rsidR="00DB3295" w:rsidRPr="00E3331A" w:rsidRDefault="00DB3295" w:rsidP="003E4E1F">
      <w:pPr>
        <w:pStyle w:val="Heading2"/>
        <w:numPr>
          <w:ilvl w:val="1"/>
          <w:numId w:val="9"/>
        </w:numPr>
      </w:pPr>
      <w:bookmarkStart w:id="221" w:name="_Ref421189603"/>
      <w:bookmarkStart w:id="222" w:name="_Ref421189625"/>
      <w:bookmarkStart w:id="223" w:name="_Toc69305566"/>
      <w:r w:rsidRPr="00E3331A">
        <w:t>Interpretation of the Clinical Evidence</w:t>
      </w:r>
      <w:bookmarkEnd w:id="221"/>
      <w:bookmarkEnd w:id="222"/>
      <w:bookmarkEnd w:id="223"/>
    </w:p>
    <w:p w14:paraId="35AB1461" w14:textId="77777777" w:rsidR="0066686B" w:rsidRDefault="0066686B" w:rsidP="00B6590E">
      <w:pPr>
        <w:pStyle w:val="Heading3"/>
      </w:pPr>
      <w:bookmarkStart w:id="224" w:name="_Toc69305567"/>
      <w:r w:rsidRPr="00E3331A">
        <w:t>Safety</w:t>
      </w:r>
      <w:bookmarkEnd w:id="224"/>
    </w:p>
    <w:p w14:paraId="7F399FE1" w14:textId="77777777" w:rsidR="00253F56" w:rsidRDefault="00253F56" w:rsidP="00B6590E">
      <w:pPr>
        <w:pStyle w:val="Heading5"/>
      </w:pPr>
      <w:r>
        <w:t xml:space="preserve">Summary of </w:t>
      </w:r>
      <w:r w:rsidR="00914B37">
        <w:t>DCAR 1564</w:t>
      </w:r>
      <w:r>
        <w:t xml:space="preserve"> </w:t>
      </w:r>
      <w:r w:rsidR="00776B88">
        <w:t>R</w:t>
      </w:r>
      <w:r>
        <w:t>eview outcomes</w:t>
      </w:r>
    </w:p>
    <w:p w14:paraId="60B7885A" w14:textId="3EF4E4E9" w:rsidR="00253F56" w:rsidRDefault="00253F56" w:rsidP="000B24F1">
      <w:pPr>
        <w:jc w:val="both"/>
      </w:pPr>
      <w:r>
        <w:t>T</w:t>
      </w:r>
      <w:r w:rsidRPr="00253F56">
        <w:t xml:space="preserve">he overall rate of serious </w:t>
      </w:r>
      <w:r w:rsidR="0067548C">
        <w:t>AEs</w:t>
      </w:r>
      <w:r w:rsidRPr="00253F56">
        <w:t xml:space="preserve"> with any treatment </w:t>
      </w:r>
      <w:r>
        <w:t>(</w:t>
      </w:r>
      <w:r w:rsidRPr="00253F56">
        <w:t xml:space="preserve">IVIg, steroids, </w:t>
      </w:r>
      <w:r>
        <w:t>PE,</w:t>
      </w:r>
      <w:r w:rsidRPr="00253F56">
        <w:t xml:space="preserve"> and immunosuppressant drugs</w:t>
      </w:r>
      <w:r>
        <w:t>)</w:t>
      </w:r>
      <w:r w:rsidRPr="00253F56">
        <w:t xml:space="preserve"> over the short to intermediate term is low. However, non-inferiority or superiority could not be </w:t>
      </w:r>
      <w:r>
        <w:t>determined due to the</w:t>
      </w:r>
      <w:r w:rsidRPr="00253F56">
        <w:t xml:space="preserve"> paucity of studies reporting safety outcomes and limitations in trial design</w:t>
      </w:r>
      <w:r>
        <w:t>. As CIDP usually requires lon</w:t>
      </w:r>
      <w:r w:rsidR="00D73A42">
        <w:t>g</w:t>
      </w:r>
      <w:r>
        <w:t xml:space="preserve">-term therapy and often multiple therapies, </w:t>
      </w:r>
      <w:r w:rsidR="00D73A42">
        <w:t xml:space="preserve">it would be helpful to consider </w:t>
      </w:r>
      <w:r>
        <w:t>long-term safety profiles</w:t>
      </w:r>
      <w:r w:rsidR="00E002DC">
        <w:t>.</w:t>
      </w:r>
      <w:r>
        <w:t xml:space="preserve"> </w:t>
      </w:r>
      <w:r w:rsidR="00D73A42" w:rsidRPr="00D73A42">
        <w:t>Side effects of IVIg frequently involve headache, fever, rash and infusion-like reactions that tend to be transient and non-severe.</w:t>
      </w:r>
      <w:r w:rsidR="000B24F1" w:rsidRPr="000B24F1">
        <w:t xml:space="preserve"> Steroids result in a similar number of patients experiencing adverse events, however, the</w:t>
      </w:r>
      <w:r w:rsidR="000B24F1">
        <w:t>ir frequency</w:t>
      </w:r>
      <w:r w:rsidR="000B24F1" w:rsidRPr="000B24F1">
        <w:t xml:space="preserve"> and their impact on quality of life is dependent on dose and duration of therapy. Based on </w:t>
      </w:r>
      <w:r w:rsidR="000B24F1">
        <w:t>a population with RA</w:t>
      </w:r>
      <w:r w:rsidR="000B24F1" w:rsidRPr="000B24F1">
        <w:t xml:space="preserve"> (Huscher et al. 2009) it is anticipated that the long-term adverse event profile of extended high-dose steroids is unfavourable relative to IVIg. Whether patients can be effectively titrated to low-dose steroids (&lt; 7.5 mg/day of prednisone or equivalent) will impact the anticipated </w:t>
      </w:r>
      <w:r w:rsidR="0067548C">
        <w:t>AE</w:t>
      </w:r>
      <w:r w:rsidR="000B24F1" w:rsidRPr="000B24F1">
        <w:t xml:space="preserve"> profile. </w:t>
      </w:r>
    </w:p>
    <w:p w14:paraId="7BF6CA38" w14:textId="77777777" w:rsidR="00253F56" w:rsidRDefault="00D73A42" w:rsidP="000B24F1">
      <w:pPr>
        <w:jc w:val="both"/>
      </w:pPr>
      <w:r>
        <w:t>There was insufficient evidence to report on the safety of PE, immunosuppressants</w:t>
      </w:r>
      <w:r w:rsidR="000B24F1">
        <w:t>, or combination therapies for</w:t>
      </w:r>
      <w:r>
        <w:t xml:space="preserve"> CIDP.</w:t>
      </w:r>
    </w:p>
    <w:p w14:paraId="45B8CB44" w14:textId="1909BD34" w:rsidR="00253F56" w:rsidRDefault="00253F56" w:rsidP="00B6590E">
      <w:pPr>
        <w:pStyle w:val="Heading5"/>
      </w:pPr>
      <w:r>
        <w:t xml:space="preserve">What </w:t>
      </w:r>
      <w:r w:rsidR="00914B37">
        <w:t>DCAR 1564</w:t>
      </w:r>
      <w:r>
        <w:t xml:space="preserve"> </w:t>
      </w:r>
      <w:r w:rsidR="00776B88">
        <w:t>U</w:t>
      </w:r>
      <w:r w:rsidR="001D36BA">
        <w:t xml:space="preserve">pdate </w:t>
      </w:r>
      <w:r>
        <w:t>adds</w:t>
      </w:r>
    </w:p>
    <w:p w14:paraId="5D5AD288" w14:textId="1C1B7A99" w:rsidR="00260E40" w:rsidRPr="00260E40" w:rsidRDefault="00260E40" w:rsidP="00650C35">
      <w:pPr>
        <w:jc w:val="both"/>
      </w:pPr>
      <w:r>
        <w:t>AE rates associated with Ig</w:t>
      </w:r>
      <w:r w:rsidR="001F32A1">
        <w:t>,</w:t>
      </w:r>
      <w:r>
        <w:t xml:space="preserve"> PE and long-term steroid use have been identified, but not directly compared due to the disparate population</w:t>
      </w:r>
      <w:r w:rsidR="00E64A7A">
        <w:t>s</w:t>
      </w:r>
      <w:r>
        <w:t xml:space="preserve"> </w:t>
      </w:r>
      <w:r w:rsidR="00DD0722">
        <w:t>from</w:t>
      </w:r>
      <w:r>
        <w:t xml:space="preserve"> which data were collected</w:t>
      </w:r>
      <w:r w:rsidR="00E64A7A">
        <w:t xml:space="preserve">, which also impacts on the applicability </w:t>
      </w:r>
      <w:r w:rsidR="00DD0722">
        <w:t xml:space="preserve">of the evidence </w:t>
      </w:r>
      <w:r w:rsidR="00E64A7A">
        <w:t>to the population of interest</w:t>
      </w:r>
      <w:r>
        <w:t>.</w:t>
      </w:r>
      <w:r w:rsidR="00813E15">
        <w:t xml:space="preserve"> The rates are compared in </w:t>
      </w:r>
      <w:r w:rsidR="00650C35">
        <w:fldChar w:fldCharType="begin"/>
      </w:r>
      <w:r w:rsidR="00650C35">
        <w:instrText xml:space="preserve"> REF _Ref58238706 \h </w:instrText>
      </w:r>
      <w:r w:rsidR="007F7F7F">
        <w:instrText xml:space="preserve"> \* MERGEFORMAT </w:instrText>
      </w:r>
      <w:r w:rsidR="00650C35">
        <w:fldChar w:fldCharType="separate"/>
      </w:r>
      <w:r w:rsidR="004B3EA2" w:rsidRPr="00B6590E">
        <w:t xml:space="preserve">Table </w:t>
      </w:r>
      <w:r w:rsidR="004B3EA2">
        <w:t>25</w:t>
      </w:r>
      <w:r w:rsidR="00650C35">
        <w:fldChar w:fldCharType="end"/>
      </w:r>
      <w:r w:rsidR="00813E15">
        <w:t>.</w:t>
      </w:r>
    </w:p>
    <w:p w14:paraId="004B9BA7" w14:textId="77777777" w:rsidR="008378AF" w:rsidRPr="008378AF" w:rsidRDefault="008378AF" w:rsidP="00EE4E63">
      <w:pPr>
        <w:jc w:val="both"/>
        <w:rPr>
          <w:u w:val="single"/>
        </w:rPr>
      </w:pPr>
      <w:r w:rsidRPr="008378AF">
        <w:rPr>
          <w:u w:val="single"/>
        </w:rPr>
        <w:t xml:space="preserve">Adverse events associated with IVIg dosing regimen </w:t>
      </w:r>
    </w:p>
    <w:p w14:paraId="6F9F0CE3" w14:textId="77777777" w:rsidR="000B24F1" w:rsidRDefault="000F664A" w:rsidP="00EE4E63">
      <w:pPr>
        <w:jc w:val="both"/>
      </w:pPr>
      <w:r w:rsidRPr="000F664A">
        <w:t xml:space="preserve">The frequency of AEs was similar between </w:t>
      </w:r>
      <w:r w:rsidR="00F14AB3">
        <w:t xml:space="preserve">two dosing </w:t>
      </w:r>
      <w:r w:rsidRPr="000F664A">
        <w:t>regimens</w:t>
      </w:r>
      <w:r w:rsidR="00F14AB3">
        <w:t xml:space="preserve"> (</w:t>
      </w:r>
      <w:r w:rsidR="00C224E9">
        <w:t xml:space="preserve">normal </w:t>
      </w:r>
      <w:r w:rsidR="0033744F">
        <w:t xml:space="preserve">individualised </w:t>
      </w:r>
      <w:r w:rsidR="00C224E9">
        <w:t>dose</w:t>
      </w:r>
      <w:r w:rsidR="00F14AB3">
        <w:t xml:space="preserve"> and interval, and half </w:t>
      </w:r>
      <w:r w:rsidR="0033744F">
        <w:t xml:space="preserve">individualised </w:t>
      </w:r>
      <w:r w:rsidR="00F14AB3">
        <w:t xml:space="preserve">dose </w:t>
      </w:r>
      <w:r w:rsidR="0033744F">
        <w:t xml:space="preserve">at half the </w:t>
      </w:r>
      <w:r w:rsidR="00F14AB3">
        <w:t>interval)</w:t>
      </w:r>
      <w:r w:rsidRPr="000F664A">
        <w:t xml:space="preserve">, and the majority of patients did not prefer either dosing schedule. There were no serious AEs reported. The evidence </w:t>
      </w:r>
      <w:r w:rsidR="00F14AB3">
        <w:t>supports a flexible approach to</w:t>
      </w:r>
      <w:r w:rsidRPr="000F664A">
        <w:t xml:space="preserve"> the dosing regimens that patients with CIDP could be offered</w:t>
      </w:r>
      <w:r w:rsidR="00F14AB3">
        <w:t>.</w:t>
      </w:r>
    </w:p>
    <w:p w14:paraId="43BE5BA6" w14:textId="77777777" w:rsidR="00C07BC0" w:rsidRPr="00E16C4C" w:rsidRDefault="00C07BC0" w:rsidP="00EE4E63">
      <w:pPr>
        <w:jc w:val="both"/>
        <w:rPr>
          <w:u w:val="single"/>
        </w:rPr>
      </w:pPr>
      <w:r w:rsidRPr="00E16C4C">
        <w:rPr>
          <w:u w:val="single"/>
        </w:rPr>
        <w:t xml:space="preserve">Adverse events associated with SCIg </w:t>
      </w:r>
    </w:p>
    <w:p w14:paraId="78CEC8D7" w14:textId="77777777" w:rsidR="00C07BC0" w:rsidRDefault="006958EA" w:rsidP="00EE4E63">
      <w:pPr>
        <w:jc w:val="both"/>
      </w:pPr>
      <w:r>
        <w:t xml:space="preserve">The rate of AEs associated with SCIg was high. </w:t>
      </w:r>
      <w:r w:rsidR="00C07BC0">
        <w:t xml:space="preserve">Over half of the patients who received SCIg in two different doses experienced an AE, with </w:t>
      </w:r>
      <w:r>
        <w:t>4%</w:t>
      </w:r>
      <w:r w:rsidR="00E16C4C">
        <w:t xml:space="preserve"> experiencing a serious AE</w:t>
      </w:r>
      <w:r>
        <w:t>. D</w:t>
      </w:r>
      <w:r w:rsidR="00E16C4C">
        <w:t>ifferences</w:t>
      </w:r>
      <w:r>
        <w:t xml:space="preserve"> in rates</w:t>
      </w:r>
      <w:r w:rsidR="00E16C4C">
        <w:t xml:space="preserve"> between the two doses were small. </w:t>
      </w:r>
      <w:r>
        <w:t xml:space="preserve">Evidence for </w:t>
      </w:r>
      <w:r w:rsidR="00E16C4C">
        <w:t>rates of AE associated with SCIg compared to other therapies</w:t>
      </w:r>
      <w:r>
        <w:t xml:space="preserve"> was not identified in this review. A comparison of AEs between SCIg</w:t>
      </w:r>
      <w:r w:rsidR="00E16C4C">
        <w:t xml:space="preserve"> </w:t>
      </w:r>
      <w:r>
        <w:t>and</w:t>
      </w:r>
      <w:r w:rsidR="00E16C4C">
        <w:t xml:space="preserve"> IVI</w:t>
      </w:r>
      <w:r>
        <w:t>g was</w:t>
      </w:r>
      <w:r w:rsidR="00E16C4C">
        <w:t xml:space="preserve"> out of scope for this review. However</w:t>
      </w:r>
      <w:r>
        <w:t xml:space="preserve">, the </w:t>
      </w:r>
      <w:r w:rsidR="00E16C4C">
        <w:t xml:space="preserve">recent </w:t>
      </w:r>
      <w:r>
        <w:t xml:space="preserve">TGA </w:t>
      </w:r>
      <w:r w:rsidR="00E16C4C">
        <w:t xml:space="preserve">approval </w:t>
      </w:r>
      <w:r>
        <w:t xml:space="preserve">of SCIg </w:t>
      </w:r>
      <w:r w:rsidR="00E16C4C">
        <w:t xml:space="preserve">for this population </w:t>
      </w:r>
      <w:r w:rsidR="00DD0722">
        <w:t>anticipates uptake</w:t>
      </w:r>
      <w:r w:rsidR="00E16C4C">
        <w:t xml:space="preserve"> into Australian clinical practice, and </w:t>
      </w:r>
      <w:r>
        <w:t>further data may be available in the future to investigate this comparison.</w:t>
      </w:r>
    </w:p>
    <w:p w14:paraId="2FFBE2A2" w14:textId="77777777" w:rsidR="00CE3B6A" w:rsidRPr="00CE3B6A" w:rsidRDefault="00CE3B6A" w:rsidP="00EE4E63">
      <w:pPr>
        <w:jc w:val="both"/>
        <w:rPr>
          <w:u w:val="single"/>
        </w:rPr>
      </w:pPr>
      <w:r w:rsidRPr="00CE3B6A">
        <w:rPr>
          <w:u w:val="single"/>
        </w:rPr>
        <w:t>Adverse events associated with PE</w:t>
      </w:r>
    </w:p>
    <w:p w14:paraId="6D322482" w14:textId="1787EC85" w:rsidR="000F664A" w:rsidRDefault="00B12821" w:rsidP="00EE4E63">
      <w:pPr>
        <w:jc w:val="both"/>
      </w:pPr>
      <w:r>
        <w:t xml:space="preserve">The extended assessment of harms provided evidence of frequency </w:t>
      </w:r>
      <w:r w:rsidR="008A57A2">
        <w:t xml:space="preserve">per PE procedure </w:t>
      </w:r>
      <w:r>
        <w:t xml:space="preserve">of mild to moderate AEs </w:t>
      </w:r>
      <w:r w:rsidR="00E17C3C">
        <w:t>of</w:t>
      </w:r>
      <w:r>
        <w:t xml:space="preserve"> </w:t>
      </w:r>
      <w:r w:rsidR="005E2F27">
        <w:t>2.</w:t>
      </w:r>
      <w:r w:rsidR="001F32A1">
        <w:t>05</w:t>
      </w:r>
      <w:r w:rsidR="008A57A2">
        <w:t xml:space="preserve">% </w:t>
      </w:r>
      <w:r w:rsidR="00511E3A">
        <w:t xml:space="preserve">of patients and </w:t>
      </w:r>
      <w:r w:rsidR="00E17C3C">
        <w:t>ranging from 4.75</w:t>
      </w:r>
      <w:r w:rsidR="00511E3A">
        <w:t>% to 40% of procedures</w:t>
      </w:r>
      <w:r w:rsidR="008A57A2">
        <w:t xml:space="preserve">. The study reporting the higher rate </w:t>
      </w:r>
      <w:r w:rsidR="00511E3A">
        <w:t xml:space="preserve">of 40% </w:t>
      </w:r>
      <w:r w:rsidR="008A57A2">
        <w:t xml:space="preserve">was conducted </w:t>
      </w:r>
      <w:r w:rsidR="009652CB">
        <w:t xml:space="preserve">in </w:t>
      </w:r>
      <w:r w:rsidR="008A57A2">
        <w:t>a population which included 12.5% CIDP patients and may initially have been thought to be more applicable to the population of interest</w:t>
      </w:r>
      <w:r w:rsidR="0067548C">
        <w:t>.</w:t>
      </w:r>
      <w:r w:rsidR="008A57A2">
        <w:t xml:space="preserve"> </w:t>
      </w:r>
      <w:r w:rsidR="0067548C">
        <w:t>H</w:t>
      </w:r>
      <w:r w:rsidR="008A57A2">
        <w:t xml:space="preserve">owever the study </w:t>
      </w:r>
      <w:r w:rsidR="008378AF">
        <w:t xml:space="preserve">found </w:t>
      </w:r>
      <w:r w:rsidR="008A57A2">
        <w:t>such</w:t>
      </w:r>
      <w:r w:rsidR="005E2F27">
        <w:t xml:space="preserve"> </w:t>
      </w:r>
      <w:r w:rsidR="008A57A2">
        <w:t>a high rate of AEs in comparison to other studies</w:t>
      </w:r>
      <w:r w:rsidR="001452D9">
        <w:t>, there is uncertainty around the selection of patients into the study and the technical characteristics of the treatment itself</w:t>
      </w:r>
      <w:r w:rsidR="008A57A2">
        <w:t xml:space="preserve">. </w:t>
      </w:r>
      <w:r w:rsidR="005E2F27">
        <w:t xml:space="preserve">The remaining two studies found mild and moderate AE rates of 4.75% </w:t>
      </w:r>
      <w:r w:rsidR="00023270">
        <w:t xml:space="preserve">of patients </w:t>
      </w:r>
      <w:r w:rsidR="005E2F27">
        <w:t xml:space="preserve">and 5.31% </w:t>
      </w:r>
      <w:r w:rsidR="00023270">
        <w:t>of</w:t>
      </w:r>
      <w:r w:rsidR="005E2F27">
        <w:t xml:space="preserve"> PE procedure</w:t>
      </w:r>
      <w:r w:rsidR="00023270">
        <w:t>s, the most common being hypotension and problems with venous access</w:t>
      </w:r>
      <w:r w:rsidR="005E2F27">
        <w:t xml:space="preserve">. The same two studies reported severe AEs at rates of </w:t>
      </w:r>
      <w:r w:rsidR="00023270">
        <w:t>1.68</w:t>
      </w:r>
      <w:r w:rsidR="005E2F27">
        <w:t xml:space="preserve">% and 0.12% </w:t>
      </w:r>
      <w:r w:rsidR="00023270">
        <w:t>of</w:t>
      </w:r>
      <w:r w:rsidR="005E2F27">
        <w:t xml:space="preserve"> procedure</w:t>
      </w:r>
      <w:r w:rsidR="00023270">
        <w:t>s</w:t>
      </w:r>
      <w:r w:rsidR="005E2F27">
        <w:t>. Severe AEs were reported as</w:t>
      </w:r>
      <w:r w:rsidR="008A57A2">
        <w:t xml:space="preserve"> </w:t>
      </w:r>
      <w:r w:rsidR="005E2F27">
        <w:t>hypotension, anaphylactic reaction, and death due to neurological disease and septic shock.</w:t>
      </w:r>
      <w:r>
        <w:t xml:space="preserve"> </w:t>
      </w:r>
      <w:r w:rsidR="001452D9">
        <w:t xml:space="preserve">In general, rates of AEs </w:t>
      </w:r>
      <w:r w:rsidR="00C07BC0">
        <w:t xml:space="preserve">associated with PE </w:t>
      </w:r>
      <w:r w:rsidR="001452D9">
        <w:t>were moderately low.</w:t>
      </w:r>
    </w:p>
    <w:p w14:paraId="37AF9041" w14:textId="77777777" w:rsidR="00CE3B6A" w:rsidRPr="00CE3B6A" w:rsidRDefault="00CE3B6A" w:rsidP="00EE4E63">
      <w:pPr>
        <w:jc w:val="both"/>
        <w:rPr>
          <w:u w:val="single"/>
        </w:rPr>
      </w:pPr>
      <w:r w:rsidRPr="00CE3B6A">
        <w:rPr>
          <w:u w:val="single"/>
        </w:rPr>
        <w:t>Adverse events associated with long-term steroid use</w:t>
      </w:r>
    </w:p>
    <w:p w14:paraId="653DDF5C" w14:textId="77777777" w:rsidR="000F664A" w:rsidRDefault="00980C79" w:rsidP="00EE4E63">
      <w:pPr>
        <w:jc w:val="both"/>
      </w:pPr>
      <w:r>
        <w:t>In the assessment of harms from long-term steroid use, there was considerable variability in the type of AEs reported.</w:t>
      </w:r>
      <w:r w:rsidR="0014611A">
        <w:t xml:space="preserve"> There was no separation of AEs by severity.</w:t>
      </w:r>
      <w:r>
        <w:t xml:space="preserve"> Because the population was broadened to determine a bigger picture of harms from GC usage, the results may </w:t>
      </w:r>
      <w:r w:rsidR="00DD0722">
        <w:t xml:space="preserve">be </w:t>
      </w:r>
      <w:r>
        <w:t xml:space="preserve">less applicable to the </w:t>
      </w:r>
      <w:r w:rsidR="007A4783">
        <w:t xml:space="preserve">CIDP </w:t>
      </w:r>
      <w:r>
        <w:t xml:space="preserve">population in Australia. The AE with highest incidence for patients taking long-term GCs was serious infection (37.9%), and the AE with highest prevalence was hypertension (&gt; 30%). The next most frequently occurring adverse events were </w:t>
      </w:r>
      <w:r w:rsidR="0014611A">
        <w:t>fracture and osteoporosis (prevalence 21% - 30%), diabetes type II (incidence 14.2%) and glaucoma (incidence 10%).</w:t>
      </w:r>
      <w:r>
        <w:t xml:space="preserve"> </w:t>
      </w:r>
    </w:p>
    <w:p w14:paraId="11AEACC8" w14:textId="77777777" w:rsidR="00F317FD" w:rsidRDefault="00F317FD" w:rsidP="00EE4E63">
      <w:pPr>
        <w:jc w:val="both"/>
      </w:pPr>
      <w:r>
        <w:t xml:space="preserve">There was a dosage effect identified in the use of long-term GC. </w:t>
      </w:r>
      <w:r w:rsidR="001452D9">
        <w:t>Several AEs increased linearly in rate with dose including sleep disturbance, ecchymosis and leg oedema. Other AEs demonstrated a threshold effect, including cataracts, weight gain, increased blood pressure and depression.</w:t>
      </w:r>
      <w:r w:rsidR="007A4783">
        <w:t xml:space="preserve"> </w:t>
      </w:r>
    </w:p>
    <w:p w14:paraId="75273EC2" w14:textId="6AFD9228" w:rsidR="00B511CD" w:rsidRDefault="00B511CD" w:rsidP="00EE4E63">
      <w:pPr>
        <w:jc w:val="both"/>
      </w:pPr>
      <w:r>
        <w:t>A s</w:t>
      </w:r>
      <w:r w:rsidRPr="00B511CD">
        <w:t>evere AE</w:t>
      </w:r>
      <w:r>
        <w:t xml:space="preserve"> rate</w:t>
      </w:r>
      <w:r w:rsidRPr="00B511CD">
        <w:t xml:space="preserve"> </w:t>
      </w:r>
      <w:r>
        <w:t xml:space="preserve">of 1.6% (n = </w:t>
      </w:r>
      <w:r w:rsidR="0067548C">
        <w:t>two</w:t>
      </w:r>
      <w:r>
        <w:t xml:space="preserve"> patients) was reported in one study of CIDP patients. </w:t>
      </w:r>
      <w:r w:rsidRPr="00B511CD">
        <w:t>One event was a severe case of hypertension, and the other was an acute myocardial infarction.</w:t>
      </w:r>
    </w:p>
    <w:p w14:paraId="7D9F8AF7" w14:textId="77777777" w:rsidR="001452D9" w:rsidRDefault="001452D9" w:rsidP="00EE4E63">
      <w:pPr>
        <w:jc w:val="both"/>
      </w:pPr>
      <w:r>
        <w:t>Overall, the rate of AEs experienced by long-term steroid users is high; the evidence for severe AEs is less certain as only one small study contributed data.</w:t>
      </w:r>
      <w:r w:rsidR="00C07BC0">
        <w:t xml:space="preserve"> However it is likely that some of the adverse events reported in the other studies were severe, and this should be taken into account when interpreting this data. Additionally, as the clinical characteristics of the populations in these studies were diverse, the applicability of these rates of AEs to the population of interest is uncertain.</w:t>
      </w:r>
    </w:p>
    <w:p w14:paraId="6CA3148C" w14:textId="77777777" w:rsidR="00CE3B6A" w:rsidRPr="00CE3B6A" w:rsidRDefault="00CE3B6A" w:rsidP="00EE4E63">
      <w:pPr>
        <w:jc w:val="both"/>
        <w:rPr>
          <w:u w:val="single"/>
        </w:rPr>
      </w:pPr>
      <w:r w:rsidRPr="00CE3B6A">
        <w:rPr>
          <w:u w:val="single"/>
        </w:rPr>
        <w:t>Adverse events associated with long-term Ig use</w:t>
      </w:r>
    </w:p>
    <w:p w14:paraId="47583193" w14:textId="77777777" w:rsidR="00CE3B6A" w:rsidRDefault="00CE3B6A" w:rsidP="00CE3B6A">
      <w:pPr>
        <w:jc w:val="both"/>
      </w:pPr>
      <w:r>
        <w:t xml:space="preserve">AEs occurred in 2.9% of infusions and 16.9% of patients with autoimmune neurological conditions receiving IVIg in an outpatient setting. </w:t>
      </w:r>
      <w:r w:rsidR="008378AF">
        <w:t>I</w:t>
      </w:r>
      <w:r>
        <w:t xml:space="preserve">n </w:t>
      </w:r>
      <w:r w:rsidR="008378AF">
        <w:t xml:space="preserve">a </w:t>
      </w:r>
      <w:r>
        <w:t xml:space="preserve">CIDP </w:t>
      </w:r>
      <w:r w:rsidR="008378AF">
        <w:t>sub-</w:t>
      </w:r>
      <w:r>
        <w:t>group, AEs occurred in 1.9% of infusions and 12.2% of patients. The most frequent AE</w:t>
      </w:r>
      <w:r w:rsidR="001452D9">
        <w:t>s were</w:t>
      </w:r>
      <w:r>
        <w:t xml:space="preserve"> headache</w:t>
      </w:r>
      <w:r w:rsidR="001452D9">
        <w:t>, hypertension, rash</w:t>
      </w:r>
      <w:r>
        <w:t xml:space="preserve"> </w:t>
      </w:r>
      <w:r w:rsidR="001452D9">
        <w:t>and nausea, but the rates of these were generally low. S</w:t>
      </w:r>
      <w:r>
        <w:t xml:space="preserve">erious AEs were </w:t>
      </w:r>
      <w:r w:rsidR="001452D9">
        <w:t>rare</w:t>
      </w:r>
      <w:r w:rsidR="008378AF">
        <w:t>.</w:t>
      </w:r>
    </w:p>
    <w:p w14:paraId="1D72B1D7" w14:textId="77777777" w:rsidR="00CE3B6A" w:rsidRDefault="008378AF" w:rsidP="00EE4E63">
      <w:pPr>
        <w:jc w:val="both"/>
      </w:pPr>
      <w:r>
        <w:t>Multivariate analyses found that f</w:t>
      </w:r>
      <w:r w:rsidRPr="008378AF">
        <w:t xml:space="preserve">irst lifetime course </w:t>
      </w:r>
      <w:r w:rsidR="001521E0">
        <w:t xml:space="preserve">of IVIg </w:t>
      </w:r>
      <w:r w:rsidR="001452D9">
        <w:t>and h</w:t>
      </w:r>
      <w:r w:rsidRPr="008378AF">
        <w:t>igher IVIg dose</w:t>
      </w:r>
      <w:r w:rsidR="001521E0">
        <w:t xml:space="preserve"> (0.5 – 0.99 g/kg) </w:t>
      </w:r>
      <w:r w:rsidR="001452D9">
        <w:t>were</w:t>
      </w:r>
      <w:r w:rsidR="001521E0">
        <w:t xml:space="preserve"> </w:t>
      </w:r>
      <w:r w:rsidRPr="008378AF">
        <w:t xml:space="preserve">found to be associated with a higher risk of </w:t>
      </w:r>
      <w:r w:rsidR="001452D9">
        <w:t>some</w:t>
      </w:r>
      <w:r w:rsidRPr="008378AF">
        <w:t xml:space="preserve"> AE</w:t>
      </w:r>
      <w:r w:rsidR="006958EA">
        <w:t>s</w:t>
      </w:r>
      <w:r w:rsidRPr="008378AF">
        <w:t xml:space="preserve">. </w:t>
      </w:r>
    </w:p>
    <w:p w14:paraId="541D4BFD" w14:textId="77777777" w:rsidR="000D6782" w:rsidRDefault="000D6782" w:rsidP="00EE4E63">
      <w:pPr>
        <w:jc w:val="both"/>
      </w:pPr>
      <w:r>
        <w:t xml:space="preserve">Two SCIg doses (0.2 g/kg and 0.4 g/kg) had similar AE rates </w:t>
      </w:r>
      <w:r w:rsidR="00650C35">
        <w:t xml:space="preserve">and serious AE rates </w:t>
      </w:r>
      <w:r>
        <w:t xml:space="preserve">over a </w:t>
      </w:r>
      <w:r w:rsidR="00650C35">
        <w:t>24-week</w:t>
      </w:r>
      <w:r>
        <w:t xml:space="preserve"> </w:t>
      </w:r>
      <w:r w:rsidR="00650C35">
        <w:t xml:space="preserve">randomised trial. </w:t>
      </w:r>
    </w:p>
    <w:p w14:paraId="02F8FC4F" w14:textId="77777777" w:rsidR="001D36BA" w:rsidRDefault="001D36BA" w:rsidP="00B6590E">
      <w:pPr>
        <w:pStyle w:val="Heading3"/>
      </w:pPr>
      <w:bookmarkStart w:id="225" w:name="_Toc69305568"/>
      <w:r>
        <w:t>Efficacy</w:t>
      </w:r>
      <w:bookmarkEnd w:id="225"/>
    </w:p>
    <w:p w14:paraId="24F41C8C" w14:textId="77777777" w:rsidR="001D36BA" w:rsidRPr="001D36BA" w:rsidRDefault="001D36BA" w:rsidP="00B6590E">
      <w:pPr>
        <w:pStyle w:val="Heading5"/>
      </w:pPr>
      <w:r w:rsidRPr="001D36BA">
        <w:t>Summary of</w:t>
      </w:r>
      <w:r w:rsidR="006D45AE">
        <w:t xml:space="preserve"> the</w:t>
      </w:r>
      <w:r w:rsidRPr="001D36BA">
        <w:t xml:space="preserve"> </w:t>
      </w:r>
      <w:r w:rsidR="00914B37">
        <w:t>DCAR 1564</w:t>
      </w:r>
      <w:r w:rsidRPr="001D36BA">
        <w:t xml:space="preserve"> </w:t>
      </w:r>
      <w:r w:rsidR="00776B88">
        <w:t>R</w:t>
      </w:r>
      <w:r w:rsidRPr="001D36BA">
        <w:t>eview outcomes</w:t>
      </w:r>
    </w:p>
    <w:p w14:paraId="43F7E307" w14:textId="570C9612" w:rsidR="00CB0C1A" w:rsidRDefault="00CB0C1A" w:rsidP="00CB0C1A">
      <w:pPr>
        <w:jc w:val="both"/>
      </w:pPr>
      <w:r w:rsidRPr="00CB0C1A">
        <w:t xml:space="preserve">Ig </w:t>
      </w:r>
      <w:r>
        <w:t xml:space="preserve">is </w:t>
      </w:r>
      <w:r w:rsidRPr="00CB0C1A">
        <w:t xml:space="preserve">likely </w:t>
      </w:r>
      <w:r>
        <w:t>to have</w:t>
      </w:r>
      <w:r w:rsidRPr="00CB0C1A">
        <w:t xml:space="preserve"> superior effectiveness (moderate-quality evidence)</w:t>
      </w:r>
      <w:r>
        <w:t xml:space="preserve"> relative to no treatment</w:t>
      </w:r>
      <w:r w:rsidRPr="00CB0C1A">
        <w:t xml:space="preserve">. There is moderate evidence indicating that Ig has at least non-inferior effectiveness relative to steroids. </w:t>
      </w:r>
      <w:r>
        <w:t xml:space="preserve">The </w:t>
      </w:r>
      <w:r w:rsidRPr="00CB0C1A">
        <w:t>evidence may support a finding of superior effectiveness based on the relative number of patients discontinuing treatment.</w:t>
      </w:r>
      <w:r>
        <w:t xml:space="preserve"> </w:t>
      </w:r>
      <w:r w:rsidRPr="00CB0C1A">
        <w:t>There was insufficient evidence on the comparison of Ig and plasma exchange to support a finding of non-inferiority. The relative long-term effectiveness of any of the active treatments for CIDP is uncertain</w:t>
      </w:r>
      <w:r>
        <w:t xml:space="preserve"> as the evidence was limited and of mixed quality.</w:t>
      </w:r>
      <w:r w:rsidRPr="00CB0C1A">
        <w:t xml:space="preserve"> </w:t>
      </w:r>
      <w:r>
        <w:t>T</w:t>
      </w:r>
      <w:r w:rsidRPr="00CB0C1A">
        <w:t xml:space="preserve">here is </w:t>
      </w:r>
      <w:r>
        <w:t xml:space="preserve">some evidence to indicate there may be </w:t>
      </w:r>
      <w:r w:rsidR="00E7465E">
        <w:t>short-term</w:t>
      </w:r>
      <w:r>
        <w:t xml:space="preserve"> (</w:t>
      </w:r>
      <w:r>
        <w:rPr>
          <w:rFonts w:cs="Calibri"/>
        </w:rPr>
        <w:t>≤</w:t>
      </w:r>
      <w:r>
        <w:t xml:space="preserve"> </w:t>
      </w:r>
      <w:r w:rsidR="0067548C">
        <w:t>six</w:t>
      </w:r>
      <w:r>
        <w:t xml:space="preserve"> months) b</w:t>
      </w:r>
      <w:r w:rsidRPr="00CB0C1A">
        <w:t>enefit from the addition of immunosuppressants to other treatments.</w:t>
      </w:r>
    </w:p>
    <w:p w14:paraId="17CD6EEB" w14:textId="6081CF98" w:rsidR="001D36BA" w:rsidRPr="001D36BA" w:rsidRDefault="001D36BA" w:rsidP="00B6590E">
      <w:pPr>
        <w:pStyle w:val="Heading5"/>
      </w:pPr>
      <w:r w:rsidRPr="001D36BA">
        <w:t xml:space="preserve">What </w:t>
      </w:r>
      <w:r w:rsidR="006D45AE">
        <w:t xml:space="preserve">the </w:t>
      </w:r>
      <w:r w:rsidR="00914B37">
        <w:t>DCAR 1564</w:t>
      </w:r>
      <w:r w:rsidRPr="001D36BA">
        <w:t xml:space="preserve"> </w:t>
      </w:r>
      <w:r w:rsidR="00776B88">
        <w:t>U</w:t>
      </w:r>
      <w:r w:rsidRPr="001D36BA">
        <w:t>pdate adds</w:t>
      </w:r>
    </w:p>
    <w:p w14:paraId="3F24EC03" w14:textId="21F5B357" w:rsidR="001D36BA" w:rsidRDefault="008715A9" w:rsidP="006D45AE">
      <w:pPr>
        <w:jc w:val="both"/>
      </w:pPr>
      <w:r>
        <w:t>E</w:t>
      </w:r>
      <w:r w:rsidR="00E7465E">
        <w:t xml:space="preserve">vidence </w:t>
      </w:r>
      <w:r>
        <w:t>from the PATH</w:t>
      </w:r>
      <w:r w:rsidRPr="008715A9">
        <w:rPr>
          <w:vertAlign w:val="superscript"/>
        </w:rPr>
        <w:fldChar w:fldCharType="begin"/>
      </w:r>
      <w:r w:rsidRPr="008715A9">
        <w:rPr>
          <w:vertAlign w:val="superscript"/>
        </w:rPr>
        <w:instrText xml:space="preserve"> NOTEREF _Ref57652093 \h </w:instrText>
      </w:r>
      <w:r>
        <w:rPr>
          <w:vertAlign w:val="superscript"/>
        </w:rPr>
        <w:instrText xml:space="preserve"> \* MERGEFORMAT </w:instrText>
      </w:r>
      <w:r w:rsidRPr="008715A9">
        <w:rPr>
          <w:vertAlign w:val="superscript"/>
        </w:rPr>
      </w:r>
      <w:r w:rsidRPr="008715A9">
        <w:rPr>
          <w:vertAlign w:val="superscript"/>
        </w:rPr>
        <w:fldChar w:fldCharType="separate"/>
      </w:r>
      <w:r w:rsidR="004B3EA2">
        <w:rPr>
          <w:vertAlign w:val="superscript"/>
        </w:rPr>
        <w:t>3</w:t>
      </w:r>
      <w:r w:rsidRPr="008715A9">
        <w:rPr>
          <w:vertAlign w:val="superscript"/>
        </w:rPr>
        <w:fldChar w:fldCharType="end"/>
      </w:r>
      <w:r>
        <w:t xml:space="preserve"> trial, found that two </w:t>
      </w:r>
      <w:r w:rsidR="00E7465E">
        <w:t>SCIg dose</w:t>
      </w:r>
      <w:r>
        <w:t xml:space="preserve">s (0.2 and 0.4 g/kg) were more effective than placebo in patients stabilised on IVIg after relapse, </w:t>
      </w:r>
      <w:r w:rsidR="000D6782">
        <w:t xml:space="preserve">for relapse rate, time to relapse, and </w:t>
      </w:r>
      <w:r>
        <w:t>patient reported measures.</w:t>
      </w:r>
      <w:r w:rsidR="00E7465E">
        <w:t xml:space="preserve"> </w:t>
      </w:r>
      <w:r w:rsidR="006D45AE" w:rsidRPr="006D45AE">
        <w:t xml:space="preserve">Both SCIg doses were more effective than placebo for all domains of health related </w:t>
      </w:r>
      <w:r w:rsidR="006D45AE">
        <w:t>QoL and overall health</w:t>
      </w:r>
      <w:r w:rsidR="006D45AE" w:rsidRPr="006D45AE">
        <w:t xml:space="preserve">, but there was no difference when the two doses were compared. </w:t>
      </w:r>
      <w:r w:rsidR="006D45AE">
        <w:t xml:space="preserve">The same trends were seen for treatment satisfaction and work </w:t>
      </w:r>
      <w:r w:rsidR="00A72D4B">
        <w:t>productivity.</w:t>
      </w:r>
      <w:r w:rsidR="006D45AE">
        <w:t xml:space="preserve"> </w:t>
      </w:r>
      <w:r>
        <w:t xml:space="preserve">A lower SCIg dose may provide </w:t>
      </w:r>
      <w:r w:rsidR="006D45AE">
        <w:t>satisfactory</w:t>
      </w:r>
      <w:r>
        <w:t xml:space="preserve"> </w:t>
      </w:r>
      <w:r w:rsidR="00A72D4B">
        <w:t xml:space="preserve">efficacy, </w:t>
      </w:r>
      <w:r>
        <w:t>quality of life and work productivity in some patients.</w:t>
      </w:r>
    </w:p>
    <w:p w14:paraId="067F033D" w14:textId="77777777" w:rsidR="006D45AE" w:rsidRDefault="006D45AE" w:rsidP="006D45AE">
      <w:pPr>
        <w:jc w:val="both"/>
      </w:pPr>
      <w:r>
        <w:t>Two different IVIg dosing regimens (</w:t>
      </w:r>
      <w:r w:rsidR="00C224E9">
        <w:t>normal dose</w:t>
      </w:r>
      <w:r>
        <w:t xml:space="preserve"> and interval, and half dos</w:t>
      </w:r>
      <w:r w:rsidR="00961757">
        <w:t>e</w:t>
      </w:r>
      <w:r>
        <w:t xml:space="preserve"> </w:t>
      </w:r>
      <w:r w:rsidR="0033744F">
        <w:t xml:space="preserve">at half the </w:t>
      </w:r>
      <w:r>
        <w:t xml:space="preserve">interval) were found to have similar effectiveness </w:t>
      </w:r>
      <w:r w:rsidR="00961757">
        <w:t xml:space="preserve">in patients who were on individual maintenance regimens. There were no differences found in hand grip strength, disability, fatigue, and overall health. Patients may benefit from a more flexible approach to dose size and frequency, </w:t>
      </w:r>
      <w:r w:rsidR="00961757" w:rsidRPr="00961757">
        <w:t xml:space="preserve">to fit in with </w:t>
      </w:r>
      <w:r w:rsidR="00961757">
        <w:t xml:space="preserve">service availability and </w:t>
      </w:r>
      <w:r w:rsidR="00961757" w:rsidRPr="00961757">
        <w:t xml:space="preserve">patient </w:t>
      </w:r>
      <w:r w:rsidR="006958EA">
        <w:t>preference</w:t>
      </w:r>
      <w:r w:rsidR="00961757" w:rsidRPr="00961757">
        <w:t>.</w:t>
      </w:r>
      <w:r w:rsidR="00961757">
        <w:t xml:space="preserve"> </w:t>
      </w:r>
    </w:p>
    <w:p w14:paraId="51ABEDF6" w14:textId="77777777" w:rsidR="00961757" w:rsidRPr="00E3331A" w:rsidRDefault="00961757" w:rsidP="006D45AE">
      <w:pPr>
        <w:jc w:val="both"/>
      </w:pPr>
      <w:r>
        <w:t xml:space="preserve">There was no further evidence identified </w:t>
      </w:r>
      <w:r w:rsidR="00E8274D">
        <w:t>(from RCTs) comparing</w:t>
      </w:r>
      <w:r>
        <w:t xml:space="preserve"> the effectiveness of IVIg with PE, steroids, or immunosuppressants.</w:t>
      </w:r>
    </w:p>
    <w:p w14:paraId="4BD4D60D" w14:textId="77777777" w:rsidR="00BC60A8" w:rsidRPr="00E3331A" w:rsidRDefault="00FD4DAB" w:rsidP="004F3579">
      <w:pPr>
        <w:jc w:val="both"/>
      </w:pPr>
      <w:r w:rsidRPr="00171CCE">
        <w:t>It should not be necessarily assumed that the lack of high quality data on Ig equates to lack of effect, as with many rare diseases high quality evidence on treatments is often lacking. Real world evidence, such as from registries, can be helpful in these situations.</w:t>
      </w:r>
    </w:p>
    <w:p w14:paraId="3F2488D7" w14:textId="77777777" w:rsidR="001F5B33" w:rsidRPr="00E3331A" w:rsidRDefault="001F5B33" w:rsidP="001F5B33">
      <w:pPr>
        <w:pStyle w:val="Heading1"/>
      </w:pPr>
      <w:bookmarkStart w:id="226" w:name="_Toc69305569"/>
      <w:r w:rsidRPr="00E3331A">
        <w:t>Section C</w:t>
      </w:r>
      <w:r w:rsidRPr="00E3331A">
        <w:tab/>
        <w:t>Translation Issues</w:t>
      </w:r>
      <w:bookmarkEnd w:id="226"/>
    </w:p>
    <w:p w14:paraId="77A26AF5" w14:textId="77777777" w:rsidR="00837294" w:rsidRPr="00E3331A" w:rsidRDefault="00837294" w:rsidP="00837294">
      <w:pPr>
        <w:pStyle w:val="Heading2"/>
      </w:pPr>
      <w:bookmarkStart w:id="227" w:name="_Toc69305570"/>
      <w:r w:rsidRPr="00E3331A">
        <w:t>C.1.</w:t>
      </w:r>
      <w:r w:rsidRPr="00E3331A">
        <w:tab/>
        <w:t>Overview</w:t>
      </w:r>
      <w:bookmarkEnd w:id="227"/>
      <w:r w:rsidRPr="00E3331A">
        <w:t xml:space="preserve"> </w:t>
      </w:r>
    </w:p>
    <w:p w14:paraId="2CEE2474" w14:textId="69EDC49A" w:rsidR="00837294" w:rsidRDefault="00837294" w:rsidP="00857754">
      <w:pPr>
        <w:pStyle w:val="BodyTextSTD"/>
      </w:pPr>
      <w:r>
        <w:t>The clinical conclusions were unchanged from DCAR 1564</w:t>
      </w:r>
      <w:r w:rsidR="00857754">
        <w:t xml:space="preserve"> </w:t>
      </w:r>
      <w:r w:rsidR="00B727D6">
        <w:fldChar w:fldCharType="begin"/>
      </w:r>
      <w:r w:rsidR="00B727D6">
        <w:instrText xml:space="preserve"> ADDIN EN.CITE &lt;EndNote&gt;&lt;Cite&gt;&lt;Author&gt;Duncan J&lt;/Author&gt;&lt;Year&gt;2019&lt;/Year&gt;&lt;RecNum&gt;25&lt;/RecNum&gt;&lt;DisplayText&gt;(Duncan J et al. 2019)&lt;/DisplayText&gt;&lt;record&gt;&lt;rec-number&gt;25&lt;/rec-number&gt;&lt;foreign-keys&gt;&lt;key app="EN" db-id="p29e2t021fx2sker0f4p99xad5t02xpedpxr" timestamp="1607395971"&gt;25&lt;/key&gt;&lt;/foreign-keys&gt;&lt;ref-type name="Report"&gt;27&lt;/ref-type&gt;&lt;contributors&gt;&lt;authors&gt;&lt;author&gt;Duncan J, &lt;/author&gt;&lt;author&gt;McLeod R, &lt;/author&gt;&lt;author&gt;Lambert R, &lt;/author&gt;&lt;author&gt;Vanderpeer M, &lt;/author&gt;&lt;author&gt;Tivey D, &lt;/author&gt;&lt;/authors&gt;&lt;secondary-authors&gt;&lt;author&gt;MSAC&lt;/author&gt;&lt;/secondary-authors&gt;&lt;/contributors&gt;&lt;titles&gt;&lt;title&gt;Immunoglobulin for chronic inflammatory demyelinating polyneuropathy&lt;/title&gt;&lt;secondary-title&gt;MSAC Application 1564 Assessment Report&lt;/secondary-title&gt;&lt;/titles&gt;&lt;dates&gt;&lt;year&gt;2019&lt;/year&gt;&lt;/dates&gt;&lt;pub-location&gt;Canberra&lt;/pub-location&gt;&lt;publisher&gt;Department of Health&lt;/publisher&gt;&lt;urls&gt;&lt;/urls&gt;&lt;/record&gt;&lt;/Cite&gt;&lt;/EndNote&gt;</w:instrText>
      </w:r>
      <w:r w:rsidR="00B727D6">
        <w:fldChar w:fldCharType="separate"/>
      </w:r>
      <w:r w:rsidR="00B727D6">
        <w:rPr>
          <w:noProof/>
        </w:rPr>
        <w:t>(</w:t>
      </w:r>
      <w:hyperlink w:anchor="_ENREF_16" w:tooltip="Duncan J, 2019 #25" w:history="1">
        <w:r w:rsidR="00D726F6">
          <w:rPr>
            <w:noProof/>
          </w:rPr>
          <w:t>Duncan J et al. 2019</w:t>
        </w:r>
      </w:hyperlink>
      <w:r w:rsidR="00B727D6">
        <w:rPr>
          <w:noProof/>
        </w:rPr>
        <w:t>)</w:t>
      </w:r>
      <w:r w:rsidR="00B727D6">
        <w:fldChar w:fldCharType="end"/>
      </w:r>
      <w:r>
        <w:t xml:space="preserve">. The relative safety of IVIg vs either corticosteroids, PE or immunosuppressants was uncertain. In terms of efficacy, the evidence suggests that Ig is superior to no treatment, and at least non-inferior (possibly superior) to steroids, but there is insufficient evidence to determine the relative efficacy vs plasma exchange or immunosuppressants. </w:t>
      </w:r>
    </w:p>
    <w:p w14:paraId="46F93BE6" w14:textId="77777777" w:rsidR="00837294" w:rsidRDefault="00837294" w:rsidP="00857754">
      <w:pPr>
        <w:pStyle w:val="BodyTextSTD"/>
      </w:pPr>
      <w:r>
        <w:t>Given the incomplete information available in the comparative evidence base, a modelled evaluation is constructed to quantitatively combine the otherwise disparate clinical information and to attempt estimation of overall long-term outcomes and costs.</w:t>
      </w:r>
    </w:p>
    <w:p w14:paraId="627BC483" w14:textId="1A05C65B" w:rsidR="00837294" w:rsidRDefault="00837294" w:rsidP="00857754">
      <w:pPr>
        <w:pStyle w:val="BodyTextSTD"/>
      </w:pPr>
      <w:r>
        <w:t>The model structure</w:t>
      </w:r>
      <w:r w:rsidR="002B36A9">
        <w:t xml:space="preserve"> used in this assessment (1564 Update</w:t>
      </w:r>
      <w:r>
        <w:t>) is different from the one used in the previous assessment</w:t>
      </w:r>
      <w:r w:rsidR="00857754">
        <w:t xml:space="preserve"> </w:t>
      </w:r>
      <w:r w:rsidR="00B727D6">
        <w:fldChar w:fldCharType="begin"/>
      </w:r>
      <w:r w:rsidR="00B727D6">
        <w:instrText xml:space="preserve"> ADDIN EN.CITE &lt;EndNote&gt;&lt;Cite&gt;&lt;Author&gt;Duncan J&lt;/Author&gt;&lt;Year&gt;2019&lt;/Year&gt;&lt;RecNum&gt;25&lt;/RecNum&gt;&lt;DisplayText&gt;(Duncan J et al. 2019)&lt;/DisplayText&gt;&lt;record&gt;&lt;rec-number&gt;25&lt;/rec-number&gt;&lt;foreign-keys&gt;&lt;key app="EN" db-id="p29e2t021fx2sker0f4p99xad5t02xpedpxr" timestamp="1607395971"&gt;25&lt;/key&gt;&lt;/foreign-keys&gt;&lt;ref-type name="Report"&gt;27&lt;/ref-type&gt;&lt;contributors&gt;&lt;authors&gt;&lt;author&gt;Duncan J, &lt;/author&gt;&lt;author&gt;McLeod R, &lt;/author&gt;&lt;author&gt;Lambert R, &lt;/author&gt;&lt;author&gt;Vanderpeer M, &lt;/author&gt;&lt;author&gt;Tivey D, &lt;/author&gt;&lt;/authors&gt;&lt;secondary-authors&gt;&lt;author&gt;MSAC&lt;/author&gt;&lt;/secondary-authors&gt;&lt;/contributors&gt;&lt;titles&gt;&lt;title&gt;Immunoglobulin for chronic inflammatory demyelinating polyneuropathy&lt;/title&gt;&lt;secondary-title&gt;MSAC Application 1564 Assessment Report&lt;/secondary-title&gt;&lt;/titles&gt;&lt;dates&gt;&lt;year&gt;2019&lt;/year&gt;&lt;/dates&gt;&lt;pub-location&gt;Canberra&lt;/pub-location&gt;&lt;publisher&gt;Department of Health&lt;/publisher&gt;&lt;urls&gt;&lt;/urls&gt;&lt;/record&gt;&lt;/Cite&gt;&lt;/EndNote&gt;</w:instrText>
      </w:r>
      <w:r w:rsidR="00B727D6">
        <w:fldChar w:fldCharType="separate"/>
      </w:r>
      <w:r w:rsidR="00B727D6">
        <w:rPr>
          <w:noProof/>
        </w:rPr>
        <w:t>(</w:t>
      </w:r>
      <w:hyperlink w:anchor="_ENREF_16" w:tooltip="Duncan J, 2019 #25" w:history="1">
        <w:r w:rsidR="00D726F6">
          <w:rPr>
            <w:noProof/>
          </w:rPr>
          <w:t>Duncan J et al. 2019</w:t>
        </w:r>
      </w:hyperlink>
      <w:r w:rsidR="00B727D6">
        <w:rPr>
          <w:noProof/>
        </w:rPr>
        <w:t>)</w:t>
      </w:r>
      <w:r w:rsidR="00B727D6">
        <w:fldChar w:fldCharType="end"/>
      </w:r>
      <w:r>
        <w:t>. The revised structure addresses additional translational issues and updates the previously identified issues.</w:t>
      </w:r>
    </w:p>
    <w:p w14:paraId="412ECD40" w14:textId="526FEB99" w:rsidR="00837294" w:rsidRDefault="00DF5E2E" w:rsidP="00857754">
      <w:pPr>
        <w:pStyle w:val="BodyTextSTD"/>
      </w:pPr>
      <w:r>
        <w:t>IVIg</w:t>
      </w:r>
      <w:r w:rsidR="00837294">
        <w:t xml:space="preserve"> for the treatment of CIDP is already used in Australia and in order to assess the applicability of the available clinical evidence to the Australian setting, the following translation studies were considered in the revised model:</w:t>
      </w:r>
    </w:p>
    <w:p w14:paraId="3B84ED29" w14:textId="77777777" w:rsidR="00837294" w:rsidRPr="001606AE" w:rsidRDefault="00837294" w:rsidP="00837294">
      <w:pPr>
        <w:rPr>
          <w:b/>
        </w:rPr>
      </w:pPr>
      <w:r w:rsidRPr="001606AE">
        <w:rPr>
          <w:b/>
        </w:rPr>
        <w:t>Applicability issues</w:t>
      </w:r>
    </w:p>
    <w:p w14:paraId="758B20B9" w14:textId="77777777" w:rsidR="00837294" w:rsidRDefault="00837294" w:rsidP="000B596E">
      <w:pPr>
        <w:pStyle w:val="ListParagraph"/>
        <w:numPr>
          <w:ilvl w:val="0"/>
          <w:numId w:val="29"/>
        </w:numPr>
        <w:jc w:val="both"/>
      </w:pPr>
      <w:r>
        <w:t>Does the patient profile in the clinical evidence match the demographic characteristics of</w:t>
      </w:r>
      <w:r w:rsidRPr="003C56A6">
        <w:t xml:space="preserve"> </w:t>
      </w:r>
      <w:r>
        <w:t>patients with CIDP in Australia?</w:t>
      </w:r>
    </w:p>
    <w:p w14:paraId="75734972" w14:textId="3EEE5596" w:rsidR="00837294" w:rsidRDefault="00837294" w:rsidP="000B596E">
      <w:pPr>
        <w:pStyle w:val="ListParagraph"/>
        <w:numPr>
          <w:ilvl w:val="0"/>
          <w:numId w:val="29"/>
        </w:numPr>
        <w:jc w:val="both"/>
      </w:pPr>
      <w:r>
        <w:t>Is the Ig dosing and frequency of administration schedule in the clinical trials consistent with the current recommendation in Australia (</w:t>
      </w:r>
      <w:r w:rsidR="00582814" w:rsidRPr="00582814">
        <w:t>the C</w:t>
      </w:r>
      <w:r w:rsidRPr="00582814">
        <w:t>riteria</w:t>
      </w:r>
      <w:r w:rsidR="00582814" w:rsidRPr="00582814">
        <w:t xml:space="preserve"> V3</w:t>
      </w:r>
      <w:r>
        <w:t>)?</w:t>
      </w:r>
    </w:p>
    <w:p w14:paraId="62D59E83" w14:textId="77777777" w:rsidR="00837294" w:rsidRDefault="00837294" w:rsidP="000B596E">
      <w:pPr>
        <w:pStyle w:val="ListParagraph"/>
        <w:numPr>
          <w:ilvl w:val="0"/>
          <w:numId w:val="29"/>
        </w:numPr>
        <w:jc w:val="both"/>
      </w:pPr>
      <w:r>
        <w:t>Is the duration of Ig treatment in the clinical evidence consistent with use in the current Australian population?</w:t>
      </w:r>
    </w:p>
    <w:p w14:paraId="382EEA6C" w14:textId="77777777" w:rsidR="00837294" w:rsidRDefault="00837294" w:rsidP="000B596E">
      <w:pPr>
        <w:pStyle w:val="ListParagraph"/>
        <w:numPr>
          <w:ilvl w:val="0"/>
          <w:numId w:val="29"/>
        </w:numPr>
        <w:jc w:val="both"/>
      </w:pPr>
      <w:r w:rsidRPr="00494ED6">
        <w:t xml:space="preserve">What is the optimum period of disease stability that would trigger a decision to reduce the maintenance </w:t>
      </w:r>
      <w:r>
        <w:t xml:space="preserve">Ig </w:t>
      </w:r>
      <w:r w:rsidRPr="00494ED6">
        <w:t>dose, in order to inform the Criteria</w:t>
      </w:r>
      <w:r w:rsidR="00582814">
        <w:t xml:space="preserve"> V3</w:t>
      </w:r>
      <w:r w:rsidRPr="00494ED6">
        <w:t>?</w:t>
      </w:r>
    </w:p>
    <w:p w14:paraId="7AE3FB1C" w14:textId="77777777" w:rsidR="00837294" w:rsidRPr="001606AE" w:rsidRDefault="00837294" w:rsidP="00837294">
      <w:pPr>
        <w:rPr>
          <w:b/>
        </w:rPr>
      </w:pPr>
      <w:r w:rsidRPr="001606AE">
        <w:rPr>
          <w:b/>
        </w:rPr>
        <w:t>Extrapolation issues</w:t>
      </w:r>
    </w:p>
    <w:p w14:paraId="17256520" w14:textId="77777777" w:rsidR="00837294" w:rsidRDefault="00837294" w:rsidP="00557FE0">
      <w:pPr>
        <w:pStyle w:val="BodyTextSTD"/>
      </w:pPr>
      <w:r>
        <w:t>As the treatment duration in the trials is less than the expected duration of treatment in the current local setting, there is need for extrapolation of the trial results to address the following issue:</w:t>
      </w:r>
    </w:p>
    <w:p w14:paraId="10A52B29" w14:textId="77777777" w:rsidR="00837294" w:rsidRDefault="00837294" w:rsidP="000B596E">
      <w:pPr>
        <w:pStyle w:val="ListParagraph"/>
        <w:numPr>
          <w:ilvl w:val="0"/>
          <w:numId w:val="30"/>
        </w:numPr>
        <w:jc w:val="both"/>
      </w:pPr>
      <w:r>
        <w:t>What is the duration of the treatment effect (Ig and comparators) in patients with CIDP and was the duration of effect expected in the Australian setting captured in the available clinical evidence?</w:t>
      </w:r>
    </w:p>
    <w:p w14:paraId="2B756FA7" w14:textId="77777777" w:rsidR="00837294" w:rsidRDefault="00837294" w:rsidP="000B596E">
      <w:pPr>
        <w:pStyle w:val="ListParagraph"/>
        <w:numPr>
          <w:ilvl w:val="0"/>
          <w:numId w:val="30"/>
        </w:numPr>
        <w:jc w:val="both"/>
      </w:pPr>
      <w:r>
        <w:t>How safe are intervention and comparator drugs when used for longer durations?</w:t>
      </w:r>
    </w:p>
    <w:p w14:paraId="53493681" w14:textId="77777777" w:rsidR="00837294" w:rsidRPr="001606AE" w:rsidRDefault="00837294" w:rsidP="00837294">
      <w:pPr>
        <w:rPr>
          <w:b/>
        </w:rPr>
      </w:pPr>
      <w:r w:rsidRPr="001606AE">
        <w:rPr>
          <w:b/>
        </w:rPr>
        <w:t>Transformation issues</w:t>
      </w:r>
    </w:p>
    <w:p w14:paraId="3ABCCEBA" w14:textId="77777777" w:rsidR="00837294" w:rsidRDefault="00837294" w:rsidP="00857754">
      <w:pPr>
        <w:pStyle w:val="BodyTextSTD"/>
      </w:pPr>
      <w:r w:rsidRPr="00292690">
        <w:t xml:space="preserve">Tools used in the measurement of treatment outcomes </w:t>
      </w:r>
      <w:r>
        <w:t>(</w:t>
      </w:r>
      <w:r w:rsidRPr="00E3331A">
        <w:t>including strength impairment, sensory dysfunction and disability</w:t>
      </w:r>
      <w:r>
        <w:t xml:space="preserve">) were </w:t>
      </w:r>
      <w:r w:rsidRPr="00292690">
        <w:t>discussed</w:t>
      </w:r>
      <w:r>
        <w:t xml:space="preserve"> in section B.5 in the MSAC 1564 report. </w:t>
      </w:r>
      <w:r w:rsidR="00582814">
        <w:t>T</w:t>
      </w:r>
      <w:r w:rsidRPr="00292690">
        <w:t>he Criteria</w:t>
      </w:r>
      <w:r w:rsidR="00582814">
        <w:t xml:space="preserve"> V3</w:t>
      </w:r>
      <w:r w:rsidRPr="00292690">
        <w:t xml:space="preserve"> restricts use of Ig in CIDP patients according to the tools ONLS or MRC Sum Scores in adults, and MR</w:t>
      </w:r>
      <w:r>
        <w:t>S</w:t>
      </w:r>
      <w:r w:rsidRPr="00292690">
        <w:t xml:space="preserve"> score and </w:t>
      </w:r>
      <w:r>
        <w:t xml:space="preserve">six minute </w:t>
      </w:r>
      <w:r w:rsidRPr="00292690">
        <w:t>walk in children</w:t>
      </w:r>
      <w:r>
        <w:t>. These outcome measures need to be transformed into health related quality of life utility scores and health states to estimate QALYs for the economic evaluation. The transformation issue addressed is:</w:t>
      </w:r>
    </w:p>
    <w:p w14:paraId="78538391" w14:textId="77777777" w:rsidR="00837294" w:rsidRPr="004941A6" w:rsidRDefault="00837294" w:rsidP="000B596E">
      <w:pPr>
        <w:pStyle w:val="ListParagraph"/>
        <w:numPr>
          <w:ilvl w:val="0"/>
          <w:numId w:val="30"/>
        </w:numPr>
        <w:jc w:val="both"/>
      </w:pPr>
      <w:r>
        <w:t xml:space="preserve">What are the utility/disutility values associated with various treatments and health states for patients with CIDP? </w:t>
      </w:r>
    </w:p>
    <w:p w14:paraId="36EB5540" w14:textId="77777777" w:rsidR="00837294" w:rsidRDefault="00837294" w:rsidP="00837294">
      <w:pPr>
        <w:pStyle w:val="Heading2"/>
      </w:pPr>
      <w:bookmarkStart w:id="228" w:name="_Toc69305571"/>
      <w:r>
        <w:t>C.2.</w:t>
      </w:r>
      <w:r>
        <w:tab/>
        <w:t>Applicability issues</w:t>
      </w:r>
      <w:bookmarkEnd w:id="228"/>
    </w:p>
    <w:p w14:paraId="7D325096" w14:textId="77777777" w:rsidR="00837294" w:rsidRDefault="00837294" w:rsidP="00837294">
      <w:pPr>
        <w:pStyle w:val="Heading3"/>
      </w:pPr>
      <w:bookmarkStart w:id="229" w:name="_Toc69305572"/>
      <w:r>
        <w:t>C.2.1.</w:t>
      </w:r>
      <w:r>
        <w:tab/>
      </w:r>
      <w:r>
        <w:tab/>
        <w:t>Patients characteristics</w:t>
      </w:r>
      <w:bookmarkEnd w:id="229"/>
    </w:p>
    <w:p w14:paraId="0E4A909E" w14:textId="77777777" w:rsidR="00837294" w:rsidRPr="003E4403" w:rsidRDefault="00837294" w:rsidP="00837294">
      <w:pPr>
        <w:rPr>
          <w:b/>
        </w:rPr>
      </w:pPr>
      <w:r w:rsidRPr="003E4403">
        <w:rPr>
          <w:b/>
        </w:rPr>
        <w:t>Does the patient profile in the clinical evidence match the demographic characteristics of patients with CIDP in Australia?</w:t>
      </w:r>
    </w:p>
    <w:p w14:paraId="5D9AB644" w14:textId="77777777" w:rsidR="00837294" w:rsidRDefault="00837294" w:rsidP="00857754">
      <w:pPr>
        <w:pStyle w:val="BodyTextSTD"/>
      </w:pPr>
      <w:r w:rsidRPr="003E4403">
        <w:t xml:space="preserve">This pre-modelling study addresses whether characteristics of </w:t>
      </w:r>
      <w:r>
        <w:t>participants in the key trials</w:t>
      </w:r>
      <w:r w:rsidRPr="003E4403">
        <w:t xml:space="preserve"> are representative of Australian CIDP patients currently using Ig; and whether the circumstances of use of Ig and </w:t>
      </w:r>
      <w:r>
        <w:t>comparators</w:t>
      </w:r>
      <w:r w:rsidRPr="003E4403">
        <w:t xml:space="preserve"> in</w:t>
      </w:r>
      <w:r>
        <w:t xml:space="preserve"> </w:t>
      </w:r>
      <w:r w:rsidRPr="003E4403">
        <w:t>trials are representative of how these products are being used in Australian clinical practice.</w:t>
      </w:r>
      <w:r>
        <w:t xml:space="preserve"> </w:t>
      </w:r>
    </w:p>
    <w:p w14:paraId="134F49BD" w14:textId="0C3E91BB" w:rsidR="00837294" w:rsidRPr="00E3331A" w:rsidRDefault="00837294" w:rsidP="00857754">
      <w:pPr>
        <w:pStyle w:val="BodyTextSTD"/>
      </w:pPr>
      <w:r w:rsidRPr="00E3331A">
        <w:t xml:space="preserve">Patient characteristics in key trials, along with dose regimen and frequency, and setting </w:t>
      </w:r>
      <w:r>
        <w:t xml:space="preserve">were </w:t>
      </w:r>
      <w:r w:rsidR="00857754">
        <w:t>described</w:t>
      </w:r>
      <w:r>
        <w:t xml:space="preserve"> in MSAC 1564 report</w:t>
      </w:r>
      <w:r w:rsidR="00857754">
        <w:t xml:space="preserve"> </w:t>
      </w:r>
      <w:r w:rsidR="00B727D6">
        <w:fldChar w:fldCharType="begin"/>
      </w:r>
      <w:r w:rsidR="00B727D6">
        <w:instrText xml:space="preserve"> ADDIN EN.CITE &lt;EndNote&gt;&lt;Cite&gt;&lt;Author&gt;Duncan J&lt;/Author&gt;&lt;Year&gt;2019&lt;/Year&gt;&lt;RecNum&gt;25&lt;/RecNum&gt;&lt;DisplayText&gt;(Duncan J et al. 2019)&lt;/DisplayText&gt;&lt;record&gt;&lt;rec-number&gt;25&lt;/rec-number&gt;&lt;foreign-keys&gt;&lt;key app="EN" db-id="p29e2t021fx2sker0f4p99xad5t02xpedpxr" timestamp="1607395971"&gt;25&lt;/key&gt;&lt;/foreign-keys&gt;&lt;ref-type name="Report"&gt;27&lt;/ref-type&gt;&lt;contributors&gt;&lt;authors&gt;&lt;author&gt;Duncan J, &lt;/author&gt;&lt;author&gt;McLeod R, &lt;/author&gt;&lt;author&gt;Lambert R, &lt;/author&gt;&lt;author&gt;Vanderpeer M, &lt;/author&gt;&lt;author&gt;Tivey D, &lt;/author&gt;&lt;/authors&gt;&lt;secondary-authors&gt;&lt;author&gt;MSAC&lt;/author&gt;&lt;/secondary-authors&gt;&lt;/contributors&gt;&lt;titles&gt;&lt;title&gt;Immunoglobulin for chronic inflammatory demyelinating polyneuropathy&lt;/title&gt;&lt;secondary-title&gt;MSAC Application 1564 Assessment Report&lt;/secondary-title&gt;&lt;/titles&gt;&lt;dates&gt;&lt;year&gt;2019&lt;/year&gt;&lt;/dates&gt;&lt;pub-location&gt;Canberra&lt;/pub-location&gt;&lt;publisher&gt;Department of Health&lt;/publisher&gt;&lt;urls&gt;&lt;/urls&gt;&lt;/record&gt;&lt;/Cite&gt;&lt;/EndNote&gt;</w:instrText>
      </w:r>
      <w:r w:rsidR="00B727D6">
        <w:fldChar w:fldCharType="separate"/>
      </w:r>
      <w:r w:rsidR="00B727D6">
        <w:rPr>
          <w:noProof/>
        </w:rPr>
        <w:t>(</w:t>
      </w:r>
      <w:hyperlink w:anchor="_ENREF_16" w:tooltip="Duncan J, 2019 #25" w:history="1">
        <w:r w:rsidR="00D726F6">
          <w:rPr>
            <w:noProof/>
          </w:rPr>
          <w:t>Duncan J et al. 2019</w:t>
        </w:r>
      </w:hyperlink>
      <w:r w:rsidR="00B727D6">
        <w:rPr>
          <w:noProof/>
        </w:rPr>
        <w:t>)</w:t>
      </w:r>
      <w:r w:rsidR="00B727D6">
        <w:fldChar w:fldCharType="end"/>
      </w:r>
      <w:r>
        <w:t xml:space="preserve"> and are </w:t>
      </w:r>
      <w:r w:rsidRPr="00E3331A">
        <w:t xml:space="preserve">summarised in </w:t>
      </w:r>
      <w:r w:rsidRPr="00E3331A">
        <w:fldChar w:fldCharType="begin"/>
      </w:r>
      <w:r w:rsidRPr="00E3331A">
        <w:instrText xml:space="preserve"> REF _Ref504130751 \h  \* MERGEFORMAT </w:instrText>
      </w:r>
      <w:r w:rsidRPr="00E3331A">
        <w:fldChar w:fldCharType="separate"/>
      </w:r>
      <w:r w:rsidR="004B3EA2" w:rsidRPr="00E3331A">
        <w:t xml:space="preserve">Table </w:t>
      </w:r>
      <w:r w:rsidR="004B3EA2">
        <w:rPr>
          <w:noProof/>
        </w:rPr>
        <w:t>26</w:t>
      </w:r>
      <w:r w:rsidRPr="00E3331A">
        <w:fldChar w:fldCharType="end"/>
      </w:r>
      <w:r w:rsidRPr="00E3331A">
        <w:t>.</w:t>
      </w:r>
      <w:r w:rsidR="00557FE0">
        <w:t xml:space="preserve"> The clinical trial</w:t>
      </w:r>
      <w:r>
        <w:t xml:space="preserve"> comparing IVIg with p</w:t>
      </w:r>
      <w:r w:rsidR="00557FE0">
        <w:t xml:space="preserve">lasma exchange </w:t>
      </w:r>
      <w:r w:rsidR="00B727D6">
        <w:fldChar w:fldCharType="begin"/>
      </w:r>
      <w:r w:rsidR="00B727D6">
        <w:instrText xml:space="preserve"> ADDIN EN.CITE &lt;EndNote&gt;&lt;Cite&gt;&lt;Author&gt;Dyck&lt;/Author&gt;&lt;Year&gt;1994&lt;/Year&gt;&lt;RecNum&gt;6&lt;/RecNum&gt;&lt;DisplayText&gt;(Dyck et al. 1994)&lt;/DisplayText&gt;&lt;record&gt;&lt;rec-number&gt;6&lt;/rec-number&gt;&lt;foreign-keys&gt;&lt;key app="EN" db-id="xtr5xfx2xf0wd7e0s2qvst2ietxxf0tpzr9v" timestamp="1601273176"&gt;6&lt;/key&gt;&lt;/foreign-keys&gt;&lt;ref-type name="Journal Article"&gt;17&lt;/ref-type&gt;&lt;contributors&gt;&lt;authors&gt;&lt;author&gt;Dyck, P. J.&lt;/author&gt;&lt;author&gt;Litchy, W. J.&lt;/author&gt;&lt;author&gt;Kratz, K. M.&lt;/author&gt;&lt;author&gt;Suarez, G. A.&lt;/author&gt;&lt;author&gt;Low, P. A.&lt;/author&gt;&lt;author&gt;Pineda, A. A.&lt;/author&gt;&lt;author&gt;Windebank, A. J.&lt;/author&gt;&lt;author&gt;Karnes, J. L.&lt;/author&gt;&lt;author&gt;O&amp;apos;Brien, P. C.&lt;/author&gt;&lt;/authors&gt;&lt;/contributors&gt;&lt;auth-address&gt;Department of Neurology, Mayo Clinic, Rochester, MN 55905.&lt;/auth-address&gt;&lt;titles&gt;&lt;title&gt;A plasma exchange versus immune globulin infusion trial in chronic inflammatory demyelinating polyradiculoneuropathy&lt;/title&gt;&lt;secondary-title&gt;Ann Neurol&lt;/secondary-title&gt;&lt;/titles&gt;&lt;periodical&gt;&lt;full-title&gt;Ann Neurol&lt;/full-title&gt;&lt;/periodical&gt;&lt;pages&gt;838-45&lt;/pages&gt;&lt;volume&gt;36&lt;/volume&gt;&lt;number&gt;6&lt;/number&gt;&lt;edition&gt;1994/12/01&lt;/edition&gt;&lt;keywords&gt;&lt;keyword&gt;Adult&lt;/keyword&gt;&lt;keyword&gt;Aged&lt;/keyword&gt;&lt;keyword&gt;Chronic Disease&lt;/keyword&gt;&lt;keyword&gt;Demyelinating Diseases/ therapy&lt;/keyword&gt;&lt;keyword&gt;Female&lt;/keyword&gt;&lt;keyword&gt;Humans&lt;/keyword&gt;&lt;keyword&gt;Immunoglobulins, Intravenous/ therapeutic use&lt;/keyword&gt;&lt;keyword&gt;Male&lt;/keyword&gt;&lt;keyword&gt;Middle Aged&lt;/keyword&gt;&lt;keyword&gt;Plasma Exchange&lt;/keyword&gt;&lt;keyword&gt;Polyradiculoneuropathy/ therapy&lt;/keyword&gt;&lt;/keywords&gt;&lt;dates&gt;&lt;year&gt;1994&lt;/year&gt;&lt;pub-dates&gt;&lt;date&gt;Dec&lt;/date&gt;&lt;/pub-dates&gt;&lt;/dates&gt;&lt;isbn&gt;0364-5134 (Print)&amp;#xD;0364-5134 (Linking)&lt;/isbn&gt;&lt;accession-num&gt;7998769&lt;/accession-num&gt;&lt;urls&gt;&lt;related-urls&gt;&lt;url&gt;https://onlinelibrary.wiley.com/doi/pdfdirect/10.1002/ana.410360607?download=true&lt;/url&gt;&lt;/related-urls&gt;&lt;/urls&gt;&lt;electronic-resource-num&gt;10.1002/ana.410360607&lt;/electronic-resource-num&gt;&lt;remote-database-provider&gt;NLM&lt;/remote-database-provider&gt;&lt;language&gt;eng&lt;/language&gt;&lt;/record&gt;&lt;/Cite&gt;&lt;/EndNote&gt;</w:instrText>
      </w:r>
      <w:r w:rsidR="00B727D6">
        <w:fldChar w:fldCharType="separate"/>
      </w:r>
      <w:r w:rsidR="00B727D6">
        <w:rPr>
          <w:noProof/>
        </w:rPr>
        <w:t>(</w:t>
      </w:r>
      <w:hyperlink w:anchor="_ENREF_17" w:tooltip="Dyck, 1994 #6" w:history="1">
        <w:r w:rsidR="00D726F6">
          <w:rPr>
            <w:noProof/>
          </w:rPr>
          <w:t>Dyck et al. 1994</w:t>
        </w:r>
      </w:hyperlink>
      <w:r w:rsidR="00B727D6">
        <w:rPr>
          <w:noProof/>
        </w:rPr>
        <w:t>)</w:t>
      </w:r>
      <w:r w:rsidR="00B727D6">
        <w:fldChar w:fldCharType="end"/>
      </w:r>
      <w:r w:rsidR="00557FE0">
        <w:t xml:space="preserve"> was</w:t>
      </w:r>
      <w:r>
        <w:t xml:space="preserve"> added to this </w:t>
      </w:r>
      <w:r w:rsidRPr="003E4403">
        <w:t>pre-modelling study</w:t>
      </w:r>
      <w:r>
        <w:t>.</w:t>
      </w:r>
    </w:p>
    <w:p w14:paraId="63CC94E0" w14:textId="2BD67F74" w:rsidR="00837294" w:rsidRPr="00E3331A" w:rsidRDefault="00837294" w:rsidP="00837294">
      <w:pPr>
        <w:pStyle w:val="Caption"/>
      </w:pPr>
      <w:bookmarkStart w:id="230" w:name="_Ref504130751"/>
      <w:bookmarkStart w:id="231" w:name="_Toc69305667"/>
      <w:bookmarkStart w:id="232" w:name="_Toc506537948"/>
      <w:bookmarkStart w:id="233" w:name="_Toc24103349"/>
      <w:r w:rsidRPr="00E3331A">
        <w:t xml:space="preserve">Table </w:t>
      </w:r>
      <w:r w:rsidRPr="00E3331A">
        <w:rPr>
          <w:noProof/>
        </w:rPr>
        <w:fldChar w:fldCharType="begin"/>
      </w:r>
      <w:r w:rsidRPr="00E3331A">
        <w:rPr>
          <w:noProof/>
        </w:rPr>
        <w:instrText xml:space="preserve"> SEQ Table \* ARABIC </w:instrText>
      </w:r>
      <w:r w:rsidRPr="00E3331A">
        <w:rPr>
          <w:noProof/>
        </w:rPr>
        <w:fldChar w:fldCharType="separate"/>
      </w:r>
      <w:r w:rsidR="004B3EA2">
        <w:rPr>
          <w:noProof/>
        </w:rPr>
        <w:t>26</w:t>
      </w:r>
      <w:r w:rsidRPr="00E3331A">
        <w:rPr>
          <w:noProof/>
        </w:rPr>
        <w:fldChar w:fldCharType="end"/>
      </w:r>
      <w:bookmarkEnd w:id="230"/>
      <w:r w:rsidRPr="00E3331A">
        <w:rPr>
          <w:noProof/>
        </w:rPr>
        <w:tab/>
      </w:r>
      <w:r>
        <w:t xml:space="preserve">Patient characteristics in the key </w:t>
      </w:r>
      <w:r w:rsidRPr="00E3331A">
        <w:t>trial</w:t>
      </w:r>
      <w:r>
        <w:t>s</w:t>
      </w:r>
      <w:bookmarkEnd w:id="231"/>
      <w:r w:rsidRPr="00E3331A">
        <w:t xml:space="preserve"> </w:t>
      </w:r>
      <w:bookmarkEnd w:id="232"/>
      <w:bookmarkEnd w:id="2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atient characteristics in the key trials"/>
        <w:tblDescription w:val="Patient characteristics in the key trials"/>
      </w:tblPr>
      <w:tblGrid>
        <w:gridCol w:w="1838"/>
        <w:gridCol w:w="2836"/>
        <w:gridCol w:w="2124"/>
        <w:gridCol w:w="2218"/>
      </w:tblGrid>
      <w:tr w:rsidR="00176195" w:rsidRPr="00E3331A" w14:paraId="01DA593F" w14:textId="77777777" w:rsidTr="00176195">
        <w:trPr>
          <w:tblHeader/>
        </w:trPr>
        <w:tc>
          <w:tcPr>
            <w:tcW w:w="1019" w:type="pct"/>
            <w:vMerge w:val="restart"/>
            <w:shd w:val="clear" w:color="auto" w:fill="auto"/>
            <w:vAlign w:val="center"/>
          </w:tcPr>
          <w:p w14:paraId="3A783E93" w14:textId="77777777" w:rsidR="00176195" w:rsidRPr="00FA45E4" w:rsidRDefault="00176195" w:rsidP="00857754">
            <w:pPr>
              <w:pStyle w:val="Tabletext1"/>
              <w:rPr>
                <w:rFonts w:eastAsia="Calibri"/>
                <w:b/>
                <w:lang w:eastAsia="en-US"/>
              </w:rPr>
            </w:pPr>
            <w:r w:rsidRPr="00FA45E4">
              <w:rPr>
                <w:rFonts w:eastAsia="Calibri"/>
                <w:b/>
                <w:lang w:eastAsia="en-US"/>
              </w:rPr>
              <w:t>Study</w:t>
            </w:r>
          </w:p>
        </w:tc>
        <w:tc>
          <w:tcPr>
            <w:tcW w:w="1573" w:type="pct"/>
            <w:vMerge w:val="restart"/>
            <w:shd w:val="clear" w:color="auto" w:fill="auto"/>
            <w:vAlign w:val="center"/>
          </w:tcPr>
          <w:p w14:paraId="32056824" w14:textId="77777777" w:rsidR="00176195" w:rsidRPr="00FA45E4" w:rsidRDefault="00176195" w:rsidP="00857754">
            <w:pPr>
              <w:pStyle w:val="Tabletext1"/>
              <w:rPr>
                <w:rFonts w:eastAsia="Calibri"/>
                <w:b/>
                <w:lang w:eastAsia="en-US"/>
              </w:rPr>
            </w:pPr>
            <w:r w:rsidRPr="00FA45E4">
              <w:rPr>
                <w:rFonts w:eastAsia="Calibri"/>
                <w:b/>
                <w:lang w:eastAsia="en-US"/>
              </w:rPr>
              <w:t>Inclusion criteria</w:t>
            </w:r>
          </w:p>
        </w:tc>
        <w:tc>
          <w:tcPr>
            <w:tcW w:w="2408" w:type="pct"/>
            <w:gridSpan w:val="2"/>
            <w:shd w:val="clear" w:color="auto" w:fill="auto"/>
            <w:vAlign w:val="center"/>
          </w:tcPr>
          <w:p w14:paraId="147905A5" w14:textId="77777777" w:rsidR="00176195" w:rsidRPr="00FA45E4" w:rsidRDefault="00176195" w:rsidP="00857754">
            <w:pPr>
              <w:pStyle w:val="TableHeading"/>
              <w:jc w:val="center"/>
              <w:rPr>
                <w:rFonts w:eastAsia="Calibri"/>
                <w:lang w:eastAsia="en-US"/>
              </w:rPr>
            </w:pPr>
            <w:r w:rsidRPr="00FA45E4">
              <w:rPr>
                <w:rFonts w:eastAsia="Calibri"/>
                <w:lang w:eastAsia="en-US"/>
              </w:rPr>
              <w:t>Baseline</w:t>
            </w:r>
          </w:p>
        </w:tc>
      </w:tr>
      <w:tr w:rsidR="00176195" w:rsidRPr="00E3331A" w14:paraId="6F6ADF00" w14:textId="77777777" w:rsidTr="006A12BE">
        <w:tc>
          <w:tcPr>
            <w:tcW w:w="1019" w:type="pct"/>
            <w:vMerge/>
            <w:shd w:val="clear" w:color="auto" w:fill="auto"/>
            <w:vAlign w:val="center"/>
          </w:tcPr>
          <w:p w14:paraId="309E723F" w14:textId="77777777" w:rsidR="00176195" w:rsidRPr="00FA45E4" w:rsidRDefault="00176195" w:rsidP="00857754">
            <w:pPr>
              <w:pStyle w:val="Tabletext1"/>
              <w:rPr>
                <w:rFonts w:eastAsia="Calibri"/>
                <w:b/>
                <w:lang w:eastAsia="en-US"/>
              </w:rPr>
            </w:pPr>
          </w:p>
        </w:tc>
        <w:tc>
          <w:tcPr>
            <w:tcW w:w="1573" w:type="pct"/>
            <w:vMerge/>
            <w:shd w:val="clear" w:color="auto" w:fill="auto"/>
            <w:vAlign w:val="center"/>
          </w:tcPr>
          <w:p w14:paraId="4991A2BF" w14:textId="77777777" w:rsidR="00176195" w:rsidRPr="00FA45E4" w:rsidRDefault="00176195" w:rsidP="00857754">
            <w:pPr>
              <w:pStyle w:val="Tabletext1"/>
              <w:rPr>
                <w:rFonts w:eastAsia="Calibri"/>
                <w:b/>
                <w:lang w:eastAsia="en-US"/>
              </w:rPr>
            </w:pPr>
          </w:p>
        </w:tc>
        <w:tc>
          <w:tcPr>
            <w:tcW w:w="1178" w:type="pct"/>
            <w:shd w:val="clear" w:color="auto" w:fill="auto"/>
            <w:vAlign w:val="center"/>
          </w:tcPr>
          <w:p w14:paraId="731D4B48" w14:textId="77777777" w:rsidR="00176195" w:rsidRPr="00FA45E4" w:rsidRDefault="00176195" w:rsidP="00857754">
            <w:pPr>
              <w:pStyle w:val="TableHeading"/>
              <w:jc w:val="center"/>
              <w:rPr>
                <w:rFonts w:eastAsia="Calibri"/>
                <w:lang w:eastAsia="en-US"/>
              </w:rPr>
            </w:pPr>
            <w:r w:rsidRPr="00FA45E4">
              <w:rPr>
                <w:rFonts w:eastAsia="Calibri"/>
                <w:lang w:eastAsia="en-US"/>
              </w:rPr>
              <w:t>Patient Characteristic</w:t>
            </w:r>
          </w:p>
        </w:tc>
        <w:tc>
          <w:tcPr>
            <w:tcW w:w="1230" w:type="pct"/>
            <w:shd w:val="clear" w:color="auto" w:fill="auto"/>
            <w:vAlign w:val="center"/>
          </w:tcPr>
          <w:p w14:paraId="45DDF773" w14:textId="77777777" w:rsidR="00176195" w:rsidRPr="00FA45E4" w:rsidRDefault="00176195" w:rsidP="00857754">
            <w:pPr>
              <w:pStyle w:val="TableHeading"/>
              <w:jc w:val="center"/>
              <w:rPr>
                <w:rFonts w:eastAsia="Calibri"/>
                <w:lang w:eastAsia="en-US"/>
              </w:rPr>
            </w:pPr>
            <w:r w:rsidRPr="00FA45E4">
              <w:rPr>
                <w:rFonts w:eastAsia="Calibri"/>
                <w:lang w:eastAsia="en-US"/>
              </w:rPr>
              <w:t>Disease Characteristic</w:t>
            </w:r>
          </w:p>
        </w:tc>
      </w:tr>
      <w:tr w:rsidR="00176195" w:rsidRPr="00E3331A" w14:paraId="396E4F15" w14:textId="77777777" w:rsidTr="006A12BE">
        <w:tc>
          <w:tcPr>
            <w:tcW w:w="1019" w:type="pct"/>
            <w:shd w:val="clear" w:color="auto" w:fill="auto"/>
          </w:tcPr>
          <w:p w14:paraId="71F9F63D" w14:textId="77777777" w:rsidR="00176195" w:rsidRPr="00E3331A" w:rsidRDefault="00176195" w:rsidP="00857754">
            <w:pPr>
              <w:pStyle w:val="Tabletext1"/>
              <w:rPr>
                <w:rFonts w:eastAsia="Calibri"/>
                <w:lang w:eastAsia="en-US"/>
              </w:rPr>
            </w:pPr>
            <w:r>
              <w:rPr>
                <w:rFonts w:eastAsia="Calibri"/>
                <w:u w:val="single"/>
                <w:lang w:eastAsia="en-US"/>
              </w:rPr>
              <w:t>IVIg</w:t>
            </w:r>
            <w:r w:rsidRPr="00E3331A">
              <w:rPr>
                <w:rFonts w:eastAsia="Calibri"/>
                <w:u w:val="single"/>
                <w:lang w:eastAsia="en-US"/>
              </w:rPr>
              <w:t xml:space="preserve"> vs Pl</w:t>
            </w:r>
            <w:r>
              <w:rPr>
                <w:rFonts w:eastAsia="Calibri"/>
                <w:u w:val="single"/>
                <w:lang w:eastAsia="en-US"/>
              </w:rPr>
              <w:t>acebo</w:t>
            </w:r>
          </w:p>
          <w:p w14:paraId="1D686A17" w14:textId="5769576C" w:rsidR="00176195" w:rsidRPr="00E3331A" w:rsidRDefault="00176195" w:rsidP="00857754">
            <w:pPr>
              <w:pStyle w:val="Tabletext1"/>
              <w:rPr>
                <w:rFonts w:eastAsia="Calibri"/>
                <w:lang w:eastAsia="en-US"/>
              </w:rPr>
            </w:pPr>
            <w:r>
              <w:rPr>
                <w:rFonts w:eastAsia="Calibri"/>
                <w:lang w:eastAsia="en-US"/>
              </w:rPr>
              <w:t xml:space="preserve">Hahn et al </w:t>
            </w:r>
            <w:r w:rsidR="00B727D6">
              <w:rPr>
                <w:rFonts w:eastAsia="Calibri"/>
                <w:lang w:eastAsia="en-US"/>
              </w:rPr>
              <w:fldChar w:fldCharType="begin">
                <w:fldData xml:space="preserve">PEVuZE5vdGU+PENpdGU+PEF1dGhvcj5IYWhuPC9BdXRob3I+PFllYXI+MTk5NjwvWWVhcj48UmVj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</w:fldData>
              </w:fldChar>
            </w:r>
            <w:r w:rsidR="00B727D6">
              <w:rPr>
                <w:rFonts w:eastAsia="Calibri"/>
                <w:lang w:eastAsia="en-US"/>
              </w:rPr>
              <w:instrText xml:space="preserve"> ADDIN EN.CITE </w:instrText>
            </w:r>
            <w:r w:rsidR="00B727D6">
              <w:rPr>
                <w:rFonts w:eastAsia="Calibri"/>
                <w:lang w:eastAsia="en-US"/>
              </w:rPr>
              <w:fldChar w:fldCharType="begin">
                <w:fldData xml:space="preserve">PEVuZE5vdGU+PENpdGU+PEF1dGhvcj5IYWhuPC9BdXRob3I+PFllYXI+MTk5NjwvWWVhcj48UmVj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</w:fldData>
              </w:fldChar>
            </w:r>
            <w:r w:rsidR="00B727D6">
              <w:rPr>
                <w:rFonts w:eastAsia="Calibri"/>
                <w:lang w:eastAsia="en-US"/>
              </w:rPr>
              <w:instrText xml:space="preserve"> ADDIN EN.CITE.DATA </w:instrText>
            </w:r>
            <w:r w:rsidR="00B727D6">
              <w:rPr>
                <w:rFonts w:eastAsia="Calibri"/>
                <w:lang w:eastAsia="en-US"/>
              </w:rPr>
            </w:r>
            <w:r w:rsidR="00B727D6">
              <w:rPr>
                <w:rFonts w:eastAsia="Calibri"/>
                <w:lang w:eastAsia="en-US"/>
              </w:rPr>
              <w:fldChar w:fldCharType="end"/>
            </w:r>
            <w:r w:rsidR="00B727D6">
              <w:rPr>
                <w:rFonts w:eastAsia="Calibri"/>
                <w:lang w:eastAsia="en-US"/>
              </w:rPr>
            </w:r>
            <w:r w:rsidR="00B727D6">
              <w:rPr>
                <w:rFonts w:eastAsia="Calibri"/>
                <w:lang w:eastAsia="en-US"/>
              </w:rPr>
              <w:fldChar w:fldCharType="separate"/>
            </w:r>
            <w:r w:rsidR="00B727D6">
              <w:rPr>
                <w:rFonts w:eastAsia="Calibri"/>
                <w:noProof/>
                <w:lang w:eastAsia="en-US"/>
              </w:rPr>
              <w:t>(</w:t>
            </w:r>
            <w:hyperlink w:anchor="_ENREF_26" w:tooltip="Hahn, 1996 #383" w:history="1">
              <w:r w:rsidR="00D726F6">
                <w:rPr>
                  <w:rFonts w:eastAsia="Calibri"/>
                  <w:noProof/>
                  <w:lang w:eastAsia="en-US"/>
                </w:rPr>
                <w:t>Hahn, Bolton, Zochodne, et al. 1996</w:t>
              </w:r>
            </w:hyperlink>
            <w:r w:rsidR="00B727D6">
              <w:rPr>
                <w:rFonts w:eastAsia="Calibri"/>
                <w:noProof/>
                <w:lang w:eastAsia="en-US"/>
              </w:rPr>
              <w:t>)</w:t>
            </w:r>
            <w:r w:rsidR="00B727D6">
              <w:rPr>
                <w:rFonts w:eastAsia="Calibri"/>
                <w:lang w:eastAsia="en-US"/>
              </w:rPr>
              <w:fldChar w:fldCharType="end"/>
            </w:r>
          </w:p>
          <w:p w14:paraId="49BAA56F" w14:textId="77777777" w:rsidR="00176195" w:rsidRPr="00E3331A" w:rsidRDefault="00176195" w:rsidP="00857754">
            <w:pPr>
              <w:pStyle w:val="Tabletext1"/>
              <w:rPr>
                <w:rFonts w:eastAsia="Calibri"/>
                <w:lang w:eastAsia="en-US"/>
              </w:rPr>
            </w:pPr>
            <w:r>
              <w:rPr>
                <w:rFonts w:eastAsia="Calibri"/>
                <w:lang w:eastAsia="en-US"/>
              </w:rPr>
              <w:t>Ig</w:t>
            </w:r>
            <w:r w:rsidRPr="00E3331A">
              <w:rPr>
                <w:rFonts w:eastAsia="Calibri"/>
                <w:lang w:eastAsia="en-US"/>
              </w:rPr>
              <w:t xml:space="preserve">: n = 16 </w:t>
            </w:r>
          </w:p>
          <w:p w14:paraId="18696C31" w14:textId="77777777" w:rsidR="00176195" w:rsidRPr="00E3331A" w:rsidRDefault="00176195" w:rsidP="00857754">
            <w:pPr>
              <w:pStyle w:val="Tabletext1"/>
              <w:rPr>
                <w:rFonts w:eastAsia="Calibri"/>
                <w:lang w:eastAsia="en-US"/>
              </w:rPr>
            </w:pPr>
            <w:r>
              <w:rPr>
                <w:rFonts w:eastAsia="Calibri"/>
                <w:lang w:eastAsia="en-US"/>
              </w:rPr>
              <w:t>Placebo</w:t>
            </w:r>
            <w:r w:rsidRPr="00E3331A">
              <w:rPr>
                <w:rFonts w:eastAsia="Calibri"/>
                <w:lang w:eastAsia="en-US"/>
              </w:rPr>
              <w:t>: n = 14</w:t>
            </w:r>
          </w:p>
        </w:tc>
        <w:tc>
          <w:tcPr>
            <w:tcW w:w="1573" w:type="pct"/>
            <w:shd w:val="clear" w:color="auto" w:fill="auto"/>
          </w:tcPr>
          <w:p w14:paraId="1F68579D" w14:textId="77777777" w:rsidR="00176195" w:rsidRPr="00E3331A" w:rsidRDefault="00176195" w:rsidP="00857754">
            <w:pPr>
              <w:pStyle w:val="Tabletext1"/>
              <w:rPr>
                <w:rFonts w:eastAsia="Calibri"/>
                <w:lang w:eastAsia="en-US"/>
              </w:rPr>
            </w:pPr>
            <w:r w:rsidRPr="00E3331A">
              <w:rPr>
                <w:rFonts w:eastAsia="Calibri"/>
                <w:lang w:eastAsia="en-US"/>
              </w:rPr>
              <w:t>Definite or probable CIDP (1991 AAN criteria). Continually progressive disease (&gt;8 weeks) OR static</w:t>
            </w:r>
            <w:r>
              <w:rPr>
                <w:rFonts w:eastAsia="Calibri"/>
                <w:lang w:eastAsia="en-US"/>
              </w:rPr>
              <w:t xml:space="preserve"> or recently progressed disease;</w:t>
            </w:r>
            <w:r w:rsidRPr="00E3331A">
              <w:rPr>
                <w:rFonts w:eastAsia="Calibri"/>
                <w:lang w:eastAsia="en-US"/>
              </w:rPr>
              <w:t xml:space="preserve"> </w:t>
            </w:r>
            <w:r>
              <w:rPr>
                <w:rFonts w:eastAsia="Calibri"/>
                <w:lang w:eastAsia="en-US"/>
              </w:rPr>
              <w:t>m</w:t>
            </w:r>
            <w:r w:rsidRPr="00E3331A">
              <w:rPr>
                <w:rFonts w:eastAsia="Calibri"/>
                <w:lang w:eastAsia="en-US"/>
              </w:rPr>
              <w:t>uscle weakness interf</w:t>
            </w:r>
            <w:r>
              <w:rPr>
                <w:rFonts w:eastAsia="Calibri"/>
                <w:lang w:eastAsia="en-US"/>
              </w:rPr>
              <w:t>eres with ambulation (NDS ≥ 40); p</w:t>
            </w:r>
            <w:r w:rsidRPr="00F0573D">
              <w:rPr>
                <w:rFonts w:eastAsia="Calibri"/>
                <w:lang w:eastAsia="en-US"/>
              </w:rPr>
              <w:t>atients with pre</w:t>
            </w:r>
            <w:r>
              <w:rPr>
                <w:rFonts w:eastAsia="Calibri"/>
                <w:lang w:eastAsia="en-US"/>
              </w:rPr>
              <w:t>vious exposure to IVIg excluded</w:t>
            </w:r>
            <w:r w:rsidRPr="00E3331A">
              <w:rPr>
                <w:rFonts w:eastAsia="Calibri"/>
                <w:lang w:eastAsia="en-US"/>
              </w:rPr>
              <w:t>.</w:t>
            </w:r>
          </w:p>
        </w:tc>
        <w:tc>
          <w:tcPr>
            <w:tcW w:w="1178" w:type="pct"/>
            <w:shd w:val="clear" w:color="auto" w:fill="auto"/>
          </w:tcPr>
          <w:p w14:paraId="00F5E447" w14:textId="77777777" w:rsidR="00176195" w:rsidRDefault="00176195" w:rsidP="00857754">
            <w:pPr>
              <w:pStyle w:val="Tabletext1"/>
              <w:rPr>
                <w:rFonts w:eastAsia="Calibri"/>
                <w:lang w:eastAsia="en-US"/>
              </w:rPr>
            </w:pPr>
            <w:r>
              <w:rPr>
                <w:rFonts w:eastAsia="Calibri"/>
                <w:lang w:eastAsia="en-US"/>
              </w:rPr>
              <w:t>Mean a</w:t>
            </w:r>
            <w:r w:rsidRPr="00E3331A">
              <w:rPr>
                <w:rFonts w:eastAsia="Calibri"/>
                <w:lang w:eastAsia="en-US"/>
              </w:rPr>
              <w:t>ge</w:t>
            </w:r>
            <w:r>
              <w:rPr>
                <w:rFonts w:eastAsia="Calibri"/>
                <w:lang w:eastAsia="en-US"/>
              </w:rPr>
              <w:t xml:space="preserve"> (range)</w:t>
            </w:r>
            <w:r w:rsidRPr="00E3331A">
              <w:rPr>
                <w:rFonts w:eastAsia="Calibri"/>
                <w:lang w:eastAsia="en-US"/>
              </w:rPr>
              <w:t>:</w:t>
            </w:r>
          </w:p>
          <w:p w14:paraId="74431AC8" w14:textId="77777777" w:rsidR="00176195" w:rsidRPr="00E3331A" w:rsidRDefault="00176195" w:rsidP="00857754">
            <w:pPr>
              <w:pStyle w:val="Tabletext1"/>
              <w:rPr>
                <w:rFonts w:eastAsia="Calibri"/>
                <w:lang w:eastAsia="en-US"/>
              </w:rPr>
            </w:pPr>
            <w:r>
              <w:rPr>
                <w:rFonts w:eastAsia="Calibri"/>
                <w:lang w:eastAsia="en-US"/>
              </w:rPr>
              <w:t xml:space="preserve">     </w:t>
            </w:r>
            <w:r w:rsidRPr="00E3331A">
              <w:rPr>
                <w:rFonts w:eastAsia="Calibri"/>
                <w:lang w:eastAsia="en-US"/>
              </w:rPr>
              <w:t>52</w:t>
            </w:r>
            <w:r>
              <w:rPr>
                <w:rFonts w:eastAsia="Calibri"/>
                <w:lang w:eastAsia="en-US"/>
              </w:rPr>
              <w:t> (9–</w:t>
            </w:r>
            <w:r w:rsidRPr="00E3331A">
              <w:rPr>
                <w:rFonts w:eastAsia="Calibri"/>
                <w:lang w:eastAsia="en-US"/>
              </w:rPr>
              <w:t>79)</w:t>
            </w:r>
          </w:p>
          <w:p w14:paraId="4D676431" w14:textId="77777777" w:rsidR="00176195" w:rsidRPr="00E3331A" w:rsidRDefault="00176195" w:rsidP="00857754">
            <w:pPr>
              <w:pStyle w:val="Tabletext1"/>
              <w:rPr>
                <w:rFonts w:eastAsia="Calibri"/>
                <w:lang w:eastAsia="en-US"/>
              </w:rPr>
            </w:pPr>
            <w:r w:rsidRPr="00E3331A">
              <w:rPr>
                <w:rFonts w:eastAsia="Calibri"/>
                <w:lang w:eastAsia="en-US"/>
              </w:rPr>
              <w:t>% male: 37</w:t>
            </w:r>
          </w:p>
        </w:tc>
        <w:tc>
          <w:tcPr>
            <w:tcW w:w="1230" w:type="pct"/>
            <w:shd w:val="clear" w:color="auto" w:fill="auto"/>
          </w:tcPr>
          <w:p w14:paraId="127B82A5" w14:textId="77777777" w:rsidR="00176195" w:rsidRPr="00B77215" w:rsidRDefault="00176195" w:rsidP="00857754">
            <w:pPr>
              <w:pStyle w:val="Tabletext1"/>
              <w:rPr>
                <w:rFonts w:eastAsia="Calibri"/>
                <w:u w:val="single"/>
                <w:lang w:eastAsia="en-US"/>
              </w:rPr>
            </w:pPr>
            <w:r w:rsidRPr="00B77215">
              <w:rPr>
                <w:rFonts w:eastAsia="Calibri"/>
                <w:u w:val="single"/>
                <w:lang w:eastAsia="en-US"/>
              </w:rPr>
              <w:t>NDS</w:t>
            </w:r>
          </w:p>
          <w:p w14:paraId="274FBB6D" w14:textId="77777777" w:rsidR="00176195" w:rsidRPr="00B77215" w:rsidRDefault="00176195" w:rsidP="00857754">
            <w:pPr>
              <w:pStyle w:val="Tabletext1"/>
              <w:rPr>
                <w:rFonts w:eastAsia="Calibri"/>
                <w:lang w:eastAsia="en-US"/>
              </w:rPr>
            </w:pPr>
            <w:r w:rsidRPr="00B77215">
              <w:rPr>
                <w:rFonts w:eastAsia="Calibri"/>
                <w:lang w:eastAsia="en-US"/>
              </w:rPr>
              <w:t>I</w:t>
            </w:r>
            <w:r>
              <w:rPr>
                <w:rFonts w:eastAsia="Calibri"/>
                <w:lang w:eastAsia="en-US"/>
              </w:rPr>
              <w:t>VI</w:t>
            </w:r>
            <w:r w:rsidRPr="00B77215">
              <w:rPr>
                <w:rFonts w:eastAsia="Calibri"/>
                <w:lang w:eastAsia="en-US"/>
              </w:rPr>
              <w:t>g: 78.3 ± 27.5</w:t>
            </w:r>
          </w:p>
          <w:p w14:paraId="38D60304" w14:textId="77777777" w:rsidR="00176195" w:rsidRPr="00B77215" w:rsidRDefault="00176195" w:rsidP="00857754">
            <w:pPr>
              <w:pStyle w:val="Tabletext1"/>
              <w:rPr>
                <w:rFonts w:eastAsia="Calibri"/>
                <w:lang w:eastAsia="en-US"/>
              </w:rPr>
            </w:pPr>
            <w:r w:rsidRPr="00B77215">
              <w:rPr>
                <w:rFonts w:eastAsia="Calibri"/>
                <w:lang w:eastAsia="en-US"/>
              </w:rPr>
              <w:t xml:space="preserve">Placebo: 76.6 </w:t>
            </w:r>
            <w:r w:rsidRPr="00B77215">
              <w:rPr>
                <w:rFonts w:ascii="Calibri" w:eastAsia="Calibri" w:hAnsi="Calibri"/>
                <w:lang w:eastAsia="en-US"/>
              </w:rPr>
              <w:t>±</w:t>
            </w:r>
            <w:r w:rsidRPr="00B77215">
              <w:rPr>
                <w:rFonts w:eastAsia="Calibri"/>
                <w:lang w:eastAsia="en-US"/>
              </w:rPr>
              <w:t xml:space="preserve"> 27.7</w:t>
            </w:r>
          </w:p>
          <w:p w14:paraId="053E6FB2" w14:textId="77777777" w:rsidR="00176195" w:rsidRPr="00B77215" w:rsidRDefault="00176195" w:rsidP="00857754">
            <w:pPr>
              <w:pStyle w:val="Tabletext1"/>
              <w:rPr>
                <w:rFonts w:eastAsia="Calibri"/>
                <w:u w:val="single"/>
                <w:lang w:eastAsia="en-US"/>
              </w:rPr>
            </w:pPr>
            <w:r w:rsidRPr="00B77215">
              <w:rPr>
                <w:rFonts w:eastAsia="Calibri"/>
                <w:u w:val="single"/>
                <w:lang w:eastAsia="en-US"/>
              </w:rPr>
              <w:t>Clinical grade</w:t>
            </w:r>
          </w:p>
          <w:p w14:paraId="474FBED4" w14:textId="77777777" w:rsidR="00176195" w:rsidRDefault="00176195" w:rsidP="00857754">
            <w:pPr>
              <w:pStyle w:val="Tabletext1"/>
              <w:rPr>
                <w:rFonts w:eastAsia="Calibri"/>
                <w:lang w:eastAsia="en-US"/>
              </w:rPr>
            </w:pPr>
            <w:r w:rsidRPr="00B77215">
              <w:rPr>
                <w:rFonts w:eastAsia="Calibri"/>
                <w:lang w:eastAsia="en-US"/>
              </w:rPr>
              <w:t>I</w:t>
            </w:r>
            <w:r>
              <w:rPr>
                <w:rFonts w:eastAsia="Calibri"/>
                <w:lang w:eastAsia="en-US"/>
              </w:rPr>
              <w:t>VIg: 4.6 ± 1.9</w:t>
            </w:r>
          </w:p>
          <w:p w14:paraId="5958A993" w14:textId="77777777" w:rsidR="00176195" w:rsidRPr="000B7892" w:rsidRDefault="00176195" w:rsidP="00857754">
            <w:pPr>
              <w:pStyle w:val="Tabletext1"/>
              <w:rPr>
                <w:highlight w:val="yellow"/>
              </w:rPr>
            </w:pPr>
            <w:r>
              <w:rPr>
                <w:rFonts w:eastAsia="Calibri"/>
                <w:lang w:eastAsia="en-US"/>
              </w:rPr>
              <w:t>Placebo</w:t>
            </w:r>
            <w:r w:rsidRPr="00B77215">
              <w:rPr>
                <w:rFonts w:eastAsia="Calibri"/>
                <w:lang w:eastAsia="en-US"/>
              </w:rPr>
              <w:t>: 4.2 ± 1.9</w:t>
            </w:r>
          </w:p>
        </w:tc>
      </w:tr>
      <w:tr w:rsidR="00176195" w:rsidRPr="00E3331A" w14:paraId="4A693674" w14:textId="77777777" w:rsidTr="006A12BE">
        <w:tc>
          <w:tcPr>
            <w:tcW w:w="1019" w:type="pct"/>
            <w:shd w:val="clear" w:color="auto" w:fill="auto"/>
          </w:tcPr>
          <w:p w14:paraId="57DCBAEF" w14:textId="77777777" w:rsidR="00176195" w:rsidRPr="00E3331A" w:rsidRDefault="00176195" w:rsidP="00857754">
            <w:pPr>
              <w:pStyle w:val="Tabletext1"/>
              <w:rPr>
                <w:rFonts w:eastAsia="Calibri"/>
                <w:u w:val="single"/>
                <w:lang w:eastAsia="en-US"/>
              </w:rPr>
            </w:pPr>
            <w:r w:rsidRPr="00E3331A">
              <w:rPr>
                <w:rFonts w:eastAsia="Calibri"/>
                <w:u w:val="single"/>
                <w:lang w:eastAsia="en-US"/>
              </w:rPr>
              <w:t>I</w:t>
            </w:r>
            <w:r>
              <w:rPr>
                <w:rFonts w:eastAsia="Calibri"/>
                <w:u w:val="single"/>
                <w:lang w:eastAsia="en-US"/>
              </w:rPr>
              <w:t>VI</w:t>
            </w:r>
            <w:r w:rsidRPr="00E3331A">
              <w:rPr>
                <w:rFonts w:eastAsia="Calibri"/>
                <w:u w:val="single"/>
                <w:lang w:eastAsia="en-US"/>
              </w:rPr>
              <w:t>g vs Pl</w:t>
            </w:r>
            <w:r>
              <w:rPr>
                <w:rFonts w:eastAsia="Calibri"/>
                <w:u w:val="single"/>
                <w:lang w:eastAsia="en-US"/>
              </w:rPr>
              <w:t>acebo</w:t>
            </w:r>
          </w:p>
          <w:p w14:paraId="49FC48A7" w14:textId="7F4BB5AE" w:rsidR="00176195" w:rsidRDefault="00176195" w:rsidP="00857754">
            <w:pPr>
              <w:pStyle w:val="Tabletext1"/>
              <w:rPr>
                <w:rFonts w:eastAsia="Calibri"/>
                <w:lang w:eastAsia="en-US"/>
              </w:rPr>
            </w:pPr>
            <w:r>
              <w:rPr>
                <w:rFonts w:eastAsia="Calibri"/>
                <w:lang w:eastAsia="en-US"/>
              </w:rPr>
              <w:t xml:space="preserve">ICE Study </w:t>
            </w:r>
            <w:r w:rsidR="00B727D6">
              <w:rPr>
                <w:rFonts w:eastAsia="Calibri"/>
                <w:lang w:eastAsia="en-US"/>
              </w:rPr>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rPr>
                <w:rFonts w:eastAsia="Calibri"/>
                <w:lang w:eastAsia="en-US"/>
              </w:rPr>
              <w:instrText xml:space="preserve"> ADDIN EN.CITE </w:instrText>
            </w:r>
            <w:r w:rsidR="00B727D6">
              <w:rPr>
                <w:rFonts w:eastAsia="Calibri"/>
                <w:lang w:eastAsia="en-US"/>
              </w:rPr>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rPr>
                <w:rFonts w:eastAsia="Calibri"/>
                <w:lang w:eastAsia="en-US"/>
              </w:rPr>
              <w:instrText xml:space="preserve"> ADDIN EN.CITE.DATA </w:instrText>
            </w:r>
            <w:r w:rsidR="00B727D6">
              <w:rPr>
                <w:rFonts w:eastAsia="Calibri"/>
                <w:lang w:eastAsia="en-US"/>
              </w:rPr>
            </w:r>
            <w:r w:rsidR="00B727D6">
              <w:rPr>
                <w:rFonts w:eastAsia="Calibri"/>
                <w:lang w:eastAsia="en-US"/>
              </w:rPr>
              <w:fldChar w:fldCharType="end"/>
            </w:r>
            <w:r w:rsidR="00B727D6">
              <w:rPr>
                <w:rFonts w:eastAsia="Calibri"/>
                <w:lang w:eastAsia="en-US"/>
              </w:rPr>
            </w:r>
            <w:r w:rsidR="00B727D6">
              <w:rPr>
                <w:rFonts w:eastAsia="Calibri"/>
                <w:lang w:eastAsia="en-US"/>
              </w:rPr>
              <w:fldChar w:fldCharType="separate"/>
            </w:r>
            <w:r w:rsidR="00B727D6">
              <w:rPr>
                <w:rFonts w:eastAsia="Calibri"/>
                <w:noProof/>
                <w:lang w:eastAsia="en-US"/>
              </w:rPr>
              <w:t>(</w:t>
            </w:r>
            <w:hyperlink w:anchor="_ENREF_28" w:tooltip="Hughes, 2008 #1205" w:history="1">
              <w:r w:rsidR="00D726F6">
                <w:rPr>
                  <w:rFonts w:eastAsia="Calibri"/>
                  <w:noProof/>
                  <w:lang w:eastAsia="en-US"/>
                </w:rPr>
                <w:t>Hughes et al. 2008</w:t>
              </w:r>
            </w:hyperlink>
            <w:r w:rsidR="00B727D6">
              <w:rPr>
                <w:rFonts w:eastAsia="Calibri"/>
                <w:noProof/>
                <w:lang w:eastAsia="en-US"/>
              </w:rPr>
              <w:t>)</w:t>
            </w:r>
            <w:r w:rsidR="00B727D6">
              <w:rPr>
                <w:rFonts w:eastAsia="Calibri"/>
                <w:lang w:eastAsia="en-US"/>
              </w:rPr>
              <w:fldChar w:fldCharType="end"/>
            </w:r>
          </w:p>
          <w:p w14:paraId="6E7C02BC" w14:textId="77777777" w:rsidR="00176195" w:rsidRPr="00E3331A" w:rsidRDefault="00176195" w:rsidP="00857754">
            <w:pPr>
              <w:pStyle w:val="Tabletext1"/>
              <w:rPr>
                <w:rFonts w:eastAsia="Calibri"/>
                <w:lang w:eastAsia="en-US"/>
              </w:rPr>
            </w:pPr>
            <w:r w:rsidRPr="00E3331A">
              <w:rPr>
                <w:rFonts w:eastAsia="Calibri"/>
                <w:lang w:eastAsia="en-US"/>
              </w:rPr>
              <w:t>I</w:t>
            </w:r>
            <w:r>
              <w:rPr>
                <w:rFonts w:eastAsia="Calibri"/>
                <w:lang w:eastAsia="en-US"/>
              </w:rPr>
              <w:t>g</w:t>
            </w:r>
            <w:r w:rsidRPr="00E3331A">
              <w:rPr>
                <w:rFonts w:eastAsia="Calibri"/>
                <w:lang w:eastAsia="en-US"/>
              </w:rPr>
              <w:t>: n = 59</w:t>
            </w:r>
          </w:p>
          <w:p w14:paraId="2681DEDC" w14:textId="77777777" w:rsidR="00176195" w:rsidRPr="00E3331A" w:rsidRDefault="00176195" w:rsidP="00857754">
            <w:pPr>
              <w:pStyle w:val="Tabletext1"/>
              <w:rPr>
                <w:rFonts w:eastAsia="Calibri"/>
                <w:lang w:eastAsia="en-US"/>
              </w:rPr>
            </w:pPr>
            <w:r>
              <w:rPr>
                <w:rFonts w:eastAsia="Calibri"/>
                <w:lang w:eastAsia="en-US"/>
              </w:rPr>
              <w:t>Placebo</w:t>
            </w:r>
            <w:r w:rsidRPr="00E3331A">
              <w:rPr>
                <w:rFonts w:eastAsia="Calibri"/>
                <w:lang w:eastAsia="en-US"/>
              </w:rPr>
              <w:t>: n = 58</w:t>
            </w:r>
          </w:p>
        </w:tc>
        <w:tc>
          <w:tcPr>
            <w:tcW w:w="1573" w:type="pct"/>
            <w:shd w:val="clear" w:color="auto" w:fill="auto"/>
          </w:tcPr>
          <w:p w14:paraId="5F4F5B70" w14:textId="77777777" w:rsidR="00176195" w:rsidRPr="00E3331A" w:rsidRDefault="00176195" w:rsidP="00857754">
            <w:pPr>
              <w:pStyle w:val="Tabletext1"/>
              <w:rPr>
                <w:rFonts w:eastAsia="Calibri"/>
                <w:lang w:eastAsia="en-US"/>
              </w:rPr>
            </w:pPr>
            <w:r>
              <w:rPr>
                <w:rFonts w:eastAsia="Calibri"/>
                <w:lang w:eastAsia="en-US"/>
              </w:rPr>
              <w:t>P</w:t>
            </w:r>
            <w:r w:rsidRPr="00E3331A">
              <w:rPr>
                <w:rFonts w:eastAsia="Calibri"/>
                <w:lang w:eastAsia="en-US"/>
              </w:rPr>
              <w:t>atients</w:t>
            </w:r>
            <w:r>
              <w:rPr>
                <w:rFonts w:eastAsia="Calibri"/>
                <w:lang w:eastAsia="en-US"/>
              </w:rPr>
              <w:t xml:space="preserve"> ≥18 years of age</w:t>
            </w:r>
            <w:r w:rsidRPr="00E3331A">
              <w:rPr>
                <w:rFonts w:eastAsia="Calibri"/>
                <w:lang w:eastAsia="en-US"/>
              </w:rPr>
              <w:t xml:space="preserve"> diagnosed </w:t>
            </w:r>
            <w:r>
              <w:rPr>
                <w:rFonts w:eastAsia="Calibri"/>
                <w:lang w:eastAsia="en-US"/>
              </w:rPr>
              <w:t xml:space="preserve">with </w:t>
            </w:r>
            <w:r w:rsidRPr="00E3331A">
              <w:rPr>
                <w:rFonts w:eastAsia="Calibri"/>
                <w:lang w:eastAsia="en-US"/>
              </w:rPr>
              <w:t xml:space="preserve">CIDP (motor and sensory dysfunction) </w:t>
            </w:r>
            <w:r>
              <w:rPr>
                <w:rFonts w:eastAsia="Calibri"/>
                <w:lang w:eastAsia="en-US"/>
              </w:rPr>
              <w:t>and</w:t>
            </w:r>
            <w:r w:rsidRPr="00E3331A">
              <w:rPr>
                <w:rFonts w:eastAsia="Calibri"/>
                <w:lang w:eastAsia="en-US"/>
              </w:rPr>
              <w:t xml:space="preserve"> significant disability (INCAT 2-9)</w:t>
            </w:r>
            <w:r>
              <w:rPr>
                <w:rFonts w:eastAsia="Calibri"/>
                <w:lang w:eastAsia="en-US"/>
              </w:rPr>
              <w:t>; n</w:t>
            </w:r>
            <w:r w:rsidRPr="00610636">
              <w:rPr>
                <w:rFonts w:eastAsia="Calibri"/>
                <w:lang w:eastAsia="en-US"/>
              </w:rPr>
              <w:t>o steroids, IVIg or plasma exchange in previous 3 mo</w:t>
            </w:r>
            <w:r>
              <w:rPr>
                <w:rFonts w:eastAsia="Calibri"/>
                <w:lang w:eastAsia="en-US"/>
              </w:rPr>
              <w:t>nths</w:t>
            </w:r>
            <w:r w:rsidRPr="00610636">
              <w:rPr>
                <w:rFonts w:eastAsia="Calibri"/>
                <w:lang w:eastAsia="en-US"/>
              </w:rPr>
              <w:t>; no immunomodulatory or immunosuppressive agents in previous 6 mo</w:t>
            </w:r>
            <w:r>
              <w:rPr>
                <w:rFonts w:eastAsia="Calibri"/>
                <w:lang w:eastAsia="en-US"/>
              </w:rPr>
              <w:t>nths</w:t>
            </w:r>
            <w:r w:rsidRPr="00E3331A">
              <w:rPr>
                <w:rFonts w:eastAsia="Calibri"/>
                <w:lang w:eastAsia="en-US"/>
              </w:rPr>
              <w:t>.</w:t>
            </w:r>
          </w:p>
        </w:tc>
        <w:tc>
          <w:tcPr>
            <w:tcW w:w="1178" w:type="pct"/>
            <w:shd w:val="clear" w:color="auto" w:fill="auto"/>
          </w:tcPr>
          <w:p w14:paraId="0273B667" w14:textId="77777777" w:rsidR="00176195" w:rsidRDefault="00176195" w:rsidP="00857754">
            <w:pPr>
              <w:pStyle w:val="Tabletext1"/>
              <w:rPr>
                <w:rFonts w:eastAsia="Calibri"/>
                <w:lang w:eastAsia="en-US"/>
              </w:rPr>
            </w:pPr>
            <w:r>
              <w:rPr>
                <w:rFonts w:eastAsia="Calibri"/>
                <w:lang w:eastAsia="en-US"/>
              </w:rPr>
              <w:t>Mean age (sd):</w:t>
            </w:r>
          </w:p>
          <w:p w14:paraId="2C29314F" w14:textId="77777777" w:rsidR="00176195" w:rsidRDefault="00176195" w:rsidP="00857754">
            <w:pPr>
              <w:pStyle w:val="Tabletext1"/>
              <w:rPr>
                <w:rFonts w:eastAsia="Calibri"/>
                <w:lang w:eastAsia="en-US"/>
              </w:rPr>
            </w:pPr>
            <w:r>
              <w:rPr>
                <w:rFonts w:eastAsia="Calibri"/>
                <w:lang w:eastAsia="en-US"/>
              </w:rPr>
              <w:t xml:space="preserve">     IVIg: 50 (17)</w:t>
            </w:r>
          </w:p>
          <w:p w14:paraId="43557DC4" w14:textId="77777777" w:rsidR="00176195" w:rsidRDefault="00176195" w:rsidP="00857754">
            <w:pPr>
              <w:pStyle w:val="Tabletext1"/>
              <w:rPr>
                <w:rFonts w:eastAsia="Calibri"/>
                <w:lang w:eastAsia="en-US"/>
              </w:rPr>
            </w:pPr>
            <w:r>
              <w:rPr>
                <w:rFonts w:eastAsia="Calibri"/>
                <w:lang w:eastAsia="en-US"/>
              </w:rPr>
              <w:t xml:space="preserve">     Placebo: 53 (16)</w:t>
            </w:r>
          </w:p>
          <w:p w14:paraId="41C69F6B" w14:textId="77777777" w:rsidR="00176195" w:rsidRDefault="00176195" w:rsidP="00857754">
            <w:pPr>
              <w:pStyle w:val="Tabletext1"/>
              <w:rPr>
                <w:rFonts w:eastAsia="Calibri"/>
                <w:lang w:eastAsia="en-US"/>
              </w:rPr>
            </w:pPr>
            <w:r>
              <w:rPr>
                <w:rFonts w:eastAsia="Calibri"/>
                <w:lang w:eastAsia="en-US"/>
              </w:rPr>
              <w:t>% male</w:t>
            </w:r>
          </w:p>
          <w:p w14:paraId="7BDEB631" w14:textId="77777777" w:rsidR="00176195" w:rsidRDefault="00176195" w:rsidP="00857754">
            <w:pPr>
              <w:pStyle w:val="Tabletext1"/>
              <w:rPr>
                <w:rFonts w:eastAsia="Calibri"/>
                <w:lang w:eastAsia="en-US"/>
              </w:rPr>
            </w:pPr>
            <w:r>
              <w:rPr>
                <w:rFonts w:eastAsia="Calibri"/>
                <w:lang w:eastAsia="en-US"/>
              </w:rPr>
              <w:t xml:space="preserve">     IVIg: 53</w:t>
            </w:r>
          </w:p>
          <w:p w14:paraId="2A006C57" w14:textId="77777777" w:rsidR="00176195" w:rsidRPr="00E3331A" w:rsidRDefault="00176195" w:rsidP="00857754">
            <w:pPr>
              <w:pStyle w:val="Tabletext1"/>
              <w:rPr>
                <w:rFonts w:eastAsia="Calibri"/>
                <w:lang w:eastAsia="en-US"/>
              </w:rPr>
            </w:pPr>
            <w:r>
              <w:rPr>
                <w:rFonts w:eastAsia="Calibri"/>
                <w:lang w:eastAsia="en-US"/>
              </w:rPr>
              <w:t xml:space="preserve">     Placebo: 79</w:t>
            </w:r>
          </w:p>
        </w:tc>
        <w:tc>
          <w:tcPr>
            <w:tcW w:w="1230" w:type="pct"/>
            <w:shd w:val="clear" w:color="auto" w:fill="auto"/>
          </w:tcPr>
          <w:p w14:paraId="6D4906DE" w14:textId="77777777" w:rsidR="00176195" w:rsidRPr="009D2649" w:rsidRDefault="00176195" w:rsidP="00857754">
            <w:pPr>
              <w:pStyle w:val="Tabletext1"/>
              <w:rPr>
                <w:rFonts w:eastAsia="Calibri"/>
                <w:u w:val="single"/>
                <w:lang w:eastAsia="en-US"/>
              </w:rPr>
            </w:pPr>
            <w:r w:rsidRPr="009D2649">
              <w:rPr>
                <w:rFonts w:eastAsia="Calibri"/>
                <w:u w:val="single"/>
                <w:lang w:eastAsia="en-US"/>
              </w:rPr>
              <w:t xml:space="preserve">INCAT </w:t>
            </w:r>
            <w:r>
              <w:rPr>
                <w:rFonts w:eastAsia="Calibri"/>
                <w:u w:val="single"/>
                <w:lang w:eastAsia="en-US"/>
              </w:rPr>
              <w:t xml:space="preserve">disability </w:t>
            </w:r>
            <w:r w:rsidRPr="009D2649">
              <w:rPr>
                <w:rFonts w:eastAsia="Calibri"/>
                <w:u w:val="single"/>
                <w:lang w:eastAsia="en-US"/>
              </w:rPr>
              <w:t>score</w:t>
            </w:r>
          </w:p>
          <w:p w14:paraId="25995482" w14:textId="77777777" w:rsidR="00176195" w:rsidRPr="009D2649" w:rsidRDefault="00176195" w:rsidP="00857754">
            <w:pPr>
              <w:pStyle w:val="Tabletext1"/>
              <w:rPr>
                <w:rFonts w:eastAsia="Calibri"/>
                <w:lang w:eastAsia="en-US"/>
              </w:rPr>
            </w:pPr>
            <w:r w:rsidRPr="009D2649">
              <w:rPr>
                <w:rFonts w:eastAsia="Calibri"/>
                <w:lang w:eastAsia="en-US"/>
              </w:rPr>
              <w:t>I</w:t>
            </w:r>
            <w:r>
              <w:rPr>
                <w:rFonts w:eastAsia="Calibri"/>
                <w:lang w:eastAsia="en-US"/>
              </w:rPr>
              <w:t>VI</w:t>
            </w:r>
            <w:r w:rsidRPr="009D2649">
              <w:rPr>
                <w:rFonts w:eastAsia="Calibri"/>
                <w:lang w:eastAsia="en-US"/>
              </w:rPr>
              <w:t xml:space="preserve">g: </w:t>
            </w:r>
            <w:r>
              <w:rPr>
                <w:rFonts w:eastAsia="Calibri"/>
                <w:lang w:eastAsia="en-US"/>
              </w:rPr>
              <w:t>4.2 ± 1.4</w:t>
            </w:r>
          </w:p>
          <w:p w14:paraId="064BBB66" w14:textId="77777777" w:rsidR="00176195" w:rsidRPr="009D2649" w:rsidRDefault="00176195" w:rsidP="00857754">
            <w:pPr>
              <w:pStyle w:val="Tabletext1"/>
              <w:rPr>
                <w:rFonts w:eastAsia="Calibri"/>
                <w:lang w:eastAsia="en-US"/>
              </w:rPr>
            </w:pPr>
            <w:r w:rsidRPr="009D2649">
              <w:rPr>
                <w:rFonts w:eastAsia="Calibri"/>
                <w:lang w:eastAsia="en-US"/>
              </w:rPr>
              <w:t xml:space="preserve">Placebo: </w:t>
            </w:r>
            <w:r>
              <w:rPr>
                <w:rFonts w:eastAsia="Calibri"/>
                <w:lang w:eastAsia="en-US"/>
              </w:rPr>
              <w:t>4.1 </w:t>
            </w:r>
            <w:r w:rsidRPr="009D2649">
              <w:rPr>
                <w:rFonts w:ascii="Calibri" w:eastAsia="Calibri" w:hAnsi="Calibri"/>
                <w:lang w:eastAsia="en-US"/>
              </w:rPr>
              <w:t>±</w:t>
            </w:r>
            <w:r>
              <w:rPr>
                <w:rFonts w:ascii="Calibri" w:eastAsia="Calibri" w:hAnsi="Calibri"/>
                <w:lang w:eastAsia="en-US"/>
              </w:rPr>
              <w:t> 1.5</w:t>
            </w:r>
          </w:p>
          <w:p w14:paraId="2260E610" w14:textId="77777777" w:rsidR="00176195" w:rsidRPr="009D2649" w:rsidRDefault="00176195" w:rsidP="00857754">
            <w:pPr>
              <w:pStyle w:val="Tabletext1"/>
              <w:rPr>
                <w:rFonts w:eastAsia="Calibri"/>
                <w:u w:val="single"/>
                <w:lang w:eastAsia="en-US"/>
              </w:rPr>
            </w:pPr>
            <w:r>
              <w:rPr>
                <w:rFonts w:eastAsia="Calibri"/>
                <w:u w:val="single"/>
                <w:lang w:eastAsia="en-US"/>
              </w:rPr>
              <w:t>MRC sum score</w:t>
            </w:r>
          </w:p>
          <w:p w14:paraId="7A66BB84" w14:textId="77777777" w:rsidR="00176195" w:rsidRDefault="00176195" w:rsidP="00857754">
            <w:pPr>
              <w:pStyle w:val="Tabletext1"/>
              <w:rPr>
                <w:rFonts w:eastAsia="Calibri"/>
                <w:lang w:eastAsia="en-US"/>
              </w:rPr>
            </w:pPr>
            <w:r w:rsidRPr="009D2649">
              <w:rPr>
                <w:rFonts w:eastAsia="Calibri"/>
                <w:lang w:eastAsia="en-US"/>
              </w:rPr>
              <w:t>I</w:t>
            </w:r>
            <w:r>
              <w:rPr>
                <w:rFonts w:eastAsia="Calibri"/>
                <w:lang w:eastAsia="en-US"/>
              </w:rPr>
              <w:t>VIg: 4.6 ± 1.9</w:t>
            </w:r>
          </w:p>
          <w:p w14:paraId="5234B0A3" w14:textId="77777777" w:rsidR="00176195" w:rsidRPr="000B7892" w:rsidRDefault="00176195" w:rsidP="00857754">
            <w:pPr>
              <w:pStyle w:val="Tabletext1"/>
              <w:rPr>
                <w:rFonts w:eastAsia="Calibri"/>
                <w:highlight w:val="yellow"/>
                <w:lang w:eastAsia="en-US"/>
              </w:rPr>
            </w:pPr>
            <w:r>
              <w:rPr>
                <w:rFonts w:eastAsia="Calibri"/>
                <w:lang w:eastAsia="en-US"/>
              </w:rPr>
              <w:t>Placebo:</w:t>
            </w:r>
            <w:r w:rsidRPr="009D2649">
              <w:rPr>
                <w:rFonts w:eastAsia="Calibri"/>
                <w:lang w:eastAsia="en-US"/>
              </w:rPr>
              <w:t>: 4.2 ± 1.9</w:t>
            </w:r>
          </w:p>
        </w:tc>
      </w:tr>
      <w:tr w:rsidR="00176195" w:rsidRPr="00E3331A" w14:paraId="6C632D78" w14:textId="77777777" w:rsidTr="006A12BE">
        <w:tc>
          <w:tcPr>
            <w:tcW w:w="1019" w:type="pct"/>
            <w:shd w:val="clear" w:color="auto" w:fill="auto"/>
          </w:tcPr>
          <w:p w14:paraId="415AE6CB" w14:textId="77777777" w:rsidR="00176195" w:rsidRPr="00E3331A" w:rsidRDefault="00176195" w:rsidP="00857754">
            <w:pPr>
              <w:pStyle w:val="Tabletext1"/>
              <w:rPr>
                <w:rFonts w:eastAsia="Calibri"/>
                <w:u w:val="single"/>
                <w:lang w:eastAsia="en-US"/>
              </w:rPr>
            </w:pPr>
            <w:r w:rsidRPr="00E3331A">
              <w:rPr>
                <w:rFonts w:eastAsia="Calibri"/>
                <w:u w:val="single"/>
                <w:lang w:eastAsia="en-US"/>
              </w:rPr>
              <w:t>I</w:t>
            </w:r>
            <w:r>
              <w:rPr>
                <w:rFonts w:eastAsia="Calibri"/>
                <w:u w:val="single"/>
                <w:lang w:eastAsia="en-US"/>
              </w:rPr>
              <w:t>VI</w:t>
            </w:r>
            <w:r w:rsidRPr="00E3331A">
              <w:rPr>
                <w:rFonts w:eastAsia="Calibri"/>
                <w:u w:val="single"/>
                <w:lang w:eastAsia="en-US"/>
              </w:rPr>
              <w:t xml:space="preserve">g vs </w:t>
            </w:r>
            <w:r>
              <w:rPr>
                <w:rFonts w:eastAsia="Calibri"/>
                <w:u w:val="single"/>
                <w:lang w:eastAsia="en-US"/>
              </w:rPr>
              <w:t>Steroids</w:t>
            </w:r>
          </w:p>
          <w:p w14:paraId="5754CDBD" w14:textId="1685C02F" w:rsidR="00176195" w:rsidRPr="00E3331A" w:rsidRDefault="00176195" w:rsidP="00857754">
            <w:pPr>
              <w:pStyle w:val="Tabletext1"/>
              <w:rPr>
                <w:rFonts w:eastAsia="Calibri"/>
                <w:lang w:eastAsia="en-US"/>
              </w:rPr>
            </w:pPr>
            <w:r>
              <w:rPr>
                <w:rFonts w:eastAsia="Calibri"/>
                <w:lang w:eastAsia="en-US"/>
              </w:rPr>
              <w:t xml:space="preserve">Nobile-Orazio et al </w:t>
            </w:r>
            <w:r w:rsidR="00B727D6">
              <w:rPr>
                <w:rFonts w:eastAsia="Calibri"/>
                <w:lang w:eastAsia="en-US"/>
              </w:rP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rPr>
                <w:rFonts w:eastAsia="Calibri"/>
                <w:lang w:eastAsia="en-US"/>
              </w:rPr>
              <w:instrText xml:space="preserve"> ADDIN EN.CITE </w:instrText>
            </w:r>
            <w:r w:rsidR="00B727D6">
              <w:rPr>
                <w:rFonts w:eastAsia="Calibri"/>
                <w:lang w:eastAsia="en-US"/>
              </w:rP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rPr>
                <w:rFonts w:eastAsia="Calibri"/>
                <w:lang w:eastAsia="en-US"/>
              </w:rPr>
              <w:instrText xml:space="preserve"> ADDIN EN.CITE.DATA </w:instrText>
            </w:r>
            <w:r w:rsidR="00B727D6">
              <w:rPr>
                <w:rFonts w:eastAsia="Calibri"/>
                <w:lang w:eastAsia="en-US"/>
              </w:rPr>
            </w:r>
            <w:r w:rsidR="00B727D6">
              <w:rPr>
                <w:rFonts w:eastAsia="Calibri"/>
                <w:lang w:eastAsia="en-US"/>
              </w:rPr>
              <w:fldChar w:fldCharType="end"/>
            </w:r>
            <w:r w:rsidR="00B727D6">
              <w:rPr>
                <w:rFonts w:eastAsia="Calibri"/>
                <w:lang w:eastAsia="en-US"/>
              </w:rPr>
            </w:r>
            <w:r w:rsidR="00B727D6">
              <w:rPr>
                <w:rFonts w:eastAsia="Calibri"/>
                <w:lang w:eastAsia="en-US"/>
              </w:rPr>
              <w:fldChar w:fldCharType="separate"/>
            </w:r>
            <w:r w:rsidR="00B727D6">
              <w:rPr>
                <w:rFonts w:eastAsia="Calibri"/>
                <w:noProof/>
                <w:lang w:eastAsia="en-US"/>
              </w:rPr>
              <w:t>(</w:t>
            </w:r>
            <w:hyperlink w:anchor="_ENREF_54" w:tooltip="Nobile-Orazio, 2012 #10" w:history="1">
              <w:r w:rsidR="00D726F6">
                <w:rPr>
                  <w:rFonts w:eastAsia="Calibri"/>
                  <w:noProof/>
                  <w:lang w:eastAsia="en-US"/>
                </w:rPr>
                <w:t>Nobile-Orazio et al. 2012</w:t>
              </w:r>
            </w:hyperlink>
            <w:r w:rsidR="00B727D6">
              <w:rPr>
                <w:rFonts w:eastAsia="Calibri"/>
                <w:noProof/>
                <w:lang w:eastAsia="en-US"/>
              </w:rPr>
              <w:t>)</w:t>
            </w:r>
            <w:r w:rsidR="00B727D6">
              <w:rPr>
                <w:rFonts w:eastAsia="Calibri"/>
                <w:lang w:eastAsia="en-US"/>
              </w:rPr>
              <w:fldChar w:fldCharType="end"/>
            </w:r>
            <w:r w:rsidRPr="00E3331A">
              <w:rPr>
                <w:rFonts w:eastAsia="Calibri"/>
                <w:lang w:eastAsia="en-US"/>
              </w:rPr>
              <w:t xml:space="preserve"> </w:t>
            </w:r>
          </w:p>
          <w:p w14:paraId="6B65BD40" w14:textId="77777777" w:rsidR="00176195" w:rsidRPr="00E3331A" w:rsidRDefault="00176195" w:rsidP="00857754">
            <w:pPr>
              <w:pStyle w:val="Tabletext1"/>
              <w:rPr>
                <w:rFonts w:eastAsia="Calibri"/>
                <w:lang w:eastAsia="en-US"/>
              </w:rPr>
            </w:pPr>
            <w:r w:rsidRPr="00E3331A">
              <w:rPr>
                <w:rFonts w:eastAsia="Calibri"/>
                <w:lang w:eastAsia="en-US"/>
              </w:rPr>
              <w:t>I</w:t>
            </w:r>
            <w:r>
              <w:rPr>
                <w:rFonts w:eastAsia="Calibri"/>
                <w:lang w:eastAsia="en-US"/>
              </w:rPr>
              <w:t>VIg</w:t>
            </w:r>
            <w:r w:rsidRPr="00E3331A">
              <w:rPr>
                <w:rFonts w:eastAsia="Calibri"/>
                <w:lang w:eastAsia="en-US"/>
              </w:rPr>
              <w:t xml:space="preserve">: </w:t>
            </w:r>
            <w:r>
              <w:rPr>
                <w:rFonts w:eastAsia="Calibri"/>
                <w:lang w:eastAsia="en-US"/>
              </w:rPr>
              <w:t>n = </w:t>
            </w:r>
            <w:r w:rsidRPr="00E3331A">
              <w:rPr>
                <w:rFonts w:eastAsia="Calibri"/>
                <w:lang w:eastAsia="en-US"/>
              </w:rPr>
              <w:t>24</w:t>
            </w:r>
          </w:p>
          <w:p w14:paraId="391A282D" w14:textId="77777777" w:rsidR="00176195" w:rsidRPr="00E3331A" w:rsidRDefault="00176195" w:rsidP="00857754">
            <w:pPr>
              <w:pStyle w:val="Tabletext1"/>
              <w:rPr>
                <w:rFonts w:eastAsia="Calibri"/>
                <w:lang w:eastAsia="en-US"/>
              </w:rPr>
            </w:pPr>
            <w:r>
              <w:rPr>
                <w:rFonts w:eastAsia="Calibri"/>
                <w:lang w:eastAsia="en-US"/>
              </w:rPr>
              <w:t>IVMP</w:t>
            </w:r>
            <w:r w:rsidRPr="00E3331A">
              <w:rPr>
                <w:rFonts w:eastAsia="Calibri"/>
                <w:lang w:eastAsia="en-US"/>
              </w:rPr>
              <w:t>: n = 21</w:t>
            </w:r>
          </w:p>
        </w:tc>
        <w:tc>
          <w:tcPr>
            <w:tcW w:w="1573" w:type="pct"/>
            <w:shd w:val="clear" w:color="auto" w:fill="auto"/>
          </w:tcPr>
          <w:p w14:paraId="3B841DCA" w14:textId="77777777" w:rsidR="00176195" w:rsidRPr="00E3331A" w:rsidRDefault="00176195" w:rsidP="00857754">
            <w:pPr>
              <w:pStyle w:val="Tabletext1"/>
              <w:rPr>
                <w:rFonts w:eastAsia="Calibri"/>
                <w:lang w:eastAsia="en-US"/>
              </w:rPr>
            </w:pPr>
            <w:r w:rsidRPr="00E3331A">
              <w:rPr>
                <w:rFonts w:eastAsia="Calibri"/>
                <w:lang w:eastAsia="en-US"/>
              </w:rPr>
              <w:t xml:space="preserve">Typical CIDP according to EFNS/PNS criteria. Active or stationary phase but not in remission </w:t>
            </w:r>
          </w:p>
        </w:tc>
        <w:tc>
          <w:tcPr>
            <w:tcW w:w="1178" w:type="pct"/>
            <w:shd w:val="clear" w:color="auto" w:fill="auto"/>
          </w:tcPr>
          <w:p w14:paraId="5677A73F" w14:textId="77777777" w:rsidR="00176195" w:rsidRPr="00E3331A" w:rsidRDefault="00176195" w:rsidP="00857754">
            <w:pPr>
              <w:pStyle w:val="Tabletext1"/>
              <w:rPr>
                <w:rFonts w:eastAsia="Calibri"/>
                <w:lang w:eastAsia="en-US"/>
              </w:rPr>
            </w:pPr>
            <w:r>
              <w:rPr>
                <w:rFonts w:eastAsia="Calibri"/>
                <w:lang w:eastAsia="en-US"/>
              </w:rPr>
              <w:t>Median age (years):</w:t>
            </w:r>
          </w:p>
          <w:p w14:paraId="4758060F" w14:textId="77777777" w:rsidR="00176195" w:rsidRDefault="00176195" w:rsidP="00857754">
            <w:pPr>
              <w:pStyle w:val="Tabletext1"/>
              <w:rPr>
                <w:rFonts w:eastAsia="Calibri"/>
                <w:lang w:eastAsia="en-US"/>
              </w:rPr>
            </w:pPr>
            <w:r>
              <w:rPr>
                <w:rFonts w:eastAsia="Calibri"/>
                <w:lang w:eastAsia="en-US"/>
              </w:rPr>
              <w:t xml:space="preserve">     </w:t>
            </w:r>
            <w:r w:rsidRPr="00E3331A">
              <w:rPr>
                <w:rFonts w:eastAsia="Calibri"/>
                <w:lang w:eastAsia="en-US"/>
              </w:rPr>
              <w:t>I</w:t>
            </w:r>
            <w:r>
              <w:rPr>
                <w:rFonts w:eastAsia="Calibri"/>
                <w:lang w:eastAsia="en-US"/>
              </w:rPr>
              <w:t>VIg:</w:t>
            </w:r>
            <w:r w:rsidRPr="00E3331A">
              <w:rPr>
                <w:rFonts w:eastAsia="Calibri"/>
                <w:lang w:eastAsia="en-US"/>
              </w:rPr>
              <w:t xml:space="preserve"> 54</w:t>
            </w:r>
          </w:p>
          <w:p w14:paraId="16ED560D" w14:textId="77777777" w:rsidR="00176195" w:rsidRPr="00E3331A" w:rsidRDefault="00176195" w:rsidP="00857754">
            <w:pPr>
              <w:pStyle w:val="Tabletext1"/>
              <w:rPr>
                <w:rFonts w:eastAsia="Calibri"/>
                <w:lang w:eastAsia="en-US"/>
              </w:rPr>
            </w:pPr>
            <w:r>
              <w:rPr>
                <w:rFonts w:eastAsia="Calibri"/>
                <w:lang w:eastAsia="en-US"/>
              </w:rPr>
              <w:t xml:space="preserve">     IVMP</w:t>
            </w:r>
            <w:r w:rsidRPr="00E3331A">
              <w:rPr>
                <w:rFonts w:eastAsia="Calibri"/>
                <w:lang w:eastAsia="en-US"/>
              </w:rPr>
              <w:t>:</w:t>
            </w:r>
            <w:r>
              <w:rPr>
                <w:rFonts w:eastAsia="Calibri"/>
                <w:lang w:eastAsia="en-US"/>
              </w:rPr>
              <w:t>66</w:t>
            </w:r>
          </w:p>
          <w:p w14:paraId="2A0AFA14" w14:textId="77777777" w:rsidR="00176195" w:rsidRPr="00E3331A" w:rsidRDefault="00176195" w:rsidP="00857754">
            <w:pPr>
              <w:pStyle w:val="Tabletext1"/>
              <w:rPr>
                <w:rFonts w:eastAsia="Calibri"/>
                <w:lang w:eastAsia="en-US"/>
              </w:rPr>
            </w:pPr>
            <w:r w:rsidRPr="00E3331A">
              <w:rPr>
                <w:rFonts w:eastAsia="Calibri"/>
                <w:lang w:eastAsia="en-US"/>
              </w:rPr>
              <w:t>% male</w:t>
            </w:r>
            <w:r>
              <w:rPr>
                <w:rFonts w:eastAsia="Calibri"/>
                <w:lang w:eastAsia="en-US"/>
              </w:rPr>
              <w:t>:</w:t>
            </w:r>
          </w:p>
          <w:p w14:paraId="0228A471" w14:textId="77777777" w:rsidR="00176195" w:rsidRDefault="00176195" w:rsidP="00857754">
            <w:pPr>
              <w:pStyle w:val="Tabletext1"/>
              <w:rPr>
                <w:rFonts w:eastAsia="Calibri"/>
                <w:lang w:eastAsia="en-US"/>
              </w:rPr>
            </w:pPr>
            <w:r>
              <w:rPr>
                <w:rFonts w:eastAsia="Calibri"/>
                <w:lang w:eastAsia="en-US"/>
              </w:rPr>
              <w:t xml:space="preserve">     </w:t>
            </w:r>
            <w:r w:rsidRPr="00E3331A">
              <w:rPr>
                <w:rFonts w:eastAsia="Calibri"/>
                <w:lang w:eastAsia="en-US"/>
              </w:rPr>
              <w:t>I</w:t>
            </w:r>
            <w:r>
              <w:rPr>
                <w:rFonts w:eastAsia="Calibri"/>
                <w:lang w:eastAsia="en-US"/>
              </w:rPr>
              <w:t>VIg: 63</w:t>
            </w:r>
          </w:p>
          <w:p w14:paraId="6C3927FD" w14:textId="77777777" w:rsidR="00176195" w:rsidRPr="00E3331A" w:rsidRDefault="00176195" w:rsidP="00857754">
            <w:pPr>
              <w:pStyle w:val="Tabletext1"/>
              <w:rPr>
                <w:rFonts w:eastAsia="Calibri"/>
                <w:lang w:eastAsia="en-US"/>
              </w:rPr>
            </w:pPr>
            <w:r>
              <w:rPr>
                <w:rFonts w:eastAsia="Calibri"/>
                <w:lang w:eastAsia="en-US"/>
              </w:rPr>
              <w:t xml:space="preserve">     Steroids: 71</w:t>
            </w:r>
          </w:p>
        </w:tc>
        <w:tc>
          <w:tcPr>
            <w:tcW w:w="1230" w:type="pct"/>
            <w:shd w:val="clear" w:color="auto" w:fill="auto"/>
          </w:tcPr>
          <w:p w14:paraId="67C003CE" w14:textId="77777777" w:rsidR="00176195" w:rsidRPr="008C5847" w:rsidRDefault="00176195" w:rsidP="00857754">
            <w:pPr>
              <w:pStyle w:val="Tabletext1"/>
              <w:rPr>
                <w:rFonts w:eastAsia="Calibri"/>
                <w:u w:val="single"/>
                <w:lang w:eastAsia="en-US"/>
              </w:rPr>
            </w:pPr>
            <w:r w:rsidRPr="008C5847">
              <w:rPr>
                <w:rFonts w:eastAsia="Calibri"/>
                <w:u w:val="single"/>
                <w:lang w:eastAsia="en-US"/>
              </w:rPr>
              <w:t xml:space="preserve">Rankin score (median) </w:t>
            </w:r>
          </w:p>
          <w:p w14:paraId="4C5EE029" w14:textId="77777777" w:rsidR="00176195" w:rsidRPr="00E3331A" w:rsidRDefault="00176195" w:rsidP="00857754">
            <w:pPr>
              <w:pStyle w:val="Tabletext1"/>
              <w:rPr>
                <w:rFonts w:eastAsia="Calibri"/>
                <w:lang w:eastAsia="en-US"/>
              </w:rPr>
            </w:pPr>
            <w:r w:rsidRPr="00E3331A">
              <w:rPr>
                <w:rFonts w:eastAsia="Calibri"/>
                <w:lang w:eastAsia="en-US"/>
              </w:rPr>
              <w:t>I</w:t>
            </w:r>
            <w:r w:rsidR="008B2142">
              <w:rPr>
                <w:rFonts w:eastAsia="Calibri"/>
                <w:lang w:eastAsia="en-US"/>
              </w:rPr>
              <w:t>VI</w:t>
            </w:r>
            <w:r>
              <w:rPr>
                <w:rFonts w:eastAsia="Calibri"/>
                <w:lang w:eastAsia="en-US"/>
              </w:rPr>
              <w:t>g</w:t>
            </w:r>
            <w:r w:rsidRPr="00E3331A">
              <w:rPr>
                <w:rFonts w:eastAsia="Calibri"/>
                <w:lang w:eastAsia="en-US"/>
              </w:rPr>
              <w:t xml:space="preserve">: </w:t>
            </w:r>
            <w:r>
              <w:rPr>
                <w:rFonts w:eastAsia="Calibri"/>
                <w:lang w:eastAsia="en-US"/>
              </w:rPr>
              <w:t>2</w:t>
            </w:r>
          </w:p>
          <w:p w14:paraId="6ECA5511" w14:textId="77777777" w:rsidR="00176195" w:rsidRPr="00E3331A" w:rsidRDefault="00176195" w:rsidP="00857754">
            <w:pPr>
              <w:pStyle w:val="Tabletext1"/>
              <w:rPr>
                <w:rFonts w:eastAsia="Calibri"/>
                <w:lang w:eastAsia="en-US"/>
              </w:rPr>
            </w:pPr>
            <w:r>
              <w:rPr>
                <w:rFonts w:eastAsia="Calibri"/>
                <w:lang w:eastAsia="en-US"/>
              </w:rPr>
              <w:t>Steroids</w:t>
            </w:r>
            <w:r w:rsidRPr="00E3331A">
              <w:rPr>
                <w:rFonts w:eastAsia="Calibri"/>
                <w:lang w:eastAsia="en-US"/>
              </w:rPr>
              <w:t>: 3</w:t>
            </w:r>
          </w:p>
          <w:p w14:paraId="632E54A6" w14:textId="77777777" w:rsidR="00176195" w:rsidRPr="008C5847" w:rsidRDefault="00176195" w:rsidP="00857754">
            <w:pPr>
              <w:pStyle w:val="Tabletext1"/>
              <w:rPr>
                <w:rFonts w:eastAsia="Calibri"/>
                <w:u w:val="single"/>
                <w:lang w:eastAsia="en-US"/>
              </w:rPr>
            </w:pPr>
            <w:r w:rsidRPr="008C5847">
              <w:rPr>
                <w:rFonts w:eastAsia="Calibri"/>
                <w:u w:val="single"/>
                <w:lang w:eastAsia="en-US"/>
              </w:rPr>
              <w:t>ONLS (median)</w:t>
            </w:r>
          </w:p>
          <w:p w14:paraId="03725EAB" w14:textId="77777777" w:rsidR="00176195" w:rsidRPr="00E3331A" w:rsidRDefault="00176195" w:rsidP="00857754">
            <w:pPr>
              <w:pStyle w:val="Tabletext1"/>
              <w:rPr>
                <w:rFonts w:eastAsia="Calibri"/>
                <w:lang w:eastAsia="en-US"/>
              </w:rPr>
            </w:pPr>
            <w:r w:rsidRPr="00E3331A">
              <w:rPr>
                <w:rFonts w:eastAsia="Calibri"/>
                <w:lang w:eastAsia="en-US"/>
              </w:rPr>
              <w:t>I</w:t>
            </w:r>
            <w:r w:rsidR="008B2142">
              <w:rPr>
                <w:rFonts w:eastAsia="Calibri"/>
                <w:lang w:eastAsia="en-US"/>
              </w:rPr>
              <w:t>VI</w:t>
            </w:r>
            <w:r>
              <w:rPr>
                <w:rFonts w:eastAsia="Calibri"/>
                <w:lang w:eastAsia="en-US"/>
              </w:rPr>
              <w:t>g</w:t>
            </w:r>
            <w:r w:rsidRPr="00E3331A">
              <w:rPr>
                <w:rFonts w:eastAsia="Calibri"/>
                <w:lang w:eastAsia="en-US"/>
              </w:rPr>
              <w:t xml:space="preserve">: 3 </w:t>
            </w:r>
          </w:p>
          <w:p w14:paraId="55A66AFC" w14:textId="77777777" w:rsidR="00176195" w:rsidRPr="00E3331A" w:rsidRDefault="00176195" w:rsidP="00857754">
            <w:pPr>
              <w:pStyle w:val="Tabletext1"/>
              <w:rPr>
                <w:rFonts w:eastAsia="Calibri"/>
                <w:lang w:eastAsia="en-US"/>
              </w:rPr>
            </w:pPr>
            <w:r>
              <w:rPr>
                <w:rFonts w:eastAsia="Calibri"/>
                <w:lang w:eastAsia="en-US"/>
              </w:rPr>
              <w:t>Steroids</w:t>
            </w:r>
            <w:r w:rsidRPr="00E3331A">
              <w:rPr>
                <w:rFonts w:eastAsia="Calibri"/>
                <w:lang w:eastAsia="en-US"/>
              </w:rPr>
              <w:t xml:space="preserve">: </w:t>
            </w:r>
            <w:r>
              <w:rPr>
                <w:rFonts w:eastAsia="Calibri"/>
                <w:lang w:eastAsia="en-US"/>
              </w:rPr>
              <w:t>4</w:t>
            </w:r>
          </w:p>
        </w:tc>
      </w:tr>
      <w:tr w:rsidR="00176195" w:rsidRPr="00E3331A" w14:paraId="2BA50FA9" w14:textId="77777777" w:rsidTr="006A12BE">
        <w:tc>
          <w:tcPr>
            <w:tcW w:w="1019" w:type="pct"/>
            <w:shd w:val="clear" w:color="auto" w:fill="auto"/>
          </w:tcPr>
          <w:p w14:paraId="33D45253" w14:textId="77777777" w:rsidR="00176195" w:rsidRDefault="00176195" w:rsidP="00857754">
            <w:pPr>
              <w:pStyle w:val="Tabletext1"/>
              <w:rPr>
                <w:rFonts w:eastAsia="Calibri"/>
                <w:u w:val="single"/>
                <w:lang w:eastAsia="en-US"/>
              </w:rPr>
            </w:pPr>
            <w:r>
              <w:rPr>
                <w:rFonts w:eastAsia="Calibri"/>
                <w:u w:val="single"/>
                <w:lang w:eastAsia="en-US"/>
              </w:rPr>
              <w:t>IVIg vs PE</w:t>
            </w:r>
          </w:p>
          <w:p w14:paraId="73670C32" w14:textId="242A9B2D" w:rsidR="00176195" w:rsidRDefault="00176195" w:rsidP="00857754">
            <w:pPr>
              <w:pStyle w:val="Tabletext1"/>
              <w:rPr>
                <w:rFonts w:eastAsia="Calibri"/>
                <w:lang w:eastAsia="en-US"/>
              </w:rPr>
            </w:pPr>
            <w:r>
              <w:rPr>
                <w:rFonts w:eastAsia="Calibri"/>
                <w:lang w:eastAsia="en-US"/>
              </w:rPr>
              <w:t xml:space="preserve">Dyck et al </w:t>
            </w:r>
            <w:r w:rsidR="00B727D6">
              <w:rPr>
                <w:rFonts w:eastAsia="Calibri"/>
                <w:lang w:eastAsia="en-US"/>
              </w:rPr>
              <w:fldChar w:fldCharType="begin"/>
            </w:r>
            <w:r w:rsidR="00B727D6">
              <w:rPr>
                <w:rFonts w:eastAsia="Calibri"/>
                <w:lang w:eastAsia="en-US"/>
              </w:rPr>
              <w:instrText xml:space="preserve"> ADDIN EN.CITE &lt;EndNote&gt;&lt;Cite&gt;&lt;Author&gt;Dyck&lt;/Author&gt;&lt;Year&gt;1994&lt;/Year&gt;&lt;RecNum&gt;6&lt;/RecNum&gt;&lt;DisplayText&gt;(Dyck et al. 1994)&lt;/DisplayText&gt;&lt;record&gt;&lt;rec-number&gt;6&lt;/rec-number&gt;&lt;foreign-keys&gt;&lt;key app="EN" db-id="xtr5xfx2xf0wd7e0s2qvst2ietxxf0tpzr9v" timestamp="1601273176"&gt;6&lt;/key&gt;&lt;/foreign-keys&gt;&lt;ref-type name="Journal Article"&gt;17&lt;/ref-type&gt;&lt;contributors&gt;&lt;authors&gt;&lt;author&gt;Dyck, P. J.&lt;/author&gt;&lt;author&gt;Litchy, W. J.&lt;/author&gt;&lt;author&gt;Kratz, K. M.&lt;/author&gt;&lt;author&gt;Suarez, G. A.&lt;/author&gt;&lt;author&gt;Low, P. A.&lt;/author&gt;&lt;author&gt;Pineda, A. A.&lt;/author&gt;&lt;author&gt;Windebank, A. J.&lt;/author&gt;&lt;author&gt;Karnes, J. L.&lt;/author&gt;&lt;author&gt;O&amp;apos;Brien, P. C.&lt;/author&gt;&lt;/authors&gt;&lt;/contributors&gt;&lt;auth-address&gt;Department of Neurology, Mayo Clinic, Rochester, MN 55905.&lt;/auth-address&gt;&lt;titles&gt;&lt;title&gt;A plasma exchange versus immune globulin infusion trial in chronic inflammatory demyelinating polyradiculoneuropathy&lt;/title&gt;&lt;secondary-title&gt;Ann Neurol&lt;/secondary-title&gt;&lt;/titles&gt;&lt;periodical&gt;&lt;full-title&gt;Ann Neurol&lt;/full-title&gt;&lt;/periodical&gt;&lt;pages&gt;838-45&lt;/pages&gt;&lt;volume&gt;36&lt;/volume&gt;&lt;number&gt;6&lt;/number&gt;&lt;edition&gt;1994/12/01&lt;/edition&gt;&lt;keywords&gt;&lt;keyword&gt;Adult&lt;/keyword&gt;&lt;keyword&gt;Aged&lt;/keyword&gt;&lt;keyword&gt;Chronic Disease&lt;/keyword&gt;&lt;keyword&gt;Demyelinating Diseases/ therapy&lt;/keyword&gt;&lt;keyword&gt;Female&lt;/keyword&gt;&lt;keyword&gt;Humans&lt;/keyword&gt;&lt;keyword&gt;Immunoglobulins, Intravenous/ therapeutic use&lt;/keyword&gt;&lt;keyword&gt;Male&lt;/keyword&gt;&lt;keyword&gt;Middle Aged&lt;/keyword&gt;&lt;keyword&gt;Plasma Exchange&lt;/keyword&gt;&lt;keyword&gt;Polyradiculoneuropathy/ therapy&lt;/keyword&gt;&lt;/keywords&gt;&lt;dates&gt;&lt;year&gt;1994&lt;/year&gt;&lt;pub-dates&gt;&lt;date&gt;Dec&lt;/date&gt;&lt;/pub-dates&gt;&lt;/dates&gt;&lt;isbn&gt;0364-5134 (Print)&amp;#xD;0364-5134 (Linking)&lt;/isbn&gt;&lt;accession-num&gt;7998769&lt;/accession-num&gt;&lt;urls&gt;&lt;related-urls&gt;&lt;url&gt;https://onlinelibrary.wiley.com/doi/pdfdirect/10.1002/ana.410360607?download=true&lt;/url&gt;&lt;/related-urls&gt;&lt;/urls&gt;&lt;electronic-resource-num&gt;10.1002/ana.410360607&lt;/electronic-resource-num&gt;&lt;remote-database-provider&gt;NLM&lt;/remote-database-provider&gt;&lt;language&gt;eng&lt;/language&gt;&lt;/record&gt;&lt;/Cite&gt;&lt;/EndNote&gt;</w:instrText>
            </w:r>
            <w:r w:rsidR="00B727D6">
              <w:rPr>
                <w:rFonts w:eastAsia="Calibri"/>
                <w:lang w:eastAsia="en-US"/>
              </w:rPr>
              <w:fldChar w:fldCharType="separate"/>
            </w:r>
            <w:r w:rsidR="00B727D6">
              <w:rPr>
                <w:rFonts w:eastAsia="Calibri"/>
                <w:noProof/>
                <w:lang w:eastAsia="en-US"/>
              </w:rPr>
              <w:t>(</w:t>
            </w:r>
            <w:hyperlink w:anchor="_ENREF_17" w:tooltip="Dyck, 1994 #6" w:history="1">
              <w:r w:rsidR="00D726F6">
                <w:rPr>
                  <w:rFonts w:eastAsia="Calibri"/>
                  <w:noProof/>
                  <w:lang w:eastAsia="en-US"/>
                </w:rPr>
                <w:t>Dyck et al. 1994</w:t>
              </w:r>
            </w:hyperlink>
            <w:r w:rsidR="00B727D6">
              <w:rPr>
                <w:rFonts w:eastAsia="Calibri"/>
                <w:noProof/>
                <w:lang w:eastAsia="en-US"/>
              </w:rPr>
              <w:t>)</w:t>
            </w:r>
            <w:r w:rsidR="00B727D6">
              <w:rPr>
                <w:rFonts w:eastAsia="Calibri"/>
                <w:lang w:eastAsia="en-US"/>
              </w:rPr>
              <w:fldChar w:fldCharType="end"/>
            </w:r>
          </w:p>
          <w:p w14:paraId="534BD665" w14:textId="77777777" w:rsidR="00176195" w:rsidRDefault="00176195" w:rsidP="00857754">
            <w:pPr>
              <w:pStyle w:val="Tabletext1"/>
              <w:rPr>
                <w:rFonts w:eastAsia="Calibri"/>
                <w:lang w:eastAsia="en-US"/>
              </w:rPr>
            </w:pPr>
            <w:r>
              <w:rPr>
                <w:rFonts w:eastAsia="Calibri"/>
                <w:lang w:eastAsia="en-US"/>
              </w:rPr>
              <w:t>IVIg: n = 10</w:t>
            </w:r>
          </w:p>
          <w:p w14:paraId="1F6CC0D4" w14:textId="77777777" w:rsidR="00176195" w:rsidRPr="00175391" w:rsidRDefault="00176195" w:rsidP="00857754">
            <w:pPr>
              <w:pStyle w:val="Tabletext1"/>
              <w:rPr>
                <w:rFonts w:eastAsia="Calibri"/>
                <w:lang w:eastAsia="en-US"/>
              </w:rPr>
            </w:pPr>
            <w:r>
              <w:rPr>
                <w:rFonts w:eastAsia="Calibri"/>
                <w:lang w:eastAsia="en-US"/>
              </w:rPr>
              <w:t>PE: n =9</w:t>
            </w:r>
          </w:p>
        </w:tc>
        <w:tc>
          <w:tcPr>
            <w:tcW w:w="1573" w:type="pct"/>
            <w:shd w:val="clear" w:color="auto" w:fill="auto"/>
          </w:tcPr>
          <w:p w14:paraId="2A2E3A37" w14:textId="77777777" w:rsidR="00176195" w:rsidRPr="00E3331A" w:rsidRDefault="00176195" w:rsidP="00857754">
            <w:pPr>
              <w:pStyle w:val="Tabletext1"/>
              <w:rPr>
                <w:rFonts w:eastAsia="Calibri"/>
                <w:lang w:eastAsia="en-US"/>
              </w:rPr>
            </w:pPr>
            <w:r w:rsidRPr="00E3331A">
              <w:rPr>
                <w:rFonts w:eastAsia="Calibri"/>
                <w:lang w:eastAsia="en-US"/>
              </w:rPr>
              <w:t xml:space="preserve">Definite </w:t>
            </w:r>
            <w:r>
              <w:rPr>
                <w:rFonts w:eastAsia="Calibri"/>
                <w:lang w:eastAsia="en-US"/>
              </w:rPr>
              <w:t xml:space="preserve">CIDP with </w:t>
            </w:r>
            <w:r w:rsidRPr="00E3331A">
              <w:rPr>
                <w:rFonts w:eastAsia="Calibri"/>
                <w:lang w:eastAsia="en-US"/>
              </w:rPr>
              <w:t>static</w:t>
            </w:r>
            <w:r>
              <w:rPr>
                <w:rFonts w:eastAsia="Calibri"/>
                <w:lang w:eastAsia="en-US"/>
              </w:rPr>
              <w:t xml:space="preserve"> or worsening neurological disability; no treatment with PE or Ig in the preceding six weeks</w:t>
            </w:r>
          </w:p>
        </w:tc>
        <w:tc>
          <w:tcPr>
            <w:tcW w:w="1178" w:type="pct"/>
            <w:shd w:val="clear" w:color="auto" w:fill="auto"/>
          </w:tcPr>
          <w:p w14:paraId="4A7C2878" w14:textId="77777777" w:rsidR="00176195" w:rsidRPr="00E3331A" w:rsidRDefault="00176195" w:rsidP="00857754">
            <w:pPr>
              <w:pStyle w:val="Tabletext1"/>
              <w:rPr>
                <w:rFonts w:eastAsia="Calibri"/>
                <w:lang w:eastAsia="en-US"/>
              </w:rPr>
            </w:pPr>
            <w:r>
              <w:rPr>
                <w:rFonts w:eastAsia="Calibri"/>
                <w:lang w:eastAsia="en-US"/>
              </w:rPr>
              <w:t>Age (years):</w:t>
            </w:r>
          </w:p>
          <w:p w14:paraId="1829714B" w14:textId="77777777" w:rsidR="00176195" w:rsidRDefault="00176195" w:rsidP="00857754">
            <w:pPr>
              <w:pStyle w:val="Tabletext1"/>
              <w:rPr>
                <w:rFonts w:eastAsia="Calibri"/>
                <w:lang w:eastAsia="en-US"/>
              </w:rPr>
            </w:pPr>
            <w:r>
              <w:rPr>
                <w:rFonts w:eastAsia="Calibri"/>
                <w:lang w:eastAsia="en-US"/>
              </w:rPr>
              <w:t xml:space="preserve">     </w:t>
            </w:r>
            <w:r w:rsidRPr="00E3331A">
              <w:rPr>
                <w:rFonts w:eastAsia="Calibri"/>
                <w:lang w:eastAsia="en-US"/>
              </w:rPr>
              <w:t>I</w:t>
            </w:r>
            <w:r>
              <w:rPr>
                <w:rFonts w:eastAsia="Calibri"/>
                <w:lang w:eastAsia="en-US"/>
              </w:rPr>
              <w:t>VIg: 51 ± 18</w:t>
            </w:r>
          </w:p>
          <w:p w14:paraId="08EBFABA" w14:textId="77777777" w:rsidR="00176195" w:rsidRPr="00E3331A" w:rsidRDefault="00176195" w:rsidP="00857754">
            <w:pPr>
              <w:pStyle w:val="Tabletext1"/>
              <w:rPr>
                <w:rFonts w:eastAsia="Calibri"/>
                <w:lang w:eastAsia="en-US"/>
              </w:rPr>
            </w:pPr>
            <w:r>
              <w:rPr>
                <w:rFonts w:eastAsia="Calibri"/>
                <w:lang w:eastAsia="en-US"/>
              </w:rPr>
              <w:t xml:space="preserve">     PE</w:t>
            </w:r>
            <w:r w:rsidRPr="00E3331A">
              <w:rPr>
                <w:rFonts w:eastAsia="Calibri"/>
                <w:lang w:eastAsia="en-US"/>
              </w:rPr>
              <w:t>:</w:t>
            </w:r>
            <w:r>
              <w:rPr>
                <w:rFonts w:eastAsia="Calibri"/>
                <w:lang w:eastAsia="en-US"/>
              </w:rPr>
              <w:t xml:space="preserve"> 39 ± 17</w:t>
            </w:r>
          </w:p>
          <w:p w14:paraId="5FFE790D" w14:textId="77777777" w:rsidR="00176195" w:rsidRPr="00E3331A" w:rsidRDefault="00176195" w:rsidP="00857754">
            <w:pPr>
              <w:pStyle w:val="Tabletext1"/>
              <w:rPr>
                <w:rFonts w:eastAsia="Calibri"/>
                <w:lang w:eastAsia="en-US"/>
              </w:rPr>
            </w:pPr>
            <w:r w:rsidRPr="00E3331A">
              <w:rPr>
                <w:rFonts w:eastAsia="Calibri"/>
                <w:lang w:eastAsia="en-US"/>
              </w:rPr>
              <w:t>% male</w:t>
            </w:r>
            <w:r>
              <w:rPr>
                <w:rFonts w:eastAsia="Calibri"/>
                <w:lang w:eastAsia="en-US"/>
              </w:rPr>
              <w:t>:</w:t>
            </w:r>
          </w:p>
          <w:p w14:paraId="4076CC80" w14:textId="77777777" w:rsidR="00176195" w:rsidRDefault="00176195" w:rsidP="00857754">
            <w:pPr>
              <w:pStyle w:val="Tabletext1"/>
              <w:rPr>
                <w:rFonts w:eastAsia="Calibri"/>
                <w:lang w:eastAsia="en-US"/>
              </w:rPr>
            </w:pPr>
            <w:r>
              <w:rPr>
                <w:rFonts w:eastAsia="Calibri"/>
                <w:lang w:eastAsia="en-US"/>
              </w:rPr>
              <w:t xml:space="preserve">     </w:t>
            </w:r>
            <w:r w:rsidRPr="00E3331A">
              <w:rPr>
                <w:rFonts w:eastAsia="Calibri"/>
                <w:lang w:eastAsia="en-US"/>
              </w:rPr>
              <w:t>I</w:t>
            </w:r>
            <w:r>
              <w:rPr>
                <w:rFonts w:eastAsia="Calibri"/>
                <w:lang w:eastAsia="en-US"/>
              </w:rPr>
              <w:t>VIg: 60</w:t>
            </w:r>
          </w:p>
          <w:p w14:paraId="2890301B" w14:textId="77777777" w:rsidR="00176195" w:rsidRDefault="00176195" w:rsidP="00557FE0">
            <w:pPr>
              <w:pStyle w:val="Tabletext1"/>
              <w:rPr>
                <w:rFonts w:eastAsia="Calibri"/>
                <w:lang w:eastAsia="en-US"/>
              </w:rPr>
            </w:pPr>
            <w:r>
              <w:rPr>
                <w:rFonts w:eastAsia="Calibri"/>
                <w:lang w:eastAsia="en-US"/>
              </w:rPr>
              <w:t xml:space="preserve">     </w:t>
            </w:r>
            <w:r w:rsidR="00557FE0">
              <w:rPr>
                <w:rFonts w:eastAsia="Calibri"/>
                <w:lang w:eastAsia="en-US"/>
              </w:rPr>
              <w:t>PE</w:t>
            </w:r>
            <w:r>
              <w:rPr>
                <w:rFonts w:eastAsia="Calibri"/>
                <w:lang w:eastAsia="en-US"/>
              </w:rPr>
              <w:t>: 44</w:t>
            </w:r>
          </w:p>
        </w:tc>
        <w:tc>
          <w:tcPr>
            <w:tcW w:w="1230" w:type="pct"/>
            <w:shd w:val="clear" w:color="auto" w:fill="auto"/>
          </w:tcPr>
          <w:p w14:paraId="3E923AF9" w14:textId="77777777" w:rsidR="00176195" w:rsidRPr="00B77215" w:rsidRDefault="00176195" w:rsidP="00857754">
            <w:pPr>
              <w:pStyle w:val="Tabletext1"/>
              <w:rPr>
                <w:rFonts w:eastAsia="Calibri"/>
                <w:u w:val="single"/>
                <w:lang w:eastAsia="en-US"/>
              </w:rPr>
            </w:pPr>
            <w:r w:rsidRPr="00B77215">
              <w:rPr>
                <w:rFonts w:eastAsia="Calibri"/>
                <w:u w:val="single"/>
                <w:lang w:eastAsia="en-US"/>
              </w:rPr>
              <w:t>NDS</w:t>
            </w:r>
          </w:p>
          <w:p w14:paraId="0AED4105" w14:textId="77777777" w:rsidR="00176195" w:rsidRPr="00B77215" w:rsidRDefault="00176195" w:rsidP="00857754">
            <w:pPr>
              <w:pStyle w:val="Tabletext1"/>
              <w:rPr>
                <w:rFonts w:eastAsia="Calibri"/>
                <w:lang w:eastAsia="en-US"/>
              </w:rPr>
            </w:pPr>
            <w:r w:rsidRPr="00B77215">
              <w:rPr>
                <w:rFonts w:eastAsia="Calibri"/>
                <w:lang w:eastAsia="en-US"/>
              </w:rPr>
              <w:t>I</w:t>
            </w:r>
            <w:r>
              <w:rPr>
                <w:rFonts w:eastAsia="Calibri"/>
                <w:lang w:eastAsia="en-US"/>
              </w:rPr>
              <w:t>VI</w:t>
            </w:r>
            <w:r w:rsidRPr="00B77215">
              <w:rPr>
                <w:rFonts w:eastAsia="Calibri"/>
                <w:lang w:eastAsia="en-US"/>
              </w:rPr>
              <w:t xml:space="preserve">g: </w:t>
            </w:r>
            <w:r>
              <w:rPr>
                <w:rFonts w:eastAsia="Calibri"/>
                <w:lang w:eastAsia="en-US"/>
              </w:rPr>
              <w:t>68 ± 28</w:t>
            </w:r>
          </w:p>
          <w:p w14:paraId="4AE41922" w14:textId="77777777" w:rsidR="00176195" w:rsidRDefault="00176195" w:rsidP="00857754">
            <w:pPr>
              <w:pStyle w:val="Tabletext1"/>
              <w:rPr>
                <w:rFonts w:eastAsia="Calibri"/>
                <w:lang w:eastAsia="en-US"/>
              </w:rPr>
            </w:pPr>
            <w:r>
              <w:rPr>
                <w:rFonts w:eastAsia="Calibri"/>
                <w:lang w:eastAsia="en-US"/>
              </w:rPr>
              <w:t>PE</w:t>
            </w:r>
            <w:r w:rsidRPr="00B77215">
              <w:rPr>
                <w:rFonts w:eastAsia="Calibri"/>
                <w:lang w:eastAsia="en-US"/>
              </w:rPr>
              <w:t xml:space="preserve">: </w:t>
            </w:r>
            <w:r>
              <w:rPr>
                <w:rFonts w:eastAsia="Calibri"/>
                <w:lang w:eastAsia="en-US"/>
              </w:rPr>
              <w:t>83</w:t>
            </w:r>
            <w:r w:rsidRPr="00B77215">
              <w:rPr>
                <w:rFonts w:eastAsia="Calibri"/>
                <w:lang w:eastAsia="en-US"/>
              </w:rPr>
              <w:t xml:space="preserve"> </w:t>
            </w:r>
            <w:r w:rsidRPr="00B77215">
              <w:rPr>
                <w:rFonts w:ascii="Calibri" w:eastAsia="Calibri" w:hAnsi="Calibri"/>
                <w:lang w:eastAsia="en-US"/>
              </w:rPr>
              <w:t>±</w:t>
            </w:r>
            <w:r w:rsidRPr="00B77215">
              <w:rPr>
                <w:rFonts w:eastAsia="Calibri"/>
                <w:lang w:eastAsia="en-US"/>
              </w:rPr>
              <w:t xml:space="preserve"> </w:t>
            </w:r>
            <w:r>
              <w:rPr>
                <w:rFonts w:eastAsia="Calibri"/>
                <w:lang w:eastAsia="en-US"/>
              </w:rPr>
              <w:t>40</w:t>
            </w:r>
          </w:p>
        </w:tc>
      </w:tr>
    </w:tbl>
    <w:p w14:paraId="765685DB" w14:textId="77777777" w:rsidR="00837294" w:rsidRPr="00E3331A" w:rsidRDefault="00837294" w:rsidP="00837294">
      <w:pPr>
        <w:pStyle w:val="Tablenotes1"/>
      </w:pPr>
      <w:r w:rsidRPr="00E3331A">
        <w:rPr>
          <w:b/>
        </w:rPr>
        <w:t>Abbreviations</w:t>
      </w:r>
      <w:r w:rsidRPr="00E3331A">
        <w:t>: AAN = American Academy of Neurology</w:t>
      </w:r>
      <w:r>
        <w:t>;</w:t>
      </w:r>
      <w:r w:rsidRPr="00E3331A">
        <w:t xml:space="preserve"> CIDP = Chronic inflammatory demyelinating polyneuropathy</w:t>
      </w:r>
      <w:r>
        <w:t xml:space="preserve">; </w:t>
      </w:r>
      <w:r w:rsidRPr="00E3331A">
        <w:t>Ig = Im</w:t>
      </w:r>
      <w:r>
        <w:t>munoglobulin; IV = Intravenous;</w:t>
      </w:r>
      <w:r w:rsidRPr="00E3331A">
        <w:t xml:space="preserve"> EFNS/PNS = European Federation of Neurological Soc</w:t>
      </w:r>
      <w:r>
        <w:t xml:space="preserve">ieties/Peripheral Nerve Society; MP = methylprednisolone; </w:t>
      </w:r>
      <w:r w:rsidRPr="00E3331A">
        <w:t>ONLS = Overa</w:t>
      </w:r>
      <w:r>
        <w:t>ll Neuropathy Limitations Scale;</w:t>
      </w:r>
      <w:r w:rsidRPr="00E3331A">
        <w:t xml:space="preserve"> </w:t>
      </w:r>
      <w:r>
        <w:t xml:space="preserve">PE = Plasma Exchange; </w:t>
      </w:r>
      <w:r w:rsidRPr="00E3331A">
        <w:t>ND</w:t>
      </w:r>
      <w:r>
        <w:t>S = neurologic disability score;</w:t>
      </w:r>
      <w:r w:rsidRPr="00E3331A">
        <w:t xml:space="preserve"> INCAT = Inflammatory</w:t>
      </w:r>
      <w:r>
        <w:t xml:space="preserve"> Neuropathy Cause and Treatment; vs = versus; </w:t>
      </w:r>
      <w:r w:rsidR="00857754">
        <w:t>sd = standard deviation</w:t>
      </w:r>
      <w:r w:rsidRPr="00E3331A">
        <w:t>.</w:t>
      </w:r>
    </w:p>
    <w:p w14:paraId="705A1CFD" w14:textId="67107FCC" w:rsidR="00837294" w:rsidRDefault="00837294" w:rsidP="00D4771E">
      <w:pPr>
        <w:pStyle w:val="BodyTextSTD"/>
      </w:pPr>
      <w:r>
        <w:t>In summary, t</w:t>
      </w:r>
      <w:r w:rsidRPr="00E3331A">
        <w:t xml:space="preserve">he characteristics of the patient populations </w:t>
      </w:r>
      <w:r>
        <w:t xml:space="preserve">and eligibility criteria </w:t>
      </w:r>
      <w:r w:rsidRPr="00E3331A">
        <w:t xml:space="preserve">in major trials </w:t>
      </w:r>
      <w:r w:rsidR="00B727D6">
        <w:fldChar w:fldCharType="begin">
          <w:fldData xml:space="preserve">PEVuZE5vdGU+PENpdGU+PEF1dGhvcj5EeWNrPC9BdXRob3I+PFllYXI+MTk5NDwvWWVhcj48UmVj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=
</w:fldData>
        </w:fldChar>
      </w:r>
      <w:r w:rsidR="00B727D6">
        <w:instrText xml:space="preserve"> ADDIN EN.CITE </w:instrText>
      </w:r>
      <w:r w:rsidR="00B727D6">
        <w:fldChar w:fldCharType="begin">
          <w:fldData xml:space="preserve">PEVuZE5vdGU+PENpdGU+PEF1dGhvcj5EeWNrPC9BdXRob3I+PFllYXI+MTk5NDwvWWVhcj48UmVj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17" w:tooltip="Dyck, 1994 #6" w:history="1">
        <w:r w:rsidR="00D726F6">
          <w:rPr>
            <w:noProof/>
          </w:rPr>
          <w:t>Dyck et al. 1994</w:t>
        </w:r>
      </w:hyperlink>
      <w:r w:rsidR="00B727D6">
        <w:rPr>
          <w:noProof/>
        </w:rPr>
        <w:t xml:space="preserve">; </w:t>
      </w:r>
      <w:hyperlink w:anchor="_ENREF_26" w:tooltip="Hahn, 1996 #383" w:history="1">
        <w:r w:rsidR="00D726F6">
          <w:rPr>
            <w:noProof/>
          </w:rPr>
          <w:t>Hahn, Bolton, Zochodne, et al. 1996</w:t>
        </w:r>
      </w:hyperlink>
      <w:r w:rsidR="00B727D6">
        <w:rPr>
          <w:noProof/>
        </w:rPr>
        <w:t xml:space="preserve">; </w:t>
      </w:r>
      <w:hyperlink w:anchor="_ENREF_28" w:tooltip="Hughes, 2008 #1205" w:history="1">
        <w:r w:rsidR="00D726F6">
          <w:rPr>
            <w:noProof/>
          </w:rPr>
          <w:t>Hughes et al. 2008</w:t>
        </w:r>
      </w:hyperlink>
      <w:r w:rsidR="00B727D6">
        <w:rPr>
          <w:noProof/>
        </w:rPr>
        <w:t xml:space="preserve">; </w:t>
      </w:r>
      <w:hyperlink w:anchor="_ENREF_54" w:tooltip="Nobile-Orazio, 2012 #10" w:history="1">
        <w:r w:rsidR="00D726F6">
          <w:rPr>
            <w:noProof/>
          </w:rPr>
          <w:t>Nobile-Orazio et al. 2012</w:t>
        </w:r>
      </w:hyperlink>
      <w:r w:rsidR="00B727D6">
        <w:rPr>
          <w:noProof/>
        </w:rPr>
        <w:t>)</w:t>
      </w:r>
      <w:r w:rsidR="00B727D6">
        <w:fldChar w:fldCharType="end"/>
      </w:r>
      <w:r>
        <w:t xml:space="preserve"> </w:t>
      </w:r>
      <w:r w:rsidRPr="00E3331A">
        <w:t xml:space="preserve">appear to be aligned with the patient population currently eligible for IVIg according to Version 3 of </w:t>
      </w:r>
      <w:r w:rsidRPr="00E3331A">
        <w:rPr>
          <w:i/>
        </w:rPr>
        <w:t>‘the Criteria’</w:t>
      </w:r>
      <w:r w:rsidRPr="00E3331A">
        <w:t>.</w:t>
      </w:r>
      <w:r>
        <w:t xml:space="preserve"> </w:t>
      </w:r>
      <w:r w:rsidRPr="00E3331A">
        <w:t>Most of the</w:t>
      </w:r>
      <w:r>
        <w:t>se</w:t>
      </w:r>
      <w:r w:rsidRPr="00E3331A">
        <w:t xml:space="preserve"> trials exclude children</w:t>
      </w:r>
      <w:r>
        <w:t xml:space="preserve">. According to NBA Annual Report (2017–18), around 9% of the patients receiving Ig for any medical condition were aged </w:t>
      </w:r>
      <w:r>
        <w:rPr>
          <w:rFonts w:cs="Calibri"/>
        </w:rPr>
        <w:t>≤</w:t>
      </w:r>
      <w:r>
        <w:t xml:space="preserve">18 years </w:t>
      </w:r>
      <w:r w:rsidR="00B727D6">
        <w:fldChar w:fldCharType="begin"/>
      </w:r>
      <w:r w:rsidR="00B727D6">
        <w:instrText xml:space="preserve"> ADDIN EN.CITE &lt;EndNote&gt;&lt;Cite&gt;&lt;Author&gt;NBA&lt;/Author&gt;&lt;Year&gt;2018&lt;/Year&gt;&lt;RecNum&gt;1948&lt;/RecNum&gt;&lt;DisplayText&gt;(NBA 2018)&lt;/DisplayText&gt;&lt;record&gt;&lt;rec-number&gt;1948&lt;/rec-number&gt;&lt;foreign-keys&gt;&lt;key app="EN" db-id="xtr5xfx2xf0wd7e0s2qvst2ietxxf0tpzr9v" timestamp="1614134979"&gt;1948&lt;/key&gt;&lt;/foreign-keys&gt;&lt;ref-type name="Report"&gt;27&lt;/ref-type&gt;&lt;contributors&gt;&lt;authors&gt;&lt;author&gt;NBA&lt;/author&gt;&lt;/authors&gt;&lt;tertiary-authors&gt;&lt;author&gt;Union Offset Printers&lt;/author&gt;&lt;/tertiary-authors&gt;&lt;/contributors&gt;&lt;titles&gt;&lt;title&gt;National Blood Authority Annual Report 2017-18&lt;/title&gt;&lt;/titles&gt;&lt;dates&gt;&lt;year&gt;2018&lt;/year&gt;&lt;pub-dates&gt;&lt;date&gt;2 October 2018&lt;/date&gt;&lt;/pub-dates&gt;&lt;/dates&gt;&lt;publisher&gt;National Blood Authority&lt;/publisher&gt;&lt;urls&gt;&lt;related-urls&gt;&lt;url&gt;www.blood.gov.au/about-nba&lt;/url&gt;&lt;/related-urls&gt;&lt;/urls&gt;&lt;access-date&gt;18 January 2021&lt;/access-date&gt;&lt;/record&gt;&lt;/Cite&gt;&lt;/EndNote&gt;</w:instrText>
      </w:r>
      <w:r w:rsidR="00B727D6">
        <w:fldChar w:fldCharType="separate"/>
      </w:r>
      <w:r w:rsidR="00B727D6">
        <w:rPr>
          <w:noProof/>
        </w:rPr>
        <w:t>(</w:t>
      </w:r>
      <w:hyperlink w:anchor="_ENREF_48" w:tooltip="NBA, 2018 #1948" w:history="1">
        <w:r w:rsidR="00D726F6">
          <w:rPr>
            <w:noProof/>
          </w:rPr>
          <w:t>NBA 2018</w:t>
        </w:r>
      </w:hyperlink>
      <w:r w:rsidR="00B727D6">
        <w:rPr>
          <w:noProof/>
        </w:rPr>
        <w:t>)</w:t>
      </w:r>
      <w:r w:rsidR="00B727D6">
        <w:fldChar w:fldCharType="end"/>
      </w:r>
      <w:r>
        <w:t>. Although the percentage of children with CIDP receiving Ig could not be determined from this report, it is assumed that c</w:t>
      </w:r>
      <w:r w:rsidRPr="00E3331A">
        <w:t>hildren only comprise a small proportion of CIDP patients in Australia</w:t>
      </w:r>
      <w:r>
        <w:t xml:space="preserve"> and</w:t>
      </w:r>
      <w:r w:rsidRPr="0034730F">
        <w:t xml:space="preserve"> therefore applicability </w:t>
      </w:r>
      <w:r>
        <w:t xml:space="preserve">of trial data should not be limited when age is considered. </w:t>
      </w:r>
    </w:p>
    <w:p w14:paraId="4C170E9F" w14:textId="52D1B4DF" w:rsidR="00837294" w:rsidRDefault="00837294" w:rsidP="00D4771E">
      <w:pPr>
        <w:pStyle w:val="BodyTextSTD"/>
      </w:pPr>
      <w:r>
        <w:t xml:space="preserve">One </w:t>
      </w:r>
      <w:r w:rsidRPr="00E3331A">
        <w:t xml:space="preserve">CIDP prevalence study using American Academy of Neurology </w:t>
      </w:r>
      <w:r>
        <w:t>(</w:t>
      </w:r>
      <w:r w:rsidRPr="00E3331A">
        <w:t>AAN</w:t>
      </w:r>
      <w:r>
        <w:t>)</w:t>
      </w:r>
      <w:r w:rsidRPr="00E3331A">
        <w:t xml:space="preserve"> criteria in Newcastle, NSW, found the </w:t>
      </w:r>
      <w:r>
        <w:t>mean age of onset for CIDP was 48 </w:t>
      </w:r>
      <w:r w:rsidRPr="00E3331A">
        <w:t>years, with 51% of patients having re</w:t>
      </w:r>
      <w:r>
        <w:t>lapsing‐remitting CIDP over 7.1 </w:t>
      </w:r>
      <w:r w:rsidRPr="00E3331A">
        <w:t xml:space="preserve">years </w:t>
      </w:r>
      <w:r w:rsidR="00B727D6">
        <w:fldChar w:fldCharType="begin">
          <w:fldData xml:space="preserve">PEVuZE5vdGU+PENpdGU+PEF1dGhvcj5NY0xlb2Q8L0F1dGhvcj48WWVhcj4xOTk5PC9ZZWFyPjxS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</w:fldData>
        </w:fldChar>
      </w:r>
      <w:r w:rsidR="00B727D6">
        <w:instrText xml:space="preserve"> ADDIN EN.CITE </w:instrText>
      </w:r>
      <w:r w:rsidR="00B727D6">
        <w:fldChar w:fldCharType="begin">
          <w:fldData xml:space="preserve">PEVuZE5vdGU+PENpdGU+PEF1dGhvcj5NY0xlb2Q8L0F1dGhvcj48WWVhcj4xOTk5PC9ZZWFyPjxS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44" w:tooltip="McLeod, 1999 #146" w:history="1">
        <w:r w:rsidR="00D726F6">
          <w:rPr>
            <w:noProof/>
          </w:rPr>
          <w:t>McLeod et al. 1999</w:t>
        </w:r>
      </w:hyperlink>
      <w:r w:rsidR="00B727D6">
        <w:rPr>
          <w:noProof/>
        </w:rPr>
        <w:t>)</w:t>
      </w:r>
      <w:r w:rsidR="00B727D6">
        <w:fldChar w:fldCharType="end"/>
      </w:r>
      <w:r>
        <w:t>. Data provided by the NBA</w:t>
      </w:r>
      <w:r w:rsidR="00D2685B">
        <w:t xml:space="preserve"> (BloodSTAR)</w:t>
      </w:r>
      <w:r w:rsidR="003D5405">
        <w:t xml:space="preserve"> </w:t>
      </w:r>
      <w:r w:rsidR="00D2685B">
        <w:t>and analysed by the Department of Health</w:t>
      </w:r>
      <w:r>
        <w:t xml:space="preserve"> indicate that the average age of new patients receiv</w:t>
      </w:r>
      <w:r w:rsidR="00AD0A44">
        <w:t xml:space="preserve">ing Ig in 2019–20 was 65 years </w:t>
      </w:r>
      <w:r>
        <w:t xml:space="preserve">and average patient weight was 78 kg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t xml:space="preserve">. Age range reported for patients using IVIg was 2–90 years in the NBA reports for 2018–19 and 2019–20 </w:t>
      </w:r>
      <w:r w:rsidR="00B727D6">
        <w:fldChar w:fldCharType="begin"/>
      </w:r>
      <w:r w:rsidR="00B727D6">
        <w:instrText xml:space="preserve"> ADDIN EN.CITE &lt;EndNote&gt;&lt;Cite&gt;&lt;Author&gt;NBA&lt;/Author&gt;&lt;Year&gt;2018&lt;/Year&gt;&lt;RecNum&gt;1948&lt;/RecNum&gt;&lt;DisplayText&gt;(NBA 2018, 2020)&lt;/DisplayText&gt;&lt;record&gt;&lt;rec-number&gt;1948&lt;/rec-number&gt;&lt;foreign-keys&gt;&lt;key app="EN" db-id="xtr5xfx2xf0wd7e0s2qvst2ietxxf0tpzr9v" timestamp="1614134979"&gt;1948&lt;/key&gt;&lt;/foreign-keys&gt;&lt;ref-type name="Report"&gt;27&lt;/ref-type&gt;&lt;contributors&gt;&lt;authors&gt;&lt;author&gt;NBA&lt;/author&gt;&lt;/authors&gt;&lt;tertiary-authors&gt;&lt;author&gt;Union Offset Printers&lt;/author&gt;&lt;/tertiary-authors&gt;&lt;/contributors&gt;&lt;titles&gt;&lt;title&gt;National Blood Authority Annual Report 2017-18&lt;/title&gt;&lt;/titles&gt;&lt;dates&gt;&lt;year&gt;2018&lt;/year&gt;&lt;pub-dates&gt;&lt;date&gt;2 October 2018&lt;/date&gt;&lt;/pub-dates&gt;&lt;/dates&gt;&lt;publisher&gt;National Blood Authority&lt;/publisher&gt;&lt;urls&gt;&lt;related-urls&gt;&lt;url&gt;www.blood.gov.au/about-nba&lt;/url&gt;&lt;/related-urls&gt;&lt;/urls&gt;&lt;access-date&gt;18 January 2021&lt;/access-date&gt;&lt;/record&gt;&lt;/Cite&gt;&lt;Cite&gt;&lt;Author&gt;NBA&lt;/Author&gt;&lt;Year&gt;2020&lt;/Year&gt;&lt;RecNum&gt;1947&lt;/RecNum&gt;&lt;record&gt;&lt;rec-number&gt;1947&lt;/rec-number&gt;&lt;foreign-keys&gt;&lt;key app="EN" db-id="xtr5xfx2xf0wd7e0s2qvst2ietxxf0tpzr9v" timestamp="1614134940"&gt;1947&lt;/key&gt;&lt;/foreign-keys&gt;&lt;ref-type name="Report"&gt;27&lt;/ref-type&gt;&lt;contributors&gt;&lt;authors&gt;&lt;author&gt;NBA&lt;/author&gt;&lt;/authors&gt;&lt;/contributors&gt;&lt;titles&gt;&lt;title&gt;National Blood Authority Annual Report 2019-20&lt;/title&gt;&lt;/titles&gt;&lt;dates&gt;&lt;year&gt;2020&lt;/year&gt;&lt;/dates&gt;&lt;publisher&gt;National Blood Authority&lt;/publisher&gt;&lt;urls&gt;&lt;related-urls&gt;&lt;url&gt;www.blood.gov.au/about-nba&lt;/url&gt;&lt;/related-urls&gt;&lt;/urls&gt;&lt;access-date&gt;18 January 2021&lt;/access-date&gt;&lt;/record&gt;&lt;/Cite&gt;&lt;/EndNote&gt;</w:instrText>
      </w:r>
      <w:r w:rsidR="00B727D6">
        <w:fldChar w:fldCharType="separate"/>
      </w:r>
      <w:r w:rsidR="00B727D6">
        <w:rPr>
          <w:noProof/>
        </w:rPr>
        <w:t>(</w:t>
      </w:r>
      <w:hyperlink w:anchor="_ENREF_48" w:tooltip="NBA, 2018 #1948" w:history="1">
        <w:r w:rsidR="00D726F6">
          <w:rPr>
            <w:noProof/>
          </w:rPr>
          <w:t>NBA 2018</w:t>
        </w:r>
      </w:hyperlink>
      <w:r w:rsidR="00B727D6">
        <w:rPr>
          <w:noProof/>
        </w:rPr>
        <w:t xml:space="preserve">, </w:t>
      </w:r>
      <w:hyperlink w:anchor="_ENREF_49" w:tooltip="NBA, 2020 #1947" w:history="1">
        <w:r w:rsidR="00D726F6">
          <w:rPr>
            <w:noProof/>
          </w:rPr>
          <w:t>2020</w:t>
        </w:r>
      </w:hyperlink>
      <w:r w:rsidR="00B727D6">
        <w:rPr>
          <w:noProof/>
        </w:rPr>
        <w:t>)</w:t>
      </w:r>
      <w:r w:rsidR="00B727D6">
        <w:fldChar w:fldCharType="end"/>
      </w:r>
      <w:r>
        <w:t>. Age ranges of the participants in the key clinical trials are within the age range reported for patients with CIDP receiving Ig in Australian clinical practice.</w:t>
      </w:r>
    </w:p>
    <w:p w14:paraId="2B98B537" w14:textId="77777777" w:rsidR="00837294" w:rsidRDefault="00837294" w:rsidP="00837294">
      <w:pPr>
        <w:pStyle w:val="Heading3"/>
      </w:pPr>
      <w:bookmarkStart w:id="234" w:name="_Toc69305573"/>
      <w:r>
        <w:t>C.2.2.</w:t>
      </w:r>
      <w:r>
        <w:tab/>
      </w:r>
      <w:r>
        <w:tab/>
        <w:t xml:space="preserve">Ig </w:t>
      </w:r>
      <w:r w:rsidR="00176195">
        <w:t xml:space="preserve">and comparator </w:t>
      </w:r>
      <w:r>
        <w:t xml:space="preserve">dosing and </w:t>
      </w:r>
      <w:r w:rsidR="00176195">
        <w:t xml:space="preserve">administration </w:t>
      </w:r>
      <w:r>
        <w:t>frequency</w:t>
      </w:r>
      <w:bookmarkEnd w:id="234"/>
    </w:p>
    <w:p w14:paraId="1C6CD573" w14:textId="69E20FD9" w:rsidR="00837294" w:rsidRPr="00AF68CC" w:rsidRDefault="00837294" w:rsidP="00837294">
      <w:pPr>
        <w:rPr>
          <w:b/>
        </w:rPr>
      </w:pPr>
      <w:r w:rsidRPr="00AF68CC">
        <w:rPr>
          <w:b/>
        </w:rPr>
        <w:t>Is the Ig dosing and frequency of administration in the clinical trials consistent with the current recommendation in Australia (</w:t>
      </w:r>
      <w:r w:rsidR="00582814">
        <w:rPr>
          <w:b/>
        </w:rPr>
        <w:t>the Criteria V3</w:t>
      </w:r>
      <w:r w:rsidRPr="00AF68CC">
        <w:rPr>
          <w:b/>
        </w:rPr>
        <w:t>)</w:t>
      </w:r>
      <w:r w:rsidR="00176195">
        <w:rPr>
          <w:b/>
        </w:rPr>
        <w:t>, and are the doses of the comparators consistent with Australian clinical practice</w:t>
      </w:r>
      <w:r w:rsidRPr="00AF68CC">
        <w:rPr>
          <w:b/>
        </w:rPr>
        <w:t>?</w:t>
      </w:r>
    </w:p>
    <w:p w14:paraId="164567C9" w14:textId="5214ADF2" w:rsidR="00837294" w:rsidRDefault="00837294" w:rsidP="00D4771E">
      <w:pPr>
        <w:pStyle w:val="BodyTextSTD"/>
      </w:pPr>
      <w:r>
        <w:t xml:space="preserve">This pre-modelling study </w:t>
      </w:r>
      <w:r w:rsidRPr="00DA3C6E">
        <w:t>compare</w:t>
      </w:r>
      <w:r w:rsidR="00EA3B31">
        <w:t xml:space="preserve">s the </w:t>
      </w:r>
      <w:r w:rsidRPr="00DA3C6E">
        <w:t xml:space="preserve">recommended </w:t>
      </w:r>
      <w:r w:rsidR="003F4830">
        <w:t xml:space="preserve">IVIg </w:t>
      </w:r>
      <w:r w:rsidRPr="00DA3C6E">
        <w:t xml:space="preserve">doses in The Criteria V3, each RCT and the average dose used per </w:t>
      </w:r>
      <w:r w:rsidR="00D2685B">
        <w:t>patient</w:t>
      </w:r>
      <w:r w:rsidRPr="00DA3C6E">
        <w:t xml:space="preserve"> based on the utilisation data</w:t>
      </w:r>
      <w:r w:rsidR="00D2685B">
        <w:t xml:space="preserve"> from BloodSTAR</w:t>
      </w:r>
      <w:r w:rsidRPr="00DA3C6E">
        <w:t xml:space="preserve">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rsidR="003D5405">
        <w:t>. T</w:t>
      </w:r>
      <w:r w:rsidR="00176195">
        <w:t>he comparator</w:t>
      </w:r>
      <w:r w:rsidR="003D5405">
        <w:t xml:space="preserve"> (corticosteroids and PE)</w:t>
      </w:r>
      <w:r w:rsidR="00176195">
        <w:t xml:space="preserve"> dosing schedules</w:t>
      </w:r>
      <w:r w:rsidR="003D5405">
        <w:t xml:space="preserve"> in </w:t>
      </w:r>
      <w:r w:rsidR="007040A6">
        <w:t xml:space="preserve">the </w:t>
      </w:r>
      <w:r w:rsidR="003D5405">
        <w:t>RCTs</w:t>
      </w:r>
      <w:r w:rsidR="00176195">
        <w:t xml:space="preserve"> are compared </w:t>
      </w:r>
      <w:r w:rsidR="003D5405">
        <w:t xml:space="preserve">with those used in </w:t>
      </w:r>
      <w:r w:rsidR="00176195">
        <w:t xml:space="preserve">Australian </w:t>
      </w:r>
      <w:r w:rsidR="003D5405">
        <w:t xml:space="preserve">clinical </w:t>
      </w:r>
      <w:r w:rsidR="00176195">
        <w:t>practice</w:t>
      </w:r>
      <w:r w:rsidRPr="00DA3C6E">
        <w:t>.</w:t>
      </w:r>
    </w:p>
    <w:p w14:paraId="7FAB36AC" w14:textId="42C35C75" w:rsidR="00837294" w:rsidRDefault="00EA3B31" w:rsidP="00D4771E">
      <w:pPr>
        <w:pStyle w:val="BodyTextSTD"/>
      </w:pPr>
      <w:r>
        <w:t>The</w:t>
      </w:r>
      <w:r w:rsidR="00837294">
        <w:t xml:space="preserve"> </w:t>
      </w:r>
      <w:r w:rsidR="00666905">
        <w:t xml:space="preserve">recommendations </w:t>
      </w:r>
      <w:r w:rsidR="00837294">
        <w:t xml:space="preserve">outlined in </w:t>
      </w:r>
      <w:r w:rsidR="00582814" w:rsidRPr="00582814">
        <w:t>the Criteria V3</w:t>
      </w:r>
      <w:r w:rsidR="00582814">
        <w:t xml:space="preserve"> </w:t>
      </w:r>
      <w:r w:rsidR="00847BEA" w:rsidRPr="00DA3C6E">
        <w:t>differentia</w:t>
      </w:r>
      <w:r w:rsidR="00847BEA">
        <w:t xml:space="preserve">te between </w:t>
      </w:r>
      <w:r w:rsidR="00CE348F">
        <w:t xml:space="preserve">the </w:t>
      </w:r>
      <w:r w:rsidR="00847BEA" w:rsidRPr="00DA3C6E">
        <w:t xml:space="preserve">induction </w:t>
      </w:r>
      <w:r w:rsidR="00CE348F">
        <w:t>phase</w:t>
      </w:r>
      <w:r w:rsidR="00CE348F" w:rsidRPr="00DA3C6E">
        <w:t xml:space="preserve"> </w:t>
      </w:r>
      <w:r w:rsidR="00847BEA" w:rsidRPr="00DA3C6E">
        <w:t xml:space="preserve">and </w:t>
      </w:r>
      <w:r w:rsidR="00847BEA">
        <w:t>maintenance dosing of IVIg treatment. Initial treatment refer</w:t>
      </w:r>
      <w:r w:rsidR="00CE348F">
        <w:t>s</w:t>
      </w:r>
      <w:r w:rsidR="00847BEA">
        <w:t xml:space="preserve"> to </w:t>
      </w:r>
      <w:r w:rsidR="00837294">
        <w:t>patients commencing Ig treatment</w:t>
      </w:r>
      <w:r w:rsidR="00666905">
        <w:t>,</w:t>
      </w:r>
      <w:r w:rsidR="00837294">
        <w:t xml:space="preserve"> and those who have relapsed within six months of a trial off</w:t>
      </w:r>
      <w:r>
        <w:t>-</w:t>
      </w:r>
      <w:r w:rsidR="00837294">
        <w:t xml:space="preserve">therapy. </w:t>
      </w:r>
      <w:r w:rsidR="00CE348F">
        <w:t>The recommendations are</w:t>
      </w:r>
      <w:r w:rsidR="00666905">
        <w:t>;</w:t>
      </w:r>
      <w:r w:rsidR="00837294">
        <w:t xml:space="preserve"> </w:t>
      </w:r>
      <w:r w:rsidR="00837294" w:rsidRPr="002C5FF4">
        <w:rPr>
          <w:b/>
        </w:rPr>
        <w:t>an</w:t>
      </w:r>
      <w:r w:rsidR="00837294">
        <w:t xml:space="preserve"> </w:t>
      </w:r>
      <w:r w:rsidR="00837294" w:rsidRPr="002C5FF4">
        <w:rPr>
          <w:b/>
        </w:rPr>
        <w:t xml:space="preserve">induction dose of 2g/kg in 2–5 divided doses and a maintenance dose of 0.4–1 g/kg once every </w:t>
      </w:r>
      <w:r w:rsidR="00C12738">
        <w:rPr>
          <w:b/>
        </w:rPr>
        <w:t xml:space="preserve">two to six </w:t>
      </w:r>
      <w:r w:rsidR="00837294" w:rsidRPr="002C5FF4">
        <w:rPr>
          <w:b/>
        </w:rPr>
        <w:t xml:space="preserve">weeks. A maximum dose of 2g/kg may be given in any </w:t>
      </w:r>
      <w:r w:rsidR="00C12738">
        <w:rPr>
          <w:b/>
        </w:rPr>
        <w:t xml:space="preserve">four </w:t>
      </w:r>
      <w:r w:rsidR="00837294" w:rsidRPr="002C5FF4">
        <w:rPr>
          <w:b/>
        </w:rPr>
        <w:t>week period.</w:t>
      </w:r>
      <w:r w:rsidR="00837294">
        <w:t xml:space="preserve"> </w:t>
      </w:r>
      <w:r w:rsidR="00176195">
        <w:t>T</w:t>
      </w:r>
      <w:r w:rsidR="00837294">
        <w:t xml:space="preserve">he Criteria </w:t>
      </w:r>
      <w:r w:rsidR="00582814">
        <w:t>V</w:t>
      </w:r>
      <w:r w:rsidR="00837294">
        <w:t>3 suggests</w:t>
      </w:r>
      <w:r w:rsidR="00837294" w:rsidRPr="00DA3C6E">
        <w:t xml:space="preserve"> the aim is to administer the lowest dose that achieves the appropriate clinical outcome for each patient. </w:t>
      </w:r>
    </w:p>
    <w:p w14:paraId="665D6E93" w14:textId="7E61FC12" w:rsidR="002535F4" w:rsidRDefault="002535F4" w:rsidP="002535F4">
      <w:pPr>
        <w:pStyle w:val="BodyTextSTD"/>
      </w:pPr>
      <w:r>
        <w:t>Th</w:t>
      </w:r>
      <w:r w:rsidR="00A66394">
        <w:t xml:space="preserve">e </w:t>
      </w:r>
      <w:r w:rsidR="00201335">
        <w:t>Criteria V</w:t>
      </w:r>
      <w:r w:rsidR="00A66394">
        <w:t xml:space="preserve">3 recommendations are </w:t>
      </w:r>
      <w:r>
        <w:t xml:space="preserve">consistent with the clinical expert advice </w:t>
      </w:r>
      <w:r w:rsidR="00B727D6">
        <w:fldChar w:fldCharType="begin"/>
      </w:r>
      <w:r w:rsidR="00B727D6">
        <w:instrText xml:space="preserve"> ADDIN EN.CITE &lt;EndNote&gt;&lt;Cite&gt;&lt;Author&gt;Department of Health&lt;/Author&gt;&lt;Year&gt;2021&lt;/Year&gt;&lt;RecNum&gt;1954&lt;/RecNum&gt;&lt;DisplayText&gt;(Department of Health 2021a)&lt;/DisplayText&gt;&lt;record&gt;&lt;rec-number&gt;1954&lt;/rec-number&gt;&lt;foreign-keys&gt;&lt;key app="EN" db-id="xtr5xfx2xf0wd7e0s2qvst2ietxxf0tpzr9v" timestamp="1614643814"&gt;1954&lt;/key&gt;&lt;/foreign-keys&gt;&lt;ref-type name="Personal Communication"&gt;26&lt;/ref-type&gt;&lt;contributors&gt;&lt;authors&gt;&lt;author&gt;Department of Health,&lt;/author&gt;&lt;/authors&gt;&lt;/contributors&gt;&lt;titles&gt;&lt;title&gt;Clinical expert advice provided as feedback to the draft MSAC 1564.1 report&lt;/title&gt;&lt;/titles&gt;&lt;dates&gt;&lt;year&gt;2021&lt;/year&gt;&lt;/dates&gt;&lt;urls&gt;&lt;/urls&gt;&lt;/record&gt;&lt;/Cite&gt;&lt;/EndNote&gt;</w:instrText>
      </w:r>
      <w:r w:rsidR="00B727D6">
        <w:fldChar w:fldCharType="separate"/>
      </w:r>
      <w:r w:rsidR="00B727D6">
        <w:rPr>
          <w:noProof/>
        </w:rPr>
        <w:t>(</w:t>
      </w:r>
      <w:hyperlink w:anchor="_ENREF_12" w:tooltip="Department of Health, 2021 #1954" w:history="1">
        <w:r w:rsidR="00D726F6">
          <w:rPr>
            <w:noProof/>
          </w:rPr>
          <w:t>Department of Health 2021a</w:t>
        </w:r>
      </w:hyperlink>
      <w:r w:rsidR="00B727D6">
        <w:rPr>
          <w:noProof/>
        </w:rPr>
        <w:t>)</w:t>
      </w:r>
      <w:r w:rsidR="00B727D6">
        <w:fldChar w:fldCharType="end"/>
      </w:r>
      <w:r>
        <w:t xml:space="preserve">, </w:t>
      </w:r>
      <w:r w:rsidR="00A66394">
        <w:t xml:space="preserve">that </w:t>
      </w:r>
      <w:r w:rsidRPr="008D539F">
        <w:t xml:space="preserve">Australian neurologists </w:t>
      </w:r>
      <w:r>
        <w:t>generally authorise</w:t>
      </w:r>
      <w:r w:rsidRPr="008D539F">
        <w:t xml:space="preserve"> 2g/kg </w:t>
      </w:r>
      <w:r>
        <w:t xml:space="preserve">as an initial </w:t>
      </w:r>
      <w:r w:rsidRPr="008D539F">
        <w:t>load</w:t>
      </w:r>
      <w:r>
        <w:t>ing dose of IVIg followed by</w:t>
      </w:r>
      <w:r w:rsidRPr="008D539F">
        <w:t xml:space="preserve"> </w:t>
      </w:r>
      <w:r>
        <w:t xml:space="preserve">0.4g/kg IVIg every </w:t>
      </w:r>
      <w:r w:rsidR="00C12738">
        <w:t>four </w:t>
      </w:r>
      <w:r w:rsidRPr="008D539F">
        <w:t xml:space="preserve">weeks </w:t>
      </w:r>
      <w:r>
        <w:t xml:space="preserve">as a </w:t>
      </w:r>
      <w:r w:rsidRPr="008D539F">
        <w:t>maintenance</w:t>
      </w:r>
      <w:r>
        <w:t xml:space="preserve"> dose. Dose and administration frequency are then titrated based on the patient’s response. I</w:t>
      </w:r>
      <w:r w:rsidRPr="008D539F">
        <w:t>f the patient deteriorates</w:t>
      </w:r>
      <w:r>
        <w:t>, the maintenance dose is</w:t>
      </w:r>
      <w:r w:rsidRPr="008D539F">
        <w:t xml:space="preserve"> increase</w:t>
      </w:r>
      <w:r>
        <w:t>d (mostly in the range 0.4–0.7 g/kg).</w:t>
      </w:r>
    </w:p>
    <w:p w14:paraId="2967F49D" w14:textId="213D4862" w:rsidR="00666905" w:rsidRPr="00317C57" w:rsidRDefault="00837294" w:rsidP="00317C57">
      <w:pPr>
        <w:pStyle w:val="BodyTextSTD"/>
      </w:pPr>
      <w:r w:rsidRPr="00317C57">
        <w:t>A summary of the dosing and frequency of administration in the key clinical trials is presented in</w:t>
      </w:r>
      <w:r w:rsidR="00317C57" w:rsidRPr="00317C57">
        <w:t xml:space="preserve"> </w:t>
      </w:r>
      <w:r w:rsidR="00317C57" w:rsidRPr="00317C57">
        <w:fldChar w:fldCharType="begin"/>
      </w:r>
      <w:r w:rsidR="00317C57" w:rsidRPr="00317C57">
        <w:instrText xml:space="preserve"> REF _Ref66377479 \h  \* MERGEFORMAT </w:instrText>
      </w:r>
      <w:r w:rsidR="00317C57" w:rsidRPr="00317C57">
        <w:fldChar w:fldCharType="separate"/>
      </w:r>
      <w:r w:rsidR="004B3EA2" w:rsidRPr="00666905">
        <w:t xml:space="preserve">Table </w:t>
      </w:r>
      <w:r w:rsidR="004B3EA2">
        <w:t>27</w:t>
      </w:r>
      <w:r w:rsidR="00317C57" w:rsidRPr="00317C57">
        <w:fldChar w:fldCharType="end"/>
      </w:r>
      <w:r w:rsidRPr="00317C57">
        <w:t>.</w:t>
      </w:r>
    </w:p>
    <w:p w14:paraId="14200481" w14:textId="4E188E5A" w:rsidR="00666905" w:rsidRPr="00666905" w:rsidRDefault="00666905" w:rsidP="00424D25">
      <w:pPr>
        <w:pStyle w:val="Caption"/>
      </w:pPr>
      <w:bookmarkStart w:id="235" w:name="_Ref66377479"/>
      <w:bookmarkStart w:id="236" w:name="_Toc69305668"/>
      <w:r w:rsidRPr="00666905">
        <w:t xml:space="preserve">Table </w:t>
      </w:r>
      <w:r w:rsidRPr="00666905">
        <w:rPr>
          <w:noProof/>
        </w:rPr>
        <w:fldChar w:fldCharType="begin"/>
      </w:r>
      <w:r w:rsidRPr="00666905">
        <w:rPr>
          <w:noProof/>
        </w:rPr>
        <w:instrText xml:space="preserve"> SEQ Table \* ARABIC </w:instrText>
      </w:r>
      <w:r w:rsidRPr="00666905">
        <w:rPr>
          <w:noProof/>
        </w:rPr>
        <w:fldChar w:fldCharType="separate"/>
      </w:r>
      <w:r w:rsidR="004B3EA2">
        <w:rPr>
          <w:noProof/>
        </w:rPr>
        <w:t>27</w:t>
      </w:r>
      <w:r w:rsidRPr="00666905">
        <w:rPr>
          <w:noProof/>
        </w:rPr>
        <w:fldChar w:fldCharType="end"/>
      </w:r>
      <w:bookmarkEnd w:id="235"/>
      <w:r w:rsidRPr="00666905">
        <w:rPr>
          <w:noProof/>
        </w:rPr>
        <w:tab/>
      </w:r>
      <w:r>
        <w:t>IVIg and comparator dosing regimens</w:t>
      </w:r>
      <w:r w:rsidRPr="00666905">
        <w:t xml:space="preserve"> in the key trials</w:t>
      </w:r>
      <w:bookmarkEnd w:id="236"/>
      <w:r w:rsidRPr="0066690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VIg and comparator dosing regimens in the key trials "/>
        <w:tblDescription w:val="IVIg and comparator dosing regimens in the key trials "/>
      </w:tblPr>
      <w:tblGrid>
        <w:gridCol w:w="1980"/>
        <w:gridCol w:w="7036"/>
      </w:tblGrid>
      <w:tr w:rsidR="00666905" w:rsidRPr="00666905" w14:paraId="32BEC2F6" w14:textId="77777777" w:rsidTr="00666905">
        <w:trPr>
          <w:trHeight w:val="269"/>
          <w:tblHeader/>
        </w:trPr>
        <w:tc>
          <w:tcPr>
            <w:tcW w:w="1098" w:type="pct"/>
            <w:vMerge w:val="restart"/>
            <w:shd w:val="clear" w:color="auto" w:fill="auto"/>
            <w:vAlign w:val="center"/>
          </w:tcPr>
          <w:p w14:paraId="2B5977B2" w14:textId="77777777" w:rsidR="00666905" w:rsidRPr="00666905" w:rsidRDefault="00666905" w:rsidP="00666905">
            <w:pPr>
              <w:spacing w:before="40" w:after="40" w:line="240" w:lineRule="auto"/>
              <w:rPr>
                <w:rFonts w:ascii="Arial Narrow" w:eastAsia="Calibri" w:hAnsi="Arial Narrow"/>
                <w:b/>
                <w:sz w:val="20"/>
                <w:szCs w:val="20"/>
                <w:lang w:eastAsia="en-US"/>
              </w:rPr>
            </w:pPr>
            <w:r w:rsidRPr="00666905">
              <w:rPr>
                <w:rFonts w:ascii="Arial Narrow" w:eastAsia="Calibri" w:hAnsi="Arial Narrow"/>
                <w:b/>
                <w:sz w:val="20"/>
                <w:szCs w:val="20"/>
                <w:lang w:eastAsia="en-US"/>
              </w:rPr>
              <w:t>Study</w:t>
            </w:r>
          </w:p>
        </w:tc>
        <w:tc>
          <w:tcPr>
            <w:tcW w:w="3902" w:type="pct"/>
            <w:vMerge w:val="restart"/>
            <w:shd w:val="clear" w:color="auto" w:fill="auto"/>
            <w:vAlign w:val="center"/>
          </w:tcPr>
          <w:p w14:paraId="2251AF4C" w14:textId="77777777" w:rsidR="00666905" w:rsidRPr="00666905" w:rsidRDefault="00666905" w:rsidP="00666905">
            <w:pPr>
              <w:keepNext/>
              <w:spacing w:before="40" w:after="40" w:line="240" w:lineRule="auto"/>
              <w:jc w:val="center"/>
              <w:rPr>
                <w:rFonts w:ascii="Arial Narrow" w:eastAsia="Calibri" w:hAnsi="Arial Narrow"/>
                <w:b/>
                <w:sz w:val="20"/>
                <w:szCs w:val="20"/>
                <w:lang w:eastAsia="en-US"/>
              </w:rPr>
            </w:pPr>
            <w:r w:rsidRPr="00666905">
              <w:rPr>
                <w:rFonts w:ascii="Arial Narrow" w:eastAsia="Calibri" w:hAnsi="Arial Narrow"/>
                <w:b/>
                <w:sz w:val="20"/>
                <w:szCs w:val="20"/>
                <w:lang w:eastAsia="en-US"/>
              </w:rPr>
              <w:t>Intervention and Comparator</w:t>
            </w:r>
          </w:p>
        </w:tc>
      </w:tr>
      <w:tr w:rsidR="00666905" w:rsidRPr="00666905" w14:paraId="47E1C159" w14:textId="77777777" w:rsidTr="00176195">
        <w:trPr>
          <w:trHeight w:val="309"/>
        </w:trPr>
        <w:tc>
          <w:tcPr>
            <w:tcW w:w="1098" w:type="pct"/>
            <w:vMerge/>
            <w:shd w:val="clear" w:color="auto" w:fill="auto"/>
            <w:vAlign w:val="center"/>
          </w:tcPr>
          <w:p w14:paraId="5B4A34BA" w14:textId="77777777" w:rsidR="00666905" w:rsidRPr="00666905" w:rsidRDefault="00666905" w:rsidP="00666905">
            <w:pPr>
              <w:spacing w:before="40" w:after="40" w:line="240" w:lineRule="auto"/>
              <w:rPr>
                <w:rFonts w:ascii="Arial Narrow" w:eastAsia="Calibri" w:hAnsi="Arial Narrow"/>
                <w:b/>
                <w:sz w:val="20"/>
                <w:szCs w:val="20"/>
                <w:lang w:eastAsia="en-US"/>
              </w:rPr>
            </w:pPr>
          </w:p>
        </w:tc>
        <w:tc>
          <w:tcPr>
            <w:tcW w:w="3902" w:type="pct"/>
            <w:vMerge/>
            <w:shd w:val="clear" w:color="auto" w:fill="auto"/>
            <w:vAlign w:val="center"/>
          </w:tcPr>
          <w:p w14:paraId="48D5A9D9" w14:textId="77777777" w:rsidR="00666905" w:rsidRPr="00666905" w:rsidRDefault="00666905" w:rsidP="00666905">
            <w:pPr>
              <w:keepNext/>
              <w:spacing w:before="40" w:after="40" w:line="240" w:lineRule="auto"/>
              <w:jc w:val="center"/>
              <w:rPr>
                <w:rFonts w:ascii="Arial Narrow" w:eastAsia="Calibri" w:hAnsi="Arial Narrow"/>
                <w:b/>
                <w:sz w:val="20"/>
                <w:szCs w:val="20"/>
                <w:lang w:eastAsia="en-US"/>
              </w:rPr>
            </w:pPr>
          </w:p>
        </w:tc>
      </w:tr>
      <w:tr w:rsidR="00666905" w:rsidRPr="00666905" w14:paraId="43652DC2" w14:textId="77777777" w:rsidTr="00666905">
        <w:tc>
          <w:tcPr>
            <w:tcW w:w="1098" w:type="pct"/>
            <w:shd w:val="clear" w:color="auto" w:fill="auto"/>
          </w:tcPr>
          <w:p w14:paraId="3AC3532A" w14:textId="470E9A10" w:rsidR="00666905" w:rsidRPr="00666905" w:rsidRDefault="00666905" w:rsidP="00D726F6">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 xml:space="preserve">Hahn et al </w:t>
            </w:r>
            <w:r w:rsidR="00B727D6">
              <w:rPr>
                <w:rFonts w:ascii="Arial Narrow" w:eastAsia="Calibri" w:hAnsi="Arial Narrow"/>
                <w:sz w:val="20"/>
                <w:szCs w:val="20"/>
                <w:lang w:eastAsia="en-US"/>
              </w:rPr>
              <w:fldChar w:fldCharType="begin">
                <w:fldData xml:space="preserve">PEVuZE5vdGU+PENpdGU+PEF1dGhvcj5IYWhuPC9BdXRob3I+PFllYXI+MTk5NjwvWWVhcj48UmVj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</w:fldData>
              </w:fldChar>
            </w:r>
            <w:r w:rsidR="00B727D6">
              <w:rPr>
                <w:rFonts w:ascii="Arial Narrow" w:eastAsia="Calibri" w:hAnsi="Arial Narrow"/>
                <w:sz w:val="20"/>
                <w:szCs w:val="20"/>
                <w:lang w:eastAsia="en-US"/>
              </w:rPr>
              <w:instrText xml:space="preserve"> ADDIN EN.CITE </w:instrText>
            </w:r>
            <w:r w:rsidR="00B727D6">
              <w:rPr>
                <w:rFonts w:ascii="Arial Narrow" w:eastAsia="Calibri" w:hAnsi="Arial Narrow"/>
                <w:sz w:val="20"/>
                <w:szCs w:val="20"/>
                <w:lang w:eastAsia="en-US"/>
              </w:rPr>
              <w:fldChar w:fldCharType="begin">
                <w:fldData xml:space="preserve">PEVuZE5vdGU+PENpdGU+PEF1dGhvcj5IYWhuPC9BdXRob3I+PFllYXI+MTk5NjwvWWVhcj48UmVj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</w:fldData>
              </w:fldChar>
            </w:r>
            <w:r w:rsidR="00B727D6">
              <w:rPr>
                <w:rFonts w:ascii="Arial Narrow" w:eastAsia="Calibri" w:hAnsi="Arial Narrow"/>
                <w:sz w:val="20"/>
                <w:szCs w:val="20"/>
                <w:lang w:eastAsia="en-US"/>
              </w:rPr>
              <w:instrText xml:space="preserve"> ADDIN EN.CITE.DATA </w:instrText>
            </w:r>
            <w:r w:rsidR="00B727D6">
              <w:rPr>
                <w:rFonts w:ascii="Arial Narrow" w:eastAsia="Calibri" w:hAnsi="Arial Narrow"/>
                <w:sz w:val="20"/>
                <w:szCs w:val="20"/>
                <w:lang w:eastAsia="en-US"/>
              </w:rPr>
            </w:r>
            <w:r w:rsidR="00B727D6">
              <w:rPr>
                <w:rFonts w:ascii="Arial Narrow" w:eastAsia="Calibri" w:hAnsi="Arial Narrow"/>
                <w:sz w:val="20"/>
                <w:szCs w:val="20"/>
                <w:lang w:eastAsia="en-US"/>
              </w:rPr>
              <w:fldChar w:fldCharType="end"/>
            </w:r>
            <w:r w:rsidR="00B727D6">
              <w:rPr>
                <w:rFonts w:ascii="Arial Narrow" w:eastAsia="Calibri" w:hAnsi="Arial Narrow"/>
                <w:sz w:val="20"/>
                <w:szCs w:val="20"/>
                <w:lang w:eastAsia="en-US"/>
              </w:rPr>
            </w:r>
            <w:r w:rsidR="00B727D6">
              <w:rPr>
                <w:rFonts w:ascii="Arial Narrow" w:eastAsia="Calibri" w:hAnsi="Arial Narrow"/>
                <w:sz w:val="20"/>
                <w:szCs w:val="20"/>
                <w:lang w:eastAsia="en-US"/>
              </w:rPr>
              <w:fldChar w:fldCharType="separate"/>
            </w:r>
            <w:r w:rsidR="00B727D6">
              <w:rPr>
                <w:rFonts w:ascii="Arial Narrow" w:eastAsia="Calibri" w:hAnsi="Arial Narrow"/>
                <w:noProof/>
                <w:sz w:val="20"/>
                <w:szCs w:val="20"/>
                <w:lang w:eastAsia="en-US"/>
              </w:rPr>
              <w:t>(</w:t>
            </w:r>
            <w:hyperlink w:anchor="_ENREF_26" w:tooltip="Hahn, 1996 #383" w:history="1">
              <w:r w:rsidR="00D726F6">
                <w:rPr>
                  <w:rFonts w:ascii="Arial Narrow" w:eastAsia="Calibri" w:hAnsi="Arial Narrow"/>
                  <w:noProof/>
                  <w:sz w:val="20"/>
                  <w:szCs w:val="20"/>
                  <w:lang w:eastAsia="en-US"/>
                </w:rPr>
                <w:t>Hahn, Bolton, Zochodne, et al. 1996</w:t>
              </w:r>
            </w:hyperlink>
            <w:r w:rsidR="00B727D6">
              <w:rPr>
                <w:rFonts w:ascii="Arial Narrow" w:eastAsia="Calibri" w:hAnsi="Arial Narrow"/>
                <w:noProof/>
                <w:sz w:val="20"/>
                <w:szCs w:val="20"/>
                <w:lang w:eastAsia="en-US"/>
              </w:rPr>
              <w:t>)</w:t>
            </w:r>
            <w:r w:rsidR="00B727D6">
              <w:rPr>
                <w:rFonts w:ascii="Arial Narrow" w:eastAsia="Calibri" w:hAnsi="Arial Narrow"/>
                <w:sz w:val="20"/>
                <w:szCs w:val="20"/>
                <w:lang w:eastAsia="en-US"/>
              </w:rPr>
              <w:fldChar w:fldCharType="end"/>
            </w:r>
          </w:p>
        </w:tc>
        <w:tc>
          <w:tcPr>
            <w:tcW w:w="3902" w:type="pct"/>
            <w:shd w:val="clear" w:color="auto" w:fill="auto"/>
          </w:tcPr>
          <w:p w14:paraId="725A584F" w14:textId="77777777" w:rsidR="00666905" w:rsidRPr="00666905" w:rsidRDefault="00666905" w:rsidP="00666905">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IVIg: 0.4 g/kg daily for 5 consecutive days</w:t>
            </w:r>
            <w:r w:rsidR="00B721DD">
              <w:rPr>
                <w:rFonts w:ascii="Arial Narrow" w:eastAsia="Calibri" w:hAnsi="Arial Narrow"/>
                <w:sz w:val="20"/>
                <w:szCs w:val="20"/>
                <w:lang w:eastAsia="en-US"/>
              </w:rPr>
              <w:t>, once</w:t>
            </w:r>
          </w:p>
          <w:p w14:paraId="0EFAB7AD" w14:textId="77777777" w:rsidR="00666905" w:rsidRPr="00666905" w:rsidRDefault="00666905" w:rsidP="00666905">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Placebo: 10% dextrose daily for 5 consecutive days</w:t>
            </w:r>
            <w:r w:rsidR="00B721DD">
              <w:rPr>
                <w:rFonts w:ascii="Arial Narrow" w:eastAsia="Calibri" w:hAnsi="Arial Narrow"/>
                <w:sz w:val="20"/>
                <w:szCs w:val="20"/>
                <w:lang w:eastAsia="en-US"/>
              </w:rPr>
              <w:t>, once</w:t>
            </w:r>
          </w:p>
        </w:tc>
      </w:tr>
      <w:tr w:rsidR="00666905" w:rsidRPr="00666905" w14:paraId="0E4CF73C" w14:textId="77777777" w:rsidTr="00666905">
        <w:tc>
          <w:tcPr>
            <w:tcW w:w="1098" w:type="pct"/>
            <w:shd w:val="clear" w:color="auto" w:fill="auto"/>
          </w:tcPr>
          <w:p w14:paraId="1B993103" w14:textId="16393613" w:rsidR="00666905" w:rsidRPr="00666905" w:rsidRDefault="00666905" w:rsidP="00D726F6">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 xml:space="preserve">ICE Study </w:t>
            </w:r>
            <w:r w:rsidR="00B727D6">
              <w:rPr>
                <w:rFonts w:ascii="Arial Narrow" w:eastAsia="Calibri" w:hAnsi="Arial Narrow"/>
                <w:sz w:val="20"/>
                <w:szCs w:val="20"/>
                <w:lang w:eastAsia="en-US"/>
              </w:rPr>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rPr>
                <w:rFonts w:ascii="Arial Narrow" w:eastAsia="Calibri" w:hAnsi="Arial Narrow"/>
                <w:sz w:val="20"/>
                <w:szCs w:val="20"/>
                <w:lang w:eastAsia="en-US"/>
              </w:rPr>
              <w:instrText xml:space="preserve"> ADDIN EN.CITE </w:instrText>
            </w:r>
            <w:r w:rsidR="00B727D6">
              <w:rPr>
                <w:rFonts w:ascii="Arial Narrow" w:eastAsia="Calibri" w:hAnsi="Arial Narrow"/>
                <w:sz w:val="20"/>
                <w:szCs w:val="20"/>
                <w:lang w:eastAsia="en-US"/>
              </w:rPr>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rPr>
                <w:rFonts w:ascii="Arial Narrow" w:eastAsia="Calibri" w:hAnsi="Arial Narrow"/>
                <w:sz w:val="20"/>
                <w:szCs w:val="20"/>
                <w:lang w:eastAsia="en-US"/>
              </w:rPr>
              <w:instrText xml:space="preserve"> ADDIN EN.CITE.DATA </w:instrText>
            </w:r>
            <w:r w:rsidR="00B727D6">
              <w:rPr>
                <w:rFonts w:ascii="Arial Narrow" w:eastAsia="Calibri" w:hAnsi="Arial Narrow"/>
                <w:sz w:val="20"/>
                <w:szCs w:val="20"/>
                <w:lang w:eastAsia="en-US"/>
              </w:rPr>
            </w:r>
            <w:r w:rsidR="00B727D6">
              <w:rPr>
                <w:rFonts w:ascii="Arial Narrow" w:eastAsia="Calibri" w:hAnsi="Arial Narrow"/>
                <w:sz w:val="20"/>
                <w:szCs w:val="20"/>
                <w:lang w:eastAsia="en-US"/>
              </w:rPr>
              <w:fldChar w:fldCharType="end"/>
            </w:r>
            <w:r w:rsidR="00B727D6">
              <w:rPr>
                <w:rFonts w:ascii="Arial Narrow" w:eastAsia="Calibri" w:hAnsi="Arial Narrow"/>
                <w:sz w:val="20"/>
                <w:szCs w:val="20"/>
                <w:lang w:eastAsia="en-US"/>
              </w:rPr>
            </w:r>
            <w:r w:rsidR="00B727D6">
              <w:rPr>
                <w:rFonts w:ascii="Arial Narrow" w:eastAsia="Calibri" w:hAnsi="Arial Narrow"/>
                <w:sz w:val="20"/>
                <w:szCs w:val="20"/>
                <w:lang w:eastAsia="en-US"/>
              </w:rPr>
              <w:fldChar w:fldCharType="separate"/>
            </w:r>
            <w:r w:rsidR="00B727D6">
              <w:rPr>
                <w:rFonts w:ascii="Arial Narrow" w:eastAsia="Calibri" w:hAnsi="Arial Narrow"/>
                <w:noProof/>
                <w:sz w:val="20"/>
                <w:szCs w:val="20"/>
                <w:lang w:eastAsia="en-US"/>
              </w:rPr>
              <w:t>(</w:t>
            </w:r>
            <w:hyperlink w:anchor="_ENREF_28" w:tooltip="Hughes, 2008 #1205" w:history="1">
              <w:r w:rsidR="00D726F6">
                <w:rPr>
                  <w:rFonts w:ascii="Arial Narrow" w:eastAsia="Calibri" w:hAnsi="Arial Narrow"/>
                  <w:noProof/>
                  <w:sz w:val="20"/>
                  <w:szCs w:val="20"/>
                  <w:lang w:eastAsia="en-US"/>
                </w:rPr>
                <w:t>Hughes et al. 2008</w:t>
              </w:r>
            </w:hyperlink>
            <w:r w:rsidR="00B727D6">
              <w:rPr>
                <w:rFonts w:ascii="Arial Narrow" w:eastAsia="Calibri" w:hAnsi="Arial Narrow"/>
                <w:noProof/>
                <w:sz w:val="20"/>
                <w:szCs w:val="20"/>
                <w:lang w:eastAsia="en-US"/>
              </w:rPr>
              <w:t>)</w:t>
            </w:r>
            <w:r w:rsidR="00B727D6">
              <w:rPr>
                <w:rFonts w:ascii="Arial Narrow" w:eastAsia="Calibri" w:hAnsi="Arial Narrow"/>
                <w:sz w:val="20"/>
                <w:szCs w:val="20"/>
                <w:lang w:eastAsia="en-US"/>
              </w:rPr>
              <w:fldChar w:fldCharType="end"/>
            </w:r>
          </w:p>
        </w:tc>
        <w:tc>
          <w:tcPr>
            <w:tcW w:w="3902" w:type="pct"/>
            <w:shd w:val="clear" w:color="auto" w:fill="auto"/>
          </w:tcPr>
          <w:p w14:paraId="5EFA0925" w14:textId="77777777" w:rsidR="00666905" w:rsidRPr="00666905" w:rsidRDefault="00666905" w:rsidP="00666905">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IVIg: Baseline loading dose of 2.0 g/kg over 2–4 d</w:t>
            </w:r>
            <w:r w:rsidR="002C5FF4">
              <w:rPr>
                <w:rFonts w:ascii="Arial Narrow" w:eastAsia="Calibri" w:hAnsi="Arial Narrow"/>
                <w:sz w:val="20"/>
                <w:szCs w:val="20"/>
                <w:lang w:eastAsia="en-US"/>
              </w:rPr>
              <w:t>,</w:t>
            </w:r>
            <w:r w:rsidRPr="00666905">
              <w:rPr>
                <w:rFonts w:ascii="Arial Narrow" w:eastAsia="Calibri" w:hAnsi="Arial Narrow"/>
                <w:sz w:val="20"/>
                <w:szCs w:val="20"/>
                <w:lang w:eastAsia="en-US"/>
              </w:rPr>
              <w:t xml:space="preserve"> followed by a maintenance infusion of 1 g/kg over 1–2 d every 3 wk for 24 wk.</w:t>
            </w:r>
          </w:p>
          <w:p w14:paraId="393DAE1A" w14:textId="77777777" w:rsidR="00666905" w:rsidRPr="00666905" w:rsidRDefault="00666905" w:rsidP="00666905">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Placebo (0.1% albumin)</w:t>
            </w:r>
          </w:p>
        </w:tc>
      </w:tr>
      <w:tr w:rsidR="00666905" w:rsidRPr="00666905" w14:paraId="15CECDE5" w14:textId="77777777" w:rsidTr="00666905">
        <w:tc>
          <w:tcPr>
            <w:tcW w:w="1098" w:type="pct"/>
            <w:shd w:val="clear" w:color="auto" w:fill="auto"/>
          </w:tcPr>
          <w:p w14:paraId="39B57FD4" w14:textId="2BDC3DB6" w:rsidR="00666905" w:rsidRPr="00666905" w:rsidRDefault="00666905" w:rsidP="00D726F6">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 xml:space="preserve">Nobile-Orazio et al </w:t>
            </w:r>
            <w:r w:rsidR="00B727D6">
              <w:rPr>
                <w:rFonts w:ascii="Arial Narrow" w:eastAsia="Calibri" w:hAnsi="Arial Narrow"/>
                <w:sz w:val="20"/>
                <w:szCs w:val="20"/>
                <w:lang w:eastAsia="en-US"/>
              </w:rP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rPr>
                <w:rFonts w:ascii="Arial Narrow" w:eastAsia="Calibri" w:hAnsi="Arial Narrow"/>
                <w:sz w:val="20"/>
                <w:szCs w:val="20"/>
                <w:lang w:eastAsia="en-US"/>
              </w:rPr>
              <w:instrText xml:space="preserve"> ADDIN EN.CITE </w:instrText>
            </w:r>
            <w:r w:rsidR="00B727D6">
              <w:rPr>
                <w:rFonts w:ascii="Arial Narrow" w:eastAsia="Calibri" w:hAnsi="Arial Narrow"/>
                <w:sz w:val="20"/>
                <w:szCs w:val="20"/>
                <w:lang w:eastAsia="en-US"/>
              </w:rP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rPr>
                <w:rFonts w:ascii="Arial Narrow" w:eastAsia="Calibri" w:hAnsi="Arial Narrow"/>
                <w:sz w:val="20"/>
                <w:szCs w:val="20"/>
                <w:lang w:eastAsia="en-US"/>
              </w:rPr>
              <w:instrText xml:space="preserve"> ADDIN EN.CITE.DATA </w:instrText>
            </w:r>
            <w:r w:rsidR="00B727D6">
              <w:rPr>
                <w:rFonts w:ascii="Arial Narrow" w:eastAsia="Calibri" w:hAnsi="Arial Narrow"/>
                <w:sz w:val="20"/>
                <w:szCs w:val="20"/>
                <w:lang w:eastAsia="en-US"/>
              </w:rPr>
            </w:r>
            <w:r w:rsidR="00B727D6">
              <w:rPr>
                <w:rFonts w:ascii="Arial Narrow" w:eastAsia="Calibri" w:hAnsi="Arial Narrow"/>
                <w:sz w:val="20"/>
                <w:szCs w:val="20"/>
                <w:lang w:eastAsia="en-US"/>
              </w:rPr>
              <w:fldChar w:fldCharType="end"/>
            </w:r>
            <w:r w:rsidR="00B727D6">
              <w:rPr>
                <w:rFonts w:ascii="Arial Narrow" w:eastAsia="Calibri" w:hAnsi="Arial Narrow"/>
                <w:sz w:val="20"/>
                <w:szCs w:val="20"/>
                <w:lang w:eastAsia="en-US"/>
              </w:rPr>
            </w:r>
            <w:r w:rsidR="00B727D6">
              <w:rPr>
                <w:rFonts w:ascii="Arial Narrow" w:eastAsia="Calibri" w:hAnsi="Arial Narrow"/>
                <w:sz w:val="20"/>
                <w:szCs w:val="20"/>
                <w:lang w:eastAsia="en-US"/>
              </w:rPr>
              <w:fldChar w:fldCharType="separate"/>
            </w:r>
            <w:r w:rsidR="00B727D6">
              <w:rPr>
                <w:rFonts w:ascii="Arial Narrow" w:eastAsia="Calibri" w:hAnsi="Arial Narrow"/>
                <w:noProof/>
                <w:sz w:val="20"/>
                <w:szCs w:val="20"/>
                <w:lang w:eastAsia="en-US"/>
              </w:rPr>
              <w:t>(</w:t>
            </w:r>
            <w:hyperlink w:anchor="_ENREF_54" w:tooltip="Nobile-Orazio, 2012 #10" w:history="1">
              <w:r w:rsidR="00D726F6">
                <w:rPr>
                  <w:rFonts w:ascii="Arial Narrow" w:eastAsia="Calibri" w:hAnsi="Arial Narrow"/>
                  <w:noProof/>
                  <w:sz w:val="20"/>
                  <w:szCs w:val="20"/>
                  <w:lang w:eastAsia="en-US"/>
                </w:rPr>
                <w:t>Nobile-Orazio et al. 2012</w:t>
              </w:r>
            </w:hyperlink>
            <w:r w:rsidR="00B727D6">
              <w:rPr>
                <w:rFonts w:ascii="Arial Narrow" w:eastAsia="Calibri" w:hAnsi="Arial Narrow"/>
                <w:noProof/>
                <w:sz w:val="20"/>
                <w:szCs w:val="20"/>
                <w:lang w:eastAsia="en-US"/>
              </w:rPr>
              <w:t>)</w:t>
            </w:r>
            <w:r w:rsidR="00B727D6">
              <w:rPr>
                <w:rFonts w:ascii="Arial Narrow" w:eastAsia="Calibri" w:hAnsi="Arial Narrow"/>
                <w:sz w:val="20"/>
                <w:szCs w:val="20"/>
                <w:lang w:eastAsia="en-US"/>
              </w:rPr>
              <w:fldChar w:fldCharType="end"/>
            </w:r>
            <w:r w:rsidRPr="00666905">
              <w:rPr>
                <w:rFonts w:ascii="Arial Narrow" w:eastAsia="Calibri" w:hAnsi="Arial Narrow"/>
                <w:sz w:val="20"/>
                <w:szCs w:val="20"/>
                <w:lang w:eastAsia="en-US"/>
              </w:rPr>
              <w:t xml:space="preserve"> </w:t>
            </w:r>
          </w:p>
        </w:tc>
        <w:tc>
          <w:tcPr>
            <w:tcW w:w="3902" w:type="pct"/>
            <w:shd w:val="clear" w:color="auto" w:fill="auto"/>
          </w:tcPr>
          <w:p w14:paraId="02F5C95A" w14:textId="77777777" w:rsidR="00666905" w:rsidRPr="00666905" w:rsidRDefault="00666905" w:rsidP="00666905">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IVIg: 0.5 g/kg/day for 4 consecutive days each month for 6 months</w:t>
            </w:r>
          </w:p>
          <w:p w14:paraId="2A3A334D" w14:textId="77777777" w:rsidR="00666905" w:rsidRPr="00666905" w:rsidRDefault="00666905" w:rsidP="00666905">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IVMP: 0.5g for 4 consecutive days each month for 6 months</w:t>
            </w:r>
          </w:p>
        </w:tc>
      </w:tr>
      <w:tr w:rsidR="00666905" w:rsidRPr="00666905" w14:paraId="66BB2453" w14:textId="77777777" w:rsidTr="00666905">
        <w:tc>
          <w:tcPr>
            <w:tcW w:w="1098" w:type="pct"/>
            <w:shd w:val="clear" w:color="auto" w:fill="auto"/>
          </w:tcPr>
          <w:p w14:paraId="39BD8828" w14:textId="3B383B8B" w:rsidR="00666905" w:rsidRPr="00666905" w:rsidRDefault="00666905" w:rsidP="00D726F6">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 xml:space="preserve">Dyck et al </w:t>
            </w:r>
            <w:r w:rsidR="00B727D6">
              <w:rPr>
                <w:rFonts w:ascii="Arial Narrow" w:eastAsia="Calibri" w:hAnsi="Arial Narrow"/>
                <w:sz w:val="20"/>
                <w:szCs w:val="20"/>
                <w:lang w:eastAsia="en-US"/>
              </w:rPr>
              <w:fldChar w:fldCharType="begin"/>
            </w:r>
            <w:r w:rsidR="00B727D6">
              <w:rPr>
                <w:rFonts w:ascii="Arial Narrow" w:eastAsia="Calibri" w:hAnsi="Arial Narrow"/>
                <w:sz w:val="20"/>
                <w:szCs w:val="20"/>
                <w:lang w:eastAsia="en-US"/>
              </w:rPr>
              <w:instrText xml:space="preserve"> ADDIN EN.CITE &lt;EndNote&gt;&lt;Cite&gt;&lt;Author&gt;Dyck&lt;/Author&gt;&lt;Year&gt;1994&lt;/Year&gt;&lt;RecNum&gt;6&lt;/RecNum&gt;&lt;DisplayText&gt;(Dyck et al. 1994)&lt;/DisplayText&gt;&lt;record&gt;&lt;rec-number&gt;6&lt;/rec-number&gt;&lt;foreign-keys&gt;&lt;key app="EN" db-id="xtr5xfx2xf0wd7e0s2qvst2ietxxf0tpzr9v" timestamp="1601273176"&gt;6&lt;/key&gt;&lt;/foreign-keys&gt;&lt;ref-type name="Journal Article"&gt;17&lt;/ref-type&gt;&lt;contributors&gt;&lt;authors&gt;&lt;author&gt;Dyck, P. J.&lt;/author&gt;&lt;author&gt;Litchy, W. J.&lt;/author&gt;&lt;author&gt;Kratz, K. M.&lt;/author&gt;&lt;author&gt;Suarez, G. A.&lt;/author&gt;&lt;author&gt;Low, P. A.&lt;/author&gt;&lt;author&gt;Pineda, A. A.&lt;/author&gt;&lt;author&gt;Windebank, A. J.&lt;/author&gt;&lt;author&gt;Karnes, J. L.&lt;/author&gt;&lt;author&gt;O&amp;apos;Brien, P. C.&lt;/author&gt;&lt;/authors&gt;&lt;/contributors&gt;&lt;auth-address&gt;Department of Neurology, Mayo Clinic, Rochester, MN 55905.&lt;/auth-address&gt;&lt;titles&gt;&lt;title&gt;A plasma exchange versus immune globulin infusion trial in chronic inflammatory demyelinating polyradiculoneuropathy&lt;/title&gt;&lt;secondary-title&gt;Ann Neurol&lt;/secondary-title&gt;&lt;/titles&gt;&lt;periodical&gt;&lt;full-title&gt;Ann Neurol&lt;/full-title&gt;&lt;/periodical&gt;&lt;pages&gt;838-45&lt;/pages&gt;&lt;volume&gt;36&lt;/volume&gt;&lt;number&gt;6&lt;/number&gt;&lt;edition&gt;1994/12/01&lt;/edition&gt;&lt;keywords&gt;&lt;keyword&gt;Adult&lt;/keyword&gt;&lt;keyword&gt;Aged&lt;/keyword&gt;&lt;keyword&gt;Chronic Disease&lt;/keyword&gt;&lt;keyword&gt;Demyelinating Diseases/ therapy&lt;/keyword&gt;&lt;keyword&gt;Female&lt;/keyword&gt;&lt;keyword&gt;Humans&lt;/keyword&gt;&lt;keyword&gt;Immunoglobulins, Intravenous/ therapeutic use&lt;/keyword&gt;&lt;keyword&gt;Male&lt;/keyword&gt;&lt;keyword&gt;Middle Aged&lt;/keyword&gt;&lt;keyword&gt;Plasma Exchange&lt;/keyword&gt;&lt;keyword&gt;Polyradiculoneuropathy/ therapy&lt;/keyword&gt;&lt;/keywords&gt;&lt;dates&gt;&lt;year&gt;1994&lt;/year&gt;&lt;pub-dates&gt;&lt;date&gt;Dec&lt;/date&gt;&lt;/pub-dates&gt;&lt;/dates&gt;&lt;isbn&gt;0364-5134 (Print)&amp;#xD;0364-5134 (Linking)&lt;/isbn&gt;&lt;accession-num&gt;7998769&lt;/accession-num&gt;&lt;urls&gt;&lt;related-urls&gt;&lt;url&gt;https://onlinelibrary.wiley.com/doi/pdfdirect/10.1002/ana.410360607?download=true&lt;/url&gt;&lt;/related-urls&gt;&lt;/urls&gt;&lt;electronic-resource-num&gt;10.1002/ana.410360607&lt;/electronic-resource-num&gt;&lt;remote-database-provider&gt;NLM&lt;/remote-database-provider&gt;&lt;language&gt;eng&lt;/language&gt;&lt;/record&gt;&lt;/Cite&gt;&lt;/EndNote&gt;</w:instrText>
            </w:r>
            <w:r w:rsidR="00B727D6">
              <w:rPr>
                <w:rFonts w:ascii="Arial Narrow" w:eastAsia="Calibri" w:hAnsi="Arial Narrow"/>
                <w:sz w:val="20"/>
                <w:szCs w:val="20"/>
                <w:lang w:eastAsia="en-US"/>
              </w:rPr>
              <w:fldChar w:fldCharType="separate"/>
            </w:r>
            <w:r w:rsidR="00B727D6">
              <w:rPr>
                <w:rFonts w:ascii="Arial Narrow" w:eastAsia="Calibri" w:hAnsi="Arial Narrow"/>
                <w:noProof/>
                <w:sz w:val="20"/>
                <w:szCs w:val="20"/>
                <w:lang w:eastAsia="en-US"/>
              </w:rPr>
              <w:t>(</w:t>
            </w:r>
            <w:hyperlink w:anchor="_ENREF_17" w:tooltip="Dyck, 1994 #6" w:history="1">
              <w:r w:rsidR="00D726F6">
                <w:rPr>
                  <w:rFonts w:ascii="Arial Narrow" w:eastAsia="Calibri" w:hAnsi="Arial Narrow"/>
                  <w:noProof/>
                  <w:sz w:val="20"/>
                  <w:szCs w:val="20"/>
                  <w:lang w:eastAsia="en-US"/>
                </w:rPr>
                <w:t>Dyck et al. 1994</w:t>
              </w:r>
            </w:hyperlink>
            <w:r w:rsidR="00B727D6">
              <w:rPr>
                <w:rFonts w:ascii="Arial Narrow" w:eastAsia="Calibri" w:hAnsi="Arial Narrow"/>
                <w:noProof/>
                <w:sz w:val="20"/>
                <w:szCs w:val="20"/>
                <w:lang w:eastAsia="en-US"/>
              </w:rPr>
              <w:t>)</w:t>
            </w:r>
            <w:r w:rsidR="00B727D6">
              <w:rPr>
                <w:rFonts w:ascii="Arial Narrow" w:eastAsia="Calibri" w:hAnsi="Arial Narrow"/>
                <w:sz w:val="20"/>
                <w:szCs w:val="20"/>
                <w:lang w:eastAsia="en-US"/>
              </w:rPr>
              <w:fldChar w:fldCharType="end"/>
            </w:r>
          </w:p>
        </w:tc>
        <w:tc>
          <w:tcPr>
            <w:tcW w:w="3902" w:type="pct"/>
            <w:shd w:val="clear" w:color="auto" w:fill="auto"/>
          </w:tcPr>
          <w:p w14:paraId="371D48B0" w14:textId="77777777" w:rsidR="00666905" w:rsidRPr="00666905" w:rsidRDefault="00666905" w:rsidP="00666905">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IVIg: 0.4 g/kg/week for first three weeks followed by 0.2 g/kg/week for the next three weeks.</w:t>
            </w:r>
          </w:p>
          <w:p w14:paraId="797A5FD3" w14:textId="77777777" w:rsidR="00666905" w:rsidRPr="00666905" w:rsidRDefault="00666905" w:rsidP="00666905">
            <w:pPr>
              <w:spacing w:before="40"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PE: Twice per week for three weeks then once a week for next three weeks</w:t>
            </w:r>
          </w:p>
        </w:tc>
      </w:tr>
    </w:tbl>
    <w:p w14:paraId="346D7BF7" w14:textId="77777777" w:rsidR="00666905" w:rsidRPr="00666905" w:rsidRDefault="00666905" w:rsidP="00666905">
      <w:pPr>
        <w:spacing w:after="200" w:line="240" w:lineRule="auto"/>
        <w:ind w:left="57" w:right="57"/>
        <w:contextualSpacing/>
        <w:rPr>
          <w:rFonts w:ascii="Arial Narrow" w:eastAsia="Calibri" w:hAnsi="Arial Narrow" w:cs="Times New Roman"/>
          <w:sz w:val="18"/>
          <w:szCs w:val="18"/>
          <w:lang w:eastAsia="en-US"/>
        </w:rPr>
      </w:pPr>
      <w:r w:rsidRPr="00317C57">
        <w:rPr>
          <w:rFonts w:ascii="Arial Narrow" w:eastAsia="Calibri" w:hAnsi="Arial Narrow" w:cs="Times New Roman"/>
          <w:sz w:val="18"/>
          <w:szCs w:val="18"/>
          <w:lang w:eastAsia="en-US"/>
        </w:rPr>
        <w:t>Abbreviations</w:t>
      </w:r>
      <w:r w:rsidRPr="00666905">
        <w:rPr>
          <w:rFonts w:ascii="Arial Narrow" w:eastAsia="Calibri" w:hAnsi="Arial Narrow" w:cs="Times New Roman"/>
          <w:sz w:val="18"/>
          <w:szCs w:val="18"/>
          <w:lang w:eastAsia="en-US"/>
        </w:rPr>
        <w:t>: Ig = Immunoglobulin; IV = Intravenous; MP = methylprednisolone; PE = Plasma Exchange;</w:t>
      </w:r>
      <w:r w:rsidR="002C5FF4">
        <w:rPr>
          <w:rFonts w:ascii="Arial Narrow" w:eastAsia="Calibri" w:hAnsi="Arial Narrow" w:cs="Times New Roman"/>
          <w:sz w:val="18"/>
          <w:szCs w:val="18"/>
          <w:lang w:eastAsia="en-US"/>
        </w:rPr>
        <w:t xml:space="preserve"> </w:t>
      </w:r>
      <w:r w:rsidRPr="00666905">
        <w:rPr>
          <w:rFonts w:ascii="Arial Narrow" w:eastAsia="Calibri" w:hAnsi="Arial Narrow" w:cs="Times New Roman"/>
          <w:sz w:val="18"/>
          <w:szCs w:val="18"/>
          <w:lang w:eastAsia="en-US"/>
        </w:rPr>
        <w:t>SCIg = subcutaneous immunoglobulin</w:t>
      </w:r>
      <w:r w:rsidR="00582814">
        <w:rPr>
          <w:rFonts w:ascii="Arial Narrow" w:eastAsia="Calibri" w:hAnsi="Arial Narrow" w:cs="Times New Roman"/>
          <w:sz w:val="18"/>
          <w:szCs w:val="18"/>
          <w:lang w:eastAsia="en-US"/>
        </w:rPr>
        <w:t>; wk = week</w:t>
      </w:r>
      <w:r w:rsidRPr="00666905">
        <w:rPr>
          <w:rFonts w:ascii="Arial Narrow" w:eastAsia="Calibri" w:hAnsi="Arial Narrow" w:cs="Times New Roman"/>
          <w:sz w:val="18"/>
          <w:szCs w:val="18"/>
          <w:lang w:eastAsia="en-US"/>
        </w:rPr>
        <w:t>.</w:t>
      </w:r>
    </w:p>
    <w:p w14:paraId="67397736" w14:textId="46D8FC3D" w:rsidR="002C5FF4" w:rsidRPr="00317C57" w:rsidRDefault="002C5FF4" w:rsidP="00317C57">
      <w:pPr>
        <w:pStyle w:val="BodyTextSTD"/>
      </w:pPr>
      <w:r w:rsidRPr="00317C57">
        <w:t>A total</w:t>
      </w:r>
      <w:r w:rsidR="00837294" w:rsidRPr="00317C57">
        <w:t xml:space="preserve"> induction dose</w:t>
      </w:r>
      <w:r w:rsidRPr="00317C57">
        <w:t xml:space="preserve"> of 2g/kg</w:t>
      </w:r>
      <w:r w:rsidR="00837294" w:rsidRPr="00317C57">
        <w:t xml:space="preserve"> was consistent </w:t>
      </w:r>
      <w:r w:rsidR="00666905" w:rsidRPr="00317C57">
        <w:t>in</w:t>
      </w:r>
      <w:r w:rsidR="00837294" w:rsidRPr="00317C57">
        <w:t xml:space="preserve"> three RCTs </w:t>
      </w:r>
      <w:r w:rsidR="00B727D6">
        <w:fldChar w:fldCharType="begin">
          <w:fldData xml:space="preserve">PEVuZE5vdGU+PENpdGU+PEF1dGhvcj5IYWhuPC9BdXRob3I+PFllYXI+MTk5NjwvWWVhcj48UmVj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</w:fldData>
        </w:fldChar>
      </w:r>
      <w:r w:rsidR="00B727D6">
        <w:instrText xml:space="preserve"> ADDIN EN.CITE </w:instrText>
      </w:r>
      <w:r w:rsidR="00B727D6">
        <w:fldChar w:fldCharType="begin">
          <w:fldData xml:space="preserve">PEVuZE5vdGU+PENpdGU+PEF1dGhvcj5IYWhuPC9BdXRob3I+PFllYXI+MTk5NjwvWWVhcj48UmVj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26" w:tooltip="Hahn, 1996 #383" w:history="1">
        <w:r w:rsidR="00D726F6">
          <w:rPr>
            <w:noProof/>
          </w:rPr>
          <w:t>Hahn, Bolton, Zochodne, et al. 1996</w:t>
        </w:r>
      </w:hyperlink>
      <w:r w:rsidR="00B727D6">
        <w:rPr>
          <w:noProof/>
        </w:rPr>
        <w:t xml:space="preserve">; </w:t>
      </w:r>
      <w:hyperlink w:anchor="_ENREF_28" w:tooltip="Hughes, 2008 #1205" w:history="1">
        <w:r w:rsidR="00D726F6">
          <w:rPr>
            <w:noProof/>
          </w:rPr>
          <w:t>Hughes et al. 2008</w:t>
        </w:r>
      </w:hyperlink>
      <w:r w:rsidR="00B727D6">
        <w:rPr>
          <w:noProof/>
        </w:rPr>
        <w:t xml:space="preserve">; </w:t>
      </w:r>
      <w:hyperlink w:anchor="_ENREF_54" w:tooltip="Nobile-Orazio, 2012 #10" w:history="1">
        <w:r w:rsidR="00D726F6">
          <w:rPr>
            <w:noProof/>
          </w:rPr>
          <w:t>Nobile-Orazio et al. 2012</w:t>
        </w:r>
      </w:hyperlink>
      <w:r w:rsidR="00B727D6">
        <w:rPr>
          <w:noProof/>
        </w:rPr>
        <w:t>)</w:t>
      </w:r>
      <w:r w:rsidR="00B727D6">
        <w:fldChar w:fldCharType="end"/>
      </w:r>
      <w:r w:rsidR="00837294" w:rsidRPr="00317C57">
        <w:t>.</w:t>
      </w:r>
      <w:r w:rsidRPr="00317C57">
        <w:t xml:space="preserve"> </w:t>
      </w:r>
      <w:r w:rsidR="00317C57">
        <w:t>Dyck et al (</w:t>
      </w:r>
      <w:r w:rsidRPr="00317C57">
        <w:t xml:space="preserve">, 1994 #6} </w:t>
      </w:r>
      <w:r w:rsidR="00837294" w:rsidRPr="00317C57">
        <w:t xml:space="preserve">used a lower induction dose </w:t>
      </w:r>
      <w:r w:rsidRPr="00317C57">
        <w:t xml:space="preserve">(total </w:t>
      </w:r>
      <w:r w:rsidR="00837294" w:rsidRPr="00317C57">
        <w:t xml:space="preserve">of 1.2g/kg over </w:t>
      </w:r>
      <w:r w:rsidR="00C12738">
        <w:t>three</w:t>
      </w:r>
      <w:r w:rsidR="00C12738" w:rsidRPr="00317C57">
        <w:t xml:space="preserve"> </w:t>
      </w:r>
      <w:r w:rsidR="00837294" w:rsidRPr="00317C57">
        <w:t>weeks</w:t>
      </w:r>
      <w:r w:rsidRPr="00317C57">
        <w:t xml:space="preserve">. None of the trials had a protocol that enabled them </w:t>
      </w:r>
      <w:r w:rsidR="00847BEA" w:rsidRPr="00317C57">
        <w:t>t</w:t>
      </w:r>
      <w:r w:rsidRPr="00317C57">
        <w:t xml:space="preserve">o distinguish response rates </w:t>
      </w:r>
      <w:r w:rsidR="00847BEA" w:rsidRPr="00317C57">
        <w:t xml:space="preserve">separately for the </w:t>
      </w:r>
      <w:r w:rsidRPr="00317C57">
        <w:t>induction and maintenance phase</w:t>
      </w:r>
      <w:r w:rsidR="00847BEA" w:rsidRPr="00317C57">
        <w:t>s</w:t>
      </w:r>
      <w:r w:rsidRPr="00317C57">
        <w:t>.</w:t>
      </w:r>
    </w:p>
    <w:p w14:paraId="229F5392" w14:textId="1712366D" w:rsidR="00A61723" w:rsidRDefault="00A42642" w:rsidP="00D4771E">
      <w:pPr>
        <w:pStyle w:val="BodyTextSTD"/>
      </w:pPr>
      <w:r>
        <w:t>The IVI</w:t>
      </w:r>
      <w:r w:rsidR="00A61723">
        <w:t xml:space="preserve">g and comparator treatment doses and frequency for patients with CIDP in the Australian clinical practice are summarised in </w:t>
      </w:r>
      <w:r w:rsidR="00A61723">
        <w:fldChar w:fldCharType="begin"/>
      </w:r>
      <w:r w:rsidR="00A61723">
        <w:instrText xml:space="preserve"> REF _Ref65086945 \h  \* MERGEFORMAT </w:instrText>
      </w:r>
      <w:r w:rsidR="00A61723">
        <w:fldChar w:fldCharType="separate"/>
      </w:r>
      <w:r w:rsidR="004B3EA2">
        <w:t xml:space="preserve">Table </w:t>
      </w:r>
      <w:r w:rsidR="004B3EA2">
        <w:rPr>
          <w:noProof/>
        </w:rPr>
        <w:t>28</w:t>
      </w:r>
      <w:r w:rsidR="00A61723">
        <w:fldChar w:fldCharType="end"/>
      </w:r>
      <w:r w:rsidR="00A61723">
        <w:t xml:space="preserve">. </w:t>
      </w:r>
    </w:p>
    <w:p w14:paraId="5555D2AB" w14:textId="001535CF" w:rsidR="00A61723" w:rsidRDefault="00A61723" w:rsidP="00A61723">
      <w:pPr>
        <w:pStyle w:val="Caption"/>
      </w:pPr>
      <w:bookmarkStart w:id="237" w:name="_Ref65086945"/>
      <w:bookmarkStart w:id="238" w:name="_Toc69305669"/>
      <w:r>
        <w:t xml:space="preserve">Table </w:t>
      </w:r>
      <w:r w:rsidR="00003BA5">
        <w:fldChar w:fldCharType="begin"/>
      </w:r>
      <w:r w:rsidR="00003BA5">
        <w:instrText xml:space="preserve"> SEQ Table \* ARABIC </w:instrText>
      </w:r>
      <w:r w:rsidR="00003BA5">
        <w:fldChar w:fldCharType="separate"/>
      </w:r>
      <w:r w:rsidR="004B3EA2">
        <w:rPr>
          <w:noProof/>
        </w:rPr>
        <w:t>28</w:t>
      </w:r>
      <w:r w:rsidR="00003BA5">
        <w:rPr>
          <w:noProof/>
        </w:rPr>
        <w:fldChar w:fldCharType="end"/>
      </w:r>
      <w:bookmarkEnd w:id="237"/>
      <w:r>
        <w:tab/>
        <w:t>Treatment doses and frequency depicted for patients with CIDP in the Australian clinical practice</w:t>
      </w:r>
      <w:bookmarkEnd w:id="238"/>
    </w:p>
    <w:tbl>
      <w:tblPr>
        <w:tblStyle w:val="TableGrid"/>
        <w:tblW w:w="0" w:type="auto"/>
        <w:tblLook w:val="04A0" w:firstRow="1" w:lastRow="0" w:firstColumn="1" w:lastColumn="0" w:noHBand="0" w:noVBand="1"/>
        <w:tblCaption w:val="Treatment doses and frequency depicted for patients with CIDP in the Australian clinical practice"/>
        <w:tblDescription w:val="Treatment doses and frequency depicted for patients with CIDP in the Australian clinical practice"/>
      </w:tblPr>
      <w:tblGrid>
        <w:gridCol w:w="1910"/>
        <w:gridCol w:w="1929"/>
        <w:gridCol w:w="1797"/>
        <w:gridCol w:w="1305"/>
        <w:gridCol w:w="2075"/>
      </w:tblGrid>
      <w:tr w:rsidR="00A61723" w14:paraId="552D87DD" w14:textId="77777777" w:rsidTr="00BB43B6">
        <w:trPr>
          <w:tblHeader/>
        </w:trPr>
        <w:tc>
          <w:tcPr>
            <w:tcW w:w="1910" w:type="dxa"/>
          </w:tcPr>
          <w:p w14:paraId="587FC0A9" w14:textId="77777777" w:rsidR="00A61723" w:rsidRDefault="00A61723" w:rsidP="00EF530F">
            <w:pPr>
              <w:pStyle w:val="TableHeading"/>
              <w:ind w:left="0"/>
            </w:pPr>
            <w:r>
              <w:t>Treatment</w:t>
            </w:r>
          </w:p>
        </w:tc>
        <w:tc>
          <w:tcPr>
            <w:tcW w:w="1929" w:type="dxa"/>
          </w:tcPr>
          <w:p w14:paraId="380F0BBB" w14:textId="77777777" w:rsidR="00A61723" w:rsidRDefault="00A61723" w:rsidP="00EF530F">
            <w:pPr>
              <w:pStyle w:val="TableHeading"/>
              <w:ind w:left="0"/>
            </w:pPr>
            <w:r>
              <w:t>Induction dose and frequency</w:t>
            </w:r>
          </w:p>
        </w:tc>
        <w:tc>
          <w:tcPr>
            <w:tcW w:w="1797" w:type="dxa"/>
          </w:tcPr>
          <w:p w14:paraId="3441D3D6" w14:textId="77777777" w:rsidR="00A61723" w:rsidRDefault="00A61723" w:rsidP="00EF530F">
            <w:pPr>
              <w:pStyle w:val="TableHeading"/>
              <w:ind w:left="0"/>
            </w:pPr>
            <w:r>
              <w:t>Maintenance dose and frequency</w:t>
            </w:r>
          </w:p>
        </w:tc>
        <w:tc>
          <w:tcPr>
            <w:tcW w:w="1305" w:type="dxa"/>
          </w:tcPr>
          <w:p w14:paraId="5C68767B" w14:textId="77777777" w:rsidR="00A61723" w:rsidRDefault="00A61723" w:rsidP="00EF530F">
            <w:pPr>
              <w:pStyle w:val="TableHeading"/>
              <w:ind w:left="0"/>
            </w:pPr>
            <w:r>
              <w:t>Source</w:t>
            </w:r>
          </w:p>
        </w:tc>
        <w:tc>
          <w:tcPr>
            <w:tcW w:w="2075" w:type="dxa"/>
          </w:tcPr>
          <w:p w14:paraId="2E96404D" w14:textId="77777777" w:rsidR="00A61723" w:rsidRDefault="00A61723" w:rsidP="00EF530F">
            <w:pPr>
              <w:pStyle w:val="TableHeading"/>
              <w:ind w:left="0"/>
            </w:pPr>
            <w:r>
              <w:t>Sensitivity analysis</w:t>
            </w:r>
          </w:p>
        </w:tc>
      </w:tr>
      <w:tr w:rsidR="00A61723" w14:paraId="4664D927" w14:textId="77777777" w:rsidTr="00EF530F">
        <w:tc>
          <w:tcPr>
            <w:tcW w:w="1910" w:type="dxa"/>
          </w:tcPr>
          <w:p w14:paraId="4EC20479" w14:textId="77777777" w:rsidR="00A61723" w:rsidRDefault="00A61723" w:rsidP="00EF530F">
            <w:pPr>
              <w:pStyle w:val="Tabletext1"/>
              <w:ind w:left="0"/>
            </w:pPr>
            <w:r>
              <w:t>IVIg</w:t>
            </w:r>
          </w:p>
        </w:tc>
        <w:tc>
          <w:tcPr>
            <w:tcW w:w="1929" w:type="dxa"/>
          </w:tcPr>
          <w:p w14:paraId="043271F9" w14:textId="77777777" w:rsidR="00A61723" w:rsidRDefault="00A61723" w:rsidP="00EF530F">
            <w:pPr>
              <w:pStyle w:val="Tabletext1"/>
              <w:ind w:left="0"/>
            </w:pPr>
            <w:r>
              <w:t>4 infusions of 0.5 g/kg each (156 g for a 78 kg person per course)</w:t>
            </w:r>
          </w:p>
        </w:tc>
        <w:tc>
          <w:tcPr>
            <w:tcW w:w="1797" w:type="dxa"/>
          </w:tcPr>
          <w:p w14:paraId="1E4B1308" w14:textId="77777777" w:rsidR="00A61723" w:rsidRPr="006B3CFA" w:rsidRDefault="00A61723" w:rsidP="003E2498">
            <w:pPr>
              <w:pStyle w:val="Tabletext1"/>
              <w:ind w:left="0"/>
            </w:pPr>
            <w:r>
              <w:t>1 infusion of 0.</w:t>
            </w:r>
            <w:r w:rsidR="003E2498">
              <w:t>7</w:t>
            </w:r>
            <w:r>
              <w:t>0 g/kg each (</w:t>
            </w:r>
            <w:r w:rsidR="003E2498">
              <w:t>54.6</w:t>
            </w:r>
            <w:r>
              <w:t> g for a 78 kg person per course)</w:t>
            </w:r>
          </w:p>
        </w:tc>
        <w:tc>
          <w:tcPr>
            <w:tcW w:w="1305" w:type="dxa"/>
          </w:tcPr>
          <w:p w14:paraId="4125EEE0" w14:textId="77777777" w:rsidR="00A61723" w:rsidRPr="008307C0" w:rsidRDefault="00582814" w:rsidP="00EF530F">
            <w:pPr>
              <w:pStyle w:val="Tabletext1"/>
              <w:ind w:left="0"/>
              <w:rPr>
                <w:i/>
              </w:rPr>
            </w:pPr>
            <w:r>
              <w:t xml:space="preserve">The </w:t>
            </w:r>
            <w:r w:rsidR="00A61723" w:rsidRPr="005C0597">
              <w:t xml:space="preserve">Criteria </w:t>
            </w:r>
            <w:r w:rsidRPr="005C0597">
              <w:t>V</w:t>
            </w:r>
            <w:r w:rsidR="00A61723" w:rsidRPr="005C0597">
              <w:t>3</w:t>
            </w:r>
            <w:r w:rsidR="00A61723">
              <w:rPr>
                <w:i/>
              </w:rPr>
              <w:t xml:space="preserve"> </w:t>
            </w:r>
            <w:r w:rsidR="00A61723" w:rsidRPr="00F00A5D">
              <w:t xml:space="preserve">and </w:t>
            </w:r>
            <w:r w:rsidR="00A61723">
              <w:t xml:space="preserve">clinical expert advice* </w:t>
            </w:r>
          </w:p>
        </w:tc>
        <w:tc>
          <w:tcPr>
            <w:tcW w:w="2075" w:type="dxa"/>
          </w:tcPr>
          <w:p w14:paraId="6749E076" w14:textId="77777777" w:rsidR="00A61723" w:rsidRDefault="00A61723" w:rsidP="00EF530F">
            <w:pPr>
              <w:pStyle w:val="Tabletext1"/>
              <w:ind w:left="0"/>
            </w:pPr>
            <w:r>
              <w:t xml:space="preserve">Induction: </w:t>
            </w:r>
            <w:r w:rsidRPr="006B3CFA">
              <w:t xml:space="preserve">2–5 infusions of </w:t>
            </w:r>
            <w:r>
              <w:t>0.4–1.0 g/kg each</w:t>
            </w:r>
          </w:p>
          <w:p w14:paraId="18350DF3" w14:textId="77777777" w:rsidR="00A61723" w:rsidRPr="006B3CFA" w:rsidRDefault="00A61723" w:rsidP="00EF530F">
            <w:pPr>
              <w:pStyle w:val="Tabletext1"/>
              <w:ind w:left="0"/>
            </w:pPr>
            <w:r>
              <w:t>Maintenance: 1–2 infusions of 0.4–1.0 g/kg (31.2 – 78 g per course) every 3–8 weeks</w:t>
            </w:r>
          </w:p>
        </w:tc>
      </w:tr>
      <w:tr w:rsidR="00A61723" w14:paraId="583761AB" w14:textId="77777777" w:rsidTr="00EF530F">
        <w:tc>
          <w:tcPr>
            <w:tcW w:w="1910" w:type="dxa"/>
          </w:tcPr>
          <w:p w14:paraId="25EB77A6" w14:textId="77777777" w:rsidR="00A61723" w:rsidRDefault="00A61723" w:rsidP="00EF530F">
            <w:pPr>
              <w:pStyle w:val="Tabletext1"/>
              <w:ind w:left="0"/>
            </w:pPr>
            <w:r>
              <w:t xml:space="preserve">Steroids (IV </w:t>
            </w:r>
            <w:r w:rsidRPr="00301740">
              <w:t>pulsed methylprednisolone</w:t>
            </w:r>
            <w:r>
              <w:t>)</w:t>
            </w:r>
          </w:p>
        </w:tc>
        <w:tc>
          <w:tcPr>
            <w:tcW w:w="1929" w:type="dxa"/>
          </w:tcPr>
          <w:p w14:paraId="5559E3E9" w14:textId="77777777" w:rsidR="00A61723" w:rsidRDefault="00A61723" w:rsidP="00EF530F">
            <w:pPr>
              <w:pStyle w:val="Tabletext1"/>
              <w:ind w:left="0"/>
            </w:pPr>
            <w:r w:rsidRPr="00301740">
              <w:t xml:space="preserve">1g daily for 5 days </w:t>
            </w:r>
          </w:p>
        </w:tc>
        <w:tc>
          <w:tcPr>
            <w:tcW w:w="1797" w:type="dxa"/>
          </w:tcPr>
          <w:p w14:paraId="74893BDB" w14:textId="77777777" w:rsidR="00A61723" w:rsidRDefault="00A61723" w:rsidP="00EF530F">
            <w:pPr>
              <w:pStyle w:val="Tabletext1"/>
              <w:ind w:left="0"/>
            </w:pPr>
            <w:r w:rsidRPr="00301740">
              <w:t xml:space="preserve">1g </w:t>
            </w:r>
            <w:r>
              <w:t>every 28 days</w:t>
            </w:r>
            <w:r w:rsidRPr="00301740">
              <w:t xml:space="preserve"> for a variable period</w:t>
            </w:r>
          </w:p>
        </w:tc>
        <w:tc>
          <w:tcPr>
            <w:tcW w:w="1305" w:type="dxa"/>
          </w:tcPr>
          <w:p w14:paraId="4FCA3512" w14:textId="77777777" w:rsidR="00A61723" w:rsidRDefault="00A61723" w:rsidP="00EF530F">
            <w:pPr>
              <w:pStyle w:val="Tabletext1"/>
              <w:ind w:left="0"/>
            </w:pPr>
            <w:r>
              <w:t xml:space="preserve">Clinical expert advice* </w:t>
            </w:r>
          </w:p>
        </w:tc>
        <w:tc>
          <w:tcPr>
            <w:tcW w:w="2075" w:type="dxa"/>
          </w:tcPr>
          <w:p w14:paraId="1B62DEC4" w14:textId="77777777" w:rsidR="00A61723" w:rsidRDefault="00A61723" w:rsidP="00EF530F">
            <w:pPr>
              <w:pStyle w:val="Tabletext1"/>
              <w:ind w:left="0"/>
            </w:pPr>
            <w:r>
              <w:t xml:space="preserve">Induction: </w:t>
            </w:r>
            <w:r w:rsidRPr="00733EB6">
              <w:t>1g daily for 3-5 days</w:t>
            </w:r>
          </w:p>
          <w:p w14:paraId="3B08B5E8" w14:textId="77777777" w:rsidR="00A61723" w:rsidRDefault="00A61723" w:rsidP="00EF530F">
            <w:pPr>
              <w:pStyle w:val="Tabletext1"/>
              <w:ind w:left="0"/>
            </w:pPr>
            <w:r>
              <w:t xml:space="preserve">Maintenance: </w:t>
            </w:r>
            <w:r w:rsidRPr="00733EB6">
              <w:t>1g</w:t>
            </w:r>
            <w:r>
              <w:t xml:space="preserve"> every 3–8 weeks</w:t>
            </w:r>
          </w:p>
        </w:tc>
      </w:tr>
      <w:tr w:rsidR="00A61723" w14:paraId="2B6A8356" w14:textId="77777777" w:rsidTr="00EF530F">
        <w:tc>
          <w:tcPr>
            <w:tcW w:w="1910" w:type="dxa"/>
          </w:tcPr>
          <w:p w14:paraId="5FAAB589" w14:textId="77777777" w:rsidR="00A61723" w:rsidRDefault="00A61723" w:rsidP="00EF530F">
            <w:pPr>
              <w:pStyle w:val="Tabletext1"/>
              <w:ind w:left="0"/>
            </w:pPr>
            <w:r>
              <w:t>Plasma Exchange</w:t>
            </w:r>
          </w:p>
        </w:tc>
        <w:tc>
          <w:tcPr>
            <w:tcW w:w="1929" w:type="dxa"/>
          </w:tcPr>
          <w:p w14:paraId="33032F7F" w14:textId="77777777" w:rsidR="00A61723" w:rsidRDefault="00A61723" w:rsidP="00EF530F">
            <w:pPr>
              <w:pStyle w:val="Tabletext1"/>
              <w:ind w:left="0"/>
            </w:pPr>
            <w:r>
              <w:t>7 exchanges of 45 </w:t>
            </w:r>
            <w:r w:rsidRPr="00954DA9">
              <w:t xml:space="preserve">mL plasma </w:t>
            </w:r>
            <w:r w:rsidRPr="00BF773C">
              <w:t>per kg body weight</w:t>
            </w:r>
            <w:r>
              <w:t xml:space="preserve"> (approximately 3.5 L)</w:t>
            </w:r>
            <w:r w:rsidRPr="00BF773C">
              <w:t xml:space="preserve"> per treatment</w:t>
            </w:r>
            <w:r>
              <w:t>, 2–3 times per week</w:t>
            </w:r>
          </w:p>
        </w:tc>
        <w:tc>
          <w:tcPr>
            <w:tcW w:w="1797" w:type="dxa"/>
          </w:tcPr>
          <w:p w14:paraId="1C41F61A" w14:textId="77777777" w:rsidR="00A61723" w:rsidRDefault="00A61723" w:rsidP="00EF530F">
            <w:pPr>
              <w:pStyle w:val="Tabletext1"/>
              <w:ind w:left="0"/>
            </w:pPr>
            <w:r>
              <w:t>1.5 sessions every 4 weeks</w:t>
            </w:r>
          </w:p>
        </w:tc>
        <w:tc>
          <w:tcPr>
            <w:tcW w:w="1305" w:type="dxa"/>
          </w:tcPr>
          <w:p w14:paraId="298B0A8E" w14:textId="1CAF1A7E" w:rsidR="00A61723" w:rsidRDefault="00B727D6" w:rsidP="00D726F6">
            <w:pPr>
              <w:pStyle w:val="Tabletext1"/>
              <w:ind w:left="0"/>
            </w:pPr>
            <w:r>
              <w:fldChar w:fldCharType="begin">
                <w:fldData xml:space="preserve">PEVuZE5vdGU+PENpdGU+PEF1dGhvcj5Hd2F0aG1leTwvQXV0aG9yPjxZZWFyPjIwMjA8L1llYXI+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PEVuZE5vdGU+PENpdGU+PEF1dGhvcj5Hd2F0aG1leTwvQXV0aG9yPjxZZWFyPjIwMjA8L1llYXI+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fldChar w:fldCharType="separate"/>
            </w:r>
            <w:r>
              <w:rPr>
                <w:noProof/>
              </w:rPr>
              <w:t>(</w:t>
            </w:r>
            <w:hyperlink w:anchor="_ENREF_22" w:tooltip="Gwathmey, 2020 #489" w:history="1">
              <w:r w:rsidR="00D726F6">
                <w:rPr>
                  <w:noProof/>
                </w:rPr>
                <w:t>Gwathmey 2020</w:t>
              </w:r>
            </w:hyperlink>
            <w:r>
              <w:rPr>
                <w:noProof/>
              </w:rPr>
              <w:t xml:space="preserve">; </w:t>
            </w:r>
            <w:hyperlink w:anchor="_ENREF_25" w:tooltip="Hahn, 1996 #368" w:history="1">
              <w:r w:rsidR="00D726F6">
                <w:rPr>
                  <w:noProof/>
                </w:rPr>
                <w:t>Hahn, Bolton, Pillay, et al. 1996</w:t>
              </w:r>
            </w:hyperlink>
            <w:r>
              <w:rPr>
                <w:noProof/>
              </w:rPr>
              <w:t>)</w:t>
            </w:r>
            <w:r>
              <w:fldChar w:fldCharType="end"/>
            </w:r>
          </w:p>
        </w:tc>
        <w:tc>
          <w:tcPr>
            <w:tcW w:w="2075" w:type="dxa"/>
          </w:tcPr>
          <w:p w14:paraId="5620AB86" w14:textId="77777777" w:rsidR="00A61723" w:rsidRDefault="00A61723" w:rsidP="00EF530F">
            <w:pPr>
              <w:pStyle w:val="Tabletext1"/>
              <w:ind w:left="0"/>
            </w:pPr>
            <w:r>
              <w:t>Induction: 5–</w:t>
            </w:r>
            <w:r w:rsidRPr="00954DA9">
              <w:t xml:space="preserve">10 </w:t>
            </w:r>
            <w:r>
              <w:t xml:space="preserve">exchanges of </w:t>
            </w:r>
            <w:r w:rsidRPr="00954DA9">
              <w:t>40–50</w:t>
            </w:r>
            <w:r>
              <w:t> </w:t>
            </w:r>
            <w:r w:rsidRPr="00954DA9">
              <w:t xml:space="preserve">mL/kg </w:t>
            </w:r>
            <w:r>
              <w:t xml:space="preserve">(~3.1 – 3.9 L) </w:t>
            </w:r>
            <w:r w:rsidRPr="00954DA9">
              <w:t xml:space="preserve">plasma </w:t>
            </w:r>
            <w:r>
              <w:t>volume</w:t>
            </w:r>
          </w:p>
          <w:p w14:paraId="3E610786" w14:textId="77777777" w:rsidR="00A61723" w:rsidRDefault="00A61723" w:rsidP="00EF530F">
            <w:pPr>
              <w:pStyle w:val="Tabletext1"/>
              <w:ind w:left="0"/>
            </w:pPr>
            <w:r>
              <w:t>Maintenance: 1–2 sessions 3–8 weeks</w:t>
            </w:r>
          </w:p>
        </w:tc>
      </w:tr>
    </w:tbl>
    <w:p w14:paraId="303D440C" w14:textId="67826422" w:rsidR="00582814" w:rsidRDefault="00A61723" w:rsidP="00A61723">
      <w:pPr>
        <w:pStyle w:val="Tablenotes0"/>
      </w:pPr>
      <w:r>
        <w:t>g = gram; Ig = immunoglobulin; IV = intravenous; kg = kilogram; L = litres</w:t>
      </w:r>
      <w:r w:rsidR="004C5215">
        <w:t>; mL</w:t>
      </w:r>
      <w:r>
        <w:t xml:space="preserve"> = millilitre</w:t>
      </w:r>
      <w:r w:rsidR="00582814">
        <w:t>; V = version</w:t>
      </w:r>
    </w:p>
    <w:p w14:paraId="396856FA" w14:textId="049809F3" w:rsidR="00A61723" w:rsidRDefault="00A61723" w:rsidP="00A61723">
      <w:pPr>
        <w:pStyle w:val="Tablenotes0"/>
      </w:pPr>
      <w:r>
        <w:t xml:space="preserve">*Source: Clinical expert advice </w:t>
      </w:r>
      <w:r w:rsidR="00B727D6">
        <w:fldChar w:fldCharType="begin"/>
      </w:r>
      <w:r w:rsidR="00B727D6">
        <w:instrText xml:space="preserve"> ADDIN EN.CITE &lt;EndNote&gt;&lt;Cite&gt;&lt;Author&gt;Department of Health&lt;/Author&gt;&lt;Year&gt;2021&lt;/Year&gt;&lt;RecNum&gt;1954&lt;/RecNum&gt;&lt;DisplayText&gt;(Department of Health 2021a)&lt;/DisplayText&gt;&lt;record&gt;&lt;rec-number&gt;1954&lt;/rec-number&gt;&lt;foreign-keys&gt;&lt;key app="EN" db-id="xtr5xfx2xf0wd7e0s2qvst2ietxxf0tpzr9v" timestamp="1614643814"&gt;1954&lt;/key&gt;&lt;/foreign-keys&gt;&lt;ref-type name="Personal Communication"&gt;26&lt;/ref-type&gt;&lt;contributors&gt;&lt;authors&gt;&lt;author&gt;Department of Health,&lt;/author&gt;&lt;/authors&gt;&lt;/contributors&gt;&lt;titles&gt;&lt;title&gt;Clinical expert advice provided as feedback to the draft MSAC 1564.1 report&lt;/title&gt;&lt;/titles&gt;&lt;dates&gt;&lt;year&gt;2021&lt;/year&gt;&lt;/dates&gt;&lt;urls&gt;&lt;/urls&gt;&lt;/record&gt;&lt;/Cite&gt;&lt;/EndNote&gt;</w:instrText>
      </w:r>
      <w:r w:rsidR="00B727D6">
        <w:fldChar w:fldCharType="separate"/>
      </w:r>
      <w:r w:rsidR="00B727D6">
        <w:rPr>
          <w:noProof/>
        </w:rPr>
        <w:t>(</w:t>
      </w:r>
      <w:hyperlink w:anchor="_ENREF_12" w:tooltip="Department of Health, 2021 #1954" w:history="1">
        <w:r w:rsidR="00D726F6">
          <w:rPr>
            <w:noProof/>
          </w:rPr>
          <w:t>Department of Health 2021a</w:t>
        </w:r>
      </w:hyperlink>
      <w:r w:rsidR="00B727D6">
        <w:rPr>
          <w:noProof/>
        </w:rPr>
        <w:t>)</w:t>
      </w:r>
      <w:r w:rsidR="00B727D6">
        <w:fldChar w:fldCharType="end"/>
      </w:r>
      <w:r>
        <w:t xml:space="preserve"> </w:t>
      </w:r>
    </w:p>
    <w:p w14:paraId="72DD8DC2" w14:textId="57C26F44" w:rsidR="00223880" w:rsidRDefault="002535F4" w:rsidP="00D4771E">
      <w:pPr>
        <w:pStyle w:val="BodyTextSTD"/>
      </w:pPr>
      <w:r>
        <w:t>The</w:t>
      </w:r>
      <w:r w:rsidR="00A66394">
        <w:t>re appears to be difference</w:t>
      </w:r>
      <w:r w:rsidR="00440517">
        <w:t>s</w:t>
      </w:r>
      <w:r w:rsidR="00A66394">
        <w:t xml:space="preserve"> in the </w:t>
      </w:r>
      <w:r>
        <w:t xml:space="preserve">Ig </w:t>
      </w:r>
      <w:r w:rsidR="00A66394">
        <w:t xml:space="preserve">doses </w:t>
      </w:r>
      <w:r>
        <w:t>use</w:t>
      </w:r>
      <w:r w:rsidR="00A66394">
        <w:t xml:space="preserve">d </w:t>
      </w:r>
      <w:r>
        <w:t xml:space="preserve">in Australia </w:t>
      </w:r>
      <w:r w:rsidR="00440517">
        <w:t xml:space="preserve">and doses in </w:t>
      </w:r>
      <w:r>
        <w:t xml:space="preserve">the </w:t>
      </w:r>
      <w:r w:rsidR="00A66394">
        <w:t xml:space="preserve">key trials. </w:t>
      </w:r>
      <w:r w:rsidR="00440517">
        <w:t>With respect to the</w:t>
      </w:r>
      <w:r w:rsidR="00A42642">
        <w:t xml:space="preserve"> modelled</w:t>
      </w:r>
      <w:r w:rsidR="00440517">
        <w:t xml:space="preserve"> </w:t>
      </w:r>
      <w:r w:rsidR="00440517" w:rsidRPr="00223880">
        <w:rPr>
          <w:u w:val="single"/>
        </w:rPr>
        <w:t>comparison with steroids</w:t>
      </w:r>
      <w:r w:rsidR="00440517">
        <w:t xml:space="preserve">, </w: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Nobile-Orazio et al. 2012</w:t>
        </w:r>
      </w:hyperlink>
      <w:r w:rsidR="00B727D6">
        <w:rPr>
          <w:noProof/>
        </w:rPr>
        <w:t>)</w:t>
      </w:r>
      <w:r w:rsidR="00B727D6">
        <w:fldChar w:fldCharType="end"/>
      </w:r>
      <w:r w:rsidR="00440517">
        <w:t>, t</w:t>
      </w:r>
      <w:r w:rsidR="00A66394">
        <w:t xml:space="preserve">he </w:t>
      </w:r>
      <w:r w:rsidR="00440517">
        <w:t>study maintains the high induction dose th</w:t>
      </w:r>
      <w:r w:rsidR="005A0823">
        <w:t>r</w:t>
      </w:r>
      <w:r w:rsidR="00440517">
        <w:t>oughout the trial, whereas</w:t>
      </w:r>
      <w:r w:rsidR="00223880">
        <w:t xml:space="preserve"> in Australia</w:t>
      </w:r>
      <w:r w:rsidR="00440517">
        <w:t xml:space="preserve"> lower doses are used for maintenance therapy. </w:t>
      </w:r>
      <w:r w:rsidR="00223880">
        <w:t xml:space="preserve">It is appropriate that Australian doses </w:t>
      </w:r>
      <w:r w:rsidR="00957157">
        <w:t>are used in the economic model</w:t>
      </w:r>
      <w:r w:rsidR="00A61723">
        <w:t>, however t</w:t>
      </w:r>
      <w:r w:rsidR="00957157">
        <w:t xml:space="preserve">he </w:t>
      </w:r>
      <w:r w:rsidR="00A61723">
        <w:t xml:space="preserve">lower </w:t>
      </w:r>
      <w:r w:rsidR="00957157">
        <w:t xml:space="preserve">dosing </w:t>
      </w:r>
      <w:r w:rsidR="00A61723">
        <w:t xml:space="preserve">may </w:t>
      </w:r>
      <w:r w:rsidR="00223880">
        <w:t xml:space="preserve">be </w:t>
      </w:r>
      <w:r w:rsidR="00A61723">
        <w:t xml:space="preserve">expected to be </w:t>
      </w:r>
      <w:r w:rsidR="00223880">
        <w:t xml:space="preserve">associated with a different (lower) treatment effect, therefore when moving from the trial-based analysis to the modelled analysis the estimated response rate </w:t>
      </w:r>
      <w:r w:rsidR="00957157">
        <w:t xml:space="preserve">to IVIg </w:t>
      </w:r>
      <w:r w:rsidR="00223880">
        <w:t>will become informed by the Australian data on response/continuations</w:t>
      </w:r>
      <w:r w:rsidR="00584B12">
        <w:t>,</w:t>
      </w:r>
      <w:r w:rsidR="00223880">
        <w:t xml:space="preserve"> rather than the </w:t>
      </w:r>
      <w:r w:rsidR="004C5215">
        <w:t>trial</w:t>
      </w:r>
      <w:r w:rsidR="00223880">
        <w:t>.</w:t>
      </w:r>
    </w:p>
    <w:p w14:paraId="38943C9E" w14:textId="59336230" w:rsidR="00584B12" w:rsidRDefault="00223880" w:rsidP="00D4771E">
      <w:pPr>
        <w:pStyle w:val="BodyTextSTD"/>
      </w:pPr>
      <w:r>
        <w:t>For the model</w:t>
      </w:r>
      <w:r w:rsidR="00A42642">
        <w:t>led</w:t>
      </w:r>
      <w:r>
        <w:t xml:space="preserve"> </w:t>
      </w:r>
      <w:r w:rsidRPr="00584B12">
        <w:rPr>
          <w:u w:val="single"/>
        </w:rPr>
        <w:t>compari</w:t>
      </w:r>
      <w:r w:rsidR="00A42642">
        <w:rPr>
          <w:u w:val="single"/>
        </w:rPr>
        <w:t xml:space="preserve">son of </w:t>
      </w:r>
      <w:r w:rsidRPr="00584B12">
        <w:rPr>
          <w:u w:val="single"/>
        </w:rPr>
        <w:t xml:space="preserve">IVIg </w:t>
      </w:r>
      <w:r w:rsidR="00A42642">
        <w:rPr>
          <w:u w:val="single"/>
        </w:rPr>
        <w:t xml:space="preserve">with </w:t>
      </w:r>
      <w:r w:rsidRPr="00584B12">
        <w:rPr>
          <w:u w:val="single"/>
        </w:rPr>
        <w:t>PE</w:t>
      </w:r>
      <w:r>
        <w:t>, the clinical trial</w:t>
      </w:r>
      <w:r w:rsidR="00A42642">
        <w:t xml:space="preserve"> evidence base</w:t>
      </w:r>
      <w:r>
        <w:t xml:space="preserve"> </w:t>
      </w:r>
      <w:r w:rsidR="00B727D6">
        <w:fldChar w:fldCharType="begin"/>
      </w:r>
      <w:r w:rsidR="00B727D6">
        <w:instrText xml:space="preserve"> ADDIN EN.CITE &lt;EndNote&gt;&lt;Cite&gt;&lt;Author&gt;Dyck&lt;/Author&gt;&lt;Year&gt;1994&lt;/Year&gt;&lt;RecNum&gt;6&lt;/RecNum&gt;&lt;DisplayText&gt;(Dyck et al. 1994)&lt;/DisplayText&gt;&lt;record&gt;&lt;rec-number&gt;6&lt;/rec-number&gt;&lt;foreign-keys&gt;&lt;key app="EN" db-id="xtr5xfx2xf0wd7e0s2qvst2ietxxf0tpzr9v" timestamp="1601273176"&gt;6&lt;/key&gt;&lt;/foreign-keys&gt;&lt;ref-type name="Journal Article"&gt;17&lt;/ref-type&gt;&lt;contributors&gt;&lt;authors&gt;&lt;author&gt;Dyck, P. J.&lt;/author&gt;&lt;author&gt;Litchy, W. J.&lt;/author&gt;&lt;author&gt;Kratz, K. M.&lt;/author&gt;&lt;author&gt;Suarez, G. A.&lt;/author&gt;&lt;author&gt;Low, P. A.&lt;/author&gt;&lt;author&gt;Pineda, A. A.&lt;/author&gt;&lt;author&gt;Windebank, A. J.&lt;/author&gt;&lt;author&gt;Karnes, J. L.&lt;/author&gt;&lt;author&gt;O&amp;apos;Brien, P. C.&lt;/author&gt;&lt;/authors&gt;&lt;/contributors&gt;&lt;auth-address&gt;Department of Neurology, Mayo Clinic, Rochester, MN 55905.&lt;/auth-address&gt;&lt;titles&gt;&lt;title&gt;A plasma exchange versus immune globulin infusion trial in chronic inflammatory demyelinating polyradiculoneuropathy&lt;/title&gt;&lt;secondary-title&gt;Ann Neurol&lt;/secondary-title&gt;&lt;/titles&gt;&lt;periodical&gt;&lt;full-title&gt;Ann Neurol&lt;/full-title&gt;&lt;/periodical&gt;&lt;pages&gt;838-45&lt;/pages&gt;&lt;volume&gt;36&lt;/volume&gt;&lt;number&gt;6&lt;/number&gt;&lt;edition&gt;1994/12/01&lt;/edition&gt;&lt;keywords&gt;&lt;keyword&gt;Adult&lt;/keyword&gt;&lt;keyword&gt;Aged&lt;/keyword&gt;&lt;keyword&gt;Chronic Disease&lt;/keyword&gt;&lt;keyword&gt;Demyelinating Diseases/ therapy&lt;/keyword&gt;&lt;keyword&gt;Female&lt;/keyword&gt;&lt;keyword&gt;Humans&lt;/keyword&gt;&lt;keyword&gt;Immunoglobulins, Intravenous/ therapeutic use&lt;/keyword&gt;&lt;keyword&gt;Male&lt;/keyword&gt;&lt;keyword&gt;Middle Aged&lt;/keyword&gt;&lt;keyword&gt;Plasma Exchange&lt;/keyword&gt;&lt;keyword&gt;Polyradiculoneuropathy/ therapy&lt;/keyword&gt;&lt;/keywords&gt;&lt;dates&gt;&lt;year&gt;1994&lt;/year&gt;&lt;pub-dates&gt;&lt;date&gt;Dec&lt;/date&gt;&lt;/pub-dates&gt;&lt;/dates&gt;&lt;isbn&gt;0364-5134 (Print)&amp;#xD;0364-5134 (Linking)&lt;/isbn&gt;&lt;accession-num&gt;7998769&lt;/accession-num&gt;&lt;urls&gt;&lt;related-urls&gt;&lt;url&gt;https://onlinelibrary.wiley.com/doi/pdfdirect/10.1002/ana.410360607?download=true&lt;/url&gt;&lt;/related-urls&gt;&lt;/urls&gt;&lt;electronic-resource-num&gt;10.1002/ana.410360607&lt;/electronic-resource-num&gt;&lt;remote-database-provider&gt;NLM&lt;/remote-database-provider&gt;&lt;language&gt;eng&lt;/language&gt;&lt;/record&gt;&lt;/Cite&gt;&lt;/EndNote&gt;</w:instrText>
      </w:r>
      <w:r w:rsidR="00B727D6">
        <w:fldChar w:fldCharType="separate"/>
      </w:r>
      <w:r w:rsidR="00B727D6">
        <w:rPr>
          <w:noProof/>
        </w:rPr>
        <w:t>(</w:t>
      </w:r>
      <w:hyperlink w:anchor="_ENREF_17" w:tooltip="Dyck, 1994 #6" w:history="1">
        <w:r w:rsidR="00D726F6">
          <w:rPr>
            <w:noProof/>
          </w:rPr>
          <w:t>Dyck et al. 1994</w:t>
        </w:r>
      </w:hyperlink>
      <w:r w:rsidR="00B727D6">
        <w:rPr>
          <w:noProof/>
        </w:rPr>
        <w:t>)</w:t>
      </w:r>
      <w:r w:rsidR="00B727D6">
        <w:fldChar w:fldCharType="end"/>
      </w:r>
      <w:r>
        <w:t xml:space="preserve"> </w:t>
      </w:r>
      <w:r w:rsidR="00A42642">
        <w:t xml:space="preserve">is only a </w:t>
      </w:r>
      <w:r w:rsidR="0067548C">
        <w:t>six</w:t>
      </w:r>
      <w:r>
        <w:t xml:space="preserve"> week</w:t>
      </w:r>
      <w:r w:rsidR="00A42642">
        <w:t xml:space="preserve"> study</w:t>
      </w:r>
      <w:r>
        <w:t xml:space="preserve"> </w:t>
      </w:r>
      <w:r w:rsidR="00584B12">
        <w:t xml:space="preserve">and </w:t>
      </w:r>
      <w:r w:rsidR="00A42642">
        <w:t xml:space="preserve">it </w:t>
      </w:r>
      <w:r w:rsidR="00584B12">
        <w:t xml:space="preserve">does not report absolute response rates – it merely describes the therapies as equivalent. </w:t>
      </w:r>
      <w:r w:rsidR="00A42642">
        <w:t xml:space="preserve">For step 1 of the analysis </w:t>
      </w:r>
      <w:r w:rsidR="00A61723">
        <w:t xml:space="preserve">trial-based </w:t>
      </w:r>
      <w:r w:rsidR="00584B12">
        <w:t xml:space="preserve">doses will be costed, but </w:t>
      </w:r>
      <w:r w:rsidR="00A61723">
        <w:t xml:space="preserve">no associated outcomes are known. </w:t>
      </w:r>
      <w:r w:rsidR="00584B12">
        <w:t xml:space="preserve">Given neither the IVIg nor PE dosing is consistent with Australian practice the </w:t>
      </w:r>
      <w:r w:rsidR="00A61723">
        <w:t xml:space="preserve">subsequent </w:t>
      </w:r>
      <w:r w:rsidR="00A42642">
        <w:t xml:space="preserve">step in the </w:t>
      </w:r>
      <w:r w:rsidR="00584B12">
        <w:t>economic model will replace the trial-based dosing with resource use consistent with Australian practice</w:t>
      </w:r>
      <w:r w:rsidR="00A61723">
        <w:t xml:space="preserve"> and Australian IVIg response rates will be used</w:t>
      </w:r>
      <w:r w:rsidR="00584B12">
        <w:t xml:space="preserve">. As there are no alternative sources of relative treatment effect, the assumption that treatments are equivalent in terms of response will be </w:t>
      </w:r>
      <w:r w:rsidR="00A61723">
        <w:t>maintained</w:t>
      </w:r>
      <w:r w:rsidR="00A42642">
        <w:t xml:space="preserve"> (although </w:t>
      </w:r>
      <w:r w:rsidR="00556776">
        <w:t xml:space="preserve">an </w:t>
      </w:r>
      <w:r w:rsidR="00A42642">
        <w:t xml:space="preserve">overall difference in long-term outcomes will emerge due to </w:t>
      </w:r>
      <w:r w:rsidR="00556776">
        <w:t xml:space="preserve">differing </w:t>
      </w:r>
      <w:r w:rsidR="00A42642">
        <w:t>adverse event</w:t>
      </w:r>
      <w:r w:rsidR="00556776">
        <w:t xml:space="preserve"> profile</w:t>
      </w:r>
      <w:r w:rsidR="00A42642">
        <w:t>s)</w:t>
      </w:r>
      <w:r w:rsidR="00584B12">
        <w:t xml:space="preserve">. </w:t>
      </w:r>
    </w:p>
    <w:p w14:paraId="29E65E07" w14:textId="77777777" w:rsidR="00837294" w:rsidRDefault="00837294" w:rsidP="00D4771E">
      <w:pPr>
        <w:pStyle w:val="BodyTextSTD"/>
      </w:pPr>
      <w:r>
        <w:t xml:space="preserve">Sensitivity analyses </w:t>
      </w:r>
      <w:r w:rsidR="00A42642">
        <w:t xml:space="preserve">will </w:t>
      </w:r>
      <w:r>
        <w:t>assess the impact of varying the dosage and frequency of intervention and comparators in section D.6.</w:t>
      </w:r>
    </w:p>
    <w:p w14:paraId="05B20A37" w14:textId="77777777" w:rsidR="00A42642" w:rsidRDefault="00A42642" w:rsidP="00A42642">
      <w:pPr>
        <w:pStyle w:val="Heading5"/>
      </w:pPr>
      <w:r>
        <w:t xml:space="preserve">Validation of modelled Australian dosing </w:t>
      </w:r>
    </w:p>
    <w:p w14:paraId="1A3E8107" w14:textId="01FB433C" w:rsidR="00A42642" w:rsidRDefault="00A42642" w:rsidP="00A42642">
      <w:pPr>
        <w:pStyle w:val="BodyTextSTD"/>
      </w:pPr>
      <w:r>
        <w:t xml:space="preserve">The NBA provided </w:t>
      </w:r>
      <w:r w:rsidR="001565E1">
        <w:t xml:space="preserve">summary level </w:t>
      </w:r>
      <w:r>
        <w:t xml:space="preserve">data </w:t>
      </w:r>
      <w:r w:rsidR="001565E1">
        <w:t xml:space="preserve">from BloodSTAR </w:t>
      </w:r>
      <w:r>
        <w:t xml:space="preserve">on the use of Ig </w:t>
      </w:r>
      <w:r w:rsidR="001565E1">
        <w:t xml:space="preserve">in </w:t>
      </w:r>
      <w:r>
        <w:t xml:space="preserve">CIDP patients in Australia </w:t>
      </w:r>
      <w:r w:rsidR="00B727D6">
        <w:fldChar w:fldCharType="begin"/>
      </w:r>
      <w:r w:rsidR="00B727D6">
        <w:instrText xml:space="preserve"> ADDIN EN.CITE &lt;EndNote&gt;&lt;Cite&gt;&lt;Author&gt;NBA&lt;/Author&gt;&lt;Year&gt;2020&lt;/Year&gt;&lt;RecNum&gt;1947&lt;/RecNum&gt;&lt;DisplayText&gt;(NBA 2018, 2020)&lt;/DisplayText&gt;&lt;record&gt;&lt;rec-number&gt;1947&lt;/rec-number&gt;&lt;foreign-keys&gt;&lt;key app="EN" db-id="xtr5xfx2xf0wd7e0s2qvst2ietxxf0tpzr9v" timestamp="1614134940"&gt;1947&lt;/key&gt;&lt;/foreign-keys&gt;&lt;ref-type name="Report"&gt;27&lt;/ref-type&gt;&lt;contributors&gt;&lt;authors&gt;&lt;author&gt;NBA&lt;/author&gt;&lt;/authors&gt;&lt;/contributors&gt;&lt;titles&gt;&lt;title&gt;National Blood Authority Annual Report 2019-20&lt;/title&gt;&lt;/titles&gt;&lt;dates&gt;&lt;year&gt;2020&lt;/year&gt;&lt;/dates&gt;&lt;publisher&gt;National Blood Authority&lt;/publisher&gt;&lt;urls&gt;&lt;related-urls&gt;&lt;url&gt;www.blood.gov.au/about-nba&lt;/url&gt;&lt;/related-urls&gt;&lt;/urls&gt;&lt;access-date&gt;18 January 2021&lt;/access-date&gt;&lt;/record&gt;&lt;/Cite&gt;&lt;Cite&gt;&lt;Author&gt;NBA&lt;/Author&gt;&lt;Year&gt;2018&lt;/Year&gt;&lt;RecNum&gt;1948&lt;/RecNum&gt;&lt;record&gt;&lt;rec-number&gt;1948&lt;/rec-number&gt;&lt;foreign-keys&gt;&lt;key app="EN" db-id="xtr5xfx2xf0wd7e0s2qvst2ietxxf0tpzr9v" timestamp="1614134979"&gt;1948&lt;/key&gt;&lt;/foreign-keys&gt;&lt;ref-type name="Report"&gt;27&lt;/ref-type&gt;&lt;contributors&gt;&lt;authors&gt;&lt;author&gt;NBA&lt;/author&gt;&lt;/authors&gt;&lt;tertiary-authors&gt;&lt;author&gt;Union Offset Printers&lt;/author&gt;&lt;/tertiary-authors&gt;&lt;/contributors&gt;&lt;titles&gt;&lt;title&gt;National Blood Authority Annual Report 2017-18&lt;/title&gt;&lt;/titles&gt;&lt;dates&gt;&lt;year&gt;2018&lt;/year&gt;&lt;pub-dates&gt;&lt;date&gt;2 October 2018&lt;/date&gt;&lt;/pub-dates&gt;&lt;/dates&gt;&lt;publisher&gt;National Blood Authority&lt;/publisher&gt;&lt;urls&gt;&lt;related-urls&gt;&lt;url&gt;www.blood.gov.au/about-nba&lt;/url&gt;&lt;/related-urls&gt;&lt;/urls&gt;&lt;access-date&gt;18 January 2021&lt;/access-date&gt;&lt;/record&gt;&lt;/Cite&gt;&lt;/EndNote&gt;</w:instrText>
      </w:r>
      <w:r w:rsidR="00B727D6">
        <w:fldChar w:fldCharType="separate"/>
      </w:r>
      <w:r w:rsidR="00B727D6">
        <w:rPr>
          <w:noProof/>
        </w:rPr>
        <w:t>(</w:t>
      </w:r>
      <w:hyperlink w:anchor="_ENREF_48" w:tooltip="NBA, 2018 #1948" w:history="1">
        <w:r w:rsidR="00D726F6">
          <w:rPr>
            <w:noProof/>
          </w:rPr>
          <w:t>NBA 2018</w:t>
        </w:r>
      </w:hyperlink>
      <w:r w:rsidR="00B727D6">
        <w:rPr>
          <w:noProof/>
        </w:rPr>
        <w:t xml:space="preserve">, </w:t>
      </w:r>
      <w:hyperlink w:anchor="_ENREF_49" w:tooltip="NBA, 2020 #1947" w:history="1">
        <w:r w:rsidR="00D726F6">
          <w:rPr>
            <w:noProof/>
          </w:rPr>
          <w:t>2020</w:t>
        </w:r>
      </w:hyperlink>
      <w:r w:rsidR="00B727D6">
        <w:rPr>
          <w:noProof/>
        </w:rPr>
        <w:t>)</w:t>
      </w:r>
      <w:r w:rsidR="00B727D6">
        <w:fldChar w:fldCharType="end"/>
      </w:r>
      <w:r>
        <w:t>. Th</w:t>
      </w:r>
      <w:r w:rsidR="003D5405">
        <w:t>ese</w:t>
      </w:r>
      <w:r w:rsidR="001565E1">
        <w:t xml:space="preserve"> data suggest</w:t>
      </w:r>
      <w:r>
        <w:t xml:space="preserve"> the average annual Ig use per Australian CIDP patient has increased from 437g in 2011–12 to 540g in 2019–</w:t>
      </w:r>
      <w:r w:rsidRPr="00543BFE">
        <w:t>20</w:t>
      </w:r>
      <w:r>
        <w:t>, and the average Ig use per treatment episode was 37.63g in 2019–20.</w:t>
      </w:r>
    </w:p>
    <w:p w14:paraId="6AE8A0FD" w14:textId="1F4F13E4" w:rsidR="00837294" w:rsidRDefault="00837294" w:rsidP="00F04572">
      <w:pPr>
        <w:pStyle w:val="BodyTextSTD"/>
      </w:pPr>
      <w:r w:rsidRPr="00845165">
        <w:t xml:space="preserve">Under </w:t>
      </w:r>
      <w:r>
        <w:t xml:space="preserve">the </w:t>
      </w:r>
      <w:r w:rsidRPr="00845165">
        <w:t xml:space="preserve">Criteria V3, patients initiating treatment with Ig for CIDP are required to undergo clinical review by a neurologist after </w:t>
      </w:r>
      <w:r w:rsidR="0067548C">
        <w:t>four</w:t>
      </w:r>
      <w:r w:rsidRPr="00845165">
        <w:t xml:space="preserve"> months’ of treatment to determine whether they have responded to therapy and are eligible to continue treatment. If re</w:t>
      </w:r>
      <w:r>
        <w:t>s</w:t>
      </w:r>
      <w:r w:rsidRPr="00845165">
        <w:t>ponse to tre</w:t>
      </w:r>
      <w:r>
        <w:t xml:space="preserve">atment is satisfied at the </w:t>
      </w:r>
      <w:r w:rsidR="0067548C">
        <w:t>four</w:t>
      </w:r>
      <w:r w:rsidR="005A0823">
        <w:t xml:space="preserve"> </w:t>
      </w:r>
      <w:r>
        <w:softHyphen/>
        <w:t>m</w:t>
      </w:r>
      <w:r w:rsidRPr="00845165">
        <w:t xml:space="preserve">onth review, patients are allowed to continue Ig for </w:t>
      </w:r>
      <w:r w:rsidRPr="005D0032">
        <w:t>12</w:t>
      </w:r>
      <w:r>
        <w:t> </w:t>
      </w:r>
      <w:r w:rsidRPr="005D0032">
        <w:t>months</w:t>
      </w:r>
      <w:r w:rsidRPr="00845165">
        <w:t xml:space="preserve">, at which time a second clinical review is conducted. </w:t>
      </w:r>
      <w:r w:rsidR="00DE0195">
        <w:t>D</w:t>
      </w:r>
      <w:r>
        <w:t>ata</w:t>
      </w:r>
      <w:r w:rsidR="00DE0195">
        <w:t xml:space="preserve"> from BloodSTAR</w:t>
      </w:r>
      <w:r>
        <w:t xml:space="preserve"> were </w:t>
      </w:r>
      <w:r w:rsidR="00DE0195">
        <w:t xml:space="preserve">analysed </w:t>
      </w:r>
      <w:r>
        <w:t>by the Department of Health to distinguish Ig usage between those who continued beyond the first review period compared with those who didn’t</w:t>
      </w:r>
      <w:r w:rsidR="00A42642">
        <w:t>,</w:t>
      </w:r>
      <w:r>
        <w:t xml:space="preserve"> based on utilisation data extracted for new patients who commenced Ig treatment for CIDP between 1</w:t>
      </w:r>
      <w:r w:rsidR="00786F3F">
        <w:t> </w:t>
      </w:r>
      <w:r w:rsidRPr="009C0B74">
        <w:t xml:space="preserve">November 2018 </w:t>
      </w:r>
      <w:r w:rsidR="00786F3F">
        <w:t>and 30 </w:t>
      </w:r>
      <w:r>
        <w:t>April</w:t>
      </w:r>
      <w:r w:rsidRPr="009C0B74">
        <w:t xml:space="preserve"> 2019</w:t>
      </w:r>
      <w:r>
        <w:t xml:space="preserve">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t xml:space="preserve">. </w:t>
      </w:r>
      <w:r w:rsidRPr="00992708">
        <w:t>This initiating cohort were followed through to 31 December 2020</w:t>
      </w:r>
      <w:r>
        <w:t>. The data extracted included all doses of Ig administered, date of authorisation and administration, reversals for doses not delivered, and patient characteristics such as age, gender and weight.</w:t>
      </w:r>
    </w:p>
    <w:p w14:paraId="7974F3A1" w14:textId="7C864D15" w:rsidR="00837294" w:rsidRDefault="00837294" w:rsidP="00F04572">
      <w:pPr>
        <w:pStyle w:val="BodyTextSTD"/>
      </w:pPr>
      <w:r>
        <w:t xml:space="preserve">A total of </w:t>
      </w:r>
      <w:r w:rsidRPr="009C0B74">
        <w:t>29</w:t>
      </w:r>
      <w:r>
        <w:t>3</w:t>
      </w:r>
      <w:r w:rsidRPr="009C0B74">
        <w:t xml:space="preserve"> patients commenced Ig treatment between </w:t>
      </w:r>
      <w:r w:rsidR="001175F1">
        <w:t>1 November 2018 and 30 April 2019</w:t>
      </w:r>
      <w:r>
        <w:t>. Two patients</w:t>
      </w:r>
      <w:r w:rsidRPr="00992708">
        <w:t xml:space="preserve"> had zero Ig dispensed</w:t>
      </w:r>
      <w:r>
        <w:t xml:space="preserve"> by the cut-off date and were excluded from the analysis. Data for</w:t>
      </w:r>
      <w:r w:rsidRPr="009C0B74">
        <w:t xml:space="preserve"> total grams of Ig dispensed</w:t>
      </w:r>
      <w:r>
        <w:t xml:space="preserve"> </w:t>
      </w:r>
      <w:r w:rsidRPr="009C0B74">
        <w:t>(accounting for reversals) between init</w:t>
      </w:r>
      <w:r>
        <w:t>i</w:t>
      </w:r>
      <w:r w:rsidRPr="009C0B74">
        <w:t xml:space="preserve">ation and day 120 were </w:t>
      </w:r>
      <w:r>
        <w:t>analysed. Patients received on an average 276</w:t>
      </w:r>
      <w:r w:rsidR="003D5405">
        <w:t> </w:t>
      </w:r>
      <w:r w:rsidRPr="009C0B74">
        <w:t>g</w:t>
      </w:r>
      <w:r>
        <w:t xml:space="preserve"> of </w:t>
      </w:r>
      <w:r w:rsidRPr="009C0B74">
        <w:t>Ig in the first 120 days of treatment.</w:t>
      </w:r>
      <w:r>
        <w:t xml:space="preserve"> Of the 291 patients who commenced therapy with Ig, 197 (68%) </w:t>
      </w:r>
      <w:r w:rsidRPr="009C0B74">
        <w:t>continued treatment beyond 140</w:t>
      </w:r>
      <w:r w:rsidR="003D5405">
        <w:t> </w:t>
      </w:r>
      <w:r w:rsidRPr="009C0B74">
        <w:t>days</w:t>
      </w:r>
      <w:r>
        <w:t xml:space="preserve">. </w:t>
      </w:r>
      <w:r w:rsidR="008A3596">
        <w:fldChar w:fldCharType="begin"/>
      </w:r>
      <w:r w:rsidR="008A3596">
        <w:instrText xml:space="preserve"> REF _Ref65842328 \h </w:instrText>
      </w:r>
      <w:r w:rsidR="008A3596">
        <w:fldChar w:fldCharType="separate"/>
      </w:r>
      <w:r w:rsidR="004B3EA2">
        <w:t xml:space="preserve">Table </w:t>
      </w:r>
      <w:r w:rsidR="004B3EA2">
        <w:rPr>
          <w:noProof/>
        </w:rPr>
        <w:t>29</w:t>
      </w:r>
      <w:r w:rsidR="008A3596">
        <w:fldChar w:fldCharType="end"/>
      </w:r>
      <w:r w:rsidR="008A3596">
        <w:t xml:space="preserve"> </w:t>
      </w:r>
      <w:r>
        <w:t>shows Ig dose for patients who did or did not continue treatment beyond 140</w:t>
      </w:r>
      <w:r w:rsidR="003D5405">
        <w:t> </w:t>
      </w:r>
      <w:r>
        <w:t xml:space="preserve">days. </w:t>
      </w:r>
    </w:p>
    <w:p w14:paraId="16B37315" w14:textId="79C19C79" w:rsidR="00837294" w:rsidRDefault="00837294" w:rsidP="00837294">
      <w:pPr>
        <w:pStyle w:val="Caption"/>
      </w:pPr>
      <w:bookmarkStart w:id="239" w:name="_Ref65842328"/>
      <w:bookmarkStart w:id="240" w:name="_Toc69305670"/>
      <w:r>
        <w:t xml:space="preserve">Table </w:t>
      </w:r>
      <w:r w:rsidR="00003BA5">
        <w:fldChar w:fldCharType="begin"/>
      </w:r>
      <w:r w:rsidR="00003BA5">
        <w:instrText xml:space="preserve"> SEQ Table \* ARABIC </w:instrText>
      </w:r>
      <w:r w:rsidR="00003BA5">
        <w:fldChar w:fldCharType="separate"/>
      </w:r>
      <w:r w:rsidR="004B3EA2">
        <w:rPr>
          <w:noProof/>
        </w:rPr>
        <w:t>29</w:t>
      </w:r>
      <w:r w:rsidR="00003BA5">
        <w:rPr>
          <w:noProof/>
        </w:rPr>
        <w:fldChar w:fldCharType="end"/>
      </w:r>
      <w:bookmarkEnd w:id="239"/>
      <w:r>
        <w:tab/>
      </w:r>
      <w:r w:rsidRPr="00B872CB">
        <w:rPr>
          <w:szCs w:val="20"/>
        </w:rPr>
        <w:t>Ig dose (g) for 120 days post-initiation of CIDP treatment for patients who did/did not continue Ig treatment beyond 140 days</w:t>
      </w:r>
      <w:r>
        <w:rPr>
          <w:szCs w:val="20"/>
        </w:rPr>
        <w:t xml:space="preserve"> (after first clinical review)</w:t>
      </w:r>
      <w:bookmarkEnd w:id="240"/>
    </w:p>
    <w:tbl>
      <w:tblPr>
        <w:tblStyle w:val="TableGrid"/>
        <w:tblW w:w="5000" w:type="pct"/>
        <w:tblLook w:val="04A0" w:firstRow="1" w:lastRow="0" w:firstColumn="1" w:lastColumn="0" w:noHBand="0" w:noVBand="1"/>
        <w:tblCaption w:val="Ig dose (g) for 120 days post-initiation of CIDP treatment for patients who did/did not continue Ig treatment beyond 140 days (after first clinical review)"/>
        <w:tblDescription w:val="Ig dose (g) for 120 days post-initiation of CIDP treatment for patients who did/did not continue Ig treatment beyond 140 days (after first clinical review)"/>
      </w:tblPr>
      <w:tblGrid>
        <w:gridCol w:w="3179"/>
        <w:gridCol w:w="1903"/>
        <w:gridCol w:w="858"/>
        <w:gridCol w:w="677"/>
        <w:gridCol w:w="677"/>
        <w:gridCol w:w="816"/>
        <w:gridCol w:w="906"/>
      </w:tblGrid>
      <w:tr w:rsidR="00837294" w:rsidRPr="0037041E" w14:paraId="62E9F6D2" w14:textId="77777777" w:rsidTr="00BB43B6">
        <w:trPr>
          <w:trHeight w:val="300"/>
          <w:tblHeader/>
        </w:trPr>
        <w:tc>
          <w:tcPr>
            <w:tcW w:w="1652" w:type="pct"/>
            <w:noWrap/>
            <w:hideMark/>
          </w:tcPr>
          <w:p w14:paraId="7D52AF63" w14:textId="77777777" w:rsidR="00837294" w:rsidRPr="0037041E" w:rsidRDefault="00837294" w:rsidP="00857754">
            <w:pPr>
              <w:pStyle w:val="TableHeading"/>
              <w:ind w:left="0"/>
            </w:pPr>
            <w:r w:rsidRPr="0037041E">
              <w:t>Treatment continuation after 140 days</w:t>
            </w:r>
          </w:p>
        </w:tc>
        <w:tc>
          <w:tcPr>
            <w:tcW w:w="1074" w:type="pct"/>
            <w:noWrap/>
            <w:hideMark/>
          </w:tcPr>
          <w:p w14:paraId="681F6319" w14:textId="77777777" w:rsidR="00837294" w:rsidRPr="0037041E" w:rsidRDefault="00837294" w:rsidP="00857754">
            <w:pPr>
              <w:pStyle w:val="TableHeading"/>
              <w:ind w:left="0"/>
              <w:jc w:val="center"/>
            </w:pPr>
            <w:r w:rsidRPr="0037041E">
              <w:t>N</w:t>
            </w:r>
            <w:r>
              <w:t xml:space="preserve"> </w:t>
            </w:r>
            <w:r w:rsidRPr="0037041E">
              <w:t>(%)</w:t>
            </w:r>
          </w:p>
        </w:tc>
        <w:tc>
          <w:tcPr>
            <w:tcW w:w="494" w:type="pct"/>
            <w:noWrap/>
            <w:hideMark/>
          </w:tcPr>
          <w:p w14:paraId="172992EC" w14:textId="77777777" w:rsidR="00837294" w:rsidRPr="0037041E" w:rsidRDefault="00837294" w:rsidP="00857754">
            <w:pPr>
              <w:pStyle w:val="TableHeading"/>
              <w:ind w:left="0"/>
            </w:pPr>
            <w:r w:rsidRPr="0037041E">
              <w:t>Mean</w:t>
            </w:r>
          </w:p>
        </w:tc>
        <w:tc>
          <w:tcPr>
            <w:tcW w:w="394" w:type="pct"/>
            <w:noWrap/>
            <w:hideMark/>
          </w:tcPr>
          <w:p w14:paraId="30F61D3C" w14:textId="77777777" w:rsidR="00837294" w:rsidRPr="0037041E" w:rsidRDefault="00837294" w:rsidP="00857754">
            <w:pPr>
              <w:pStyle w:val="TableHeading"/>
              <w:ind w:left="0"/>
            </w:pPr>
            <w:r w:rsidRPr="0037041E">
              <w:t>Max</w:t>
            </w:r>
          </w:p>
        </w:tc>
        <w:tc>
          <w:tcPr>
            <w:tcW w:w="394" w:type="pct"/>
            <w:noWrap/>
            <w:hideMark/>
          </w:tcPr>
          <w:p w14:paraId="6CCC54CB" w14:textId="77777777" w:rsidR="00837294" w:rsidRPr="0037041E" w:rsidRDefault="00837294" w:rsidP="00857754">
            <w:pPr>
              <w:pStyle w:val="TableHeading"/>
              <w:ind w:left="0"/>
            </w:pPr>
            <w:r w:rsidRPr="0037041E">
              <w:t>Min</w:t>
            </w:r>
          </w:p>
        </w:tc>
        <w:tc>
          <w:tcPr>
            <w:tcW w:w="471" w:type="pct"/>
            <w:noWrap/>
            <w:hideMark/>
          </w:tcPr>
          <w:p w14:paraId="75DDF351" w14:textId="77777777" w:rsidR="00837294" w:rsidRPr="0037041E" w:rsidRDefault="00837294" w:rsidP="00857754">
            <w:pPr>
              <w:pStyle w:val="TableHeading"/>
              <w:ind w:left="0"/>
            </w:pPr>
            <w:r w:rsidRPr="0037041E">
              <w:t>Mode</w:t>
            </w:r>
          </w:p>
        </w:tc>
        <w:tc>
          <w:tcPr>
            <w:tcW w:w="521" w:type="pct"/>
            <w:noWrap/>
            <w:hideMark/>
          </w:tcPr>
          <w:p w14:paraId="5ECC6921" w14:textId="77777777" w:rsidR="00837294" w:rsidRPr="0037041E" w:rsidRDefault="00837294" w:rsidP="00857754">
            <w:pPr>
              <w:pStyle w:val="TableHeading"/>
              <w:ind w:left="0"/>
            </w:pPr>
            <w:r w:rsidRPr="0037041E">
              <w:t>Median</w:t>
            </w:r>
          </w:p>
        </w:tc>
      </w:tr>
      <w:tr w:rsidR="00837294" w:rsidRPr="0037041E" w14:paraId="7AACA3D2" w14:textId="77777777" w:rsidTr="00857754">
        <w:trPr>
          <w:trHeight w:val="300"/>
        </w:trPr>
        <w:tc>
          <w:tcPr>
            <w:tcW w:w="1652" w:type="pct"/>
            <w:noWrap/>
            <w:hideMark/>
          </w:tcPr>
          <w:p w14:paraId="44AEBC57" w14:textId="77777777" w:rsidR="00837294" w:rsidRPr="0037041E" w:rsidRDefault="00837294" w:rsidP="00857754">
            <w:pPr>
              <w:pStyle w:val="Tabletext1"/>
              <w:ind w:left="0"/>
            </w:pPr>
            <w:r w:rsidRPr="0037041E">
              <w:t>No</w:t>
            </w:r>
          </w:p>
        </w:tc>
        <w:tc>
          <w:tcPr>
            <w:tcW w:w="1074" w:type="pct"/>
            <w:noWrap/>
            <w:hideMark/>
          </w:tcPr>
          <w:p w14:paraId="7E7C3E94" w14:textId="77777777" w:rsidR="00837294" w:rsidRPr="0037041E" w:rsidRDefault="00837294" w:rsidP="00857754">
            <w:pPr>
              <w:pStyle w:val="Tabletext1"/>
              <w:ind w:left="0"/>
              <w:jc w:val="center"/>
            </w:pPr>
            <w:r w:rsidRPr="0037041E">
              <w:t>94</w:t>
            </w:r>
            <w:r>
              <w:t xml:space="preserve"> </w:t>
            </w:r>
            <w:r w:rsidRPr="0037041E">
              <w:t>(32)</w:t>
            </w:r>
          </w:p>
        </w:tc>
        <w:tc>
          <w:tcPr>
            <w:tcW w:w="494" w:type="pct"/>
            <w:noWrap/>
            <w:hideMark/>
          </w:tcPr>
          <w:p w14:paraId="7F799FF5" w14:textId="77777777" w:rsidR="00837294" w:rsidRPr="0037041E" w:rsidRDefault="00837294" w:rsidP="00857754">
            <w:pPr>
              <w:pStyle w:val="Tabletext1"/>
              <w:ind w:left="0"/>
              <w:jc w:val="center"/>
            </w:pPr>
            <w:r>
              <w:t>186</w:t>
            </w:r>
            <w:r w:rsidRPr="0037041E">
              <w:t>.0</w:t>
            </w:r>
            <w:r>
              <w:t>3</w:t>
            </w:r>
          </w:p>
        </w:tc>
        <w:tc>
          <w:tcPr>
            <w:tcW w:w="394" w:type="pct"/>
            <w:noWrap/>
            <w:hideMark/>
          </w:tcPr>
          <w:p w14:paraId="77FA854B" w14:textId="77777777" w:rsidR="00837294" w:rsidRPr="0037041E" w:rsidRDefault="00837294" w:rsidP="00857754">
            <w:pPr>
              <w:pStyle w:val="Tabletext1"/>
              <w:ind w:left="0"/>
              <w:jc w:val="center"/>
            </w:pPr>
            <w:r w:rsidRPr="0037041E">
              <w:t>630</w:t>
            </w:r>
          </w:p>
        </w:tc>
        <w:tc>
          <w:tcPr>
            <w:tcW w:w="394" w:type="pct"/>
            <w:noWrap/>
            <w:hideMark/>
          </w:tcPr>
          <w:p w14:paraId="60D881DC" w14:textId="77777777" w:rsidR="00837294" w:rsidRPr="0037041E" w:rsidRDefault="00837294" w:rsidP="00857754">
            <w:pPr>
              <w:pStyle w:val="Tabletext1"/>
              <w:ind w:left="0"/>
              <w:jc w:val="center"/>
            </w:pPr>
            <w:r w:rsidRPr="0037041E">
              <w:t>20</w:t>
            </w:r>
          </w:p>
        </w:tc>
        <w:tc>
          <w:tcPr>
            <w:tcW w:w="471" w:type="pct"/>
            <w:noWrap/>
            <w:hideMark/>
          </w:tcPr>
          <w:p w14:paraId="6CFAB940" w14:textId="77777777" w:rsidR="00837294" w:rsidRPr="0037041E" w:rsidRDefault="00837294" w:rsidP="00857754">
            <w:pPr>
              <w:pStyle w:val="Tabletext1"/>
              <w:ind w:left="0"/>
              <w:jc w:val="center"/>
            </w:pPr>
            <w:r w:rsidRPr="0037041E">
              <w:t>130</w:t>
            </w:r>
          </w:p>
        </w:tc>
        <w:tc>
          <w:tcPr>
            <w:tcW w:w="521" w:type="pct"/>
            <w:noWrap/>
            <w:hideMark/>
          </w:tcPr>
          <w:p w14:paraId="69A1AE67" w14:textId="77777777" w:rsidR="00837294" w:rsidRPr="0037041E" w:rsidRDefault="00837294" w:rsidP="00857754">
            <w:pPr>
              <w:pStyle w:val="Tabletext1"/>
              <w:ind w:left="0"/>
              <w:jc w:val="center"/>
            </w:pPr>
            <w:r>
              <w:t>160</w:t>
            </w:r>
          </w:p>
        </w:tc>
      </w:tr>
      <w:tr w:rsidR="00837294" w:rsidRPr="0037041E" w14:paraId="5059B952" w14:textId="77777777" w:rsidTr="00E72A41">
        <w:trPr>
          <w:trHeight w:val="300"/>
        </w:trPr>
        <w:tc>
          <w:tcPr>
            <w:tcW w:w="1652" w:type="pct"/>
            <w:tcBorders>
              <w:bottom w:val="single" w:sz="4" w:space="0" w:color="auto"/>
            </w:tcBorders>
            <w:noWrap/>
            <w:hideMark/>
          </w:tcPr>
          <w:p w14:paraId="4C159989" w14:textId="77777777" w:rsidR="00837294" w:rsidRPr="0037041E" w:rsidRDefault="00837294" w:rsidP="00857754">
            <w:pPr>
              <w:pStyle w:val="Tabletext1"/>
              <w:ind w:left="0"/>
            </w:pPr>
            <w:r w:rsidRPr="0037041E">
              <w:t xml:space="preserve">Yes </w:t>
            </w:r>
          </w:p>
        </w:tc>
        <w:tc>
          <w:tcPr>
            <w:tcW w:w="1074" w:type="pct"/>
            <w:tcBorders>
              <w:bottom w:val="single" w:sz="4" w:space="0" w:color="auto"/>
            </w:tcBorders>
            <w:noWrap/>
            <w:hideMark/>
          </w:tcPr>
          <w:p w14:paraId="73B00C7C" w14:textId="77777777" w:rsidR="00837294" w:rsidRPr="0037041E" w:rsidRDefault="00837294" w:rsidP="00857754">
            <w:pPr>
              <w:pStyle w:val="Tabletext1"/>
              <w:ind w:left="0"/>
              <w:jc w:val="center"/>
            </w:pPr>
            <w:r>
              <w:t xml:space="preserve">197 </w:t>
            </w:r>
            <w:r w:rsidRPr="0037041E">
              <w:t>(6</w:t>
            </w:r>
            <w:r>
              <w:t>8</w:t>
            </w:r>
            <w:r w:rsidRPr="0037041E">
              <w:t>)</w:t>
            </w:r>
          </w:p>
        </w:tc>
        <w:tc>
          <w:tcPr>
            <w:tcW w:w="494" w:type="pct"/>
            <w:tcBorders>
              <w:bottom w:val="single" w:sz="4" w:space="0" w:color="auto"/>
            </w:tcBorders>
            <w:noWrap/>
            <w:hideMark/>
          </w:tcPr>
          <w:p w14:paraId="43DBEA95" w14:textId="77777777" w:rsidR="00837294" w:rsidRPr="0037041E" w:rsidRDefault="00837294" w:rsidP="00857754">
            <w:pPr>
              <w:pStyle w:val="Tabletext1"/>
              <w:ind w:left="0"/>
              <w:jc w:val="center"/>
            </w:pPr>
            <w:r>
              <w:t>318</w:t>
            </w:r>
            <w:r w:rsidRPr="0037041E">
              <w:t>.</w:t>
            </w:r>
            <w:r>
              <w:t>98</w:t>
            </w:r>
          </w:p>
        </w:tc>
        <w:tc>
          <w:tcPr>
            <w:tcW w:w="394" w:type="pct"/>
            <w:tcBorders>
              <w:bottom w:val="single" w:sz="4" w:space="0" w:color="auto"/>
            </w:tcBorders>
            <w:noWrap/>
            <w:hideMark/>
          </w:tcPr>
          <w:p w14:paraId="66C32194" w14:textId="77777777" w:rsidR="00837294" w:rsidRPr="0037041E" w:rsidRDefault="00837294" w:rsidP="00857754">
            <w:pPr>
              <w:pStyle w:val="Tabletext1"/>
              <w:ind w:left="0"/>
              <w:jc w:val="center"/>
            </w:pPr>
            <w:r w:rsidRPr="0037041E">
              <w:t>1450</w:t>
            </w:r>
          </w:p>
        </w:tc>
        <w:tc>
          <w:tcPr>
            <w:tcW w:w="394" w:type="pct"/>
            <w:tcBorders>
              <w:bottom w:val="single" w:sz="4" w:space="0" w:color="auto"/>
            </w:tcBorders>
            <w:noWrap/>
            <w:hideMark/>
          </w:tcPr>
          <w:p w14:paraId="66EC2798" w14:textId="77777777" w:rsidR="00837294" w:rsidRPr="0037041E" w:rsidRDefault="00837294" w:rsidP="00857754">
            <w:pPr>
              <w:pStyle w:val="Tabletext1"/>
              <w:ind w:left="0"/>
              <w:jc w:val="center"/>
            </w:pPr>
            <w:r w:rsidRPr="0037041E">
              <w:t>25</w:t>
            </w:r>
          </w:p>
        </w:tc>
        <w:tc>
          <w:tcPr>
            <w:tcW w:w="471" w:type="pct"/>
            <w:tcBorders>
              <w:bottom w:val="single" w:sz="4" w:space="0" w:color="auto"/>
            </w:tcBorders>
            <w:noWrap/>
            <w:hideMark/>
          </w:tcPr>
          <w:p w14:paraId="0CB7E397" w14:textId="77777777" w:rsidR="00837294" w:rsidRPr="0037041E" w:rsidRDefault="00837294" w:rsidP="00857754">
            <w:pPr>
              <w:pStyle w:val="Tabletext1"/>
              <w:ind w:left="0"/>
              <w:jc w:val="center"/>
            </w:pPr>
            <w:r w:rsidRPr="0037041E">
              <w:t>2</w:t>
            </w:r>
            <w:r>
              <w:t>85</w:t>
            </w:r>
          </w:p>
        </w:tc>
        <w:tc>
          <w:tcPr>
            <w:tcW w:w="521" w:type="pct"/>
            <w:tcBorders>
              <w:bottom w:val="single" w:sz="4" w:space="0" w:color="auto"/>
            </w:tcBorders>
            <w:noWrap/>
            <w:hideMark/>
          </w:tcPr>
          <w:p w14:paraId="05A2C484" w14:textId="77777777" w:rsidR="00837294" w:rsidRPr="0037041E" w:rsidRDefault="00837294" w:rsidP="00857754">
            <w:pPr>
              <w:pStyle w:val="Tabletext1"/>
              <w:ind w:left="0"/>
              <w:jc w:val="center"/>
            </w:pPr>
            <w:r w:rsidRPr="0037041E">
              <w:t>285</w:t>
            </w:r>
          </w:p>
        </w:tc>
      </w:tr>
      <w:tr w:rsidR="00837294" w:rsidRPr="0037041E" w14:paraId="04E7B620" w14:textId="77777777" w:rsidTr="00E72A41">
        <w:trPr>
          <w:trHeight w:val="300"/>
        </w:trPr>
        <w:tc>
          <w:tcPr>
            <w:tcW w:w="1652" w:type="pct"/>
            <w:tcBorders>
              <w:bottom w:val="single" w:sz="8" w:space="0" w:color="auto"/>
            </w:tcBorders>
            <w:noWrap/>
          </w:tcPr>
          <w:p w14:paraId="1D274F90" w14:textId="77777777" w:rsidR="00837294" w:rsidRPr="0037041E" w:rsidRDefault="00837294" w:rsidP="00857754">
            <w:pPr>
              <w:pStyle w:val="Tabletext1"/>
              <w:ind w:left="0"/>
            </w:pPr>
            <w:r>
              <w:t>Total</w:t>
            </w:r>
          </w:p>
        </w:tc>
        <w:tc>
          <w:tcPr>
            <w:tcW w:w="1074" w:type="pct"/>
            <w:tcBorders>
              <w:bottom w:val="single" w:sz="8" w:space="0" w:color="auto"/>
            </w:tcBorders>
            <w:noWrap/>
          </w:tcPr>
          <w:p w14:paraId="082419D0" w14:textId="77777777" w:rsidR="00837294" w:rsidRDefault="00837294" w:rsidP="00857754">
            <w:pPr>
              <w:pStyle w:val="Tabletext1"/>
              <w:ind w:left="0"/>
              <w:jc w:val="center"/>
            </w:pPr>
            <w:r>
              <w:t>291</w:t>
            </w:r>
          </w:p>
        </w:tc>
        <w:tc>
          <w:tcPr>
            <w:tcW w:w="494" w:type="pct"/>
            <w:tcBorders>
              <w:bottom w:val="single" w:sz="8" w:space="0" w:color="auto"/>
            </w:tcBorders>
            <w:noWrap/>
          </w:tcPr>
          <w:p w14:paraId="6BFEF383" w14:textId="77777777" w:rsidR="00837294" w:rsidRPr="0037041E" w:rsidRDefault="00837294" w:rsidP="00857754">
            <w:pPr>
              <w:pStyle w:val="Tabletext1"/>
              <w:ind w:left="0"/>
              <w:jc w:val="center"/>
            </w:pPr>
            <w:r>
              <w:t>276.04</w:t>
            </w:r>
          </w:p>
        </w:tc>
        <w:tc>
          <w:tcPr>
            <w:tcW w:w="394" w:type="pct"/>
            <w:tcBorders>
              <w:bottom w:val="single" w:sz="8" w:space="0" w:color="auto"/>
            </w:tcBorders>
            <w:noWrap/>
          </w:tcPr>
          <w:p w14:paraId="2ED0D636" w14:textId="77777777" w:rsidR="00837294" w:rsidRPr="0037041E" w:rsidRDefault="00837294" w:rsidP="00857754">
            <w:pPr>
              <w:pStyle w:val="Tabletext1"/>
              <w:ind w:left="0"/>
              <w:jc w:val="center"/>
            </w:pPr>
            <w:r>
              <w:t>1450</w:t>
            </w:r>
          </w:p>
        </w:tc>
        <w:tc>
          <w:tcPr>
            <w:tcW w:w="394" w:type="pct"/>
            <w:tcBorders>
              <w:bottom w:val="single" w:sz="8" w:space="0" w:color="auto"/>
            </w:tcBorders>
            <w:noWrap/>
          </w:tcPr>
          <w:p w14:paraId="1CB6A591" w14:textId="77777777" w:rsidR="00837294" w:rsidRPr="0037041E" w:rsidRDefault="00837294" w:rsidP="00857754">
            <w:pPr>
              <w:pStyle w:val="Tabletext1"/>
              <w:ind w:left="0"/>
              <w:jc w:val="center"/>
            </w:pPr>
            <w:r>
              <w:t>20</w:t>
            </w:r>
          </w:p>
        </w:tc>
        <w:tc>
          <w:tcPr>
            <w:tcW w:w="471" w:type="pct"/>
            <w:tcBorders>
              <w:bottom w:val="single" w:sz="8" w:space="0" w:color="auto"/>
            </w:tcBorders>
            <w:noWrap/>
          </w:tcPr>
          <w:p w14:paraId="25FA7E40" w14:textId="77777777" w:rsidR="00837294" w:rsidRPr="0037041E" w:rsidRDefault="00837294" w:rsidP="00857754">
            <w:pPr>
              <w:pStyle w:val="Tabletext1"/>
              <w:ind w:left="0"/>
              <w:jc w:val="center"/>
            </w:pPr>
            <w:r>
              <w:t>150</w:t>
            </w:r>
          </w:p>
        </w:tc>
        <w:tc>
          <w:tcPr>
            <w:tcW w:w="521" w:type="pct"/>
            <w:tcBorders>
              <w:bottom w:val="single" w:sz="8" w:space="0" w:color="auto"/>
            </w:tcBorders>
            <w:noWrap/>
          </w:tcPr>
          <w:p w14:paraId="15CA172C" w14:textId="77777777" w:rsidR="00837294" w:rsidRPr="0037041E" w:rsidRDefault="00837294" w:rsidP="00857754">
            <w:pPr>
              <w:pStyle w:val="Tabletext1"/>
              <w:ind w:left="0"/>
              <w:jc w:val="center"/>
            </w:pPr>
            <w:r>
              <w:t>255</w:t>
            </w:r>
          </w:p>
        </w:tc>
      </w:tr>
    </w:tbl>
    <w:p w14:paraId="48429382" w14:textId="47482AE5" w:rsidR="00837294" w:rsidRDefault="00837294" w:rsidP="00837294">
      <w:pPr>
        <w:pStyle w:val="Tablenotes0"/>
      </w:pPr>
      <w:r>
        <w:t xml:space="preserve">Source: Data and summary provided by the Department of Health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p>
    <w:p w14:paraId="3D21D0AC" w14:textId="77777777" w:rsidR="00837294" w:rsidRDefault="00837294" w:rsidP="00837294">
      <w:pPr>
        <w:pStyle w:val="Tablenotes0"/>
      </w:pPr>
      <w:r>
        <w:t xml:space="preserve">CIDP = </w:t>
      </w:r>
      <w:r w:rsidRPr="003E3E03">
        <w:t>chronic inflammatory demyelinating polyneuropathy</w:t>
      </w:r>
      <w:r>
        <w:t>; g = grams; Ig = immunoglobulin; N = number of patients</w:t>
      </w:r>
    </w:p>
    <w:p w14:paraId="554F2648" w14:textId="45540DE9" w:rsidR="00837294" w:rsidRDefault="00837294" w:rsidP="00E72A41">
      <w:pPr>
        <w:pStyle w:val="BodyTextSTD"/>
      </w:pPr>
      <w:r>
        <w:t>T</w:t>
      </w:r>
      <w:r w:rsidRPr="003C338B">
        <w:t xml:space="preserve">he </w:t>
      </w:r>
      <w:r w:rsidR="00E72A41">
        <w:t xml:space="preserve">mean </w:t>
      </w:r>
      <w:r w:rsidRPr="003C338B">
        <w:t xml:space="preserve">amount of Ig used by </w:t>
      </w:r>
      <w:r w:rsidR="00E72A41" w:rsidRPr="003C338B">
        <w:t>p</w:t>
      </w:r>
      <w:r w:rsidR="00E72A41">
        <w:t>a</w:t>
      </w:r>
      <w:r w:rsidR="00E72A41" w:rsidRPr="003C338B">
        <w:t>tients</w:t>
      </w:r>
      <w:r w:rsidRPr="003C338B">
        <w:t xml:space="preserve"> who did not conti</w:t>
      </w:r>
      <w:r>
        <w:t xml:space="preserve">nue treatment beyond 140 days </w:t>
      </w:r>
      <w:r w:rsidR="00E72A41">
        <w:t>was</w:t>
      </w:r>
      <w:r w:rsidRPr="003C338B">
        <w:t xml:space="preserve"> 186</w:t>
      </w:r>
      <w:r w:rsidR="00C12738">
        <w:t xml:space="preserve"> </w:t>
      </w:r>
      <w:r w:rsidRPr="003C338B">
        <w:t>g</w:t>
      </w:r>
      <w:r w:rsidR="00E72A41">
        <w:t xml:space="preserve">. This roughly equates to one loading dose of 156 g </w:t>
      </w:r>
      <w:r w:rsidR="002323FB">
        <w:t xml:space="preserve">and a maintenance dose of 30 g indicating early treatment discontinuation (before </w:t>
      </w:r>
      <w:r w:rsidR="005641B5">
        <w:t xml:space="preserve">four </w:t>
      </w:r>
      <w:r w:rsidR="002323FB">
        <w:t xml:space="preserve">months review) due to lack of efficacy, adverse event or disease stability. </w:t>
      </w:r>
      <w:r w:rsidR="00E72A41">
        <w:t>F</w:t>
      </w:r>
      <w:r w:rsidRPr="003C338B">
        <w:t>or patients who continued treat</w:t>
      </w:r>
      <w:r>
        <w:t xml:space="preserve">ment beyond the </w:t>
      </w:r>
      <w:r w:rsidR="002323FB">
        <w:t xml:space="preserve">first </w:t>
      </w:r>
      <w:r>
        <w:t xml:space="preserve">review period </w:t>
      </w:r>
      <w:r w:rsidR="00E72A41">
        <w:t xml:space="preserve">the </w:t>
      </w:r>
      <w:r>
        <w:t>m</w:t>
      </w:r>
      <w:r w:rsidRPr="003C338B">
        <w:t>ean</w:t>
      </w:r>
      <w:r w:rsidR="00E72A41">
        <w:t xml:space="preserve"> Ig used was </w:t>
      </w:r>
      <w:r w:rsidRPr="003C338B">
        <w:t>318</w:t>
      </w:r>
      <w:r w:rsidR="00E72A41">
        <w:t> </w:t>
      </w:r>
      <w:r w:rsidRPr="003C338B">
        <w:t>g</w:t>
      </w:r>
      <w:r w:rsidR="00E72A41">
        <w:t xml:space="preserve"> equating to one loading dose of 156 g and four maintenance doses of </w:t>
      </w:r>
      <w:r w:rsidR="002323FB">
        <w:t>41 g each</w:t>
      </w:r>
      <w:r w:rsidRPr="003C338B">
        <w:t xml:space="preserve">. </w:t>
      </w:r>
    </w:p>
    <w:p w14:paraId="587C8327" w14:textId="2137CE7B" w:rsidR="00837294" w:rsidRDefault="00837294" w:rsidP="00E72A41">
      <w:pPr>
        <w:pStyle w:val="BodyTextSTD"/>
      </w:pPr>
      <w:r>
        <w:t>Of the 197 patients who continued to receive Ig following the first clinical review, 138 (70%) cont</w:t>
      </w:r>
      <w:r w:rsidR="002323FB">
        <w:t>inued to receive Ig for over 16 </w:t>
      </w:r>
      <w:r>
        <w:t xml:space="preserve">months. 39 (13% ) of these 138 patients had at least one treatment break of greater than </w:t>
      </w:r>
      <w:r w:rsidR="005641B5">
        <w:t xml:space="preserve">eight </w:t>
      </w:r>
      <w:r>
        <w:t xml:space="preserve">weeks during follow-up. </w:t>
      </w:r>
      <w:r w:rsidRPr="00CD08F8">
        <w:t xml:space="preserve">Of those who continued to receive Ig for </w:t>
      </w:r>
      <w:r w:rsidR="002323FB">
        <w:t>16 </w:t>
      </w:r>
      <w:r w:rsidRPr="00CD08F8">
        <w:t xml:space="preserve">months </w:t>
      </w:r>
      <w:r>
        <w:t xml:space="preserve">(after second clinical review) </w:t>
      </w:r>
      <w:r w:rsidRPr="00CD08F8">
        <w:t>or more without a break, the averag</w:t>
      </w:r>
      <w:r w:rsidR="002323FB">
        <w:t>e amount of Ig supplied was 827 </w:t>
      </w:r>
      <w:r w:rsidRPr="00CD08F8">
        <w:t>grams for a 12 month period</w:t>
      </w:r>
      <w:r w:rsidR="002323FB">
        <w:t xml:space="preserve"> (around 64 g every 4 weeks)</w:t>
      </w:r>
      <w:r w:rsidRPr="00CD08F8">
        <w:t xml:space="preserve">, and this amount ranged from </w:t>
      </w:r>
      <w:r>
        <w:t>190 grams to 3</w:t>
      </w:r>
      <w:r w:rsidR="002323FB">
        <w:t>,</w:t>
      </w:r>
      <w:r>
        <w:t>874 </w:t>
      </w:r>
      <w:r w:rsidRPr="00CD08F8">
        <w:t>grams</w:t>
      </w:r>
      <w:r w:rsidR="002323FB">
        <w:t xml:space="preserve"> (15 g–298 g every </w:t>
      </w:r>
      <w:r w:rsidR="00C12738">
        <w:t xml:space="preserve">four </w:t>
      </w:r>
      <w:r w:rsidR="002323FB">
        <w:t>weeks)</w:t>
      </w:r>
      <w:r w:rsidRPr="00CD08F8">
        <w:t xml:space="preserve"> per patient.</w:t>
      </w:r>
      <w:r>
        <w:t xml:space="preserve"> </w:t>
      </w:r>
      <w:r w:rsidR="00AF4F0B">
        <w:t xml:space="preserve">For those who did not continue treatment beyond second review and/or had treatment breaks between first and second review the average Ig ranged from 318 g–539 g per patient for a 12 month period (approximately 24 g–41 g every </w:t>
      </w:r>
      <w:r w:rsidR="005641B5">
        <w:t xml:space="preserve">four </w:t>
      </w:r>
      <w:r w:rsidR="00AF4F0B">
        <w:t>weeks without accounting for breaks).</w:t>
      </w:r>
    </w:p>
    <w:p w14:paraId="3BC057B2" w14:textId="5AB90B16" w:rsidR="00AF4F0B" w:rsidRDefault="00AF4F0B" w:rsidP="00E72A41">
      <w:pPr>
        <w:pStyle w:val="BodyTextSTD"/>
      </w:pPr>
      <w:r>
        <w:fldChar w:fldCharType="begin"/>
      </w:r>
      <w:r>
        <w:instrText xml:space="preserve"> REF _Ref65749492 \h  \* MERGEFORMAT </w:instrText>
      </w:r>
      <w:r>
        <w:fldChar w:fldCharType="separate"/>
      </w:r>
      <w:r w:rsidR="004B3EA2">
        <w:t xml:space="preserve">Table </w:t>
      </w:r>
      <w:r w:rsidR="004B3EA2">
        <w:rPr>
          <w:noProof/>
        </w:rPr>
        <w:t>30</w:t>
      </w:r>
      <w:r>
        <w:fldChar w:fldCharType="end"/>
      </w:r>
      <w:r>
        <w:t xml:space="preserve"> summarises Ig use between first and second clinical review of Ig for CIDP as provided by NBA</w:t>
      </w:r>
      <w:r w:rsidR="006D0697">
        <w:t xml:space="preserve"> data</w:t>
      </w:r>
      <w:r>
        <w:t xml:space="preserve">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t>.</w:t>
      </w:r>
    </w:p>
    <w:p w14:paraId="5CF10A0D" w14:textId="3EE4A000" w:rsidR="00837294" w:rsidRDefault="00837294" w:rsidP="00837294">
      <w:pPr>
        <w:pStyle w:val="Caption"/>
      </w:pPr>
      <w:bookmarkStart w:id="241" w:name="_Ref65749492"/>
      <w:bookmarkStart w:id="242" w:name="_Toc69305671"/>
      <w:r>
        <w:t xml:space="preserve">Table </w:t>
      </w:r>
      <w:r w:rsidR="00003BA5">
        <w:fldChar w:fldCharType="begin"/>
      </w:r>
      <w:r w:rsidR="00003BA5">
        <w:instrText xml:space="preserve"> SEQ Table \* ARABIC </w:instrText>
      </w:r>
      <w:r w:rsidR="00003BA5">
        <w:fldChar w:fldCharType="separate"/>
      </w:r>
      <w:r w:rsidR="004B3EA2">
        <w:rPr>
          <w:noProof/>
        </w:rPr>
        <w:t>30</w:t>
      </w:r>
      <w:r w:rsidR="00003BA5">
        <w:rPr>
          <w:noProof/>
        </w:rPr>
        <w:fldChar w:fldCharType="end"/>
      </w:r>
      <w:bookmarkEnd w:id="241"/>
      <w:r>
        <w:tab/>
      </w:r>
      <w:r w:rsidRPr="00B872CB">
        <w:rPr>
          <w:szCs w:val="20"/>
        </w:rPr>
        <w:t xml:space="preserve">Ig dose (g) </w:t>
      </w:r>
      <w:r>
        <w:rPr>
          <w:szCs w:val="20"/>
        </w:rPr>
        <w:t>supplied between first and second clinical review of Ig for CIDP</w:t>
      </w:r>
      <w:bookmarkEnd w:id="242"/>
    </w:p>
    <w:tbl>
      <w:tblPr>
        <w:tblStyle w:val="TableGrid"/>
        <w:tblW w:w="5000" w:type="pct"/>
        <w:tblLayout w:type="fixed"/>
        <w:tblLook w:val="04A0" w:firstRow="1" w:lastRow="0" w:firstColumn="1" w:lastColumn="0" w:noHBand="0" w:noVBand="1"/>
        <w:tblCaption w:val="Ig dose (g) supplied between first and second clinical review of Ig for CIDP"/>
        <w:tblDescription w:val="Ig dose (g) supplied between first and second clinical review of Ig for CIDP"/>
      </w:tblPr>
      <w:tblGrid>
        <w:gridCol w:w="3963"/>
        <w:gridCol w:w="710"/>
        <w:gridCol w:w="851"/>
        <w:gridCol w:w="992"/>
        <w:gridCol w:w="992"/>
        <w:gridCol w:w="709"/>
        <w:gridCol w:w="799"/>
      </w:tblGrid>
      <w:tr w:rsidR="00837294" w:rsidRPr="00E05DD1" w14:paraId="3F830198" w14:textId="77777777" w:rsidTr="00BB43B6">
        <w:trPr>
          <w:trHeight w:val="290"/>
          <w:tblHeader/>
        </w:trPr>
        <w:tc>
          <w:tcPr>
            <w:tcW w:w="2198" w:type="pct"/>
            <w:noWrap/>
            <w:hideMark/>
          </w:tcPr>
          <w:p w14:paraId="261B6C04" w14:textId="77777777" w:rsidR="00837294" w:rsidRPr="00E05DD1" w:rsidRDefault="00837294" w:rsidP="00857754">
            <w:pPr>
              <w:pStyle w:val="TableHeading"/>
              <w:ind w:left="0"/>
            </w:pPr>
            <w:r>
              <w:t>Description</w:t>
            </w:r>
          </w:p>
        </w:tc>
        <w:tc>
          <w:tcPr>
            <w:tcW w:w="394" w:type="pct"/>
            <w:noWrap/>
            <w:hideMark/>
          </w:tcPr>
          <w:p w14:paraId="050BA063" w14:textId="77777777" w:rsidR="00837294" w:rsidRPr="00E05DD1" w:rsidRDefault="00837294" w:rsidP="00857754">
            <w:pPr>
              <w:pStyle w:val="TableHeading"/>
              <w:ind w:left="0"/>
            </w:pPr>
            <w:r>
              <w:t>N</w:t>
            </w:r>
          </w:p>
        </w:tc>
        <w:tc>
          <w:tcPr>
            <w:tcW w:w="472" w:type="pct"/>
            <w:noWrap/>
            <w:hideMark/>
          </w:tcPr>
          <w:p w14:paraId="2A149BA8" w14:textId="77777777" w:rsidR="00837294" w:rsidRPr="00E05DD1" w:rsidRDefault="00837294" w:rsidP="00857754">
            <w:pPr>
              <w:pStyle w:val="TableHeading"/>
              <w:ind w:left="0"/>
            </w:pPr>
            <w:r>
              <w:t>M</w:t>
            </w:r>
            <w:r w:rsidRPr="00E05DD1">
              <w:t>ean</w:t>
            </w:r>
          </w:p>
        </w:tc>
        <w:tc>
          <w:tcPr>
            <w:tcW w:w="550" w:type="pct"/>
            <w:noWrap/>
            <w:hideMark/>
          </w:tcPr>
          <w:p w14:paraId="73A43D84" w14:textId="77777777" w:rsidR="00837294" w:rsidRPr="00E05DD1" w:rsidRDefault="00837294" w:rsidP="00857754">
            <w:pPr>
              <w:pStyle w:val="TableHeading"/>
              <w:ind w:left="0"/>
            </w:pPr>
            <w:r>
              <w:t>M</w:t>
            </w:r>
            <w:r w:rsidRPr="00E05DD1">
              <w:t>ax</w:t>
            </w:r>
            <w:r>
              <w:t>imum</w:t>
            </w:r>
          </w:p>
        </w:tc>
        <w:tc>
          <w:tcPr>
            <w:tcW w:w="550" w:type="pct"/>
            <w:noWrap/>
            <w:hideMark/>
          </w:tcPr>
          <w:p w14:paraId="7ED8E7B6" w14:textId="77777777" w:rsidR="00837294" w:rsidRPr="00E05DD1" w:rsidRDefault="00837294" w:rsidP="00857754">
            <w:pPr>
              <w:pStyle w:val="TableHeading"/>
              <w:ind w:left="0"/>
            </w:pPr>
            <w:r>
              <w:t>M</w:t>
            </w:r>
            <w:r w:rsidRPr="00E05DD1">
              <w:t>in</w:t>
            </w:r>
            <w:r>
              <w:t>imum</w:t>
            </w:r>
          </w:p>
        </w:tc>
        <w:tc>
          <w:tcPr>
            <w:tcW w:w="393" w:type="pct"/>
            <w:noWrap/>
            <w:hideMark/>
          </w:tcPr>
          <w:p w14:paraId="623E2D92" w14:textId="77777777" w:rsidR="00837294" w:rsidRPr="00E05DD1" w:rsidRDefault="00837294" w:rsidP="00857754">
            <w:pPr>
              <w:pStyle w:val="TableHeading"/>
              <w:ind w:left="0"/>
            </w:pPr>
            <w:r>
              <w:t>M</w:t>
            </w:r>
            <w:r w:rsidRPr="00E05DD1">
              <w:t>ode</w:t>
            </w:r>
          </w:p>
        </w:tc>
        <w:tc>
          <w:tcPr>
            <w:tcW w:w="443" w:type="pct"/>
            <w:noWrap/>
            <w:hideMark/>
          </w:tcPr>
          <w:p w14:paraId="06672F02" w14:textId="77777777" w:rsidR="00837294" w:rsidRPr="00E05DD1" w:rsidRDefault="00837294" w:rsidP="00857754">
            <w:pPr>
              <w:pStyle w:val="TableHeading"/>
              <w:ind w:left="0"/>
            </w:pPr>
            <w:r>
              <w:t>Median</w:t>
            </w:r>
          </w:p>
        </w:tc>
      </w:tr>
      <w:tr w:rsidR="00837294" w:rsidRPr="00E05DD1" w14:paraId="16ED3DF0" w14:textId="77777777" w:rsidTr="00857754">
        <w:trPr>
          <w:trHeight w:val="290"/>
        </w:trPr>
        <w:tc>
          <w:tcPr>
            <w:tcW w:w="2198" w:type="pct"/>
            <w:noWrap/>
          </w:tcPr>
          <w:p w14:paraId="1FE101F5" w14:textId="77777777" w:rsidR="00837294" w:rsidRDefault="00837294" w:rsidP="00786F3F">
            <w:pPr>
              <w:pStyle w:val="Tabletext1"/>
              <w:ind w:left="0"/>
            </w:pPr>
            <w:r>
              <w:t>N</w:t>
            </w:r>
            <w:r w:rsidRPr="00B93EF3">
              <w:t xml:space="preserve">ot treated between first and second clinical review, but </w:t>
            </w:r>
            <w:r>
              <w:t>received treatment</w:t>
            </w:r>
            <w:r w:rsidRPr="00B93EF3">
              <w:t xml:space="preserve"> again more than 16</w:t>
            </w:r>
            <w:r w:rsidR="00786F3F">
              <w:t> </w:t>
            </w:r>
            <w:r w:rsidRPr="00B93EF3">
              <w:t>months after initiation</w:t>
            </w:r>
          </w:p>
        </w:tc>
        <w:tc>
          <w:tcPr>
            <w:tcW w:w="394" w:type="pct"/>
            <w:noWrap/>
          </w:tcPr>
          <w:p w14:paraId="1614D066" w14:textId="77777777" w:rsidR="00837294" w:rsidRDefault="00837294" w:rsidP="00857754">
            <w:pPr>
              <w:pStyle w:val="Tabletext1"/>
              <w:ind w:left="0"/>
              <w:jc w:val="right"/>
            </w:pPr>
            <w:r>
              <w:t>4</w:t>
            </w:r>
          </w:p>
        </w:tc>
        <w:tc>
          <w:tcPr>
            <w:tcW w:w="472" w:type="pct"/>
            <w:noWrap/>
          </w:tcPr>
          <w:p w14:paraId="378B9BF7" w14:textId="77777777" w:rsidR="00837294" w:rsidRPr="00E05DD1" w:rsidRDefault="00837294" w:rsidP="00857754">
            <w:pPr>
              <w:pStyle w:val="Tabletext1"/>
              <w:ind w:left="0"/>
              <w:jc w:val="right"/>
            </w:pPr>
            <w:r>
              <w:t>-</w:t>
            </w:r>
          </w:p>
        </w:tc>
        <w:tc>
          <w:tcPr>
            <w:tcW w:w="550" w:type="pct"/>
            <w:noWrap/>
          </w:tcPr>
          <w:p w14:paraId="01EB3471" w14:textId="77777777" w:rsidR="00837294" w:rsidRPr="00E05DD1" w:rsidRDefault="00837294" w:rsidP="00857754">
            <w:pPr>
              <w:pStyle w:val="Tabletext1"/>
              <w:ind w:left="0"/>
              <w:jc w:val="right"/>
            </w:pPr>
            <w:r>
              <w:t>-</w:t>
            </w:r>
          </w:p>
        </w:tc>
        <w:tc>
          <w:tcPr>
            <w:tcW w:w="550" w:type="pct"/>
            <w:noWrap/>
          </w:tcPr>
          <w:p w14:paraId="37478122" w14:textId="77777777" w:rsidR="00837294" w:rsidRPr="00E05DD1" w:rsidRDefault="00837294" w:rsidP="00857754">
            <w:pPr>
              <w:pStyle w:val="Tabletext1"/>
              <w:ind w:left="0"/>
              <w:jc w:val="right"/>
            </w:pPr>
            <w:r>
              <w:t>-</w:t>
            </w:r>
          </w:p>
        </w:tc>
        <w:tc>
          <w:tcPr>
            <w:tcW w:w="393" w:type="pct"/>
            <w:noWrap/>
          </w:tcPr>
          <w:p w14:paraId="4D31C407" w14:textId="77777777" w:rsidR="00837294" w:rsidRPr="00E05DD1" w:rsidRDefault="00837294" w:rsidP="00857754">
            <w:pPr>
              <w:pStyle w:val="Tabletext1"/>
              <w:ind w:left="0"/>
              <w:jc w:val="right"/>
            </w:pPr>
            <w:r>
              <w:t>-</w:t>
            </w:r>
          </w:p>
        </w:tc>
        <w:tc>
          <w:tcPr>
            <w:tcW w:w="443" w:type="pct"/>
            <w:noWrap/>
          </w:tcPr>
          <w:p w14:paraId="093A26C0" w14:textId="77777777" w:rsidR="00837294" w:rsidRPr="00E05DD1" w:rsidRDefault="00837294" w:rsidP="00857754">
            <w:pPr>
              <w:pStyle w:val="Tabletext1"/>
              <w:ind w:left="0"/>
              <w:jc w:val="right"/>
            </w:pPr>
            <w:r>
              <w:t>-</w:t>
            </w:r>
          </w:p>
        </w:tc>
      </w:tr>
      <w:tr w:rsidR="00837294" w:rsidRPr="00E05DD1" w14:paraId="0CD4812D" w14:textId="77777777" w:rsidTr="00857754">
        <w:trPr>
          <w:trHeight w:val="290"/>
        </w:trPr>
        <w:tc>
          <w:tcPr>
            <w:tcW w:w="2198" w:type="pct"/>
            <w:noWrap/>
            <w:hideMark/>
          </w:tcPr>
          <w:p w14:paraId="266DDDC8" w14:textId="77777777" w:rsidR="00837294" w:rsidRPr="00E05DD1" w:rsidRDefault="00837294" w:rsidP="00857754">
            <w:pPr>
              <w:pStyle w:val="Tabletext1"/>
              <w:ind w:left="0"/>
            </w:pPr>
            <w:r>
              <w:t>Ceased Ig treatment between first and second clinical review</w:t>
            </w:r>
            <w:r w:rsidR="006A1EA1">
              <w:t xml:space="preserve"> and had no treatment break</w:t>
            </w:r>
          </w:p>
        </w:tc>
        <w:tc>
          <w:tcPr>
            <w:tcW w:w="394" w:type="pct"/>
            <w:noWrap/>
            <w:hideMark/>
          </w:tcPr>
          <w:p w14:paraId="5FE200F8" w14:textId="77777777" w:rsidR="00837294" w:rsidRPr="00E05DD1" w:rsidRDefault="006A1EA1" w:rsidP="00857754">
            <w:pPr>
              <w:pStyle w:val="Tabletext1"/>
              <w:ind w:left="0"/>
              <w:jc w:val="right"/>
            </w:pPr>
            <w:r>
              <w:t>48</w:t>
            </w:r>
          </w:p>
        </w:tc>
        <w:tc>
          <w:tcPr>
            <w:tcW w:w="472" w:type="pct"/>
            <w:noWrap/>
            <w:hideMark/>
          </w:tcPr>
          <w:p w14:paraId="7C4C1696" w14:textId="77777777" w:rsidR="00837294" w:rsidRPr="00E05DD1" w:rsidRDefault="00837294" w:rsidP="00857754">
            <w:pPr>
              <w:pStyle w:val="Tabletext1"/>
              <w:ind w:left="0"/>
              <w:jc w:val="right"/>
            </w:pPr>
            <w:r w:rsidRPr="00E05DD1">
              <w:t>317.58</w:t>
            </w:r>
          </w:p>
        </w:tc>
        <w:tc>
          <w:tcPr>
            <w:tcW w:w="550" w:type="pct"/>
            <w:noWrap/>
            <w:hideMark/>
          </w:tcPr>
          <w:p w14:paraId="0E0B794C" w14:textId="77777777" w:rsidR="00837294" w:rsidRPr="00E05DD1" w:rsidRDefault="00837294" w:rsidP="00857754">
            <w:pPr>
              <w:pStyle w:val="Tabletext1"/>
              <w:ind w:left="0"/>
              <w:jc w:val="right"/>
            </w:pPr>
            <w:r w:rsidRPr="00E05DD1">
              <w:t>1</w:t>
            </w:r>
            <w:r w:rsidR="00986793">
              <w:t>,</w:t>
            </w:r>
            <w:r w:rsidRPr="00E05DD1">
              <w:t>440</w:t>
            </w:r>
          </w:p>
        </w:tc>
        <w:tc>
          <w:tcPr>
            <w:tcW w:w="550" w:type="pct"/>
            <w:noWrap/>
            <w:hideMark/>
          </w:tcPr>
          <w:p w14:paraId="69391560" w14:textId="77777777" w:rsidR="00837294" w:rsidRPr="00E05DD1" w:rsidRDefault="00837294" w:rsidP="00857754">
            <w:pPr>
              <w:pStyle w:val="Tabletext1"/>
              <w:ind w:left="0"/>
              <w:jc w:val="right"/>
            </w:pPr>
            <w:r w:rsidRPr="00E05DD1">
              <w:t>30</w:t>
            </w:r>
          </w:p>
        </w:tc>
        <w:tc>
          <w:tcPr>
            <w:tcW w:w="393" w:type="pct"/>
            <w:noWrap/>
            <w:hideMark/>
          </w:tcPr>
          <w:p w14:paraId="4DF5E9A1" w14:textId="77777777" w:rsidR="00837294" w:rsidRPr="00E05DD1" w:rsidRDefault="00837294" w:rsidP="00857754">
            <w:pPr>
              <w:pStyle w:val="Tabletext1"/>
              <w:ind w:left="0"/>
              <w:jc w:val="right"/>
            </w:pPr>
            <w:r w:rsidRPr="00E05DD1">
              <w:t>60</w:t>
            </w:r>
          </w:p>
        </w:tc>
        <w:tc>
          <w:tcPr>
            <w:tcW w:w="443" w:type="pct"/>
            <w:noWrap/>
            <w:hideMark/>
          </w:tcPr>
          <w:p w14:paraId="6E109296" w14:textId="77777777" w:rsidR="00837294" w:rsidRPr="00E05DD1" w:rsidRDefault="00837294" w:rsidP="00857754">
            <w:pPr>
              <w:pStyle w:val="Tabletext1"/>
              <w:ind w:left="0"/>
              <w:jc w:val="right"/>
            </w:pPr>
            <w:r w:rsidRPr="00E05DD1">
              <w:t>215</w:t>
            </w:r>
          </w:p>
        </w:tc>
      </w:tr>
      <w:tr w:rsidR="00986793" w:rsidRPr="00E05DD1" w14:paraId="09EEB02C" w14:textId="77777777" w:rsidTr="00857754">
        <w:trPr>
          <w:trHeight w:val="290"/>
        </w:trPr>
        <w:tc>
          <w:tcPr>
            <w:tcW w:w="2198" w:type="pct"/>
            <w:noWrap/>
          </w:tcPr>
          <w:p w14:paraId="4F6C586A" w14:textId="77777777" w:rsidR="00986793" w:rsidRDefault="00986793" w:rsidP="00986793">
            <w:pPr>
              <w:pStyle w:val="Tabletext1"/>
              <w:ind w:left="0"/>
            </w:pPr>
            <w:r>
              <w:t>Ceased Ig treatment between first and second clinical review and had a treatment break</w:t>
            </w:r>
          </w:p>
        </w:tc>
        <w:tc>
          <w:tcPr>
            <w:tcW w:w="394" w:type="pct"/>
            <w:noWrap/>
          </w:tcPr>
          <w:p w14:paraId="0A88B5C6" w14:textId="77777777" w:rsidR="00986793" w:rsidRDefault="00986793" w:rsidP="00986793">
            <w:pPr>
              <w:pStyle w:val="Tabletext1"/>
              <w:ind w:left="0"/>
              <w:jc w:val="right"/>
            </w:pPr>
            <w:r>
              <w:t>7</w:t>
            </w:r>
          </w:p>
        </w:tc>
        <w:tc>
          <w:tcPr>
            <w:tcW w:w="472" w:type="pct"/>
            <w:noWrap/>
          </w:tcPr>
          <w:p w14:paraId="39B2298C" w14:textId="77777777" w:rsidR="00986793" w:rsidRPr="00E05DD1" w:rsidRDefault="00986793" w:rsidP="00986793">
            <w:pPr>
              <w:pStyle w:val="Tabletext1"/>
              <w:ind w:left="0"/>
              <w:jc w:val="right"/>
            </w:pPr>
            <w:r w:rsidRPr="00F234E0">
              <w:t>373.21</w:t>
            </w:r>
          </w:p>
        </w:tc>
        <w:tc>
          <w:tcPr>
            <w:tcW w:w="550" w:type="pct"/>
            <w:noWrap/>
          </w:tcPr>
          <w:p w14:paraId="02F0B7AE" w14:textId="77777777" w:rsidR="00986793" w:rsidRPr="00E05DD1" w:rsidRDefault="00986793" w:rsidP="00986793">
            <w:pPr>
              <w:pStyle w:val="Tabletext1"/>
              <w:ind w:left="0"/>
              <w:jc w:val="right"/>
            </w:pPr>
            <w:r w:rsidRPr="00F234E0">
              <w:t>1</w:t>
            </w:r>
            <w:r>
              <w:t>,</w:t>
            </w:r>
            <w:r w:rsidRPr="00F234E0">
              <w:t>120</w:t>
            </w:r>
          </w:p>
        </w:tc>
        <w:tc>
          <w:tcPr>
            <w:tcW w:w="550" w:type="pct"/>
            <w:noWrap/>
          </w:tcPr>
          <w:p w14:paraId="67C33D30" w14:textId="77777777" w:rsidR="00986793" w:rsidRPr="00E05DD1" w:rsidRDefault="00986793" w:rsidP="00986793">
            <w:pPr>
              <w:pStyle w:val="Tabletext1"/>
              <w:ind w:left="0"/>
              <w:jc w:val="right"/>
            </w:pPr>
            <w:r w:rsidRPr="00F234E0">
              <w:t>140</w:t>
            </w:r>
          </w:p>
        </w:tc>
        <w:tc>
          <w:tcPr>
            <w:tcW w:w="393" w:type="pct"/>
            <w:noWrap/>
          </w:tcPr>
          <w:p w14:paraId="480F565F" w14:textId="77777777" w:rsidR="00986793" w:rsidRPr="00E05DD1" w:rsidRDefault="00986793" w:rsidP="00986793">
            <w:pPr>
              <w:pStyle w:val="Tabletext1"/>
              <w:ind w:left="0"/>
              <w:jc w:val="right"/>
            </w:pPr>
            <w:r>
              <w:t>-</w:t>
            </w:r>
          </w:p>
        </w:tc>
        <w:tc>
          <w:tcPr>
            <w:tcW w:w="443" w:type="pct"/>
            <w:noWrap/>
          </w:tcPr>
          <w:p w14:paraId="0F7155A1" w14:textId="77777777" w:rsidR="00986793" w:rsidRPr="00E05DD1" w:rsidRDefault="00986793" w:rsidP="00986793">
            <w:pPr>
              <w:pStyle w:val="Tabletext1"/>
              <w:ind w:left="0"/>
              <w:jc w:val="right"/>
            </w:pPr>
            <w:r>
              <w:t>250</w:t>
            </w:r>
          </w:p>
        </w:tc>
      </w:tr>
      <w:tr w:rsidR="00986793" w:rsidRPr="00E05DD1" w14:paraId="54D298A5" w14:textId="77777777" w:rsidTr="00857754">
        <w:trPr>
          <w:trHeight w:val="290"/>
        </w:trPr>
        <w:tc>
          <w:tcPr>
            <w:tcW w:w="2198" w:type="pct"/>
            <w:noWrap/>
            <w:hideMark/>
          </w:tcPr>
          <w:p w14:paraId="24E941AE" w14:textId="77777777" w:rsidR="00986793" w:rsidRPr="00E05DD1" w:rsidRDefault="00986793" w:rsidP="00986793">
            <w:pPr>
              <w:pStyle w:val="Tabletext1"/>
              <w:ind w:left="0"/>
            </w:pPr>
            <w:r>
              <w:t xml:space="preserve">Received Ig after first </w:t>
            </w:r>
            <w:r w:rsidRPr="00E05DD1">
              <w:t xml:space="preserve">and </w:t>
            </w:r>
            <w:r>
              <w:t>second clinical review without any treatment break</w:t>
            </w:r>
          </w:p>
        </w:tc>
        <w:tc>
          <w:tcPr>
            <w:tcW w:w="394" w:type="pct"/>
            <w:noWrap/>
            <w:hideMark/>
          </w:tcPr>
          <w:p w14:paraId="238984CF" w14:textId="77777777" w:rsidR="00986793" w:rsidRPr="00E05DD1" w:rsidRDefault="00986793" w:rsidP="00986793">
            <w:pPr>
              <w:pStyle w:val="Tabletext1"/>
              <w:ind w:left="0"/>
              <w:jc w:val="right"/>
            </w:pPr>
            <w:r w:rsidRPr="00E05DD1">
              <w:t>99</w:t>
            </w:r>
          </w:p>
        </w:tc>
        <w:tc>
          <w:tcPr>
            <w:tcW w:w="472" w:type="pct"/>
            <w:noWrap/>
            <w:hideMark/>
          </w:tcPr>
          <w:p w14:paraId="6DB8AF72" w14:textId="77777777" w:rsidR="00986793" w:rsidRPr="00E05DD1" w:rsidRDefault="00986793" w:rsidP="00986793">
            <w:pPr>
              <w:pStyle w:val="Tabletext1"/>
              <w:ind w:left="0"/>
              <w:jc w:val="right"/>
            </w:pPr>
            <w:r w:rsidRPr="00E05DD1">
              <w:t>827.15</w:t>
            </w:r>
          </w:p>
        </w:tc>
        <w:tc>
          <w:tcPr>
            <w:tcW w:w="550" w:type="pct"/>
            <w:noWrap/>
            <w:hideMark/>
          </w:tcPr>
          <w:p w14:paraId="612F95BC" w14:textId="77777777" w:rsidR="00986793" w:rsidRPr="00E05DD1" w:rsidRDefault="00986793" w:rsidP="00986793">
            <w:pPr>
              <w:pStyle w:val="Tabletext1"/>
              <w:ind w:left="0"/>
              <w:jc w:val="right"/>
            </w:pPr>
            <w:r w:rsidRPr="00E05DD1">
              <w:t>3</w:t>
            </w:r>
            <w:r>
              <w:t>,</w:t>
            </w:r>
            <w:r w:rsidRPr="00E05DD1">
              <w:t>874</w:t>
            </w:r>
          </w:p>
        </w:tc>
        <w:tc>
          <w:tcPr>
            <w:tcW w:w="550" w:type="pct"/>
            <w:noWrap/>
            <w:hideMark/>
          </w:tcPr>
          <w:p w14:paraId="799027BB" w14:textId="77777777" w:rsidR="00986793" w:rsidRPr="00E05DD1" w:rsidRDefault="00986793" w:rsidP="00986793">
            <w:pPr>
              <w:pStyle w:val="Tabletext1"/>
              <w:ind w:left="0"/>
              <w:jc w:val="right"/>
            </w:pPr>
            <w:r w:rsidRPr="00E05DD1">
              <w:t>190</w:t>
            </w:r>
          </w:p>
        </w:tc>
        <w:tc>
          <w:tcPr>
            <w:tcW w:w="393" w:type="pct"/>
            <w:noWrap/>
            <w:hideMark/>
          </w:tcPr>
          <w:p w14:paraId="2A513A5B" w14:textId="77777777" w:rsidR="00986793" w:rsidRPr="00E05DD1" w:rsidRDefault="00986793" w:rsidP="00986793">
            <w:pPr>
              <w:pStyle w:val="Tabletext1"/>
              <w:ind w:left="0"/>
              <w:jc w:val="right"/>
            </w:pPr>
            <w:r w:rsidRPr="00E05DD1">
              <w:t>455</w:t>
            </w:r>
          </w:p>
        </w:tc>
        <w:tc>
          <w:tcPr>
            <w:tcW w:w="443" w:type="pct"/>
            <w:noWrap/>
            <w:hideMark/>
          </w:tcPr>
          <w:p w14:paraId="09386DA2" w14:textId="77777777" w:rsidR="00986793" w:rsidRPr="00E05DD1" w:rsidRDefault="00986793" w:rsidP="00986793">
            <w:pPr>
              <w:pStyle w:val="Tabletext1"/>
              <w:ind w:left="0"/>
              <w:jc w:val="right"/>
            </w:pPr>
            <w:r w:rsidRPr="00E05DD1">
              <w:t>645</w:t>
            </w:r>
          </w:p>
        </w:tc>
      </w:tr>
      <w:tr w:rsidR="00986793" w:rsidRPr="00E05DD1" w14:paraId="18C007E7" w14:textId="77777777" w:rsidTr="00D356E5">
        <w:trPr>
          <w:trHeight w:val="290"/>
        </w:trPr>
        <w:tc>
          <w:tcPr>
            <w:tcW w:w="2198" w:type="pct"/>
            <w:tcBorders>
              <w:bottom w:val="single" w:sz="4" w:space="0" w:color="auto"/>
            </w:tcBorders>
            <w:noWrap/>
            <w:hideMark/>
          </w:tcPr>
          <w:p w14:paraId="2E36E602" w14:textId="77777777" w:rsidR="00986793" w:rsidRPr="00E05DD1" w:rsidRDefault="00986793" w:rsidP="00786F3F">
            <w:pPr>
              <w:pStyle w:val="Tabletext1"/>
              <w:ind w:left="0"/>
            </w:pPr>
            <w:r>
              <w:t>Continued beyond second clinical review (&gt;</w:t>
            </w:r>
            <w:r w:rsidR="00786F3F">
              <w:t> </w:t>
            </w:r>
            <w:r w:rsidRPr="00786F3F">
              <w:t>16</w:t>
            </w:r>
            <w:r w:rsidR="00786F3F">
              <w:t> </w:t>
            </w:r>
            <w:r w:rsidRPr="00786F3F">
              <w:t>months</w:t>
            </w:r>
            <w:r>
              <w:t>) but had a break during this time</w:t>
            </w:r>
          </w:p>
        </w:tc>
        <w:tc>
          <w:tcPr>
            <w:tcW w:w="394" w:type="pct"/>
            <w:tcBorders>
              <w:bottom w:val="single" w:sz="4" w:space="0" w:color="auto"/>
            </w:tcBorders>
            <w:noWrap/>
            <w:hideMark/>
          </w:tcPr>
          <w:p w14:paraId="0B229C11" w14:textId="77777777" w:rsidR="00986793" w:rsidRPr="00E05DD1" w:rsidRDefault="00986793" w:rsidP="00986793">
            <w:pPr>
              <w:pStyle w:val="Tabletext1"/>
              <w:ind w:left="0"/>
              <w:jc w:val="right"/>
            </w:pPr>
            <w:r w:rsidRPr="00E05DD1">
              <w:t>39</w:t>
            </w:r>
          </w:p>
        </w:tc>
        <w:tc>
          <w:tcPr>
            <w:tcW w:w="472" w:type="pct"/>
            <w:tcBorders>
              <w:bottom w:val="single" w:sz="4" w:space="0" w:color="auto"/>
            </w:tcBorders>
            <w:noWrap/>
            <w:hideMark/>
          </w:tcPr>
          <w:p w14:paraId="49C9FAA3" w14:textId="77777777" w:rsidR="00986793" w:rsidRPr="00E05DD1" w:rsidRDefault="00986793" w:rsidP="00986793">
            <w:pPr>
              <w:pStyle w:val="Tabletext1"/>
              <w:ind w:left="0"/>
              <w:jc w:val="right"/>
            </w:pPr>
            <w:r w:rsidRPr="00E05DD1">
              <w:t>538.64</w:t>
            </w:r>
          </w:p>
        </w:tc>
        <w:tc>
          <w:tcPr>
            <w:tcW w:w="550" w:type="pct"/>
            <w:tcBorders>
              <w:bottom w:val="single" w:sz="4" w:space="0" w:color="auto"/>
            </w:tcBorders>
            <w:noWrap/>
            <w:hideMark/>
          </w:tcPr>
          <w:p w14:paraId="64A11D79" w14:textId="77777777" w:rsidR="00986793" w:rsidRPr="00E05DD1" w:rsidRDefault="00986793" w:rsidP="00986793">
            <w:pPr>
              <w:pStyle w:val="Tabletext1"/>
              <w:ind w:left="0"/>
              <w:jc w:val="right"/>
            </w:pPr>
            <w:r w:rsidRPr="00E05DD1">
              <w:t>1</w:t>
            </w:r>
            <w:r>
              <w:t>,</w:t>
            </w:r>
            <w:r w:rsidRPr="00E05DD1">
              <w:t>820</w:t>
            </w:r>
          </w:p>
        </w:tc>
        <w:tc>
          <w:tcPr>
            <w:tcW w:w="550" w:type="pct"/>
            <w:tcBorders>
              <w:bottom w:val="single" w:sz="4" w:space="0" w:color="auto"/>
            </w:tcBorders>
            <w:noWrap/>
            <w:hideMark/>
          </w:tcPr>
          <w:p w14:paraId="13F49821" w14:textId="77777777" w:rsidR="00986793" w:rsidRPr="00E05DD1" w:rsidRDefault="00986793" w:rsidP="00986793">
            <w:pPr>
              <w:pStyle w:val="Tabletext1"/>
              <w:ind w:left="0"/>
              <w:jc w:val="right"/>
            </w:pPr>
            <w:r w:rsidRPr="00E05DD1">
              <w:t>75</w:t>
            </w:r>
          </w:p>
        </w:tc>
        <w:tc>
          <w:tcPr>
            <w:tcW w:w="393" w:type="pct"/>
            <w:tcBorders>
              <w:bottom w:val="single" w:sz="4" w:space="0" w:color="auto"/>
            </w:tcBorders>
            <w:noWrap/>
            <w:hideMark/>
          </w:tcPr>
          <w:p w14:paraId="297CF66B" w14:textId="77777777" w:rsidR="00986793" w:rsidRPr="00E05DD1" w:rsidRDefault="00986793" w:rsidP="00986793">
            <w:pPr>
              <w:pStyle w:val="Tabletext1"/>
              <w:ind w:left="0"/>
              <w:jc w:val="right"/>
            </w:pPr>
            <w:r w:rsidRPr="00E05DD1">
              <w:t>200</w:t>
            </w:r>
          </w:p>
        </w:tc>
        <w:tc>
          <w:tcPr>
            <w:tcW w:w="443" w:type="pct"/>
            <w:tcBorders>
              <w:bottom w:val="single" w:sz="4" w:space="0" w:color="auto"/>
            </w:tcBorders>
            <w:noWrap/>
            <w:hideMark/>
          </w:tcPr>
          <w:p w14:paraId="3A0624D6" w14:textId="77777777" w:rsidR="00986793" w:rsidRPr="00E05DD1" w:rsidRDefault="00986793" w:rsidP="00986793">
            <w:pPr>
              <w:pStyle w:val="Tabletext1"/>
              <w:ind w:left="0"/>
              <w:jc w:val="right"/>
            </w:pPr>
            <w:r w:rsidRPr="00E05DD1">
              <w:t>420</w:t>
            </w:r>
          </w:p>
        </w:tc>
      </w:tr>
      <w:tr w:rsidR="00986793" w:rsidRPr="00E05DD1" w14:paraId="7B25B40E" w14:textId="77777777" w:rsidTr="00D356E5">
        <w:trPr>
          <w:trHeight w:val="290"/>
        </w:trPr>
        <w:tc>
          <w:tcPr>
            <w:tcW w:w="2198" w:type="pct"/>
            <w:tcBorders>
              <w:bottom w:val="single" w:sz="4" w:space="0" w:color="auto"/>
            </w:tcBorders>
            <w:noWrap/>
          </w:tcPr>
          <w:p w14:paraId="19FBDA73" w14:textId="77777777" w:rsidR="00986793" w:rsidRPr="00E05DD1" w:rsidRDefault="00986793" w:rsidP="00986793">
            <w:pPr>
              <w:pStyle w:val="Tabletext1"/>
              <w:ind w:left="0"/>
            </w:pPr>
            <w:r>
              <w:t xml:space="preserve">Total </w:t>
            </w:r>
          </w:p>
        </w:tc>
        <w:tc>
          <w:tcPr>
            <w:tcW w:w="394" w:type="pct"/>
            <w:tcBorders>
              <w:bottom w:val="single" w:sz="4" w:space="0" w:color="auto"/>
            </w:tcBorders>
            <w:noWrap/>
          </w:tcPr>
          <w:p w14:paraId="6DF823B9" w14:textId="77777777" w:rsidR="00986793" w:rsidRPr="00E05DD1" w:rsidRDefault="00986793" w:rsidP="00986793">
            <w:pPr>
              <w:pStyle w:val="Tabletext1"/>
              <w:ind w:left="0"/>
              <w:jc w:val="right"/>
            </w:pPr>
            <w:r>
              <w:t>197</w:t>
            </w:r>
          </w:p>
        </w:tc>
        <w:tc>
          <w:tcPr>
            <w:tcW w:w="472" w:type="pct"/>
            <w:tcBorders>
              <w:bottom w:val="single" w:sz="4" w:space="0" w:color="auto"/>
            </w:tcBorders>
            <w:noWrap/>
          </w:tcPr>
          <w:p w14:paraId="637F6804" w14:textId="77777777" w:rsidR="00986793" w:rsidRPr="00E05DD1" w:rsidRDefault="00986793" w:rsidP="00986793">
            <w:pPr>
              <w:pStyle w:val="Tabletext1"/>
              <w:ind w:left="0"/>
              <w:jc w:val="right"/>
            </w:pPr>
          </w:p>
        </w:tc>
        <w:tc>
          <w:tcPr>
            <w:tcW w:w="550" w:type="pct"/>
            <w:tcBorders>
              <w:bottom w:val="single" w:sz="4" w:space="0" w:color="auto"/>
            </w:tcBorders>
            <w:noWrap/>
          </w:tcPr>
          <w:p w14:paraId="29C64C61" w14:textId="77777777" w:rsidR="00986793" w:rsidRPr="00E05DD1" w:rsidRDefault="00986793" w:rsidP="00986793">
            <w:pPr>
              <w:pStyle w:val="Tabletext1"/>
              <w:ind w:left="0"/>
              <w:jc w:val="right"/>
            </w:pPr>
          </w:p>
        </w:tc>
        <w:tc>
          <w:tcPr>
            <w:tcW w:w="550" w:type="pct"/>
            <w:tcBorders>
              <w:bottom w:val="single" w:sz="4" w:space="0" w:color="auto"/>
            </w:tcBorders>
            <w:noWrap/>
          </w:tcPr>
          <w:p w14:paraId="376CE06F" w14:textId="77777777" w:rsidR="00986793" w:rsidRPr="00E05DD1" w:rsidRDefault="00986793" w:rsidP="00986793">
            <w:pPr>
              <w:pStyle w:val="Tabletext1"/>
              <w:ind w:left="0"/>
              <w:jc w:val="right"/>
            </w:pPr>
          </w:p>
        </w:tc>
        <w:tc>
          <w:tcPr>
            <w:tcW w:w="393" w:type="pct"/>
            <w:tcBorders>
              <w:bottom w:val="single" w:sz="4" w:space="0" w:color="auto"/>
            </w:tcBorders>
            <w:noWrap/>
          </w:tcPr>
          <w:p w14:paraId="66EAC8D4" w14:textId="77777777" w:rsidR="00986793" w:rsidRPr="00E05DD1" w:rsidRDefault="00986793" w:rsidP="00986793">
            <w:pPr>
              <w:pStyle w:val="Tabletext1"/>
              <w:ind w:left="0"/>
              <w:jc w:val="right"/>
            </w:pPr>
          </w:p>
        </w:tc>
        <w:tc>
          <w:tcPr>
            <w:tcW w:w="443" w:type="pct"/>
            <w:tcBorders>
              <w:bottom w:val="single" w:sz="4" w:space="0" w:color="auto"/>
            </w:tcBorders>
            <w:noWrap/>
          </w:tcPr>
          <w:p w14:paraId="58276A4B" w14:textId="77777777" w:rsidR="00986793" w:rsidRPr="00E05DD1" w:rsidRDefault="00986793" w:rsidP="00986793">
            <w:pPr>
              <w:pStyle w:val="Tabletext1"/>
              <w:ind w:left="0"/>
              <w:jc w:val="right"/>
            </w:pPr>
          </w:p>
        </w:tc>
      </w:tr>
    </w:tbl>
    <w:p w14:paraId="7079841B" w14:textId="2309F295" w:rsidR="00837294" w:rsidRDefault="00837294" w:rsidP="00837294">
      <w:pPr>
        <w:pStyle w:val="Tablenote"/>
      </w:pPr>
      <w:r>
        <w:t>CIDP = chronic inflammatory demyelinating polyneuropathy; Ig = immunoglobulin; N= number of patients</w:t>
      </w:r>
    </w:p>
    <w:p w14:paraId="4FABF2A7" w14:textId="1548412D" w:rsidR="00550BCB" w:rsidRDefault="00550BCB" w:rsidP="00837294">
      <w:pPr>
        <w:pStyle w:val="Tablenote"/>
      </w:pPr>
      <w:r>
        <w:t xml:space="preserve">Note: </w:t>
      </w:r>
      <w:r w:rsidR="00F728E4">
        <w:t xml:space="preserve">The table above includes data for total Ig issued, that is intravenous Ig (IVIg) + subcutaneous Ig (SCIg). Updated data for IVIg issued excluding patients switching from IVIg to SCIg were provided by the Department on 31 March 2021. These are shown in </w:t>
      </w:r>
      <w:r w:rsidR="00F728E4">
        <w:fldChar w:fldCharType="begin"/>
      </w:r>
      <w:r w:rsidR="00F728E4">
        <w:instrText xml:space="preserve"> REF _Ref68166156 \h </w:instrText>
      </w:r>
      <w:r w:rsidR="00F728E4">
        <w:fldChar w:fldCharType="separate"/>
      </w:r>
      <w:r w:rsidR="004B3EA2">
        <w:t xml:space="preserve">Table </w:t>
      </w:r>
      <w:r w:rsidR="004B3EA2">
        <w:rPr>
          <w:noProof/>
        </w:rPr>
        <w:t>78</w:t>
      </w:r>
      <w:r w:rsidR="00F728E4">
        <w:fldChar w:fldCharType="end"/>
      </w:r>
      <w:r w:rsidR="00F728E4">
        <w:t xml:space="preserve"> in Appendix G. </w:t>
      </w:r>
    </w:p>
    <w:p w14:paraId="00CDE5F1" w14:textId="0FF91A37" w:rsidR="00837294" w:rsidRDefault="00837294" w:rsidP="009F1462">
      <w:pPr>
        <w:pStyle w:val="BodyTextSTD"/>
      </w:pPr>
      <w:r>
        <w:t xml:space="preserve">These summary statistics </w:t>
      </w:r>
      <w:r w:rsidR="009552A0">
        <w:t xml:space="preserve">derived </w:t>
      </w:r>
      <w:r>
        <w:t xml:space="preserve">from </w:t>
      </w:r>
      <w:r w:rsidR="009552A0">
        <w:t xml:space="preserve">the patient level analysis of </w:t>
      </w:r>
      <w:r>
        <w:t xml:space="preserve">BloodStar data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t xml:space="preserve"> will be used for the model validation</w:t>
      </w:r>
      <w:r w:rsidR="007B151D">
        <w:t xml:space="preserve"> and calibration</w:t>
      </w:r>
      <w:r>
        <w:t xml:space="preserve">. </w:t>
      </w:r>
    </w:p>
    <w:p w14:paraId="75FAF1D7" w14:textId="77777777" w:rsidR="00837294" w:rsidRDefault="00837294" w:rsidP="00837294">
      <w:pPr>
        <w:pStyle w:val="Heading3"/>
      </w:pPr>
      <w:bookmarkStart w:id="243" w:name="_Toc69305574"/>
      <w:r>
        <w:t>C.2.3.</w:t>
      </w:r>
      <w:r>
        <w:tab/>
      </w:r>
      <w:r>
        <w:tab/>
        <w:t>Duration of treatment</w:t>
      </w:r>
      <w:bookmarkEnd w:id="243"/>
    </w:p>
    <w:p w14:paraId="371CB427" w14:textId="77777777" w:rsidR="00837294" w:rsidRPr="00A14C80" w:rsidRDefault="00837294" w:rsidP="00A14C80">
      <w:pPr>
        <w:pStyle w:val="BodyTextSTD"/>
        <w:rPr>
          <w:b/>
        </w:rPr>
      </w:pPr>
      <w:r w:rsidRPr="00A14C80">
        <w:rPr>
          <w:b/>
        </w:rPr>
        <w:t>Is the duration of Ig treatment in the clinical evidence consistent with use in the current Australian population?</w:t>
      </w:r>
    </w:p>
    <w:p w14:paraId="63380286" w14:textId="22232922" w:rsidR="00837294" w:rsidRDefault="00837294" w:rsidP="00A14C80">
      <w:pPr>
        <w:pStyle w:val="BodyTextSTD"/>
      </w:pPr>
      <w:r>
        <w:t>M</w:t>
      </w:r>
      <w:r w:rsidRPr="00E3331A">
        <w:t xml:space="preserve">ost </w:t>
      </w:r>
      <w:r w:rsidR="00D356E5">
        <w:t xml:space="preserve">of the RCTs </w:t>
      </w:r>
      <w:r>
        <w:t>are short-term (</w:t>
      </w:r>
      <w:r w:rsidR="005641B5">
        <w:t>three to six</w:t>
      </w:r>
      <w:r>
        <w:t xml:space="preserve"> weeks) or </w:t>
      </w:r>
      <w:r w:rsidRPr="00E3331A">
        <w:t>cease before one year of follow-up</w:t>
      </w:r>
      <w:r>
        <w:t>. Th</w:t>
      </w:r>
      <w:r w:rsidR="00D356E5">
        <w:t xml:space="preserve">is is not consistent with the </w:t>
      </w:r>
      <w:r>
        <w:t xml:space="preserve">duration of Ig treatment in the </w:t>
      </w:r>
      <w:r w:rsidR="00D356E5">
        <w:t xml:space="preserve">broader </w:t>
      </w:r>
      <w:r>
        <w:t xml:space="preserve">clinical evidence </w:t>
      </w:r>
      <w:r w:rsidR="00D356E5">
        <w:t xml:space="preserve">(observational studies) </w:t>
      </w:r>
      <w:r>
        <w:t xml:space="preserve">and the current Australian population. </w:t>
      </w:r>
      <w:r w:rsidRPr="00DA3C6E">
        <w:t>The Criteria V3 does not specify a maximum duration of treatment, rather it guides treatment based on specific time points</w:t>
      </w:r>
      <w:r>
        <w:t xml:space="preserve"> (first clinical review at </w:t>
      </w:r>
      <w:r w:rsidR="005641B5">
        <w:t>four </w:t>
      </w:r>
      <w:r>
        <w:t>months and second clinical review at 12 months)</w:t>
      </w:r>
      <w:r w:rsidRPr="00DA3C6E">
        <w:t xml:space="preserve"> of clinical assessment to determine responsiveness and clinical benefit. BloodSTAR</w:t>
      </w:r>
      <w:r w:rsidRPr="00BE7128">
        <w:t xml:space="preserve"> data for the </w:t>
      </w:r>
      <w:r>
        <w:t xml:space="preserve">mean </w:t>
      </w:r>
      <w:r w:rsidRPr="00BE7128">
        <w:t xml:space="preserve">duration of treatment in </w:t>
      </w:r>
      <w:r>
        <w:t xml:space="preserve">Australian patients receiving </w:t>
      </w:r>
      <w:r w:rsidRPr="00BE7128">
        <w:t xml:space="preserve">Ig for </w:t>
      </w:r>
      <w:r>
        <w:t xml:space="preserve">CIDP were not available. However, </w:t>
      </w:r>
      <w:r w:rsidR="00D356E5">
        <w:t xml:space="preserve">the </w:t>
      </w:r>
      <w:r>
        <w:t xml:space="preserve">utilisation data for 291 treatment naïve patients </w:t>
      </w:r>
      <w:r w:rsidRPr="009063DE">
        <w:t>who commenced Ig treatment for CIDP between 1 November 2018 to 31 April 2019</w:t>
      </w:r>
      <w:r>
        <w:t xml:space="preserve">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rsidR="00D356E5">
        <w:t xml:space="preserve"> was summarised in </w:t>
      </w:r>
      <w:r w:rsidR="00A14C80">
        <w:fldChar w:fldCharType="begin"/>
      </w:r>
      <w:r w:rsidR="00A14C80">
        <w:instrText xml:space="preserve"> REF _Ref65842328 \h </w:instrText>
      </w:r>
      <w:r w:rsidR="00A14C80">
        <w:fldChar w:fldCharType="separate"/>
      </w:r>
      <w:r w:rsidR="004B3EA2">
        <w:t xml:space="preserve">Table </w:t>
      </w:r>
      <w:r w:rsidR="004B3EA2">
        <w:rPr>
          <w:noProof/>
        </w:rPr>
        <w:t>29</w:t>
      </w:r>
      <w:r w:rsidR="00A14C80">
        <w:fldChar w:fldCharType="end"/>
      </w:r>
      <w:r w:rsidR="00A14C80">
        <w:t xml:space="preserve"> and </w:t>
      </w:r>
      <w:r w:rsidR="00A14C80">
        <w:fldChar w:fldCharType="begin"/>
      </w:r>
      <w:r w:rsidR="00A14C80">
        <w:instrText xml:space="preserve"> REF _Ref65749492 \h </w:instrText>
      </w:r>
      <w:r w:rsidR="00A14C80">
        <w:fldChar w:fldCharType="separate"/>
      </w:r>
      <w:r w:rsidR="004B3EA2">
        <w:t xml:space="preserve">Table </w:t>
      </w:r>
      <w:r w:rsidR="004B3EA2">
        <w:rPr>
          <w:noProof/>
        </w:rPr>
        <w:t>30</w:t>
      </w:r>
      <w:r w:rsidR="00A14C80">
        <w:fldChar w:fldCharType="end"/>
      </w:r>
      <w:r w:rsidR="00A14C80">
        <w:t xml:space="preserve"> above.</w:t>
      </w:r>
    </w:p>
    <w:p w14:paraId="76C5BE05" w14:textId="58F145C9" w:rsidR="00837294" w:rsidRDefault="00A14C80" w:rsidP="00A14C80">
      <w:pPr>
        <w:pStyle w:val="BodyTextSTD"/>
      </w:pPr>
      <w:r>
        <w:t>In summary, o</w:t>
      </w:r>
      <w:r w:rsidR="00837294">
        <w:t xml:space="preserve">f the 291 patients who commenced therapy with Ig, 197 (68%) </w:t>
      </w:r>
      <w:r w:rsidR="00837294" w:rsidRPr="009C0B74">
        <w:t>continued treatment beyond 140</w:t>
      </w:r>
      <w:r>
        <w:t> </w:t>
      </w:r>
      <w:r w:rsidR="00837294" w:rsidRPr="009C0B74">
        <w:t>days</w:t>
      </w:r>
      <w:r w:rsidR="00837294">
        <w:t xml:space="preserve"> (after first clinical review). Of the 197 patients who continued to receive Ig following the first clinical review, 138 (70%) continued to receive Ig for over 16</w:t>
      </w:r>
      <w:r w:rsidR="00F62178">
        <w:t> </w:t>
      </w:r>
      <w:r w:rsidR="00837294">
        <w:t xml:space="preserve">months, however during this follow-up 39 (28%) of these patients did have a break in treatment of greater than 56 days (8 weeks). A further 55 (28%) patients ceased Ig between the first and the second clinical review and did not reinitiate in the follow-up period. Four patients had a break of 12 months or more, but reinitiated more than 16 months after initiating Ig. </w:t>
      </w:r>
    </w:p>
    <w:p w14:paraId="1B17C2E0" w14:textId="6FA3D5EF" w:rsidR="00837294" w:rsidRDefault="00837294" w:rsidP="00A14C80">
      <w:pPr>
        <w:pStyle w:val="BodyTextSTD"/>
      </w:pPr>
      <w:r>
        <w:t xml:space="preserve">There is a considerable variation in the treatment durations among patients with CIDP </w:t>
      </w:r>
      <w:r w:rsidR="00D356E5">
        <w:t xml:space="preserve">in Australia, </w:t>
      </w:r>
      <w:r>
        <w:t>as observed in the BloodStar data</w:t>
      </w:r>
      <w:r w:rsidR="00A14C80">
        <w:t xml:space="preserve"> (</w:t>
      </w:r>
      <w:r w:rsidR="00A14C80">
        <w:fldChar w:fldCharType="begin"/>
      </w:r>
      <w:r w:rsidR="00A14C80">
        <w:instrText xml:space="preserve"> REF _Ref65842328 \h </w:instrText>
      </w:r>
      <w:r w:rsidR="00A14C80">
        <w:fldChar w:fldCharType="separate"/>
      </w:r>
      <w:r w:rsidR="004B3EA2">
        <w:t xml:space="preserve">Table </w:t>
      </w:r>
      <w:r w:rsidR="004B3EA2">
        <w:rPr>
          <w:noProof/>
        </w:rPr>
        <w:t>29</w:t>
      </w:r>
      <w:r w:rsidR="00A14C80">
        <w:fldChar w:fldCharType="end"/>
      </w:r>
      <w:r w:rsidR="00A14C80">
        <w:t xml:space="preserve"> and </w:t>
      </w:r>
      <w:r w:rsidR="00A14C80">
        <w:fldChar w:fldCharType="begin"/>
      </w:r>
      <w:r w:rsidR="00A14C80">
        <w:instrText xml:space="preserve"> REF _Ref65749492 \h </w:instrText>
      </w:r>
      <w:r w:rsidR="00A14C80">
        <w:fldChar w:fldCharType="separate"/>
      </w:r>
      <w:r w:rsidR="004B3EA2">
        <w:t xml:space="preserve">Table </w:t>
      </w:r>
      <w:r w:rsidR="004B3EA2">
        <w:rPr>
          <w:noProof/>
        </w:rPr>
        <w:t>30</w:t>
      </w:r>
      <w:r w:rsidR="00A14C80">
        <w:fldChar w:fldCharType="end"/>
      </w:r>
      <w:r w:rsidR="00A14C80">
        <w:t>)</w:t>
      </w:r>
      <w:r w:rsidR="00D356E5">
        <w:t xml:space="preserve">, therefore it was considered appropriate that additional </w:t>
      </w:r>
      <w:r>
        <w:t xml:space="preserve">information </w:t>
      </w:r>
      <w:r w:rsidR="00D356E5">
        <w:t xml:space="preserve">on long-term </w:t>
      </w:r>
      <w:r w:rsidR="007F6238">
        <w:t>treatment response, remission and relapses in patients with CIDP should be incorporated f</w:t>
      </w:r>
      <w:r>
        <w:t>rom the long-term observational studies. These are discussed in section C.3.1.</w:t>
      </w:r>
    </w:p>
    <w:p w14:paraId="799BC4FE" w14:textId="77777777" w:rsidR="00837294" w:rsidRDefault="00837294" w:rsidP="00A14C80">
      <w:pPr>
        <w:pStyle w:val="Heading3"/>
      </w:pPr>
      <w:bookmarkStart w:id="244" w:name="_Toc69305575"/>
      <w:r>
        <w:t>C.2.4.</w:t>
      </w:r>
      <w:r>
        <w:tab/>
      </w:r>
      <w:r>
        <w:tab/>
        <w:t>Treatment weaning</w:t>
      </w:r>
      <w:bookmarkEnd w:id="244"/>
    </w:p>
    <w:p w14:paraId="67E13843" w14:textId="77777777" w:rsidR="00837294" w:rsidRPr="004C5272" w:rsidRDefault="00837294" w:rsidP="00A14C80">
      <w:pPr>
        <w:ind w:left="57"/>
        <w:jc w:val="both"/>
        <w:rPr>
          <w:b/>
        </w:rPr>
      </w:pPr>
      <w:r w:rsidRPr="004C5272">
        <w:rPr>
          <w:b/>
        </w:rPr>
        <w:t>What is the optimum period of disease stability that would trigger a decision to reduce the maintenance dose, in order to inform the Criteria?</w:t>
      </w:r>
    </w:p>
    <w:p w14:paraId="46384312" w14:textId="2B91D4D6" w:rsidR="00837294" w:rsidRDefault="00837294" w:rsidP="00A14C80">
      <w:pPr>
        <w:pStyle w:val="BodyTextSTD"/>
      </w:pPr>
      <w:r w:rsidRPr="00987B4B">
        <w:t>The</w:t>
      </w:r>
      <w:r w:rsidRPr="00987B4B">
        <w:rPr>
          <w:i/>
        </w:rPr>
        <w:t xml:space="preserve"> </w:t>
      </w:r>
      <w:r w:rsidRPr="00F62178">
        <w:t>Criteria</w:t>
      </w:r>
      <w:r w:rsidRPr="00987B4B">
        <w:rPr>
          <w:i/>
        </w:rPr>
        <w:t xml:space="preserve"> </w:t>
      </w:r>
      <w:r w:rsidR="00201335" w:rsidRPr="00F62178">
        <w:t>V</w:t>
      </w:r>
      <w:r w:rsidRPr="00F62178">
        <w:t>3</w:t>
      </w:r>
      <w:r w:rsidRPr="00987B4B">
        <w:rPr>
          <w:i/>
        </w:rPr>
        <w:t xml:space="preserve"> </w:t>
      </w:r>
      <w:r w:rsidRPr="00987B4B">
        <w:t xml:space="preserve">outlines </w:t>
      </w:r>
      <w:r>
        <w:t xml:space="preserve">continuation rules for CIDP </w:t>
      </w:r>
      <w:r w:rsidRPr="00987B4B">
        <w:t xml:space="preserve">patients </w:t>
      </w:r>
      <w:r>
        <w:t xml:space="preserve">who have responded to treatment with Ig as below. </w:t>
      </w:r>
    </w:p>
    <w:p w14:paraId="7771F67B" w14:textId="77777777" w:rsidR="00837294" w:rsidRDefault="00837294" w:rsidP="00A14C80">
      <w:pPr>
        <w:pStyle w:val="BodyTextSTD"/>
        <w:ind w:left="567"/>
      </w:pPr>
      <w:r>
        <w:rPr>
          <w:i/>
        </w:rPr>
        <w:t xml:space="preserve">“Review by a neurologist is required after four months of Ig therapy to determine whether the patient has responded. If there is no benefit after this period of treatment, IVIg therapy should be abandoned. </w:t>
      </w:r>
      <w:r w:rsidRPr="003B379D">
        <w:rPr>
          <w:i/>
        </w:rPr>
        <w:t>Where treatment is continued, a review by a neurologist or general physician is required each 12 months. A trial of cessation should be considered each 12 months in patients in remission on maintenance therapy. Once a patient has relapsed in the first six months of a trial off therapy, a further trial might be considered after at least two years. Documentation of clinical efficacy is necessary for continuation of IVIg therapy.</w:t>
      </w:r>
      <w:r>
        <w:rPr>
          <w:i/>
        </w:rPr>
        <w:t xml:space="preserve"> Clinical effectiveness of Ig therapy may be demonstrated by improvement in disability as measured by a reduction in the ONLS by at least one point; or by an increase in the MRC sum score by at least three points, as compared to the qualifying assessment (for adults and children 10 years or older).”</w:t>
      </w:r>
    </w:p>
    <w:p w14:paraId="6A09D0EE" w14:textId="0F7F90C2" w:rsidR="00837294" w:rsidRDefault="00837294" w:rsidP="00A14C80">
      <w:pPr>
        <w:pStyle w:val="BodyTextSTD"/>
      </w:pPr>
      <w:r>
        <w:t>Optimising</w:t>
      </w:r>
      <w:r w:rsidRPr="004B6991">
        <w:t xml:space="preserve"> </w:t>
      </w:r>
      <w:r>
        <w:t xml:space="preserve">the </w:t>
      </w:r>
      <w:r w:rsidRPr="004B6991">
        <w:t xml:space="preserve">dose and </w:t>
      </w:r>
      <w:r>
        <w:t xml:space="preserve">dosing </w:t>
      </w:r>
      <w:r w:rsidRPr="004B6991">
        <w:t>interval for each patient is challenging and is mainly trial and error</w:t>
      </w:r>
      <w:r>
        <w:t xml:space="preserve"> </w:t>
      </w:r>
      <w:r w:rsidR="00B727D6">
        <w:fldChar w:fldCharType="begin">
          <w:fldData xml:space="preserve">PEVuZE5vdGU+PENpdGU+PEF1dGhvcj5MdW5uPC9BdXRob3I+PFllYXI+MjAxNjwvWWVhcj48UmVj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</w:fldData>
        </w:fldChar>
      </w:r>
      <w:r w:rsidR="00B727D6">
        <w:instrText xml:space="preserve"> ADDIN EN.CITE </w:instrText>
      </w:r>
      <w:r w:rsidR="00B727D6">
        <w:fldChar w:fldCharType="begin">
          <w:fldData xml:space="preserve">PEVuZE5vdGU+PENpdGU+PEF1dGhvcj5MdW5uPC9BdXRob3I+PFllYXI+MjAxNjwvWWVhcj48UmVj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</w:fldData>
        </w:fldChar>
      </w:r>
      <w:r w:rsidR="00B727D6">
        <w:instrText xml:space="preserve"> ADDIN EN.CITE.DATA </w:instrText>
      </w:r>
      <w:r w:rsidR="00B727D6">
        <w:fldChar w:fldCharType="end"/>
      </w:r>
      <w:r w:rsidR="00B727D6">
        <w:fldChar w:fldCharType="separate"/>
      </w:r>
      <w:r w:rsidR="00B727D6">
        <w:rPr>
          <w:noProof/>
        </w:rPr>
        <w:t>(</w:t>
      </w:r>
      <w:hyperlink w:anchor="_ENREF_40" w:tooltip="Lunn, 2016 #1715" w:history="1">
        <w:r w:rsidR="00D726F6">
          <w:rPr>
            <w:noProof/>
          </w:rPr>
          <w:t>Lunn et al. 2016</w:t>
        </w:r>
      </w:hyperlink>
      <w:r w:rsidR="00B727D6">
        <w:rPr>
          <w:noProof/>
        </w:rPr>
        <w:t xml:space="preserve">; </w:t>
      </w:r>
      <w:hyperlink w:anchor="_ENREF_60" w:tooltip="Rajabally, 2013 #203" w:history="1">
        <w:r w:rsidR="00D726F6">
          <w:rPr>
            <w:noProof/>
          </w:rPr>
          <w:t>Rajabally, Y. A., Wong &amp; Kearney 2013</w:t>
        </w:r>
      </w:hyperlink>
      <w:r w:rsidR="00B727D6">
        <w:rPr>
          <w:noProof/>
        </w:rPr>
        <w:t>)</w:t>
      </w:r>
      <w:r w:rsidR="00B727D6">
        <w:fldChar w:fldCharType="end"/>
      </w:r>
      <w:r>
        <w:t xml:space="preserve">. </w:t>
      </w:r>
      <w:r w:rsidRPr="004B6991">
        <w:t>Currently no evidence supports weight-based dosing of maintenance treatment</w:t>
      </w:r>
      <w:r>
        <w:t xml:space="preserve">. </w:t>
      </w:r>
      <w:r w:rsidRPr="001F775A">
        <w:t xml:space="preserve">Lower doses of treatment may be as effective as higher doses, considerable interpatient variability exists, and </w:t>
      </w:r>
      <w:r>
        <w:t xml:space="preserve">the </w:t>
      </w:r>
      <w:r w:rsidRPr="001F775A">
        <w:t xml:space="preserve">required frequency of infusion appears patient-specific </w:t>
      </w:r>
      <w:r w:rsidR="00B727D6">
        <w:fldChar w:fldCharType="begin">
          <w:fldData xml:space="preserve">PEVuZE5vdGU+PENpdGU+PEF1dGhvcj5MdW5uPC9BdXRob3I+PFllYXI+MjAxNjwvWWVhcj48UmVj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</w:fldData>
        </w:fldChar>
      </w:r>
      <w:r w:rsidR="00B727D6">
        <w:instrText xml:space="preserve"> ADDIN EN.CITE </w:instrText>
      </w:r>
      <w:r w:rsidR="00B727D6">
        <w:fldChar w:fldCharType="begin">
          <w:fldData xml:space="preserve">PEVuZE5vdGU+PENpdGU+PEF1dGhvcj5MdW5uPC9BdXRob3I+PFllYXI+MjAxNjwvWWVhcj48UmVj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</w:fldData>
        </w:fldChar>
      </w:r>
      <w:r w:rsidR="00B727D6">
        <w:instrText xml:space="preserve"> ADDIN EN.CITE.DATA </w:instrText>
      </w:r>
      <w:r w:rsidR="00B727D6">
        <w:fldChar w:fldCharType="end"/>
      </w:r>
      <w:r w:rsidR="00B727D6">
        <w:fldChar w:fldCharType="separate"/>
      </w:r>
      <w:r w:rsidR="00B727D6">
        <w:rPr>
          <w:noProof/>
        </w:rPr>
        <w:t>(</w:t>
      </w:r>
      <w:hyperlink w:anchor="_ENREF_40" w:tooltip="Lunn, 2016 #1715" w:history="1">
        <w:r w:rsidR="00D726F6">
          <w:rPr>
            <w:noProof/>
          </w:rPr>
          <w:t>Lunn et al. 2016</w:t>
        </w:r>
      </w:hyperlink>
      <w:r w:rsidR="00B727D6">
        <w:rPr>
          <w:noProof/>
        </w:rPr>
        <w:t xml:space="preserve">; </w:t>
      </w:r>
      <w:hyperlink w:anchor="_ENREF_60" w:tooltip="Rajabally, 2013 #203" w:history="1">
        <w:r w:rsidR="00D726F6">
          <w:rPr>
            <w:noProof/>
          </w:rPr>
          <w:t>Rajabally, Y. A., Wong &amp; Kearney 2013</w:t>
        </w:r>
      </w:hyperlink>
      <w:r w:rsidR="00B727D6">
        <w:rPr>
          <w:noProof/>
        </w:rPr>
        <w:t>)</w:t>
      </w:r>
      <w:r w:rsidR="00B727D6">
        <w:fldChar w:fldCharType="end"/>
      </w:r>
      <w:r w:rsidRPr="004B6991">
        <w:t>.</w:t>
      </w:r>
      <w:r>
        <w:t xml:space="preserve"> </w:t>
      </w:r>
      <w:r w:rsidRPr="00375F2D">
        <w:t xml:space="preserve">Although </w:t>
      </w:r>
      <w:r>
        <w:t>the Criteria</w:t>
      </w:r>
      <w:r w:rsidR="00F62178">
        <w:t xml:space="preserve"> V3</w:t>
      </w:r>
      <w:r>
        <w:t xml:space="preserve"> and </w:t>
      </w:r>
      <w:r w:rsidRPr="00375F2D">
        <w:t xml:space="preserve">current guidelines recommend adjusting the dose and treatment interval for responsive patients in order to minimize the treatment required, </w:t>
      </w:r>
      <w:r>
        <w:t>limited information is</w:t>
      </w:r>
      <w:r w:rsidRPr="00375F2D">
        <w:t xml:space="preserve"> available to guide the process</w:t>
      </w:r>
      <w:r>
        <w:t xml:space="preserve"> </w:t>
      </w:r>
      <w:r w:rsidR="00B727D6">
        <w:fldChar w:fldCharType="begin">
          <w:fldData xml:space="preserve">PEVuZE5vdGU+PENpdGU+PEF1dGhvcj5MdW5uPC9BdXRob3I+PFllYXI+MjAxNjwvWWVhcj48UmVj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</w:fldData>
        </w:fldChar>
      </w:r>
      <w:r w:rsidR="00B727D6">
        <w:instrText xml:space="preserve"> ADDIN EN.CITE </w:instrText>
      </w:r>
      <w:r w:rsidR="00B727D6">
        <w:fldChar w:fldCharType="begin">
          <w:fldData xml:space="preserve">PEVuZE5vdGU+PENpdGU+PEF1dGhvcj5MdW5uPC9BdXRob3I+PFllYXI+MjAxNjwvWWVhcj48UmVj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40" w:tooltip="Lunn, 2016 #1715" w:history="1">
        <w:r w:rsidR="00D726F6">
          <w:rPr>
            <w:noProof/>
          </w:rPr>
          <w:t>Lunn et al. 2016</w:t>
        </w:r>
      </w:hyperlink>
      <w:r w:rsidR="00B727D6">
        <w:rPr>
          <w:noProof/>
        </w:rPr>
        <w:t>)</w:t>
      </w:r>
      <w:r w:rsidR="00B727D6">
        <w:fldChar w:fldCharType="end"/>
      </w:r>
      <w:r>
        <w:t>.</w:t>
      </w:r>
    </w:p>
    <w:p w14:paraId="15A12B3B" w14:textId="2BE12E3B" w:rsidR="00837294" w:rsidRDefault="00837294" w:rsidP="00A14C80">
      <w:pPr>
        <w:pStyle w:val="BodyTextSTD"/>
      </w:pPr>
      <w:r>
        <w:t xml:space="preserve">Recently, Lunn et al proposed a dosing algorithm </w:t>
      </w:r>
      <w:r w:rsidRPr="001F775A">
        <w:t xml:space="preserve">to standardise </w:t>
      </w:r>
      <w:r>
        <w:t xml:space="preserve">the </w:t>
      </w:r>
      <w:r w:rsidRPr="001F775A">
        <w:t xml:space="preserve">tapering </w:t>
      </w:r>
      <w:r>
        <w:t xml:space="preserve">of Ig doses in chronic inflammatory neuropathies based on patient response </w:t>
      </w:r>
      <w:r w:rsidR="00B727D6">
        <w:fldChar w:fldCharType="begin">
          <w:fldData xml:space="preserve">PEVuZE5vdGU+PENpdGU+PEF1dGhvcj5MdW5uPC9BdXRob3I+PFllYXI+MjAxNjwvWWVhcj48UmVj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</w:fldData>
        </w:fldChar>
      </w:r>
      <w:r w:rsidR="00B727D6">
        <w:instrText xml:space="preserve"> ADDIN EN.CITE </w:instrText>
      </w:r>
      <w:r w:rsidR="00B727D6">
        <w:fldChar w:fldCharType="begin">
          <w:fldData xml:space="preserve">PEVuZE5vdGU+PENpdGU+PEF1dGhvcj5MdW5uPC9BdXRob3I+PFllYXI+MjAxNjwvWWVhcj48UmVj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40" w:tooltip="Lunn, 2016 #1715" w:history="1">
        <w:r w:rsidR="00D726F6">
          <w:rPr>
            <w:noProof/>
          </w:rPr>
          <w:t>Lunn et al. 2016</w:t>
        </w:r>
      </w:hyperlink>
      <w:r w:rsidR="00B727D6">
        <w:rPr>
          <w:noProof/>
        </w:rPr>
        <w:t>)</w:t>
      </w:r>
      <w:r w:rsidR="00B727D6">
        <w:fldChar w:fldCharType="end"/>
      </w:r>
      <w:r>
        <w:t xml:space="preserve">. According to this treatment algorithm patients are treated with one or two initial IVIg doses </w:t>
      </w:r>
      <w:r w:rsidRPr="001F775A">
        <w:t>of 2gm/kg</w:t>
      </w:r>
      <w:r>
        <w:t xml:space="preserve"> </w:t>
      </w:r>
      <w:r w:rsidRPr="001F775A">
        <w:t xml:space="preserve">at an interval of </w:t>
      </w:r>
      <w:r w:rsidR="005641B5">
        <w:t>three</w:t>
      </w:r>
      <w:r>
        <w:t> </w:t>
      </w:r>
      <w:r w:rsidRPr="001F775A">
        <w:t>weeks</w:t>
      </w:r>
      <w:r>
        <w:t xml:space="preserve"> and their response is assessed, then a </w:t>
      </w:r>
      <w:r w:rsidRPr="00F709F0">
        <w:t xml:space="preserve">third dose is not administered until the patient’s condition deteriorates, allowing a “dose interval” to be set. The dose is then reduced </w:t>
      </w:r>
      <w:r>
        <w:t xml:space="preserve">by 20% per course </w:t>
      </w:r>
      <w:r w:rsidRPr="00F709F0">
        <w:t>until relapse</w:t>
      </w:r>
      <w:r>
        <w:t>,</w:t>
      </w:r>
      <w:r w:rsidRPr="00F709F0">
        <w:t xml:space="preserve"> allowing dose optimization. </w:t>
      </w:r>
      <w:r>
        <w:t>The authors</w:t>
      </w:r>
      <w:r w:rsidRPr="00F709F0">
        <w:t xml:space="preserve"> individualized Ig doses for 71 chronic inflammatory neuropathy patients</w:t>
      </w:r>
      <w:r>
        <w:t xml:space="preserve"> over five years</w:t>
      </w:r>
      <w:r w:rsidRPr="00F709F0">
        <w:t xml:space="preserve"> </w:t>
      </w:r>
      <w:r>
        <w:t>u</w:t>
      </w:r>
      <w:r w:rsidRPr="00F709F0">
        <w:t xml:space="preserve">sing this algorithm. The majority of patients had </w:t>
      </w:r>
      <w:r>
        <w:t>CIDP</w:t>
      </w:r>
      <w:r w:rsidRPr="00F709F0">
        <w:t xml:space="preserve"> (n =</w:t>
      </w:r>
      <w:r>
        <w:t xml:space="preserve"> </w:t>
      </w:r>
      <w:r w:rsidRPr="00F709F0">
        <w:t xml:space="preserve">39) or multifocal motor neuropathy (n = 24). The mean (standard deviation) dose of Ig administered </w:t>
      </w:r>
      <w:r>
        <w:t xml:space="preserve">in </w:t>
      </w:r>
      <w:r w:rsidR="00556776">
        <w:t xml:space="preserve">this </w:t>
      </w:r>
      <w:r>
        <w:t>study was 1.4 (0.6) </w:t>
      </w:r>
      <w:r w:rsidRPr="00F709F0">
        <w:t>g/kg, with a mean dosing interval of 4.</w:t>
      </w:r>
      <w:r>
        <w:t>3 </w:t>
      </w:r>
      <w:r w:rsidRPr="00F709F0">
        <w:t>weeks (median 4</w:t>
      </w:r>
      <w:r>
        <w:t> </w:t>
      </w:r>
      <w:r w:rsidRPr="00F709F0">
        <w:t>weeks, range 0.5–10).</w:t>
      </w:r>
      <w:r>
        <w:t xml:space="preserve"> Adaptation of this algorithm is specific to patient’s response to treatment.</w:t>
      </w:r>
    </w:p>
    <w:p w14:paraId="63043812" w14:textId="26D055BA" w:rsidR="00837294" w:rsidRPr="00BD1DAB" w:rsidRDefault="00837294" w:rsidP="00A14C80">
      <w:pPr>
        <w:pStyle w:val="BodyTextSTD"/>
      </w:pPr>
      <w:r>
        <w:t xml:space="preserve">A sensitivity analysis will be performed using the mean dosing interval of </w:t>
      </w:r>
      <w:r w:rsidR="005641B5">
        <w:t xml:space="preserve">four </w:t>
      </w:r>
      <w:r>
        <w:t xml:space="preserve">weeks and Ig dose reduction by 20% per course for </w:t>
      </w:r>
      <w:r w:rsidR="005641B5">
        <w:t>four to six</w:t>
      </w:r>
      <w:r>
        <w:t> cycles for patients in the “</w:t>
      </w:r>
      <w:r w:rsidR="007B151D">
        <w:t>M</w:t>
      </w:r>
      <w:r>
        <w:t>aintenance</w:t>
      </w:r>
      <w:r w:rsidR="00A97D5C">
        <w:t xml:space="preserve"> </w:t>
      </w:r>
      <w:r w:rsidR="007B151D">
        <w:t xml:space="preserve">phase (on treatment more than </w:t>
      </w:r>
      <w:r w:rsidR="005641B5">
        <w:t>four </w:t>
      </w:r>
      <w:r w:rsidR="007B151D">
        <w:t>months)”</w:t>
      </w:r>
      <w:r>
        <w:t xml:space="preserve"> health state in the model assuming that the Ig treatment effect will remain constant even on the lower doses. </w:t>
      </w:r>
    </w:p>
    <w:p w14:paraId="33E7E8E0" w14:textId="77777777" w:rsidR="00837294" w:rsidRDefault="00837294" w:rsidP="00837294">
      <w:pPr>
        <w:pStyle w:val="Heading2"/>
      </w:pPr>
      <w:bookmarkStart w:id="245" w:name="_Toc69305576"/>
      <w:r>
        <w:t>C.3.</w:t>
      </w:r>
      <w:r>
        <w:tab/>
        <w:t>Extrapolation issues</w:t>
      </w:r>
      <w:bookmarkEnd w:id="245"/>
    </w:p>
    <w:p w14:paraId="62DDA726" w14:textId="149EEF36" w:rsidR="00837294" w:rsidRDefault="00837294" w:rsidP="00A14C80">
      <w:pPr>
        <w:pStyle w:val="BodyTextSTD"/>
      </w:pPr>
      <w:r>
        <w:t xml:space="preserve">As the treatment duration in the trials is less than the expected duration of treatment in the current local setting, there is need </w:t>
      </w:r>
      <w:r w:rsidR="00533277">
        <w:t xml:space="preserve">to determine the appropriate time horizon for the analysis, and a need </w:t>
      </w:r>
      <w:r>
        <w:t>for extrapolation of the trial results</w:t>
      </w:r>
      <w:r w:rsidR="00533277">
        <w:t>.</w:t>
      </w:r>
    </w:p>
    <w:p w14:paraId="29DAB3F5" w14:textId="37E22E6D" w:rsidR="000A36EE" w:rsidRDefault="00533277" w:rsidP="000A36EE">
      <w:pPr>
        <w:pStyle w:val="Heading3"/>
      </w:pPr>
      <w:bookmarkStart w:id="246" w:name="_Toc69305577"/>
      <w:r>
        <w:t>C.3.1</w:t>
      </w:r>
      <w:r w:rsidR="000A36EE">
        <w:t>.</w:t>
      </w:r>
      <w:r w:rsidR="000A36EE">
        <w:tab/>
      </w:r>
      <w:r w:rsidR="000A36EE">
        <w:tab/>
        <w:t>Time horizon and cycle length</w:t>
      </w:r>
      <w:bookmarkEnd w:id="246"/>
    </w:p>
    <w:p w14:paraId="463675FA" w14:textId="77777777" w:rsidR="000A36EE" w:rsidRPr="00C71F55" w:rsidRDefault="000A36EE" w:rsidP="000A36EE">
      <w:pPr>
        <w:pStyle w:val="BodyTextSTD"/>
        <w:rPr>
          <w:b/>
        </w:rPr>
      </w:pPr>
      <w:r w:rsidRPr="00C71F55">
        <w:rPr>
          <w:b/>
        </w:rPr>
        <w:t xml:space="preserve">What is the appropriate time horizon </w:t>
      </w:r>
      <w:r>
        <w:rPr>
          <w:b/>
        </w:rPr>
        <w:t xml:space="preserve">and cycle length </w:t>
      </w:r>
      <w:r w:rsidRPr="00C71F55">
        <w:rPr>
          <w:b/>
        </w:rPr>
        <w:t>for the economic analysis of maintenance IVIg?</w:t>
      </w:r>
    </w:p>
    <w:p w14:paraId="3258C599" w14:textId="43E8C5D9" w:rsidR="000A36EE" w:rsidRDefault="000A36EE" w:rsidP="000A36EE">
      <w:pPr>
        <w:pStyle w:val="BodyTextSTD"/>
      </w:pPr>
      <w:r w:rsidRPr="00BE7128">
        <w:t xml:space="preserve">The economic analysis for </w:t>
      </w:r>
      <w:r w:rsidRPr="00BE7128">
        <w:rPr>
          <w:i/>
        </w:rPr>
        <w:t>Criteria V3</w:t>
      </w:r>
      <w:r w:rsidRPr="00BE7128">
        <w:t xml:space="preserve"> involves maintenance treatments for </w:t>
      </w:r>
      <w:r>
        <w:t>patients with CIDP who show improvement or are stable</w:t>
      </w:r>
      <w:r w:rsidRPr="00BE7128">
        <w:t xml:space="preserve">, which potentially are ongoing for as long as clinically required and there is a benefit. NBA data for the duration of treatment in Australian patients receiving IVIg for </w:t>
      </w:r>
      <w:r>
        <w:t>CIDP</w:t>
      </w:r>
      <w:r w:rsidRPr="00BE7128">
        <w:t xml:space="preserve"> were not available, however average durations of IVIg used </w:t>
      </w:r>
      <w:r>
        <w:t>and mean/median follow-up</w:t>
      </w:r>
      <w:r w:rsidRPr="00BE7128">
        <w:t xml:space="preserve"> </w:t>
      </w:r>
      <w:r>
        <w:t xml:space="preserve">(years) of the CIDP patients </w:t>
      </w:r>
      <w:r w:rsidRPr="00BE7128">
        <w:t xml:space="preserve">that were found in published literature </w:t>
      </w:r>
      <w:r>
        <w:t>(</w:t>
      </w:r>
      <w:r>
        <w:fldChar w:fldCharType="begin"/>
      </w:r>
      <w:r>
        <w:instrText xml:space="preserve"> REF _Ref65758329 \h </w:instrText>
      </w:r>
      <w:r>
        <w:fldChar w:fldCharType="separate"/>
      </w:r>
      <w:r w:rsidR="004B3EA2">
        <w:t xml:space="preserve">Table </w:t>
      </w:r>
      <w:r w:rsidR="004B3EA2">
        <w:rPr>
          <w:noProof/>
        </w:rPr>
        <w:t>79</w:t>
      </w:r>
      <w:r>
        <w:fldChar w:fldCharType="end"/>
      </w:r>
      <w:r>
        <w:t xml:space="preserve">) suggest that patients with CIDP may receive treatment for long durations due to progressive nature of the disease. The longest mean follow-up of all the studies was 6.2 years. It is assumed that a time-horizon of ten years will sufficiently capture the treatment effect in the model. Treatment frequencies reported in the key trials, observation studies and indication in the Criteria V3 generally vary from </w:t>
      </w:r>
      <w:r w:rsidR="005641B5">
        <w:t>two to six</w:t>
      </w:r>
      <w:r>
        <w:t xml:space="preserve"> weeks. Therefore, a </w:t>
      </w:r>
      <w:r w:rsidR="005641B5">
        <w:t xml:space="preserve">four </w:t>
      </w:r>
      <w:r>
        <w:t>weekly cycle-length is chosen in the model.</w:t>
      </w:r>
    </w:p>
    <w:p w14:paraId="6C624B79" w14:textId="3D590BED" w:rsidR="00837294" w:rsidRDefault="00837294" w:rsidP="00837294">
      <w:pPr>
        <w:pStyle w:val="Heading3"/>
      </w:pPr>
      <w:bookmarkStart w:id="247" w:name="_Toc69305578"/>
      <w:r>
        <w:t>C.3.</w:t>
      </w:r>
      <w:r w:rsidR="00533277">
        <w:t>2</w:t>
      </w:r>
      <w:r>
        <w:t>.</w:t>
      </w:r>
      <w:r>
        <w:tab/>
      </w:r>
      <w:r>
        <w:tab/>
        <w:t>D</w:t>
      </w:r>
      <w:r w:rsidRPr="003460F5">
        <w:t>uration of the treatment effect</w:t>
      </w:r>
      <w:bookmarkEnd w:id="247"/>
    </w:p>
    <w:p w14:paraId="11F645AA" w14:textId="77777777" w:rsidR="00837294" w:rsidRPr="00A14C80" w:rsidRDefault="00837294" w:rsidP="00A14C80">
      <w:pPr>
        <w:pStyle w:val="BodyTextSTD"/>
        <w:rPr>
          <w:b/>
        </w:rPr>
      </w:pPr>
      <w:r w:rsidRPr="00A14C80">
        <w:rPr>
          <w:b/>
        </w:rPr>
        <w:t xml:space="preserve">What is the </w:t>
      </w:r>
      <w:r w:rsidR="007F6238">
        <w:rPr>
          <w:b/>
        </w:rPr>
        <w:t xml:space="preserve">expected </w:t>
      </w:r>
      <w:r w:rsidRPr="00A14C80">
        <w:rPr>
          <w:b/>
        </w:rPr>
        <w:t>duration of the treatment effect in patients with CIDP</w:t>
      </w:r>
      <w:r w:rsidR="007F6238">
        <w:rPr>
          <w:b/>
        </w:rPr>
        <w:t xml:space="preserve"> </w:t>
      </w:r>
      <w:r w:rsidRPr="00A14C80">
        <w:rPr>
          <w:b/>
        </w:rPr>
        <w:t>in the Australian setting</w:t>
      </w:r>
      <w:r w:rsidR="007F6238">
        <w:rPr>
          <w:b/>
        </w:rPr>
        <w:t>, and is this</w:t>
      </w:r>
      <w:r w:rsidRPr="00A14C80">
        <w:rPr>
          <w:b/>
        </w:rPr>
        <w:t xml:space="preserve"> captured in the available clinical evidence?</w:t>
      </w:r>
    </w:p>
    <w:p w14:paraId="2FDB4308" w14:textId="445DBBD0" w:rsidR="00837294" w:rsidRDefault="00837294" w:rsidP="00A14C80">
      <w:pPr>
        <w:pStyle w:val="BodyTextSTD"/>
      </w:pPr>
      <w:r>
        <w:t>The treatment duration reported from the RCTs described in Section C.2.3 (few weeks to 12 months), does not</w:t>
      </w:r>
      <w:r w:rsidR="0094166D">
        <w:t xml:space="preserve"> necessarily</w:t>
      </w:r>
      <w:r>
        <w:t xml:space="preserve"> represent the actual treatment duration in the Australian setting. In fact, it is likely that a responder will receive active treatment for many years due to the chronic progressive nature of the disease. This is evident in data provided by NBA for Ig use in 2018–20. New patients using Ig represented 22% of the total patients receiving Ig in these two financial years, indicating 78% of the patients receiving Ig have received it in the past. The BloodStar data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t xml:space="preserve"> provided assessment of Ig use 16 months post Ig initiation for treatment naïve patients initiating Ig for CIDP under the revised Criteria 3</w:t>
      </w:r>
      <w:r w:rsidR="00865DAD">
        <w:t xml:space="preserve"> (</w:t>
      </w:r>
      <w:r w:rsidR="00865DAD">
        <w:fldChar w:fldCharType="begin"/>
      </w:r>
      <w:r w:rsidR="00865DAD">
        <w:instrText xml:space="preserve"> REF _Ref65842328 \h </w:instrText>
      </w:r>
      <w:r w:rsidR="00865DAD">
        <w:fldChar w:fldCharType="separate"/>
      </w:r>
      <w:r w:rsidR="004B3EA2">
        <w:t xml:space="preserve">Table </w:t>
      </w:r>
      <w:r w:rsidR="004B3EA2">
        <w:rPr>
          <w:noProof/>
        </w:rPr>
        <w:t>29</w:t>
      </w:r>
      <w:r w:rsidR="00865DAD">
        <w:fldChar w:fldCharType="end"/>
      </w:r>
      <w:r w:rsidR="00865DAD">
        <w:t xml:space="preserve"> and </w:t>
      </w:r>
      <w:r w:rsidR="00865DAD">
        <w:fldChar w:fldCharType="begin"/>
      </w:r>
      <w:r w:rsidR="00865DAD">
        <w:instrText xml:space="preserve"> REF _Ref65749492 \h </w:instrText>
      </w:r>
      <w:r w:rsidR="00865DAD">
        <w:fldChar w:fldCharType="separate"/>
      </w:r>
      <w:r w:rsidR="004B3EA2">
        <w:t xml:space="preserve">Table </w:t>
      </w:r>
      <w:r w:rsidR="004B3EA2">
        <w:rPr>
          <w:noProof/>
        </w:rPr>
        <w:t>30</w:t>
      </w:r>
      <w:r w:rsidR="00865DAD">
        <w:fldChar w:fldCharType="end"/>
      </w:r>
      <w:r w:rsidR="00865DAD">
        <w:t>)</w:t>
      </w:r>
      <w:r>
        <w:t>. The o</w:t>
      </w:r>
      <w:r w:rsidRPr="00DE7722">
        <w:t xml:space="preserve">verall assessment of </w:t>
      </w:r>
      <w:r>
        <w:t xml:space="preserve">Ig </w:t>
      </w:r>
      <w:r w:rsidRPr="00DE7722">
        <w:t>supply from initiation to beyond second clinical review at 16 months</w:t>
      </w:r>
      <w:r>
        <w:t xml:space="preserve"> suggested that of the 291 patients who initiated Ig for CIDP: </w:t>
      </w:r>
    </w:p>
    <w:p w14:paraId="09A74D32" w14:textId="77777777" w:rsidR="00837294" w:rsidRDefault="00837294" w:rsidP="000B596E">
      <w:pPr>
        <w:pStyle w:val="BodyTextSTD"/>
        <w:numPr>
          <w:ilvl w:val="0"/>
          <w:numId w:val="30"/>
        </w:numPr>
      </w:pPr>
      <w:r>
        <w:t xml:space="preserve">94 (32%) patients ceased Ig on or before the first clinical review at four months; </w:t>
      </w:r>
    </w:p>
    <w:p w14:paraId="72492EFC" w14:textId="77777777" w:rsidR="00837294" w:rsidRDefault="00837294" w:rsidP="000B596E">
      <w:pPr>
        <w:pStyle w:val="BodyTextSTD"/>
        <w:numPr>
          <w:ilvl w:val="0"/>
          <w:numId w:val="30"/>
        </w:numPr>
      </w:pPr>
      <w:r>
        <w:t>55 (19%) patients ceased Ig between the first and second clinical review and did not reinitiate in the follow-up period;</w:t>
      </w:r>
    </w:p>
    <w:p w14:paraId="7C9C5FBF" w14:textId="77777777" w:rsidR="00837294" w:rsidRDefault="00837294" w:rsidP="000B596E">
      <w:pPr>
        <w:pStyle w:val="BodyTextSTD"/>
        <w:numPr>
          <w:ilvl w:val="0"/>
          <w:numId w:val="30"/>
        </w:numPr>
      </w:pPr>
      <w:r>
        <w:t xml:space="preserve">99 (34%) patients were continuously supplied beyond the second clinical review (16 months) date and without a break in supply </w:t>
      </w:r>
    </w:p>
    <w:p w14:paraId="1612194D" w14:textId="4DC0C080" w:rsidR="00837294" w:rsidRDefault="00837294" w:rsidP="000B596E">
      <w:pPr>
        <w:pStyle w:val="BodyTextSTD"/>
        <w:numPr>
          <w:ilvl w:val="0"/>
          <w:numId w:val="30"/>
        </w:numPr>
      </w:pPr>
      <w:r>
        <w:t xml:space="preserve">39 (13%) patients continued Ig therapy beyond the second review date, but did have at least one break of greater than </w:t>
      </w:r>
      <w:r w:rsidR="005641B5">
        <w:t xml:space="preserve">two </w:t>
      </w:r>
      <w:r>
        <w:t>months during follow-up; and</w:t>
      </w:r>
    </w:p>
    <w:p w14:paraId="4F615CA3" w14:textId="0AD5362A" w:rsidR="00837294" w:rsidRDefault="005641B5" w:rsidP="000B596E">
      <w:pPr>
        <w:pStyle w:val="BodyTextSTD"/>
        <w:numPr>
          <w:ilvl w:val="0"/>
          <w:numId w:val="30"/>
        </w:numPr>
      </w:pPr>
      <w:r>
        <w:t xml:space="preserve">four </w:t>
      </w:r>
      <w:r w:rsidR="00837294">
        <w:t xml:space="preserve">(1.4%) patients </w:t>
      </w:r>
      <w:r w:rsidR="00837294" w:rsidRPr="00CB58B7">
        <w:t>had a break of 12 months or more, but reinitiated more than 16</w:t>
      </w:r>
      <w:r w:rsidR="00837294">
        <w:t> </w:t>
      </w:r>
      <w:r w:rsidR="00837294" w:rsidRPr="00CB58B7">
        <w:t>months after initiating Ig.</w:t>
      </w:r>
    </w:p>
    <w:p w14:paraId="652BC5DC" w14:textId="5AFAF513" w:rsidR="0094166D" w:rsidRDefault="00837294" w:rsidP="0043337A">
      <w:pPr>
        <w:pStyle w:val="BodyTextSTD"/>
      </w:pPr>
      <w:r>
        <w:t xml:space="preserve">The economic evaluation in Section D assumes that while patients are receiving treatment they are stable in their disease and will discontinue treatment if </w:t>
      </w:r>
      <w:r w:rsidR="00670401">
        <w:t xml:space="preserve">i) </w:t>
      </w:r>
      <w:r>
        <w:t xml:space="preserve">they </w:t>
      </w:r>
      <w:r w:rsidR="0094166D">
        <w:t>have no response</w:t>
      </w:r>
      <w:r w:rsidR="00670401">
        <w:t>, ii)</w:t>
      </w:r>
      <w:r w:rsidR="0094166D">
        <w:t xml:space="preserve"> </w:t>
      </w:r>
      <w:r>
        <w:t xml:space="preserve">suffer an </w:t>
      </w:r>
      <w:r w:rsidR="005641B5">
        <w:t>AE</w:t>
      </w:r>
      <w:r w:rsidR="00F62178">
        <w:t>, or</w:t>
      </w:r>
      <w:r w:rsidR="00670401">
        <w:t xml:space="preserve"> </w:t>
      </w:r>
      <w:r w:rsidR="00457963">
        <w:t>i</w:t>
      </w:r>
      <w:r w:rsidR="00670401">
        <w:t xml:space="preserve">ii) </w:t>
      </w:r>
      <w:r w:rsidR="00201335">
        <w:t>initiate</w:t>
      </w:r>
      <w:r w:rsidR="00670401">
        <w:t xml:space="preserve"> the trial of </w:t>
      </w:r>
      <w:r>
        <w:t xml:space="preserve">weaning off phase (for Ig only). </w:t>
      </w:r>
      <w:r w:rsidR="00670401">
        <w:t xml:space="preserve">Once </w:t>
      </w:r>
      <w:r>
        <w:t xml:space="preserve">a patient discontinues treatment (either due to </w:t>
      </w:r>
      <w:r w:rsidR="00556776">
        <w:t xml:space="preserve">an </w:t>
      </w:r>
      <w:r w:rsidR="005641B5">
        <w:t>AE</w:t>
      </w:r>
      <w:r>
        <w:t xml:space="preserve"> or non-</w:t>
      </w:r>
      <w:r w:rsidR="00F62178">
        <w:t>efficacy</w:t>
      </w:r>
      <w:r>
        <w:t xml:space="preserve">) this patient can either progress through the disease or die due to other causes. </w:t>
      </w:r>
      <w:r w:rsidR="00670401">
        <w:t xml:space="preserve">The BloodStar data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rsidR="00670401">
        <w:t xml:space="preserve"> above was converted into </w:t>
      </w:r>
      <w:r w:rsidR="00670401" w:rsidRPr="00670401">
        <w:t>response, remission and relapse rates</w:t>
      </w:r>
      <w:r w:rsidR="00670401">
        <w:t xml:space="preserve"> for use in the model.</w:t>
      </w:r>
    </w:p>
    <w:p w14:paraId="5B52714C" w14:textId="562657B1" w:rsidR="00670401" w:rsidRDefault="00837294" w:rsidP="0043337A">
      <w:pPr>
        <w:pStyle w:val="BodyTextSTD"/>
      </w:pPr>
      <w:r>
        <w:t>T</w:t>
      </w:r>
      <w:r w:rsidR="00670401">
        <w:t xml:space="preserve">he BloodStar rates were compared to response, remission and relapse rates identified in the </w:t>
      </w:r>
      <w:r>
        <w:t>long-term observational studies</w:t>
      </w:r>
      <w:r w:rsidR="00670401">
        <w:t xml:space="preserve">, </w:t>
      </w:r>
      <w:r w:rsidR="00041162" w:rsidRPr="00041162">
        <w:t xml:space="preserve">see </w:t>
      </w:r>
      <w:r w:rsidR="00041162">
        <w:rPr>
          <w:highlight w:val="yellow"/>
        </w:rPr>
        <w:fldChar w:fldCharType="begin"/>
      </w:r>
      <w:r w:rsidR="00041162">
        <w:rPr>
          <w:highlight w:val="yellow"/>
        </w:rPr>
        <w:instrText xml:space="preserve"> REF _Ref65758329 \h </w:instrText>
      </w:r>
      <w:r w:rsidR="00041162">
        <w:rPr>
          <w:highlight w:val="yellow"/>
        </w:rPr>
      </w:r>
      <w:r w:rsidR="00041162">
        <w:rPr>
          <w:highlight w:val="yellow"/>
        </w:rPr>
        <w:fldChar w:fldCharType="separate"/>
      </w:r>
      <w:r w:rsidR="004B3EA2">
        <w:t xml:space="preserve">Table </w:t>
      </w:r>
      <w:r w:rsidR="004B3EA2">
        <w:rPr>
          <w:noProof/>
        </w:rPr>
        <w:t>79</w:t>
      </w:r>
      <w:r w:rsidR="00041162">
        <w:rPr>
          <w:highlight w:val="yellow"/>
        </w:rPr>
        <w:fldChar w:fldCharType="end"/>
      </w:r>
      <w:r w:rsidR="006D29E2">
        <w:t>,</w:t>
      </w:r>
      <w:r w:rsidR="00041162">
        <w:t xml:space="preserve"> in </w:t>
      </w:r>
      <w:r w:rsidR="00041162" w:rsidRPr="009E0367">
        <w:rPr>
          <w:b/>
        </w:rPr>
        <w:t>Appendix G</w:t>
      </w:r>
      <w:r w:rsidR="00670401">
        <w:t xml:space="preserve">. These studies were also used to identify appropriate </w:t>
      </w:r>
      <w:r w:rsidR="00670401" w:rsidRPr="00670401">
        <w:t xml:space="preserve">response, remission and relapse </w:t>
      </w:r>
      <w:r w:rsidR="00670401">
        <w:t>rates</w:t>
      </w:r>
      <w:r>
        <w:t xml:space="preserve"> for comparators</w:t>
      </w:r>
      <w:r w:rsidR="00670401">
        <w:t>, as equivalent Australian clinical practice data for corticosteroid use or plasma exchange was not available</w:t>
      </w:r>
      <w:r>
        <w:t xml:space="preserve">. </w:t>
      </w:r>
    </w:p>
    <w:p w14:paraId="04D14B6D" w14:textId="77777777" w:rsidR="00837294" w:rsidRPr="00FE1148" w:rsidRDefault="00837294" w:rsidP="00FE1148">
      <w:pPr>
        <w:pStyle w:val="BodyTextSTD"/>
        <w:rPr>
          <w:b/>
        </w:rPr>
      </w:pPr>
      <w:r w:rsidRPr="00FE1148">
        <w:rPr>
          <w:b/>
        </w:rPr>
        <w:t>Treatment response</w:t>
      </w:r>
    </w:p>
    <w:p w14:paraId="7757988F" w14:textId="77777777" w:rsidR="006E7E19" w:rsidRDefault="006E7E19" w:rsidP="00556776">
      <w:pPr>
        <w:pStyle w:val="BodyTextSTD"/>
      </w:pPr>
      <w:r>
        <w:t xml:space="preserve">Recent studies focus increasingly on mid-term and long-term outcome in CIDP. </w:t>
      </w:r>
      <w:r w:rsidRPr="00F85464">
        <w:t xml:space="preserve">Studies were highly heterogeneous regarding intervention, comparator, time point, and methodology. </w:t>
      </w:r>
      <w:r>
        <w:t>The d</w:t>
      </w:r>
      <w:r w:rsidRPr="00F85464">
        <w:t xml:space="preserve">efinition of “treatment response” </w:t>
      </w:r>
      <w:r>
        <w:t>and “achieving remission” varied across studies.</w:t>
      </w:r>
    </w:p>
    <w:p w14:paraId="798DF49D" w14:textId="76E4C339" w:rsidR="00556776" w:rsidRDefault="00556776" w:rsidP="00556776">
      <w:pPr>
        <w:pStyle w:val="BodyTextSTD"/>
      </w:pPr>
      <w:r>
        <w:t>IVIg</w:t>
      </w:r>
      <w:r w:rsidRPr="00F85464">
        <w:t xml:space="preserve"> generally achieved high rates of response to treatment (</w:t>
      </w:r>
      <w:r w:rsidRPr="00FE1148">
        <w:rPr>
          <w:b/>
        </w:rPr>
        <w:t>54–88% response rate</w:t>
      </w:r>
      <w:r w:rsidRPr="00F85464">
        <w:t>), relative to placebo</w:t>
      </w:r>
      <w:r>
        <w:t xml:space="preserve"> </w:t>
      </w:r>
      <w:r w:rsidR="00B727D6">
        <w:fldChar w:fldCharType="begin">
          <w:fldData xml:space="preserve">PEVuZE5vdGU+PENpdGU+PEF1dGhvcj5Hb3Jzb248L0F1dGhvcj48WWVhcj4yMDEwPC9ZZWFyPjxS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dmlkZXI+PGxhbmd1YWdlPmVuZzwvbGFuZ3VhZ2U+PC9yZWNvcmQ+PC9DaXRlPjxDaXRlPjxBdXRo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</w:fldData>
        </w:fldChar>
      </w:r>
      <w:r w:rsidR="00B727D6">
        <w:instrText xml:space="preserve"> ADDIN EN.CITE </w:instrText>
      </w:r>
      <w:r w:rsidR="00B727D6">
        <w:fldChar w:fldCharType="begin">
          <w:fldData xml:space="preserve">PEVuZE5vdGU+PENpdGU+PEF1dGhvcj5Hb3Jzb248L0F1dGhvcj48WWVhcj4yMDEwPC9ZZWFyPjxS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dmlkZXI+PGxhbmd1YWdlPmVuZzwvbGFuZ3VhZ2U+PC9yZWNvcmQ+PC9DaXRlPjxDaXRlPjxBdXRo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20" w:tooltip="Gorson, 2010 #1909" w:history="1">
        <w:r w:rsidR="00D726F6">
          <w:rPr>
            <w:noProof/>
          </w:rPr>
          <w:t>Gorson et al. 2010</w:t>
        </w:r>
      </w:hyperlink>
      <w:r w:rsidR="00B727D6">
        <w:rPr>
          <w:noProof/>
        </w:rPr>
        <w:t xml:space="preserve">; </w:t>
      </w:r>
      <w:hyperlink w:anchor="_ENREF_28" w:tooltip="Hughes, 2008 #1205" w:history="1">
        <w:r w:rsidR="00D726F6">
          <w:rPr>
            <w:noProof/>
          </w:rPr>
          <w:t>Hughes et al. 2008</w:t>
        </w:r>
      </w:hyperlink>
      <w:r w:rsidR="00B727D6">
        <w:rPr>
          <w:noProof/>
        </w:rPr>
        <w:t xml:space="preserve">; </w:t>
      </w:r>
      <w:hyperlink w:anchor="_ENREF_34" w:tooltip="Kuitwaard, 2015 #264" w:history="1">
        <w:r w:rsidR="00D726F6">
          <w:rPr>
            <w:noProof/>
          </w:rPr>
          <w:t>Kuitwaard et al. 2015</w:t>
        </w:r>
      </w:hyperlink>
      <w:r w:rsidR="00B727D6">
        <w:rPr>
          <w:noProof/>
        </w:rPr>
        <w:t xml:space="preserve">; </w:t>
      </w:r>
      <w:hyperlink w:anchor="_ENREF_35" w:tooltip="Kuwabara, 2017 #234" w:history="1">
        <w:r w:rsidR="00D726F6">
          <w:rPr>
            <w:noProof/>
          </w:rPr>
          <w:t>Kuwabara et al. 2017</w:t>
        </w:r>
      </w:hyperlink>
      <w:r w:rsidR="00B727D6">
        <w:rPr>
          <w:noProof/>
        </w:rPr>
        <w:t xml:space="preserve">; </w:t>
      </w:r>
      <w:hyperlink w:anchor="_ENREF_38" w:tooltip="Lopate, 2011 #1358" w:history="1">
        <w:r w:rsidR="00D726F6">
          <w:rPr>
            <w:noProof/>
          </w:rPr>
          <w:t>Lopate &amp; Pestronk 2011</w:t>
        </w:r>
      </w:hyperlink>
      <w:r w:rsidR="00B727D6">
        <w:rPr>
          <w:noProof/>
        </w:rPr>
        <w:t xml:space="preserve">; </w:t>
      </w:r>
      <w:hyperlink w:anchor="_ENREF_54" w:tooltip="Nobile-Orazio, 2012 #10" w:history="1">
        <w:r w:rsidR="00D726F6">
          <w:rPr>
            <w:noProof/>
          </w:rPr>
          <w:t>Nobile-Orazio et al. 2012</w:t>
        </w:r>
      </w:hyperlink>
      <w:r w:rsidR="00B727D6">
        <w:rPr>
          <w:noProof/>
        </w:rPr>
        <w:t xml:space="preserve">; </w:t>
      </w:r>
      <w:hyperlink w:anchor="_ENREF_58" w:tooltip="Querol, 2013 #145" w:history="1">
        <w:r w:rsidR="00D726F6">
          <w:rPr>
            <w:noProof/>
          </w:rPr>
          <w:t>Querol et al. 2013</w:t>
        </w:r>
      </w:hyperlink>
      <w:r w:rsidR="00B727D6">
        <w:rPr>
          <w:noProof/>
        </w:rPr>
        <w:t xml:space="preserve">; </w:t>
      </w:r>
      <w:hyperlink w:anchor="_ENREF_59" w:tooltip="Rajabally, 2019 #13" w:history="1">
        <w:r w:rsidR="00D726F6">
          <w:rPr>
            <w:noProof/>
          </w:rPr>
          <w:t>Rajabally, Yusuf A. &amp; Afzal 2019</w:t>
        </w:r>
      </w:hyperlink>
      <w:r w:rsidR="00B727D6">
        <w:rPr>
          <w:noProof/>
        </w:rPr>
        <w:t xml:space="preserve">; </w:t>
      </w:r>
      <w:hyperlink w:anchor="_ENREF_76" w:tooltip="Viala, 2010 #1906" w:history="1">
        <w:r w:rsidR="00D726F6">
          <w:rPr>
            <w:noProof/>
          </w:rPr>
          <w:t>Viala et al. 2010</w:t>
        </w:r>
      </w:hyperlink>
      <w:r w:rsidR="00B727D6">
        <w:rPr>
          <w:noProof/>
        </w:rPr>
        <w:t>)</w:t>
      </w:r>
      <w:r w:rsidR="00B727D6">
        <w:fldChar w:fldCharType="end"/>
      </w:r>
      <w:r>
        <w:t>. W</w:t>
      </w:r>
      <w:r w:rsidRPr="00F85464">
        <w:t>here comparative data were reported, IVI</w:t>
      </w:r>
      <w:r>
        <w:t>g</w:t>
      </w:r>
      <w:r w:rsidRPr="00F85464">
        <w:t xml:space="preserve"> increased the proportion of patients with CIDP who responded to treatment, relative to comparators, including corticosteroids and plasma exchange</w:t>
      </w:r>
      <w:r>
        <w:t xml:space="preserve"> </w:t>
      </w:r>
      <w:r w:rsidR="00B727D6">
        <w:fldChar w:fldCharType="begin">
          <w:fldData xml:space="preserve">PEVuZE5vdGU+PENpdGU+PEF1dGhvcj5EeWNrPC9BdXRob3I+PFllYXI+MTk5NDwvWWVhcj48UmVj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=
</w:fldData>
        </w:fldChar>
      </w:r>
      <w:r w:rsidR="00B727D6">
        <w:instrText xml:space="preserve"> ADDIN EN.CITE </w:instrText>
      </w:r>
      <w:r w:rsidR="00B727D6">
        <w:fldChar w:fldCharType="begin">
          <w:fldData xml:space="preserve">PEVuZE5vdGU+PENpdGU+PEF1dGhvcj5EeWNrPC9BdXRob3I+PFllYXI+MTk5NDwvWWVhcj48UmVj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17" w:tooltip="Dyck, 1994 #6" w:history="1">
        <w:r w:rsidR="00D726F6">
          <w:rPr>
            <w:noProof/>
          </w:rPr>
          <w:t>Dyck et al. 1994</w:t>
        </w:r>
      </w:hyperlink>
      <w:r w:rsidR="00B727D6">
        <w:rPr>
          <w:noProof/>
        </w:rPr>
        <w:t xml:space="preserve">; </w:t>
      </w:r>
      <w:hyperlink w:anchor="_ENREF_54" w:tooltip="Nobile-Orazio, 2012 #10" w:history="1">
        <w:r w:rsidR="00D726F6">
          <w:rPr>
            <w:noProof/>
          </w:rPr>
          <w:t>Nobile-Orazio et al. 2012</w:t>
        </w:r>
      </w:hyperlink>
      <w:r w:rsidR="00B727D6">
        <w:rPr>
          <w:noProof/>
        </w:rPr>
        <w:t xml:space="preserve">; </w:t>
      </w:r>
      <w:hyperlink w:anchor="_ENREF_55" w:tooltip="Nobile-Orazio, 2015 #1113" w:history="1">
        <w:r w:rsidR="00D726F6">
          <w:rPr>
            <w:noProof/>
          </w:rPr>
          <w:t>Nobile-Orazio et al. 2015</w:t>
        </w:r>
      </w:hyperlink>
      <w:r w:rsidR="00B727D6">
        <w:rPr>
          <w:noProof/>
        </w:rPr>
        <w:t>)</w:t>
      </w:r>
      <w:r w:rsidR="00B727D6">
        <w:fldChar w:fldCharType="end"/>
      </w:r>
      <w:r>
        <w:t xml:space="preserve">. </w:t>
      </w:r>
    </w:p>
    <w:p w14:paraId="6C474DC4" w14:textId="6DEBFEAD" w:rsidR="00FE1148" w:rsidRDefault="00837294" w:rsidP="00FE1148">
      <w:pPr>
        <w:pStyle w:val="BodyTextSTD"/>
      </w:pPr>
      <w:r>
        <w:t>Although many patients responded to corticosteroid therapy (</w:t>
      </w:r>
      <w:r w:rsidRPr="00FE1148">
        <w:rPr>
          <w:b/>
        </w:rPr>
        <w:t>48–81% response rate</w:t>
      </w:r>
      <w:r>
        <w:t xml:space="preserve">, across eight studies), safety concerns were associated with their long-term use </w:t>
      </w:r>
      <w:r w:rsidR="00B727D6">
        <w:fldChar w:fldCharType="begin">
          <w:fldData xml:space="preserve">PEVuZE5vdGU+PENpdGU+PEF1dGhvcj5Cw7Zyw7wgw5w8L0F1dGhvcj48WWVhcj4yMDE0PC9ZZWFy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</w:fldData>
        </w:fldChar>
      </w:r>
      <w:r w:rsidR="00B727D6">
        <w:instrText xml:space="preserve"> ADDIN EN.CITE </w:instrText>
      </w:r>
      <w:r w:rsidR="00B727D6">
        <w:fldChar w:fldCharType="begin">
          <w:fldData xml:space="preserve">PEVuZE5vdGU+PENpdGU+PEF1dGhvcj5Cw7Zyw7wgw5w8L0F1dGhvcj48WWVhcj4yMDE0PC9ZZWFy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</w:fldData>
        </w:fldChar>
      </w:r>
      <w:r w:rsidR="00B727D6">
        <w:instrText xml:space="preserve"> ADDIN EN.CITE.DATA </w:instrText>
      </w:r>
      <w:r w:rsidR="00B727D6">
        <w:fldChar w:fldCharType="end"/>
      </w:r>
      <w:r w:rsidR="00B727D6">
        <w:fldChar w:fldCharType="separate"/>
      </w:r>
      <w:r w:rsidR="00B727D6">
        <w:rPr>
          <w:noProof/>
        </w:rPr>
        <w:t>(</w:t>
      </w:r>
      <w:hyperlink w:anchor="_ENREF_6" w:tooltip="Börü Ü, 2014 #225" w:history="1">
        <w:r w:rsidR="00D726F6">
          <w:rPr>
            <w:noProof/>
          </w:rPr>
          <w:t>Börü Ü et al. 2014</w:t>
        </w:r>
      </w:hyperlink>
      <w:r w:rsidR="00B727D6">
        <w:rPr>
          <w:noProof/>
        </w:rPr>
        <w:t xml:space="preserve">; </w:t>
      </w:r>
      <w:hyperlink w:anchor="_ENREF_18" w:tooltip="Eftimov, 2012 #698" w:history="1">
        <w:r w:rsidR="00D726F6">
          <w:rPr>
            <w:noProof/>
          </w:rPr>
          <w:t>Eftimov et al. 2012</w:t>
        </w:r>
      </w:hyperlink>
      <w:r w:rsidR="00B727D6">
        <w:rPr>
          <w:noProof/>
        </w:rPr>
        <w:t xml:space="preserve">; </w:t>
      </w:r>
      <w:hyperlink w:anchor="_ENREF_39" w:tooltip="Lopate, 2005 #209" w:history="1">
        <w:r w:rsidR="00D726F6">
          <w:rPr>
            <w:noProof/>
          </w:rPr>
          <w:t>Lopate, Pestronk &amp; Al-Lozi 2005</w:t>
        </w:r>
      </w:hyperlink>
      <w:r w:rsidR="00B727D6">
        <w:rPr>
          <w:noProof/>
        </w:rPr>
        <w:t xml:space="preserve">; </w:t>
      </w:r>
      <w:hyperlink w:anchor="_ENREF_54" w:tooltip="Nobile-Orazio, 2012 #10" w:history="1">
        <w:r w:rsidR="00D726F6">
          <w:rPr>
            <w:noProof/>
          </w:rPr>
          <w:t>Nobile-Orazio et al. 2012</w:t>
        </w:r>
      </w:hyperlink>
      <w:r w:rsidR="00B727D6">
        <w:rPr>
          <w:noProof/>
        </w:rPr>
        <w:t xml:space="preserve">; </w:t>
      </w:r>
      <w:hyperlink w:anchor="_ENREF_55" w:tooltip="Nobile-Orazio, 2015 #1113" w:history="1">
        <w:r w:rsidR="00D726F6">
          <w:rPr>
            <w:noProof/>
          </w:rPr>
          <w:t>Nobile-Orazio et al. 2015</w:t>
        </w:r>
      </w:hyperlink>
      <w:r w:rsidR="00B727D6">
        <w:rPr>
          <w:noProof/>
        </w:rPr>
        <w:t xml:space="preserve">; </w:t>
      </w:r>
      <w:hyperlink w:anchor="_ENREF_73" w:tooltip="van Lieverloo, 2018 #13" w:history="1">
        <w:r w:rsidR="00D726F6">
          <w:rPr>
            <w:noProof/>
          </w:rPr>
          <w:t>van Lieverloo et al. 2018</w:t>
        </w:r>
      </w:hyperlink>
      <w:r w:rsidR="00B727D6">
        <w:rPr>
          <w:noProof/>
        </w:rPr>
        <w:t xml:space="preserve">; </w:t>
      </w:r>
      <w:hyperlink w:anchor="_ENREF_75" w:tooltip="van Schaik, 2010 #57" w:history="1">
        <w:r w:rsidR="00D726F6">
          <w:rPr>
            <w:noProof/>
          </w:rPr>
          <w:t>van Schaik, I. N. et al. 2010</w:t>
        </w:r>
      </w:hyperlink>
      <w:r w:rsidR="00B727D6">
        <w:rPr>
          <w:noProof/>
        </w:rPr>
        <w:t xml:space="preserve">; </w:t>
      </w:r>
      <w:hyperlink w:anchor="_ENREF_76" w:tooltip="Viala, 2010 #1906" w:history="1">
        <w:r w:rsidR="00D726F6">
          <w:rPr>
            <w:noProof/>
          </w:rPr>
          <w:t>Viala et al. 2010</w:t>
        </w:r>
      </w:hyperlink>
      <w:r w:rsidR="00B727D6">
        <w:rPr>
          <w:noProof/>
        </w:rPr>
        <w:t>)</w:t>
      </w:r>
      <w:r w:rsidR="00B727D6">
        <w:fldChar w:fldCharType="end"/>
      </w:r>
      <w:r>
        <w:t xml:space="preserve">. </w:t>
      </w:r>
    </w:p>
    <w:p w14:paraId="45D37B2D" w14:textId="7E817C22" w:rsidR="006E7E19" w:rsidRDefault="006E7E19" w:rsidP="00FE1148">
      <w:pPr>
        <w:pStyle w:val="BodyTextSTD"/>
      </w:pPr>
      <w:r>
        <w:t xml:space="preserve">For </w:t>
      </w:r>
      <w:r w:rsidR="005641B5">
        <w:t>PE</w:t>
      </w:r>
      <w:r>
        <w:t xml:space="preserve">, </w:t>
      </w:r>
      <w:r w:rsidR="00837294" w:rsidRPr="00FE1148">
        <w:rPr>
          <w:b/>
        </w:rPr>
        <w:t>44–85%</w:t>
      </w:r>
      <w:r w:rsidR="00837294" w:rsidRPr="00F85464">
        <w:t xml:space="preserve"> of patients across </w:t>
      </w:r>
      <w:r w:rsidR="00FE1148">
        <w:t xml:space="preserve">six </w:t>
      </w:r>
      <w:r w:rsidR="00837294" w:rsidRPr="00F85464">
        <w:t>studi</w:t>
      </w:r>
      <w:r w:rsidR="00837294">
        <w:t xml:space="preserve">es responded </w:t>
      </w:r>
      <w:r w:rsidR="00B727D6">
        <w:fldChar w:fldCharType="begin">
          <w:fldData xml:space="preserve">PEVuZE5vdGU+PENpdGU+PEF1dGhvcj5DaG91ZGhhcnk8L0F1dGhvcj48WWVhcj4xOTk1PC9ZZWFy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</w:fldData>
        </w:fldChar>
      </w:r>
      <w:r w:rsidR="00B727D6">
        <w:instrText xml:space="preserve"> ADDIN EN.CITE </w:instrText>
      </w:r>
      <w:r w:rsidR="00B727D6">
        <w:fldChar w:fldCharType="begin">
          <w:fldData xml:space="preserve">PEVuZE5vdGU+PENpdGU+PEF1dGhvcj5DaG91ZGhhcnk8L0F1dGhvcj48WWVhcj4xOTk1PC9ZZWFy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 w:tooltip="Choudhary, 1995 #1204" w:history="1">
        <w:r w:rsidR="00D726F6">
          <w:rPr>
            <w:noProof/>
          </w:rPr>
          <w:t>Choudhary &amp; Hughes 1995</w:t>
        </w:r>
      </w:hyperlink>
      <w:r w:rsidR="00B727D6">
        <w:rPr>
          <w:noProof/>
        </w:rPr>
        <w:t xml:space="preserve">; </w:t>
      </w:r>
      <w:hyperlink w:anchor="_ENREF_9" w:tooltip="Codron, 2017 #1325" w:history="1">
        <w:r w:rsidR="00D726F6">
          <w:rPr>
            <w:noProof/>
          </w:rPr>
          <w:t>Codron et al. 2017</w:t>
        </w:r>
      </w:hyperlink>
      <w:r w:rsidR="00B727D6">
        <w:rPr>
          <w:noProof/>
        </w:rPr>
        <w:t xml:space="preserve">; </w:t>
      </w:r>
      <w:hyperlink w:anchor="_ENREF_17" w:tooltip="Dyck, 1994 #6" w:history="1">
        <w:r w:rsidR="00D726F6">
          <w:rPr>
            <w:noProof/>
          </w:rPr>
          <w:t>Dyck et al. 1994</w:t>
        </w:r>
      </w:hyperlink>
      <w:r w:rsidR="00B727D6">
        <w:rPr>
          <w:noProof/>
        </w:rPr>
        <w:t xml:space="preserve">; </w:t>
      </w:r>
      <w:hyperlink w:anchor="_ENREF_25" w:tooltip="Hahn, 1996 #368" w:history="1">
        <w:r w:rsidR="00D726F6">
          <w:rPr>
            <w:noProof/>
          </w:rPr>
          <w:t>Hahn, Bolton, Pillay, et al. 1996</w:t>
        </w:r>
      </w:hyperlink>
      <w:r w:rsidR="00B727D6">
        <w:rPr>
          <w:noProof/>
        </w:rPr>
        <w:t xml:space="preserve">; </w:t>
      </w:r>
      <w:hyperlink w:anchor="_ENREF_37" w:tooltip="Lieker, 2017 #143" w:history="1">
        <w:r w:rsidR="00D726F6">
          <w:rPr>
            <w:noProof/>
          </w:rPr>
          <w:t>Lieker et al. 2017</w:t>
        </w:r>
      </w:hyperlink>
      <w:r w:rsidR="00B727D6">
        <w:rPr>
          <w:noProof/>
        </w:rPr>
        <w:t xml:space="preserve">; </w:t>
      </w:r>
      <w:hyperlink w:anchor="_ENREF_76" w:tooltip="Viala, 2010 #1906" w:history="1">
        <w:r w:rsidR="00D726F6">
          <w:rPr>
            <w:noProof/>
          </w:rPr>
          <w:t>Viala et al. 2010</w:t>
        </w:r>
      </w:hyperlink>
      <w:r w:rsidR="00B727D6">
        <w:rPr>
          <w:noProof/>
        </w:rPr>
        <w:t>)</w:t>
      </w:r>
      <w:r w:rsidR="00B727D6">
        <w:fldChar w:fldCharType="end"/>
      </w:r>
      <w:r w:rsidR="006D29E2">
        <w:t>.</w:t>
      </w:r>
      <w:r w:rsidR="00837294">
        <w:t xml:space="preserve"> </w:t>
      </w:r>
    </w:p>
    <w:p w14:paraId="5C169AA1" w14:textId="107B2D56" w:rsidR="00837294" w:rsidRDefault="00F728E4" w:rsidP="00FE1148">
      <w:pPr>
        <w:pStyle w:val="BodyTextSTD"/>
      </w:pPr>
      <w:r>
        <w:t>Treatment re</w:t>
      </w:r>
      <w:r w:rsidR="00837294">
        <w:t xml:space="preserve">sponse rates in the base-case </w:t>
      </w:r>
      <w:r w:rsidR="006E7E19">
        <w:t xml:space="preserve">economic </w:t>
      </w:r>
      <w:r w:rsidR="00837294">
        <w:t xml:space="preserve">analyses are based on </w:t>
      </w:r>
      <w:r w:rsidR="00FC5A7A">
        <w:t xml:space="preserve">estimates from </w:t>
      </w:r>
      <w:r w:rsidR="006E7E19">
        <w:t xml:space="preserve">BloodStar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rsidR="00FC5A7A">
        <w:t xml:space="preserve"> </w:t>
      </w:r>
      <w:r w:rsidR="006E7E19">
        <w:t xml:space="preserve">and </w:t>
      </w:r>
      <w:r w:rsidR="00837294">
        <w:t xml:space="preserve">trial data </w: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Nobile-Orazio et al. 2012</w:t>
        </w:r>
      </w:hyperlink>
      <w:r w:rsidR="00B727D6">
        <w:rPr>
          <w:noProof/>
        </w:rPr>
        <w:t>)</w:t>
      </w:r>
      <w:r w:rsidR="00B727D6">
        <w:fldChar w:fldCharType="end"/>
      </w:r>
      <w:r w:rsidR="00533277">
        <w:t>, extrapolated over the modelled time horizon</w:t>
      </w:r>
      <w:r w:rsidR="00837294">
        <w:t xml:space="preserve">. </w:t>
      </w:r>
    </w:p>
    <w:p w14:paraId="6A370B1F" w14:textId="77777777" w:rsidR="00837294" w:rsidRPr="00FE1148" w:rsidRDefault="007E3B56" w:rsidP="00FE1148">
      <w:pPr>
        <w:pStyle w:val="BodyTextSTD"/>
        <w:rPr>
          <w:b/>
        </w:rPr>
      </w:pPr>
      <w:r>
        <w:rPr>
          <w:b/>
        </w:rPr>
        <w:t>Incidence of remission and relapse</w:t>
      </w:r>
    </w:p>
    <w:p w14:paraId="19B1E63C" w14:textId="750F3E46" w:rsidR="006E7E19" w:rsidRDefault="006E7E19" w:rsidP="00420169">
      <w:pPr>
        <w:pStyle w:val="BodyTextSTD"/>
      </w:pPr>
      <w:r>
        <w:t>Few</w:t>
      </w:r>
      <w:r w:rsidR="00837294">
        <w:t xml:space="preserve"> studies reported the remission and relapse rates; and the definitions of remission and relapse varied across the studies that </w:t>
      </w:r>
      <w:r>
        <w:t>did</w:t>
      </w:r>
      <w:r w:rsidR="00837294">
        <w:t>.</w:t>
      </w:r>
    </w:p>
    <w:p w14:paraId="5CB28F08" w14:textId="6A4D7FF5" w:rsidR="00837294" w:rsidRDefault="00837294" w:rsidP="00420169">
      <w:pPr>
        <w:pStyle w:val="BodyTextSTD"/>
      </w:pPr>
      <w:r>
        <w:t xml:space="preserve">The ICE study re-randomised IVIg responders (N=75) to IVIg or placebo for an additional 24-week period. 56% of the patients who responded to IVIg and were re-randomised to placebo did not relapse </w:t>
      </w:r>
      <w:r w:rsidR="00B727D6">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28" w:tooltip="Hughes, 2008 #1205" w:history="1">
        <w:r w:rsidR="00D726F6">
          <w:rPr>
            <w:noProof/>
          </w:rPr>
          <w:t>Hughes et al. 2008</w:t>
        </w:r>
      </w:hyperlink>
      <w:r w:rsidR="00B727D6">
        <w:rPr>
          <w:noProof/>
        </w:rPr>
        <w:t>)</w:t>
      </w:r>
      <w:r w:rsidR="00B727D6">
        <w:fldChar w:fldCharType="end"/>
      </w:r>
      <w:r>
        <w:t xml:space="preserve">. In the IMC trial </w: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Nobile-Orazio et al. 2012</w:t>
        </w:r>
      </w:hyperlink>
      <w:r w:rsidR="00B727D6">
        <w:rPr>
          <w:noProof/>
        </w:rPr>
        <w:t>)</w:t>
      </w:r>
      <w:r w:rsidR="00B727D6">
        <w:fldChar w:fldCharType="end"/>
      </w:r>
      <w:r w:rsidR="00420169">
        <w:t xml:space="preserve"> </w:t>
      </w:r>
      <w:r>
        <w:t xml:space="preserve">patients with CIDP were randomised to receive IVIg or IVMP treatments for 24 weeks followed by 24 weeks off-treatment. 62% and 100% remained in remission (stable off treatment) in </w:t>
      </w:r>
      <w:r w:rsidR="00420169">
        <w:t xml:space="preserve">IVIg and IVMP arms respectively. </w:t>
      </w:r>
      <w:r>
        <w:t xml:space="preserve">In the extension phase of the IMC study </w: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 </w:instrTex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Nobile-Orazio et al. 2015</w:t>
        </w:r>
      </w:hyperlink>
      <w:r w:rsidR="00B727D6">
        <w:rPr>
          <w:noProof/>
        </w:rPr>
        <w:t>)</w:t>
      </w:r>
      <w:r w:rsidR="00B727D6">
        <w:fldChar w:fldCharType="end"/>
      </w:r>
      <w:r>
        <w:t xml:space="preserve">, 86% of the patients relapsed over median 42 months off treatment compared with 77% of the patients relapsed over median 43 months in IVMP arm. </w:t>
      </w:r>
      <w:r w:rsidR="006E7E19">
        <w:t xml:space="preserve">In </w:t>
      </w:r>
      <w:r w:rsidR="00FC5A7A" w:rsidRPr="00FC5A7A">
        <w:fldChar w:fldCharType="begin"/>
      </w:r>
      <w:r w:rsidR="00FC5A7A" w:rsidRPr="00FC5A7A">
        <w:instrText xml:space="preserve"> REF _Ref65856839 \h </w:instrText>
      </w:r>
      <w:r w:rsidR="00FC5A7A">
        <w:instrText xml:space="preserve"> \* MERGEFORMAT </w:instrText>
      </w:r>
      <w:r w:rsidR="00FC5A7A" w:rsidRPr="00FC5A7A">
        <w:fldChar w:fldCharType="separate"/>
      </w:r>
      <w:r w:rsidR="004B3EA2" w:rsidRPr="001977C9">
        <w:t xml:space="preserve">Table </w:t>
      </w:r>
      <w:r w:rsidR="004B3EA2">
        <w:rPr>
          <w:noProof/>
        </w:rPr>
        <w:t>31</w:t>
      </w:r>
      <w:r w:rsidR="00FC5A7A" w:rsidRPr="00FC5A7A">
        <w:fldChar w:fldCharType="end"/>
      </w:r>
      <w:r w:rsidR="00FC5A7A">
        <w:t xml:space="preserve"> </w:t>
      </w:r>
      <w:r w:rsidR="006E7E19">
        <w:t xml:space="preserve">these </w:t>
      </w:r>
      <w:r>
        <w:t xml:space="preserve">probabilities are </w:t>
      </w:r>
      <w:r w:rsidR="006E7E19">
        <w:t xml:space="preserve">shown </w:t>
      </w:r>
      <w:r>
        <w:t xml:space="preserve">converted to cyclic probabilities to apply in the trial-based analysis (Step 1 in the comparison 1). </w:t>
      </w:r>
    </w:p>
    <w:p w14:paraId="49261FE4" w14:textId="0B3083DC" w:rsidR="00837294" w:rsidRDefault="00837294" w:rsidP="00420169">
      <w:pPr>
        <w:pStyle w:val="BodyTextSTD"/>
      </w:pPr>
      <w:r>
        <w:t xml:space="preserve">The treatment regimens in IMC trial vary from the treatment regimens defined in the Criteria. All patients in the IVIg arm received high doses of 2g/kg IVIg every </w:t>
      </w:r>
      <w:r w:rsidR="00614098">
        <w:t>four</w:t>
      </w:r>
      <w:r>
        <w:t xml:space="preserve">weeks for 24 weeks followed by no treatment period. In general practice only loading dose </w:t>
      </w:r>
      <w:r w:rsidR="00420169">
        <w:t>is</w:t>
      </w:r>
      <w:r>
        <w:t xml:space="preserve"> high followed by lower maintenance dose</w:t>
      </w:r>
      <w:r w:rsidR="00420169">
        <w:t>s</w:t>
      </w:r>
      <w:r>
        <w:t xml:space="preserve"> (0.4–1g/kg) every </w:t>
      </w:r>
      <w:r w:rsidR="00614098">
        <w:t>two to six</w:t>
      </w:r>
      <w:r>
        <w:t xml:space="preserve"> weeks. Therefore, the treatment effect, remission rate and relapse rate can vary from those observed in this trial. Further evidence for long-term IVIg treatment was </w:t>
      </w:r>
      <w:r w:rsidR="006E7E19">
        <w:t>found in</w:t>
      </w:r>
      <w:r>
        <w:t xml:space="preserve"> retrospective case series</w:t>
      </w:r>
      <w:r w:rsidR="00BF45AD">
        <w:t>; t</w:t>
      </w:r>
      <w:r>
        <w:t xml:space="preserve">wo studies showed remission in 26% of patients </w:t>
      </w:r>
      <w:r w:rsidR="00B727D6">
        <w:fldChar w:fldCharType="begin">
          <w:fldData xml:space="preserve">PEVuZE5vdGU+PENpdGU+PEF1dGhvcj5RdWVyb2w8L0F1dGhvcj48WWVhcj4yMDEzPC9ZZWFyPjxS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</w:fldData>
        </w:fldChar>
      </w:r>
      <w:r w:rsidR="00B727D6">
        <w:instrText xml:space="preserve"> ADDIN EN.CITE </w:instrText>
      </w:r>
      <w:r w:rsidR="00B727D6">
        <w:fldChar w:fldCharType="begin">
          <w:fldData xml:space="preserve">PEVuZE5vdGU+PENpdGU+PEF1dGhvcj5RdWVyb2w8L0F1dGhvcj48WWVhcj4yMDEzPC9ZZWFyPjxS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58" w:tooltip="Querol, 2013 #145" w:history="1">
        <w:r w:rsidR="00D726F6">
          <w:rPr>
            <w:noProof/>
          </w:rPr>
          <w:t>Querol et al. 2013</w:t>
        </w:r>
      </w:hyperlink>
      <w:r w:rsidR="00B727D6">
        <w:rPr>
          <w:noProof/>
        </w:rPr>
        <w:t xml:space="preserve">; </w:t>
      </w:r>
      <w:hyperlink w:anchor="_ENREF_59" w:tooltip="Rajabally, 2019 #13" w:history="1">
        <w:r w:rsidR="00D726F6">
          <w:rPr>
            <w:noProof/>
          </w:rPr>
          <w:t>Rajabally, Yusuf A. &amp; Afzal 2019</w:t>
        </w:r>
      </w:hyperlink>
      <w:r w:rsidR="00B727D6">
        <w:rPr>
          <w:noProof/>
        </w:rPr>
        <w:t>)</w:t>
      </w:r>
      <w:r w:rsidR="00B727D6">
        <w:fldChar w:fldCharType="end"/>
      </w:r>
      <w:r>
        <w:t xml:space="preserve">, and </w:t>
      </w:r>
      <w:r w:rsidR="00420169">
        <w:t>other one</w:t>
      </w:r>
      <w:r>
        <w:t xml:space="preserve"> in 40% </w:t>
      </w:r>
      <w:r w:rsidR="00B727D6">
        <w:fldChar w:fldCharType="begin">
          <w:fldData xml:space="preserve">PEVuZE5vdGU+PENpdGU+PEF1dGhvcj5LdWl0d2FhcmQ8L0F1dGhvcj48WWVhcj4yMDE1PC9ZZWFy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</w:fldData>
        </w:fldChar>
      </w:r>
      <w:r w:rsidR="00B727D6">
        <w:instrText xml:space="preserve"> ADDIN EN.CITE </w:instrText>
      </w:r>
      <w:r w:rsidR="00B727D6">
        <w:fldChar w:fldCharType="begin">
          <w:fldData xml:space="preserve">PEVuZE5vdGU+PENpdGU+PEF1dGhvcj5LdWl0d2FhcmQ8L0F1dGhvcj48WWVhcj4yMDE1PC9ZZWFy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34" w:tooltip="Kuitwaard, 2015 #264" w:history="1">
        <w:r w:rsidR="00D726F6">
          <w:rPr>
            <w:noProof/>
          </w:rPr>
          <w:t>Kuitwaard et al. 2015</w:t>
        </w:r>
      </w:hyperlink>
      <w:r w:rsidR="00B727D6">
        <w:rPr>
          <w:noProof/>
        </w:rPr>
        <w:t>)</w:t>
      </w:r>
      <w:r w:rsidR="00B727D6">
        <w:fldChar w:fldCharType="end"/>
      </w:r>
      <w:r w:rsidR="00533277">
        <w:t>, all of which were</w:t>
      </w:r>
      <w:r>
        <w:t xml:space="preserve"> over </w:t>
      </w:r>
      <w:r w:rsidR="00533277">
        <w:t xml:space="preserve">a </w:t>
      </w:r>
      <w:r>
        <w:t xml:space="preserve">median follow-up of </w:t>
      </w:r>
      <w:r w:rsidR="00FC5A7A">
        <w:t>a</w:t>
      </w:r>
      <w:r w:rsidR="00533277">
        <w:t>pproximately</w:t>
      </w:r>
      <w:r w:rsidR="00FC5A7A">
        <w:t xml:space="preserve"> </w:t>
      </w:r>
      <w:r w:rsidR="00614098">
        <w:t>four </w:t>
      </w:r>
      <w:r>
        <w:t xml:space="preserve">years. However, these remission rates did not capture patients who relapsed after remission. </w:t>
      </w:r>
    </w:p>
    <w:p w14:paraId="56A23C94" w14:textId="5898FBCA" w:rsidR="00420169" w:rsidRDefault="00B853D6" w:rsidP="00420169">
      <w:pPr>
        <w:pStyle w:val="BodyTextSTD"/>
      </w:pPr>
      <w:r>
        <w:t>Three studies reported remission f</w:t>
      </w:r>
      <w:r w:rsidR="00420169">
        <w:t>or steroids treatment</w:t>
      </w:r>
      <w:r>
        <w:t xml:space="preserve"> over long-term</w:t>
      </w:r>
      <w:r w:rsidR="00454D3A">
        <w:t xml:space="preserve"> period</w:t>
      </w:r>
      <w:r w:rsidR="003C2220">
        <w:t xml:space="preserve">. </w:t>
      </w:r>
      <w:r w:rsidR="00BF45AD">
        <w:t>The e</w:t>
      </w:r>
      <w:r w:rsidR="003C2220">
        <w:t>xtension study</w:t>
      </w:r>
      <w:r>
        <w:t xml:space="preserve"> of </w:t>
      </w:r>
      <w:r w:rsidR="00BF45AD">
        <w:t xml:space="preserve">the </w:t>
      </w:r>
      <w:r>
        <w:t xml:space="preserve">PREDICT trial </w:t>
      </w:r>
      <w:r w:rsidR="00B727D6">
        <w:fldChar w:fldCharType="begin"/>
      </w:r>
      <w:r w:rsidR="00B727D6">
        <w:instrText xml:space="preserve"> ADDIN EN.CITE &lt;EndNote&gt;&lt;Cite&gt;&lt;Author&gt;Eftimov&lt;/Author&gt;&lt;Year&gt;2012&lt;/Year&gt;&lt;RecNum&gt;698&lt;/RecNum&gt;&lt;DisplayText&gt;(Eftimov et al. 2012)&lt;/DisplayText&gt;&lt;record&gt;&lt;rec-number&gt;698&lt;/rec-number&gt;&lt;foreign-keys&gt;&lt;key app="EN" db-id="xtr5xfx2xf0wd7e0s2qvst2ietxxf0tpzr9v" timestamp="1602225912"&gt;698&lt;/key&gt;&lt;/foreign-keys&gt;&lt;ref-type name="Journal Article"&gt;17&lt;/ref-type&gt;&lt;contributors&gt;&lt;authors&gt;&lt;author&gt;Eftimov, F.&lt;/author&gt;&lt;author&gt;Vermeulen, M.&lt;/author&gt;&lt;author&gt;van Doorn, P. A.&lt;/author&gt;&lt;author&gt;Brusse, E.&lt;/author&gt;&lt;author&gt;van Schaik, I. N.&lt;/author&gt;&lt;/authors&gt;&lt;/contributors&gt;&lt;auth-address&gt;Department of Neurology, Academic Medical Center, Amsterdam, the Netherlands. f.eftimov@amc.uva.nl&lt;/auth-address&gt;&lt;titles&gt;&lt;title&gt;Long-term remission of CIDP after pulsed dexamethasone or short-term prednisolone treatment&lt;/title&gt;&lt;secondary-title&gt;Neurology&lt;/secondary-title&gt;&lt;/titles&gt;&lt;periodical&gt;&lt;full-title&gt;Neurology&lt;/full-title&gt;&lt;/periodical&gt;&lt;pages&gt;1079-84&lt;/pages&gt;&lt;volume&gt;78&lt;/volume&gt;&lt;number&gt;14&lt;/number&gt;&lt;edition&gt;2012/03/24&lt;/edition&gt;&lt;keywords&gt;&lt;keyword&gt;Anti-Inflammatory Agents/ administration &amp;amp; dosage&lt;/keyword&gt;&lt;keyword&gt;Cohort Studies&lt;/keyword&gt;&lt;keyword&gt;Dexamethasone/ administration &amp;amp; dosage&lt;/keyword&gt;&lt;keyword&gt;Follow-Up Studies&lt;/keyword&gt;&lt;keyword&gt;Humans&lt;/keyword&gt;&lt;keyword&gt;Polyradiculoneuropathy, Chronic Inflammatory Demyelinating/ drug therapy/ pathology&lt;/keyword&gt;&lt;keyword&gt;Prednisolone/ administration &amp;amp; dosage&lt;/keyword&gt;&lt;keyword&gt;Prospective Studies&lt;/keyword&gt;&lt;keyword&gt;Pulse Therapy, Drug&lt;/keyword&gt;&lt;keyword&gt;Remission Induction&lt;/keyword&gt;&lt;keyword&gt;Time Factors&lt;/keyword&gt;&lt;keyword&gt;Treatment Outcome&lt;/keyword&gt;&lt;/keywords&gt;&lt;dates&gt;&lt;year&gt;2012&lt;/year&gt;&lt;pub-dates&gt;&lt;date&gt;Apr 3&lt;/date&gt;&lt;/pub-dates&gt;&lt;/dates&gt;&lt;isbn&gt;1526-632X (Electronic)&amp;#xD;0028-3878 (Linking)&lt;/isbn&gt;&lt;accession-num&gt;22442436&lt;/accession-num&gt;&lt;urls&gt;&lt;related-urls&gt;&lt;url&gt;https://n.neurology.org/content/78/14/1079.long&lt;/url&gt;&lt;/related-urls&gt;&lt;/urls&gt;&lt;electronic-resource-num&gt;10.1212/WNL.0b013e31824e8f84&lt;/electronic-resource-num&gt;&lt;remote-database-provider&gt;NLM&lt;/remote-database-provider&gt;&lt;language&gt;eng&lt;/language&gt;&lt;/record&gt;&lt;/Cite&gt;&lt;/EndNote&gt;</w:instrText>
      </w:r>
      <w:r w:rsidR="00B727D6">
        <w:fldChar w:fldCharType="separate"/>
      </w:r>
      <w:r w:rsidR="00B727D6">
        <w:rPr>
          <w:noProof/>
        </w:rPr>
        <w:t>(</w:t>
      </w:r>
      <w:hyperlink w:anchor="_ENREF_18" w:tooltip="Eftimov, 2012 #698" w:history="1">
        <w:r w:rsidR="00D726F6">
          <w:rPr>
            <w:noProof/>
          </w:rPr>
          <w:t>Eftimov et al. 2012</w:t>
        </w:r>
      </w:hyperlink>
      <w:r w:rsidR="00B727D6">
        <w:rPr>
          <w:noProof/>
        </w:rPr>
        <w:t>)</w:t>
      </w:r>
      <w:r w:rsidR="00B727D6">
        <w:fldChar w:fldCharType="end"/>
      </w:r>
      <w:r>
        <w:t xml:space="preserve"> </w:t>
      </w:r>
      <w:r w:rsidR="003C2220">
        <w:t xml:space="preserve">reported that 26% of patients were in remission over the median follow-up of 54 months. The extension study of </w:t>
      </w:r>
      <w:r w:rsidR="00BF45AD">
        <w:t xml:space="preserve">the </w:t>
      </w:r>
      <w:r w:rsidR="003C2220">
        <w:t xml:space="preserve">IMC trial </w: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 </w:instrTex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Nobile-Orazio et al. 2015</w:t>
        </w:r>
      </w:hyperlink>
      <w:r w:rsidR="00B727D6">
        <w:rPr>
          <w:noProof/>
        </w:rPr>
        <w:t>)</w:t>
      </w:r>
      <w:r w:rsidR="00B727D6">
        <w:fldChar w:fldCharType="end"/>
      </w:r>
      <w:r w:rsidR="003C2220">
        <w:t xml:space="preserve"> reported remission in 23% of the patients over median follow-up of 43 months. Van Lieverloo et al </w:t>
      </w:r>
      <w:r w:rsidR="00B727D6">
        <w:fldChar w:fldCharType="begin">
          <w:fldData xml:space="preserve">PEVuZE5vdGU+PENpdGUgRXhjbHVkZUF1dGg9IjEiPjxBdXRob3I+dmFuIExpZXZlcmxvbzwvQXV0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</w:fldData>
        </w:fldChar>
      </w:r>
      <w:r w:rsidR="00B727D6">
        <w:instrText xml:space="preserve"> ADDIN EN.CITE </w:instrText>
      </w:r>
      <w:r w:rsidR="00B727D6">
        <w:fldChar w:fldCharType="begin">
          <w:fldData xml:space="preserve">PEVuZE5vdGU+PENpdGUgRXhjbHVkZUF1dGg9IjEiPjxBdXRob3I+dmFuIExpZXZlcmxvbzwvQXV0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</w:fldData>
        </w:fldChar>
      </w:r>
      <w:r w:rsidR="00B727D6">
        <w:instrText xml:space="preserve"> ADDIN EN.CITE.DATA </w:instrText>
      </w:r>
      <w:r w:rsidR="00B727D6">
        <w:fldChar w:fldCharType="end"/>
      </w:r>
      <w:r w:rsidR="00B727D6">
        <w:fldChar w:fldCharType="separate"/>
      </w:r>
      <w:r w:rsidR="00B727D6">
        <w:rPr>
          <w:noProof/>
        </w:rPr>
        <w:t>(</w:t>
      </w:r>
      <w:hyperlink w:anchor="_ENREF_73" w:tooltip="van Lieverloo, 2018 #13" w:history="1">
        <w:r w:rsidR="00D726F6">
          <w:rPr>
            <w:noProof/>
          </w:rPr>
          <w:t>2018</w:t>
        </w:r>
      </w:hyperlink>
      <w:r w:rsidR="00B727D6">
        <w:rPr>
          <w:noProof/>
        </w:rPr>
        <w:t>)</w:t>
      </w:r>
      <w:r w:rsidR="00B727D6">
        <w:fldChar w:fldCharType="end"/>
      </w:r>
      <w:r w:rsidR="003C2220">
        <w:t xml:space="preserve"> reported 61% of the patients in remission after steroids treatment over median follow-up of 43 months.</w:t>
      </w:r>
    </w:p>
    <w:p w14:paraId="09B9D34B" w14:textId="00004D7A" w:rsidR="00FC5A7A" w:rsidRDefault="003C2220" w:rsidP="004D5D38">
      <w:pPr>
        <w:pStyle w:val="BodyTextSTD"/>
      </w:pPr>
      <w:r>
        <w:t xml:space="preserve">Long-term remission data for PE were not available. One study </w:t>
      </w:r>
      <w:r w:rsidR="00B727D6">
        <w:fldChar w:fldCharType="begin">
          <w:fldData xml:space="preserve">PEVuZE5vdGU+PENpdGU+PEF1dGhvcj5WaWFsYTwvQXV0aG9yPjxZZWFyPjIwMTA8L1llYXI+PFJl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</w:fldData>
        </w:fldChar>
      </w:r>
      <w:r w:rsidR="00B727D6">
        <w:instrText xml:space="preserve"> ADDIN EN.CITE </w:instrText>
      </w:r>
      <w:r w:rsidR="00B727D6">
        <w:fldChar w:fldCharType="begin">
          <w:fldData xml:space="preserve">PEVuZE5vdGU+PENpdGU+PEF1dGhvcj5WaWFsYTwvQXV0aG9yPjxZZWFyPjIwMTA8L1llYXI+PFJl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</w:fldData>
        </w:fldChar>
      </w:r>
      <w:r w:rsidR="00B727D6">
        <w:instrText xml:space="preserve"> ADDIN EN.CITE.DATA </w:instrText>
      </w:r>
      <w:r w:rsidR="00B727D6">
        <w:fldChar w:fldCharType="end"/>
      </w:r>
      <w:r w:rsidR="00B727D6">
        <w:fldChar w:fldCharType="separate"/>
      </w:r>
      <w:r w:rsidR="00B727D6">
        <w:rPr>
          <w:noProof/>
        </w:rPr>
        <w:t>(</w:t>
      </w:r>
      <w:hyperlink w:anchor="_ENREF_76" w:tooltip="Viala, 2010 #1906" w:history="1">
        <w:r w:rsidR="00D726F6">
          <w:rPr>
            <w:noProof/>
          </w:rPr>
          <w:t>Viala et al. 2010</w:t>
        </w:r>
      </w:hyperlink>
      <w:r w:rsidR="00B727D6">
        <w:rPr>
          <w:noProof/>
        </w:rPr>
        <w:t>)</w:t>
      </w:r>
      <w:r w:rsidR="00B727D6">
        <w:fldChar w:fldCharType="end"/>
      </w:r>
      <w:r>
        <w:t xml:space="preserve"> investigated the treatment dependency (IVIg, prednisolone and PE) in 146 patients with CIDP. The treatment response and dependency rates for PE were 62% and 23% respectively. </w:t>
      </w:r>
      <w:r w:rsidR="001627FA">
        <w:t xml:space="preserve">Overall, </w:t>
      </w:r>
      <w:r w:rsidR="004D5D38">
        <w:t>18% of treated patients in this study stopped treatment w</w:t>
      </w:r>
      <w:r w:rsidR="001627FA">
        <w:t xml:space="preserve">ithin </w:t>
      </w:r>
      <w:r w:rsidR="00614098">
        <w:t>six </w:t>
      </w:r>
      <w:r w:rsidR="004D5D38">
        <w:t>months of initiation with no relapse during the median follow-up of three years.</w:t>
      </w:r>
      <w:r w:rsidR="001627FA">
        <w:t xml:space="preserve"> </w:t>
      </w:r>
      <w:r w:rsidR="004D5D38">
        <w:t xml:space="preserve">29% of treated patients stopped treatment after mean </w:t>
      </w:r>
      <w:r w:rsidR="001627FA">
        <w:t>treatment duration of</w:t>
      </w:r>
      <w:r w:rsidR="007E3B56">
        <w:t xml:space="preserve"> 15 </w:t>
      </w:r>
      <w:r w:rsidR="004D5D38">
        <w:t>months.</w:t>
      </w:r>
      <w:r w:rsidR="001627FA">
        <w:t xml:space="preserve"> However, the treatment specific remission rates were not provided in this study. </w:t>
      </w:r>
    </w:p>
    <w:p w14:paraId="28FACFEF" w14:textId="4811B11B" w:rsidR="003C2220" w:rsidRDefault="001627FA" w:rsidP="004D5D38">
      <w:pPr>
        <w:pStyle w:val="BodyTextSTD"/>
      </w:pPr>
      <w:r>
        <w:t xml:space="preserve">In the absence of any data regarding remission rates for PE, </w:t>
      </w:r>
      <w:r w:rsidR="00BF45AD">
        <w:t xml:space="preserve">the treatment </w:t>
      </w:r>
      <w:r>
        <w:t xml:space="preserve">remission rates </w:t>
      </w:r>
      <w:r w:rsidR="00FC5A7A">
        <w:t>are considered equivalent to those experienced with IVIg</w:t>
      </w:r>
      <w:r w:rsidR="003A263B">
        <w:t>,</w:t>
      </w:r>
      <w:r w:rsidR="00FC5A7A">
        <w:t xml:space="preserve"> </w:t>
      </w:r>
      <w:r w:rsidR="003A263B">
        <w:t>consistent with the</w:t>
      </w:r>
      <w:r w:rsidR="00CA03F3">
        <w:t xml:space="preserve"> assumption of equivalent therapeutic effect</w:t>
      </w:r>
      <w:r>
        <w:t xml:space="preserve">. </w:t>
      </w:r>
    </w:p>
    <w:p w14:paraId="3907D951" w14:textId="03CD6399" w:rsidR="002F46DA" w:rsidRDefault="00F823B2" w:rsidP="004D5D38">
      <w:pPr>
        <w:pStyle w:val="BodyTextSTD"/>
      </w:pPr>
      <w:r>
        <w:fldChar w:fldCharType="begin"/>
      </w:r>
      <w:r>
        <w:instrText xml:space="preserve"> REF _Ref65842328 \h </w:instrText>
      </w:r>
      <w:r>
        <w:fldChar w:fldCharType="separate"/>
      </w:r>
      <w:r w:rsidR="004B3EA2">
        <w:t xml:space="preserve">Table </w:t>
      </w:r>
      <w:r w:rsidR="004B3EA2">
        <w:rPr>
          <w:noProof/>
        </w:rPr>
        <w:t>29</w:t>
      </w:r>
      <w:r>
        <w:fldChar w:fldCharType="end"/>
      </w:r>
      <w:r>
        <w:t xml:space="preserve"> and </w:t>
      </w:r>
      <w:r>
        <w:fldChar w:fldCharType="begin"/>
      </w:r>
      <w:r>
        <w:instrText xml:space="preserve"> REF _Ref65749492 \h </w:instrText>
      </w:r>
      <w:r>
        <w:fldChar w:fldCharType="separate"/>
      </w:r>
      <w:r w:rsidR="004B3EA2">
        <w:t xml:space="preserve">Table </w:t>
      </w:r>
      <w:r w:rsidR="004B3EA2">
        <w:rPr>
          <w:noProof/>
        </w:rPr>
        <w:t>30</w:t>
      </w:r>
      <w:r>
        <w:fldChar w:fldCharType="end"/>
      </w:r>
      <w:r>
        <w:t xml:space="preserve"> summarised Ig usage and treatment continuation data extracted from BloodStar for CIDP patients. </w:t>
      </w:r>
      <w:r w:rsidR="002F46DA">
        <w:t xml:space="preserve">Duration of treatment in these patients were discussed in Section C.2.3. Of the 291 patients who commenced therapy with Ig, 94 (32%) did not continue treatment beyond the first clinical review. As per the literature studies and clinical expert advice approximately 5% of the patients </w:t>
      </w:r>
      <w:r w:rsidR="00565F66">
        <w:t>cease</w:t>
      </w:r>
      <w:r w:rsidR="002F46DA">
        <w:t xml:space="preserve"> Ig </w:t>
      </w:r>
      <w:r w:rsidR="00565F66">
        <w:t>treatment due to adverse events and</w:t>
      </w:r>
      <w:r w:rsidR="002F46DA">
        <w:t xml:space="preserve"> 10% due to non-efficacy </w:t>
      </w:r>
      <w:r w:rsidR="00B727D6">
        <w:fldChar w:fldCharType="begin">
          <w:fldData xml:space="preserve">PEVuZE5vdGU+PENpdGU+PEF1dGhvcj5EZXBhcnRtZW50IG9mIEhlYWx0aDwvQXV0aG9yPjxZZWFy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</w:fldData>
        </w:fldChar>
      </w:r>
      <w:r w:rsidR="00B727D6">
        <w:instrText xml:space="preserve"> ADDIN EN.CITE </w:instrText>
      </w:r>
      <w:r w:rsidR="00B727D6">
        <w:fldChar w:fldCharType="begin">
          <w:fldData xml:space="preserve">PEVuZE5vdGU+PENpdGU+PEF1dGhvcj5EZXBhcnRtZW50IG9mIEhlYWx0aDwvQXV0aG9yPjxZZWFy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12" w:tooltip="Department of Health, 2021 #1954" w:history="1">
        <w:r w:rsidR="00D726F6">
          <w:rPr>
            <w:noProof/>
          </w:rPr>
          <w:t>Department of Health 2021a</w:t>
        </w:r>
      </w:hyperlink>
      <w:r w:rsidR="00B727D6">
        <w:rPr>
          <w:noProof/>
        </w:rPr>
        <w:t xml:space="preserve">; </w:t>
      </w:r>
      <w:hyperlink w:anchor="_ENREF_58" w:tooltip="Querol, 2013 #145" w:history="1">
        <w:r w:rsidR="00D726F6">
          <w:rPr>
            <w:noProof/>
          </w:rPr>
          <w:t>Querol et al. 2013</w:t>
        </w:r>
      </w:hyperlink>
      <w:r w:rsidR="00B727D6">
        <w:rPr>
          <w:noProof/>
        </w:rPr>
        <w:t>)</w:t>
      </w:r>
      <w:r w:rsidR="00B727D6">
        <w:fldChar w:fldCharType="end"/>
      </w:r>
      <w:r w:rsidR="00565F66">
        <w:t xml:space="preserve">. </w:t>
      </w:r>
      <w:r w:rsidR="00C51DD2">
        <w:t>B</w:t>
      </w:r>
      <w:r w:rsidR="00C51DD2" w:rsidRPr="00C51DD2">
        <w:t>etween 15% and 30% of patients require only a single course of IVIg</w:t>
      </w:r>
      <w:r w:rsidR="00C51DD2">
        <w:t xml:space="preserve"> </w:t>
      </w:r>
      <w:r w:rsidR="00B727D6">
        <w:fldChar w:fldCharType="begin">
          <w:fldData xml:space="preserve">PEVuZE5vdGU+PENpdGU+PEF1dGhvcj5WYW4gZGVuIEJlcmdoPC9BdXRob3I+PFllYXI+MjAxMDwv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</w:fldData>
        </w:fldChar>
      </w:r>
      <w:r w:rsidR="00B727D6">
        <w:instrText xml:space="preserve"> ADDIN EN.CITE </w:instrText>
      </w:r>
      <w:r w:rsidR="00B727D6">
        <w:fldChar w:fldCharType="begin">
          <w:fldData xml:space="preserve">PEVuZE5vdGU+PENpdGU+PEF1dGhvcj5WYW4gZGVuIEJlcmdoPC9BdXRob3I+PFllYXI+MjAxMDwv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</w:fldData>
        </w:fldChar>
      </w:r>
      <w:r w:rsidR="00B727D6">
        <w:instrText xml:space="preserve"> ADDIN EN.CITE.DATA </w:instrText>
      </w:r>
      <w:r w:rsidR="00B727D6">
        <w:fldChar w:fldCharType="end"/>
      </w:r>
      <w:r w:rsidR="00B727D6">
        <w:fldChar w:fldCharType="separate"/>
      </w:r>
      <w:r w:rsidR="00B727D6">
        <w:rPr>
          <w:noProof/>
        </w:rPr>
        <w:t>(</w:t>
      </w:r>
      <w:hyperlink w:anchor="_ENREF_72" w:tooltip="Van den Bergh, 2010 #784" w:history="1">
        <w:r w:rsidR="00D726F6">
          <w:rPr>
            <w:noProof/>
          </w:rPr>
          <w:t>Van den Bergh, PYK et al. 2010</w:t>
        </w:r>
      </w:hyperlink>
      <w:r w:rsidR="00B727D6">
        <w:rPr>
          <w:noProof/>
        </w:rPr>
        <w:t>)</w:t>
      </w:r>
      <w:r w:rsidR="00B727D6">
        <w:fldChar w:fldCharType="end"/>
      </w:r>
      <w:r w:rsidR="00B30A83">
        <w:t xml:space="preserve">. </w:t>
      </w:r>
      <w:r w:rsidR="007F5116">
        <w:t xml:space="preserve">One study reported </w:t>
      </w:r>
      <w:r w:rsidR="00B727D6">
        <w:fldChar w:fldCharType="begin">
          <w:fldData xml:space="preserve">PEVuZE5vdGU+PENpdGU+PEF1dGhvcj5LdWl0d2FhcmQ8L0F1dGhvcj48WWVhcj4yMDE1PC9ZZWFy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</w:fldData>
        </w:fldChar>
      </w:r>
      <w:r w:rsidR="00B727D6">
        <w:instrText xml:space="preserve"> ADDIN EN.CITE </w:instrText>
      </w:r>
      <w:r w:rsidR="00B727D6">
        <w:fldChar w:fldCharType="begin">
          <w:fldData xml:space="preserve">PEVuZE5vdGU+PENpdGU+PEF1dGhvcj5LdWl0d2FhcmQ8L0F1dGhvcj48WWVhcj4yMDE1PC9ZZWFy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34" w:tooltip="Kuitwaard, 2015 #264" w:history="1">
        <w:r w:rsidR="00D726F6">
          <w:rPr>
            <w:noProof/>
          </w:rPr>
          <w:t>Kuitwaard et al. 2015</w:t>
        </w:r>
      </w:hyperlink>
      <w:r w:rsidR="00B727D6">
        <w:rPr>
          <w:noProof/>
        </w:rPr>
        <w:t>)</w:t>
      </w:r>
      <w:r w:rsidR="00B727D6">
        <w:fldChar w:fldCharType="end"/>
      </w:r>
      <w:r w:rsidR="00B30A83">
        <w:t xml:space="preserve"> </w:t>
      </w:r>
      <w:r w:rsidR="007F5116">
        <w:t xml:space="preserve">that out of </w:t>
      </w:r>
      <w:r w:rsidR="00B30A83" w:rsidRPr="00B30A83">
        <w:t>86 treatment-naïve patients who were IVIg responsive and reached a documented clinical remission, 14 (16%) needed only one IVIg course</w:t>
      </w:r>
      <w:r w:rsidR="00C51DD2">
        <w:t>, which is in line</w:t>
      </w:r>
      <w:r w:rsidR="007F5116">
        <w:t xml:space="preserve"> with the 15–30% reported in the literature. Therefore, it is </w:t>
      </w:r>
      <w:r w:rsidR="00C51DD2">
        <w:t>reasonable to assume</w:t>
      </w:r>
      <w:r w:rsidR="007F5116">
        <w:t xml:space="preserve"> that the remainder of the patients (17%) are early responders who achieve remission within few </w:t>
      </w:r>
      <w:r w:rsidR="00C51DD2">
        <w:t>Ig courses</w:t>
      </w:r>
      <w:r w:rsidR="007F5116">
        <w:t>.</w:t>
      </w:r>
      <w:r w:rsidR="00C51DD2">
        <w:t xml:space="preserve"> </w:t>
      </w:r>
    </w:p>
    <w:p w14:paraId="7D28DBED" w14:textId="38A02773" w:rsidR="00C51DD2" w:rsidRDefault="00C51DD2" w:rsidP="004D5D38">
      <w:pPr>
        <w:pStyle w:val="BodyTextSTD"/>
      </w:pPr>
      <w:r>
        <w:t xml:space="preserve">Of the 197 patients who continued Ig treatment beyond first review, </w:t>
      </w:r>
      <w:r w:rsidRPr="00C51DD2">
        <w:t>138 (70%) continued to receive Ig for over 16 months, however during this follow-up 39 (28%) of these patients did have a break in treatment of greater than 56 days (</w:t>
      </w:r>
      <w:r w:rsidR="00614098">
        <w:t>eight</w:t>
      </w:r>
      <w:r w:rsidR="00614098" w:rsidRPr="00C51DD2">
        <w:t xml:space="preserve"> </w:t>
      </w:r>
      <w:r w:rsidRPr="00C51DD2">
        <w:t>weeks). A further 55 (28%) patients ceased Ig between the first and the second clinical review and did not reinitiate in the follow-up period. Four patients had a break of 12 months or more, but reinitiated more than 16 months after initiating Ig.</w:t>
      </w:r>
      <w:r>
        <w:t xml:space="preserve"> These data were used to estimate the probable remission</w:t>
      </w:r>
      <w:r w:rsidR="00BA79B6">
        <w:t>s (51%)</w:t>
      </w:r>
      <w:r>
        <w:t xml:space="preserve"> and relapses </w:t>
      </w:r>
      <w:r w:rsidR="00BA79B6">
        <w:t xml:space="preserve">(49% of those in remission) </w:t>
      </w:r>
      <w:r>
        <w:t xml:space="preserve">over 12 months period (between first and second clinical review). </w:t>
      </w:r>
    </w:p>
    <w:p w14:paraId="238A1BB2" w14:textId="24758FB9" w:rsidR="00837294" w:rsidRDefault="001627FA" w:rsidP="001627FA">
      <w:pPr>
        <w:pStyle w:val="BodyTextSTD"/>
      </w:pPr>
      <w:r>
        <w:t xml:space="preserve">Remission and relapse incidences reported in the long-term studies </w:t>
      </w:r>
      <w:r w:rsidR="00BA79B6">
        <w:t xml:space="preserve">and estimated from BloodStar data </w:t>
      </w:r>
      <w:r>
        <w:t>were converted to cyclic (</w:t>
      </w:r>
      <w:r w:rsidR="00614098">
        <w:t xml:space="preserve">four </w:t>
      </w:r>
      <w:r>
        <w:t>weekly) probabilities and compared across.</w:t>
      </w:r>
      <w:r w:rsidR="00BA79B6">
        <w:t xml:space="preserve"> </w:t>
      </w:r>
      <w:r w:rsidR="00BA79B6">
        <w:fldChar w:fldCharType="begin"/>
      </w:r>
      <w:r w:rsidR="00BA79B6">
        <w:instrText xml:space="preserve"> REF _Ref65856839 \h </w:instrText>
      </w:r>
      <w:r w:rsidR="00BA79B6">
        <w:fldChar w:fldCharType="separate"/>
      </w:r>
      <w:r w:rsidR="004B3EA2" w:rsidRPr="001977C9">
        <w:t xml:space="preserve">Table </w:t>
      </w:r>
      <w:r w:rsidR="004B3EA2">
        <w:rPr>
          <w:noProof/>
        </w:rPr>
        <w:t>31</w:t>
      </w:r>
      <w:r w:rsidR="00BA79B6">
        <w:fldChar w:fldCharType="end"/>
      </w:r>
      <w:r w:rsidR="00A200BD">
        <w:t xml:space="preserve"> p</w:t>
      </w:r>
      <w:r w:rsidR="00BA79B6">
        <w:t>rovides a summary of the</w:t>
      </w:r>
      <w:r w:rsidR="00A200BD">
        <w:t>se</w:t>
      </w:r>
      <w:r w:rsidR="00BA79B6">
        <w:t xml:space="preserve"> estimates.</w:t>
      </w:r>
      <w:r w:rsidR="005765B7">
        <w:t xml:space="preserve"> These estimates should be interpreted with caution due to variability in the data reported, study structures and the assumptions made in deriving these probabilities.</w:t>
      </w:r>
    </w:p>
    <w:p w14:paraId="0455343D" w14:textId="73A00212" w:rsidR="00BA79B6" w:rsidRDefault="00BA79B6" w:rsidP="00BA79B6">
      <w:pPr>
        <w:pStyle w:val="Caption"/>
      </w:pPr>
      <w:bookmarkStart w:id="248" w:name="_Ref65856839"/>
      <w:bookmarkStart w:id="249" w:name="_Toc69305672"/>
      <w:r w:rsidRPr="001977C9">
        <w:t xml:space="preserve">Table </w:t>
      </w:r>
      <w:r w:rsidR="00003BA5">
        <w:fldChar w:fldCharType="begin"/>
      </w:r>
      <w:r w:rsidR="00003BA5">
        <w:instrText xml:space="preserve"> SEQ Table \* ARABIC </w:instrText>
      </w:r>
      <w:r w:rsidR="00003BA5">
        <w:fldChar w:fldCharType="separate"/>
      </w:r>
      <w:r w:rsidR="004B3EA2">
        <w:rPr>
          <w:noProof/>
        </w:rPr>
        <w:t>31</w:t>
      </w:r>
      <w:r w:rsidR="00003BA5">
        <w:rPr>
          <w:noProof/>
        </w:rPr>
        <w:fldChar w:fldCharType="end"/>
      </w:r>
      <w:bookmarkEnd w:id="248"/>
      <w:r w:rsidRPr="001977C9">
        <w:tab/>
        <w:t>Estimated probabilities for remission and relapse from the literature studies and BloodStar data</w:t>
      </w:r>
      <w:bookmarkEnd w:id="249"/>
    </w:p>
    <w:tbl>
      <w:tblPr>
        <w:tblStyle w:val="TableGrid"/>
        <w:tblW w:w="0" w:type="auto"/>
        <w:tblLook w:val="04A0" w:firstRow="1" w:lastRow="0" w:firstColumn="1" w:lastColumn="0" w:noHBand="0" w:noVBand="1"/>
        <w:tblCaption w:val="Estimated probabilities for remission and relapse from the literature studies and BloodStar data"/>
        <w:tblDescription w:val="Estimated probabilities for remission and relapse from the literature studies and BloodStar data"/>
      </w:tblPr>
      <w:tblGrid>
        <w:gridCol w:w="1754"/>
        <w:gridCol w:w="2228"/>
        <w:gridCol w:w="1639"/>
        <w:gridCol w:w="2198"/>
        <w:gridCol w:w="1197"/>
      </w:tblGrid>
      <w:tr w:rsidR="001627FA" w14:paraId="2DA8ED44" w14:textId="77777777" w:rsidTr="00866F2C">
        <w:trPr>
          <w:tblHeader/>
        </w:trPr>
        <w:tc>
          <w:tcPr>
            <w:tcW w:w="1754" w:type="dxa"/>
            <w:tcBorders>
              <w:bottom w:val="single" w:sz="4" w:space="0" w:color="auto"/>
            </w:tcBorders>
          </w:tcPr>
          <w:p w14:paraId="53C1C0F4" w14:textId="77777777" w:rsidR="001627FA" w:rsidRDefault="001627FA" w:rsidP="001627FA">
            <w:pPr>
              <w:pStyle w:val="TableHeading"/>
              <w:ind w:left="0"/>
            </w:pPr>
            <w:r>
              <w:t>Study</w:t>
            </w:r>
          </w:p>
        </w:tc>
        <w:tc>
          <w:tcPr>
            <w:tcW w:w="2228" w:type="dxa"/>
            <w:tcBorders>
              <w:bottom w:val="single" w:sz="4" w:space="0" w:color="auto"/>
            </w:tcBorders>
          </w:tcPr>
          <w:p w14:paraId="4B1444B4" w14:textId="77777777" w:rsidR="001627FA" w:rsidRDefault="001627FA" w:rsidP="001627FA">
            <w:pPr>
              <w:pStyle w:val="TableHeading"/>
              <w:ind w:left="0"/>
            </w:pPr>
            <w:r>
              <w:t>Remission</w:t>
            </w:r>
          </w:p>
        </w:tc>
        <w:tc>
          <w:tcPr>
            <w:tcW w:w="1639" w:type="dxa"/>
            <w:tcBorders>
              <w:bottom w:val="single" w:sz="4" w:space="0" w:color="auto"/>
            </w:tcBorders>
          </w:tcPr>
          <w:p w14:paraId="639C9517" w14:textId="77777777" w:rsidR="001627FA" w:rsidRDefault="001627FA" w:rsidP="001627FA">
            <w:pPr>
              <w:pStyle w:val="TableHeading"/>
              <w:ind w:left="0"/>
            </w:pPr>
            <w:r>
              <w:t>Cyclic probability</w:t>
            </w:r>
          </w:p>
        </w:tc>
        <w:tc>
          <w:tcPr>
            <w:tcW w:w="2198" w:type="dxa"/>
            <w:tcBorders>
              <w:bottom w:val="single" w:sz="4" w:space="0" w:color="auto"/>
            </w:tcBorders>
          </w:tcPr>
          <w:p w14:paraId="09107C2F" w14:textId="77777777" w:rsidR="001627FA" w:rsidRDefault="001627FA" w:rsidP="001627FA">
            <w:pPr>
              <w:pStyle w:val="TableHeading"/>
              <w:ind w:left="0"/>
            </w:pPr>
            <w:r>
              <w:t>Relapse</w:t>
            </w:r>
          </w:p>
        </w:tc>
        <w:tc>
          <w:tcPr>
            <w:tcW w:w="1197" w:type="dxa"/>
            <w:tcBorders>
              <w:bottom w:val="single" w:sz="4" w:space="0" w:color="auto"/>
            </w:tcBorders>
          </w:tcPr>
          <w:p w14:paraId="5878CEF8" w14:textId="77777777" w:rsidR="001627FA" w:rsidRDefault="001627FA" w:rsidP="001627FA">
            <w:pPr>
              <w:pStyle w:val="TableHeading"/>
              <w:ind w:left="0"/>
            </w:pPr>
            <w:r>
              <w:t>Cyclic probability</w:t>
            </w:r>
          </w:p>
        </w:tc>
      </w:tr>
      <w:tr w:rsidR="001627FA" w14:paraId="0A772870" w14:textId="77777777" w:rsidTr="00866F2C">
        <w:tc>
          <w:tcPr>
            <w:tcW w:w="1754" w:type="dxa"/>
            <w:tcBorders>
              <w:right w:val="nil"/>
            </w:tcBorders>
          </w:tcPr>
          <w:p w14:paraId="44A31621" w14:textId="77777777" w:rsidR="001627FA" w:rsidRPr="00C75EE8" w:rsidRDefault="00C75EE8" w:rsidP="001627FA">
            <w:pPr>
              <w:pStyle w:val="Tabletext1"/>
              <w:ind w:left="0"/>
              <w:rPr>
                <w:b/>
              </w:rPr>
            </w:pPr>
            <w:r w:rsidRPr="00C75EE8">
              <w:rPr>
                <w:b/>
              </w:rPr>
              <w:t>Immunoglobulin</w:t>
            </w:r>
          </w:p>
        </w:tc>
        <w:tc>
          <w:tcPr>
            <w:tcW w:w="2228" w:type="dxa"/>
            <w:tcBorders>
              <w:left w:val="nil"/>
              <w:right w:val="nil"/>
            </w:tcBorders>
          </w:tcPr>
          <w:p w14:paraId="3F94D451" w14:textId="77777777" w:rsidR="001627FA" w:rsidRDefault="001627FA" w:rsidP="001627FA">
            <w:pPr>
              <w:pStyle w:val="Tabletext1"/>
              <w:ind w:left="0"/>
            </w:pPr>
          </w:p>
        </w:tc>
        <w:tc>
          <w:tcPr>
            <w:tcW w:w="1639" w:type="dxa"/>
            <w:tcBorders>
              <w:left w:val="nil"/>
              <w:right w:val="nil"/>
            </w:tcBorders>
          </w:tcPr>
          <w:p w14:paraId="4BA20995" w14:textId="77777777" w:rsidR="001627FA" w:rsidRDefault="001627FA" w:rsidP="001627FA">
            <w:pPr>
              <w:pStyle w:val="Tabletext1"/>
              <w:ind w:left="0"/>
            </w:pPr>
          </w:p>
        </w:tc>
        <w:tc>
          <w:tcPr>
            <w:tcW w:w="2198" w:type="dxa"/>
            <w:tcBorders>
              <w:left w:val="nil"/>
              <w:right w:val="nil"/>
            </w:tcBorders>
          </w:tcPr>
          <w:p w14:paraId="22567106" w14:textId="77777777" w:rsidR="001627FA" w:rsidRDefault="001627FA" w:rsidP="001627FA">
            <w:pPr>
              <w:pStyle w:val="Tabletext1"/>
              <w:ind w:left="0"/>
            </w:pPr>
          </w:p>
        </w:tc>
        <w:tc>
          <w:tcPr>
            <w:tcW w:w="1197" w:type="dxa"/>
            <w:tcBorders>
              <w:left w:val="nil"/>
            </w:tcBorders>
          </w:tcPr>
          <w:p w14:paraId="693AA920" w14:textId="77777777" w:rsidR="001627FA" w:rsidRDefault="001627FA" w:rsidP="001627FA">
            <w:pPr>
              <w:pStyle w:val="Tabletext1"/>
              <w:ind w:left="0"/>
            </w:pPr>
          </w:p>
        </w:tc>
      </w:tr>
      <w:tr w:rsidR="008E268F" w14:paraId="7E32FBA5" w14:textId="77777777" w:rsidTr="00866F2C">
        <w:tc>
          <w:tcPr>
            <w:tcW w:w="1754" w:type="dxa"/>
          </w:tcPr>
          <w:p w14:paraId="1857152D" w14:textId="4D177ACE" w:rsidR="008E268F" w:rsidRDefault="00C75EE8" w:rsidP="00D726F6">
            <w:pPr>
              <w:pStyle w:val="Tabletext1"/>
              <w:ind w:left="0"/>
            </w:pPr>
            <w:r>
              <w:t xml:space="preserve">Hughes </w:t>
            </w:r>
            <w:r w:rsidR="00B727D6">
              <w:fldChar w:fldCharType="begin">
                <w:fldData xml:space="preserve">PEVuZE5vdGU+PENpdGUgRXhjbHVkZUF1dGg9IjEiPjxBdXRob3I+SHVnaGVzPC9BdXRob3I+PFll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</w:fldData>
              </w:fldChar>
            </w:r>
            <w:r w:rsidR="00B727D6">
              <w:instrText xml:space="preserve"> ADDIN EN.CITE </w:instrText>
            </w:r>
            <w:r w:rsidR="00B727D6">
              <w:fldChar w:fldCharType="begin">
                <w:fldData xml:space="preserve">PEVuZE5vdGU+PENpdGUgRXhjbHVkZUF1dGg9IjEiPjxBdXRob3I+SHVnaGVzPC9BdXRob3I+PFll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</w:fldData>
              </w:fldChar>
            </w:r>
            <w:r w:rsidR="00B727D6">
              <w:instrText xml:space="preserve"> ADDIN EN.CITE.DATA </w:instrText>
            </w:r>
            <w:r w:rsidR="00B727D6">
              <w:fldChar w:fldCharType="end"/>
            </w:r>
            <w:r w:rsidR="00B727D6">
              <w:fldChar w:fldCharType="separate"/>
            </w:r>
            <w:r w:rsidR="00B727D6">
              <w:rPr>
                <w:noProof/>
              </w:rPr>
              <w:t>(</w:t>
            </w:r>
            <w:hyperlink w:anchor="_ENREF_28" w:tooltip="Hughes, 2008 #1205" w:history="1">
              <w:r w:rsidR="00D726F6">
                <w:rPr>
                  <w:noProof/>
                </w:rPr>
                <w:t>2008</w:t>
              </w:r>
            </w:hyperlink>
            <w:r w:rsidR="00B727D6">
              <w:rPr>
                <w:noProof/>
              </w:rPr>
              <w:t>)</w:t>
            </w:r>
            <w:r w:rsidR="00B727D6">
              <w:fldChar w:fldCharType="end"/>
            </w:r>
          </w:p>
        </w:tc>
        <w:tc>
          <w:tcPr>
            <w:tcW w:w="2228" w:type="dxa"/>
          </w:tcPr>
          <w:p w14:paraId="5FD41392" w14:textId="77777777" w:rsidR="008E268F" w:rsidRDefault="008E268F" w:rsidP="00B6422A">
            <w:pPr>
              <w:pStyle w:val="Tabletext1"/>
              <w:ind w:left="0"/>
            </w:pPr>
            <w:r>
              <w:t>56%</w:t>
            </w:r>
            <w:r w:rsidR="00BD3004">
              <w:t xml:space="preserve"> of the patients who received IVIg and were re-randomised to placebo after 24 weeks, stayed in remission after 48 weeks.</w:t>
            </w:r>
            <w:r w:rsidR="00B6422A" w:rsidRPr="00B6422A">
              <w:rPr>
                <w:vertAlign w:val="superscript"/>
              </w:rPr>
              <w:t>1</w:t>
            </w:r>
            <w:r w:rsidR="00BD3004">
              <w:t xml:space="preserve"> </w:t>
            </w:r>
          </w:p>
        </w:tc>
        <w:tc>
          <w:tcPr>
            <w:tcW w:w="1639" w:type="dxa"/>
          </w:tcPr>
          <w:p w14:paraId="65FFB907" w14:textId="77777777" w:rsidR="008E268F" w:rsidRDefault="007B01A2" w:rsidP="008356BB">
            <w:pPr>
              <w:pStyle w:val="Tabletext1"/>
              <w:ind w:left="0"/>
              <w:jc w:val="center"/>
            </w:pPr>
            <w:r>
              <w:t>0.0612</w:t>
            </w:r>
          </w:p>
        </w:tc>
        <w:tc>
          <w:tcPr>
            <w:tcW w:w="2198" w:type="dxa"/>
          </w:tcPr>
          <w:p w14:paraId="1E6A3E73" w14:textId="77777777" w:rsidR="008E268F" w:rsidRDefault="007B01A2" w:rsidP="005E53F0">
            <w:pPr>
              <w:pStyle w:val="Tabletext1"/>
              <w:ind w:left="0"/>
            </w:pPr>
            <w:r>
              <w:t>35%</w:t>
            </w:r>
            <w:r w:rsidR="005E53F0">
              <w:t xml:space="preserve"> of the patients who received IVIg and were re-randomised to placebo after 24 weeks, relapsed before the end of the study period.</w:t>
            </w:r>
            <w:r w:rsidR="00B6422A" w:rsidRPr="00B6422A">
              <w:rPr>
                <w:vertAlign w:val="superscript"/>
              </w:rPr>
              <w:t>1</w:t>
            </w:r>
          </w:p>
        </w:tc>
        <w:tc>
          <w:tcPr>
            <w:tcW w:w="1197" w:type="dxa"/>
          </w:tcPr>
          <w:p w14:paraId="6CEA93BF" w14:textId="77777777" w:rsidR="008E268F" w:rsidRDefault="007B01A2" w:rsidP="000A7537">
            <w:pPr>
              <w:pStyle w:val="Tabletext1"/>
              <w:ind w:left="0"/>
              <w:jc w:val="center"/>
            </w:pPr>
            <w:r>
              <w:t>0.0326</w:t>
            </w:r>
          </w:p>
        </w:tc>
      </w:tr>
      <w:tr w:rsidR="006A698A" w14:paraId="3CC82824" w14:textId="77777777" w:rsidTr="00866F2C">
        <w:tc>
          <w:tcPr>
            <w:tcW w:w="1754" w:type="dxa"/>
          </w:tcPr>
          <w:p w14:paraId="7BD0D34F" w14:textId="18CF1F6F" w:rsidR="006A698A" w:rsidRDefault="003A263B" w:rsidP="00D726F6">
            <w:pPr>
              <w:pStyle w:val="Tabletext1"/>
              <w:ind w:left="0"/>
            </w:pPr>
            <w:r>
              <w:t xml:space="preserve">Nobile-Orazio </w: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Nobile-Orazio et al. 2012</w:t>
              </w:r>
            </w:hyperlink>
            <w:r w:rsidR="00B727D6">
              <w:rPr>
                <w:noProof/>
              </w:rPr>
              <w:t>)</w:t>
            </w:r>
            <w:r w:rsidR="00B727D6">
              <w:fldChar w:fldCharType="end"/>
            </w:r>
            <w:r>
              <w:t xml:space="preserve"> (IMC trial)</w:t>
            </w:r>
          </w:p>
        </w:tc>
        <w:tc>
          <w:tcPr>
            <w:tcW w:w="2228" w:type="dxa"/>
          </w:tcPr>
          <w:p w14:paraId="154772AA" w14:textId="445316B4" w:rsidR="006A698A" w:rsidRDefault="006A698A" w:rsidP="001977C9">
            <w:pPr>
              <w:pStyle w:val="Tabletext1"/>
              <w:ind w:left="0"/>
            </w:pPr>
            <w:r>
              <w:t>All patients in remission after 24 weeks of the treatment.</w:t>
            </w:r>
          </w:p>
        </w:tc>
        <w:tc>
          <w:tcPr>
            <w:tcW w:w="1639" w:type="dxa"/>
          </w:tcPr>
          <w:p w14:paraId="7106AC10" w14:textId="2109F2A7" w:rsidR="006A698A" w:rsidRDefault="006A698A" w:rsidP="001977C9">
            <w:pPr>
              <w:pStyle w:val="Tabletext1"/>
              <w:ind w:left="0"/>
              <w:jc w:val="center"/>
            </w:pPr>
            <w:r>
              <w:t>NC</w:t>
            </w:r>
          </w:p>
        </w:tc>
        <w:tc>
          <w:tcPr>
            <w:tcW w:w="2198" w:type="dxa"/>
          </w:tcPr>
          <w:p w14:paraId="2803C685" w14:textId="2A42F567" w:rsidR="006A698A" w:rsidRDefault="006A698A" w:rsidP="001977C9">
            <w:pPr>
              <w:pStyle w:val="Tabletext1"/>
              <w:ind w:left="0"/>
            </w:pPr>
            <w:r>
              <w:t>38% of the responders who were off treatment had a relapse over trial follow-up of 24 weeks.</w:t>
            </w:r>
          </w:p>
        </w:tc>
        <w:tc>
          <w:tcPr>
            <w:tcW w:w="1197" w:type="dxa"/>
          </w:tcPr>
          <w:p w14:paraId="33E39497" w14:textId="2171FA80" w:rsidR="006A698A" w:rsidRDefault="006A698A" w:rsidP="001977C9">
            <w:pPr>
              <w:pStyle w:val="Tabletext1"/>
              <w:ind w:left="0"/>
              <w:jc w:val="center"/>
            </w:pPr>
            <w:r>
              <w:t>0.0768</w:t>
            </w:r>
          </w:p>
        </w:tc>
      </w:tr>
      <w:tr w:rsidR="001627FA" w14:paraId="51CDE0B7" w14:textId="77777777" w:rsidTr="00866F2C">
        <w:tc>
          <w:tcPr>
            <w:tcW w:w="1754" w:type="dxa"/>
          </w:tcPr>
          <w:p w14:paraId="04ECF37D" w14:textId="5CF59CB2" w:rsidR="001627FA" w:rsidRDefault="008E268F" w:rsidP="00D726F6">
            <w:pPr>
              <w:pStyle w:val="Tabletext1"/>
              <w:ind w:left="0"/>
            </w:pPr>
            <w:r>
              <w:t xml:space="preserve">Nobile-Orazio </w: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 </w:instrTex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2015</w:t>
              </w:r>
            </w:hyperlink>
            <w:r w:rsidR="00B727D6">
              <w:rPr>
                <w:noProof/>
              </w:rPr>
              <w:t>)</w:t>
            </w:r>
            <w:r w:rsidR="00B727D6">
              <w:fldChar w:fldCharType="end"/>
            </w:r>
            <w:r w:rsidR="003A263B">
              <w:t xml:space="preserve"> (IMC extension study)</w:t>
            </w:r>
          </w:p>
        </w:tc>
        <w:tc>
          <w:tcPr>
            <w:tcW w:w="2228" w:type="dxa"/>
          </w:tcPr>
          <w:p w14:paraId="1145B058" w14:textId="77777777" w:rsidR="001627FA" w:rsidRDefault="008E268F" w:rsidP="00AD0A44">
            <w:pPr>
              <w:pStyle w:val="Tabletext1"/>
              <w:ind w:left="0"/>
            </w:pPr>
            <w:r>
              <w:t xml:space="preserve">All </w:t>
            </w:r>
            <w:r w:rsidR="00AD0A44">
              <w:t>responder</w:t>
            </w:r>
            <w:r>
              <w:t>s in remission after 24 weeks of treatment. 14% of the patients stayed in remission after 3.5 years</w:t>
            </w:r>
          </w:p>
        </w:tc>
        <w:tc>
          <w:tcPr>
            <w:tcW w:w="1639" w:type="dxa"/>
          </w:tcPr>
          <w:p w14:paraId="398AE0B5" w14:textId="77777777" w:rsidR="001627FA" w:rsidRDefault="008E268F" w:rsidP="008356BB">
            <w:pPr>
              <w:pStyle w:val="Tabletext1"/>
              <w:ind w:left="0"/>
              <w:jc w:val="center"/>
            </w:pPr>
            <w:r>
              <w:t>NC</w:t>
            </w:r>
          </w:p>
        </w:tc>
        <w:tc>
          <w:tcPr>
            <w:tcW w:w="2198" w:type="dxa"/>
          </w:tcPr>
          <w:p w14:paraId="1FDB5733" w14:textId="77777777" w:rsidR="001627FA" w:rsidRDefault="008E268F" w:rsidP="00AD0A44">
            <w:pPr>
              <w:pStyle w:val="Tabletext1"/>
              <w:ind w:left="0"/>
            </w:pPr>
            <w:r>
              <w:t xml:space="preserve">86% </w:t>
            </w:r>
            <w:r w:rsidR="00585A1F">
              <w:t xml:space="preserve">of the </w:t>
            </w:r>
            <w:r w:rsidR="00AD0A44">
              <w:t>responders</w:t>
            </w:r>
            <w:r w:rsidR="00585A1F">
              <w:t xml:space="preserve"> relapsed </w:t>
            </w:r>
            <w:r>
              <w:t>over median follow-up of 42 months</w:t>
            </w:r>
          </w:p>
        </w:tc>
        <w:tc>
          <w:tcPr>
            <w:tcW w:w="1197" w:type="dxa"/>
          </w:tcPr>
          <w:p w14:paraId="3CACF208" w14:textId="77777777" w:rsidR="001627FA" w:rsidRDefault="008E268F" w:rsidP="000A7537">
            <w:pPr>
              <w:pStyle w:val="Tabletext1"/>
              <w:ind w:left="0"/>
              <w:jc w:val="center"/>
            </w:pPr>
            <w:r>
              <w:t>0.0419</w:t>
            </w:r>
          </w:p>
        </w:tc>
      </w:tr>
      <w:tr w:rsidR="001627FA" w14:paraId="0CD1A37E" w14:textId="77777777" w:rsidTr="00866F2C">
        <w:tc>
          <w:tcPr>
            <w:tcW w:w="1754" w:type="dxa"/>
          </w:tcPr>
          <w:p w14:paraId="6232B514" w14:textId="55893B6B" w:rsidR="001627FA" w:rsidRDefault="008E268F" w:rsidP="00D726F6">
            <w:pPr>
              <w:pStyle w:val="Tabletext1"/>
              <w:ind w:left="0"/>
            </w:pPr>
            <w:r>
              <w:t xml:space="preserve">Querol </w:t>
            </w:r>
            <w:r w:rsidR="00B727D6">
              <w:fldChar w:fldCharType="begin">
                <w:fldData xml:space="preserve">PEVuZE5vdGU+PENpdGUgRXhjbHVkZUF1dGg9IjEiPjxBdXRob3I+UXVlcm9sPC9BdXRob3I+PFll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</w:fldData>
              </w:fldChar>
            </w:r>
            <w:r w:rsidR="00B727D6">
              <w:instrText xml:space="preserve"> ADDIN EN.CITE </w:instrText>
            </w:r>
            <w:r w:rsidR="00B727D6">
              <w:fldChar w:fldCharType="begin">
                <w:fldData xml:space="preserve">PEVuZE5vdGU+PENpdGUgRXhjbHVkZUF1dGg9IjEiPjxBdXRob3I+UXVlcm9sPC9BdXRob3I+PFll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58" w:tooltip="Querol, 2013 #145" w:history="1">
              <w:r w:rsidR="00D726F6">
                <w:rPr>
                  <w:noProof/>
                </w:rPr>
                <w:t>2013</w:t>
              </w:r>
            </w:hyperlink>
            <w:r w:rsidR="00B727D6">
              <w:rPr>
                <w:noProof/>
              </w:rPr>
              <w:t>)</w:t>
            </w:r>
            <w:r w:rsidR="00B727D6">
              <w:fldChar w:fldCharType="end"/>
            </w:r>
          </w:p>
        </w:tc>
        <w:tc>
          <w:tcPr>
            <w:tcW w:w="2228" w:type="dxa"/>
          </w:tcPr>
          <w:p w14:paraId="4E59AFFC" w14:textId="77777777" w:rsidR="001627FA" w:rsidRDefault="008E268F" w:rsidP="001627FA">
            <w:pPr>
              <w:pStyle w:val="Tabletext1"/>
              <w:ind w:left="0"/>
            </w:pPr>
            <w:r>
              <w:t>25.6% in remission after 48 weeks</w:t>
            </w:r>
          </w:p>
        </w:tc>
        <w:tc>
          <w:tcPr>
            <w:tcW w:w="1639" w:type="dxa"/>
          </w:tcPr>
          <w:p w14:paraId="61C129B7" w14:textId="77777777" w:rsidR="001627FA" w:rsidRDefault="008E268F" w:rsidP="008356BB">
            <w:pPr>
              <w:pStyle w:val="Tabletext1"/>
              <w:ind w:left="0"/>
              <w:jc w:val="center"/>
            </w:pPr>
            <w:r>
              <w:t>0.0243</w:t>
            </w:r>
          </w:p>
        </w:tc>
        <w:tc>
          <w:tcPr>
            <w:tcW w:w="2198" w:type="dxa"/>
          </w:tcPr>
          <w:p w14:paraId="4A6A4325" w14:textId="77777777" w:rsidR="001627FA" w:rsidRDefault="008356BB" w:rsidP="001627FA">
            <w:pPr>
              <w:pStyle w:val="Tabletext1"/>
              <w:ind w:left="0"/>
            </w:pPr>
            <w:r>
              <w:t>NR</w:t>
            </w:r>
          </w:p>
        </w:tc>
        <w:tc>
          <w:tcPr>
            <w:tcW w:w="1197" w:type="dxa"/>
          </w:tcPr>
          <w:p w14:paraId="699ED155" w14:textId="77777777" w:rsidR="001627FA" w:rsidRDefault="008356BB" w:rsidP="000A7537">
            <w:pPr>
              <w:pStyle w:val="Tabletext1"/>
              <w:ind w:left="0"/>
              <w:jc w:val="center"/>
            </w:pPr>
            <w:r>
              <w:t>NC</w:t>
            </w:r>
          </w:p>
        </w:tc>
      </w:tr>
      <w:tr w:rsidR="001627FA" w14:paraId="104786A7" w14:textId="77777777" w:rsidTr="00866F2C">
        <w:tc>
          <w:tcPr>
            <w:tcW w:w="1754" w:type="dxa"/>
          </w:tcPr>
          <w:p w14:paraId="6179C4AE" w14:textId="0CB96126" w:rsidR="001627FA" w:rsidRDefault="008E268F" w:rsidP="00D726F6">
            <w:pPr>
              <w:pStyle w:val="Tabletext1"/>
              <w:ind w:left="0"/>
            </w:pPr>
            <w:r>
              <w:t xml:space="preserve">Rajabally </w:t>
            </w:r>
            <w:r w:rsidR="00B727D6">
              <w:fldChar w:fldCharType="begin">
                <w:fldData xml:space="preserve">PEVuZE5vdGU+PENpdGUgRXhjbHVkZUF1dGg9IjEiPjxBdXRob3I+UmFqYWJhbGx5PC9BdXRob3I+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</w:fldData>
              </w:fldChar>
            </w:r>
            <w:r w:rsidR="00B727D6">
              <w:instrText xml:space="preserve"> ADDIN EN.CITE </w:instrText>
            </w:r>
            <w:r w:rsidR="00B727D6">
              <w:fldChar w:fldCharType="begin">
                <w:fldData xml:space="preserve">PEVuZE5vdGU+PENpdGUgRXhjbHVkZUF1dGg9IjEiPjxBdXRob3I+UmFqYWJhbGx5PC9BdXRob3I+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9" w:tooltip="Rajabally, 2019 #13" w:history="1">
              <w:r w:rsidR="00D726F6">
                <w:rPr>
                  <w:noProof/>
                </w:rPr>
                <w:t>2019</w:t>
              </w:r>
            </w:hyperlink>
            <w:r w:rsidR="00B727D6">
              <w:rPr>
                <w:noProof/>
              </w:rPr>
              <w:t>)</w:t>
            </w:r>
            <w:r w:rsidR="00B727D6">
              <w:fldChar w:fldCharType="end"/>
            </w:r>
          </w:p>
        </w:tc>
        <w:tc>
          <w:tcPr>
            <w:tcW w:w="2228" w:type="dxa"/>
          </w:tcPr>
          <w:p w14:paraId="177B31FD" w14:textId="77777777" w:rsidR="001627FA" w:rsidRDefault="008E268F" w:rsidP="001627FA">
            <w:pPr>
              <w:pStyle w:val="Tabletext1"/>
              <w:ind w:left="0"/>
            </w:pPr>
            <w:r>
              <w:t>25.6% in remission after 4 years</w:t>
            </w:r>
          </w:p>
        </w:tc>
        <w:tc>
          <w:tcPr>
            <w:tcW w:w="1639" w:type="dxa"/>
          </w:tcPr>
          <w:p w14:paraId="6C39642A" w14:textId="77777777" w:rsidR="001627FA" w:rsidRDefault="008356BB" w:rsidP="008356BB">
            <w:pPr>
              <w:pStyle w:val="Tabletext1"/>
              <w:ind w:left="0"/>
              <w:jc w:val="center"/>
            </w:pPr>
            <w:r>
              <w:t>0.0057</w:t>
            </w:r>
          </w:p>
        </w:tc>
        <w:tc>
          <w:tcPr>
            <w:tcW w:w="2198" w:type="dxa"/>
          </w:tcPr>
          <w:p w14:paraId="70C4945E" w14:textId="77777777" w:rsidR="001627FA" w:rsidRDefault="006C5B59" w:rsidP="001627FA">
            <w:pPr>
              <w:pStyle w:val="Tabletext1"/>
              <w:ind w:left="0"/>
            </w:pPr>
            <w:r>
              <w:t>NR</w:t>
            </w:r>
          </w:p>
        </w:tc>
        <w:tc>
          <w:tcPr>
            <w:tcW w:w="1197" w:type="dxa"/>
          </w:tcPr>
          <w:p w14:paraId="407CD6C1" w14:textId="77777777" w:rsidR="001627FA" w:rsidRDefault="006C5B59" w:rsidP="000A7537">
            <w:pPr>
              <w:pStyle w:val="Tabletext1"/>
              <w:ind w:left="0"/>
              <w:jc w:val="center"/>
            </w:pPr>
            <w:r>
              <w:t>NC</w:t>
            </w:r>
          </w:p>
        </w:tc>
      </w:tr>
      <w:tr w:rsidR="006C5B59" w14:paraId="2AB430C9" w14:textId="77777777" w:rsidTr="00866F2C">
        <w:tc>
          <w:tcPr>
            <w:tcW w:w="1754" w:type="dxa"/>
          </w:tcPr>
          <w:p w14:paraId="230574A9" w14:textId="3ED0AA26" w:rsidR="006C5B59" w:rsidRDefault="006C5B59" w:rsidP="00D726F6">
            <w:pPr>
              <w:pStyle w:val="Tabletext1"/>
              <w:ind w:left="0"/>
            </w:pPr>
            <w:r>
              <w:t xml:space="preserve">Kuitward </w:t>
            </w:r>
            <w:r w:rsidR="00B727D6">
              <w:fldChar w:fldCharType="begin">
                <w:fldData xml:space="preserve">PEVuZE5vdGU+PENpdGUgRXhjbHVkZUF1dGg9IjEiPjxBdXRob3I+S3VpdHdhYXJkPC9BdXRob3I+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==
</w:fldData>
              </w:fldChar>
            </w:r>
            <w:r w:rsidR="00B727D6">
              <w:instrText xml:space="preserve"> ADDIN EN.CITE </w:instrText>
            </w:r>
            <w:r w:rsidR="00B727D6">
              <w:fldChar w:fldCharType="begin">
                <w:fldData xml:space="preserve">PEVuZE5vdGU+PENpdGUgRXhjbHVkZUF1dGg9IjEiPjxBdXRob3I+S3VpdHdhYXJkPC9BdXRob3I+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==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34" w:tooltip="Kuitwaard, 2015 #264" w:history="1">
              <w:r w:rsidR="00D726F6">
                <w:rPr>
                  <w:noProof/>
                </w:rPr>
                <w:t>2015</w:t>
              </w:r>
            </w:hyperlink>
            <w:r w:rsidR="00B727D6">
              <w:rPr>
                <w:noProof/>
              </w:rPr>
              <w:t>)</w:t>
            </w:r>
            <w:r w:rsidR="00B727D6">
              <w:fldChar w:fldCharType="end"/>
            </w:r>
          </w:p>
        </w:tc>
        <w:tc>
          <w:tcPr>
            <w:tcW w:w="2228" w:type="dxa"/>
          </w:tcPr>
          <w:p w14:paraId="23592F85" w14:textId="77777777" w:rsidR="006C5B59" w:rsidRDefault="006C5B59" w:rsidP="006C5B59">
            <w:pPr>
              <w:pStyle w:val="Tabletext1"/>
              <w:ind w:left="0"/>
            </w:pPr>
            <w:r>
              <w:t xml:space="preserve">40% in remission after </w:t>
            </w:r>
            <w:r w:rsidR="00A200BD">
              <w:t xml:space="preserve">median follow-up of </w:t>
            </w:r>
            <w:r>
              <w:t>3.8 years</w:t>
            </w:r>
          </w:p>
        </w:tc>
        <w:tc>
          <w:tcPr>
            <w:tcW w:w="1639" w:type="dxa"/>
          </w:tcPr>
          <w:p w14:paraId="2F80B6AB" w14:textId="77777777" w:rsidR="006C5B59" w:rsidRDefault="006C5B59" w:rsidP="006C5B59">
            <w:pPr>
              <w:pStyle w:val="Tabletext1"/>
              <w:ind w:left="0"/>
              <w:jc w:val="center"/>
            </w:pPr>
            <w:r>
              <w:t>0.0103</w:t>
            </w:r>
          </w:p>
        </w:tc>
        <w:tc>
          <w:tcPr>
            <w:tcW w:w="2198" w:type="dxa"/>
          </w:tcPr>
          <w:p w14:paraId="77EC7E2F" w14:textId="77777777" w:rsidR="006C5B59" w:rsidRDefault="006C5B59" w:rsidP="006C5B59">
            <w:pPr>
              <w:pStyle w:val="Tabletext1"/>
              <w:ind w:left="0"/>
            </w:pPr>
            <w:r>
              <w:t>NR</w:t>
            </w:r>
          </w:p>
        </w:tc>
        <w:tc>
          <w:tcPr>
            <w:tcW w:w="1197" w:type="dxa"/>
          </w:tcPr>
          <w:p w14:paraId="46B1B687" w14:textId="77777777" w:rsidR="006C5B59" w:rsidRDefault="006C5B59" w:rsidP="000A7537">
            <w:pPr>
              <w:pStyle w:val="Tabletext1"/>
              <w:ind w:left="0"/>
              <w:jc w:val="center"/>
            </w:pPr>
            <w:r>
              <w:t>NC</w:t>
            </w:r>
          </w:p>
        </w:tc>
      </w:tr>
      <w:tr w:rsidR="006C5B59" w14:paraId="51E89BFE" w14:textId="77777777" w:rsidTr="00866F2C">
        <w:tc>
          <w:tcPr>
            <w:tcW w:w="1754" w:type="dxa"/>
            <w:shd w:val="clear" w:color="auto" w:fill="E7E6E6" w:themeFill="background2"/>
          </w:tcPr>
          <w:p w14:paraId="5DC05D65" w14:textId="77777777" w:rsidR="006C5B59" w:rsidRDefault="00F823B2" w:rsidP="006C5B59">
            <w:pPr>
              <w:pStyle w:val="Tabletext1"/>
              <w:ind w:left="0"/>
            </w:pPr>
            <w:r>
              <w:t>BloodStar data (</w:t>
            </w:r>
            <w:r w:rsidR="00C75EE8">
              <w:t>post-</w:t>
            </w:r>
            <w:r>
              <w:t>first review)</w:t>
            </w:r>
          </w:p>
        </w:tc>
        <w:tc>
          <w:tcPr>
            <w:tcW w:w="2228" w:type="dxa"/>
            <w:shd w:val="clear" w:color="auto" w:fill="FFFFFF" w:themeFill="background1"/>
          </w:tcPr>
          <w:p w14:paraId="37CBC562" w14:textId="77777777" w:rsidR="006C5B59" w:rsidRDefault="00085BC7" w:rsidP="003613A1">
            <w:pPr>
              <w:pStyle w:val="Tabletext1"/>
              <w:ind w:left="0"/>
            </w:pPr>
            <w:r>
              <w:t xml:space="preserve">17% over 20 </w:t>
            </w:r>
            <w:r w:rsidR="003613A1">
              <w:t> weeks</w:t>
            </w:r>
          </w:p>
        </w:tc>
        <w:tc>
          <w:tcPr>
            <w:tcW w:w="1639" w:type="dxa"/>
            <w:shd w:val="clear" w:color="auto" w:fill="E7E6E6" w:themeFill="background2"/>
          </w:tcPr>
          <w:p w14:paraId="1F600457" w14:textId="77777777" w:rsidR="006C5B59" w:rsidRDefault="003613A1" w:rsidP="000A7537">
            <w:pPr>
              <w:pStyle w:val="Tabletext1"/>
              <w:ind w:left="0"/>
              <w:jc w:val="center"/>
            </w:pPr>
            <w:r>
              <w:t>0.0366</w:t>
            </w:r>
          </w:p>
        </w:tc>
        <w:tc>
          <w:tcPr>
            <w:tcW w:w="2198" w:type="dxa"/>
            <w:shd w:val="clear" w:color="auto" w:fill="FFFFFF" w:themeFill="background1"/>
          </w:tcPr>
          <w:p w14:paraId="419338E0" w14:textId="77777777" w:rsidR="006C5B59" w:rsidRDefault="003613A1" w:rsidP="006C5B59">
            <w:pPr>
              <w:pStyle w:val="Tabletext1"/>
              <w:ind w:left="0"/>
            </w:pPr>
            <w:r>
              <w:t>4 patients relapsed after 16 months</w:t>
            </w:r>
          </w:p>
        </w:tc>
        <w:tc>
          <w:tcPr>
            <w:tcW w:w="1197" w:type="dxa"/>
            <w:shd w:val="clear" w:color="auto" w:fill="E7E6E6" w:themeFill="background2"/>
          </w:tcPr>
          <w:p w14:paraId="47F9B6DA" w14:textId="77777777" w:rsidR="006C5B59" w:rsidRDefault="00C75EE8" w:rsidP="000A7537">
            <w:pPr>
              <w:pStyle w:val="Tabletext1"/>
              <w:ind w:left="0"/>
              <w:jc w:val="center"/>
            </w:pPr>
            <w:r>
              <w:t>0.0150</w:t>
            </w:r>
          </w:p>
        </w:tc>
      </w:tr>
      <w:tr w:rsidR="00C8482D" w14:paraId="5E10B59B" w14:textId="77777777" w:rsidTr="00866F2C">
        <w:tc>
          <w:tcPr>
            <w:tcW w:w="1754" w:type="dxa"/>
            <w:tcBorders>
              <w:bottom w:val="single" w:sz="4" w:space="0" w:color="auto"/>
            </w:tcBorders>
            <w:shd w:val="clear" w:color="auto" w:fill="E7E6E6" w:themeFill="background2"/>
          </w:tcPr>
          <w:p w14:paraId="63B52E19" w14:textId="77777777" w:rsidR="00C8482D" w:rsidRDefault="00C75EE8" w:rsidP="00C75EE8">
            <w:pPr>
              <w:pStyle w:val="Tabletext1"/>
              <w:ind w:left="0"/>
            </w:pPr>
            <w:r>
              <w:t>BloodStar data (post-second review)</w:t>
            </w:r>
          </w:p>
        </w:tc>
        <w:tc>
          <w:tcPr>
            <w:tcW w:w="2228" w:type="dxa"/>
            <w:tcBorders>
              <w:bottom w:val="single" w:sz="4" w:space="0" w:color="auto"/>
            </w:tcBorders>
            <w:shd w:val="clear" w:color="auto" w:fill="FFFFFF" w:themeFill="background1"/>
          </w:tcPr>
          <w:p w14:paraId="38B65238" w14:textId="77777777" w:rsidR="00C8482D" w:rsidRDefault="00C75EE8" w:rsidP="00C8482D">
            <w:pPr>
              <w:pStyle w:val="Tabletext1"/>
              <w:ind w:left="0"/>
            </w:pPr>
            <w:r>
              <w:t>50.5% of patients reached remission at least once over 12 months</w:t>
            </w:r>
          </w:p>
        </w:tc>
        <w:tc>
          <w:tcPr>
            <w:tcW w:w="1639" w:type="dxa"/>
            <w:tcBorders>
              <w:bottom w:val="single" w:sz="4" w:space="0" w:color="auto"/>
            </w:tcBorders>
            <w:shd w:val="clear" w:color="auto" w:fill="E7E6E6" w:themeFill="background2"/>
          </w:tcPr>
          <w:p w14:paraId="457CFFB7" w14:textId="77777777" w:rsidR="00C8482D" w:rsidRDefault="00C75EE8" w:rsidP="000A7537">
            <w:pPr>
              <w:pStyle w:val="Tabletext1"/>
              <w:ind w:left="0"/>
              <w:jc w:val="center"/>
            </w:pPr>
            <w:r>
              <w:t>0.0527</w:t>
            </w:r>
          </w:p>
        </w:tc>
        <w:tc>
          <w:tcPr>
            <w:tcW w:w="2198" w:type="dxa"/>
            <w:tcBorders>
              <w:bottom w:val="single" w:sz="4" w:space="0" w:color="auto"/>
            </w:tcBorders>
            <w:shd w:val="clear" w:color="auto" w:fill="FFFFFF" w:themeFill="background1"/>
          </w:tcPr>
          <w:p w14:paraId="676AF35C" w14:textId="77777777" w:rsidR="00C8482D" w:rsidRDefault="00C75EE8" w:rsidP="00C8482D">
            <w:pPr>
              <w:pStyle w:val="Tabletext1"/>
              <w:ind w:left="0"/>
            </w:pPr>
            <w:r>
              <w:t>48.9% patients relapsed at least once over 12 months</w:t>
            </w:r>
          </w:p>
        </w:tc>
        <w:tc>
          <w:tcPr>
            <w:tcW w:w="1197" w:type="dxa"/>
            <w:tcBorders>
              <w:bottom w:val="single" w:sz="4" w:space="0" w:color="auto"/>
            </w:tcBorders>
            <w:shd w:val="clear" w:color="auto" w:fill="E7E6E6" w:themeFill="background2"/>
          </w:tcPr>
          <w:p w14:paraId="0D06EF22" w14:textId="77777777" w:rsidR="00C8482D" w:rsidRDefault="00C75EE8" w:rsidP="000A7537">
            <w:pPr>
              <w:pStyle w:val="Tabletext1"/>
              <w:ind w:left="0"/>
              <w:jc w:val="center"/>
            </w:pPr>
            <w:r>
              <w:t>0.0380</w:t>
            </w:r>
          </w:p>
        </w:tc>
      </w:tr>
      <w:tr w:rsidR="000D22DB" w14:paraId="7949D9C5" w14:textId="77777777" w:rsidTr="00866F2C">
        <w:tc>
          <w:tcPr>
            <w:tcW w:w="1754" w:type="dxa"/>
            <w:tcBorders>
              <w:right w:val="nil"/>
            </w:tcBorders>
          </w:tcPr>
          <w:p w14:paraId="4213D55F" w14:textId="77777777" w:rsidR="000D22DB" w:rsidRPr="00C75EE8" w:rsidRDefault="00C75EE8" w:rsidP="000D22DB">
            <w:pPr>
              <w:pStyle w:val="Tabletext1"/>
              <w:ind w:left="0"/>
              <w:rPr>
                <w:b/>
              </w:rPr>
            </w:pPr>
            <w:r w:rsidRPr="00C75EE8">
              <w:rPr>
                <w:b/>
              </w:rPr>
              <w:t>Corticosteroids</w:t>
            </w:r>
          </w:p>
        </w:tc>
        <w:tc>
          <w:tcPr>
            <w:tcW w:w="2228" w:type="dxa"/>
            <w:tcBorders>
              <w:left w:val="nil"/>
              <w:right w:val="nil"/>
            </w:tcBorders>
          </w:tcPr>
          <w:p w14:paraId="0DED8418" w14:textId="77777777" w:rsidR="000D22DB" w:rsidRDefault="000D22DB" w:rsidP="000D22DB">
            <w:pPr>
              <w:pStyle w:val="Tabletext1"/>
              <w:ind w:left="0"/>
            </w:pPr>
          </w:p>
        </w:tc>
        <w:tc>
          <w:tcPr>
            <w:tcW w:w="1639" w:type="dxa"/>
            <w:tcBorders>
              <w:left w:val="nil"/>
              <w:right w:val="nil"/>
            </w:tcBorders>
          </w:tcPr>
          <w:p w14:paraId="6BF13361" w14:textId="77777777" w:rsidR="000D22DB" w:rsidRDefault="000D22DB" w:rsidP="000D22DB">
            <w:pPr>
              <w:pStyle w:val="Tabletext1"/>
              <w:ind w:left="0"/>
            </w:pPr>
          </w:p>
        </w:tc>
        <w:tc>
          <w:tcPr>
            <w:tcW w:w="2198" w:type="dxa"/>
            <w:tcBorders>
              <w:left w:val="nil"/>
              <w:right w:val="nil"/>
            </w:tcBorders>
          </w:tcPr>
          <w:p w14:paraId="1F4D05F4" w14:textId="77777777" w:rsidR="000D22DB" w:rsidRDefault="000D22DB" w:rsidP="000D22DB">
            <w:pPr>
              <w:pStyle w:val="Tabletext1"/>
              <w:ind w:left="0"/>
            </w:pPr>
          </w:p>
        </w:tc>
        <w:tc>
          <w:tcPr>
            <w:tcW w:w="1197" w:type="dxa"/>
            <w:tcBorders>
              <w:left w:val="nil"/>
            </w:tcBorders>
          </w:tcPr>
          <w:p w14:paraId="68EA22E7" w14:textId="77777777" w:rsidR="000D22DB" w:rsidRDefault="000D22DB" w:rsidP="000D22DB">
            <w:pPr>
              <w:pStyle w:val="Tabletext1"/>
              <w:ind w:left="0"/>
            </w:pPr>
          </w:p>
        </w:tc>
      </w:tr>
      <w:tr w:rsidR="000D22DB" w14:paraId="088D4C17" w14:textId="77777777" w:rsidTr="00866F2C">
        <w:tc>
          <w:tcPr>
            <w:tcW w:w="1754" w:type="dxa"/>
            <w:shd w:val="clear" w:color="auto" w:fill="D9D9D9" w:themeFill="background1" w:themeFillShade="D9"/>
          </w:tcPr>
          <w:p w14:paraId="21346350" w14:textId="661C483F" w:rsidR="000D22DB" w:rsidRDefault="00C75EE8" w:rsidP="00D726F6">
            <w:pPr>
              <w:pStyle w:val="Tabletext1"/>
              <w:ind w:left="0"/>
            </w:pPr>
            <w:r>
              <w:t xml:space="preserve">Nobile-Orazio </w: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 </w:instrTex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2015</w:t>
              </w:r>
            </w:hyperlink>
            <w:r w:rsidR="00B727D6">
              <w:rPr>
                <w:noProof/>
              </w:rPr>
              <w:t>)</w:t>
            </w:r>
            <w:r w:rsidR="00B727D6">
              <w:fldChar w:fldCharType="end"/>
            </w:r>
          </w:p>
        </w:tc>
        <w:tc>
          <w:tcPr>
            <w:tcW w:w="2228" w:type="dxa"/>
          </w:tcPr>
          <w:p w14:paraId="71D2BA91" w14:textId="77777777" w:rsidR="000D22DB" w:rsidRDefault="00585A1F" w:rsidP="000D22DB">
            <w:pPr>
              <w:pStyle w:val="Tabletext1"/>
              <w:ind w:left="0"/>
            </w:pPr>
            <w:r>
              <w:t>All patients in remission after 24 weeks of treatment. 23% of the patients stayed in remission after 3.5 years</w:t>
            </w:r>
          </w:p>
        </w:tc>
        <w:tc>
          <w:tcPr>
            <w:tcW w:w="1639" w:type="dxa"/>
          </w:tcPr>
          <w:p w14:paraId="3C4C49F5" w14:textId="77777777" w:rsidR="000D22DB" w:rsidRDefault="00585A1F" w:rsidP="006A5B36">
            <w:pPr>
              <w:pStyle w:val="Tabletext1"/>
              <w:ind w:left="0"/>
              <w:jc w:val="center"/>
            </w:pPr>
            <w:r>
              <w:t>NC</w:t>
            </w:r>
          </w:p>
        </w:tc>
        <w:tc>
          <w:tcPr>
            <w:tcW w:w="2198" w:type="dxa"/>
          </w:tcPr>
          <w:p w14:paraId="55BE0A74" w14:textId="77777777" w:rsidR="000D22DB" w:rsidRDefault="00585A1F" w:rsidP="00585A1F">
            <w:pPr>
              <w:pStyle w:val="Tabletext1"/>
              <w:ind w:left="0"/>
            </w:pPr>
            <w:r>
              <w:t>77% of the patients relapsed over median follow-up of 43 months</w:t>
            </w:r>
          </w:p>
        </w:tc>
        <w:tc>
          <w:tcPr>
            <w:tcW w:w="1197" w:type="dxa"/>
            <w:shd w:val="clear" w:color="auto" w:fill="E7E6E6" w:themeFill="background2"/>
          </w:tcPr>
          <w:p w14:paraId="76A3E4CC" w14:textId="77777777" w:rsidR="000D22DB" w:rsidRDefault="00585A1F" w:rsidP="006A5B36">
            <w:pPr>
              <w:pStyle w:val="Tabletext1"/>
              <w:ind w:left="0"/>
              <w:jc w:val="center"/>
            </w:pPr>
            <w:r>
              <w:t>0.0310</w:t>
            </w:r>
          </w:p>
        </w:tc>
      </w:tr>
      <w:tr w:rsidR="00A200BD" w14:paraId="4E6052A5" w14:textId="77777777" w:rsidTr="00866F2C">
        <w:tc>
          <w:tcPr>
            <w:tcW w:w="1754" w:type="dxa"/>
            <w:tcBorders>
              <w:bottom w:val="single" w:sz="4" w:space="0" w:color="auto"/>
            </w:tcBorders>
            <w:shd w:val="clear" w:color="auto" w:fill="D9D9D9" w:themeFill="background1" w:themeFillShade="D9"/>
          </w:tcPr>
          <w:p w14:paraId="2FACCA13" w14:textId="660C8DEC" w:rsidR="00A200BD" w:rsidRDefault="00A200BD" w:rsidP="00D726F6">
            <w:pPr>
              <w:pStyle w:val="Tabletext1"/>
              <w:ind w:left="0"/>
            </w:pPr>
            <w:r>
              <w:t xml:space="preserve">Van Schaik </w:t>
            </w:r>
            <w:r w:rsidR="00B727D6">
              <w:fldChar w:fldCharType="begin">
                <w:fldData xml:space="preserve">PEVuZE5vdGU+PENpdGUgRXhjbHVkZUF1dGg9IjEiPjxBdXRob3I+dmFuIFNjaGFpazwvQXV0aG9y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</w:fldData>
              </w:fldChar>
            </w:r>
            <w:r w:rsidR="00B727D6">
              <w:instrText xml:space="preserve"> ADDIN EN.CITE </w:instrText>
            </w:r>
            <w:r w:rsidR="00B727D6">
              <w:fldChar w:fldCharType="begin">
                <w:fldData xml:space="preserve">PEVuZE5vdGU+PENpdGUgRXhjbHVkZUF1dGg9IjEiPjxBdXRob3I+dmFuIFNjaGFpazwvQXV0aG9y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5" w:tooltip="van Schaik, 2010 #57" w:history="1">
              <w:r w:rsidR="00D726F6">
                <w:rPr>
                  <w:noProof/>
                </w:rPr>
                <w:t>2010</w:t>
              </w:r>
            </w:hyperlink>
            <w:r w:rsidR="00B727D6">
              <w:rPr>
                <w:noProof/>
              </w:rPr>
              <w:t>)</w:t>
            </w:r>
            <w:r w:rsidR="00B727D6">
              <w:fldChar w:fldCharType="end"/>
            </w:r>
          </w:p>
        </w:tc>
        <w:tc>
          <w:tcPr>
            <w:tcW w:w="2228" w:type="dxa"/>
            <w:tcBorders>
              <w:bottom w:val="single" w:sz="4" w:space="0" w:color="auto"/>
            </w:tcBorders>
          </w:tcPr>
          <w:p w14:paraId="12D10BD4" w14:textId="77777777" w:rsidR="00A200BD" w:rsidRDefault="00A200BD" w:rsidP="000D22DB">
            <w:pPr>
              <w:pStyle w:val="Tabletext1"/>
              <w:ind w:left="0"/>
            </w:pPr>
            <w:r>
              <w:t>40% in remission after 52 weeks follow-up</w:t>
            </w:r>
          </w:p>
        </w:tc>
        <w:tc>
          <w:tcPr>
            <w:tcW w:w="1639" w:type="dxa"/>
            <w:tcBorders>
              <w:bottom w:val="single" w:sz="4" w:space="0" w:color="auto"/>
            </w:tcBorders>
            <w:shd w:val="clear" w:color="auto" w:fill="E7E6E6" w:themeFill="background2"/>
          </w:tcPr>
          <w:p w14:paraId="78BF7E15" w14:textId="77777777" w:rsidR="00A200BD" w:rsidRDefault="00A200BD" w:rsidP="006A5B36">
            <w:pPr>
              <w:pStyle w:val="Tabletext1"/>
              <w:ind w:left="0"/>
              <w:jc w:val="center"/>
            </w:pPr>
            <w:r>
              <w:t>0.0385</w:t>
            </w:r>
          </w:p>
        </w:tc>
        <w:tc>
          <w:tcPr>
            <w:tcW w:w="2198" w:type="dxa"/>
            <w:tcBorders>
              <w:bottom w:val="single" w:sz="4" w:space="0" w:color="auto"/>
            </w:tcBorders>
          </w:tcPr>
          <w:p w14:paraId="6554E310" w14:textId="77777777" w:rsidR="00A200BD" w:rsidRDefault="00A200BD" w:rsidP="000D22DB">
            <w:pPr>
              <w:pStyle w:val="Tabletext1"/>
              <w:ind w:left="0"/>
            </w:pPr>
            <w:r>
              <w:t>NR</w:t>
            </w:r>
          </w:p>
        </w:tc>
        <w:tc>
          <w:tcPr>
            <w:tcW w:w="1197" w:type="dxa"/>
            <w:tcBorders>
              <w:bottom w:val="single" w:sz="4" w:space="0" w:color="auto"/>
            </w:tcBorders>
          </w:tcPr>
          <w:p w14:paraId="0497CB56" w14:textId="77777777" w:rsidR="00A200BD" w:rsidRDefault="00A200BD" w:rsidP="006A5B36">
            <w:pPr>
              <w:pStyle w:val="Tabletext1"/>
              <w:ind w:left="0"/>
              <w:jc w:val="center"/>
            </w:pPr>
            <w:r>
              <w:t>NC</w:t>
            </w:r>
          </w:p>
        </w:tc>
      </w:tr>
      <w:tr w:rsidR="000D22DB" w14:paraId="0B2620E3" w14:textId="77777777" w:rsidTr="00866F2C">
        <w:tc>
          <w:tcPr>
            <w:tcW w:w="1754" w:type="dxa"/>
          </w:tcPr>
          <w:p w14:paraId="604F6AD1" w14:textId="0AAD8C4D" w:rsidR="000D22DB" w:rsidRDefault="00C75EE8" w:rsidP="00D726F6">
            <w:pPr>
              <w:pStyle w:val="Tabletext1"/>
              <w:ind w:left="0"/>
            </w:pPr>
            <w:r>
              <w:t xml:space="preserve">Eftimov </w:t>
            </w:r>
            <w:r w:rsidR="00B727D6">
              <w:fldChar w:fldCharType="begin"/>
            </w:r>
            <w:r w:rsidR="00B727D6">
              <w:instrText xml:space="preserve"> ADDIN EN.CITE &lt;EndNote&gt;&lt;Cite ExcludeAuth="1"&gt;&lt;Author&gt;Eftimov&lt;/Author&gt;&lt;Year&gt;2012&lt;/Year&gt;&lt;RecNum&gt;698&lt;/RecNum&gt;&lt;DisplayText&gt;(2012)&lt;/DisplayText&gt;&lt;record&gt;&lt;rec-number&gt;698&lt;/rec-number&gt;&lt;foreign-keys&gt;&lt;key app="EN" db-id="xtr5xfx2xf0wd7e0s2qvst2ietxxf0tpzr9v" timestamp="1602225912"&gt;698&lt;/key&gt;&lt;/foreign-keys&gt;&lt;ref-type name="Journal Article"&gt;17&lt;/ref-type&gt;&lt;contributors&gt;&lt;authors&gt;&lt;author&gt;Eftimov, F.&lt;/author&gt;&lt;author&gt;Vermeulen, M.&lt;/author&gt;&lt;author&gt;van Doorn, P. A.&lt;/author&gt;&lt;author&gt;Brusse, E.&lt;/author&gt;&lt;author&gt;van Schaik, I. N.&lt;/author&gt;&lt;/authors&gt;&lt;/contributors&gt;&lt;auth-address&gt;Department of Neurology, Academic Medical Center, Amsterdam, the Netherlands. f.eftimov@amc.uva.nl&lt;/auth-address&gt;&lt;titles&gt;&lt;title&gt;Long-term remission of CIDP after pulsed dexamethasone or short-term prednisolone treatment&lt;/title&gt;&lt;secondary-title&gt;Neurology&lt;/secondary-title&gt;&lt;/titles&gt;&lt;periodical&gt;&lt;full-title&gt;Neurology&lt;/full-title&gt;&lt;/periodical&gt;&lt;pages&gt;1079-84&lt;/pages&gt;&lt;volume&gt;78&lt;/volume&gt;&lt;number&gt;14&lt;/number&gt;&lt;edition&gt;2012/03/24&lt;/edition&gt;&lt;keywords&gt;&lt;keyword&gt;Anti-Inflammatory Agents/ administration &amp;amp; dosage&lt;/keyword&gt;&lt;keyword&gt;Cohort Studies&lt;/keyword&gt;&lt;keyword&gt;Dexamethasone/ administration &amp;amp; dosage&lt;/keyword&gt;&lt;keyword&gt;Follow-Up Studies&lt;/keyword&gt;&lt;keyword&gt;Humans&lt;/keyword&gt;&lt;keyword&gt;Polyradiculoneuropathy, Chronic Inflammatory Demyelinating/ drug therapy/ pathology&lt;/keyword&gt;&lt;keyword&gt;Prednisolone/ administration &amp;amp; dosage&lt;/keyword&gt;&lt;keyword&gt;Prospective Studies&lt;/keyword&gt;&lt;keyword&gt;Pulse Therapy, Drug&lt;/keyword&gt;&lt;keyword&gt;Remission Induction&lt;/keyword&gt;&lt;keyword&gt;Time Factors&lt;/keyword&gt;&lt;keyword&gt;Treatment Outcome&lt;/keyword&gt;&lt;/keywords&gt;&lt;dates&gt;&lt;year&gt;2012&lt;/year&gt;&lt;pub-dates&gt;&lt;date&gt;Apr 3&lt;/date&gt;&lt;/pub-dates&gt;&lt;/dates&gt;&lt;isbn&gt;1526-632X (Electronic)&amp;#xD;0028-3878 (Linking)&lt;/isbn&gt;&lt;accession-num&gt;22442436&lt;/accession-num&gt;&lt;urls&gt;&lt;related-urls&gt;&lt;url&gt;https://n.neurology.org/content/78/14/1079.long&lt;/url&gt;&lt;/related-urls&gt;&lt;/urls&gt;&lt;electronic-resource-num&gt;10.1212/WNL.0b013e31824e8f84&lt;/electronic-resource-num&gt;&lt;remote-database-provider&gt;NLM&lt;/remote-database-provider&gt;&lt;language&gt;eng&lt;/language&gt;&lt;/record&gt;&lt;/Cite&gt;&lt;/EndNote&gt;</w:instrText>
            </w:r>
            <w:r w:rsidR="00B727D6">
              <w:fldChar w:fldCharType="separate"/>
            </w:r>
            <w:r w:rsidR="00B727D6">
              <w:rPr>
                <w:noProof/>
              </w:rPr>
              <w:t>(</w:t>
            </w:r>
            <w:hyperlink w:anchor="_ENREF_18" w:tooltip="Eftimov, 2012 #698" w:history="1">
              <w:r w:rsidR="00D726F6">
                <w:rPr>
                  <w:noProof/>
                </w:rPr>
                <w:t>2012</w:t>
              </w:r>
            </w:hyperlink>
            <w:r w:rsidR="00B727D6">
              <w:rPr>
                <w:noProof/>
              </w:rPr>
              <w:t>)</w:t>
            </w:r>
            <w:r w:rsidR="00B727D6">
              <w:fldChar w:fldCharType="end"/>
            </w:r>
          </w:p>
        </w:tc>
        <w:tc>
          <w:tcPr>
            <w:tcW w:w="2228" w:type="dxa"/>
          </w:tcPr>
          <w:p w14:paraId="61C1BCD3" w14:textId="77777777" w:rsidR="000D22DB" w:rsidRDefault="002872C9" w:rsidP="000D22DB">
            <w:pPr>
              <w:pStyle w:val="Tabletext1"/>
              <w:ind w:left="0"/>
            </w:pPr>
            <w:r>
              <w:t>62.5% stayed in remission after 4.5 years</w:t>
            </w:r>
          </w:p>
        </w:tc>
        <w:tc>
          <w:tcPr>
            <w:tcW w:w="1639" w:type="dxa"/>
          </w:tcPr>
          <w:p w14:paraId="6075CFE1" w14:textId="77777777" w:rsidR="000D22DB" w:rsidRDefault="00785436" w:rsidP="006A5B36">
            <w:pPr>
              <w:pStyle w:val="Tabletext1"/>
              <w:ind w:left="0"/>
              <w:jc w:val="center"/>
            </w:pPr>
            <w:r>
              <w:t>NC</w:t>
            </w:r>
          </w:p>
        </w:tc>
        <w:tc>
          <w:tcPr>
            <w:tcW w:w="2198" w:type="dxa"/>
          </w:tcPr>
          <w:p w14:paraId="22B4D3CA" w14:textId="77777777" w:rsidR="000D22DB" w:rsidRDefault="002872C9" w:rsidP="000D22DB">
            <w:pPr>
              <w:pStyle w:val="Tabletext1"/>
              <w:ind w:left="0"/>
            </w:pPr>
            <w:r>
              <w:t>50% of the patients relapsed over 13 months</w:t>
            </w:r>
          </w:p>
        </w:tc>
        <w:tc>
          <w:tcPr>
            <w:tcW w:w="1197" w:type="dxa"/>
          </w:tcPr>
          <w:p w14:paraId="0E2DB930" w14:textId="77777777" w:rsidR="000D22DB" w:rsidRDefault="002872C9" w:rsidP="006A5B36">
            <w:pPr>
              <w:pStyle w:val="Tabletext1"/>
              <w:ind w:left="0"/>
              <w:jc w:val="center"/>
            </w:pPr>
            <w:r>
              <w:t>0.0480</w:t>
            </w:r>
          </w:p>
        </w:tc>
      </w:tr>
      <w:tr w:rsidR="000D22DB" w14:paraId="5CB57E76" w14:textId="77777777" w:rsidTr="00866F2C">
        <w:tc>
          <w:tcPr>
            <w:tcW w:w="1754" w:type="dxa"/>
          </w:tcPr>
          <w:p w14:paraId="50C84BA7" w14:textId="3EEC1939" w:rsidR="000D22DB" w:rsidRDefault="00C75EE8" w:rsidP="00D726F6">
            <w:pPr>
              <w:pStyle w:val="Tabletext1"/>
              <w:ind w:left="0"/>
            </w:pPr>
            <w:r>
              <w:t xml:space="preserve">Van Lieverloo </w:t>
            </w:r>
            <w:r w:rsidR="00B727D6">
              <w:fldChar w:fldCharType="begin">
                <w:fldData xml:space="preserve">PEVuZE5vdGU+PENpdGUgRXhjbHVkZUF1dGg9IjEiPjxBdXRob3I+dmFuIExpZXZlcmxvbzwvQXV0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</w:fldData>
              </w:fldChar>
            </w:r>
            <w:r w:rsidR="00B727D6">
              <w:instrText xml:space="preserve"> ADDIN EN.CITE </w:instrText>
            </w:r>
            <w:r w:rsidR="00B727D6">
              <w:fldChar w:fldCharType="begin">
                <w:fldData xml:space="preserve">PEVuZE5vdGU+PENpdGUgRXhjbHVkZUF1dGg9IjEiPjxBdXRob3I+dmFuIExpZXZlcmxvbzwvQXV0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</w:fldData>
              </w:fldChar>
            </w:r>
            <w:r w:rsidR="00B727D6">
              <w:instrText xml:space="preserve"> ADDIN EN.CITE.DATA </w:instrText>
            </w:r>
            <w:r w:rsidR="00B727D6">
              <w:fldChar w:fldCharType="end"/>
            </w:r>
            <w:r w:rsidR="00B727D6">
              <w:fldChar w:fldCharType="separate"/>
            </w:r>
            <w:r w:rsidR="00B727D6">
              <w:rPr>
                <w:noProof/>
              </w:rPr>
              <w:t>(</w:t>
            </w:r>
            <w:hyperlink w:anchor="_ENREF_73" w:tooltip="van Lieverloo, 2018 #13" w:history="1">
              <w:r w:rsidR="00D726F6">
                <w:rPr>
                  <w:noProof/>
                </w:rPr>
                <w:t>2018</w:t>
              </w:r>
            </w:hyperlink>
            <w:r w:rsidR="00B727D6">
              <w:rPr>
                <w:noProof/>
              </w:rPr>
              <w:t>)</w:t>
            </w:r>
            <w:r w:rsidR="00B727D6">
              <w:fldChar w:fldCharType="end"/>
            </w:r>
          </w:p>
        </w:tc>
        <w:tc>
          <w:tcPr>
            <w:tcW w:w="2228" w:type="dxa"/>
          </w:tcPr>
          <w:p w14:paraId="2F0B1F6F" w14:textId="77777777" w:rsidR="000D22DB" w:rsidRDefault="002872C9" w:rsidP="000D22DB">
            <w:pPr>
              <w:pStyle w:val="Tabletext1"/>
              <w:ind w:left="0"/>
            </w:pPr>
            <w:r>
              <w:t>61% of the patients stayed in remission after 4.5 years</w:t>
            </w:r>
          </w:p>
        </w:tc>
        <w:tc>
          <w:tcPr>
            <w:tcW w:w="1639" w:type="dxa"/>
          </w:tcPr>
          <w:p w14:paraId="58C1B007" w14:textId="77777777" w:rsidR="000D22DB" w:rsidRDefault="002872C9" w:rsidP="006A5B36">
            <w:pPr>
              <w:pStyle w:val="Tabletext1"/>
              <w:ind w:left="0"/>
              <w:jc w:val="center"/>
            </w:pPr>
            <w:r>
              <w:t>NC</w:t>
            </w:r>
          </w:p>
        </w:tc>
        <w:tc>
          <w:tcPr>
            <w:tcW w:w="2198" w:type="dxa"/>
          </w:tcPr>
          <w:p w14:paraId="198ADA0E" w14:textId="77777777" w:rsidR="000D22DB" w:rsidRDefault="002872C9" w:rsidP="000D22DB">
            <w:pPr>
              <w:pStyle w:val="Tabletext1"/>
              <w:ind w:left="0"/>
            </w:pPr>
            <w:r>
              <w:t>39% of patients relapsed over 4.5 years (69% of these within 6 months)</w:t>
            </w:r>
          </w:p>
        </w:tc>
        <w:tc>
          <w:tcPr>
            <w:tcW w:w="1197" w:type="dxa"/>
          </w:tcPr>
          <w:p w14:paraId="7EDC18EF" w14:textId="77777777" w:rsidR="000D22DB" w:rsidRDefault="002872C9" w:rsidP="006A5B36">
            <w:pPr>
              <w:pStyle w:val="Tabletext1"/>
              <w:ind w:left="0"/>
              <w:jc w:val="center"/>
            </w:pPr>
            <w:r>
              <w:t>0.0493</w:t>
            </w:r>
          </w:p>
        </w:tc>
      </w:tr>
    </w:tbl>
    <w:p w14:paraId="28E92EDD" w14:textId="77777777" w:rsidR="00B6422A" w:rsidRDefault="00036BD9" w:rsidP="00036BD9">
      <w:pPr>
        <w:pStyle w:val="Tablenote"/>
      </w:pPr>
      <w:r w:rsidRPr="00036BD9">
        <w:rPr>
          <w:vertAlign w:val="superscript"/>
        </w:rPr>
        <w:t>1</w:t>
      </w:r>
      <w:r w:rsidRPr="00036BD9">
        <w:t>.</w:t>
      </w:r>
      <w:r>
        <w:t xml:space="preserve"> </w:t>
      </w:r>
      <w:r w:rsidR="00B6422A" w:rsidRPr="00B6422A">
        <w:t>Probabilities were calculated over 48 weeks study period as all patients started in remission in second phase.</w:t>
      </w:r>
    </w:p>
    <w:p w14:paraId="14B7B026" w14:textId="029082D7" w:rsidR="00036BD9" w:rsidRDefault="00036BD9" w:rsidP="00036BD9">
      <w:pPr>
        <w:pStyle w:val="Tablenote"/>
        <w:rPr>
          <w:i/>
        </w:rPr>
      </w:pPr>
      <w:r w:rsidRPr="001977C9">
        <w:rPr>
          <w:i/>
          <w:shd w:val="clear" w:color="auto" w:fill="D9D9D9" w:themeFill="background1" w:themeFillShade="D9"/>
        </w:rPr>
        <w:t>Shaded cells</w:t>
      </w:r>
      <w:r w:rsidRPr="00036BD9">
        <w:rPr>
          <w:i/>
        </w:rPr>
        <w:t xml:space="preserve"> represent estimates from BloodStar data </w:t>
      </w:r>
      <w:r w:rsidR="00B727D6">
        <w:rPr>
          <w:i/>
        </w:rPr>
        <w:fldChar w:fldCharType="begin"/>
      </w:r>
      <w:r w:rsidR="00B727D6">
        <w:rPr>
          <w:i/>
        </w:rPr>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rPr>
          <w:i/>
        </w:rPr>
        <w:fldChar w:fldCharType="separate"/>
      </w:r>
      <w:r w:rsidR="00B727D6">
        <w:rPr>
          <w:i/>
          <w:noProof/>
        </w:rPr>
        <w:t>(</w:t>
      </w:r>
      <w:hyperlink w:anchor="_ENREF_14" w:tooltip="Department of Health, 2021 #1953" w:history="1">
        <w:r w:rsidR="00D726F6">
          <w:rPr>
            <w:i/>
            <w:noProof/>
          </w:rPr>
          <w:t>Department of Health 2021c</w:t>
        </w:r>
      </w:hyperlink>
      <w:r w:rsidR="00B727D6">
        <w:rPr>
          <w:i/>
          <w:noProof/>
        </w:rPr>
        <w:t>)</w:t>
      </w:r>
      <w:r w:rsidR="00B727D6">
        <w:rPr>
          <w:i/>
        </w:rPr>
        <w:fldChar w:fldCharType="end"/>
      </w:r>
      <w:r w:rsidR="00670401">
        <w:rPr>
          <w:i/>
        </w:rPr>
        <w:t xml:space="preserve"> and </w:t>
      </w:r>
      <w:r w:rsidR="008319CE">
        <w:rPr>
          <w:i/>
        </w:rPr>
        <w:t xml:space="preserve">clinical </w:t>
      </w:r>
      <w:r w:rsidR="00670401">
        <w:rPr>
          <w:i/>
        </w:rPr>
        <w:t xml:space="preserve">study values </w:t>
      </w:r>
      <w:r w:rsidR="008319CE">
        <w:rPr>
          <w:i/>
        </w:rPr>
        <w:t xml:space="preserve">that are </w:t>
      </w:r>
      <w:r w:rsidR="00670401">
        <w:rPr>
          <w:i/>
        </w:rPr>
        <w:t>used in the base case economic models</w:t>
      </w:r>
    </w:p>
    <w:p w14:paraId="0F485713" w14:textId="25C662A3" w:rsidR="001977C9" w:rsidRPr="001977C9" w:rsidRDefault="001977C9" w:rsidP="001977C9">
      <w:pPr>
        <w:pStyle w:val="Tablenote"/>
      </w:pPr>
      <w:r w:rsidRPr="001977C9">
        <w:t xml:space="preserve">Source: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t xml:space="preserve">; </w:t>
      </w:r>
      <w:r>
        <w:fldChar w:fldCharType="begin"/>
      </w:r>
      <w:r>
        <w:instrText xml:space="preserve"> REF _Ref65758329 \h </w:instrText>
      </w:r>
      <w:r>
        <w:fldChar w:fldCharType="separate"/>
      </w:r>
      <w:r w:rsidR="004B3EA2">
        <w:t xml:space="preserve">Table </w:t>
      </w:r>
      <w:r w:rsidR="004B3EA2">
        <w:rPr>
          <w:noProof/>
        </w:rPr>
        <w:t>79</w:t>
      </w:r>
      <w:r>
        <w:fldChar w:fldCharType="end"/>
      </w:r>
    </w:p>
    <w:p w14:paraId="65ED6FCE" w14:textId="6BB928EB" w:rsidR="00837294" w:rsidRDefault="00036BD9" w:rsidP="000D22DB">
      <w:pPr>
        <w:pStyle w:val="Tablenote"/>
      </w:pPr>
      <w:r>
        <w:t xml:space="preserve">IVIg = intravenous immunoglobulin; </w:t>
      </w:r>
      <w:r w:rsidR="000D22DB">
        <w:t>NR = not reported; NC = not calculable due to lack of data;</w:t>
      </w:r>
      <w:r w:rsidR="00A200BD">
        <w:t xml:space="preserve"> PE = Plasma exchange</w:t>
      </w:r>
      <w:r w:rsidR="008C6D90">
        <w:t>.</w:t>
      </w:r>
    </w:p>
    <w:p w14:paraId="0EF2C159" w14:textId="46C2E0AE" w:rsidR="008319CE" w:rsidRDefault="005B409A" w:rsidP="00036BD9">
      <w:pPr>
        <w:pStyle w:val="BodyTextSTD"/>
      </w:pPr>
      <w:r>
        <w:t>For IVIg, T</w:t>
      </w:r>
      <w:r w:rsidR="008319CE">
        <w:t xml:space="preserve">he cyclic </w:t>
      </w:r>
      <w:r w:rsidR="008319CE" w:rsidRPr="001977C9">
        <w:rPr>
          <w:b/>
        </w:rPr>
        <w:t>r</w:t>
      </w:r>
      <w:r w:rsidR="00036BD9" w:rsidRPr="001977C9">
        <w:rPr>
          <w:b/>
        </w:rPr>
        <w:t xml:space="preserve">emission </w:t>
      </w:r>
      <w:r w:rsidR="00036BD9" w:rsidRPr="008319CE">
        <w:t>probabilit</w:t>
      </w:r>
      <w:r w:rsidR="008319CE" w:rsidRPr="00866F2C">
        <w:t>ies</w:t>
      </w:r>
      <w:r w:rsidR="00036BD9" w:rsidRPr="008319CE">
        <w:t xml:space="preserve"> </w:t>
      </w:r>
      <w:r w:rsidR="005765B7">
        <w:t xml:space="preserve">for </w:t>
      </w:r>
      <w:r w:rsidR="008319CE">
        <w:t xml:space="preserve">the </w:t>
      </w:r>
      <w:r w:rsidR="005765B7">
        <w:t>induction and maintenance phase</w:t>
      </w:r>
      <w:r w:rsidR="008319CE">
        <w:t>s</w:t>
      </w:r>
      <w:r w:rsidR="005765B7">
        <w:t xml:space="preserve"> using BloodStar data</w:t>
      </w:r>
      <w:r w:rsidR="00E70CE8">
        <w:t xml:space="preserve">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rsidR="005765B7">
        <w:t xml:space="preserve"> are estimated to be 0.0366 and 0.0527</w:t>
      </w:r>
      <w:r w:rsidR="008319CE">
        <w:t>, respectively,</w:t>
      </w:r>
      <w:r w:rsidR="005765B7">
        <w:t xml:space="preserve"> which are within the range estimated from observational data (0.0057–0.0612). Trial based probabilities will be </w:t>
      </w:r>
      <w:r w:rsidR="008319CE">
        <w:t xml:space="preserve">presented </w:t>
      </w:r>
      <w:r w:rsidR="005765B7">
        <w:t>in Step 1 of the economic evaluation and the</w:t>
      </w:r>
      <w:r w:rsidR="008319CE">
        <w:t>n replaced by the</w:t>
      </w:r>
      <w:r w:rsidR="005765B7">
        <w:t xml:space="preserve"> probabilities estimated from BloodStar data in Step 2</w:t>
      </w:r>
      <w:r w:rsidR="00023EF8">
        <w:t xml:space="preserve"> and 3</w:t>
      </w:r>
      <w:r w:rsidR="005765B7">
        <w:t xml:space="preserve">. Other values will be assessed in sensitivity analysis. </w:t>
      </w:r>
    </w:p>
    <w:p w14:paraId="60E70F0C" w14:textId="0DDAFFDD" w:rsidR="00A200BD" w:rsidRDefault="008319CE" w:rsidP="00036BD9">
      <w:pPr>
        <w:pStyle w:val="BodyTextSTD"/>
      </w:pPr>
      <w:r>
        <w:t xml:space="preserve">The cyclic </w:t>
      </w:r>
      <w:r w:rsidRPr="00866F2C">
        <w:rPr>
          <w:b/>
        </w:rPr>
        <w:t>r</w:t>
      </w:r>
      <w:r w:rsidR="005765B7" w:rsidRPr="00866F2C">
        <w:rPr>
          <w:b/>
        </w:rPr>
        <w:t>elapse</w:t>
      </w:r>
      <w:r w:rsidR="005765B7">
        <w:t xml:space="preserve"> probability estimate</w:t>
      </w:r>
      <w:r>
        <w:t>s</w:t>
      </w:r>
      <w:r w:rsidR="005765B7">
        <w:t xml:space="preserve"> from </w:t>
      </w:r>
      <w:r>
        <w:t xml:space="preserve">the </w:t>
      </w:r>
      <w:r w:rsidR="005765B7">
        <w:t xml:space="preserve">two trials </w:t>
      </w:r>
      <w:r>
        <w:t xml:space="preserve">are </w:t>
      </w:r>
      <w:r w:rsidR="005765B7">
        <w:t>0.0419</w:t>
      </w:r>
      <w:r w:rsidR="00E70CE8">
        <w:t xml:space="preserve"> </w: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 </w:instrTex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Nobile-Orazio et al. 2015</w:t>
        </w:r>
      </w:hyperlink>
      <w:r w:rsidR="00B727D6">
        <w:rPr>
          <w:noProof/>
        </w:rPr>
        <w:t>)</w:t>
      </w:r>
      <w:r w:rsidR="00B727D6">
        <w:fldChar w:fldCharType="end"/>
      </w:r>
      <w:r w:rsidR="005765B7">
        <w:t xml:space="preserve"> and 0.0326</w:t>
      </w:r>
      <w:r w:rsidR="00E70CE8">
        <w:t xml:space="preserve"> </w:t>
      </w:r>
      <w:r w:rsidR="00B727D6">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28" w:tooltip="Hughes, 2008 #1205" w:history="1">
        <w:r w:rsidR="00D726F6">
          <w:rPr>
            <w:noProof/>
          </w:rPr>
          <w:t>Hughes et al. 2008</w:t>
        </w:r>
      </w:hyperlink>
      <w:r w:rsidR="00B727D6">
        <w:rPr>
          <w:noProof/>
        </w:rPr>
        <w:t>)</w:t>
      </w:r>
      <w:r w:rsidR="00B727D6">
        <w:fldChar w:fldCharType="end"/>
      </w:r>
      <w:r w:rsidR="005765B7">
        <w:t>. Relapse</w:t>
      </w:r>
      <w:r w:rsidR="00E70CE8">
        <w:t xml:space="preserve"> probabilities</w:t>
      </w:r>
      <w:r w:rsidR="005765B7">
        <w:t xml:space="preserve"> estimated from BloodStar</w:t>
      </w:r>
      <w:r w:rsidR="00E70CE8">
        <w:t xml:space="preserve"> data</w:t>
      </w:r>
      <w:r w:rsidR="005765B7">
        <w:t xml:space="preserve"> </w:t>
      </w:r>
      <w:r w:rsidR="00E70CE8">
        <w:t>are</w:t>
      </w:r>
      <w:r w:rsidR="005765B7">
        <w:t xml:space="preserve"> similar to these values (0.0150</w:t>
      </w:r>
      <w:r w:rsidR="00E70CE8">
        <w:t xml:space="preserve"> and 0.0380 from first and second clinical review). </w:t>
      </w:r>
      <w:r>
        <w:t>The r</w:t>
      </w:r>
      <w:r w:rsidR="00E70CE8">
        <w:t xml:space="preserve">elapse probability (0.0419) estimated from </w:t>
      </w:r>
      <w:r>
        <w:t xml:space="preserve">the </w:t>
      </w:r>
      <w:r w:rsidR="00E70CE8">
        <w:t xml:space="preserve">key comparative trial </w: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 </w:instrTex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Nobile-Orazio et al. 2015</w:t>
        </w:r>
      </w:hyperlink>
      <w:r w:rsidR="00B727D6">
        <w:rPr>
          <w:noProof/>
        </w:rPr>
        <w:t>)</w:t>
      </w:r>
      <w:r w:rsidR="00B727D6">
        <w:fldChar w:fldCharType="end"/>
      </w:r>
      <w:r w:rsidR="00E70CE8">
        <w:t xml:space="preserve"> is used in the Step 1 of the analysis</w:t>
      </w:r>
      <w:r>
        <w:t xml:space="preserve"> (trial-based inputs)</w:t>
      </w:r>
      <w:r w:rsidR="00E70CE8">
        <w:t xml:space="preserve">, and </w:t>
      </w:r>
      <w:r w:rsidR="005911A4">
        <w:t>estimates from BloodStar are applied in Step 2.</w:t>
      </w:r>
    </w:p>
    <w:p w14:paraId="1B3917B4" w14:textId="191194F1" w:rsidR="005911A4" w:rsidRDefault="00785436" w:rsidP="00036BD9">
      <w:pPr>
        <w:pStyle w:val="BodyTextSTD"/>
      </w:pPr>
      <w:r>
        <w:t xml:space="preserve">For steroids, </w:t>
      </w:r>
      <w:r w:rsidR="005B409A">
        <w:t xml:space="preserve">the </w:t>
      </w:r>
      <w:r>
        <w:t>remission probability could only be estimated from one study (</w:t>
      </w:r>
      <w:r w:rsidR="005911A4">
        <w:t>0.0385</w:t>
      </w:r>
      <w:r>
        <w:t xml:space="preserve">) </w:t>
      </w:r>
      <w:r w:rsidR="00B727D6">
        <w:fldChar w:fldCharType="begin">
          <w:fldData xml:space="preserve">PEVuZE5vdGU+PENpdGU+PEF1dGhvcj52YW4gU2NoYWlrPC9BdXRob3I+PFllYXI+MjAxMDwvWWVh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</w:fldData>
        </w:fldChar>
      </w:r>
      <w:r w:rsidR="00B727D6">
        <w:instrText xml:space="preserve"> ADDIN EN.CITE </w:instrText>
      </w:r>
      <w:r w:rsidR="00B727D6">
        <w:fldChar w:fldCharType="begin">
          <w:fldData xml:space="preserve">PEVuZE5vdGU+PENpdGU+PEF1dGhvcj52YW4gU2NoYWlrPC9BdXRob3I+PFllYXI+MjAxMDwvWWVh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75" w:tooltip="van Schaik, 2010 #57" w:history="1">
        <w:r w:rsidR="00D726F6">
          <w:rPr>
            <w:noProof/>
          </w:rPr>
          <w:t>van Schaik, I. N. et al. 2010</w:t>
        </w:r>
      </w:hyperlink>
      <w:r w:rsidR="00B727D6">
        <w:rPr>
          <w:noProof/>
        </w:rPr>
        <w:t>)</w:t>
      </w:r>
      <w:r w:rsidR="00B727D6">
        <w:fldChar w:fldCharType="end"/>
      </w:r>
      <w:r>
        <w:t xml:space="preserve"> and</w:t>
      </w:r>
      <w:r w:rsidR="005911A4">
        <w:t xml:space="preserve"> </w:t>
      </w:r>
      <w:r w:rsidR="005B409A">
        <w:t xml:space="preserve">but </w:t>
      </w:r>
      <w:r w:rsidR="005911A4">
        <w:t xml:space="preserve">relapse </w:t>
      </w:r>
      <w:r w:rsidR="005B409A">
        <w:t xml:space="preserve">rates were estimated </w:t>
      </w:r>
      <w:r w:rsidR="005911A4">
        <w:t>from</w:t>
      </w:r>
      <w:r>
        <w:t xml:space="preserve"> three studies (0.0310–0.0493) </w:t>
      </w:r>
      <w:r w:rsidR="00B727D6">
        <w:fldChar w:fldCharType="begin">
          <w:fldData xml:space="preserve">PEVuZE5vdGU+PENpdGU+PEF1dGhvcj5FZnRpbW92PC9BdXRob3I+PFllYXI+MjAxMjwvWWVhcj48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</w:fldData>
        </w:fldChar>
      </w:r>
      <w:r w:rsidR="00B727D6">
        <w:instrText xml:space="preserve"> ADDIN EN.CITE </w:instrText>
      </w:r>
      <w:r w:rsidR="00B727D6">
        <w:fldChar w:fldCharType="begin">
          <w:fldData xml:space="preserve">PEVuZE5vdGU+PENpdGU+PEF1dGhvcj5FZnRpbW92PC9BdXRob3I+PFllYXI+MjAxMjwvWWVhcj48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18" w:tooltip="Eftimov, 2012 #698" w:history="1">
        <w:r w:rsidR="00D726F6">
          <w:rPr>
            <w:noProof/>
          </w:rPr>
          <w:t>Eftimov et al. 2012</w:t>
        </w:r>
      </w:hyperlink>
      <w:r w:rsidR="00B727D6">
        <w:rPr>
          <w:noProof/>
        </w:rPr>
        <w:t xml:space="preserve">; </w:t>
      </w:r>
      <w:hyperlink w:anchor="_ENREF_55" w:tooltip="Nobile-Orazio, 2015 #1113" w:history="1">
        <w:r w:rsidR="00D726F6">
          <w:rPr>
            <w:noProof/>
          </w:rPr>
          <w:t>Nobile-Orazio et al. 2015</w:t>
        </w:r>
      </w:hyperlink>
      <w:r w:rsidR="00B727D6">
        <w:rPr>
          <w:noProof/>
        </w:rPr>
        <w:t xml:space="preserve">; </w:t>
      </w:r>
      <w:hyperlink w:anchor="_ENREF_73" w:tooltip="van Lieverloo, 2018 #13" w:history="1">
        <w:r w:rsidR="00D726F6">
          <w:rPr>
            <w:noProof/>
          </w:rPr>
          <w:t>van Lieverloo et al. 2018</w:t>
        </w:r>
      </w:hyperlink>
      <w:r w:rsidR="00B727D6">
        <w:rPr>
          <w:noProof/>
        </w:rPr>
        <w:t>)</w:t>
      </w:r>
      <w:r w:rsidR="00B727D6">
        <w:fldChar w:fldCharType="end"/>
      </w:r>
      <w:r>
        <w:t xml:space="preserve">. </w:t>
      </w:r>
      <w:r w:rsidR="005B409A">
        <w:t>The p</w:t>
      </w:r>
      <w:r>
        <w:t>robability for relapse estimated from study by Nobile-Orazio et al (0.0310) is used in the base case.</w:t>
      </w:r>
    </w:p>
    <w:p w14:paraId="784F0DC8" w14:textId="2D919FA3" w:rsidR="005765B7" w:rsidRDefault="00785436" w:rsidP="00036BD9">
      <w:pPr>
        <w:pStyle w:val="BodyTextSTD"/>
      </w:pPr>
      <w:r>
        <w:t xml:space="preserve">In the absence of any data regarding the </w:t>
      </w:r>
      <w:r w:rsidR="00866F2C">
        <w:t xml:space="preserve">remission and </w:t>
      </w:r>
      <w:r>
        <w:t xml:space="preserve">relapses observed with PE treatment, </w:t>
      </w:r>
      <w:r w:rsidR="005B409A">
        <w:t xml:space="preserve">the </w:t>
      </w:r>
      <w:r w:rsidR="00866F2C">
        <w:t xml:space="preserve">remission and </w:t>
      </w:r>
      <w:r>
        <w:t>relapse probabilit</w:t>
      </w:r>
      <w:r w:rsidR="00866F2C">
        <w:t>ies</w:t>
      </w:r>
      <w:r>
        <w:t xml:space="preserve"> estimated for </w:t>
      </w:r>
      <w:r w:rsidR="00023EF8">
        <w:t>Ig</w:t>
      </w:r>
      <w:r>
        <w:t xml:space="preserve"> (</w:t>
      </w:r>
      <w:r w:rsidR="00866F2C">
        <w:t xml:space="preserve">0.0527 and </w:t>
      </w:r>
      <w:r>
        <w:t>0.04</w:t>
      </w:r>
      <w:r w:rsidR="00023EF8">
        <w:t>19</w:t>
      </w:r>
      <w:r w:rsidR="00866F2C">
        <w:t xml:space="preserve"> respectively</w:t>
      </w:r>
      <w:r>
        <w:t xml:space="preserve">) </w:t>
      </w:r>
      <w:r w:rsidR="00866F2C">
        <w:t xml:space="preserve">are </w:t>
      </w:r>
      <w:r>
        <w:t>used</w:t>
      </w:r>
      <w:r w:rsidR="005B409A">
        <w:t>,</w:t>
      </w:r>
      <w:r w:rsidR="00023EF8">
        <w:t xml:space="preserve"> </w:t>
      </w:r>
      <w:r w:rsidR="00E86CE3">
        <w:t>based on an assumption of equivalent therapeutic effect</w:t>
      </w:r>
      <w:r>
        <w:t>.</w:t>
      </w:r>
      <w:r w:rsidR="00C81AD3">
        <w:t xml:space="preserve"> Sensitivity analysis will assess varying these probabilities by ±50%.</w:t>
      </w:r>
    </w:p>
    <w:p w14:paraId="59ACECFB" w14:textId="77777777" w:rsidR="00837294" w:rsidRDefault="00837294" w:rsidP="00837294">
      <w:pPr>
        <w:pStyle w:val="Heading3"/>
      </w:pPr>
      <w:bookmarkStart w:id="250" w:name="_Toc69305579"/>
      <w:r>
        <w:t>C.3.3.</w:t>
      </w:r>
      <w:r>
        <w:tab/>
      </w:r>
      <w:r>
        <w:tab/>
      </w:r>
      <w:r w:rsidR="0066171D">
        <w:t>Long-term s</w:t>
      </w:r>
      <w:r>
        <w:t>afety implications and adverse events</w:t>
      </w:r>
      <w:bookmarkEnd w:id="250"/>
    </w:p>
    <w:p w14:paraId="5A0C3B57" w14:textId="77777777" w:rsidR="00837294" w:rsidRPr="00C71F55" w:rsidRDefault="00837294" w:rsidP="00C71F55">
      <w:pPr>
        <w:pStyle w:val="BodyTextSTD"/>
        <w:rPr>
          <w:b/>
        </w:rPr>
      </w:pPr>
      <w:r w:rsidRPr="00C71F55">
        <w:rPr>
          <w:b/>
        </w:rPr>
        <w:t>What safety implications and adverse events are associated with the intervention and comparator treatments when used for longer durations?</w:t>
      </w:r>
    </w:p>
    <w:p w14:paraId="224D5080" w14:textId="3207EB8F" w:rsidR="00837294" w:rsidRDefault="00837294" w:rsidP="00C71F55">
      <w:pPr>
        <w:pStyle w:val="BodyTextSTD"/>
      </w:pPr>
      <w:r w:rsidRPr="0034385B">
        <w:t>Several retrospective reviews have shown that long-term corticosteroids use, even in low doses, is a significant independent predictor of numerous adverse effects and that the risk is both dose and duration dependen</w:t>
      </w:r>
      <w:r>
        <w:t xml:space="preserve">t </w:t>
      </w:r>
      <w:r w:rsidR="00B727D6">
        <w:fldChar w:fldCharType="begin">
          <w:fldData xml:space="preserve">PEVuZE5vdGU+PENpdGU+PEF1dGhvcj5DdXJ0aXM8L0F1dGhvcj48WWVhcj4yMDA2PC9ZZWFyPjxS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</w:fldData>
        </w:fldChar>
      </w:r>
      <w:r w:rsidR="00B727D6">
        <w:instrText xml:space="preserve"> ADDIN EN.CITE </w:instrText>
      </w:r>
      <w:r w:rsidR="00B727D6">
        <w:fldChar w:fldCharType="begin">
          <w:fldData xml:space="preserve">PEVuZE5vdGU+PENpdGU+PEF1dGhvcj5DdXJ0aXM8L0F1dGhvcj48WWVhcj4yMDA2PC9ZZWFyPjxS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10" w:tooltip="Curtis, 2006 #1892" w:history="1">
        <w:r w:rsidR="00D726F6">
          <w:rPr>
            <w:noProof/>
          </w:rPr>
          <w:t>Curtis et al. 2006</w:t>
        </w:r>
      </w:hyperlink>
      <w:r w:rsidR="00B727D6">
        <w:rPr>
          <w:noProof/>
        </w:rPr>
        <w:t xml:space="preserve">; </w:t>
      </w:r>
      <w:hyperlink w:anchor="_ENREF_29" w:tooltip="Huscher, 2009 #12" w:history="1">
        <w:r w:rsidR="00D726F6">
          <w:rPr>
            <w:noProof/>
          </w:rPr>
          <w:t>Huscher et al. 2009</w:t>
        </w:r>
      </w:hyperlink>
      <w:r w:rsidR="00B727D6">
        <w:rPr>
          <w:noProof/>
        </w:rPr>
        <w:t xml:space="preserve">; </w:t>
      </w:r>
      <w:hyperlink w:anchor="_ENREF_82" w:tooltip="Wilson, 2017 #3" w:history="1">
        <w:r w:rsidR="00D726F6">
          <w:rPr>
            <w:noProof/>
          </w:rPr>
          <w:t>Wilson, J. C. et al. 2017b</w:t>
        </w:r>
      </w:hyperlink>
      <w:r w:rsidR="00B727D6">
        <w:rPr>
          <w:noProof/>
        </w:rPr>
        <w:t>)</w:t>
      </w:r>
      <w:r w:rsidR="00B727D6">
        <w:fldChar w:fldCharType="end"/>
      </w:r>
      <w:r>
        <w:t>. In contrast r</w:t>
      </w:r>
      <w:r w:rsidRPr="00500029">
        <w:t>ates of complications from long-term therapy are</w:t>
      </w:r>
      <w:r>
        <w:t xml:space="preserve"> reportedly</w:t>
      </w:r>
      <w:r w:rsidRPr="00500029">
        <w:t xml:space="preserve"> low</w:t>
      </w:r>
      <w:r>
        <w:t>er</w:t>
      </w:r>
      <w:r w:rsidRPr="00500029">
        <w:t xml:space="preserve"> with either PE or I</w:t>
      </w:r>
      <w:r>
        <w:t xml:space="preserve">g </w:t>
      </w:r>
      <w:r w:rsidR="00B727D6">
        <w:fldChar w:fldCharType="begin">
          <w:fldData xml:space="preserve">PEVuZE5vdGU+PENpdGU+PEF1dGhvcj5EeWNrPC9BdXRob3I+PFllYXI+MTk5NDwvWWVhcj48UmVj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</w:fldData>
        </w:fldChar>
      </w:r>
      <w:r w:rsidR="00B727D6">
        <w:instrText xml:space="preserve"> ADDIN EN.CITE </w:instrText>
      </w:r>
      <w:r w:rsidR="00B727D6">
        <w:fldChar w:fldCharType="begin">
          <w:fldData xml:space="preserve">PEVuZE5vdGU+PENpdGU+PEF1dGhvcj5EeWNrPC9BdXRob3I+PFllYXI+MTk5NDwvWWVhcj48UmVj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</w:fldData>
        </w:fldChar>
      </w:r>
      <w:r w:rsidR="00B727D6">
        <w:instrText xml:space="preserve"> ADDIN EN.CITE.DATA </w:instrText>
      </w:r>
      <w:r w:rsidR="00B727D6">
        <w:fldChar w:fldCharType="end"/>
      </w:r>
      <w:r w:rsidR="00B727D6">
        <w:fldChar w:fldCharType="separate"/>
      </w:r>
      <w:r w:rsidR="00B727D6">
        <w:rPr>
          <w:noProof/>
        </w:rPr>
        <w:t>(</w:t>
      </w:r>
      <w:hyperlink w:anchor="_ENREF_17" w:tooltip="Dyck, 1994 #6" w:history="1">
        <w:r w:rsidR="00D726F6">
          <w:rPr>
            <w:noProof/>
          </w:rPr>
          <w:t>Dyck et al. 1994</w:t>
        </w:r>
      </w:hyperlink>
      <w:r w:rsidR="00B727D6">
        <w:rPr>
          <w:noProof/>
        </w:rPr>
        <w:t xml:space="preserve">; </w:t>
      </w:r>
      <w:hyperlink w:anchor="_ENREF_34" w:tooltip="Kuitwaard, 2015 #264" w:history="1">
        <w:r w:rsidR="00D726F6">
          <w:rPr>
            <w:noProof/>
          </w:rPr>
          <w:t>Kuitwaard et al. 2015</w:t>
        </w:r>
      </w:hyperlink>
      <w:r w:rsidR="00B727D6">
        <w:rPr>
          <w:noProof/>
        </w:rPr>
        <w:t>)</w:t>
      </w:r>
      <w:r w:rsidR="00B727D6">
        <w:fldChar w:fldCharType="end"/>
      </w:r>
      <w:r>
        <w:t>. The key clinical trial comparing IVIg and IVMP captured safety events for first six months of trial only. Long-term adverse event rates associated with steroid use are required to capture the comparative safety of steroids and Ig and inform the model for longer time-horizon, beyond the trial period.</w:t>
      </w:r>
    </w:p>
    <w:p w14:paraId="0B15F474" w14:textId="2932BBB6" w:rsidR="00837294" w:rsidRDefault="00837294" w:rsidP="00C71F55">
      <w:pPr>
        <w:pStyle w:val="BodyTextSTD"/>
      </w:pPr>
      <w:r>
        <w:t xml:space="preserve">Long-term </w:t>
      </w:r>
      <w:r w:rsidRPr="00625348">
        <w:t>safety</w:t>
      </w:r>
      <w:r>
        <w:t xml:space="preserve"> consequences associated with corticosteroids</w:t>
      </w:r>
      <w:r w:rsidRPr="00625348">
        <w:t xml:space="preserve"> were identified and are reported in</w:t>
      </w:r>
      <w:r>
        <w:t xml:space="preserve"> </w:t>
      </w:r>
      <w:r w:rsidR="00BC0709">
        <w:fldChar w:fldCharType="begin"/>
      </w:r>
      <w:r w:rsidR="00BC0709">
        <w:instrText xml:space="preserve"> REF _Ref57037515 \h </w:instrText>
      </w:r>
      <w:r w:rsidR="00BC0709">
        <w:fldChar w:fldCharType="separate"/>
      </w:r>
      <w:r w:rsidR="004B3EA2">
        <w:t xml:space="preserve">Table </w:t>
      </w:r>
      <w:r w:rsidR="004B3EA2">
        <w:rPr>
          <w:noProof/>
        </w:rPr>
        <w:t>20</w:t>
      </w:r>
      <w:r w:rsidR="00BC0709">
        <w:fldChar w:fldCharType="end"/>
      </w:r>
      <w:r w:rsidR="00BC0709">
        <w:t xml:space="preserve">, </w:t>
      </w:r>
      <w:r>
        <w:t>section B.7 – Extended assessment of harms. These event rates need to be translated and extrapolated to inform the transition probabilities associated with adverse events in the economic evaluation.</w:t>
      </w:r>
    </w:p>
    <w:p w14:paraId="644FB139" w14:textId="1A57F914" w:rsidR="00837294" w:rsidRDefault="00837294" w:rsidP="00C71F55">
      <w:pPr>
        <w:pStyle w:val="BodyTextSTD"/>
      </w:pPr>
      <w:r w:rsidRPr="000F2219">
        <w:t xml:space="preserve">Wilson et al performed a matched case-control analysis on patients with </w:t>
      </w:r>
      <w:r w:rsidR="00614098">
        <w:t>GCA</w:t>
      </w:r>
      <w:r w:rsidRPr="000F2219">
        <w:t xml:space="preserve"> from the Clinical Practice Research Datalink (CRPD) records in the UK</w:t>
      </w:r>
      <w:r>
        <w:t xml:space="preserve"> </w:t>
      </w:r>
      <w:r w:rsidR="00B727D6">
        <w:fldChar w:fldCharType="begin"/>
      </w:r>
      <w:r w:rsidR="00B727D6">
        <w:instrText xml:space="preserve"> ADDIN EN.CITE &lt;EndNote&gt;&lt;Cite&gt;&lt;Author&gt;Wilson&lt;/Author&gt;&lt;Year&gt;2017&lt;/Year&gt;&lt;RecNum&gt;1899&lt;/RecNum&gt;&lt;DisplayText&gt;(Wilson, Jessica C. et al. 2017)&lt;/DisplayText&gt;&lt;record&gt;&lt;rec-number&gt;1899&lt;/rec-number&gt;&lt;foreign-keys&gt;&lt;key app="EN" db-id="xtr5xfx2xf0wd7e0s2qvst2ietxxf0tpzr9v" timestamp="1604874061"&gt;1899&lt;/key&gt;&lt;/foreign-keys&gt;&lt;ref-type name="Journal Article"&gt;17&lt;/ref-type&gt;&lt;contributors&gt;&lt;authors&gt;&lt;author&gt;Wilson, Jessica C.&lt;/author&gt;&lt;author&gt;Sarsour, Khaled&lt;/author&gt;&lt;author&gt;Collinson, Neil&lt;/author&gt;&lt;author&gt;Tuckwell, Katie&lt;/author&gt;&lt;author&gt;Musselman, David&lt;/author&gt;&lt;author&gt;Klearman, Micki&lt;/author&gt;&lt;author&gt;Napalkov, Pavel&lt;/author&gt;&lt;author&gt;Jick, Susan S.&lt;/author&gt;&lt;author&gt;Stone, John H.&lt;/author&gt;&lt;author&gt;Meier, Christoph R.&lt;/author&gt;&lt;/authors&gt;&lt;/contributors&gt;&lt;titles&gt;&lt;title&gt;Incidence of outcomes potentially associated with corticosteroid therapy in patients with giant cell arteritis&lt;/title&gt;&lt;secondary-title&gt;Seminars in Arthritis and Rheumatism&lt;/secondary-title&gt;&lt;/titles&gt;&lt;periodical&gt;&lt;full-title&gt;Seminars in Arthritis and Rheumatism&lt;/full-title&gt;&lt;/periodical&gt;&lt;pages&gt;650-656&lt;/pages&gt;&lt;volume&gt;46&lt;/volume&gt;&lt;number&gt;5&lt;/number&gt;&lt;keywords&gt;&lt;keyword&gt;Corticosteroids&lt;/keyword&gt;&lt;keyword&gt;Giant cell arteritis&lt;/keyword&gt;&lt;keyword&gt;Health services research&lt;/keyword&gt;&lt;keyword&gt;Outcomes research&lt;/keyword&gt;&lt;keyword&gt;Serious adverse events&lt;/keyword&gt;&lt;/keywords&gt;&lt;dates&gt;&lt;year&gt;2017&lt;/year&gt;&lt;pub-dates&gt;&lt;date&gt;2017/04/01/&lt;/date&gt;&lt;/pub-dates&gt;&lt;/dates&gt;&lt;isbn&gt;0049-0172&lt;/isbn&gt;&lt;urls&gt;&lt;related-urls&gt;&lt;url&gt;http://www.sciencedirect.com/science/article/pii/S0049017216303420&lt;/url&gt;&lt;/related-urls&gt;&lt;/urls&gt;&lt;electronic-resource-num&gt;https://doi.org/10.1016/j.semarthrit.2016.10.001&lt;/electronic-resource-num&gt;&lt;/record&gt;&lt;/Cite&gt;&lt;/EndNote&gt;</w:instrText>
      </w:r>
      <w:r w:rsidR="00B727D6">
        <w:fldChar w:fldCharType="separate"/>
      </w:r>
      <w:r w:rsidR="00B727D6">
        <w:rPr>
          <w:noProof/>
        </w:rPr>
        <w:t>(</w:t>
      </w:r>
      <w:hyperlink w:anchor="_ENREF_81" w:tooltip="Wilson, 2017 #1899" w:history="1">
        <w:r w:rsidR="00D726F6">
          <w:rPr>
            <w:noProof/>
          </w:rPr>
          <w:t>Wilson, Jessica C. et al. 2017</w:t>
        </w:r>
      </w:hyperlink>
      <w:r w:rsidR="00B727D6">
        <w:rPr>
          <w:noProof/>
        </w:rPr>
        <w:t>)</w:t>
      </w:r>
      <w:r w:rsidR="00B727D6">
        <w:fldChar w:fldCharType="end"/>
      </w:r>
      <w:r w:rsidRPr="000F2219">
        <w:t>. The analysis included 5011 GCA patients and 2011 matched controls that did not have the disease. Patients were required to have at least 3 years of recorded medical history to be eligible for the study. There was a total of 2190 (43.7%) GCA patients who experienced AEs, the most common of which were diabetes 321 (6.4%), osteoporosis 511 (10.2%), fractures 408 (8.1%), and infection 433 (8.4%). Death occurred in 517 (10.3%) of cases.</w:t>
      </w:r>
      <w:r>
        <w:t xml:space="preserve"> These chronic conditions are prevalent in the general population irrespective of steroid use. Wilson et al reported incidence rates for both GCA and non-GCA groups for all these adverse events. Differences in the incidence rates for these events reported for GCA and non-GCA groups were used to estimate excess risk attributed to steroid use. This study also reported the incidence rate ratio for mortality of 1.2 for GCA vs non-GCA cohort. This rate ratio is applied to the background age-specific mortality risk to estimate the mortality risk associated with steroid use. </w:t>
      </w:r>
    </w:p>
    <w:p w14:paraId="604EC28E" w14:textId="3BFB4471" w:rsidR="00837294" w:rsidRDefault="00837294" w:rsidP="00C71F55">
      <w:pPr>
        <w:pStyle w:val="BodyTextSTD"/>
      </w:pPr>
      <w:r>
        <w:t xml:space="preserve">In a sub-study of the above cohort, Wilson et al analysed the effect of cumulative doses in the GCA cohort </w:t>
      </w:r>
      <w:r w:rsidR="00B727D6">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sidR="00B727D6">
        <w:instrText xml:space="preserve"> ADDIN EN.CITE </w:instrText>
      </w:r>
      <w:r w:rsidR="00B727D6">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2" w:tooltip="Wilson, 2017 #3" w:history="1">
        <w:r w:rsidR="00D726F6">
          <w:rPr>
            <w:noProof/>
          </w:rPr>
          <w:t>Wilson, J. C. et al. 2017b</w:t>
        </w:r>
      </w:hyperlink>
      <w:r w:rsidR="00B727D6">
        <w:rPr>
          <w:noProof/>
        </w:rPr>
        <w:t>)</w:t>
      </w:r>
      <w:r w:rsidR="00B727D6">
        <w:fldChar w:fldCharType="end"/>
      </w:r>
      <w:r>
        <w:t>. The study compared the event rates stratified by cumulative prednisolone dose. Five categories based on cumulative prednisolone dose (mg) were defined (</w:t>
      </w:r>
      <w:r>
        <w:rPr>
          <w:rFonts w:cs="Calibri"/>
        </w:rPr>
        <w:t>≤</w:t>
      </w:r>
      <w:r>
        <w:t xml:space="preserve">3,000, 3,001–6,000, 6,001–10,000, 10,000–20,000 and </w:t>
      </w:r>
      <w:r>
        <w:rPr>
          <w:rFonts w:cs="Calibri"/>
        </w:rPr>
        <w:t>≥</w:t>
      </w:r>
      <w:r>
        <w:t xml:space="preserve">20,000). Adjusted odds ratio (AOR) for outcomes of interest were presented with cumulative dose </w:t>
      </w:r>
      <w:r>
        <w:rPr>
          <w:rFonts w:cs="Calibri"/>
        </w:rPr>
        <w:t>≤</w:t>
      </w:r>
      <w:r>
        <w:t xml:space="preserve">3,000mg as the reference category. The results of this study indicated </w:t>
      </w:r>
      <w:r w:rsidRPr="009A5DAC">
        <w:t>that increasing cumulative doses of corticosteroids place patients at increased risk of ser</w:t>
      </w:r>
      <w:r>
        <w:t xml:space="preserve">ious individual adverse effects. </w:t>
      </w:r>
    </w:p>
    <w:p w14:paraId="488A9C2D" w14:textId="3278732E" w:rsidR="00837294" w:rsidRDefault="00837294" w:rsidP="00C71F55">
      <w:pPr>
        <w:pStyle w:val="BodyTextSTD"/>
      </w:pPr>
      <w:r>
        <w:t xml:space="preserve">As per clinical expert advice </w:t>
      </w:r>
      <w:r w:rsidR="00B727D6">
        <w:fldChar w:fldCharType="begin"/>
      </w:r>
      <w:r w:rsidR="00B727D6">
        <w:instrText xml:space="preserve"> ADDIN EN.CITE &lt;EndNote&gt;&lt;Cite&gt;&lt;Author&gt;Department of Health&lt;/Author&gt;&lt;Year&gt;2021&lt;/Year&gt;&lt;RecNum&gt;1954&lt;/RecNum&gt;&lt;DisplayText&gt;(Department of Health 2021a)&lt;/DisplayText&gt;&lt;record&gt;&lt;rec-number&gt;1954&lt;/rec-number&gt;&lt;foreign-keys&gt;&lt;key app="EN" db-id="xtr5xfx2xf0wd7e0s2qvst2ietxxf0tpzr9v" timestamp="1614643814"&gt;1954&lt;/key&gt;&lt;/foreign-keys&gt;&lt;ref-type name="Personal Communication"&gt;26&lt;/ref-type&gt;&lt;contributors&gt;&lt;authors&gt;&lt;author&gt;Department of Health,&lt;/author&gt;&lt;/authors&gt;&lt;/contributors&gt;&lt;titles&gt;&lt;title&gt;Clinical expert advice provided as feedback to the draft MSAC 1564.1 report&lt;/title&gt;&lt;/titles&gt;&lt;dates&gt;&lt;year&gt;2021&lt;/year&gt;&lt;/dates&gt;&lt;urls&gt;&lt;/urls&gt;&lt;/record&gt;&lt;/Cite&gt;&lt;/EndNote&gt;</w:instrText>
      </w:r>
      <w:r w:rsidR="00B727D6">
        <w:fldChar w:fldCharType="separate"/>
      </w:r>
      <w:r w:rsidR="00B727D6">
        <w:rPr>
          <w:noProof/>
        </w:rPr>
        <w:t>(</w:t>
      </w:r>
      <w:hyperlink w:anchor="_ENREF_12" w:tooltip="Department of Health, 2021 #1954" w:history="1">
        <w:r w:rsidR="00D726F6">
          <w:rPr>
            <w:noProof/>
          </w:rPr>
          <w:t>Department of Health 2021a</w:t>
        </w:r>
      </w:hyperlink>
      <w:r w:rsidR="00B727D6">
        <w:rPr>
          <w:noProof/>
        </w:rPr>
        <w:t>)</w:t>
      </w:r>
      <w:r w:rsidR="00B727D6">
        <w:fldChar w:fldCharType="end"/>
      </w:r>
      <w:r>
        <w:t xml:space="preserve">, </w:t>
      </w:r>
      <w:r w:rsidRPr="00A977C4">
        <w:t xml:space="preserve">the main steroid protocol for CIDP in </w:t>
      </w:r>
      <w:r>
        <w:t>Australia</w:t>
      </w:r>
      <w:r w:rsidRPr="00A977C4">
        <w:t xml:space="preserve"> is </w:t>
      </w:r>
      <w:r>
        <w:t>intravenous</w:t>
      </w:r>
      <w:r w:rsidRPr="00A977C4">
        <w:t xml:space="preserve"> pulsed methylprednisolone – 1</w:t>
      </w:r>
      <w:r w:rsidR="00614098">
        <w:t xml:space="preserve"> </w:t>
      </w:r>
      <w:r w:rsidRPr="00A977C4">
        <w:t xml:space="preserve">g daily for </w:t>
      </w:r>
      <w:r w:rsidR="00614098">
        <w:t>three to five</w:t>
      </w:r>
      <w:r w:rsidRPr="00A977C4">
        <w:t xml:space="preserve"> days</w:t>
      </w:r>
      <w:r>
        <w:t xml:space="preserve"> as induction</w:t>
      </w:r>
      <w:r w:rsidRPr="00A977C4">
        <w:t xml:space="preserve"> followed by 1g </w:t>
      </w:r>
      <w:r>
        <w:t>every 28 </w:t>
      </w:r>
      <w:r w:rsidRPr="00A977C4">
        <w:t>days for a variable period</w:t>
      </w:r>
      <w:r>
        <w:t>. Based on the above treatment regimen patients would be exposed to a cumulative dose of 10</w:t>
      </w:r>
      <w:r w:rsidR="00614098">
        <w:t xml:space="preserve"> </w:t>
      </w:r>
      <w:r>
        <w:t>g (10,000mg) within six months of starting steroids. The relative risk for cumulative prednisolone dose &gt;10,000mg were estimated from AORs</w:t>
      </w:r>
      <w:r>
        <w:rPr>
          <w:rStyle w:val="FootnoteReference"/>
        </w:rPr>
        <w:footnoteReference w:id="7"/>
      </w:r>
      <w:r>
        <w:t xml:space="preserve"> provided in the above study </w:t>
      </w:r>
      <w:r w:rsidR="00B727D6">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sidR="00B727D6">
        <w:instrText xml:space="preserve"> ADDIN EN.CITE </w:instrText>
      </w:r>
      <w:r w:rsidR="00B727D6">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2" w:tooltip="Wilson, 2017 #3" w:history="1">
        <w:r w:rsidR="00D726F6">
          <w:rPr>
            <w:noProof/>
          </w:rPr>
          <w:t>Wilson, J. C. et al. 2017b</w:t>
        </w:r>
      </w:hyperlink>
      <w:r w:rsidR="00B727D6">
        <w:rPr>
          <w:noProof/>
        </w:rPr>
        <w:t>)</w:t>
      </w:r>
      <w:r w:rsidR="00B727D6">
        <w:fldChar w:fldCharType="end"/>
      </w:r>
      <w:r>
        <w:t xml:space="preserve"> and applied to respective adverse event risk to capture the dose effect in the model. The study reported t</w:t>
      </w:r>
      <w:r w:rsidRPr="00EC2711">
        <w:t xml:space="preserve">he </w:t>
      </w:r>
      <w:r>
        <w:t xml:space="preserve">mean times </w:t>
      </w:r>
      <w:r w:rsidRPr="00EC2711">
        <w:t>for the occurrence of glaucoma, di</w:t>
      </w:r>
      <w:r>
        <w:t>abetes, osteoporosis, fractures and</w:t>
      </w:r>
      <w:r w:rsidRPr="00EC2711">
        <w:t xml:space="preserve"> infection after beginning prednisolone </w:t>
      </w:r>
      <w:r>
        <w:t>were 2.7, 2.8, 3.0, 3.2 and</w:t>
      </w:r>
      <w:r w:rsidRPr="00EC2711">
        <w:t xml:space="preserve"> 4.1</w:t>
      </w:r>
      <w:r>
        <w:t> years,</w:t>
      </w:r>
      <w:r w:rsidRPr="00EC2711">
        <w:t xml:space="preserve"> respectively</w:t>
      </w:r>
      <w:r>
        <w:t>, however t</w:t>
      </w:r>
      <w:r w:rsidRPr="00EC2711">
        <w:t xml:space="preserve">he majority of cases of diabetes, glaucoma, and osteoporosis occurred within </w:t>
      </w:r>
      <w:r w:rsidR="00614098">
        <w:t>two </w:t>
      </w:r>
      <w:r w:rsidRPr="00EC2711">
        <w:t>years following treatment initiation, with over 40% of diabetes and glaucoma cases developing in the first year. The median total duration of prednisolone use</w:t>
      </w:r>
      <w:r>
        <w:t xml:space="preserve"> in these cases was reported at 0.8 years. Therefore, in the model it is assumed that these adverse events can occur any time after induction treatment. </w:t>
      </w:r>
    </w:p>
    <w:p w14:paraId="089634FB" w14:textId="5690DF7C" w:rsidR="00837294" w:rsidRDefault="00837294" w:rsidP="00C71F55">
      <w:pPr>
        <w:pStyle w:val="BodyTextSTD"/>
      </w:pPr>
      <w:r>
        <w:fldChar w:fldCharType="begin"/>
      </w:r>
      <w:r>
        <w:instrText xml:space="preserve"> REF _Ref65252255 \h </w:instrText>
      </w:r>
      <w:r w:rsidR="00C71F55">
        <w:instrText xml:space="preserve"> \* MERGEFORMAT </w:instrText>
      </w:r>
      <w:r>
        <w:fldChar w:fldCharType="separate"/>
      </w:r>
      <w:r w:rsidR="004B3EA2">
        <w:t xml:space="preserve">Table </w:t>
      </w:r>
      <w:r w:rsidR="004B3EA2">
        <w:rPr>
          <w:noProof/>
        </w:rPr>
        <w:t>32</w:t>
      </w:r>
      <w:r>
        <w:fldChar w:fldCharType="end"/>
      </w:r>
      <w:r>
        <w:t xml:space="preserve"> summarises the estimated annual probabilities and relative risk for the adverse events diabetes, osteoporosis, fractures, glaucoma and severe infection.</w:t>
      </w:r>
    </w:p>
    <w:p w14:paraId="057B315E" w14:textId="25C81B28" w:rsidR="00837294" w:rsidRDefault="00837294" w:rsidP="00837294">
      <w:pPr>
        <w:pStyle w:val="Caption"/>
      </w:pPr>
      <w:bookmarkStart w:id="251" w:name="_Ref65252255"/>
      <w:bookmarkStart w:id="252" w:name="_Toc69305673"/>
      <w:r>
        <w:t xml:space="preserve">Table </w:t>
      </w:r>
      <w:r w:rsidR="00003BA5">
        <w:fldChar w:fldCharType="begin"/>
      </w:r>
      <w:r w:rsidR="00003BA5">
        <w:instrText xml:space="preserve"> SEQ Table \* ARABIC </w:instrText>
      </w:r>
      <w:r w:rsidR="00003BA5">
        <w:fldChar w:fldCharType="separate"/>
      </w:r>
      <w:r w:rsidR="004B3EA2">
        <w:rPr>
          <w:noProof/>
        </w:rPr>
        <w:t>32</w:t>
      </w:r>
      <w:r w:rsidR="00003BA5">
        <w:rPr>
          <w:noProof/>
        </w:rPr>
        <w:fldChar w:fldCharType="end"/>
      </w:r>
      <w:bookmarkEnd w:id="251"/>
      <w:r>
        <w:tab/>
        <w:t>Summary of adverse event risks associated with chronic corticosteroids use</w:t>
      </w:r>
      <w:bookmarkEnd w:id="252"/>
    </w:p>
    <w:tbl>
      <w:tblPr>
        <w:tblStyle w:val="OPTUMTableNormal"/>
        <w:tblW w:w="5000" w:type="pct"/>
        <w:tblLook w:val="04A0" w:firstRow="1" w:lastRow="0" w:firstColumn="1" w:lastColumn="0" w:noHBand="0" w:noVBand="1"/>
        <w:tblCaption w:val="Summary of adverse event risks associated with chronic corticosteroids use"/>
        <w:tblDescription w:val="Summary of adverse event risks associated with chronic corticosteroids use"/>
      </w:tblPr>
      <w:tblGrid>
        <w:gridCol w:w="1555"/>
        <w:gridCol w:w="850"/>
        <w:gridCol w:w="849"/>
        <w:gridCol w:w="1405"/>
        <w:gridCol w:w="1717"/>
        <w:gridCol w:w="2640"/>
      </w:tblGrid>
      <w:tr w:rsidR="005B409A" w:rsidRPr="00C71F55" w14:paraId="3F60578B" w14:textId="77777777" w:rsidTr="005B409A">
        <w:trPr>
          <w:cnfStyle w:val="100000000000" w:firstRow="1" w:lastRow="0" w:firstColumn="0" w:lastColumn="0" w:oddVBand="0" w:evenVBand="0" w:oddHBand="0" w:evenHBand="0" w:firstRowFirstColumn="0" w:firstRowLastColumn="0" w:lastRowFirstColumn="0" w:lastRowLastColumn="0"/>
          <w:trHeight w:val="300"/>
          <w:tblHeader/>
        </w:trPr>
        <w:tc>
          <w:tcPr>
            <w:tcW w:w="862" w:type="pct"/>
            <w:vAlign w:val="center"/>
          </w:tcPr>
          <w:p w14:paraId="62218EC1" w14:textId="77777777" w:rsidR="00837294" w:rsidRPr="00C71F55" w:rsidRDefault="00837294" w:rsidP="001F45DD">
            <w:pPr>
              <w:pStyle w:val="TableHeading"/>
            </w:pPr>
            <w:r w:rsidRPr="00C71F55">
              <w:t>Adverse event</w:t>
            </w:r>
          </w:p>
        </w:tc>
        <w:tc>
          <w:tcPr>
            <w:tcW w:w="471" w:type="pct"/>
            <w:vAlign w:val="center"/>
          </w:tcPr>
          <w:p w14:paraId="3C6E7760" w14:textId="77777777" w:rsidR="00837294" w:rsidRPr="00C71F55" w:rsidRDefault="00837294" w:rsidP="001F45DD">
            <w:pPr>
              <w:pStyle w:val="TableHeading"/>
            </w:pPr>
            <w:r w:rsidRPr="00C71F55">
              <w:t>GCA</w:t>
            </w:r>
          </w:p>
        </w:tc>
        <w:tc>
          <w:tcPr>
            <w:tcW w:w="471" w:type="pct"/>
            <w:vAlign w:val="center"/>
          </w:tcPr>
          <w:p w14:paraId="74E681FA" w14:textId="77777777" w:rsidR="00837294" w:rsidRPr="00C71F55" w:rsidRDefault="00837294" w:rsidP="001F45DD">
            <w:pPr>
              <w:pStyle w:val="TableHeading"/>
            </w:pPr>
            <w:r w:rsidRPr="00C71F55">
              <w:t>Non-GCA</w:t>
            </w:r>
          </w:p>
        </w:tc>
        <w:tc>
          <w:tcPr>
            <w:tcW w:w="779" w:type="pct"/>
            <w:noWrap/>
            <w:vAlign w:val="center"/>
            <w:hideMark/>
          </w:tcPr>
          <w:p w14:paraId="4A15476F" w14:textId="77777777" w:rsidR="00837294" w:rsidRPr="00C71F55" w:rsidRDefault="00837294" w:rsidP="001F45DD">
            <w:pPr>
              <w:pStyle w:val="TableHeading"/>
            </w:pPr>
            <w:r w:rsidRPr="00C71F55">
              <w:t>Rate difference</w:t>
            </w:r>
          </w:p>
        </w:tc>
        <w:tc>
          <w:tcPr>
            <w:tcW w:w="952" w:type="pct"/>
            <w:noWrap/>
            <w:vAlign w:val="center"/>
            <w:hideMark/>
          </w:tcPr>
          <w:p w14:paraId="2D6251A8" w14:textId="23A1A9D4" w:rsidR="00837294" w:rsidRPr="00C71F55" w:rsidRDefault="00837294" w:rsidP="005B409A">
            <w:pPr>
              <w:pStyle w:val="TableHeading"/>
            </w:pPr>
            <w:r w:rsidRPr="00C71F55">
              <w:t>Annual probability</w:t>
            </w:r>
            <w:r w:rsidRPr="00C71F55">
              <w:rPr>
                <w:vertAlign w:val="superscript"/>
              </w:rPr>
              <w:t>a</w:t>
            </w:r>
          </w:p>
        </w:tc>
        <w:tc>
          <w:tcPr>
            <w:tcW w:w="1464" w:type="pct"/>
            <w:vAlign w:val="center"/>
          </w:tcPr>
          <w:p w14:paraId="2FE355D3" w14:textId="159E3009" w:rsidR="00837294" w:rsidRPr="00C71F55" w:rsidRDefault="00837294" w:rsidP="005B409A">
            <w:pPr>
              <w:pStyle w:val="TableHeading"/>
            </w:pPr>
            <w:r w:rsidRPr="00C71F55">
              <w:t>RR for cumulative prednisolone dose &gt;10,000 mg</w:t>
            </w:r>
          </w:p>
        </w:tc>
      </w:tr>
      <w:tr w:rsidR="005B409A" w:rsidRPr="00C71F55" w14:paraId="1C7EAE1D" w14:textId="77777777" w:rsidTr="005B409A">
        <w:trPr>
          <w:trHeight w:val="70"/>
        </w:trPr>
        <w:tc>
          <w:tcPr>
            <w:tcW w:w="862" w:type="pct"/>
            <w:vAlign w:val="center"/>
          </w:tcPr>
          <w:p w14:paraId="6E0B4BCE" w14:textId="77777777" w:rsidR="00837294" w:rsidRPr="00C71F55" w:rsidRDefault="00837294" w:rsidP="005B409A">
            <w:pPr>
              <w:pStyle w:val="Tabletext1"/>
              <w:contextualSpacing/>
            </w:pPr>
            <w:r w:rsidRPr="00C71F55">
              <w:t>Diabetes</w:t>
            </w:r>
          </w:p>
        </w:tc>
        <w:tc>
          <w:tcPr>
            <w:tcW w:w="471" w:type="pct"/>
            <w:vAlign w:val="center"/>
          </w:tcPr>
          <w:p w14:paraId="426815A5" w14:textId="77777777" w:rsidR="00837294" w:rsidRPr="00C71F55" w:rsidRDefault="00837294" w:rsidP="005B409A">
            <w:pPr>
              <w:pStyle w:val="Tabletext1"/>
              <w:contextualSpacing/>
              <w:jc w:val="right"/>
            </w:pPr>
            <w:r w:rsidRPr="00C71F55">
              <w:t>1.42%</w:t>
            </w:r>
          </w:p>
        </w:tc>
        <w:tc>
          <w:tcPr>
            <w:tcW w:w="471" w:type="pct"/>
            <w:vAlign w:val="center"/>
          </w:tcPr>
          <w:p w14:paraId="2E1345DE" w14:textId="77777777" w:rsidR="00837294" w:rsidRPr="00C71F55" w:rsidRDefault="00837294" w:rsidP="005B409A">
            <w:pPr>
              <w:pStyle w:val="Tabletext1"/>
              <w:contextualSpacing/>
              <w:jc w:val="right"/>
            </w:pPr>
            <w:r w:rsidRPr="00C71F55">
              <w:t>1.00%</w:t>
            </w:r>
          </w:p>
        </w:tc>
        <w:tc>
          <w:tcPr>
            <w:tcW w:w="779" w:type="pct"/>
            <w:noWrap/>
            <w:vAlign w:val="center"/>
            <w:hideMark/>
          </w:tcPr>
          <w:p w14:paraId="346C10D8" w14:textId="77777777" w:rsidR="00837294" w:rsidRPr="00C71F55" w:rsidRDefault="00837294" w:rsidP="005B409A">
            <w:pPr>
              <w:pStyle w:val="Tabletext1"/>
              <w:contextualSpacing/>
              <w:jc w:val="center"/>
            </w:pPr>
            <w:r w:rsidRPr="00C71F55">
              <w:t>0.42%</w:t>
            </w:r>
          </w:p>
        </w:tc>
        <w:tc>
          <w:tcPr>
            <w:tcW w:w="952" w:type="pct"/>
            <w:noWrap/>
            <w:vAlign w:val="center"/>
            <w:hideMark/>
          </w:tcPr>
          <w:p w14:paraId="30CEF4FA" w14:textId="77777777" w:rsidR="00837294" w:rsidRPr="00C71F55" w:rsidRDefault="00837294" w:rsidP="005B409A">
            <w:pPr>
              <w:pStyle w:val="Tabletext1"/>
              <w:contextualSpacing/>
              <w:jc w:val="center"/>
            </w:pPr>
            <w:r w:rsidRPr="00C71F55">
              <w:t>0.00035</w:t>
            </w:r>
          </w:p>
        </w:tc>
        <w:tc>
          <w:tcPr>
            <w:tcW w:w="1464" w:type="pct"/>
            <w:vAlign w:val="center"/>
          </w:tcPr>
          <w:p w14:paraId="0E98F1BE" w14:textId="77777777" w:rsidR="00837294" w:rsidRPr="00C71F55" w:rsidRDefault="00837294" w:rsidP="005B409A">
            <w:pPr>
              <w:pStyle w:val="Tabletext1"/>
              <w:contextualSpacing/>
              <w:jc w:val="center"/>
            </w:pPr>
            <w:r w:rsidRPr="00C71F55">
              <w:t>1.78</w:t>
            </w:r>
          </w:p>
        </w:tc>
      </w:tr>
      <w:tr w:rsidR="005B409A" w:rsidRPr="00C71F55" w14:paraId="7A453897" w14:textId="77777777" w:rsidTr="005B409A">
        <w:trPr>
          <w:trHeight w:val="70"/>
        </w:trPr>
        <w:tc>
          <w:tcPr>
            <w:tcW w:w="862" w:type="pct"/>
            <w:vAlign w:val="center"/>
          </w:tcPr>
          <w:p w14:paraId="42EA48D4" w14:textId="77777777" w:rsidR="00837294" w:rsidRPr="00C71F55" w:rsidRDefault="00837294" w:rsidP="005B409A">
            <w:pPr>
              <w:pStyle w:val="Tabletext1"/>
              <w:contextualSpacing/>
            </w:pPr>
            <w:r w:rsidRPr="00C71F55">
              <w:t>Osteoporosis</w:t>
            </w:r>
          </w:p>
        </w:tc>
        <w:tc>
          <w:tcPr>
            <w:tcW w:w="471" w:type="pct"/>
            <w:vAlign w:val="center"/>
          </w:tcPr>
          <w:p w14:paraId="30F8D2FF" w14:textId="77777777" w:rsidR="00837294" w:rsidRPr="00C71F55" w:rsidRDefault="00837294" w:rsidP="005B409A">
            <w:pPr>
              <w:pStyle w:val="Tabletext1"/>
              <w:contextualSpacing/>
              <w:jc w:val="right"/>
            </w:pPr>
            <w:r w:rsidRPr="00C71F55">
              <w:t>2.29%</w:t>
            </w:r>
          </w:p>
        </w:tc>
        <w:tc>
          <w:tcPr>
            <w:tcW w:w="471" w:type="pct"/>
            <w:vAlign w:val="center"/>
          </w:tcPr>
          <w:p w14:paraId="54C33C47" w14:textId="77777777" w:rsidR="00837294" w:rsidRPr="00C71F55" w:rsidRDefault="00837294" w:rsidP="005B409A">
            <w:pPr>
              <w:pStyle w:val="Tabletext1"/>
              <w:contextualSpacing/>
              <w:jc w:val="right"/>
            </w:pPr>
            <w:r w:rsidRPr="00C71F55">
              <w:t>0.94%</w:t>
            </w:r>
          </w:p>
        </w:tc>
        <w:tc>
          <w:tcPr>
            <w:tcW w:w="779" w:type="pct"/>
            <w:noWrap/>
            <w:vAlign w:val="center"/>
            <w:hideMark/>
          </w:tcPr>
          <w:p w14:paraId="60EC601C" w14:textId="77777777" w:rsidR="00837294" w:rsidRPr="00C71F55" w:rsidRDefault="00837294" w:rsidP="005B409A">
            <w:pPr>
              <w:pStyle w:val="Tabletext1"/>
              <w:contextualSpacing/>
              <w:jc w:val="center"/>
            </w:pPr>
            <w:r w:rsidRPr="00C71F55">
              <w:t>1.35%</w:t>
            </w:r>
          </w:p>
        </w:tc>
        <w:tc>
          <w:tcPr>
            <w:tcW w:w="952" w:type="pct"/>
            <w:noWrap/>
            <w:vAlign w:val="center"/>
            <w:hideMark/>
          </w:tcPr>
          <w:p w14:paraId="672FF6B9" w14:textId="77777777" w:rsidR="00837294" w:rsidRPr="00C71F55" w:rsidRDefault="00837294" w:rsidP="005B409A">
            <w:pPr>
              <w:pStyle w:val="Tabletext1"/>
              <w:contextualSpacing/>
              <w:jc w:val="center"/>
            </w:pPr>
            <w:r w:rsidRPr="00C71F55">
              <w:t>0.00113</w:t>
            </w:r>
          </w:p>
        </w:tc>
        <w:tc>
          <w:tcPr>
            <w:tcW w:w="1464" w:type="pct"/>
            <w:vAlign w:val="center"/>
          </w:tcPr>
          <w:p w14:paraId="36190E45" w14:textId="77777777" w:rsidR="00837294" w:rsidRPr="00C71F55" w:rsidRDefault="00837294" w:rsidP="005B409A">
            <w:pPr>
              <w:pStyle w:val="Tabletext1"/>
              <w:contextualSpacing/>
              <w:jc w:val="center"/>
            </w:pPr>
            <w:r w:rsidRPr="00C71F55">
              <w:t>1.41</w:t>
            </w:r>
          </w:p>
        </w:tc>
      </w:tr>
      <w:tr w:rsidR="005B409A" w:rsidRPr="00C71F55" w14:paraId="2634D508" w14:textId="77777777" w:rsidTr="005B409A">
        <w:trPr>
          <w:trHeight w:val="70"/>
        </w:trPr>
        <w:tc>
          <w:tcPr>
            <w:tcW w:w="862" w:type="pct"/>
            <w:vAlign w:val="center"/>
          </w:tcPr>
          <w:p w14:paraId="4C98FCA7" w14:textId="77777777" w:rsidR="00837294" w:rsidRPr="00C71F55" w:rsidRDefault="00837294" w:rsidP="005B409A">
            <w:pPr>
              <w:pStyle w:val="Tabletext1"/>
              <w:contextualSpacing/>
            </w:pPr>
            <w:r w:rsidRPr="00C71F55">
              <w:t>Fractures</w:t>
            </w:r>
          </w:p>
        </w:tc>
        <w:tc>
          <w:tcPr>
            <w:tcW w:w="471" w:type="pct"/>
            <w:vAlign w:val="center"/>
          </w:tcPr>
          <w:p w14:paraId="24217FFE" w14:textId="77777777" w:rsidR="00837294" w:rsidRPr="00C71F55" w:rsidRDefault="00837294" w:rsidP="005B409A">
            <w:pPr>
              <w:pStyle w:val="Tabletext1"/>
              <w:contextualSpacing/>
              <w:jc w:val="right"/>
            </w:pPr>
            <w:r w:rsidRPr="00C71F55">
              <w:t>1.65%</w:t>
            </w:r>
          </w:p>
        </w:tc>
        <w:tc>
          <w:tcPr>
            <w:tcW w:w="471" w:type="pct"/>
            <w:vAlign w:val="center"/>
          </w:tcPr>
          <w:p w14:paraId="3437E746" w14:textId="77777777" w:rsidR="00837294" w:rsidRPr="00C71F55" w:rsidRDefault="00837294" w:rsidP="005B409A">
            <w:pPr>
              <w:pStyle w:val="Tabletext1"/>
              <w:contextualSpacing/>
              <w:jc w:val="right"/>
            </w:pPr>
            <w:r w:rsidRPr="00C71F55">
              <w:t>1.23%</w:t>
            </w:r>
          </w:p>
        </w:tc>
        <w:tc>
          <w:tcPr>
            <w:tcW w:w="779" w:type="pct"/>
            <w:noWrap/>
            <w:vAlign w:val="center"/>
            <w:hideMark/>
          </w:tcPr>
          <w:p w14:paraId="5FB04484" w14:textId="77777777" w:rsidR="00837294" w:rsidRPr="00C71F55" w:rsidRDefault="00837294" w:rsidP="005B409A">
            <w:pPr>
              <w:pStyle w:val="Tabletext1"/>
              <w:contextualSpacing/>
              <w:jc w:val="center"/>
            </w:pPr>
            <w:r w:rsidRPr="00C71F55">
              <w:t>0.42%</w:t>
            </w:r>
          </w:p>
        </w:tc>
        <w:tc>
          <w:tcPr>
            <w:tcW w:w="952" w:type="pct"/>
            <w:noWrap/>
            <w:vAlign w:val="center"/>
            <w:hideMark/>
          </w:tcPr>
          <w:p w14:paraId="08415EDD" w14:textId="77777777" w:rsidR="00837294" w:rsidRPr="00C71F55" w:rsidRDefault="00837294" w:rsidP="005B409A">
            <w:pPr>
              <w:pStyle w:val="Tabletext1"/>
              <w:contextualSpacing/>
              <w:jc w:val="center"/>
            </w:pPr>
            <w:r w:rsidRPr="00C71F55">
              <w:t>0.00035</w:t>
            </w:r>
          </w:p>
        </w:tc>
        <w:tc>
          <w:tcPr>
            <w:tcW w:w="1464" w:type="pct"/>
            <w:vAlign w:val="center"/>
          </w:tcPr>
          <w:p w14:paraId="4EE0EEC5" w14:textId="77777777" w:rsidR="00837294" w:rsidRPr="00C71F55" w:rsidRDefault="00837294" w:rsidP="005B409A">
            <w:pPr>
              <w:pStyle w:val="Tabletext1"/>
              <w:contextualSpacing/>
              <w:jc w:val="center"/>
            </w:pPr>
            <w:r w:rsidRPr="00C71F55">
              <w:t>1.24</w:t>
            </w:r>
          </w:p>
        </w:tc>
      </w:tr>
      <w:tr w:rsidR="005B409A" w:rsidRPr="00C71F55" w14:paraId="321EB687" w14:textId="77777777" w:rsidTr="005B409A">
        <w:trPr>
          <w:trHeight w:val="70"/>
        </w:trPr>
        <w:tc>
          <w:tcPr>
            <w:tcW w:w="862" w:type="pct"/>
            <w:vAlign w:val="center"/>
          </w:tcPr>
          <w:p w14:paraId="53DD6919" w14:textId="77777777" w:rsidR="00837294" w:rsidRPr="00C71F55" w:rsidRDefault="00837294" w:rsidP="005B409A">
            <w:pPr>
              <w:pStyle w:val="Tabletext1"/>
              <w:contextualSpacing/>
            </w:pPr>
            <w:r w:rsidRPr="00C71F55">
              <w:t>Glaucoma</w:t>
            </w:r>
          </w:p>
        </w:tc>
        <w:tc>
          <w:tcPr>
            <w:tcW w:w="471" w:type="pct"/>
            <w:vAlign w:val="center"/>
          </w:tcPr>
          <w:p w14:paraId="7015D213" w14:textId="77777777" w:rsidR="00837294" w:rsidRPr="00C71F55" w:rsidRDefault="00837294" w:rsidP="005B409A">
            <w:pPr>
              <w:pStyle w:val="Tabletext1"/>
              <w:contextualSpacing/>
              <w:jc w:val="right"/>
            </w:pPr>
            <w:r w:rsidRPr="00C71F55">
              <w:t>1.02%</w:t>
            </w:r>
          </w:p>
        </w:tc>
        <w:tc>
          <w:tcPr>
            <w:tcW w:w="471" w:type="pct"/>
            <w:vAlign w:val="center"/>
          </w:tcPr>
          <w:p w14:paraId="1029159F" w14:textId="77777777" w:rsidR="00837294" w:rsidRPr="00C71F55" w:rsidRDefault="00837294" w:rsidP="005B409A">
            <w:pPr>
              <w:pStyle w:val="Tabletext1"/>
              <w:contextualSpacing/>
              <w:jc w:val="right"/>
            </w:pPr>
            <w:r w:rsidRPr="00C71F55">
              <w:t>0.51%</w:t>
            </w:r>
          </w:p>
        </w:tc>
        <w:tc>
          <w:tcPr>
            <w:tcW w:w="779" w:type="pct"/>
            <w:noWrap/>
            <w:vAlign w:val="center"/>
            <w:hideMark/>
          </w:tcPr>
          <w:p w14:paraId="132F2BD6" w14:textId="77777777" w:rsidR="00837294" w:rsidRPr="00C71F55" w:rsidRDefault="00837294" w:rsidP="005B409A">
            <w:pPr>
              <w:pStyle w:val="Tabletext1"/>
              <w:contextualSpacing/>
              <w:jc w:val="center"/>
            </w:pPr>
            <w:r w:rsidRPr="00C71F55">
              <w:t>0.51%</w:t>
            </w:r>
          </w:p>
        </w:tc>
        <w:tc>
          <w:tcPr>
            <w:tcW w:w="952" w:type="pct"/>
            <w:noWrap/>
            <w:vAlign w:val="center"/>
            <w:hideMark/>
          </w:tcPr>
          <w:p w14:paraId="13B177A1" w14:textId="77777777" w:rsidR="00837294" w:rsidRPr="00C71F55" w:rsidRDefault="00837294" w:rsidP="005B409A">
            <w:pPr>
              <w:pStyle w:val="Tabletext1"/>
              <w:contextualSpacing/>
              <w:jc w:val="center"/>
            </w:pPr>
            <w:r w:rsidRPr="00C71F55">
              <w:t>0.00043</w:t>
            </w:r>
          </w:p>
        </w:tc>
        <w:tc>
          <w:tcPr>
            <w:tcW w:w="1464" w:type="pct"/>
            <w:vAlign w:val="center"/>
          </w:tcPr>
          <w:p w14:paraId="1A470886" w14:textId="77777777" w:rsidR="00837294" w:rsidRPr="00C71F55" w:rsidRDefault="00837294" w:rsidP="005B409A">
            <w:pPr>
              <w:pStyle w:val="Tabletext1"/>
              <w:contextualSpacing/>
              <w:jc w:val="center"/>
            </w:pPr>
            <w:r w:rsidRPr="00C71F55">
              <w:t>1.00</w:t>
            </w:r>
          </w:p>
        </w:tc>
      </w:tr>
      <w:tr w:rsidR="005B409A" w:rsidRPr="00C71F55" w14:paraId="57084305" w14:textId="77777777" w:rsidTr="005B409A">
        <w:trPr>
          <w:trHeight w:val="70"/>
        </w:trPr>
        <w:tc>
          <w:tcPr>
            <w:tcW w:w="862" w:type="pct"/>
            <w:vAlign w:val="center"/>
          </w:tcPr>
          <w:p w14:paraId="5F4D1535" w14:textId="77777777" w:rsidR="00837294" w:rsidRPr="00C71F55" w:rsidRDefault="00837294" w:rsidP="005B409A">
            <w:pPr>
              <w:pStyle w:val="Tabletext1"/>
              <w:contextualSpacing/>
            </w:pPr>
            <w:r w:rsidRPr="00C71F55">
              <w:t>Severe infection</w:t>
            </w:r>
          </w:p>
        </w:tc>
        <w:tc>
          <w:tcPr>
            <w:tcW w:w="471" w:type="pct"/>
            <w:vAlign w:val="center"/>
          </w:tcPr>
          <w:p w14:paraId="2B338CFD" w14:textId="77777777" w:rsidR="00837294" w:rsidRPr="00C71F55" w:rsidRDefault="00837294" w:rsidP="005B409A">
            <w:pPr>
              <w:pStyle w:val="Tabletext1"/>
              <w:contextualSpacing/>
              <w:jc w:val="right"/>
            </w:pPr>
            <w:r w:rsidRPr="00C71F55">
              <w:t>3.79%</w:t>
            </w:r>
          </w:p>
        </w:tc>
        <w:tc>
          <w:tcPr>
            <w:tcW w:w="471" w:type="pct"/>
            <w:vAlign w:val="center"/>
          </w:tcPr>
          <w:p w14:paraId="73B48D9D" w14:textId="77777777" w:rsidR="00837294" w:rsidRPr="00C71F55" w:rsidRDefault="00837294" w:rsidP="005B409A">
            <w:pPr>
              <w:pStyle w:val="Tabletext1"/>
              <w:contextualSpacing/>
              <w:jc w:val="right"/>
            </w:pPr>
            <w:r w:rsidRPr="00C71F55">
              <w:t>2.57%</w:t>
            </w:r>
          </w:p>
        </w:tc>
        <w:tc>
          <w:tcPr>
            <w:tcW w:w="779" w:type="pct"/>
            <w:noWrap/>
            <w:vAlign w:val="center"/>
            <w:hideMark/>
          </w:tcPr>
          <w:p w14:paraId="70A9B9B7" w14:textId="77777777" w:rsidR="00837294" w:rsidRPr="00C71F55" w:rsidRDefault="00837294" w:rsidP="005B409A">
            <w:pPr>
              <w:pStyle w:val="Tabletext1"/>
              <w:contextualSpacing/>
              <w:jc w:val="center"/>
            </w:pPr>
            <w:r w:rsidRPr="00C71F55">
              <w:t>1.22%</w:t>
            </w:r>
          </w:p>
        </w:tc>
        <w:tc>
          <w:tcPr>
            <w:tcW w:w="952" w:type="pct"/>
            <w:noWrap/>
            <w:vAlign w:val="center"/>
            <w:hideMark/>
          </w:tcPr>
          <w:p w14:paraId="3A46A116" w14:textId="77777777" w:rsidR="00837294" w:rsidRPr="00C71F55" w:rsidRDefault="00837294" w:rsidP="005B409A">
            <w:pPr>
              <w:pStyle w:val="Tabletext1"/>
              <w:contextualSpacing/>
              <w:jc w:val="center"/>
            </w:pPr>
            <w:r w:rsidRPr="00C71F55">
              <w:t>0.00101</w:t>
            </w:r>
          </w:p>
        </w:tc>
        <w:tc>
          <w:tcPr>
            <w:tcW w:w="1464" w:type="pct"/>
            <w:vAlign w:val="center"/>
          </w:tcPr>
          <w:p w14:paraId="429E895B" w14:textId="77777777" w:rsidR="00837294" w:rsidRPr="00C71F55" w:rsidRDefault="00837294" w:rsidP="005B409A">
            <w:pPr>
              <w:pStyle w:val="Tabletext1"/>
              <w:contextualSpacing/>
              <w:jc w:val="center"/>
            </w:pPr>
            <w:r w:rsidRPr="00C71F55">
              <w:t>1.32</w:t>
            </w:r>
          </w:p>
        </w:tc>
      </w:tr>
    </w:tbl>
    <w:p w14:paraId="73000449" w14:textId="77777777" w:rsidR="00837294" w:rsidRDefault="00837294" w:rsidP="00837294">
      <w:pPr>
        <w:pStyle w:val="Tablenote"/>
      </w:pPr>
      <w:r>
        <w:rPr>
          <w:vertAlign w:val="superscript"/>
        </w:rPr>
        <w:t>a</w:t>
      </w:r>
      <w:r>
        <w:t xml:space="preserve"> Rate differences were converted to annual probabilities using standard conversion formula; Probability = 1–exp(–rate×time).</w:t>
      </w:r>
    </w:p>
    <w:p w14:paraId="62B14CD1" w14:textId="6E021B1E" w:rsidR="00837294" w:rsidRDefault="00837294" w:rsidP="00837294">
      <w:pPr>
        <w:pStyle w:val="Tablenote"/>
      </w:pPr>
      <w:r>
        <w:t xml:space="preserve">Source: </w:t>
      </w:r>
      <w:r w:rsidR="00B727D6">
        <w:fldChar w:fldCharType="begin">
          <w:fldData xml:space="preserve">PEVuZE5vdGU+PENpdGU+PEF1dGhvcj5XaWxzb248L0F1dGhvcj48WWVhcj4yMDE3PC9ZZWFyPjxS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</w:fldData>
        </w:fldChar>
      </w:r>
      <w:r w:rsidR="00B727D6">
        <w:instrText xml:space="preserve"> ADDIN EN.CITE </w:instrText>
      </w:r>
      <w:r w:rsidR="00B727D6">
        <w:fldChar w:fldCharType="begin">
          <w:fldData xml:space="preserve">PEVuZE5vdGU+PENpdGU+PEF1dGhvcj5XaWxzb248L0F1dGhvcj48WWVhcj4yMDE3PC9ZZWFyPjxS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1" w:tooltip="Wilson, 2017 #1899" w:history="1">
        <w:r w:rsidR="00D726F6">
          <w:rPr>
            <w:noProof/>
          </w:rPr>
          <w:t>Wilson, Jessica C. et al. 2017</w:t>
        </w:r>
      </w:hyperlink>
      <w:r w:rsidR="00B727D6">
        <w:rPr>
          <w:noProof/>
        </w:rPr>
        <w:t xml:space="preserve">; </w:t>
      </w:r>
      <w:hyperlink w:anchor="_ENREF_82" w:tooltip="Wilson, 2017 #3" w:history="1">
        <w:r w:rsidR="00D726F6">
          <w:rPr>
            <w:noProof/>
          </w:rPr>
          <w:t>Wilson, J. C. et al. 2017b</w:t>
        </w:r>
      </w:hyperlink>
      <w:r w:rsidR="00B727D6">
        <w:rPr>
          <w:noProof/>
        </w:rPr>
        <w:t>)</w:t>
      </w:r>
      <w:r w:rsidR="00B727D6">
        <w:fldChar w:fldCharType="end"/>
      </w:r>
    </w:p>
    <w:p w14:paraId="46DCE822" w14:textId="77777777" w:rsidR="00837294" w:rsidRDefault="00837294" w:rsidP="00837294">
      <w:pPr>
        <w:pStyle w:val="Tablenote"/>
      </w:pPr>
      <w:r>
        <w:t xml:space="preserve">GCA = </w:t>
      </w:r>
      <w:r w:rsidRPr="000F2219">
        <w:t>giant cell arteritis</w:t>
      </w:r>
      <w:r>
        <w:t>; mg = milligram;</w:t>
      </w:r>
      <w:r w:rsidRPr="000F2219">
        <w:t xml:space="preserve"> </w:t>
      </w:r>
      <w:r>
        <w:t>RR = Relative r</w:t>
      </w:r>
      <w:r w:rsidRPr="004010BF">
        <w:t>isk</w:t>
      </w:r>
    </w:p>
    <w:p w14:paraId="23C24402" w14:textId="77777777" w:rsidR="00837294" w:rsidRDefault="00837294" w:rsidP="00BC0709">
      <w:pPr>
        <w:pStyle w:val="BodyTextSTD"/>
      </w:pPr>
      <w:r w:rsidRPr="00DF1A58">
        <w:t xml:space="preserve">It is acknowledged that the estimated excess risk of adverse events and mortality attributed to steroid use based on this data may be confounded by the presence/absence of GCA disease, however no alternative comparative data were available and the extent of potential bias is unknown. </w:t>
      </w:r>
      <w:r>
        <w:t>T</w:t>
      </w:r>
      <w:r w:rsidRPr="00DF1A58">
        <w:t xml:space="preserve">o identify how sensitive the model is to </w:t>
      </w:r>
      <w:r>
        <w:t xml:space="preserve">the estimated </w:t>
      </w:r>
      <w:r w:rsidRPr="00DF1A58">
        <w:t>adverse event</w:t>
      </w:r>
      <w:r>
        <w:t xml:space="preserve"> rates, a </w:t>
      </w:r>
      <w:r w:rsidRPr="00DF1A58">
        <w:t xml:space="preserve">sensitivity analysis </w:t>
      </w:r>
      <w:r w:rsidR="0066171D">
        <w:t xml:space="preserve">is conducted that </w:t>
      </w:r>
      <w:r w:rsidRPr="00DF1A58">
        <w:t>halv</w:t>
      </w:r>
      <w:r>
        <w:t>es</w:t>
      </w:r>
      <w:r w:rsidRPr="00DF1A58">
        <w:t xml:space="preserve"> the excess adverse event</w:t>
      </w:r>
      <w:r>
        <w:t xml:space="preserve"> rate </w:t>
      </w:r>
      <w:r w:rsidRPr="00DF1A58">
        <w:t xml:space="preserve">and </w:t>
      </w:r>
      <w:r>
        <w:t xml:space="preserve">excess </w:t>
      </w:r>
      <w:r w:rsidRPr="00DF1A58">
        <w:t>mortality.</w:t>
      </w:r>
    </w:p>
    <w:p w14:paraId="6EB7CA87" w14:textId="77777777" w:rsidR="00837294" w:rsidRDefault="00837294" w:rsidP="00837294">
      <w:pPr>
        <w:pStyle w:val="Heading2"/>
      </w:pPr>
      <w:bookmarkStart w:id="253" w:name="_Toc69305580"/>
      <w:r>
        <w:t>C.4.</w:t>
      </w:r>
      <w:r>
        <w:tab/>
        <w:t>Transformation issues</w:t>
      </w:r>
      <w:bookmarkEnd w:id="253"/>
    </w:p>
    <w:p w14:paraId="1BE19A07" w14:textId="1D461256" w:rsidR="00837294" w:rsidRDefault="00837294" w:rsidP="00BC0709">
      <w:pPr>
        <w:pStyle w:val="BodyTextSTD"/>
      </w:pPr>
      <w:r w:rsidRPr="00292690">
        <w:t>Version 3 of ‘the Criteria’ restricts use of Ig in CIDP patients ac</w:t>
      </w:r>
      <w:r>
        <w:t>cording to the tools ONLS or MRS</w:t>
      </w:r>
      <w:r w:rsidRPr="00292690">
        <w:t xml:space="preserve"> Sum Scores in adults, </w:t>
      </w:r>
      <w:r>
        <w:t>and MRS</w:t>
      </w:r>
      <w:r w:rsidRPr="00292690">
        <w:t xml:space="preserve"> score and </w:t>
      </w:r>
      <w:r>
        <w:t xml:space="preserve">six minute </w:t>
      </w:r>
      <w:r w:rsidRPr="00292690">
        <w:t>walk in children</w:t>
      </w:r>
      <w:r>
        <w:t xml:space="preserve">. These outcome measures need to be transformed into utility estimates to estimate </w:t>
      </w:r>
      <w:r w:rsidR="00614098">
        <w:t>QALY</w:t>
      </w:r>
      <w:r>
        <w:t xml:space="preserve"> for the cost-utility evaluation. The transformation issue addressed is:</w:t>
      </w:r>
    </w:p>
    <w:p w14:paraId="38DEB11F" w14:textId="77777777" w:rsidR="00E33752" w:rsidRDefault="00E33752" w:rsidP="00E33752">
      <w:pPr>
        <w:pStyle w:val="Heading3"/>
      </w:pPr>
      <w:bookmarkStart w:id="254" w:name="_Toc69305581"/>
      <w:r>
        <w:t>C.4.1.</w:t>
      </w:r>
      <w:r>
        <w:tab/>
      </w:r>
      <w:r>
        <w:tab/>
        <w:t>Utility estimates to estimate quality-adjusted life years</w:t>
      </w:r>
      <w:bookmarkEnd w:id="254"/>
    </w:p>
    <w:p w14:paraId="523DBD0A" w14:textId="77777777" w:rsidR="00837294" w:rsidRPr="00CB5B09" w:rsidRDefault="00837294" w:rsidP="00BC0709">
      <w:pPr>
        <w:pStyle w:val="BodyTextSTD"/>
        <w:rPr>
          <w:b/>
        </w:rPr>
      </w:pPr>
      <w:r w:rsidRPr="00CB5B09">
        <w:rPr>
          <w:b/>
        </w:rPr>
        <w:t xml:space="preserve">What are the utility/disutility values associated with various treatments and health states for patients with CIDP? </w:t>
      </w:r>
    </w:p>
    <w:p w14:paraId="258A0D1D" w14:textId="77777777" w:rsidR="00837294" w:rsidRPr="00BC0709" w:rsidRDefault="00837294" w:rsidP="00BC0709">
      <w:pPr>
        <w:pStyle w:val="BodyTextSTD"/>
        <w:rPr>
          <w:u w:val="single"/>
        </w:rPr>
      </w:pPr>
      <w:r w:rsidRPr="00BC0709">
        <w:rPr>
          <w:u w:val="single"/>
        </w:rPr>
        <w:t>Patients with CIDP eligible for Ig treatment</w:t>
      </w:r>
    </w:p>
    <w:p w14:paraId="3C25DB44" w14:textId="3554A6C5" w:rsidR="00837294" w:rsidRDefault="00837294" w:rsidP="00BC0709">
      <w:pPr>
        <w:pStyle w:val="BodyTextSTD"/>
      </w:pPr>
      <w:r>
        <w:t>McCrone et al measured HRQoL using EQ-5D at baseline (no treatment) and at six weeks in patients with CIDP who required treatment with IVIg or prednisolone</w:t>
      </w:r>
      <w:r w:rsidR="00492C94">
        <w:t xml:space="preserve"> </w:t>
      </w:r>
      <w:r w:rsidR="00B727D6">
        <w:fldChar w:fldCharType="begin">
          <w:fldData xml:space="preserve">PEVuZE5vdGU+PENpdGU+PEF1dGhvcj5NY0Nyb25lPC9BdXRob3I+PFllYXI+MjAwMzwvWWVhcj48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</w:fldData>
        </w:fldChar>
      </w:r>
      <w:r w:rsidR="00B727D6">
        <w:instrText xml:space="preserve"> ADDIN EN.CITE </w:instrText>
      </w:r>
      <w:r w:rsidR="00B727D6">
        <w:fldChar w:fldCharType="begin">
          <w:fldData xml:space="preserve">PEVuZE5vdGU+PENpdGU+PEF1dGhvcj5NY0Nyb25lPC9BdXRob3I+PFllYXI+MjAwMzwvWWVhcj48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43" w:tooltip="McCrone, 2003 #2" w:history="1">
        <w:r w:rsidR="00D726F6">
          <w:rPr>
            <w:noProof/>
          </w:rPr>
          <w:t>McCrone et al. 2003</w:t>
        </w:r>
      </w:hyperlink>
      <w:r w:rsidR="00B727D6">
        <w:rPr>
          <w:noProof/>
        </w:rPr>
        <w:t>)</w:t>
      </w:r>
      <w:r w:rsidR="00B727D6">
        <w:fldChar w:fldCharType="end"/>
      </w:r>
      <w:r>
        <w:t>. The baseline HRQoL was 0.64 and 0.57 in groups treated with prednisolone or IVIg respectively. Whilst HRQoL was largely unchanged (0.64 to 0.63) for the prednisolone group, the effect of initiating treatment with intravenous Ig resulted in a non-statistically significant gain in QoL of 0.12 (0.57 to 0.69)</w:t>
      </w:r>
      <w:r w:rsidRPr="001058A6">
        <w:t xml:space="preserve"> </w:t>
      </w:r>
      <w:r w:rsidR="00B727D6">
        <w:fldChar w:fldCharType="begin">
          <w:fldData xml:space="preserve">PEVuZE5vdGU+PENpdGU+PEF1dGhvcj5NY0Nyb25lPC9BdXRob3I+PFllYXI+MjAwMzwvWWVhcj48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</w:fldData>
        </w:fldChar>
      </w:r>
      <w:r w:rsidR="00B727D6">
        <w:instrText xml:space="preserve"> ADDIN EN.CITE </w:instrText>
      </w:r>
      <w:r w:rsidR="00B727D6">
        <w:fldChar w:fldCharType="begin">
          <w:fldData xml:space="preserve">PEVuZE5vdGU+PENpdGU+PEF1dGhvcj5NY0Nyb25lPC9BdXRob3I+PFllYXI+MjAwMzwvWWVhcj48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43" w:tooltip="McCrone, 2003 #2" w:history="1">
        <w:r w:rsidR="00D726F6">
          <w:rPr>
            <w:noProof/>
          </w:rPr>
          <w:t>McCrone et al. 2003</w:t>
        </w:r>
      </w:hyperlink>
      <w:r w:rsidR="00B727D6">
        <w:rPr>
          <w:noProof/>
        </w:rPr>
        <w:t>)</w:t>
      </w:r>
      <w:r w:rsidR="00B727D6">
        <w:fldChar w:fldCharType="end"/>
      </w:r>
      <w:r>
        <w:t>. Mahdi-Rogers et al studied the cost of illness and health related QoL in patients with chronic neuropathies (CIDP, multifocal motor neuropathy and p</w:t>
      </w:r>
      <w:r w:rsidRPr="000E28F7">
        <w:t>araproteinaemic demyelinating neuropathy</w:t>
      </w:r>
      <w:r>
        <w:t>) in Southeast England. T</w:t>
      </w:r>
      <w:r w:rsidRPr="00FE69F4">
        <w:t xml:space="preserve">he mean (SD) </w:t>
      </w:r>
      <w:r>
        <w:t>EQ-5D utility score</w:t>
      </w:r>
      <w:r w:rsidRPr="00FE69F4">
        <w:t xml:space="preserve"> </w:t>
      </w:r>
      <w:r>
        <w:t>reported for</w:t>
      </w:r>
      <w:r w:rsidRPr="00FE69F4">
        <w:t xml:space="preserve"> </w:t>
      </w:r>
      <w:r w:rsidRPr="00EC7D13">
        <w:t xml:space="preserve">CIDP </w:t>
      </w:r>
      <w:r>
        <w:t xml:space="preserve">was </w:t>
      </w:r>
      <w:r w:rsidRPr="00EC7D13">
        <w:t>0.62</w:t>
      </w:r>
      <w:r>
        <w:t xml:space="preserve"> (0.23). The</w:t>
      </w:r>
      <w:r w:rsidRPr="00FE69F4">
        <w:t xml:space="preserve"> </w:t>
      </w:r>
      <w:r>
        <w:t>combined utility score</w:t>
      </w:r>
      <w:r w:rsidRPr="00FE69F4">
        <w:t xml:space="preserve"> in </w:t>
      </w:r>
      <w:r>
        <w:t xml:space="preserve">all three diseases was not significantly related to </w:t>
      </w:r>
      <w:r w:rsidRPr="00FE69F4">
        <w:t>age, disease duration or sex</w:t>
      </w:r>
      <w:r>
        <w:t xml:space="preserve"> </w:t>
      </w:r>
      <w:r w:rsidR="00B727D6">
        <w:fldChar w:fldCharType="begin">
          <w:fldData xml:space="preserve">PEVuZE5vdGU+PENpdGU+PEF1dGhvcj5NYWhkaS1Sb2dlcnM8L0F1dGhvcj48WWVhcj4yMDE0PC9Z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</w:fldData>
        </w:fldChar>
      </w:r>
      <w:r w:rsidR="00B727D6">
        <w:instrText xml:space="preserve"> ADDIN EN.CITE </w:instrText>
      </w:r>
      <w:r w:rsidR="00B727D6">
        <w:fldChar w:fldCharType="begin">
          <w:fldData xml:space="preserve">PEVuZE5vdGU+PENpdGU+PEF1dGhvcj5NYWhkaS1Sb2dlcnM8L0F1dGhvcj48WWVhcj4yMDE0PC9Z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41" w:tooltip="Mahdi-Rogers, 2014 #15" w:history="1">
        <w:r w:rsidR="00D726F6">
          <w:rPr>
            <w:noProof/>
          </w:rPr>
          <w:t>Mahdi-Rogers, McCrone &amp; Hughes 2014</w:t>
        </w:r>
      </w:hyperlink>
      <w:r w:rsidR="00B727D6">
        <w:rPr>
          <w:noProof/>
        </w:rPr>
        <w:t>)</w:t>
      </w:r>
      <w:r w:rsidR="00B727D6">
        <w:fldChar w:fldCharType="end"/>
      </w:r>
      <w:r>
        <w:t>. HRQoL values reported in studies by McCrone et al and Mahdi-Rogers et al are similar for CIDP patients (0.57–0.64). It is assumed that CIDP patient entering in the model will have base line utility of 0.62. Sensitivity analysis will assess the baseline CIDP utility in the range 0.57–0.64.</w:t>
      </w:r>
    </w:p>
    <w:p w14:paraId="13598F5B" w14:textId="77777777" w:rsidR="00837294" w:rsidRPr="00E55655" w:rsidRDefault="00837294" w:rsidP="00837294">
      <w:pPr>
        <w:rPr>
          <w:u w:val="single"/>
        </w:rPr>
      </w:pPr>
      <w:r w:rsidRPr="00E55655">
        <w:rPr>
          <w:u w:val="single"/>
        </w:rPr>
        <w:t>Utility gain with Ig</w:t>
      </w:r>
    </w:p>
    <w:p w14:paraId="6DDD4CC1" w14:textId="7CF27130" w:rsidR="00837294" w:rsidRDefault="00837294" w:rsidP="00BC0709">
      <w:pPr>
        <w:pStyle w:val="BodyTextSTD"/>
      </w:pPr>
      <w:r>
        <w:t xml:space="preserve">Treatment response in CIDP is measured through reduction in disability scores which will indicate gain in health utility values. A meta-analysis of four-small short-term placebo-controlled clinical trials, found a significant reduction in disability score and improvement in strength in favour of IVIg </w:t>
      </w:r>
      <w:r w:rsidR="00B727D6">
        <w:fldChar w:fldCharType="begin">
          <w:fldData xml:space="preserve">PEVuZE5vdGU+PENpdGU+PEF1dGhvcj5HYWViZWw8L0F1dGhvcj48WWVhcj4yMDEwPC9ZZWFyPjxS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</w:fldData>
        </w:fldChar>
      </w:r>
      <w:r w:rsidR="00B727D6">
        <w:instrText xml:space="preserve"> ADDIN EN.CITE </w:instrText>
      </w:r>
      <w:r w:rsidR="00B727D6">
        <w:fldChar w:fldCharType="begin">
          <w:fldData xml:space="preserve">PEVuZE5vdGU+PENpdGU+PEF1dGhvcj5HYWViZWw8L0F1dGhvcj48WWVhcj4yMDEwPC9ZZWFyPjxS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</w:fldData>
        </w:fldChar>
      </w:r>
      <w:r w:rsidR="00B727D6">
        <w:instrText xml:space="preserve"> ADDIN EN.CITE.DATA </w:instrText>
      </w:r>
      <w:r w:rsidR="00B727D6">
        <w:fldChar w:fldCharType="end"/>
      </w:r>
      <w:r w:rsidR="00B727D6">
        <w:fldChar w:fldCharType="separate"/>
      </w:r>
      <w:r w:rsidR="00B727D6">
        <w:rPr>
          <w:noProof/>
        </w:rPr>
        <w:t>(</w:t>
      </w:r>
      <w:hyperlink w:anchor="_ENREF_19" w:tooltip="Gaebel, 2010 #1206" w:history="1">
        <w:r w:rsidR="00D726F6">
          <w:rPr>
            <w:noProof/>
          </w:rPr>
          <w:t>Gaebel et al. 2010</w:t>
        </w:r>
      </w:hyperlink>
      <w:r w:rsidR="00B727D6">
        <w:rPr>
          <w:noProof/>
        </w:rPr>
        <w:t>)</w:t>
      </w:r>
      <w:r w:rsidR="00B727D6">
        <w:fldChar w:fldCharType="end"/>
      </w:r>
      <w:r>
        <w:t>. McCrone et al found that treatment with intravenous Ig over six weeks resulted in a non-statistically significant gain in QoL of 0.12 (0.57 to 0.69)</w:t>
      </w:r>
      <w:r w:rsidRPr="001058A6">
        <w:t xml:space="preserve"> </w:t>
      </w:r>
      <w:r w:rsidR="00B727D6">
        <w:fldChar w:fldCharType="begin">
          <w:fldData xml:space="preserve">PEVuZE5vdGU+PENpdGU+PEF1dGhvcj5NY0Nyb25lPC9BdXRob3I+PFllYXI+MjAwMzwvWWVhcj48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</w:fldData>
        </w:fldChar>
      </w:r>
      <w:r w:rsidR="00B727D6">
        <w:instrText xml:space="preserve"> ADDIN EN.CITE </w:instrText>
      </w:r>
      <w:r w:rsidR="00B727D6">
        <w:fldChar w:fldCharType="begin">
          <w:fldData xml:space="preserve">PEVuZE5vdGU+PENpdGU+PEF1dGhvcj5NY0Nyb25lPC9BdXRob3I+PFllYXI+MjAwMzwvWWVhcj48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43" w:tooltip="McCrone, 2003 #2" w:history="1">
        <w:r w:rsidR="00D726F6">
          <w:rPr>
            <w:noProof/>
          </w:rPr>
          <w:t>McCrone et al. 2003</w:t>
        </w:r>
      </w:hyperlink>
      <w:r w:rsidR="00B727D6">
        <w:rPr>
          <w:noProof/>
        </w:rPr>
        <w:t>)</w:t>
      </w:r>
      <w:r w:rsidR="00B727D6">
        <w:fldChar w:fldCharType="end"/>
      </w:r>
      <w:r>
        <w:t xml:space="preserve">. The base-case analysis assumes that treatment with Ig results in utility gain of 0.12 in patients starting induction therapy. The utility gain with Ig beyond the study period of six weeks is uncertain, but the model assumes that this utility gain is maintained throughout the treatment. Sensitivity analysis will assess the impact of varying utility gain by </w:t>
      </w:r>
      <w:r>
        <w:rPr>
          <w:rFonts w:cs="Calibri"/>
        </w:rPr>
        <w:t>±</w:t>
      </w:r>
      <w:r>
        <w:t>50%.</w:t>
      </w:r>
    </w:p>
    <w:p w14:paraId="5DD678E1" w14:textId="77777777" w:rsidR="00837294" w:rsidRPr="00F50D90" w:rsidRDefault="00837294" w:rsidP="00837294">
      <w:pPr>
        <w:rPr>
          <w:u w:val="single"/>
        </w:rPr>
      </w:pPr>
      <w:r>
        <w:rPr>
          <w:u w:val="single"/>
        </w:rPr>
        <w:t>Corticos</w:t>
      </w:r>
      <w:r w:rsidRPr="00F50D90">
        <w:rPr>
          <w:u w:val="single"/>
        </w:rPr>
        <w:t>teroids</w:t>
      </w:r>
      <w:r>
        <w:rPr>
          <w:u w:val="single"/>
        </w:rPr>
        <w:t xml:space="preserve"> </w:t>
      </w:r>
    </w:p>
    <w:p w14:paraId="07E837D1" w14:textId="5954D6A2" w:rsidR="00837294" w:rsidRDefault="00837294" w:rsidP="00BC0709">
      <w:pPr>
        <w:pStyle w:val="BodyTextSTD"/>
      </w:pPr>
      <w:r>
        <w:t>Although steroids may be an efficacious first</w:t>
      </w:r>
      <w:r w:rsidR="0052156B">
        <w:t>-</w:t>
      </w:r>
      <w:r>
        <w:t>line treatment for CIDP, they are associated with significant adverse events. The chronic use of steroids</w:t>
      </w:r>
      <w:r w:rsidRPr="003B12D4">
        <w:t xml:space="preserve"> </w:t>
      </w:r>
      <w:r w:rsidRPr="00E3331A">
        <w:t xml:space="preserve">is associated with </w:t>
      </w:r>
      <w:r w:rsidRPr="00E3331A">
        <w:rPr>
          <w:noProof/>
        </w:rPr>
        <w:t>a number of</w:t>
      </w:r>
      <w:r w:rsidRPr="00E3331A">
        <w:t xml:space="preserve"> potentially serious side effects including diabetes, increased risk of fracture</w:t>
      </w:r>
      <w:r>
        <w:t>, osteoporosis, hypertension,</w:t>
      </w:r>
      <w:r w:rsidRPr="003B12D4">
        <w:t xml:space="preserve"> metabolic syndrome, weight gain, cataracts, glaucoma, gastrointestinal bleeds/ulcers, </w:t>
      </w:r>
      <w:r w:rsidRPr="00E3331A">
        <w:t>increased susceptibility to infection</w:t>
      </w:r>
      <w:r w:rsidRPr="003B12D4">
        <w:t xml:space="preserve"> and psychological disorders</w:t>
      </w:r>
      <w:r>
        <w:t>. Sullivan et al assessed the HRQoL of patients taking systemic corticosteroids using data from t</w:t>
      </w:r>
      <w:r w:rsidRPr="00A02359">
        <w:t xml:space="preserve">he Medical Expenditure Panel Survey (MEPS) </w:t>
      </w:r>
      <w:r>
        <w:t xml:space="preserve">and EQ-5D tariffs for the USA and the UK </w:t>
      </w:r>
      <w:r w:rsidR="00B727D6">
        <w:fldChar w:fldCharType="begin">
          <w:fldData xml:space="preserve">PEVuZE5vdGU+PENpdGU+PEF1dGhvcj5TdWxsaXZhbjwvQXV0aG9yPjxZZWFyPjIwMTc8L1llYXI+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</w:fldData>
        </w:fldChar>
      </w:r>
      <w:r w:rsidR="00B727D6">
        <w:instrText xml:space="preserve"> ADDIN EN.CITE </w:instrText>
      </w:r>
      <w:r w:rsidR="00B727D6">
        <w:fldChar w:fldCharType="begin">
          <w:fldData xml:space="preserve">PEVuZE5vdGU+PENpdGU+PEF1dGhvcj5TdWxsaXZhbjwvQXV0aG9yPjxZZWFyPjIwMTc8L1llYXI+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68" w:tooltip="Sullivan, 2017 #1941" w:history="1">
        <w:r w:rsidR="00D726F6">
          <w:rPr>
            <w:noProof/>
          </w:rPr>
          <w:t>Sullivan et al. 2017</w:t>
        </w:r>
      </w:hyperlink>
      <w:r w:rsidR="00B727D6">
        <w:rPr>
          <w:noProof/>
        </w:rPr>
        <w:t>)</w:t>
      </w:r>
      <w:r w:rsidR="00B727D6">
        <w:fldChar w:fldCharType="end"/>
      </w:r>
      <w:r>
        <w:t xml:space="preserve">. They performed regression analysis in order to control for confounding by indication (underlying medical conditions), other demographic characteristics and number of steroid prescriptions used. </w:t>
      </w:r>
      <w:r w:rsidRPr="002A6C6D">
        <w:t xml:space="preserve">After controlling for sociodemographic characteristics, chronic comorbidity, the conditions for which </w:t>
      </w:r>
      <w:r>
        <w:t>steroids</w:t>
      </w:r>
      <w:r w:rsidRPr="002A6C6D">
        <w:t xml:space="preserve"> are used, and surrogate measures of severity and burden of disease, EQ-5D </w:t>
      </w:r>
      <w:r>
        <w:t>UK score</w:t>
      </w:r>
      <w:r w:rsidRPr="002A6C6D">
        <w:t xml:space="preserve"> for individuals using </w:t>
      </w:r>
      <w:r>
        <w:rPr>
          <w:rFonts w:cs="Calibri"/>
        </w:rPr>
        <w:t>≥</w:t>
      </w:r>
      <w:r>
        <w:t>4 </w:t>
      </w:r>
      <w:r w:rsidRPr="002A6C6D">
        <w:t xml:space="preserve">prescriptions of </w:t>
      </w:r>
      <w:r>
        <w:t>steroids</w:t>
      </w:r>
      <w:r w:rsidRPr="002A6C6D">
        <w:t xml:space="preserve"> </w:t>
      </w:r>
      <w:r>
        <w:t>was –</w:t>
      </w:r>
      <w:r w:rsidRPr="002A6C6D">
        <w:t>0.0</w:t>
      </w:r>
      <w:r>
        <w:t>47 (–0.036 to –0.054)</w:t>
      </w:r>
      <w:r w:rsidRPr="002A6C6D">
        <w:t>.</w:t>
      </w:r>
      <w:r>
        <w:t xml:space="preserve"> This disutility score is applied to patients who are on steroid treatment in the model. Observational data indicate that adverse physiological effects of steroid use last for a year </w:t>
      </w:r>
      <w:r w:rsidR="00B727D6">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sidR="00B727D6">
        <w:instrText xml:space="preserve"> ADDIN EN.CITE </w:instrText>
      </w:r>
      <w:r w:rsidR="00B727D6">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2" w:tooltip="Wilson, 2017 #3" w:history="1">
        <w:r w:rsidR="00D726F6">
          <w:rPr>
            <w:noProof/>
          </w:rPr>
          <w:t>Wilson, J. C. et al. 2017b</w:t>
        </w:r>
      </w:hyperlink>
      <w:r w:rsidR="00B727D6">
        <w:rPr>
          <w:noProof/>
        </w:rPr>
        <w:t>)</w:t>
      </w:r>
      <w:r w:rsidR="00B727D6">
        <w:fldChar w:fldCharType="end"/>
      </w:r>
      <w:r>
        <w:t xml:space="preserve">; therefore this disutility is applied to HRQoL values in the model for one year after stopping the steroid treatment. Sensitivity analysis assumes disutility associated with steroid use is only applicable while patients are on treatment and there is no treatment associated disutility after stopping the steroids. </w:t>
      </w:r>
    </w:p>
    <w:p w14:paraId="72B20BDD" w14:textId="77777777" w:rsidR="00837294" w:rsidRPr="0067264C" w:rsidRDefault="00837294" w:rsidP="00837294">
      <w:pPr>
        <w:rPr>
          <w:u w:val="single"/>
        </w:rPr>
      </w:pPr>
      <w:r w:rsidRPr="0067264C">
        <w:rPr>
          <w:u w:val="single"/>
        </w:rPr>
        <w:t>Plasma exchange</w:t>
      </w:r>
    </w:p>
    <w:p w14:paraId="337E0D4E" w14:textId="77777777" w:rsidR="00837294" w:rsidRDefault="00837294" w:rsidP="00BC0709">
      <w:pPr>
        <w:pStyle w:val="BodyTextSTD"/>
      </w:pPr>
      <w:r>
        <w:t xml:space="preserve">Utility gain/loss associated with treatment with PE was not available in the literature. The base-case analysis assumes a utility gain of 0.12 similar to IVIg, based on an assumption of equivalent therapeutic effect. Sensitivity analysis will vary the utility gain from 0.0–0.18. </w:t>
      </w:r>
    </w:p>
    <w:p w14:paraId="05D13218" w14:textId="77777777" w:rsidR="00837294" w:rsidRPr="00C25395" w:rsidRDefault="00837294" w:rsidP="00837294">
      <w:pPr>
        <w:rPr>
          <w:u w:val="single"/>
        </w:rPr>
      </w:pPr>
      <w:r w:rsidRPr="00C25395">
        <w:rPr>
          <w:u w:val="single"/>
        </w:rPr>
        <w:t>Intravenous infusions</w:t>
      </w:r>
    </w:p>
    <w:p w14:paraId="457B8481" w14:textId="69E6FF01" w:rsidR="00837294" w:rsidRDefault="00837294" w:rsidP="00BC0709">
      <w:pPr>
        <w:pStyle w:val="BodyTextSTD"/>
      </w:pPr>
      <w:r>
        <w:t xml:space="preserve">Inconvenience associated with an uncomplicated intravenous infusion every few weeks was incorporated into the model. This was sourced from MSAC 1565 assessment report which used study by Weeks et al to estimate disutility (–0.0006) associated with intravenous infusion per day </w:t>
      </w:r>
      <w:r w:rsidR="00B727D6">
        <w:fldChar w:fldCharType="begin">
          <w:fldData xml:space="preserve">PEVuZE5vdGU+PENpdGU+PEF1dGhvcj5XZWVrczwvQXV0aG9yPjxZZWFyPjE5OTE8L1llYXI+PFJl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</w:fldData>
        </w:fldChar>
      </w:r>
      <w:r w:rsidR="00B727D6">
        <w:instrText xml:space="preserve"> ADDIN EN.CITE </w:instrText>
      </w:r>
      <w:r w:rsidR="00B727D6">
        <w:fldChar w:fldCharType="begin">
          <w:fldData xml:space="preserve">PEVuZE5vdGU+PENpdGU+PEF1dGhvcj5XZWVrczwvQXV0aG9yPjxZZWFyPjE5OTE8L1llYXI+PFJl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79" w:tooltip="Weeks, 1991 #1949" w:history="1">
        <w:r w:rsidR="00D726F6">
          <w:rPr>
            <w:noProof/>
          </w:rPr>
          <w:t>Weeks, Tierney &amp; Weinstein 1991</w:t>
        </w:r>
      </w:hyperlink>
      <w:r w:rsidR="00B727D6">
        <w:rPr>
          <w:noProof/>
        </w:rPr>
        <w:t xml:space="preserve">; </w:t>
      </w:r>
      <w:hyperlink w:anchor="_ENREF_85" w:tooltip="Wyndham, 2019 #1950" w:history="1">
        <w:r w:rsidR="00D726F6">
          <w:rPr>
            <w:noProof/>
          </w:rPr>
          <w:t>Wyndham et al. 2019</w:t>
        </w:r>
      </w:hyperlink>
      <w:r w:rsidR="00B727D6">
        <w:rPr>
          <w:noProof/>
        </w:rPr>
        <w:t>)</w:t>
      </w:r>
      <w:r w:rsidR="00B727D6">
        <w:fldChar w:fldCharType="end"/>
      </w:r>
      <w:r>
        <w:t>. This disutility is applied for each infusion in the Ig, PE and IVMP treatment arms.</w:t>
      </w:r>
    </w:p>
    <w:p w14:paraId="2E973523" w14:textId="77777777" w:rsidR="00837294" w:rsidRPr="00C25395" w:rsidRDefault="00837294" w:rsidP="00837294">
      <w:pPr>
        <w:rPr>
          <w:u w:val="single"/>
        </w:rPr>
      </w:pPr>
      <w:r w:rsidRPr="00C25395">
        <w:rPr>
          <w:u w:val="single"/>
        </w:rPr>
        <w:t>Adverse events</w:t>
      </w:r>
    </w:p>
    <w:p w14:paraId="79DE453F" w14:textId="5E387F40" w:rsidR="00837294" w:rsidRDefault="00837294" w:rsidP="00BC0709">
      <w:pPr>
        <w:pStyle w:val="BodyTextSTD"/>
      </w:pPr>
      <w:r w:rsidRPr="00BE5F7E">
        <w:t xml:space="preserve">The most common </w:t>
      </w:r>
      <w:r w:rsidR="0079276A">
        <w:t>AE</w:t>
      </w:r>
      <w:r w:rsidRPr="00BE5F7E">
        <w:t xml:space="preserve"> with </w:t>
      </w:r>
      <w:r>
        <w:t>IVIg</w:t>
      </w:r>
      <w:r w:rsidRPr="00BE5F7E">
        <w:t xml:space="preserve"> were headache, </w:t>
      </w:r>
      <w:r w:rsidR="00492C94">
        <w:t>nausea</w:t>
      </w:r>
      <w:r w:rsidRPr="00BE5F7E">
        <w:t xml:space="preserve">, </w:t>
      </w:r>
      <w:r w:rsidR="00492C94">
        <w:t xml:space="preserve">rash </w:t>
      </w:r>
      <w:r w:rsidRPr="00BE5F7E">
        <w:t>and hypertension</w:t>
      </w:r>
      <w:r>
        <w:t xml:space="preserve"> </w:t>
      </w:r>
      <w:r w:rsidR="00492C94">
        <w:t>(</w:t>
      </w:r>
      <w:r w:rsidR="00492C94">
        <w:fldChar w:fldCharType="begin"/>
      </w:r>
      <w:r w:rsidR="00492C94">
        <w:instrText xml:space="preserve"> REF _Ref58238706 \h  \* MERGEFORMAT </w:instrText>
      </w:r>
      <w:r w:rsidR="00492C94">
        <w:fldChar w:fldCharType="separate"/>
      </w:r>
      <w:r w:rsidR="004B3EA2" w:rsidRPr="00B6590E">
        <w:t xml:space="preserve">Table </w:t>
      </w:r>
      <w:r w:rsidR="004B3EA2">
        <w:t>25</w:t>
      </w:r>
      <w:r w:rsidR="00492C94">
        <w:fldChar w:fldCharType="end"/>
      </w:r>
      <w:r w:rsidR="00492C94">
        <w:t xml:space="preserve">). </w:t>
      </w:r>
      <w:r>
        <w:t xml:space="preserve">These are considered to be short-term and transient. Therefore no additional disutility (beyond the disutility when having an IV infusion) is applied to the health states for the </w:t>
      </w:r>
      <w:r w:rsidR="0079276A">
        <w:t>AE</w:t>
      </w:r>
      <w:r>
        <w:t xml:space="preserve"> in Ig arm. </w:t>
      </w:r>
      <w:r w:rsidR="00492C94">
        <w:t xml:space="preserve">There was one serious </w:t>
      </w:r>
      <w:r w:rsidR="0079276A">
        <w:t>AE</w:t>
      </w:r>
      <w:r w:rsidR="00492C94">
        <w:t xml:space="preserve"> of aseptic meningitis (0.5% of patients) reported in one retrospective cohort analysis </w:t>
      </w:r>
      <w:r w:rsidR="00B727D6">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sidR="00B727D6">
        <w:instrText xml:space="preserve"> ADDIN EN.CITE </w:instrText>
      </w:r>
      <w:r w:rsidR="00B727D6">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7" w:tooltip="Waheed, 2019 #14" w:history="1">
        <w:r w:rsidR="00D726F6">
          <w:rPr>
            <w:noProof/>
          </w:rPr>
          <w:t>Waheed et al. 2019</w:t>
        </w:r>
      </w:hyperlink>
      <w:r w:rsidR="00B727D6">
        <w:rPr>
          <w:noProof/>
        </w:rPr>
        <w:t>)</w:t>
      </w:r>
      <w:r w:rsidR="00B727D6">
        <w:fldChar w:fldCharType="end"/>
      </w:r>
      <w:r w:rsidR="00492C94">
        <w:t xml:space="preserve"> reporting data on </w:t>
      </w:r>
      <w:r w:rsidR="0079276A">
        <w:t>AE</w:t>
      </w:r>
      <w:r w:rsidR="00492C94">
        <w:t xml:space="preserve"> for 221 patients with CIDP over a median follow-up of 21 weeks in </w:t>
      </w:r>
      <w:r w:rsidR="00303EBF">
        <w:t xml:space="preserve">year </w:t>
      </w:r>
      <w:r w:rsidR="00492C94">
        <w:t xml:space="preserve">2010. Study and adverse event details were described in </w:t>
      </w:r>
      <w:r w:rsidR="00492C94">
        <w:fldChar w:fldCharType="begin"/>
      </w:r>
      <w:r w:rsidR="00492C94">
        <w:instrText xml:space="preserve"> REF _Ref57294599 \h </w:instrText>
      </w:r>
      <w:r w:rsidR="00492C94">
        <w:fldChar w:fldCharType="separate"/>
      </w:r>
      <w:r w:rsidR="004B3EA2">
        <w:t xml:space="preserve">Table </w:t>
      </w:r>
      <w:r w:rsidR="004B3EA2">
        <w:rPr>
          <w:noProof/>
        </w:rPr>
        <w:t>22</w:t>
      </w:r>
      <w:r w:rsidR="00492C94">
        <w:fldChar w:fldCharType="end"/>
      </w:r>
      <w:r w:rsidR="00492C94">
        <w:t xml:space="preserve"> and </w:t>
      </w:r>
      <w:r w:rsidR="00492C94">
        <w:fldChar w:fldCharType="begin"/>
      </w:r>
      <w:r w:rsidR="00492C94">
        <w:instrText xml:space="preserve"> REF _Ref57294650 \h  \* MERGEFORMAT </w:instrText>
      </w:r>
      <w:r w:rsidR="00492C94">
        <w:fldChar w:fldCharType="separate"/>
      </w:r>
      <w:r w:rsidR="004B3EA2">
        <w:t xml:space="preserve">Table </w:t>
      </w:r>
      <w:r w:rsidR="004B3EA2">
        <w:rPr>
          <w:noProof/>
        </w:rPr>
        <w:t>23</w:t>
      </w:r>
      <w:r w:rsidR="00492C94">
        <w:fldChar w:fldCharType="end"/>
      </w:r>
      <w:r w:rsidR="00492C94">
        <w:t xml:space="preserve"> in section B.7.</w:t>
      </w:r>
      <w:r w:rsidR="00303EBF">
        <w:t xml:space="preserve"> One </w:t>
      </w:r>
      <w:r w:rsidR="00847550">
        <w:t>c</w:t>
      </w:r>
      <w:r w:rsidR="00847550" w:rsidRPr="00847550">
        <w:t xml:space="preserve">ost-effectiveness </w:t>
      </w:r>
      <w:r w:rsidR="00847550">
        <w:t>study</w:t>
      </w:r>
      <w:r w:rsidR="00847550" w:rsidRPr="00847550">
        <w:t xml:space="preserve"> </w:t>
      </w:r>
      <w:r w:rsidR="00B727D6">
        <w:fldChar w:fldCharType="begin">
          <w:fldData xml:space="preserve">PEVuZE5vdGU+PENpdGU+PEF1dGhvcj5EZWxnbGVpemU8L0F1dGhvcj48WWVhcj4yMDE2PC9ZZWFy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==
</w:fldData>
        </w:fldChar>
      </w:r>
      <w:r w:rsidR="00B727D6">
        <w:instrText xml:space="preserve"> ADDIN EN.CITE </w:instrText>
      </w:r>
      <w:r w:rsidR="00B727D6">
        <w:fldChar w:fldCharType="begin">
          <w:fldData xml:space="preserve">PEVuZE5vdGU+PENpdGU+PEF1dGhvcj5EZWxnbGVpemU8L0F1dGhvcj48WWVhcj4yMDE2PC9ZZWFy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==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11" w:tooltip="Delgleize, 2016 #1964" w:history="1">
        <w:r w:rsidR="00D726F6">
          <w:rPr>
            <w:noProof/>
          </w:rPr>
          <w:t>Delgleize et al. 2016</w:t>
        </w:r>
      </w:hyperlink>
      <w:r w:rsidR="00B727D6">
        <w:rPr>
          <w:noProof/>
        </w:rPr>
        <w:t>)</w:t>
      </w:r>
      <w:r w:rsidR="00B727D6">
        <w:fldChar w:fldCharType="end"/>
      </w:r>
      <w:r w:rsidR="00847550">
        <w:t xml:space="preserve"> </w:t>
      </w:r>
      <w:r w:rsidR="00847550" w:rsidRPr="00847550">
        <w:t>of routine pneumococcal vaccination in the UK</w:t>
      </w:r>
      <w:r w:rsidR="00847550">
        <w:t xml:space="preserve"> reported a short-term disutility of 0.023 for meningitis hospitalisation. </w:t>
      </w:r>
      <w:r w:rsidR="006400A0">
        <w:t>T</w:t>
      </w:r>
      <w:r w:rsidR="00847550">
        <w:t>his</w:t>
      </w:r>
      <w:r w:rsidR="006400A0">
        <w:t xml:space="preserve"> disutility</w:t>
      </w:r>
      <w:r w:rsidR="00847550">
        <w:t xml:space="preserve"> will be applied in </w:t>
      </w:r>
      <w:r w:rsidR="00B44096">
        <w:t xml:space="preserve">the </w:t>
      </w:r>
      <w:r w:rsidR="006400A0">
        <w:t>sensitivity analysis</w:t>
      </w:r>
      <w:r w:rsidR="00B44096" w:rsidRPr="00B44096">
        <w:t xml:space="preserve"> </w:t>
      </w:r>
      <w:r w:rsidR="00B44096">
        <w:t>for an adverse event with Ig</w:t>
      </w:r>
      <w:r w:rsidR="006400A0">
        <w:t>.</w:t>
      </w:r>
      <w:r w:rsidR="00492C94">
        <w:t xml:space="preserve"> </w:t>
      </w:r>
    </w:p>
    <w:p w14:paraId="5F13714E" w14:textId="37E56A7C" w:rsidR="00837294" w:rsidRDefault="00837294" w:rsidP="00BC0709">
      <w:pPr>
        <w:pStyle w:val="BodyTextSTD"/>
      </w:pPr>
      <w:r>
        <w:t xml:space="preserve">Disutility associated with chronic steroid use was sourced from study by Sullivan et al as discussed above </w:t>
      </w:r>
      <w:r w:rsidR="00B727D6">
        <w:fldChar w:fldCharType="begin">
          <w:fldData xml:space="preserve">PEVuZE5vdGU+PENpdGU+PEF1dGhvcj5TdWxsaXZhbjwvQXV0aG9yPjxZZWFyPjIwMTc8L1llYXI+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</w:fldData>
        </w:fldChar>
      </w:r>
      <w:r w:rsidR="00B727D6">
        <w:instrText xml:space="preserve"> ADDIN EN.CITE </w:instrText>
      </w:r>
      <w:r w:rsidR="00B727D6">
        <w:fldChar w:fldCharType="begin">
          <w:fldData xml:space="preserve">PEVuZE5vdGU+PENpdGU+PEF1dGhvcj5TdWxsaXZhbjwvQXV0aG9yPjxZZWFyPjIwMTc8L1llYXI+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68" w:tooltip="Sullivan, 2017 #1941" w:history="1">
        <w:r w:rsidR="00D726F6">
          <w:rPr>
            <w:noProof/>
          </w:rPr>
          <w:t>Sullivan et al. 2017</w:t>
        </w:r>
      </w:hyperlink>
      <w:r w:rsidR="00B727D6">
        <w:rPr>
          <w:noProof/>
        </w:rPr>
        <w:t>)</w:t>
      </w:r>
      <w:r w:rsidR="00B727D6">
        <w:fldChar w:fldCharType="end"/>
      </w:r>
      <w:r>
        <w:t xml:space="preserve">. This study cautioned that </w:t>
      </w:r>
      <w:r w:rsidRPr="0025240A">
        <w:t>these estimates likely do not fully capture the longer</w:t>
      </w:r>
      <w:r>
        <w:t xml:space="preserve"> </w:t>
      </w:r>
      <w:r w:rsidRPr="0025240A">
        <w:t xml:space="preserve">term development of </w:t>
      </w:r>
      <w:r w:rsidR="0079276A">
        <w:t>AEs</w:t>
      </w:r>
      <w:r>
        <w:t xml:space="preserve"> </w:t>
      </w:r>
      <w:r w:rsidRPr="0025240A">
        <w:t xml:space="preserve">associated with </w:t>
      </w:r>
      <w:r>
        <w:t>ongoing steroid</w:t>
      </w:r>
      <w:r w:rsidRPr="0025240A">
        <w:t xml:space="preserve"> use and their corresponding impact on HRQoL. </w:t>
      </w:r>
      <w:r>
        <w:t>This study suggested that long-term adverse effects</w:t>
      </w:r>
      <w:r w:rsidRPr="0025240A">
        <w:t xml:space="preserve"> associated with </w:t>
      </w:r>
      <w:r>
        <w:t>steroid</w:t>
      </w:r>
      <w:r w:rsidRPr="0025240A">
        <w:t xml:space="preserve"> use could be modelled by incorporating the disutility associated with the specific </w:t>
      </w:r>
      <w:r>
        <w:t>adverse effect</w:t>
      </w:r>
      <w:r w:rsidRPr="0025240A">
        <w:t xml:space="preserve"> from the catalogue of EQ-5D scores</w:t>
      </w:r>
      <w:r>
        <w:t xml:space="preserve"> in an additive manner. A</w:t>
      </w:r>
      <w:r w:rsidRPr="0025240A">
        <w:t xml:space="preserve"> catalogue of EQ-5D </w:t>
      </w:r>
      <w:r>
        <w:t xml:space="preserve">index </w:t>
      </w:r>
      <w:r w:rsidRPr="0025240A">
        <w:t xml:space="preserve">scores </w:t>
      </w:r>
      <w:r>
        <w:t xml:space="preserve">for a range of chronic conditions based on UK preferences was developed by Sullivan et al </w:t>
      </w:r>
      <w:r w:rsidR="00B727D6">
        <w:fldChar w:fldCharType="begin">
          <w:fldData xml:space="preserve">PEVuZE5vdGU+PENpdGU+PEF1dGhvcj5TdWxsaXZhbjwvQXV0aG9yPjxZZWFyPjIwMTE8L1llYXI+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</w:fldData>
        </w:fldChar>
      </w:r>
      <w:r w:rsidR="00B727D6">
        <w:instrText xml:space="preserve"> ADDIN EN.CITE </w:instrText>
      </w:r>
      <w:r w:rsidR="00B727D6">
        <w:fldChar w:fldCharType="begin">
          <w:fldData xml:space="preserve">PEVuZE5vdGU+PENpdGU+PEF1dGhvcj5TdWxsaXZhbjwvQXV0aG9yPjxZZWFyPjIwMTE8L1llYXI+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</w:fldData>
        </w:fldChar>
      </w:r>
      <w:r w:rsidR="00B727D6">
        <w:instrText xml:space="preserve"> ADDIN EN.CITE.DATA </w:instrText>
      </w:r>
      <w:r w:rsidR="00B727D6">
        <w:fldChar w:fldCharType="end"/>
      </w:r>
      <w:r w:rsidR="00B727D6">
        <w:fldChar w:fldCharType="separate"/>
      </w:r>
      <w:r w:rsidR="00B727D6">
        <w:rPr>
          <w:noProof/>
        </w:rPr>
        <w:t>(</w:t>
      </w:r>
      <w:hyperlink w:anchor="_ENREF_69" w:tooltip="Sullivan, 2011 #1945" w:history="1">
        <w:r w:rsidR="00D726F6">
          <w:rPr>
            <w:noProof/>
          </w:rPr>
          <w:t>Sullivan et al. 2011</w:t>
        </w:r>
      </w:hyperlink>
      <w:r w:rsidR="00B727D6">
        <w:rPr>
          <w:noProof/>
        </w:rPr>
        <w:t>)</w:t>
      </w:r>
      <w:r w:rsidR="00B727D6">
        <w:fldChar w:fldCharType="end"/>
      </w:r>
      <w:r>
        <w:t xml:space="preserve">, including diabetes, osteoporosis and glaucoma. The study provided </w:t>
      </w:r>
      <w:r w:rsidRPr="00FC258D">
        <w:t>the marginal decrement in EQ-5D index scores for each condition after controlling for age, comorbidity, gender, race, ethnicity, income, and education</w:t>
      </w:r>
      <w:r w:rsidRPr="0025240A">
        <w:t>.</w:t>
      </w:r>
      <w:r>
        <w:t xml:space="preserve"> The marginal disutility for chronic adverse effects are sourced from this study for steroid treatment.</w:t>
      </w:r>
      <w:r w:rsidRPr="00CA1A62">
        <w:t xml:space="preserve"> </w:t>
      </w:r>
    </w:p>
    <w:p w14:paraId="07EE9B13" w14:textId="787B2432" w:rsidR="00837294" w:rsidRDefault="00837294" w:rsidP="00BC0709">
      <w:pPr>
        <w:pStyle w:val="BodyTextSTD"/>
      </w:pPr>
      <w:r>
        <w:t>Abimanyi-Ochom</w:t>
      </w:r>
      <w:r w:rsidRPr="000C66EF">
        <w:t xml:space="preserve"> investigated change in </w:t>
      </w:r>
      <w:r>
        <w:t xml:space="preserve">HRQoL in a cohort of </w:t>
      </w:r>
      <w:r w:rsidRPr="000C66EF">
        <w:t>Australian adults aged over 50</w:t>
      </w:r>
      <w:r>
        <w:t> </w:t>
      </w:r>
      <w:r w:rsidRPr="000C66EF">
        <w:t xml:space="preserve">years </w:t>
      </w:r>
      <w:r>
        <w:t xml:space="preserve">with low to moderate </w:t>
      </w:r>
      <w:r w:rsidR="00CA4CBD">
        <w:t xml:space="preserve">impact </w:t>
      </w:r>
      <w:r>
        <w:t xml:space="preserve">fracture </w:t>
      </w:r>
      <w:r w:rsidRPr="00E841B1">
        <w:t>(hip, wrist, humerus, vertebral and ankle)</w:t>
      </w:r>
      <w:r w:rsidRPr="000C66EF">
        <w:t xml:space="preserve">. </w:t>
      </w:r>
      <w:r>
        <w:t>The study concluded f</w:t>
      </w:r>
      <w:r w:rsidRPr="000C66EF">
        <w:t xml:space="preserve">ractures reduce quality of life with the </w:t>
      </w:r>
      <w:r>
        <w:t>loss sustained at least over 12 </w:t>
      </w:r>
      <w:r w:rsidRPr="000C66EF">
        <w:t>months.</w:t>
      </w:r>
      <w:r>
        <w:t xml:space="preserve"> </w:t>
      </w:r>
      <w:r w:rsidRPr="00C54FFB">
        <w:t>The mean cumulative loss in QALYs for all fractures from pre-fracture to 12</w:t>
      </w:r>
      <w:r>
        <w:t> </w:t>
      </w:r>
      <w:r w:rsidRPr="00C54FFB">
        <w:t>months was</w:t>
      </w:r>
      <w:r>
        <w:t xml:space="preserve"> 0.157, which represented an 18</w:t>
      </w:r>
      <w:r w:rsidRPr="00C54FFB">
        <w:t xml:space="preserve">% loss in QALYs from baseline </w:t>
      </w:r>
      <w:r w:rsidR="00B727D6">
        <w:fldChar w:fldCharType="begin">
          <w:fldData xml:space="preserve">PEVuZE5vdGU+PENpdGU+PEF1dGhvcj5BYmltYW55aS1PY2hvbTwvQXV0aG9yPjxZZWFyPjIwMTU8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MT48L3BlcmlvZGljYWw+PGFsdC1wZXJpb2RpY2FsPjxmdWxsLXRpdGxlPk9zdGVvcG9yb3MgSW50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b3NpcyBGb3VuZGF0aW9uIG9mIHRoZSBVU0E8L2FiYnItMT48L2FsdC1wZXJpb2RpY2FsPjxwYWdl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</w:fldData>
        </w:fldChar>
      </w:r>
      <w:r w:rsidR="00B727D6">
        <w:instrText xml:space="preserve"> ADDIN EN.CITE </w:instrText>
      </w:r>
      <w:r w:rsidR="00B727D6">
        <w:fldChar w:fldCharType="begin">
          <w:fldData xml:space="preserve">PEVuZE5vdGU+PENpdGU+PEF1dGhvcj5BYmltYW55aS1PY2hvbTwvQXV0aG9yPjxZZWFyPjIwMTU8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MT48L3BlcmlvZGljYWw+PGFsdC1wZXJpb2RpY2FsPjxmdWxsLXRpdGxlPk9zdGVvcG9yb3MgSW50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b3NpcyBGb3VuZGF0aW9uIG9mIHRoZSBVU0E8L2FiYnItMT48L2FsdC1wZXJpb2RpY2FsPjxwYWdl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</w:fldData>
        </w:fldChar>
      </w:r>
      <w:r w:rsidR="00B727D6">
        <w:instrText xml:space="preserve"> ADDIN EN.CITE.DATA </w:instrText>
      </w:r>
      <w:r w:rsidR="00B727D6">
        <w:fldChar w:fldCharType="end"/>
      </w:r>
      <w:r w:rsidR="00B727D6">
        <w:fldChar w:fldCharType="separate"/>
      </w:r>
      <w:r w:rsidR="00B727D6">
        <w:rPr>
          <w:noProof/>
        </w:rPr>
        <w:t>(</w:t>
      </w:r>
      <w:hyperlink w:anchor="_ENREF_1" w:tooltip="Abimanyi-Ochom, 2015 #1942" w:history="1">
        <w:r w:rsidR="00D726F6">
          <w:rPr>
            <w:noProof/>
          </w:rPr>
          <w:t>Abimanyi-Ochom et al. 2015</w:t>
        </w:r>
      </w:hyperlink>
      <w:r w:rsidR="00B727D6">
        <w:rPr>
          <w:noProof/>
        </w:rPr>
        <w:t>)</w:t>
      </w:r>
      <w:r w:rsidR="00B727D6">
        <w:fldChar w:fldCharType="end"/>
      </w:r>
      <w:r>
        <w:t xml:space="preserve">. A disutility of –0.157 is applied for patients experiencing fractures in the model. Disutility associated with severe infections (–0.410) was sourced from MSAC 1565 assessment report </w:t>
      </w:r>
      <w:r w:rsidR="00B727D6">
        <w:fldChar w:fldCharType="begin"/>
      </w:r>
      <w:r w:rsidR="00B727D6">
        <w:instrText xml:space="preserve"> ADDIN EN.CITE &lt;EndNote&gt;&lt;Cite&gt;&lt;Author&gt;Wyndham&lt;/Author&gt;&lt;Year&gt;2019&lt;/Year&gt;&lt;RecNum&gt;1950&lt;/RecNum&gt;&lt;DisplayText&gt;(Wyndham et al. 2019)&lt;/DisplayText&gt;&lt;record&gt;&lt;rec-number&gt;1950&lt;/rec-number&gt;&lt;foreign-keys&gt;&lt;key app="EN" db-id="xtr5xfx2xf0wd7e0s2qvst2ietxxf0tpzr9v" timestamp="1614303612"&gt;1950&lt;/key&gt;&lt;/foreign-keys&gt;&lt;ref-type name="Report"&gt;27&lt;/ref-type&gt;&lt;contributors&gt;&lt;authors&gt;&lt;author&gt;Allison Wyndham&lt;/author&gt;&lt;author&gt;Arlene Vogan&lt;/author&gt;&lt;author&gt;Skye Newton&lt;/author&gt;&lt;author&gt;Camille Schubert &lt;/author&gt;&lt;/authors&gt;&lt;/contributors&gt;&lt;titles&gt;&lt;title&gt;Immunoglobulin for acquired hypogammaglobulinaemia secondary to haematological malignancies, or post-haemopoietic stem cell transplantation (HSCT). MSAC Application 1565, Assessment Report&lt;/title&gt;&lt;/titles&gt;&lt;dates&gt;&lt;year&gt;2019&lt;/year&gt;&lt;/dates&gt;&lt;pub-location&gt;Commonwealth of Australia, Canberra, ACT&lt;/pub-location&gt;&lt;urls&gt;&lt;/urls&gt;&lt;/record&gt;&lt;/Cite&gt;&lt;/EndNote&gt;</w:instrText>
      </w:r>
      <w:r w:rsidR="00B727D6">
        <w:fldChar w:fldCharType="separate"/>
      </w:r>
      <w:r w:rsidR="00B727D6">
        <w:rPr>
          <w:noProof/>
        </w:rPr>
        <w:t>(</w:t>
      </w:r>
      <w:hyperlink w:anchor="_ENREF_85" w:tooltip="Wyndham, 2019 #1950" w:history="1">
        <w:r w:rsidR="00D726F6">
          <w:rPr>
            <w:noProof/>
          </w:rPr>
          <w:t>Wyndham et al. 2019</w:t>
        </w:r>
      </w:hyperlink>
      <w:r w:rsidR="00B727D6">
        <w:rPr>
          <w:noProof/>
        </w:rPr>
        <w:t>)</w:t>
      </w:r>
      <w:r w:rsidR="00B727D6">
        <w:fldChar w:fldCharType="end"/>
      </w:r>
      <w:r>
        <w:t>.</w:t>
      </w:r>
    </w:p>
    <w:p w14:paraId="67BFE44B" w14:textId="176C3552" w:rsidR="004A1851" w:rsidRDefault="00682B96" w:rsidP="004A1851">
      <w:pPr>
        <w:pStyle w:val="BodyTextSTD"/>
      </w:pPr>
      <w:r>
        <w:t>AEs</w:t>
      </w:r>
      <w:r w:rsidR="004A1851">
        <w:t xml:space="preserve"> of hypertension, fractures, osteoporosis, diabetes and glaucoma are categorised as moderate adverse events that result in treatment change. One retrospective analysis</w:t>
      </w:r>
      <w:r w:rsidR="007B0A9C">
        <w:t xml:space="preserve"> </w:t>
      </w:r>
      <w:r w:rsidR="00B727D6">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rsidR="00B727D6">
        <w:instrText xml:space="preserve"> ADDIN EN.CITE </w:instrText>
      </w:r>
      <w:r w:rsidR="00B727D6">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3" w:tooltip="van Lieverloo, 2018 #13" w:history="1">
        <w:r w:rsidR="00D726F6">
          <w:rPr>
            <w:noProof/>
          </w:rPr>
          <w:t>van Lieverloo et al. 2018</w:t>
        </w:r>
      </w:hyperlink>
      <w:r w:rsidR="00B727D6">
        <w:rPr>
          <w:noProof/>
        </w:rPr>
        <w:t>)</w:t>
      </w:r>
      <w:r w:rsidR="00B727D6">
        <w:fldChar w:fldCharType="end"/>
      </w:r>
      <w:r w:rsidR="004A1851">
        <w:t xml:space="preserve"> of corticosteroids use in 125 patients with CIDP reported moderate a</w:t>
      </w:r>
      <w:r w:rsidR="004A1851" w:rsidRPr="004A1851">
        <w:t xml:space="preserve">dverse events </w:t>
      </w:r>
      <w:r w:rsidR="007B0A9C">
        <w:t>of</w:t>
      </w:r>
      <w:r w:rsidR="004A1851" w:rsidRPr="004A1851">
        <w:t xml:space="preserve"> hypertension, diabetes mellitus, glaucoma, depression, </w:t>
      </w:r>
      <w:r w:rsidR="00171CCE">
        <w:t>C</w:t>
      </w:r>
      <w:r w:rsidR="004A1851" w:rsidRPr="004A1851">
        <w:t>ushingoid appearance, and gastro-intestinal complaints</w:t>
      </w:r>
      <w:r w:rsidR="004A1851">
        <w:t xml:space="preserve"> in ten</w:t>
      </w:r>
      <w:r w:rsidR="007B0A9C">
        <w:t xml:space="preserve"> (8%)</w:t>
      </w:r>
      <w:r w:rsidR="004A1851">
        <w:t xml:space="preserve"> patients</w:t>
      </w:r>
      <w:r w:rsidR="007B0A9C">
        <w:t>.</w:t>
      </w:r>
      <w:r w:rsidR="004A1851">
        <w:t xml:space="preserve"> </w:t>
      </w:r>
      <w:r w:rsidR="007B0A9C">
        <w:t>Additionally, s</w:t>
      </w:r>
      <w:r w:rsidR="004A1851">
        <w:t xml:space="preserve">erious </w:t>
      </w:r>
      <w:r>
        <w:t>AE</w:t>
      </w:r>
      <w:r w:rsidR="004A1851">
        <w:t xml:space="preserve"> </w:t>
      </w:r>
      <w:r w:rsidR="004A1851" w:rsidRPr="004A1851">
        <w:t>occurred in two patients, one case of severe hypertension and one acute myocardial infarction</w:t>
      </w:r>
      <w:r w:rsidR="004A1851">
        <w:t xml:space="preserve">. Key trial comparing IVIg with IVMP reported one severe </w:t>
      </w:r>
      <w:r w:rsidR="007C1548">
        <w:t>AE</w:t>
      </w:r>
      <w:r w:rsidR="004A1851">
        <w:t xml:space="preserve"> of gastritis in a patient treated with IVMP. </w:t>
      </w:r>
      <w:r w:rsidR="003D0FF4">
        <w:t xml:space="preserve">Disutility associated with gastritis (–0.0369) is sourced from the study by Sullivan et al </w:t>
      </w:r>
      <w:r w:rsidR="00B727D6">
        <w:fldChar w:fldCharType="begin">
          <w:fldData xml:space="preserve">PEVuZE5vdGU+PENpdGUgRXhjbHVkZUF1dGg9IjEiPjxBdXRob3I+U3VsbGl2YW48L0F1dGhvcj48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</w:fldData>
        </w:fldChar>
      </w:r>
      <w:r w:rsidR="00B727D6">
        <w:instrText xml:space="preserve"> ADDIN EN.CITE </w:instrText>
      </w:r>
      <w:r w:rsidR="00B727D6">
        <w:fldChar w:fldCharType="begin">
          <w:fldData xml:space="preserve">PEVuZE5vdGU+PENpdGUgRXhjbHVkZUF1dGg9IjEiPjxBdXRob3I+U3VsbGl2YW48L0F1dGhvcj48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</w:fldData>
        </w:fldChar>
      </w:r>
      <w:r w:rsidR="00B727D6">
        <w:instrText xml:space="preserve"> ADDIN EN.CITE.DATA </w:instrText>
      </w:r>
      <w:r w:rsidR="00B727D6">
        <w:fldChar w:fldCharType="end"/>
      </w:r>
      <w:r w:rsidR="00B727D6">
        <w:fldChar w:fldCharType="separate"/>
      </w:r>
      <w:r w:rsidR="00B727D6">
        <w:rPr>
          <w:noProof/>
        </w:rPr>
        <w:t>(</w:t>
      </w:r>
      <w:hyperlink w:anchor="_ENREF_69" w:tooltip="Sullivan, 2011 #1945" w:history="1">
        <w:r w:rsidR="00D726F6">
          <w:rPr>
            <w:noProof/>
          </w:rPr>
          <w:t>2011</w:t>
        </w:r>
      </w:hyperlink>
      <w:r w:rsidR="00B727D6">
        <w:rPr>
          <w:noProof/>
        </w:rPr>
        <w:t>)</w:t>
      </w:r>
      <w:r w:rsidR="00B727D6">
        <w:fldChar w:fldCharType="end"/>
      </w:r>
      <w:r w:rsidR="003D0FF4">
        <w:t xml:space="preserve">. Sensitivity analysis will include disutilities associated with </w:t>
      </w:r>
      <w:r w:rsidR="007C1548">
        <w:t>AEs</w:t>
      </w:r>
      <w:r w:rsidR="003D0FF4">
        <w:t xml:space="preserve"> of severe hypertension (–0.0293) and acute myocardial infarction (–0.0577) sourced from the same study </w:t>
      </w:r>
      <w:r w:rsidR="00B727D6">
        <w:fldChar w:fldCharType="begin">
          <w:fldData xml:space="preserve">PEVuZE5vdGU+PENpdGU+PEF1dGhvcj5TdWxsaXZhbjwvQXV0aG9yPjxZZWFyPjIwMTE8L1llYXI+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</w:fldData>
        </w:fldChar>
      </w:r>
      <w:r w:rsidR="00B727D6">
        <w:instrText xml:space="preserve"> ADDIN EN.CITE </w:instrText>
      </w:r>
      <w:r w:rsidR="00B727D6">
        <w:fldChar w:fldCharType="begin">
          <w:fldData xml:space="preserve">PEVuZE5vdGU+PENpdGU+PEF1dGhvcj5TdWxsaXZhbjwvQXV0aG9yPjxZZWFyPjIwMTE8L1llYXI+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</w:fldData>
        </w:fldChar>
      </w:r>
      <w:r w:rsidR="00B727D6">
        <w:instrText xml:space="preserve"> ADDIN EN.CITE.DATA </w:instrText>
      </w:r>
      <w:r w:rsidR="00B727D6">
        <w:fldChar w:fldCharType="end"/>
      </w:r>
      <w:r w:rsidR="00B727D6">
        <w:fldChar w:fldCharType="separate"/>
      </w:r>
      <w:r w:rsidR="00B727D6">
        <w:rPr>
          <w:noProof/>
        </w:rPr>
        <w:t>(</w:t>
      </w:r>
      <w:hyperlink w:anchor="_ENREF_69" w:tooltip="Sullivan, 2011 #1945" w:history="1">
        <w:r w:rsidR="00D726F6">
          <w:rPr>
            <w:noProof/>
          </w:rPr>
          <w:t>Sullivan et al. 2011</w:t>
        </w:r>
      </w:hyperlink>
      <w:r w:rsidR="00B727D6">
        <w:rPr>
          <w:noProof/>
        </w:rPr>
        <w:t>)</w:t>
      </w:r>
      <w:r w:rsidR="00B727D6">
        <w:fldChar w:fldCharType="end"/>
      </w:r>
      <w:r w:rsidR="003D0FF4">
        <w:t>.</w:t>
      </w:r>
    </w:p>
    <w:p w14:paraId="47A5FA85" w14:textId="4B7829AC" w:rsidR="004A1851" w:rsidRDefault="007B0A9C" w:rsidP="004A1851">
      <w:pPr>
        <w:pStyle w:val="BodyTextSTD"/>
      </w:pPr>
      <w:r>
        <w:t>The rate of most common severe AEs for patients receiving PE were summarised</w:t>
      </w:r>
      <w:r w:rsidR="004A1851">
        <w:t xml:space="preserve"> </w:t>
      </w:r>
      <w:r>
        <w:t xml:space="preserve">in </w:t>
      </w:r>
      <w:r>
        <w:fldChar w:fldCharType="begin"/>
      </w:r>
      <w:r>
        <w:instrText xml:space="preserve"> REF _Ref57051518 \h </w:instrText>
      </w:r>
      <w:r>
        <w:fldChar w:fldCharType="separate"/>
      </w:r>
      <w:r w:rsidR="004B3EA2">
        <w:t xml:space="preserve">Table </w:t>
      </w:r>
      <w:r w:rsidR="004B3EA2">
        <w:rPr>
          <w:noProof/>
        </w:rPr>
        <w:t>18</w:t>
      </w:r>
      <w:r>
        <w:fldChar w:fldCharType="end"/>
      </w:r>
      <w:r>
        <w:t xml:space="preserve">, Section B.7. A per procedure rate of 1.68% for severe </w:t>
      </w:r>
      <w:r w:rsidR="004A1851">
        <w:t xml:space="preserve">adverse events </w:t>
      </w:r>
      <w:r>
        <w:t xml:space="preserve">was reported based on the WAA data base </w: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 </w:instrTex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EN.CITE.DATA </w:instrText>
      </w:r>
      <w:r w:rsidR="00B727D6">
        <w:fldChar w:fldCharType="end"/>
      </w:r>
      <w:r w:rsidR="00B727D6">
        <w:fldChar w:fldCharType="separate"/>
      </w:r>
      <w:r w:rsidR="00B727D6">
        <w:rPr>
          <w:noProof/>
        </w:rPr>
        <w:t>(</w:t>
      </w:r>
      <w:hyperlink w:anchor="_ENREF_46" w:tooltip="Mörtzell Henriksson, 2016 #8" w:history="1">
        <w:r w:rsidR="00D726F6">
          <w:rPr>
            <w:noProof/>
          </w:rPr>
          <w:t>Mörtzell Henriksson et al. 2016</w:t>
        </w:r>
      </w:hyperlink>
      <w:r w:rsidR="00B727D6">
        <w:rPr>
          <w:noProof/>
        </w:rPr>
        <w:t>)</w:t>
      </w:r>
      <w:r w:rsidR="00B727D6">
        <w:fldChar w:fldCharType="end"/>
      </w:r>
      <w:r>
        <w:t xml:space="preserve">. </w:t>
      </w:r>
      <w:r w:rsidR="003B7759">
        <w:t xml:space="preserve">The adverse events considered to have health impact are syncope, urticaria, arrhythmia, bronchospasm, </w:t>
      </w:r>
      <w:r w:rsidR="00682B96">
        <w:t>o</w:t>
      </w:r>
      <w:r w:rsidR="003B7759">
        <w:t>edema, anaphylaxis, chest p</w:t>
      </w:r>
      <w:r w:rsidR="003F6588">
        <w:t xml:space="preserve">ain, gastrointestinal bleeding and </w:t>
      </w:r>
      <w:r w:rsidR="003B7759">
        <w:t>hypertension.</w:t>
      </w:r>
      <w:r w:rsidR="003F6588">
        <w:t xml:space="preserve"> The disutilities associated with these adverse events are sourced from Sullivan et al </w:t>
      </w:r>
      <w:r w:rsidR="00B727D6">
        <w:fldChar w:fldCharType="begin">
          <w:fldData xml:space="preserve">PEVuZE5vdGU+PENpdGUgRXhjbHVkZUF1dGg9IjEiPjxBdXRob3I+U3VsbGl2YW48L0F1dGhvcj48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</w:fldData>
        </w:fldChar>
      </w:r>
      <w:r w:rsidR="00B727D6">
        <w:instrText xml:space="preserve"> ADDIN EN.CITE </w:instrText>
      </w:r>
      <w:r w:rsidR="00B727D6">
        <w:fldChar w:fldCharType="begin">
          <w:fldData xml:space="preserve">PEVuZE5vdGU+PENpdGUgRXhjbHVkZUF1dGg9IjEiPjxBdXRob3I+U3VsbGl2YW48L0F1dGhvcj48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</w:fldData>
        </w:fldChar>
      </w:r>
      <w:r w:rsidR="00B727D6">
        <w:instrText xml:space="preserve"> ADDIN EN.CITE.DATA </w:instrText>
      </w:r>
      <w:r w:rsidR="00B727D6">
        <w:fldChar w:fldCharType="end"/>
      </w:r>
      <w:r w:rsidR="00B727D6">
        <w:fldChar w:fldCharType="separate"/>
      </w:r>
      <w:r w:rsidR="00B727D6">
        <w:rPr>
          <w:noProof/>
        </w:rPr>
        <w:t>(</w:t>
      </w:r>
      <w:hyperlink w:anchor="_ENREF_69" w:tooltip="Sullivan, 2011 #1945" w:history="1">
        <w:r w:rsidR="00D726F6">
          <w:rPr>
            <w:noProof/>
          </w:rPr>
          <w:t>2011</w:t>
        </w:r>
      </w:hyperlink>
      <w:r w:rsidR="00B727D6">
        <w:rPr>
          <w:noProof/>
        </w:rPr>
        <w:t>)</w:t>
      </w:r>
      <w:r w:rsidR="00B727D6">
        <w:fldChar w:fldCharType="end"/>
      </w:r>
      <w:r w:rsidR="006E2E3E">
        <w:t xml:space="preserve"> and are summarised in </w:t>
      </w:r>
      <w:r w:rsidR="006E2E3E">
        <w:fldChar w:fldCharType="begin"/>
      </w:r>
      <w:r w:rsidR="006E2E3E">
        <w:instrText xml:space="preserve"> REF _Ref65237150 \h </w:instrText>
      </w:r>
      <w:r w:rsidR="006E2E3E">
        <w:fldChar w:fldCharType="separate"/>
      </w:r>
      <w:r w:rsidR="004B3EA2">
        <w:t xml:space="preserve">Table </w:t>
      </w:r>
      <w:r w:rsidR="004B3EA2">
        <w:rPr>
          <w:noProof/>
        </w:rPr>
        <w:t>34</w:t>
      </w:r>
      <w:r w:rsidR="006E2E3E">
        <w:fldChar w:fldCharType="end"/>
      </w:r>
      <w:r w:rsidR="003F6588">
        <w:t>.</w:t>
      </w:r>
      <w:r w:rsidR="002B33ED">
        <w:t xml:space="preserve"> Sullivan et al did not report disutility associated with anaphylaxis or severe allergies. Search of CEA registry for utility weights identified one c</w:t>
      </w:r>
      <w:r w:rsidR="002B33ED" w:rsidRPr="002B33ED">
        <w:t xml:space="preserve">ost-effectiveness </w:t>
      </w:r>
      <w:r w:rsidR="002B33ED">
        <w:t xml:space="preserve">study </w:t>
      </w:r>
      <w:r w:rsidR="00B727D6">
        <w:fldChar w:fldCharType="begin">
          <w:fldData xml:space="preserve">PEVuZE5vdGU+PENpdGU+PEF1dGhvcj5Sb2dub25pPC9BdXRob3I+PFllYXI+MjAxOTwvWWVhcj48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==
</w:fldData>
        </w:fldChar>
      </w:r>
      <w:r w:rsidR="00B727D6">
        <w:instrText xml:space="preserve"> ADDIN EN.CITE </w:instrText>
      </w:r>
      <w:r w:rsidR="00B727D6">
        <w:fldChar w:fldCharType="begin">
          <w:fldData xml:space="preserve">PEVuZE5vdGU+PENpdGU+PEF1dGhvcj5Sb2dub25pPC9BdXRob3I+PFllYXI+MjAxOTwvWWVhcj48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==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62" w:tooltip="Rognoni, 2019 #1959" w:history="1">
        <w:r w:rsidR="00D726F6">
          <w:rPr>
            <w:noProof/>
          </w:rPr>
          <w:t>Rognoni et al. 2019</w:t>
        </w:r>
      </w:hyperlink>
      <w:r w:rsidR="00B727D6">
        <w:rPr>
          <w:noProof/>
        </w:rPr>
        <w:t>)</w:t>
      </w:r>
      <w:r w:rsidR="00B727D6">
        <w:fldChar w:fldCharType="end"/>
      </w:r>
      <w:r w:rsidR="00FE1CE9">
        <w:t xml:space="preserve"> </w:t>
      </w:r>
      <w:r w:rsidR="002B33ED" w:rsidRPr="002B33ED">
        <w:t>of molecular profile patient selection for first-line treatment of recurrent/ metastatic head and neck cancer</w:t>
      </w:r>
      <w:r w:rsidR="002B33ED">
        <w:t xml:space="preserve"> reporting disutility of 0.15 </w:t>
      </w:r>
      <w:r w:rsidR="00FE1CE9">
        <w:t xml:space="preserve">(for a month) </w:t>
      </w:r>
      <w:r w:rsidR="002B33ED">
        <w:t xml:space="preserve">associated with anaphylaxis </w:t>
      </w:r>
      <w:r w:rsidR="00FE1CE9">
        <w:t>or severe allergy. This disutility value is applied in the model for adverse events of anaphylaxis or severe allergy.</w:t>
      </w:r>
    </w:p>
    <w:p w14:paraId="4588A206" w14:textId="77777777" w:rsidR="00837294" w:rsidRPr="00A02F3F" w:rsidRDefault="00837294" w:rsidP="00BC0709">
      <w:pPr>
        <w:pStyle w:val="BodyTextSTD"/>
        <w:rPr>
          <w:u w:val="single"/>
        </w:rPr>
      </w:pPr>
      <w:r w:rsidRPr="00A02F3F">
        <w:rPr>
          <w:u w:val="single"/>
        </w:rPr>
        <w:t>Remission and disease progression</w:t>
      </w:r>
    </w:p>
    <w:p w14:paraId="25BC94A0" w14:textId="61104AD7" w:rsidR="00837294" w:rsidRDefault="00837294" w:rsidP="00BC0709">
      <w:pPr>
        <w:pStyle w:val="BodyTextSTD"/>
      </w:pPr>
      <w:r>
        <w:t xml:space="preserve">It is assumed that patients in remission will have health similar to the general population and therefore age-specific utility scores summarised in </w:t>
      </w:r>
      <w:r>
        <w:fldChar w:fldCharType="begin"/>
      </w:r>
      <w:r>
        <w:instrText xml:space="preserve"> REF _Ref65174909 \h </w:instrText>
      </w:r>
      <w:r w:rsidR="00BC0709">
        <w:instrText xml:space="preserve"> \* MERGEFORMAT </w:instrText>
      </w:r>
      <w:r>
        <w:fldChar w:fldCharType="separate"/>
      </w:r>
      <w:r w:rsidR="004B3EA2">
        <w:t xml:space="preserve">Table </w:t>
      </w:r>
      <w:r w:rsidR="004B3EA2">
        <w:rPr>
          <w:noProof/>
        </w:rPr>
        <w:t>33</w:t>
      </w:r>
      <w:r>
        <w:fldChar w:fldCharType="end"/>
      </w:r>
      <w:r>
        <w:t xml:space="preserve"> are used for the remission health state. It is assumed that the non-responders will stop treatment and have best supportive care. These patients are assumed to have gradual progression in their disease and thus have impact on their HRQoL due to increased disability. Ahmad et al quantified</w:t>
      </w:r>
      <w:r w:rsidRPr="00CA264C">
        <w:t xml:space="preserve"> the impact of disability on health state utility values (HSUVs), and the physical and psychosocial health of people with </w:t>
      </w:r>
      <w:r>
        <w:t>multiple sclerosis (MS)</w:t>
      </w:r>
      <w:r w:rsidRPr="00CA264C">
        <w:t xml:space="preserve"> using the Assessment of Quality of Life-8-Dimension (AQoL-8D) instrument</w:t>
      </w:r>
      <w:r>
        <w:t xml:space="preserve"> </w:t>
      </w:r>
      <w:r w:rsidR="00B727D6">
        <w:fldChar w:fldCharType="begin">
          <w:fldData xml:space="preserve">PEVuZE5vdGU+PENpdGU+PEF1dGhvcj5BaG1hZDwvQXV0aG9yPjxZZWFyPjIwMjA8L1llYXI+PFJl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</w:fldData>
        </w:fldChar>
      </w:r>
      <w:r w:rsidR="00B727D6">
        <w:instrText xml:space="preserve"> ADDIN EN.CITE </w:instrText>
      </w:r>
      <w:r w:rsidR="00B727D6">
        <w:fldChar w:fldCharType="begin">
          <w:fldData xml:space="preserve">PEVuZE5vdGU+PENpdGU+PEF1dGhvcj5BaG1hZDwvQXV0aG9yPjxZZWFyPjIwMjA8L1llYXI+PFJl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</w:fldData>
        </w:fldChar>
      </w:r>
      <w:r w:rsidR="00B727D6">
        <w:instrText xml:space="preserve"> ADDIN EN.CITE.DATA </w:instrText>
      </w:r>
      <w:r w:rsidR="00B727D6">
        <w:fldChar w:fldCharType="end"/>
      </w:r>
      <w:r w:rsidR="00B727D6">
        <w:fldChar w:fldCharType="separate"/>
      </w:r>
      <w:r w:rsidR="00B727D6">
        <w:rPr>
          <w:noProof/>
        </w:rPr>
        <w:t>(</w:t>
      </w:r>
      <w:hyperlink w:anchor="_ENREF_4" w:tooltip="Ahmad, 2020 #1924" w:history="1">
        <w:r w:rsidR="00D726F6">
          <w:rPr>
            <w:noProof/>
          </w:rPr>
          <w:t>Ahmad et al. 2020</w:t>
        </w:r>
      </w:hyperlink>
      <w:r w:rsidR="00B727D6">
        <w:rPr>
          <w:noProof/>
        </w:rPr>
        <w:t>)</w:t>
      </w:r>
      <w:r w:rsidR="00B727D6">
        <w:fldChar w:fldCharType="end"/>
      </w:r>
      <w:r>
        <w:t>. T</w:t>
      </w:r>
      <w:r w:rsidRPr="00CA264C">
        <w:t xml:space="preserve">he estimates were compared to Australian general population norms and </w:t>
      </w:r>
      <w:r>
        <w:t>categorised</w:t>
      </w:r>
      <w:r w:rsidRPr="00CA264C">
        <w:t xml:space="preserve"> by disability severity</w:t>
      </w:r>
      <w:r>
        <w:t xml:space="preserve">. The mean overall HSUV was estimated at 0.61 similar to that estimated for CIDP patients </w:t>
      </w:r>
      <w:r w:rsidR="00B727D6">
        <w:fldChar w:fldCharType="begin">
          <w:fldData xml:space="preserve">PEVuZE5vdGU+PENpdGU+PEF1dGhvcj5NYWhkaS1Sb2dlcnM8L0F1dGhvcj48WWVhcj4yMDE0PC9Z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</w:fldData>
        </w:fldChar>
      </w:r>
      <w:r w:rsidR="00B727D6">
        <w:instrText xml:space="preserve"> ADDIN EN.CITE </w:instrText>
      </w:r>
      <w:r w:rsidR="00B727D6">
        <w:fldChar w:fldCharType="begin">
          <w:fldData xml:space="preserve">PEVuZE5vdGU+PENpdGU+PEF1dGhvcj5NYWhkaS1Sb2dlcnM8L0F1dGhvcj48WWVhcj4yMDE0PC9Z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41" w:tooltip="Mahdi-Rogers, 2014 #15" w:history="1">
        <w:r w:rsidR="00D726F6">
          <w:rPr>
            <w:noProof/>
          </w:rPr>
          <w:t>Mahdi-Rogers, McCrone &amp; Hughes 2014</w:t>
        </w:r>
      </w:hyperlink>
      <w:r w:rsidR="00B727D6">
        <w:rPr>
          <w:noProof/>
        </w:rPr>
        <w:t>)</w:t>
      </w:r>
      <w:r w:rsidR="00B727D6">
        <w:fldChar w:fldCharType="end"/>
      </w:r>
      <w:r>
        <w:t xml:space="preserve">. HSUV decreased with increasing disability severity and was reported at </w:t>
      </w:r>
      <w:r w:rsidRPr="00EC79A3">
        <w:t>0.48 (95% CI: 0.46-0.50)</w:t>
      </w:r>
      <w:r>
        <w:t xml:space="preserve"> for severe disability. In the absence of any estimate for HRQoL for patients with CIDP and severe disability, it is assumed that patients with CIDP who stop treatment as non-responders will have utility of –0.140 (estimated as 0.48 – 0.62 = –0.14).</w:t>
      </w:r>
    </w:p>
    <w:p w14:paraId="4E9E8CCD" w14:textId="77777777" w:rsidR="00837294" w:rsidRPr="00E55655" w:rsidRDefault="00837294" w:rsidP="00837294">
      <w:pPr>
        <w:rPr>
          <w:u w:val="single"/>
        </w:rPr>
      </w:pPr>
      <w:r w:rsidRPr="00E55655">
        <w:rPr>
          <w:u w:val="single"/>
        </w:rPr>
        <w:t>General population</w:t>
      </w:r>
    </w:p>
    <w:p w14:paraId="338C63AC" w14:textId="743D14E0" w:rsidR="00837294" w:rsidRDefault="00837294" w:rsidP="00BC0709">
      <w:pPr>
        <w:pStyle w:val="BodyTextSTD"/>
      </w:pPr>
      <w:r>
        <w:t>Clemens et al estimated</w:t>
      </w:r>
      <w:r w:rsidRPr="00CB5B09">
        <w:t xml:space="preserve"> </w:t>
      </w:r>
      <w:r>
        <w:t xml:space="preserve">Australian </w:t>
      </w:r>
      <w:r w:rsidRPr="00CB5B09">
        <w:t>population norms for the EQ-5D-3L by age and gender based on a representative adult sample in Queensland, Australia</w:t>
      </w:r>
      <w:r>
        <w:t xml:space="preserve"> </w:t>
      </w:r>
      <w:r w:rsidR="00B727D6">
        <w:fldChar w:fldCharType="begin"/>
      </w:r>
      <w:r w:rsidR="00B727D6">
        <w:instrText xml:space="preserve"> ADDIN EN.CITE &lt;EndNote&gt;&lt;Cite&gt;&lt;Author&gt;Clemens&lt;/Author&gt;&lt;Year&gt;2014&lt;/Year&gt;&lt;RecNum&gt;1926&lt;/RecNum&gt;&lt;DisplayText&gt;(Clemens et al. 2014)&lt;/DisplayText&gt;&lt;record&gt;&lt;rec-number&gt;1926&lt;/rec-number&gt;&lt;foreign-keys&gt;&lt;key app="EN" db-id="xtr5xfx2xf0wd7e0s2qvst2ietxxf0tpzr9v" timestamp="1612139623"&gt;1926&lt;/key&gt;&lt;/foreign-keys&gt;&lt;ref-type name="Journal Article"&gt;17&lt;/ref-type&gt;&lt;contributors&gt;&lt;authors&gt;&lt;author&gt;Clemens, Susan&lt;/author&gt;&lt;author&gt;Begum, Nelufa&lt;/author&gt;&lt;author&gt;Harper, Catherine&lt;/author&gt;&lt;author&gt;Whitty, Jennifer A.&lt;/author&gt;&lt;author&gt;Scuffham, Paul A.&lt;/author&gt;&lt;/authors&gt;&lt;/contributors&gt;&lt;titles&gt;&lt;title&gt;A comparison of EQ-5D-3L population norms in Queensland, Australia, estimated using utility value sets from Australia, the UK and USA&lt;/title&gt;&lt;secondary-title&gt;Quality of Life Research&lt;/secondary-title&gt;&lt;/titles&gt;&lt;periodical&gt;&lt;full-title&gt;Quality of Life Research&lt;/full-title&gt;&lt;/periodical&gt;&lt;pages&gt;2375-2381&lt;/pages&gt;&lt;volume&gt;23&lt;/volume&gt;&lt;number&gt;8&lt;/number&gt;&lt;dates&gt;&lt;year&gt;2014&lt;/year&gt;&lt;pub-dates&gt;&lt;date&gt;2014/10/01&lt;/date&gt;&lt;/pub-dates&gt;&lt;/dates&gt;&lt;isbn&gt;1573-2649&lt;/isbn&gt;&lt;urls&gt;&lt;related-urls&gt;&lt;url&gt;https://doi.org/10.1007/s11136-014-0676-x&lt;/url&gt;&lt;url&gt;https://link.springer.com/content/pdf/10.1007/s11136-014-0676-x.pdf&lt;/url&gt;&lt;/related-urls&gt;&lt;/urls&gt;&lt;electronic-resource-num&gt;10.1007/s11136-014-0676-x&lt;/electronic-resource-num&gt;&lt;/record&gt;&lt;/Cite&gt;&lt;/EndNote&gt;</w:instrText>
      </w:r>
      <w:r w:rsidR="00B727D6">
        <w:fldChar w:fldCharType="separate"/>
      </w:r>
      <w:r w:rsidR="00B727D6">
        <w:rPr>
          <w:noProof/>
        </w:rPr>
        <w:t>(</w:t>
      </w:r>
      <w:hyperlink w:anchor="_ENREF_8" w:tooltip="Clemens, 2014 #1926" w:history="1">
        <w:r w:rsidR="00D726F6">
          <w:rPr>
            <w:noProof/>
          </w:rPr>
          <w:t>Clemens et al. 2014</w:t>
        </w:r>
      </w:hyperlink>
      <w:r w:rsidR="00B727D6">
        <w:rPr>
          <w:noProof/>
        </w:rPr>
        <w:t>)</w:t>
      </w:r>
      <w:r w:rsidR="00B727D6">
        <w:fldChar w:fldCharType="end"/>
      </w:r>
      <w:r>
        <w:t xml:space="preserve">. The study also </w:t>
      </w:r>
      <w:r w:rsidRPr="00CB5B09">
        <w:t>assess</w:t>
      </w:r>
      <w:r>
        <w:t>ed the</w:t>
      </w:r>
      <w:r w:rsidRPr="00CB5B09">
        <w:t xml:space="preserve"> differences in </w:t>
      </w:r>
      <w:r>
        <w:t>HRQoL</w:t>
      </w:r>
      <w:r w:rsidRPr="00CB5B09">
        <w:t xml:space="preserve"> by applying the Australian, UK and USA value sets to these data.</w:t>
      </w:r>
      <w:r>
        <w:t xml:space="preserve"> Mean and significant differences for EQ-5D-3L index scores by age category–persons were similar across Australian and UK population norms and did not show statistical significance in the differences except for the age group 65–74 years (</w:t>
      </w:r>
      <w:r>
        <w:fldChar w:fldCharType="begin"/>
      </w:r>
      <w:r>
        <w:instrText xml:space="preserve"> REF _Ref65174909 \h </w:instrText>
      </w:r>
      <w:r w:rsidR="00BC0709">
        <w:instrText xml:space="preserve"> \* MERGEFORMAT </w:instrText>
      </w:r>
      <w:r>
        <w:fldChar w:fldCharType="separate"/>
      </w:r>
      <w:r w:rsidR="004B3EA2">
        <w:t xml:space="preserve">Table </w:t>
      </w:r>
      <w:r w:rsidR="004B3EA2">
        <w:rPr>
          <w:noProof/>
        </w:rPr>
        <w:t>33</w:t>
      </w:r>
      <w:r>
        <w:fldChar w:fldCharType="end"/>
      </w:r>
      <w:r>
        <w:t xml:space="preserve">). However, this statistically significant difference was not observed in the index scores reported by age category–male or age category–female for Australia and UK HRQoL values. Age-specific utility scores for general Australian population are sourced from this study and are summarised in </w:t>
      </w:r>
      <w:r>
        <w:fldChar w:fldCharType="begin"/>
      </w:r>
      <w:r>
        <w:instrText xml:space="preserve"> REF _Ref65174909 \h </w:instrText>
      </w:r>
      <w:r w:rsidR="00BC0709">
        <w:instrText xml:space="preserve"> \* MERGEFORMAT </w:instrText>
      </w:r>
      <w:r>
        <w:fldChar w:fldCharType="separate"/>
      </w:r>
      <w:r w:rsidR="004B3EA2">
        <w:t xml:space="preserve">Table </w:t>
      </w:r>
      <w:r w:rsidR="004B3EA2">
        <w:rPr>
          <w:noProof/>
        </w:rPr>
        <w:t>33</w:t>
      </w:r>
      <w:r>
        <w:fldChar w:fldCharType="end"/>
      </w:r>
      <w:r>
        <w:t xml:space="preserve">. Where utility values are not available in Australian context, UK values are considered applicable for the purpose of this assessment. </w:t>
      </w:r>
    </w:p>
    <w:p w14:paraId="2BD8971A" w14:textId="65306ADC" w:rsidR="00837294" w:rsidRDefault="00837294" w:rsidP="00837294">
      <w:pPr>
        <w:pStyle w:val="Caption"/>
      </w:pPr>
      <w:bookmarkStart w:id="255" w:name="_Ref65174909"/>
      <w:bookmarkStart w:id="256" w:name="_Toc69305674"/>
      <w:r>
        <w:t xml:space="preserve">Table </w:t>
      </w:r>
      <w:r w:rsidR="00003BA5">
        <w:fldChar w:fldCharType="begin"/>
      </w:r>
      <w:r w:rsidR="00003BA5">
        <w:instrText xml:space="preserve"> SEQ Table \* ARABIC </w:instrText>
      </w:r>
      <w:r w:rsidR="00003BA5">
        <w:fldChar w:fldCharType="separate"/>
      </w:r>
      <w:r w:rsidR="004B3EA2">
        <w:rPr>
          <w:noProof/>
        </w:rPr>
        <w:t>33</w:t>
      </w:r>
      <w:r w:rsidR="00003BA5">
        <w:rPr>
          <w:noProof/>
        </w:rPr>
        <w:fldChar w:fldCharType="end"/>
      </w:r>
      <w:bookmarkEnd w:id="255"/>
      <w:r>
        <w:tab/>
      </w:r>
      <w:r w:rsidRPr="00AD448A">
        <w:t>Mean and significant differences for EQ-5D-3L index scores</w:t>
      </w:r>
      <w:r>
        <w:t xml:space="preserve"> for Australia and UK</w:t>
      </w:r>
      <w:bookmarkEnd w:id="256"/>
    </w:p>
    <w:tbl>
      <w:tblPr>
        <w:tblStyle w:val="OPTUMTableNormal"/>
        <w:tblW w:w="5000" w:type="pct"/>
        <w:tblLook w:val="04A0" w:firstRow="1" w:lastRow="0" w:firstColumn="1" w:lastColumn="0" w:noHBand="0" w:noVBand="1"/>
        <w:tblCaption w:val="Mean and significant differences for EQ-5D-3L index scores for Australia and UK"/>
        <w:tblDescription w:val="Mean and significant differences for EQ-5D-3L index scores for Australia and UK"/>
      </w:tblPr>
      <w:tblGrid>
        <w:gridCol w:w="1837"/>
        <w:gridCol w:w="2633"/>
        <w:gridCol w:w="2110"/>
        <w:gridCol w:w="2436"/>
      </w:tblGrid>
      <w:tr w:rsidR="00837294" w:rsidRPr="00AD448A" w14:paraId="5CB82D72" w14:textId="77777777" w:rsidTr="00857754">
        <w:trPr>
          <w:cnfStyle w:val="100000000000" w:firstRow="1" w:lastRow="0" w:firstColumn="0" w:lastColumn="0" w:oddVBand="0" w:evenVBand="0" w:oddHBand="0" w:evenHBand="0" w:firstRowFirstColumn="0" w:firstRowLastColumn="0" w:lastRowFirstColumn="0" w:lastRowLastColumn="0"/>
          <w:trHeight w:val="330"/>
          <w:tblHeader/>
        </w:trPr>
        <w:tc>
          <w:tcPr>
            <w:tcW w:w="1019" w:type="pct"/>
            <w:hideMark/>
          </w:tcPr>
          <w:p w14:paraId="2F297D37" w14:textId="77777777" w:rsidR="00837294" w:rsidRPr="00AD448A" w:rsidRDefault="00837294" w:rsidP="00857754">
            <w:pPr>
              <w:pStyle w:val="Tableheading1"/>
              <w:jc w:val="center"/>
            </w:pPr>
            <w:r w:rsidRPr="00AD448A">
              <w:t>Age group</w:t>
            </w:r>
            <w:r>
              <w:t xml:space="preserve"> (years)</w:t>
            </w:r>
          </w:p>
        </w:tc>
        <w:tc>
          <w:tcPr>
            <w:tcW w:w="1460" w:type="pct"/>
            <w:noWrap/>
            <w:hideMark/>
          </w:tcPr>
          <w:p w14:paraId="65B5665E" w14:textId="77777777" w:rsidR="00837294" w:rsidRDefault="00837294" w:rsidP="00857754">
            <w:pPr>
              <w:pStyle w:val="Tableheading1"/>
              <w:jc w:val="center"/>
              <w:rPr>
                <w:color w:val="000000"/>
              </w:rPr>
            </w:pPr>
            <w:r>
              <w:rPr>
                <w:color w:val="000000"/>
              </w:rPr>
              <w:t>Australia</w:t>
            </w:r>
          </w:p>
          <w:p w14:paraId="7B25179C" w14:textId="77777777" w:rsidR="00837294" w:rsidRPr="00AD448A" w:rsidRDefault="00837294" w:rsidP="00857754">
            <w:pPr>
              <w:pStyle w:val="Tableheading1"/>
              <w:jc w:val="center"/>
              <w:rPr>
                <w:color w:val="000000"/>
              </w:rPr>
            </w:pPr>
            <w:r>
              <w:rPr>
                <w:color w:val="000000"/>
              </w:rPr>
              <w:t>Mean (95% CI)</w:t>
            </w:r>
          </w:p>
        </w:tc>
        <w:tc>
          <w:tcPr>
            <w:tcW w:w="1170" w:type="pct"/>
          </w:tcPr>
          <w:p w14:paraId="5907B85A" w14:textId="77777777" w:rsidR="00837294" w:rsidRDefault="00837294" w:rsidP="00857754">
            <w:pPr>
              <w:pStyle w:val="Tableheading1"/>
              <w:jc w:val="center"/>
              <w:rPr>
                <w:color w:val="000000"/>
              </w:rPr>
            </w:pPr>
            <w:r>
              <w:rPr>
                <w:color w:val="000000"/>
              </w:rPr>
              <w:t>UK</w:t>
            </w:r>
          </w:p>
          <w:p w14:paraId="18383821" w14:textId="77777777" w:rsidR="00837294" w:rsidRDefault="00837294" w:rsidP="00857754">
            <w:pPr>
              <w:pStyle w:val="Tableheading1"/>
              <w:jc w:val="center"/>
              <w:rPr>
                <w:color w:val="000000"/>
              </w:rPr>
            </w:pPr>
            <w:r>
              <w:rPr>
                <w:color w:val="000000"/>
              </w:rPr>
              <w:t>Mean (95% CI)</w:t>
            </w:r>
          </w:p>
        </w:tc>
        <w:tc>
          <w:tcPr>
            <w:tcW w:w="1351" w:type="pct"/>
          </w:tcPr>
          <w:p w14:paraId="3FCDFEE3" w14:textId="77777777" w:rsidR="00837294" w:rsidRDefault="00837294" w:rsidP="00857754">
            <w:pPr>
              <w:pStyle w:val="Tableheading1"/>
              <w:jc w:val="center"/>
              <w:rPr>
                <w:color w:val="000000"/>
              </w:rPr>
            </w:pPr>
            <w:r>
              <w:rPr>
                <w:color w:val="000000"/>
              </w:rPr>
              <w:t>Differences across value sets–p value (Australia to UK)</w:t>
            </w:r>
          </w:p>
        </w:tc>
      </w:tr>
      <w:tr w:rsidR="00837294" w:rsidRPr="00AD448A" w14:paraId="6A3EBBCD" w14:textId="77777777" w:rsidTr="00857754">
        <w:trPr>
          <w:trHeight w:val="300"/>
        </w:trPr>
        <w:tc>
          <w:tcPr>
            <w:tcW w:w="1019" w:type="pct"/>
            <w:noWrap/>
            <w:hideMark/>
          </w:tcPr>
          <w:p w14:paraId="20B4463B" w14:textId="77777777" w:rsidR="00837294" w:rsidRPr="00AD448A" w:rsidRDefault="00837294" w:rsidP="00857754">
            <w:pPr>
              <w:pStyle w:val="Tabletext1"/>
              <w:rPr>
                <w:color w:val="000000"/>
              </w:rPr>
            </w:pPr>
            <w:r>
              <w:rPr>
                <w:color w:val="000000"/>
              </w:rPr>
              <w:t>18+</w:t>
            </w:r>
          </w:p>
        </w:tc>
        <w:tc>
          <w:tcPr>
            <w:tcW w:w="1460" w:type="pct"/>
            <w:noWrap/>
            <w:hideMark/>
          </w:tcPr>
          <w:p w14:paraId="3EF71AC7" w14:textId="77777777" w:rsidR="00837294" w:rsidRPr="00AD448A" w:rsidRDefault="00837294" w:rsidP="00857754">
            <w:pPr>
              <w:pStyle w:val="Tabletext1"/>
              <w:jc w:val="center"/>
              <w:rPr>
                <w:color w:val="000000"/>
              </w:rPr>
            </w:pPr>
            <w:r w:rsidRPr="00AD448A">
              <w:rPr>
                <w:color w:val="000000"/>
              </w:rPr>
              <w:t>0.87</w:t>
            </w:r>
            <w:r>
              <w:rPr>
                <w:color w:val="000000"/>
              </w:rPr>
              <w:t xml:space="preserve"> (0.86–0.87)</w:t>
            </w:r>
          </w:p>
        </w:tc>
        <w:tc>
          <w:tcPr>
            <w:tcW w:w="1170" w:type="pct"/>
          </w:tcPr>
          <w:p w14:paraId="28CB19DD" w14:textId="77777777" w:rsidR="00837294" w:rsidRPr="00AD448A" w:rsidRDefault="00837294" w:rsidP="00857754">
            <w:pPr>
              <w:pStyle w:val="Tabletext1"/>
              <w:jc w:val="center"/>
              <w:rPr>
                <w:color w:val="000000"/>
              </w:rPr>
            </w:pPr>
            <w:r w:rsidRPr="00EA3EE7">
              <w:rPr>
                <w:color w:val="000000"/>
              </w:rPr>
              <w:t>0.86 (0.85–0.86)</w:t>
            </w:r>
          </w:p>
        </w:tc>
        <w:tc>
          <w:tcPr>
            <w:tcW w:w="1351" w:type="pct"/>
          </w:tcPr>
          <w:p w14:paraId="12ABF766" w14:textId="77777777" w:rsidR="00837294" w:rsidRPr="00434D7F" w:rsidRDefault="00837294" w:rsidP="00857754">
            <w:pPr>
              <w:pStyle w:val="Tabletext1"/>
              <w:jc w:val="center"/>
              <w:rPr>
                <w:b/>
                <w:color w:val="000000"/>
              </w:rPr>
            </w:pPr>
            <w:r w:rsidRPr="00434D7F">
              <w:rPr>
                <w:b/>
                <w:color w:val="000000"/>
              </w:rPr>
              <w:t>0.0010</w:t>
            </w:r>
          </w:p>
        </w:tc>
      </w:tr>
      <w:tr w:rsidR="00837294" w:rsidRPr="00AD448A" w14:paraId="2D68A394" w14:textId="77777777" w:rsidTr="00857754">
        <w:trPr>
          <w:trHeight w:val="300"/>
        </w:trPr>
        <w:tc>
          <w:tcPr>
            <w:tcW w:w="1019" w:type="pct"/>
            <w:hideMark/>
          </w:tcPr>
          <w:p w14:paraId="03B786B6" w14:textId="77777777" w:rsidR="00837294" w:rsidRPr="00AD448A" w:rsidRDefault="00837294" w:rsidP="00857754">
            <w:pPr>
              <w:pStyle w:val="Tabletext1"/>
            </w:pPr>
            <w:r w:rsidRPr="00AD448A">
              <w:t>18</w:t>
            </w:r>
            <w:r>
              <w:t>–</w:t>
            </w:r>
            <w:r w:rsidRPr="00AD448A">
              <w:t>24</w:t>
            </w:r>
          </w:p>
        </w:tc>
        <w:tc>
          <w:tcPr>
            <w:tcW w:w="1460" w:type="pct"/>
            <w:noWrap/>
            <w:hideMark/>
          </w:tcPr>
          <w:p w14:paraId="32B7A26D" w14:textId="77777777" w:rsidR="00837294" w:rsidRPr="00AD448A" w:rsidRDefault="00837294" w:rsidP="00857754">
            <w:pPr>
              <w:pStyle w:val="Tabletext1"/>
              <w:jc w:val="center"/>
              <w:rPr>
                <w:color w:val="000000"/>
              </w:rPr>
            </w:pPr>
            <w:r>
              <w:rPr>
                <w:color w:val="000000"/>
              </w:rPr>
              <w:t>0.91 (0.89–0.93</w:t>
            </w:r>
            <w:r w:rsidRPr="00AD448A">
              <w:rPr>
                <w:color w:val="000000"/>
              </w:rPr>
              <w:t>)</w:t>
            </w:r>
          </w:p>
        </w:tc>
        <w:tc>
          <w:tcPr>
            <w:tcW w:w="1170" w:type="pct"/>
          </w:tcPr>
          <w:p w14:paraId="49DEECD0" w14:textId="77777777" w:rsidR="00837294" w:rsidRPr="00AD448A" w:rsidRDefault="00837294" w:rsidP="00857754">
            <w:pPr>
              <w:pStyle w:val="Tabletext1"/>
              <w:jc w:val="center"/>
              <w:rPr>
                <w:color w:val="000000"/>
              </w:rPr>
            </w:pPr>
            <w:r w:rsidRPr="00EA3EE7">
              <w:rPr>
                <w:color w:val="000000"/>
              </w:rPr>
              <w:t>0.91 (0.89–0.93)</w:t>
            </w:r>
          </w:p>
        </w:tc>
        <w:tc>
          <w:tcPr>
            <w:tcW w:w="1351" w:type="pct"/>
          </w:tcPr>
          <w:p w14:paraId="082FD0C4" w14:textId="77777777" w:rsidR="00837294" w:rsidRPr="00AD448A" w:rsidRDefault="00837294" w:rsidP="00857754">
            <w:pPr>
              <w:pStyle w:val="Tabletext1"/>
              <w:jc w:val="center"/>
              <w:rPr>
                <w:color w:val="000000"/>
              </w:rPr>
            </w:pPr>
            <w:r>
              <w:rPr>
                <w:color w:val="000000"/>
              </w:rPr>
              <w:t>0.873</w:t>
            </w:r>
          </w:p>
        </w:tc>
      </w:tr>
      <w:tr w:rsidR="00837294" w:rsidRPr="00AD448A" w14:paraId="63C17AF7" w14:textId="77777777" w:rsidTr="00857754">
        <w:trPr>
          <w:trHeight w:val="300"/>
        </w:trPr>
        <w:tc>
          <w:tcPr>
            <w:tcW w:w="1019" w:type="pct"/>
            <w:hideMark/>
          </w:tcPr>
          <w:p w14:paraId="22583D55" w14:textId="77777777" w:rsidR="00837294" w:rsidRPr="00AD448A" w:rsidRDefault="00837294" w:rsidP="00857754">
            <w:pPr>
              <w:pStyle w:val="Tabletext1"/>
            </w:pPr>
            <w:r w:rsidRPr="00AD448A">
              <w:t>25</w:t>
            </w:r>
            <w:r>
              <w:t>–</w:t>
            </w:r>
            <w:r w:rsidRPr="00AD448A">
              <w:t>34</w:t>
            </w:r>
          </w:p>
        </w:tc>
        <w:tc>
          <w:tcPr>
            <w:tcW w:w="1460" w:type="pct"/>
            <w:noWrap/>
            <w:hideMark/>
          </w:tcPr>
          <w:p w14:paraId="2E35B42E" w14:textId="77777777" w:rsidR="00837294" w:rsidRPr="00AD448A" w:rsidRDefault="00837294" w:rsidP="00857754">
            <w:pPr>
              <w:pStyle w:val="Tabletext1"/>
              <w:jc w:val="center"/>
              <w:rPr>
                <w:color w:val="000000"/>
              </w:rPr>
            </w:pPr>
            <w:r w:rsidRPr="00AD448A">
              <w:rPr>
                <w:color w:val="000000"/>
              </w:rPr>
              <w:t>0.91</w:t>
            </w:r>
            <w:r>
              <w:t xml:space="preserve"> </w:t>
            </w:r>
            <w:r w:rsidRPr="00AD448A">
              <w:rPr>
                <w:color w:val="000000"/>
              </w:rPr>
              <w:t>(0.89–0.92)</w:t>
            </w:r>
          </w:p>
        </w:tc>
        <w:tc>
          <w:tcPr>
            <w:tcW w:w="1170" w:type="pct"/>
          </w:tcPr>
          <w:p w14:paraId="5D4E1B6E" w14:textId="77777777" w:rsidR="00837294" w:rsidRPr="00AD448A" w:rsidRDefault="00837294" w:rsidP="00857754">
            <w:pPr>
              <w:pStyle w:val="Tabletext1"/>
              <w:jc w:val="center"/>
              <w:rPr>
                <w:color w:val="000000"/>
              </w:rPr>
            </w:pPr>
            <w:r w:rsidRPr="00EA3EE7">
              <w:rPr>
                <w:color w:val="000000"/>
              </w:rPr>
              <w:t>0.90 (0.88–0.92)</w:t>
            </w:r>
          </w:p>
        </w:tc>
        <w:tc>
          <w:tcPr>
            <w:tcW w:w="1351" w:type="pct"/>
          </w:tcPr>
          <w:p w14:paraId="187F392F" w14:textId="77777777" w:rsidR="00837294" w:rsidRPr="00AD448A" w:rsidRDefault="00837294" w:rsidP="00857754">
            <w:pPr>
              <w:pStyle w:val="Tabletext1"/>
              <w:jc w:val="center"/>
              <w:rPr>
                <w:color w:val="000000"/>
              </w:rPr>
            </w:pPr>
            <w:r>
              <w:rPr>
                <w:color w:val="000000"/>
              </w:rPr>
              <w:t>0.433</w:t>
            </w:r>
          </w:p>
        </w:tc>
      </w:tr>
      <w:tr w:rsidR="00837294" w:rsidRPr="00AD448A" w14:paraId="1EB15A48" w14:textId="77777777" w:rsidTr="00857754">
        <w:trPr>
          <w:trHeight w:val="300"/>
        </w:trPr>
        <w:tc>
          <w:tcPr>
            <w:tcW w:w="1019" w:type="pct"/>
            <w:noWrap/>
            <w:hideMark/>
          </w:tcPr>
          <w:p w14:paraId="10974D18" w14:textId="77777777" w:rsidR="00837294" w:rsidRPr="00AD448A" w:rsidRDefault="00837294" w:rsidP="00857754">
            <w:pPr>
              <w:pStyle w:val="Tabletext1"/>
              <w:rPr>
                <w:color w:val="000000"/>
              </w:rPr>
            </w:pPr>
            <w:r w:rsidRPr="00AD448A">
              <w:rPr>
                <w:color w:val="000000"/>
              </w:rPr>
              <w:t>35</w:t>
            </w:r>
            <w:r>
              <w:rPr>
                <w:color w:val="000000"/>
              </w:rPr>
              <w:t>–</w:t>
            </w:r>
            <w:r w:rsidRPr="00AD448A">
              <w:rPr>
                <w:color w:val="000000"/>
              </w:rPr>
              <w:t>44</w:t>
            </w:r>
          </w:p>
        </w:tc>
        <w:tc>
          <w:tcPr>
            <w:tcW w:w="1460" w:type="pct"/>
            <w:noWrap/>
            <w:hideMark/>
          </w:tcPr>
          <w:p w14:paraId="177552C2" w14:textId="77777777" w:rsidR="00837294" w:rsidRPr="00AD448A" w:rsidRDefault="00837294" w:rsidP="00857754">
            <w:pPr>
              <w:pStyle w:val="Tabletext1"/>
              <w:jc w:val="center"/>
              <w:rPr>
                <w:color w:val="000000"/>
              </w:rPr>
            </w:pPr>
            <w:r w:rsidRPr="00AD448A">
              <w:rPr>
                <w:color w:val="000000"/>
              </w:rPr>
              <w:t>0.89</w:t>
            </w:r>
            <w:r>
              <w:rPr>
                <w:color w:val="000000"/>
              </w:rPr>
              <w:t xml:space="preserve"> </w:t>
            </w:r>
            <w:r w:rsidRPr="00EA3EE7">
              <w:rPr>
                <w:color w:val="000000"/>
              </w:rPr>
              <w:t>(0.88–0.90)</w:t>
            </w:r>
          </w:p>
        </w:tc>
        <w:tc>
          <w:tcPr>
            <w:tcW w:w="1170" w:type="pct"/>
          </w:tcPr>
          <w:p w14:paraId="0AF4A96E" w14:textId="77777777" w:rsidR="00837294" w:rsidRPr="00AD448A" w:rsidRDefault="00837294" w:rsidP="00857754">
            <w:pPr>
              <w:pStyle w:val="Tabletext1"/>
              <w:jc w:val="center"/>
              <w:rPr>
                <w:color w:val="000000"/>
              </w:rPr>
            </w:pPr>
            <w:r w:rsidRPr="00EA3EE7">
              <w:rPr>
                <w:color w:val="000000"/>
              </w:rPr>
              <w:t>0.88 (0.86–0.89)</w:t>
            </w:r>
          </w:p>
        </w:tc>
        <w:tc>
          <w:tcPr>
            <w:tcW w:w="1351" w:type="pct"/>
          </w:tcPr>
          <w:p w14:paraId="6714A957" w14:textId="77777777" w:rsidR="00837294" w:rsidRPr="00AD448A" w:rsidRDefault="00837294" w:rsidP="00857754">
            <w:pPr>
              <w:pStyle w:val="Tabletext1"/>
              <w:jc w:val="center"/>
              <w:rPr>
                <w:color w:val="000000"/>
              </w:rPr>
            </w:pPr>
            <w:r>
              <w:rPr>
                <w:color w:val="000000"/>
              </w:rPr>
              <w:t>0.279</w:t>
            </w:r>
          </w:p>
        </w:tc>
      </w:tr>
      <w:tr w:rsidR="00837294" w:rsidRPr="00AD448A" w14:paraId="773DF246" w14:textId="77777777" w:rsidTr="00857754">
        <w:trPr>
          <w:trHeight w:val="300"/>
        </w:trPr>
        <w:tc>
          <w:tcPr>
            <w:tcW w:w="1019" w:type="pct"/>
            <w:hideMark/>
          </w:tcPr>
          <w:p w14:paraId="14E1304F" w14:textId="77777777" w:rsidR="00837294" w:rsidRPr="00AD448A" w:rsidRDefault="00837294" w:rsidP="00857754">
            <w:pPr>
              <w:pStyle w:val="Tabletext1"/>
            </w:pPr>
            <w:r w:rsidRPr="00AD448A">
              <w:t>45</w:t>
            </w:r>
            <w:r>
              <w:t>–</w:t>
            </w:r>
            <w:r w:rsidRPr="00AD448A">
              <w:t>54</w:t>
            </w:r>
          </w:p>
        </w:tc>
        <w:tc>
          <w:tcPr>
            <w:tcW w:w="1460" w:type="pct"/>
            <w:noWrap/>
            <w:hideMark/>
          </w:tcPr>
          <w:p w14:paraId="1E070A5D" w14:textId="77777777" w:rsidR="00837294" w:rsidRPr="00AD448A" w:rsidRDefault="00837294" w:rsidP="00857754">
            <w:pPr>
              <w:pStyle w:val="Tabletext1"/>
              <w:jc w:val="center"/>
              <w:rPr>
                <w:color w:val="000000"/>
              </w:rPr>
            </w:pPr>
            <w:r w:rsidRPr="00EA3EE7">
              <w:rPr>
                <w:color w:val="000000"/>
              </w:rPr>
              <w:t>0.85 (0.84–0.87)</w:t>
            </w:r>
          </w:p>
        </w:tc>
        <w:tc>
          <w:tcPr>
            <w:tcW w:w="1170" w:type="pct"/>
          </w:tcPr>
          <w:p w14:paraId="0F254617" w14:textId="77777777" w:rsidR="00837294" w:rsidRPr="00AD448A" w:rsidRDefault="00837294" w:rsidP="00857754">
            <w:pPr>
              <w:pStyle w:val="Tabletext1"/>
              <w:jc w:val="center"/>
              <w:rPr>
                <w:color w:val="000000"/>
              </w:rPr>
            </w:pPr>
            <w:r w:rsidRPr="00EA3EE7">
              <w:rPr>
                <w:color w:val="000000"/>
              </w:rPr>
              <w:t>0.83 (0.82–0.85)</w:t>
            </w:r>
          </w:p>
        </w:tc>
        <w:tc>
          <w:tcPr>
            <w:tcW w:w="1351" w:type="pct"/>
          </w:tcPr>
          <w:p w14:paraId="23FE8B97" w14:textId="77777777" w:rsidR="00837294" w:rsidRPr="00AD448A" w:rsidRDefault="00837294" w:rsidP="00857754">
            <w:pPr>
              <w:pStyle w:val="Tabletext1"/>
              <w:jc w:val="center"/>
              <w:rPr>
                <w:color w:val="000000"/>
              </w:rPr>
            </w:pPr>
            <w:r>
              <w:rPr>
                <w:color w:val="000000"/>
              </w:rPr>
              <w:t>0.078</w:t>
            </w:r>
          </w:p>
        </w:tc>
      </w:tr>
      <w:tr w:rsidR="00837294" w:rsidRPr="00AD448A" w14:paraId="31D74756" w14:textId="77777777" w:rsidTr="00857754">
        <w:trPr>
          <w:trHeight w:val="300"/>
        </w:trPr>
        <w:tc>
          <w:tcPr>
            <w:tcW w:w="1019" w:type="pct"/>
            <w:hideMark/>
          </w:tcPr>
          <w:p w14:paraId="1E846024" w14:textId="77777777" w:rsidR="00837294" w:rsidRPr="00AD448A" w:rsidRDefault="00837294" w:rsidP="00857754">
            <w:pPr>
              <w:pStyle w:val="Tabletext1"/>
            </w:pPr>
            <w:r w:rsidRPr="00AD448A">
              <w:t>55</w:t>
            </w:r>
            <w:r>
              <w:t>–</w:t>
            </w:r>
            <w:r w:rsidRPr="00AD448A">
              <w:t>64</w:t>
            </w:r>
          </w:p>
        </w:tc>
        <w:tc>
          <w:tcPr>
            <w:tcW w:w="1460" w:type="pct"/>
            <w:noWrap/>
            <w:hideMark/>
          </w:tcPr>
          <w:p w14:paraId="57691088" w14:textId="77777777" w:rsidR="00837294" w:rsidRPr="00AD448A" w:rsidRDefault="00837294" w:rsidP="00857754">
            <w:pPr>
              <w:pStyle w:val="Tabletext1"/>
              <w:jc w:val="center"/>
              <w:rPr>
                <w:color w:val="000000"/>
              </w:rPr>
            </w:pPr>
            <w:r w:rsidRPr="00EA3EE7">
              <w:rPr>
                <w:color w:val="000000"/>
              </w:rPr>
              <w:t>0.85 (0.84–0.86)</w:t>
            </w:r>
          </w:p>
        </w:tc>
        <w:tc>
          <w:tcPr>
            <w:tcW w:w="1170" w:type="pct"/>
          </w:tcPr>
          <w:p w14:paraId="74AC07DF" w14:textId="77777777" w:rsidR="00837294" w:rsidRPr="00AD448A" w:rsidRDefault="00837294" w:rsidP="00857754">
            <w:pPr>
              <w:pStyle w:val="Tabletext1"/>
              <w:jc w:val="center"/>
              <w:rPr>
                <w:color w:val="000000"/>
              </w:rPr>
            </w:pPr>
            <w:r w:rsidRPr="00EA3EE7">
              <w:rPr>
                <w:color w:val="000000"/>
              </w:rPr>
              <w:t>0.84 (0.82–0.85)</w:t>
            </w:r>
          </w:p>
        </w:tc>
        <w:tc>
          <w:tcPr>
            <w:tcW w:w="1351" w:type="pct"/>
          </w:tcPr>
          <w:p w14:paraId="06B6E762" w14:textId="77777777" w:rsidR="00837294" w:rsidRPr="00AD448A" w:rsidRDefault="00837294" w:rsidP="00857754">
            <w:pPr>
              <w:pStyle w:val="Tabletext1"/>
              <w:jc w:val="center"/>
              <w:rPr>
                <w:color w:val="000000"/>
              </w:rPr>
            </w:pPr>
            <w:r>
              <w:rPr>
                <w:color w:val="000000"/>
              </w:rPr>
              <w:t>0.055</w:t>
            </w:r>
          </w:p>
        </w:tc>
      </w:tr>
      <w:tr w:rsidR="00837294" w:rsidRPr="00AD448A" w14:paraId="50AA67F1" w14:textId="77777777" w:rsidTr="00857754">
        <w:trPr>
          <w:trHeight w:val="300"/>
        </w:trPr>
        <w:tc>
          <w:tcPr>
            <w:tcW w:w="1019" w:type="pct"/>
            <w:hideMark/>
          </w:tcPr>
          <w:p w14:paraId="2AD87294" w14:textId="77777777" w:rsidR="00837294" w:rsidRPr="00AD448A" w:rsidRDefault="00837294" w:rsidP="00857754">
            <w:pPr>
              <w:pStyle w:val="Tabletext1"/>
            </w:pPr>
            <w:r w:rsidRPr="00AD448A">
              <w:t>65</w:t>
            </w:r>
            <w:r>
              <w:t>–</w:t>
            </w:r>
            <w:r w:rsidRPr="00AD448A">
              <w:t>74</w:t>
            </w:r>
          </w:p>
        </w:tc>
        <w:tc>
          <w:tcPr>
            <w:tcW w:w="1460" w:type="pct"/>
            <w:noWrap/>
            <w:hideMark/>
          </w:tcPr>
          <w:p w14:paraId="4CB0646B" w14:textId="77777777" w:rsidR="00837294" w:rsidRPr="00AD448A" w:rsidRDefault="00837294" w:rsidP="00857754">
            <w:pPr>
              <w:pStyle w:val="Tabletext1"/>
              <w:jc w:val="center"/>
              <w:rPr>
                <w:color w:val="000000"/>
              </w:rPr>
            </w:pPr>
            <w:r w:rsidRPr="00EA3EE7">
              <w:rPr>
                <w:color w:val="000000"/>
              </w:rPr>
              <w:t>0.82 (0.81–0.83)</w:t>
            </w:r>
          </w:p>
        </w:tc>
        <w:tc>
          <w:tcPr>
            <w:tcW w:w="1170" w:type="pct"/>
          </w:tcPr>
          <w:p w14:paraId="26092FBE" w14:textId="77777777" w:rsidR="00837294" w:rsidRPr="00AD448A" w:rsidRDefault="00837294" w:rsidP="00857754">
            <w:pPr>
              <w:pStyle w:val="Tabletext1"/>
              <w:jc w:val="center"/>
              <w:rPr>
                <w:color w:val="000000"/>
              </w:rPr>
            </w:pPr>
            <w:r w:rsidRPr="00EA3EE7">
              <w:rPr>
                <w:color w:val="000000"/>
              </w:rPr>
              <w:t>0.80 (0.78–0.81)</w:t>
            </w:r>
          </w:p>
        </w:tc>
        <w:tc>
          <w:tcPr>
            <w:tcW w:w="1351" w:type="pct"/>
          </w:tcPr>
          <w:p w14:paraId="497961D1" w14:textId="77777777" w:rsidR="00837294" w:rsidRPr="00434D7F" w:rsidRDefault="00837294" w:rsidP="00857754">
            <w:pPr>
              <w:pStyle w:val="Tabletext1"/>
              <w:jc w:val="center"/>
              <w:rPr>
                <w:b/>
                <w:color w:val="000000"/>
              </w:rPr>
            </w:pPr>
            <w:r w:rsidRPr="00434D7F">
              <w:rPr>
                <w:b/>
                <w:color w:val="000000"/>
              </w:rPr>
              <w:t>0.029</w:t>
            </w:r>
          </w:p>
        </w:tc>
      </w:tr>
      <w:tr w:rsidR="00837294" w:rsidRPr="00AD448A" w14:paraId="0CE2027E" w14:textId="77777777" w:rsidTr="00857754">
        <w:trPr>
          <w:trHeight w:val="300"/>
        </w:trPr>
        <w:tc>
          <w:tcPr>
            <w:tcW w:w="1019" w:type="pct"/>
            <w:hideMark/>
          </w:tcPr>
          <w:p w14:paraId="34625A4C" w14:textId="77777777" w:rsidR="00837294" w:rsidRPr="00AD448A" w:rsidRDefault="00837294" w:rsidP="00857754">
            <w:pPr>
              <w:pStyle w:val="Tabletext1"/>
            </w:pPr>
            <w:r w:rsidRPr="00AD448A">
              <w:t>75+</w:t>
            </w:r>
          </w:p>
        </w:tc>
        <w:tc>
          <w:tcPr>
            <w:tcW w:w="1460" w:type="pct"/>
            <w:noWrap/>
            <w:hideMark/>
          </w:tcPr>
          <w:p w14:paraId="3C2EF5F8" w14:textId="77777777" w:rsidR="00837294" w:rsidRPr="00AD448A" w:rsidRDefault="00837294" w:rsidP="00857754">
            <w:pPr>
              <w:pStyle w:val="Tabletext1"/>
              <w:jc w:val="center"/>
              <w:rPr>
                <w:color w:val="000000"/>
              </w:rPr>
            </w:pPr>
            <w:r w:rsidRPr="00EA3EE7">
              <w:rPr>
                <w:color w:val="000000"/>
              </w:rPr>
              <w:t>0.80 (0.78–0.81)</w:t>
            </w:r>
          </w:p>
        </w:tc>
        <w:tc>
          <w:tcPr>
            <w:tcW w:w="1170" w:type="pct"/>
          </w:tcPr>
          <w:p w14:paraId="709EF532" w14:textId="77777777" w:rsidR="00837294" w:rsidRPr="00AD448A" w:rsidRDefault="00837294" w:rsidP="00857754">
            <w:pPr>
              <w:pStyle w:val="Tabletext1"/>
              <w:jc w:val="center"/>
              <w:rPr>
                <w:color w:val="000000"/>
              </w:rPr>
            </w:pPr>
            <w:r w:rsidRPr="00EA3EE7">
              <w:rPr>
                <w:color w:val="000000"/>
              </w:rPr>
              <w:t>0.78 (0.76–0.80)</w:t>
            </w:r>
          </w:p>
        </w:tc>
        <w:tc>
          <w:tcPr>
            <w:tcW w:w="1351" w:type="pct"/>
          </w:tcPr>
          <w:p w14:paraId="1D3171A8" w14:textId="77777777" w:rsidR="00837294" w:rsidRPr="00AD448A" w:rsidRDefault="00837294" w:rsidP="00857754">
            <w:pPr>
              <w:pStyle w:val="Tabletext1"/>
              <w:jc w:val="center"/>
              <w:rPr>
                <w:color w:val="000000"/>
              </w:rPr>
            </w:pPr>
            <w:r>
              <w:rPr>
                <w:color w:val="000000"/>
              </w:rPr>
              <w:t>0.104</w:t>
            </w:r>
          </w:p>
        </w:tc>
      </w:tr>
    </w:tbl>
    <w:p w14:paraId="558641B0" w14:textId="6656C8C3" w:rsidR="00837294" w:rsidRDefault="00837294" w:rsidP="00837294">
      <w:pPr>
        <w:pStyle w:val="Tablenote"/>
      </w:pPr>
      <w:r>
        <w:t xml:space="preserve">Source: </w:t>
      </w:r>
      <w:r w:rsidR="00B727D6">
        <w:fldChar w:fldCharType="begin"/>
      </w:r>
      <w:r w:rsidR="00B727D6">
        <w:instrText xml:space="preserve"> ADDIN EN.CITE &lt;EndNote&gt;&lt;Cite&gt;&lt;Author&gt;Clemens&lt;/Author&gt;&lt;Year&gt;2014&lt;/Year&gt;&lt;RecNum&gt;1926&lt;/RecNum&gt;&lt;DisplayText&gt;(Clemens et al. 2014)&lt;/DisplayText&gt;&lt;record&gt;&lt;rec-number&gt;1926&lt;/rec-number&gt;&lt;foreign-keys&gt;&lt;key app="EN" db-id="xtr5xfx2xf0wd7e0s2qvst2ietxxf0tpzr9v" timestamp="1612139623"&gt;1926&lt;/key&gt;&lt;/foreign-keys&gt;&lt;ref-type name="Journal Article"&gt;17&lt;/ref-type&gt;&lt;contributors&gt;&lt;authors&gt;&lt;author&gt;Clemens, Susan&lt;/author&gt;&lt;author&gt;Begum, Nelufa&lt;/author&gt;&lt;author&gt;Harper, Catherine&lt;/author&gt;&lt;author&gt;Whitty, Jennifer A.&lt;/author&gt;&lt;author&gt;Scuffham, Paul A.&lt;/author&gt;&lt;/authors&gt;&lt;/contributors&gt;&lt;titles&gt;&lt;title&gt;A comparison of EQ-5D-3L population norms in Queensland, Australia, estimated using utility value sets from Australia, the UK and USA&lt;/title&gt;&lt;secondary-title&gt;Quality of Life Research&lt;/secondary-title&gt;&lt;/titles&gt;&lt;periodical&gt;&lt;full-title&gt;Quality of Life Research&lt;/full-title&gt;&lt;/periodical&gt;&lt;pages&gt;2375-2381&lt;/pages&gt;&lt;volume&gt;23&lt;/volume&gt;&lt;number&gt;8&lt;/number&gt;&lt;dates&gt;&lt;year&gt;2014&lt;/year&gt;&lt;pub-dates&gt;&lt;date&gt;2014/10/01&lt;/date&gt;&lt;/pub-dates&gt;&lt;/dates&gt;&lt;isbn&gt;1573-2649&lt;/isbn&gt;&lt;urls&gt;&lt;related-urls&gt;&lt;url&gt;https://doi.org/10.1007/s11136-014-0676-x&lt;/url&gt;&lt;url&gt;https://link.springer.com/content/pdf/10.1007/s11136-014-0676-x.pdf&lt;/url&gt;&lt;/related-urls&gt;&lt;/urls&gt;&lt;electronic-resource-num&gt;10.1007/s11136-014-0676-x&lt;/electronic-resource-num&gt;&lt;/record&gt;&lt;/Cite&gt;&lt;/EndNote&gt;</w:instrText>
      </w:r>
      <w:r w:rsidR="00B727D6">
        <w:fldChar w:fldCharType="separate"/>
      </w:r>
      <w:r w:rsidR="00B727D6">
        <w:rPr>
          <w:noProof/>
        </w:rPr>
        <w:t>(</w:t>
      </w:r>
      <w:hyperlink w:anchor="_ENREF_8" w:tooltip="Clemens, 2014 #1926" w:history="1">
        <w:r w:rsidR="00D726F6">
          <w:rPr>
            <w:noProof/>
          </w:rPr>
          <w:t>Clemens et al. 2014</w:t>
        </w:r>
      </w:hyperlink>
      <w:r w:rsidR="00B727D6">
        <w:rPr>
          <w:noProof/>
        </w:rPr>
        <w:t>)</w:t>
      </w:r>
      <w:r w:rsidR="00B727D6">
        <w:fldChar w:fldCharType="end"/>
      </w:r>
    </w:p>
    <w:p w14:paraId="1A92D355" w14:textId="77777777" w:rsidR="00837294" w:rsidRDefault="00837294" w:rsidP="00837294">
      <w:pPr>
        <w:pStyle w:val="Tablenote"/>
      </w:pPr>
      <w:r>
        <w:t>Note: values in bold represent statistical significance.</w:t>
      </w:r>
    </w:p>
    <w:p w14:paraId="0DC227EB" w14:textId="315627FA" w:rsidR="00837294" w:rsidRDefault="00837294" w:rsidP="00837294">
      <w:pPr>
        <w:pStyle w:val="Tablenote"/>
      </w:pPr>
      <w:r>
        <w:t xml:space="preserve">CI = confidence interval; </w:t>
      </w:r>
      <w:r w:rsidR="008C6D90">
        <w:t xml:space="preserve">EQ-5D = EuroQol- 5 dimensions; </w:t>
      </w:r>
      <w:r>
        <w:t>UK = United Kingdom</w:t>
      </w:r>
    </w:p>
    <w:p w14:paraId="6C821326" w14:textId="66DDC949" w:rsidR="00837294" w:rsidRDefault="00837294" w:rsidP="00837294">
      <w:r>
        <w:fldChar w:fldCharType="begin"/>
      </w:r>
      <w:r>
        <w:instrText xml:space="preserve"> REF _Ref65237150 \h </w:instrText>
      </w:r>
      <w:r>
        <w:fldChar w:fldCharType="separate"/>
      </w:r>
      <w:r w:rsidR="004B3EA2">
        <w:t xml:space="preserve">Table </w:t>
      </w:r>
      <w:r w:rsidR="004B3EA2">
        <w:rPr>
          <w:noProof/>
        </w:rPr>
        <w:t>34</w:t>
      </w:r>
      <w:r>
        <w:fldChar w:fldCharType="end"/>
      </w:r>
      <w:r>
        <w:t xml:space="preserve"> summarises utility scores used in the economic evaluation along with their sources. </w:t>
      </w:r>
      <w:r w:rsidRPr="00FA6277">
        <w:t xml:space="preserve">These </w:t>
      </w:r>
      <w:r>
        <w:t xml:space="preserve">are applied as cyclical decrements </w:t>
      </w:r>
      <w:r w:rsidRPr="00FA6277">
        <w:t xml:space="preserve">in the model. </w:t>
      </w:r>
      <w:r>
        <w:t>The b</w:t>
      </w:r>
      <w:r w:rsidRPr="00FA6277">
        <w:t xml:space="preserve">ase-case utility for a patient entering in the model is assumed to be 0.62 which is </w:t>
      </w:r>
      <w:r>
        <w:t>a HRQoL</w:t>
      </w:r>
      <w:r w:rsidRPr="00FA6277">
        <w:t xml:space="preserve"> value estimated for a patient with CIDP. All other utility or disutility values are applied </w:t>
      </w:r>
      <w:r>
        <w:t xml:space="preserve">as increments or decrements </w:t>
      </w:r>
      <w:r w:rsidRPr="00FA6277">
        <w:t>to this base-value in the model.</w:t>
      </w:r>
    </w:p>
    <w:p w14:paraId="55257C29" w14:textId="1836E67D" w:rsidR="00837294" w:rsidRDefault="00837294" w:rsidP="00837294">
      <w:pPr>
        <w:pStyle w:val="Caption"/>
      </w:pPr>
      <w:bookmarkStart w:id="257" w:name="_Ref65237150"/>
      <w:bookmarkStart w:id="258" w:name="_Toc69305675"/>
      <w:r>
        <w:t xml:space="preserve">Table </w:t>
      </w:r>
      <w:r w:rsidR="00003BA5">
        <w:fldChar w:fldCharType="begin"/>
      </w:r>
      <w:r w:rsidR="00003BA5">
        <w:instrText xml:space="preserve"> SE</w:instrText>
      </w:r>
      <w:r w:rsidR="00003BA5">
        <w:instrText xml:space="preserve">Q Table \* ARABIC </w:instrText>
      </w:r>
      <w:r w:rsidR="00003BA5">
        <w:fldChar w:fldCharType="separate"/>
      </w:r>
      <w:r w:rsidR="004B3EA2">
        <w:rPr>
          <w:noProof/>
        </w:rPr>
        <w:t>34</w:t>
      </w:r>
      <w:r w:rsidR="00003BA5">
        <w:rPr>
          <w:noProof/>
        </w:rPr>
        <w:fldChar w:fldCharType="end"/>
      </w:r>
      <w:bookmarkEnd w:id="257"/>
      <w:r w:rsidR="003F6588">
        <w:tab/>
      </w:r>
      <w:r>
        <w:t>Utility scores</w:t>
      </w:r>
      <w:r>
        <w:rPr>
          <w:vertAlign w:val="superscript"/>
        </w:rPr>
        <w:t>a</w:t>
      </w:r>
      <w:r>
        <w:t xml:space="preserve"> used in the economic model</w:t>
      </w:r>
      <w:bookmarkEnd w:id="258"/>
    </w:p>
    <w:tbl>
      <w:tblPr>
        <w:tblStyle w:val="TableGrid"/>
        <w:tblW w:w="0" w:type="auto"/>
        <w:tblLook w:val="04A0" w:firstRow="1" w:lastRow="0" w:firstColumn="1" w:lastColumn="0" w:noHBand="0" w:noVBand="1"/>
        <w:tblCaption w:val="Utility scores used in the economic model"/>
        <w:tblDescription w:val="Utility scores used in the economic model"/>
      </w:tblPr>
      <w:tblGrid>
        <w:gridCol w:w="2122"/>
        <w:gridCol w:w="1417"/>
        <w:gridCol w:w="1429"/>
        <w:gridCol w:w="1429"/>
        <w:gridCol w:w="2619"/>
      </w:tblGrid>
      <w:tr w:rsidR="00F04872" w14:paraId="7A5B239C" w14:textId="77777777" w:rsidTr="00F04872">
        <w:trPr>
          <w:tblHeader/>
        </w:trPr>
        <w:tc>
          <w:tcPr>
            <w:tcW w:w="2122" w:type="dxa"/>
            <w:vMerge w:val="restart"/>
          </w:tcPr>
          <w:p w14:paraId="1A190557" w14:textId="77777777" w:rsidR="00F04872" w:rsidRDefault="00F04872" w:rsidP="00857754">
            <w:pPr>
              <w:pStyle w:val="TableHeading"/>
              <w:ind w:left="0"/>
            </w:pPr>
            <w:r>
              <w:t>Description</w:t>
            </w:r>
          </w:p>
        </w:tc>
        <w:tc>
          <w:tcPr>
            <w:tcW w:w="1417" w:type="dxa"/>
            <w:vMerge w:val="restart"/>
          </w:tcPr>
          <w:p w14:paraId="4CEEA948" w14:textId="77777777" w:rsidR="00F04872" w:rsidRDefault="00F04872" w:rsidP="00857754">
            <w:pPr>
              <w:pStyle w:val="TableHeading"/>
              <w:ind w:left="0"/>
            </w:pPr>
            <w:r>
              <w:t>Utility adjustment</w:t>
            </w:r>
          </w:p>
        </w:tc>
        <w:tc>
          <w:tcPr>
            <w:tcW w:w="2858" w:type="dxa"/>
            <w:gridSpan w:val="2"/>
          </w:tcPr>
          <w:p w14:paraId="7AE0FE5A" w14:textId="77777777" w:rsidR="00F04872" w:rsidRDefault="00F04872" w:rsidP="00857754">
            <w:pPr>
              <w:pStyle w:val="TableHeading"/>
              <w:ind w:left="0"/>
              <w:jc w:val="center"/>
            </w:pPr>
            <w:r>
              <w:t>Sensitivity analysis</w:t>
            </w:r>
          </w:p>
        </w:tc>
        <w:tc>
          <w:tcPr>
            <w:tcW w:w="2619" w:type="dxa"/>
            <w:vMerge w:val="restart"/>
          </w:tcPr>
          <w:p w14:paraId="248AC2AD" w14:textId="77777777" w:rsidR="00F04872" w:rsidRDefault="00F04872" w:rsidP="00857754">
            <w:pPr>
              <w:pStyle w:val="TableHeading"/>
              <w:ind w:left="0"/>
            </w:pPr>
            <w:r>
              <w:t>Source</w:t>
            </w:r>
          </w:p>
        </w:tc>
      </w:tr>
      <w:tr w:rsidR="00F04872" w14:paraId="2089CC3E" w14:textId="77777777" w:rsidTr="00F04872">
        <w:trPr>
          <w:trHeight w:val="58"/>
          <w:tblHeader/>
        </w:trPr>
        <w:tc>
          <w:tcPr>
            <w:tcW w:w="2122" w:type="dxa"/>
            <w:vMerge/>
          </w:tcPr>
          <w:p w14:paraId="157223CA" w14:textId="77777777" w:rsidR="00F04872" w:rsidRDefault="00F04872" w:rsidP="00857754">
            <w:pPr>
              <w:pStyle w:val="TableHeading"/>
              <w:ind w:left="0"/>
            </w:pPr>
          </w:p>
        </w:tc>
        <w:tc>
          <w:tcPr>
            <w:tcW w:w="1417" w:type="dxa"/>
            <w:vMerge/>
          </w:tcPr>
          <w:p w14:paraId="56D3C9A2" w14:textId="77777777" w:rsidR="00F04872" w:rsidRDefault="00F04872" w:rsidP="00857754">
            <w:pPr>
              <w:pStyle w:val="TableHeading"/>
              <w:ind w:left="0"/>
            </w:pPr>
          </w:p>
        </w:tc>
        <w:tc>
          <w:tcPr>
            <w:tcW w:w="1429" w:type="dxa"/>
          </w:tcPr>
          <w:p w14:paraId="15EB301C" w14:textId="77777777" w:rsidR="00F04872" w:rsidRPr="00F04872" w:rsidRDefault="00F04872" w:rsidP="00F04872">
            <w:pPr>
              <w:pStyle w:val="TableHeading"/>
              <w:ind w:left="0"/>
              <w:jc w:val="center"/>
              <w:rPr>
                <w:b w:val="0"/>
                <w:sz w:val="18"/>
              </w:rPr>
            </w:pPr>
            <w:r w:rsidRPr="00F04872">
              <w:rPr>
                <w:b w:val="0"/>
                <w:sz w:val="18"/>
              </w:rPr>
              <w:t>Lower value</w:t>
            </w:r>
          </w:p>
        </w:tc>
        <w:tc>
          <w:tcPr>
            <w:tcW w:w="1429" w:type="dxa"/>
          </w:tcPr>
          <w:p w14:paraId="7AA156FE" w14:textId="77777777" w:rsidR="00F04872" w:rsidRPr="00F04872" w:rsidRDefault="00F04872" w:rsidP="00F04872">
            <w:pPr>
              <w:pStyle w:val="TableHeading"/>
              <w:ind w:left="0"/>
              <w:jc w:val="center"/>
              <w:rPr>
                <w:b w:val="0"/>
                <w:sz w:val="18"/>
              </w:rPr>
            </w:pPr>
            <w:r w:rsidRPr="00F04872">
              <w:rPr>
                <w:b w:val="0"/>
                <w:sz w:val="18"/>
              </w:rPr>
              <w:t>Upper value</w:t>
            </w:r>
          </w:p>
        </w:tc>
        <w:tc>
          <w:tcPr>
            <w:tcW w:w="2619" w:type="dxa"/>
            <w:vMerge/>
          </w:tcPr>
          <w:p w14:paraId="1A9350A7" w14:textId="77777777" w:rsidR="00F04872" w:rsidRDefault="00F04872" w:rsidP="00857754">
            <w:pPr>
              <w:pStyle w:val="TableHeading"/>
              <w:ind w:left="0"/>
            </w:pPr>
          </w:p>
        </w:tc>
      </w:tr>
      <w:tr w:rsidR="00837294" w14:paraId="4503DA2F" w14:textId="77777777" w:rsidTr="00F04872">
        <w:tc>
          <w:tcPr>
            <w:tcW w:w="2122" w:type="dxa"/>
          </w:tcPr>
          <w:p w14:paraId="616D3B7E" w14:textId="77777777" w:rsidR="00837294" w:rsidRDefault="00837294" w:rsidP="00857754">
            <w:pPr>
              <w:pStyle w:val="Tabletext1"/>
              <w:ind w:left="0"/>
            </w:pPr>
            <w:r>
              <w:t>Patient with CIDP</w:t>
            </w:r>
          </w:p>
        </w:tc>
        <w:tc>
          <w:tcPr>
            <w:tcW w:w="1417" w:type="dxa"/>
          </w:tcPr>
          <w:p w14:paraId="369029DD" w14:textId="77777777" w:rsidR="00837294" w:rsidRDefault="00837294" w:rsidP="00857754">
            <w:pPr>
              <w:pStyle w:val="Tabletext1"/>
              <w:ind w:left="0"/>
              <w:jc w:val="center"/>
            </w:pPr>
            <w:r>
              <w:t>Baseline utility: 0.6200</w:t>
            </w:r>
          </w:p>
        </w:tc>
        <w:tc>
          <w:tcPr>
            <w:tcW w:w="1429" w:type="dxa"/>
          </w:tcPr>
          <w:p w14:paraId="53A2DC00" w14:textId="77777777" w:rsidR="00837294" w:rsidRDefault="00837294" w:rsidP="00857754">
            <w:pPr>
              <w:pStyle w:val="Tabletext1"/>
              <w:ind w:left="0"/>
              <w:jc w:val="center"/>
            </w:pPr>
            <w:r>
              <w:t>0.5700</w:t>
            </w:r>
          </w:p>
        </w:tc>
        <w:tc>
          <w:tcPr>
            <w:tcW w:w="1429" w:type="dxa"/>
          </w:tcPr>
          <w:p w14:paraId="29DEC83D" w14:textId="77777777" w:rsidR="00837294" w:rsidRDefault="00837294" w:rsidP="00857754">
            <w:pPr>
              <w:pStyle w:val="Tabletext1"/>
              <w:ind w:left="0"/>
              <w:jc w:val="center"/>
            </w:pPr>
            <w:r>
              <w:t>0.6400</w:t>
            </w:r>
          </w:p>
        </w:tc>
        <w:tc>
          <w:tcPr>
            <w:tcW w:w="2619" w:type="dxa"/>
          </w:tcPr>
          <w:p w14:paraId="62B496A3" w14:textId="75427712" w:rsidR="00837294" w:rsidRDefault="00B727D6" w:rsidP="00D726F6">
            <w:pPr>
              <w:pStyle w:val="Tabletext1"/>
              <w:ind w:left="0"/>
            </w:pPr>
            <w:r>
              <w:fldChar w:fldCharType="begin">
                <w:fldData xml:space="preserve">PEVuZE5vdGU+PENpdGU+PEF1dGhvcj5NYWhkaS1Sb2dlcnM8L0F1dGhvcj48WWVhcj4yMDE0PC9Z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PEVuZE5vdGU+PENpdGU+PEF1dGhvcj5NYWhkaS1Sb2dlcnM8L0F1dGhvcj48WWVhcj4yMDE0PC9Z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fldChar w:fldCharType="separate"/>
            </w:r>
            <w:r>
              <w:rPr>
                <w:noProof/>
              </w:rPr>
              <w:t>(</w:t>
            </w:r>
            <w:hyperlink w:anchor="_ENREF_41" w:tooltip="Mahdi-Rogers, 2014 #15" w:history="1">
              <w:r w:rsidR="00D726F6">
                <w:rPr>
                  <w:noProof/>
                </w:rPr>
                <w:t>Mahdi-Rogers, McCrone &amp; Hughes 2014</w:t>
              </w:r>
            </w:hyperlink>
            <w:r>
              <w:rPr>
                <w:noProof/>
              </w:rPr>
              <w:t xml:space="preserve">; </w:t>
            </w:r>
            <w:hyperlink w:anchor="_ENREF_43" w:tooltip="McCrone, 2003 #2" w:history="1">
              <w:r w:rsidR="00D726F6">
                <w:rPr>
                  <w:noProof/>
                </w:rPr>
                <w:t>McCrone et al. 2003</w:t>
              </w:r>
            </w:hyperlink>
            <w:r>
              <w:rPr>
                <w:noProof/>
              </w:rPr>
              <w:t>)</w:t>
            </w:r>
            <w:r>
              <w:fldChar w:fldCharType="end"/>
            </w:r>
          </w:p>
        </w:tc>
      </w:tr>
      <w:tr w:rsidR="00837294" w14:paraId="166E522C" w14:textId="77777777" w:rsidTr="00F04872">
        <w:tc>
          <w:tcPr>
            <w:tcW w:w="2122" w:type="dxa"/>
          </w:tcPr>
          <w:p w14:paraId="3FD6174A" w14:textId="77777777" w:rsidR="00837294" w:rsidRDefault="00837294" w:rsidP="00857754">
            <w:pPr>
              <w:pStyle w:val="Tabletext1"/>
              <w:ind w:left="0"/>
            </w:pPr>
            <w:r>
              <w:t>Disease progression</w:t>
            </w:r>
          </w:p>
        </w:tc>
        <w:tc>
          <w:tcPr>
            <w:tcW w:w="1417" w:type="dxa"/>
          </w:tcPr>
          <w:p w14:paraId="13484009" w14:textId="77777777" w:rsidR="00837294" w:rsidRDefault="00837294" w:rsidP="00857754">
            <w:pPr>
              <w:pStyle w:val="Tabletext1"/>
              <w:ind w:left="0"/>
              <w:jc w:val="center"/>
            </w:pPr>
            <w:r>
              <w:t>–0.1400</w:t>
            </w:r>
          </w:p>
        </w:tc>
        <w:tc>
          <w:tcPr>
            <w:tcW w:w="1429" w:type="dxa"/>
          </w:tcPr>
          <w:p w14:paraId="55CD5E0D" w14:textId="77777777" w:rsidR="00837294" w:rsidRDefault="00837294" w:rsidP="00857754">
            <w:pPr>
              <w:pStyle w:val="Tabletext1"/>
              <w:ind w:left="0"/>
              <w:jc w:val="center"/>
            </w:pPr>
            <w:r>
              <w:t>-</w:t>
            </w:r>
          </w:p>
        </w:tc>
        <w:tc>
          <w:tcPr>
            <w:tcW w:w="1429" w:type="dxa"/>
          </w:tcPr>
          <w:p w14:paraId="429E0F2F" w14:textId="77777777" w:rsidR="00837294" w:rsidRDefault="00837294" w:rsidP="00857754">
            <w:pPr>
              <w:pStyle w:val="Tabletext1"/>
              <w:ind w:left="0"/>
              <w:jc w:val="center"/>
            </w:pPr>
            <w:r>
              <w:t>-</w:t>
            </w:r>
          </w:p>
        </w:tc>
        <w:tc>
          <w:tcPr>
            <w:tcW w:w="2619" w:type="dxa"/>
          </w:tcPr>
          <w:p w14:paraId="44B95E95" w14:textId="11DEE8A6" w:rsidR="00837294" w:rsidRDefault="00B727D6" w:rsidP="00D726F6">
            <w:pPr>
              <w:pStyle w:val="Tabletext1"/>
              <w:ind w:left="0"/>
            </w:pPr>
            <w:r>
              <w:fldChar w:fldCharType="begin">
                <w:fldData xml:space="preserve">PEVuZE5vdGU+PENpdGU+PEF1dGhvcj5BaG1hZDwvQXV0aG9yPjxZZWFyPjIwMjA8L1llYXI+PFJl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</w:fldData>
              </w:fldChar>
            </w:r>
            <w:r>
              <w:instrText xml:space="preserve"> ADDIN EN.CITE </w:instrText>
            </w:r>
            <w:r>
              <w:fldChar w:fldCharType="begin">
                <w:fldData xml:space="preserve">PEVuZE5vdGU+PENpdGU+PEF1dGhvcj5BaG1hZDwvQXV0aG9yPjxZZWFyPjIwMjA8L1llYXI+PFJl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</w:fldData>
              </w:fldChar>
            </w:r>
            <w:r>
              <w:instrText xml:space="preserve"> ADDIN EN.CITE.DATA </w:instrText>
            </w:r>
            <w:r>
              <w:fldChar w:fldCharType="end"/>
            </w:r>
            <w:r>
              <w:fldChar w:fldCharType="separate"/>
            </w:r>
            <w:r>
              <w:rPr>
                <w:noProof/>
              </w:rPr>
              <w:t>(</w:t>
            </w:r>
            <w:hyperlink w:anchor="_ENREF_4" w:tooltip="Ahmad, 2020 #1924" w:history="1">
              <w:r w:rsidR="00D726F6">
                <w:rPr>
                  <w:noProof/>
                </w:rPr>
                <w:t>Ahmad et al. 2020</w:t>
              </w:r>
            </w:hyperlink>
            <w:r>
              <w:rPr>
                <w:noProof/>
              </w:rPr>
              <w:t>)</w:t>
            </w:r>
            <w:r>
              <w:fldChar w:fldCharType="end"/>
            </w:r>
          </w:p>
        </w:tc>
      </w:tr>
      <w:tr w:rsidR="00837294" w14:paraId="36BB97B4" w14:textId="77777777" w:rsidTr="00F04872">
        <w:tc>
          <w:tcPr>
            <w:tcW w:w="2122" w:type="dxa"/>
          </w:tcPr>
          <w:p w14:paraId="215325DF" w14:textId="77777777" w:rsidR="00837294" w:rsidRDefault="00837294" w:rsidP="00857754">
            <w:pPr>
              <w:pStyle w:val="Tabletext1"/>
              <w:ind w:left="0"/>
            </w:pPr>
            <w:r>
              <w:t>Effective treatment with Ig</w:t>
            </w:r>
          </w:p>
        </w:tc>
        <w:tc>
          <w:tcPr>
            <w:tcW w:w="1417" w:type="dxa"/>
          </w:tcPr>
          <w:p w14:paraId="0DE0A538" w14:textId="77777777" w:rsidR="00837294" w:rsidRDefault="00837294" w:rsidP="00857754">
            <w:pPr>
              <w:pStyle w:val="Tabletext1"/>
              <w:ind w:left="0"/>
              <w:jc w:val="center"/>
            </w:pPr>
            <w:r>
              <w:t>+0.12</w:t>
            </w:r>
          </w:p>
        </w:tc>
        <w:tc>
          <w:tcPr>
            <w:tcW w:w="1429" w:type="dxa"/>
          </w:tcPr>
          <w:p w14:paraId="7E2F1A93" w14:textId="77777777" w:rsidR="00837294" w:rsidRDefault="00837294" w:rsidP="00857754">
            <w:pPr>
              <w:pStyle w:val="Tabletext1"/>
              <w:ind w:left="0"/>
              <w:jc w:val="center"/>
            </w:pPr>
            <w:r>
              <w:t>0.06</w:t>
            </w:r>
          </w:p>
        </w:tc>
        <w:tc>
          <w:tcPr>
            <w:tcW w:w="1429" w:type="dxa"/>
          </w:tcPr>
          <w:p w14:paraId="701B734F" w14:textId="77777777" w:rsidR="00837294" w:rsidRDefault="00837294" w:rsidP="00857754">
            <w:pPr>
              <w:pStyle w:val="Tabletext1"/>
              <w:ind w:left="0"/>
              <w:jc w:val="center"/>
            </w:pPr>
            <w:r>
              <w:t>0.18</w:t>
            </w:r>
          </w:p>
        </w:tc>
        <w:tc>
          <w:tcPr>
            <w:tcW w:w="2619" w:type="dxa"/>
          </w:tcPr>
          <w:p w14:paraId="68238BEB" w14:textId="2F8FEC91" w:rsidR="00837294" w:rsidRDefault="00B727D6" w:rsidP="00D726F6">
            <w:pPr>
              <w:pStyle w:val="Tabletext1"/>
              <w:ind w:left="0"/>
            </w:pPr>
            <w:r>
              <w:fldChar w:fldCharType="begin">
                <w:fldData xml:space="preserve">PEVuZE5vdGU+PENpdGU+PEF1dGhvcj5NY0Nyb25lPC9BdXRob3I+PFllYXI+MjAwMzwvWWVhcj48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</w:fldData>
              </w:fldChar>
            </w:r>
            <w:r>
              <w:instrText xml:space="preserve"> ADDIN EN.CITE </w:instrText>
            </w:r>
            <w:r>
              <w:fldChar w:fldCharType="begin">
                <w:fldData xml:space="preserve">PEVuZE5vdGU+PENpdGU+PEF1dGhvcj5NY0Nyb25lPC9BdXRob3I+PFllYXI+MjAwMzwvWWVhcj48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</w:fldData>
              </w:fldChar>
            </w:r>
            <w:r>
              <w:instrText xml:space="preserve"> ADDIN EN.CITE.DATA </w:instrText>
            </w:r>
            <w:r>
              <w:fldChar w:fldCharType="end"/>
            </w:r>
            <w:r>
              <w:fldChar w:fldCharType="separate"/>
            </w:r>
            <w:r>
              <w:rPr>
                <w:noProof/>
              </w:rPr>
              <w:t>(</w:t>
            </w:r>
            <w:hyperlink w:anchor="_ENREF_43" w:tooltip="McCrone, 2003 #2" w:history="1">
              <w:r w:rsidR="00D726F6">
                <w:rPr>
                  <w:noProof/>
                </w:rPr>
                <w:t>McCrone et al. 2003</w:t>
              </w:r>
            </w:hyperlink>
            <w:r>
              <w:rPr>
                <w:noProof/>
              </w:rPr>
              <w:t>)</w:t>
            </w:r>
            <w:r>
              <w:fldChar w:fldCharType="end"/>
            </w:r>
          </w:p>
        </w:tc>
      </w:tr>
      <w:tr w:rsidR="00837294" w14:paraId="0A643495" w14:textId="77777777" w:rsidTr="00F04872">
        <w:tc>
          <w:tcPr>
            <w:tcW w:w="2122" w:type="dxa"/>
          </w:tcPr>
          <w:p w14:paraId="55B7AC5B" w14:textId="77777777" w:rsidR="00837294" w:rsidRDefault="00837294" w:rsidP="00857754">
            <w:pPr>
              <w:pStyle w:val="Tabletext1"/>
              <w:ind w:left="0"/>
            </w:pPr>
            <w:r>
              <w:t>Effective treatment with steroids</w:t>
            </w:r>
          </w:p>
        </w:tc>
        <w:tc>
          <w:tcPr>
            <w:tcW w:w="1417" w:type="dxa"/>
          </w:tcPr>
          <w:p w14:paraId="025C0258" w14:textId="77777777" w:rsidR="00837294" w:rsidRDefault="00837294" w:rsidP="00857754">
            <w:pPr>
              <w:pStyle w:val="Tabletext1"/>
              <w:ind w:left="0"/>
              <w:jc w:val="center"/>
            </w:pPr>
            <w:r>
              <w:t>–0.047</w:t>
            </w:r>
          </w:p>
        </w:tc>
        <w:tc>
          <w:tcPr>
            <w:tcW w:w="1429" w:type="dxa"/>
          </w:tcPr>
          <w:p w14:paraId="1ED290EF" w14:textId="77777777" w:rsidR="00837294" w:rsidRDefault="00837294" w:rsidP="00857754">
            <w:pPr>
              <w:pStyle w:val="Tabletext1"/>
              <w:ind w:left="0"/>
              <w:jc w:val="center"/>
            </w:pPr>
            <w:r>
              <w:t>0.00</w:t>
            </w:r>
          </w:p>
          <w:p w14:paraId="0F0EE5B0" w14:textId="4787340D" w:rsidR="00837294" w:rsidRPr="001341E0" w:rsidRDefault="00837294" w:rsidP="00F04872">
            <w:pPr>
              <w:pStyle w:val="Tabletext1"/>
              <w:ind w:left="0"/>
              <w:jc w:val="center"/>
            </w:pPr>
            <w:r w:rsidRPr="00F04872">
              <w:rPr>
                <w:sz w:val="16"/>
              </w:rPr>
              <w:t>(disutility</w:t>
            </w:r>
            <w:r w:rsidR="00F04872" w:rsidRPr="00F04872">
              <w:rPr>
                <w:sz w:val="16"/>
              </w:rPr>
              <w:t xml:space="preserve"> only</w:t>
            </w:r>
            <w:r w:rsidRPr="00F04872">
              <w:rPr>
                <w:sz w:val="16"/>
              </w:rPr>
              <w:t xml:space="preserve"> associated with </w:t>
            </w:r>
            <w:r w:rsidR="00F04872" w:rsidRPr="00F04872">
              <w:rPr>
                <w:sz w:val="16"/>
              </w:rPr>
              <w:t>AEs</w:t>
            </w:r>
            <w:r w:rsidRPr="00F04872">
              <w:rPr>
                <w:sz w:val="16"/>
              </w:rPr>
              <w:t>)</w:t>
            </w:r>
          </w:p>
        </w:tc>
        <w:tc>
          <w:tcPr>
            <w:tcW w:w="1429" w:type="dxa"/>
          </w:tcPr>
          <w:p w14:paraId="498E58A5" w14:textId="77777777" w:rsidR="00837294" w:rsidRDefault="00837294" w:rsidP="00857754">
            <w:pPr>
              <w:pStyle w:val="Tabletext1"/>
              <w:ind w:left="0"/>
              <w:jc w:val="center"/>
            </w:pPr>
            <w:r w:rsidRPr="001341E0">
              <w:t>–0.054</w:t>
            </w:r>
          </w:p>
        </w:tc>
        <w:tc>
          <w:tcPr>
            <w:tcW w:w="2619" w:type="dxa"/>
          </w:tcPr>
          <w:p w14:paraId="74EB8542" w14:textId="3F733C5C" w:rsidR="00837294" w:rsidRDefault="00B727D6" w:rsidP="00D726F6">
            <w:pPr>
              <w:pStyle w:val="Tabletext1"/>
              <w:ind w:left="0"/>
            </w:pPr>
            <w:r>
              <w:fldChar w:fldCharType="begin">
                <w:fldData xml:space="preserve">PEVuZE5vdGU+PENpdGU+PEF1dGhvcj5TdWxsaXZhbjwvQXV0aG9yPjxZZWFyPjIwMTc8L1llYXI+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</w:fldData>
              </w:fldChar>
            </w:r>
            <w:r>
              <w:instrText xml:space="preserve"> ADDIN EN.CITE </w:instrText>
            </w:r>
            <w:r>
              <w:fldChar w:fldCharType="begin">
                <w:fldData xml:space="preserve">PEVuZE5vdGU+PENpdGU+PEF1dGhvcj5TdWxsaXZhbjwvQXV0aG9yPjxZZWFyPjIwMTc8L1llYXI+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</w:fldData>
              </w:fldChar>
            </w:r>
            <w:r>
              <w:instrText xml:space="preserve"> ADDIN EN.CITE.DATA </w:instrText>
            </w:r>
            <w:r>
              <w:fldChar w:fldCharType="end"/>
            </w:r>
            <w:r>
              <w:fldChar w:fldCharType="separate"/>
            </w:r>
            <w:r>
              <w:rPr>
                <w:noProof/>
              </w:rPr>
              <w:t>(</w:t>
            </w:r>
            <w:hyperlink w:anchor="_ENREF_68" w:tooltip="Sullivan, 2017 #1941" w:history="1">
              <w:r w:rsidR="00D726F6">
                <w:rPr>
                  <w:noProof/>
                </w:rPr>
                <w:t>Sullivan et al. 2017</w:t>
              </w:r>
            </w:hyperlink>
            <w:r>
              <w:rPr>
                <w:noProof/>
              </w:rPr>
              <w:t>)</w:t>
            </w:r>
            <w:r>
              <w:fldChar w:fldCharType="end"/>
            </w:r>
          </w:p>
        </w:tc>
      </w:tr>
      <w:tr w:rsidR="00837294" w14:paraId="5377DB68" w14:textId="77777777" w:rsidTr="00F04872">
        <w:tc>
          <w:tcPr>
            <w:tcW w:w="2122" w:type="dxa"/>
          </w:tcPr>
          <w:p w14:paraId="4141F87E" w14:textId="77777777" w:rsidR="00837294" w:rsidRDefault="00837294" w:rsidP="00857754">
            <w:pPr>
              <w:pStyle w:val="Tabletext1"/>
              <w:ind w:left="0"/>
            </w:pPr>
            <w:r>
              <w:t>Effective treatment with PE</w:t>
            </w:r>
          </w:p>
        </w:tc>
        <w:tc>
          <w:tcPr>
            <w:tcW w:w="1417" w:type="dxa"/>
          </w:tcPr>
          <w:p w14:paraId="1AE6D4BD" w14:textId="77777777" w:rsidR="00837294" w:rsidRDefault="00837294" w:rsidP="00857754">
            <w:pPr>
              <w:pStyle w:val="Tabletext1"/>
              <w:ind w:left="0"/>
              <w:jc w:val="center"/>
            </w:pPr>
            <w:r>
              <w:t>+0.12</w:t>
            </w:r>
          </w:p>
        </w:tc>
        <w:tc>
          <w:tcPr>
            <w:tcW w:w="1429" w:type="dxa"/>
          </w:tcPr>
          <w:p w14:paraId="247C1DC5" w14:textId="77777777" w:rsidR="00837294" w:rsidRDefault="00837294" w:rsidP="00857754">
            <w:pPr>
              <w:pStyle w:val="Tabletext1"/>
              <w:ind w:left="0"/>
              <w:jc w:val="center"/>
            </w:pPr>
            <w:r>
              <w:t>0.00</w:t>
            </w:r>
          </w:p>
        </w:tc>
        <w:tc>
          <w:tcPr>
            <w:tcW w:w="1429" w:type="dxa"/>
          </w:tcPr>
          <w:p w14:paraId="488ED081" w14:textId="77777777" w:rsidR="00837294" w:rsidRDefault="00837294" w:rsidP="00857754">
            <w:pPr>
              <w:pStyle w:val="Tabletext1"/>
              <w:ind w:left="0"/>
              <w:jc w:val="center"/>
            </w:pPr>
            <w:r>
              <w:t>0.18</w:t>
            </w:r>
          </w:p>
        </w:tc>
        <w:tc>
          <w:tcPr>
            <w:tcW w:w="2619" w:type="dxa"/>
          </w:tcPr>
          <w:p w14:paraId="29E1B8B6" w14:textId="77777777" w:rsidR="00837294" w:rsidRDefault="00837294" w:rsidP="00857754">
            <w:pPr>
              <w:pStyle w:val="Tabletext1"/>
              <w:ind w:left="0"/>
            </w:pPr>
            <w:r>
              <w:t>Assumption</w:t>
            </w:r>
          </w:p>
        </w:tc>
      </w:tr>
      <w:tr w:rsidR="00837294" w14:paraId="2C685453" w14:textId="77777777" w:rsidTr="00F04872">
        <w:tc>
          <w:tcPr>
            <w:tcW w:w="2122" w:type="dxa"/>
          </w:tcPr>
          <w:p w14:paraId="382914F3" w14:textId="1DAF0E07" w:rsidR="00837294" w:rsidRPr="00884439" w:rsidRDefault="00837294" w:rsidP="00857754">
            <w:pPr>
              <w:pStyle w:val="Tabletext1"/>
              <w:ind w:left="0"/>
              <w:rPr>
                <w:vertAlign w:val="superscript"/>
              </w:rPr>
            </w:pPr>
            <w:r>
              <w:t>Intravenous infusion</w:t>
            </w:r>
            <w:r w:rsidR="00F04872">
              <w:t xml:space="preserve"> </w:t>
            </w:r>
            <w:r>
              <w:rPr>
                <w:vertAlign w:val="superscript"/>
              </w:rPr>
              <w:t>b</w:t>
            </w:r>
          </w:p>
        </w:tc>
        <w:tc>
          <w:tcPr>
            <w:tcW w:w="1417" w:type="dxa"/>
          </w:tcPr>
          <w:p w14:paraId="1B1584E6" w14:textId="77777777" w:rsidR="00837294" w:rsidRDefault="00837294" w:rsidP="00857754">
            <w:pPr>
              <w:pStyle w:val="Tabletext1"/>
              <w:ind w:left="0"/>
              <w:jc w:val="center"/>
            </w:pPr>
            <w:r>
              <w:t>–0.0006</w:t>
            </w:r>
          </w:p>
        </w:tc>
        <w:tc>
          <w:tcPr>
            <w:tcW w:w="1429" w:type="dxa"/>
          </w:tcPr>
          <w:p w14:paraId="23981E22" w14:textId="77777777" w:rsidR="00837294" w:rsidRDefault="00837294" w:rsidP="00857754">
            <w:pPr>
              <w:pStyle w:val="Tabletext1"/>
              <w:ind w:left="0"/>
              <w:jc w:val="center"/>
            </w:pPr>
            <w:r>
              <w:t>-</w:t>
            </w:r>
          </w:p>
        </w:tc>
        <w:tc>
          <w:tcPr>
            <w:tcW w:w="1429" w:type="dxa"/>
          </w:tcPr>
          <w:p w14:paraId="1DC8C922" w14:textId="77777777" w:rsidR="00837294" w:rsidRDefault="00837294" w:rsidP="00857754">
            <w:pPr>
              <w:pStyle w:val="Tabletext1"/>
              <w:ind w:left="0"/>
              <w:jc w:val="center"/>
            </w:pPr>
            <w:r>
              <w:t>-</w:t>
            </w:r>
          </w:p>
        </w:tc>
        <w:tc>
          <w:tcPr>
            <w:tcW w:w="2619" w:type="dxa"/>
          </w:tcPr>
          <w:p w14:paraId="3AD8DB78" w14:textId="104EF3EE" w:rsidR="00837294" w:rsidRDefault="00B727D6" w:rsidP="00D726F6">
            <w:pPr>
              <w:pStyle w:val="Tabletext1"/>
              <w:ind w:left="0"/>
            </w:pPr>
            <w:r>
              <w:fldChar w:fldCharType="begin">
                <w:fldData xml:space="preserve">PEVuZE5vdGU+PENpdGU+PEF1dGhvcj5XZWVrczwvQXV0aG9yPjxZZWFyPjE5OTE8L1llYXI+PFJl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</w:fldData>
              </w:fldChar>
            </w:r>
            <w:r>
              <w:instrText xml:space="preserve"> ADDIN EN.CITE </w:instrText>
            </w:r>
            <w:r>
              <w:fldChar w:fldCharType="begin">
                <w:fldData xml:space="preserve">PEVuZE5vdGU+PENpdGU+PEF1dGhvcj5XZWVrczwvQXV0aG9yPjxZZWFyPjE5OTE8L1llYXI+PFJl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</w:fldData>
              </w:fldChar>
            </w:r>
            <w:r>
              <w:instrText xml:space="preserve"> ADDIN EN.CITE.DATA </w:instrText>
            </w:r>
            <w:r>
              <w:fldChar w:fldCharType="end"/>
            </w:r>
            <w:r>
              <w:fldChar w:fldCharType="separate"/>
            </w:r>
            <w:r>
              <w:rPr>
                <w:noProof/>
              </w:rPr>
              <w:t>(</w:t>
            </w:r>
            <w:hyperlink w:anchor="_ENREF_79" w:tooltip="Weeks, 1991 #1949" w:history="1">
              <w:r w:rsidR="00D726F6">
                <w:rPr>
                  <w:noProof/>
                </w:rPr>
                <w:t>Weeks, Tierney &amp; Weinstein 1991</w:t>
              </w:r>
            </w:hyperlink>
            <w:r>
              <w:rPr>
                <w:noProof/>
              </w:rPr>
              <w:t xml:space="preserve">; </w:t>
            </w:r>
            <w:hyperlink w:anchor="_ENREF_85" w:tooltip="Wyndham, 2019 #1950" w:history="1">
              <w:r w:rsidR="00D726F6">
                <w:rPr>
                  <w:noProof/>
                </w:rPr>
                <w:t>Wyndham et al. 2019</w:t>
              </w:r>
            </w:hyperlink>
            <w:r>
              <w:rPr>
                <w:noProof/>
              </w:rPr>
              <w:t>)</w:t>
            </w:r>
            <w:r>
              <w:fldChar w:fldCharType="end"/>
            </w:r>
          </w:p>
        </w:tc>
      </w:tr>
      <w:tr w:rsidR="00837294" w14:paraId="16DCA5F4" w14:textId="77777777" w:rsidTr="00F04872">
        <w:tc>
          <w:tcPr>
            <w:tcW w:w="2122" w:type="dxa"/>
          </w:tcPr>
          <w:p w14:paraId="3977C3CD" w14:textId="77777777" w:rsidR="00837294" w:rsidRDefault="00837294" w:rsidP="00857754">
            <w:pPr>
              <w:pStyle w:val="Tabletext1"/>
              <w:ind w:left="0"/>
            </w:pPr>
            <w:r>
              <w:t>Diabetes mellitus</w:t>
            </w:r>
          </w:p>
        </w:tc>
        <w:tc>
          <w:tcPr>
            <w:tcW w:w="1417" w:type="dxa"/>
          </w:tcPr>
          <w:p w14:paraId="429F6C89" w14:textId="77777777" w:rsidR="00837294" w:rsidRDefault="00837294" w:rsidP="00857754">
            <w:pPr>
              <w:pStyle w:val="Tabletext1"/>
              <w:ind w:left="0"/>
              <w:jc w:val="center"/>
            </w:pPr>
            <w:r>
              <w:t>–</w:t>
            </w:r>
            <w:r w:rsidRPr="00B54122">
              <w:t>0.0621</w:t>
            </w:r>
          </w:p>
        </w:tc>
        <w:tc>
          <w:tcPr>
            <w:tcW w:w="1429" w:type="dxa"/>
          </w:tcPr>
          <w:p w14:paraId="79138E2C" w14:textId="77777777" w:rsidR="00837294" w:rsidRDefault="00837294" w:rsidP="00857754">
            <w:pPr>
              <w:pStyle w:val="Tabletext1"/>
              <w:ind w:left="0"/>
              <w:jc w:val="center"/>
            </w:pPr>
            <w:r>
              <w:t>–</w:t>
            </w:r>
            <w:r w:rsidRPr="005F174C">
              <w:t>0.0697</w:t>
            </w:r>
          </w:p>
        </w:tc>
        <w:tc>
          <w:tcPr>
            <w:tcW w:w="1429" w:type="dxa"/>
          </w:tcPr>
          <w:p w14:paraId="7E4215FB" w14:textId="77777777" w:rsidR="00837294" w:rsidRDefault="00837294" w:rsidP="00857754">
            <w:pPr>
              <w:pStyle w:val="Tabletext1"/>
              <w:ind w:left="0"/>
              <w:jc w:val="center"/>
            </w:pPr>
            <w:r>
              <w:t>–</w:t>
            </w:r>
            <w:r w:rsidRPr="005F174C">
              <w:t>0.0546</w:t>
            </w:r>
          </w:p>
        </w:tc>
        <w:tc>
          <w:tcPr>
            <w:tcW w:w="2619" w:type="dxa"/>
            <w:vMerge w:val="restart"/>
            <w:vAlign w:val="center"/>
          </w:tcPr>
          <w:p w14:paraId="485242E2" w14:textId="3FF0A7A2" w:rsidR="00837294" w:rsidRDefault="00B727D6" w:rsidP="00D726F6">
            <w:pPr>
              <w:pStyle w:val="Tabletext1"/>
              <w:ind w:left="0"/>
            </w:pPr>
            <w:r>
              <w:fldChar w:fldCharType="begin">
                <w:fldData xml:space="preserve">PEVuZE5vdGU+PENpdGU+PEF1dGhvcj5TdWxsaXZhbjwvQXV0aG9yPjxZZWFyPjIwMTE8L1llYXI+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</w:fldData>
              </w:fldChar>
            </w:r>
            <w:r>
              <w:instrText xml:space="preserve"> ADDIN EN.CITE </w:instrText>
            </w:r>
            <w:r>
              <w:fldChar w:fldCharType="begin">
                <w:fldData xml:space="preserve">PEVuZE5vdGU+PENpdGU+PEF1dGhvcj5TdWxsaXZhbjwvQXV0aG9yPjxZZWFyPjIwMTE8L1llYXI+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</w:fldData>
              </w:fldChar>
            </w:r>
            <w:r>
              <w:instrText xml:space="preserve"> ADDIN EN.CITE.DATA </w:instrText>
            </w:r>
            <w:r>
              <w:fldChar w:fldCharType="end"/>
            </w:r>
            <w:r>
              <w:fldChar w:fldCharType="separate"/>
            </w:r>
            <w:r>
              <w:rPr>
                <w:noProof/>
              </w:rPr>
              <w:t>(</w:t>
            </w:r>
            <w:hyperlink w:anchor="_ENREF_69" w:tooltip="Sullivan, 2011 #1945" w:history="1">
              <w:r w:rsidR="00D726F6">
                <w:rPr>
                  <w:noProof/>
                </w:rPr>
                <w:t>Sullivan et al. 2011</w:t>
              </w:r>
            </w:hyperlink>
            <w:r>
              <w:rPr>
                <w:noProof/>
              </w:rPr>
              <w:t>)</w:t>
            </w:r>
            <w:r>
              <w:fldChar w:fldCharType="end"/>
            </w:r>
          </w:p>
        </w:tc>
      </w:tr>
      <w:tr w:rsidR="00837294" w14:paraId="49312011" w14:textId="77777777" w:rsidTr="00F04872">
        <w:tc>
          <w:tcPr>
            <w:tcW w:w="2122" w:type="dxa"/>
          </w:tcPr>
          <w:p w14:paraId="29D750EB" w14:textId="77777777" w:rsidR="00837294" w:rsidRDefault="00837294" w:rsidP="00857754">
            <w:pPr>
              <w:pStyle w:val="Tabletext1"/>
              <w:ind w:left="0"/>
            </w:pPr>
            <w:r>
              <w:t>Osteoporosis</w:t>
            </w:r>
          </w:p>
        </w:tc>
        <w:tc>
          <w:tcPr>
            <w:tcW w:w="1417" w:type="dxa"/>
          </w:tcPr>
          <w:p w14:paraId="44480197" w14:textId="77777777" w:rsidR="00837294" w:rsidRDefault="00837294" w:rsidP="00857754">
            <w:pPr>
              <w:pStyle w:val="Tabletext1"/>
              <w:ind w:left="0"/>
              <w:jc w:val="center"/>
            </w:pPr>
            <w:r>
              <w:t>–</w:t>
            </w:r>
            <w:r w:rsidRPr="004F1317">
              <w:t>0.0418</w:t>
            </w:r>
          </w:p>
        </w:tc>
        <w:tc>
          <w:tcPr>
            <w:tcW w:w="1429" w:type="dxa"/>
          </w:tcPr>
          <w:p w14:paraId="1971DCDE" w14:textId="77777777" w:rsidR="00837294" w:rsidRDefault="00837294" w:rsidP="00857754">
            <w:pPr>
              <w:pStyle w:val="Tabletext1"/>
              <w:ind w:left="0"/>
              <w:jc w:val="center"/>
            </w:pPr>
            <w:r>
              <w:t>–</w:t>
            </w:r>
            <w:r w:rsidRPr="00DE14A4">
              <w:t>0.0542</w:t>
            </w:r>
          </w:p>
        </w:tc>
        <w:tc>
          <w:tcPr>
            <w:tcW w:w="1429" w:type="dxa"/>
          </w:tcPr>
          <w:p w14:paraId="4032F06A" w14:textId="77777777" w:rsidR="00837294" w:rsidRDefault="00837294" w:rsidP="00857754">
            <w:pPr>
              <w:pStyle w:val="Tabletext1"/>
              <w:ind w:left="0"/>
              <w:jc w:val="center"/>
            </w:pPr>
            <w:r>
              <w:t>–</w:t>
            </w:r>
            <w:r w:rsidRPr="00DE14A4">
              <w:t>0.0294</w:t>
            </w:r>
          </w:p>
        </w:tc>
        <w:tc>
          <w:tcPr>
            <w:tcW w:w="2619" w:type="dxa"/>
            <w:vMerge/>
          </w:tcPr>
          <w:p w14:paraId="7D3DDC16" w14:textId="77777777" w:rsidR="00837294" w:rsidRDefault="00837294" w:rsidP="00857754">
            <w:pPr>
              <w:pStyle w:val="Tabletext1"/>
              <w:ind w:left="0"/>
            </w:pPr>
          </w:p>
        </w:tc>
      </w:tr>
      <w:tr w:rsidR="003B7759" w14:paraId="5190B64D" w14:textId="77777777" w:rsidTr="00F04872">
        <w:tc>
          <w:tcPr>
            <w:tcW w:w="2122" w:type="dxa"/>
          </w:tcPr>
          <w:p w14:paraId="7CA8118D" w14:textId="77777777" w:rsidR="003B7759" w:rsidRDefault="003B7759" w:rsidP="003B7759">
            <w:pPr>
              <w:pStyle w:val="Tabletext1"/>
              <w:ind w:left="0"/>
            </w:pPr>
            <w:r>
              <w:t>Glaucoma</w:t>
            </w:r>
          </w:p>
        </w:tc>
        <w:tc>
          <w:tcPr>
            <w:tcW w:w="1417" w:type="dxa"/>
          </w:tcPr>
          <w:p w14:paraId="56B64535" w14:textId="77777777" w:rsidR="003B7759" w:rsidRDefault="003B7759" w:rsidP="003B7759">
            <w:pPr>
              <w:pStyle w:val="Tabletext1"/>
              <w:ind w:left="0"/>
              <w:jc w:val="center"/>
            </w:pPr>
            <w:r>
              <w:t>–</w:t>
            </w:r>
            <w:r w:rsidRPr="00A038E8">
              <w:t>0.0278</w:t>
            </w:r>
          </w:p>
        </w:tc>
        <w:tc>
          <w:tcPr>
            <w:tcW w:w="1429" w:type="dxa"/>
          </w:tcPr>
          <w:p w14:paraId="2989ED2E" w14:textId="77777777" w:rsidR="003B7759" w:rsidRDefault="003B7759" w:rsidP="003E02F1">
            <w:pPr>
              <w:pStyle w:val="Tabletext1"/>
              <w:ind w:left="0"/>
              <w:jc w:val="center"/>
            </w:pPr>
            <w:r>
              <w:t>–</w:t>
            </w:r>
            <w:r w:rsidRPr="00E9401B">
              <w:t>0.0401</w:t>
            </w:r>
          </w:p>
        </w:tc>
        <w:tc>
          <w:tcPr>
            <w:tcW w:w="1429" w:type="dxa"/>
          </w:tcPr>
          <w:p w14:paraId="2B5CB8E8" w14:textId="77777777" w:rsidR="003B7759" w:rsidRDefault="003B7759" w:rsidP="003E02F1">
            <w:pPr>
              <w:pStyle w:val="Tabletext1"/>
              <w:ind w:left="0"/>
              <w:jc w:val="center"/>
            </w:pPr>
            <w:r>
              <w:t>–</w:t>
            </w:r>
            <w:r w:rsidRPr="00E9401B">
              <w:t>0.0156</w:t>
            </w:r>
          </w:p>
        </w:tc>
        <w:tc>
          <w:tcPr>
            <w:tcW w:w="2619" w:type="dxa"/>
            <w:vMerge/>
          </w:tcPr>
          <w:p w14:paraId="1F2E62CB" w14:textId="77777777" w:rsidR="003B7759" w:rsidRDefault="003B7759" w:rsidP="00CE1B51">
            <w:pPr>
              <w:pStyle w:val="Tabletext1"/>
              <w:ind w:left="0"/>
            </w:pPr>
          </w:p>
        </w:tc>
      </w:tr>
      <w:tr w:rsidR="003E02F1" w14:paraId="1FE728CA" w14:textId="77777777" w:rsidTr="00F04872">
        <w:tc>
          <w:tcPr>
            <w:tcW w:w="2122" w:type="dxa"/>
            <w:vAlign w:val="bottom"/>
          </w:tcPr>
          <w:p w14:paraId="37AE766C" w14:textId="77777777" w:rsidR="003E02F1" w:rsidRDefault="003E02F1" w:rsidP="003E02F1">
            <w:pPr>
              <w:pStyle w:val="Tabletext1"/>
              <w:ind w:left="0"/>
            </w:pPr>
            <w:r>
              <w:rPr>
                <w:color w:val="000000"/>
              </w:rPr>
              <w:t>Arrhythmia</w:t>
            </w:r>
          </w:p>
        </w:tc>
        <w:tc>
          <w:tcPr>
            <w:tcW w:w="1417" w:type="dxa"/>
          </w:tcPr>
          <w:p w14:paraId="3B01EDE4" w14:textId="77777777" w:rsidR="003E02F1" w:rsidRDefault="003E02F1" w:rsidP="003E02F1">
            <w:pPr>
              <w:pStyle w:val="Tabletext1"/>
              <w:ind w:left="0"/>
              <w:jc w:val="center"/>
            </w:pPr>
            <w:r>
              <w:t>–0.0246</w:t>
            </w:r>
          </w:p>
        </w:tc>
        <w:tc>
          <w:tcPr>
            <w:tcW w:w="1429" w:type="dxa"/>
          </w:tcPr>
          <w:p w14:paraId="541029CE" w14:textId="77777777" w:rsidR="003E02F1" w:rsidRDefault="003E02F1" w:rsidP="003E02F1">
            <w:pPr>
              <w:pStyle w:val="Tabletext1"/>
              <w:ind w:left="0"/>
              <w:jc w:val="center"/>
            </w:pPr>
            <w:r>
              <w:t>–0.0351</w:t>
            </w:r>
          </w:p>
        </w:tc>
        <w:tc>
          <w:tcPr>
            <w:tcW w:w="1429" w:type="dxa"/>
          </w:tcPr>
          <w:p w14:paraId="0B20A5D8" w14:textId="77777777" w:rsidR="003E02F1" w:rsidRDefault="003E02F1" w:rsidP="003E02F1">
            <w:pPr>
              <w:pStyle w:val="Tabletext1"/>
              <w:ind w:left="0"/>
              <w:jc w:val="center"/>
            </w:pPr>
            <w:r>
              <w:t>–0.0142</w:t>
            </w:r>
          </w:p>
        </w:tc>
        <w:tc>
          <w:tcPr>
            <w:tcW w:w="2619" w:type="dxa"/>
            <w:vMerge/>
          </w:tcPr>
          <w:p w14:paraId="7E87196B" w14:textId="77777777" w:rsidR="003E02F1" w:rsidRDefault="003E02F1" w:rsidP="003E02F1">
            <w:pPr>
              <w:pStyle w:val="Tabletext1"/>
              <w:ind w:left="0"/>
            </w:pPr>
          </w:p>
        </w:tc>
      </w:tr>
      <w:tr w:rsidR="003E02F1" w14:paraId="65884095" w14:textId="77777777" w:rsidTr="00F04872">
        <w:tc>
          <w:tcPr>
            <w:tcW w:w="2122" w:type="dxa"/>
            <w:vAlign w:val="bottom"/>
          </w:tcPr>
          <w:p w14:paraId="02149E3C" w14:textId="77777777" w:rsidR="003E02F1" w:rsidRDefault="003E02F1" w:rsidP="003E02F1">
            <w:pPr>
              <w:pStyle w:val="Tabletext1"/>
              <w:ind w:left="0"/>
            </w:pPr>
            <w:r>
              <w:rPr>
                <w:color w:val="000000"/>
              </w:rPr>
              <w:t>Chest pain</w:t>
            </w:r>
          </w:p>
        </w:tc>
        <w:tc>
          <w:tcPr>
            <w:tcW w:w="1417" w:type="dxa"/>
          </w:tcPr>
          <w:p w14:paraId="6C0716E5" w14:textId="77777777" w:rsidR="003E02F1" w:rsidRDefault="003E02F1" w:rsidP="003E02F1">
            <w:pPr>
              <w:pStyle w:val="Tabletext1"/>
              <w:ind w:left="0"/>
              <w:jc w:val="center"/>
            </w:pPr>
            <w:r>
              <w:t>–0.0389</w:t>
            </w:r>
          </w:p>
        </w:tc>
        <w:tc>
          <w:tcPr>
            <w:tcW w:w="1429" w:type="dxa"/>
          </w:tcPr>
          <w:p w14:paraId="67064AC0" w14:textId="77777777" w:rsidR="003E02F1" w:rsidRDefault="003E02F1" w:rsidP="003E02F1">
            <w:pPr>
              <w:pStyle w:val="Tabletext1"/>
              <w:ind w:left="0"/>
              <w:jc w:val="center"/>
            </w:pPr>
            <w:r>
              <w:t>–0.0511</w:t>
            </w:r>
          </w:p>
        </w:tc>
        <w:tc>
          <w:tcPr>
            <w:tcW w:w="1429" w:type="dxa"/>
          </w:tcPr>
          <w:p w14:paraId="776E8662" w14:textId="77777777" w:rsidR="003E02F1" w:rsidRDefault="003E02F1" w:rsidP="003E02F1">
            <w:pPr>
              <w:pStyle w:val="Tabletext1"/>
              <w:ind w:left="0"/>
              <w:jc w:val="center"/>
            </w:pPr>
            <w:r>
              <w:t>–0.0267</w:t>
            </w:r>
          </w:p>
        </w:tc>
        <w:tc>
          <w:tcPr>
            <w:tcW w:w="2619" w:type="dxa"/>
            <w:vMerge/>
          </w:tcPr>
          <w:p w14:paraId="66264740" w14:textId="77777777" w:rsidR="003E02F1" w:rsidRDefault="003E02F1" w:rsidP="003E02F1">
            <w:pPr>
              <w:pStyle w:val="Tabletext1"/>
              <w:ind w:left="0"/>
            </w:pPr>
          </w:p>
        </w:tc>
      </w:tr>
      <w:tr w:rsidR="003E02F1" w14:paraId="2BC39FC3" w14:textId="77777777" w:rsidTr="00F04872">
        <w:tc>
          <w:tcPr>
            <w:tcW w:w="2122" w:type="dxa"/>
            <w:vAlign w:val="bottom"/>
          </w:tcPr>
          <w:p w14:paraId="37228845" w14:textId="77777777" w:rsidR="003E02F1" w:rsidRDefault="003E02F1" w:rsidP="003E02F1">
            <w:pPr>
              <w:pStyle w:val="Tabletext1"/>
              <w:ind w:left="0"/>
            </w:pPr>
            <w:r>
              <w:rPr>
                <w:color w:val="000000"/>
              </w:rPr>
              <w:t>Haemorrhage</w:t>
            </w:r>
          </w:p>
        </w:tc>
        <w:tc>
          <w:tcPr>
            <w:tcW w:w="1417" w:type="dxa"/>
          </w:tcPr>
          <w:p w14:paraId="42D2875F" w14:textId="77777777" w:rsidR="003E02F1" w:rsidRDefault="003E02F1" w:rsidP="003E02F1">
            <w:pPr>
              <w:pStyle w:val="Tabletext1"/>
              <w:ind w:left="0"/>
              <w:jc w:val="center"/>
            </w:pPr>
            <w:r>
              <w:t>–0.0451</w:t>
            </w:r>
          </w:p>
        </w:tc>
        <w:tc>
          <w:tcPr>
            <w:tcW w:w="1429" w:type="dxa"/>
          </w:tcPr>
          <w:p w14:paraId="21A02C38" w14:textId="77777777" w:rsidR="003E02F1" w:rsidRDefault="003E02F1" w:rsidP="003E02F1">
            <w:pPr>
              <w:pStyle w:val="Tabletext1"/>
              <w:ind w:left="0"/>
              <w:jc w:val="center"/>
            </w:pPr>
            <w:r>
              <w:t>–0.0996</w:t>
            </w:r>
          </w:p>
        </w:tc>
        <w:tc>
          <w:tcPr>
            <w:tcW w:w="1429" w:type="dxa"/>
          </w:tcPr>
          <w:p w14:paraId="18CD189E" w14:textId="77777777" w:rsidR="003E02F1" w:rsidRDefault="003E02F1" w:rsidP="003E02F1">
            <w:pPr>
              <w:pStyle w:val="Tabletext1"/>
              <w:ind w:left="0"/>
              <w:jc w:val="center"/>
            </w:pPr>
            <w:r>
              <w:t>0.0094</w:t>
            </w:r>
          </w:p>
        </w:tc>
        <w:tc>
          <w:tcPr>
            <w:tcW w:w="2619" w:type="dxa"/>
            <w:vMerge/>
          </w:tcPr>
          <w:p w14:paraId="0F3628B0" w14:textId="77777777" w:rsidR="003E02F1" w:rsidRDefault="003E02F1" w:rsidP="003E02F1">
            <w:pPr>
              <w:pStyle w:val="Tabletext1"/>
              <w:ind w:left="0"/>
            </w:pPr>
          </w:p>
        </w:tc>
      </w:tr>
      <w:tr w:rsidR="003E02F1" w14:paraId="78F8DE8D" w14:textId="77777777" w:rsidTr="00F04872">
        <w:tc>
          <w:tcPr>
            <w:tcW w:w="2122" w:type="dxa"/>
            <w:vAlign w:val="bottom"/>
          </w:tcPr>
          <w:p w14:paraId="0AD4BBAF" w14:textId="77777777" w:rsidR="003E02F1" w:rsidRDefault="003E02F1" w:rsidP="003E02F1">
            <w:pPr>
              <w:pStyle w:val="Tabletext1"/>
              <w:ind w:left="0"/>
            </w:pPr>
            <w:r>
              <w:rPr>
                <w:color w:val="000000"/>
              </w:rPr>
              <w:t>Hypertension</w:t>
            </w:r>
          </w:p>
        </w:tc>
        <w:tc>
          <w:tcPr>
            <w:tcW w:w="1417" w:type="dxa"/>
          </w:tcPr>
          <w:p w14:paraId="1E30D2C3" w14:textId="77777777" w:rsidR="003E02F1" w:rsidRDefault="003E02F1" w:rsidP="003E02F1">
            <w:pPr>
              <w:pStyle w:val="Tabletext1"/>
              <w:ind w:left="0"/>
              <w:jc w:val="center"/>
            </w:pPr>
            <w:r>
              <w:t>–0.0375</w:t>
            </w:r>
          </w:p>
        </w:tc>
        <w:tc>
          <w:tcPr>
            <w:tcW w:w="1429" w:type="dxa"/>
          </w:tcPr>
          <w:p w14:paraId="5212406E" w14:textId="77777777" w:rsidR="003E02F1" w:rsidRDefault="003E02F1" w:rsidP="003E02F1">
            <w:pPr>
              <w:pStyle w:val="Tabletext1"/>
              <w:ind w:left="0"/>
              <w:jc w:val="center"/>
            </w:pPr>
            <w:r>
              <w:t>–0.0456</w:t>
            </w:r>
          </w:p>
        </w:tc>
        <w:tc>
          <w:tcPr>
            <w:tcW w:w="1429" w:type="dxa"/>
          </w:tcPr>
          <w:p w14:paraId="213EA1A4" w14:textId="77777777" w:rsidR="003E02F1" w:rsidRDefault="003E02F1" w:rsidP="003E02F1">
            <w:pPr>
              <w:pStyle w:val="Tabletext1"/>
              <w:ind w:left="0"/>
              <w:jc w:val="center"/>
            </w:pPr>
            <w:r>
              <w:t>–0.0293</w:t>
            </w:r>
          </w:p>
        </w:tc>
        <w:tc>
          <w:tcPr>
            <w:tcW w:w="2619" w:type="dxa"/>
            <w:vMerge/>
          </w:tcPr>
          <w:p w14:paraId="7ACBD6B5" w14:textId="77777777" w:rsidR="003E02F1" w:rsidRDefault="003E02F1" w:rsidP="003E02F1">
            <w:pPr>
              <w:pStyle w:val="Tabletext1"/>
              <w:ind w:left="0"/>
            </w:pPr>
          </w:p>
        </w:tc>
      </w:tr>
      <w:tr w:rsidR="003E02F1" w14:paraId="67BA30E2" w14:textId="77777777" w:rsidTr="00F04872">
        <w:tc>
          <w:tcPr>
            <w:tcW w:w="2122" w:type="dxa"/>
            <w:vAlign w:val="bottom"/>
          </w:tcPr>
          <w:p w14:paraId="7E7ED0B6" w14:textId="77777777" w:rsidR="003E02F1" w:rsidRDefault="003E02F1" w:rsidP="003E02F1">
            <w:pPr>
              <w:pStyle w:val="Tabletext1"/>
              <w:ind w:left="0"/>
            </w:pPr>
            <w:r>
              <w:rPr>
                <w:color w:val="000000"/>
              </w:rPr>
              <w:t>Syncope</w:t>
            </w:r>
          </w:p>
        </w:tc>
        <w:tc>
          <w:tcPr>
            <w:tcW w:w="1417" w:type="dxa"/>
          </w:tcPr>
          <w:p w14:paraId="6219E24E" w14:textId="77777777" w:rsidR="003E02F1" w:rsidRDefault="003E02F1" w:rsidP="003E02F1">
            <w:pPr>
              <w:pStyle w:val="Tabletext1"/>
              <w:ind w:left="0"/>
              <w:jc w:val="center"/>
            </w:pPr>
            <w:r>
              <w:t>–0.0039</w:t>
            </w:r>
          </w:p>
        </w:tc>
        <w:tc>
          <w:tcPr>
            <w:tcW w:w="1429" w:type="dxa"/>
          </w:tcPr>
          <w:p w14:paraId="160BC4D9" w14:textId="77777777" w:rsidR="003E02F1" w:rsidRDefault="003E02F1" w:rsidP="003E02F1">
            <w:pPr>
              <w:pStyle w:val="Tabletext1"/>
              <w:ind w:left="0"/>
              <w:jc w:val="center"/>
            </w:pPr>
            <w:r>
              <w:t>–0.0255</w:t>
            </w:r>
          </w:p>
        </w:tc>
        <w:tc>
          <w:tcPr>
            <w:tcW w:w="1429" w:type="dxa"/>
          </w:tcPr>
          <w:p w14:paraId="5C8B6BA2" w14:textId="77777777" w:rsidR="003E02F1" w:rsidRDefault="003E02F1" w:rsidP="003E02F1">
            <w:pPr>
              <w:pStyle w:val="Tabletext1"/>
              <w:ind w:left="0"/>
              <w:jc w:val="center"/>
            </w:pPr>
            <w:r>
              <w:t>0.0178</w:t>
            </w:r>
          </w:p>
        </w:tc>
        <w:tc>
          <w:tcPr>
            <w:tcW w:w="2619" w:type="dxa"/>
            <w:vMerge/>
          </w:tcPr>
          <w:p w14:paraId="6BAD0588" w14:textId="77777777" w:rsidR="003E02F1" w:rsidRDefault="003E02F1" w:rsidP="003E02F1">
            <w:pPr>
              <w:pStyle w:val="Tabletext1"/>
              <w:ind w:left="0"/>
            </w:pPr>
          </w:p>
        </w:tc>
      </w:tr>
      <w:tr w:rsidR="008E7BC4" w14:paraId="28E81656" w14:textId="77777777" w:rsidTr="00F04872">
        <w:tc>
          <w:tcPr>
            <w:tcW w:w="2122" w:type="dxa"/>
          </w:tcPr>
          <w:p w14:paraId="6CF23F51" w14:textId="77777777" w:rsidR="008E7BC4" w:rsidRDefault="008E7BC4" w:rsidP="008E7BC4">
            <w:pPr>
              <w:pStyle w:val="Tabletext1"/>
              <w:ind w:left="0"/>
            </w:pPr>
            <w:r>
              <w:t>Gastritis</w:t>
            </w:r>
          </w:p>
        </w:tc>
        <w:tc>
          <w:tcPr>
            <w:tcW w:w="1417" w:type="dxa"/>
          </w:tcPr>
          <w:p w14:paraId="2473F1E0" w14:textId="77777777" w:rsidR="008E7BC4" w:rsidRDefault="008E7BC4" w:rsidP="008E7BC4">
            <w:pPr>
              <w:pStyle w:val="Tabletext1"/>
              <w:ind w:left="0"/>
              <w:jc w:val="center"/>
            </w:pPr>
            <w:r>
              <w:t>–</w:t>
            </w:r>
            <w:r w:rsidRPr="008E7BC4">
              <w:t>0.0369</w:t>
            </w:r>
          </w:p>
        </w:tc>
        <w:tc>
          <w:tcPr>
            <w:tcW w:w="1429" w:type="dxa"/>
          </w:tcPr>
          <w:p w14:paraId="0F12E423" w14:textId="77777777" w:rsidR="008E7BC4" w:rsidRDefault="008E7BC4" w:rsidP="008E7BC4">
            <w:pPr>
              <w:pStyle w:val="Tabletext1"/>
              <w:ind w:left="0"/>
              <w:jc w:val="center"/>
            </w:pPr>
            <w:r>
              <w:t>–</w:t>
            </w:r>
            <w:r w:rsidRPr="0015494B">
              <w:t>0.0677</w:t>
            </w:r>
          </w:p>
        </w:tc>
        <w:tc>
          <w:tcPr>
            <w:tcW w:w="1429" w:type="dxa"/>
          </w:tcPr>
          <w:p w14:paraId="62C6CA4F" w14:textId="77777777" w:rsidR="008E7BC4" w:rsidRDefault="008E7BC4" w:rsidP="008E7BC4">
            <w:pPr>
              <w:pStyle w:val="Tabletext1"/>
              <w:ind w:left="0"/>
              <w:jc w:val="center"/>
            </w:pPr>
            <w:r>
              <w:t>–</w:t>
            </w:r>
            <w:r w:rsidRPr="0015494B">
              <w:t>0.0061</w:t>
            </w:r>
          </w:p>
        </w:tc>
        <w:tc>
          <w:tcPr>
            <w:tcW w:w="2619" w:type="dxa"/>
            <w:vMerge/>
          </w:tcPr>
          <w:p w14:paraId="7F4C305B" w14:textId="77777777" w:rsidR="008E7BC4" w:rsidRDefault="008E7BC4" w:rsidP="008E7BC4">
            <w:pPr>
              <w:pStyle w:val="Tabletext1"/>
              <w:ind w:left="0"/>
            </w:pPr>
          </w:p>
        </w:tc>
      </w:tr>
      <w:tr w:rsidR="006E2E3E" w14:paraId="5645201F" w14:textId="77777777" w:rsidTr="00F04872">
        <w:tc>
          <w:tcPr>
            <w:tcW w:w="2122" w:type="dxa"/>
          </w:tcPr>
          <w:p w14:paraId="6AAD9DB5" w14:textId="1A998EE9" w:rsidR="006E2E3E" w:rsidRPr="00910972" w:rsidRDefault="006E2E3E" w:rsidP="006E2E3E">
            <w:pPr>
              <w:pStyle w:val="Tabletext1"/>
              <w:ind w:left="0"/>
              <w:rPr>
                <w:vertAlign w:val="superscript"/>
              </w:rPr>
            </w:pPr>
            <w:r>
              <w:t>Bronchospasm</w:t>
            </w:r>
            <w:r w:rsidR="00EF5D63">
              <w:t xml:space="preserve"> </w:t>
            </w:r>
            <w:r>
              <w:rPr>
                <w:vertAlign w:val="superscript"/>
              </w:rPr>
              <w:t>c</w:t>
            </w:r>
          </w:p>
        </w:tc>
        <w:tc>
          <w:tcPr>
            <w:tcW w:w="1417" w:type="dxa"/>
          </w:tcPr>
          <w:p w14:paraId="21881900" w14:textId="77777777" w:rsidR="006E2E3E" w:rsidRDefault="006E2E3E" w:rsidP="006E2E3E">
            <w:pPr>
              <w:pStyle w:val="Tabletext1"/>
              <w:ind w:left="0"/>
              <w:jc w:val="center"/>
            </w:pPr>
            <w:r>
              <w:t>–</w:t>
            </w:r>
            <w:r w:rsidRPr="006E2E3E">
              <w:t>0.0336</w:t>
            </w:r>
          </w:p>
        </w:tc>
        <w:tc>
          <w:tcPr>
            <w:tcW w:w="1429" w:type="dxa"/>
          </w:tcPr>
          <w:p w14:paraId="7D33CC38" w14:textId="77777777" w:rsidR="006E2E3E" w:rsidRDefault="006E2E3E" w:rsidP="006E2E3E">
            <w:pPr>
              <w:pStyle w:val="Tabletext1"/>
              <w:ind w:left="0"/>
              <w:jc w:val="center"/>
            </w:pPr>
            <w:r>
              <w:t>–</w:t>
            </w:r>
            <w:r w:rsidRPr="0074449E">
              <w:t>0.0451</w:t>
            </w:r>
          </w:p>
        </w:tc>
        <w:tc>
          <w:tcPr>
            <w:tcW w:w="1429" w:type="dxa"/>
          </w:tcPr>
          <w:p w14:paraId="472E7B87" w14:textId="77777777" w:rsidR="006E2E3E" w:rsidRDefault="006E2E3E" w:rsidP="006E2E3E">
            <w:pPr>
              <w:pStyle w:val="Tabletext1"/>
              <w:ind w:left="0"/>
              <w:jc w:val="center"/>
            </w:pPr>
            <w:r>
              <w:t>–</w:t>
            </w:r>
            <w:r w:rsidRPr="0074449E">
              <w:t>0.0220</w:t>
            </w:r>
          </w:p>
        </w:tc>
        <w:tc>
          <w:tcPr>
            <w:tcW w:w="2619" w:type="dxa"/>
            <w:vMerge/>
          </w:tcPr>
          <w:p w14:paraId="5D45B532" w14:textId="77777777" w:rsidR="006E2E3E" w:rsidRDefault="006E2E3E" w:rsidP="006E2E3E">
            <w:pPr>
              <w:pStyle w:val="Tabletext1"/>
              <w:ind w:left="0"/>
            </w:pPr>
          </w:p>
        </w:tc>
      </w:tr>
      <w:tr w:rsidR="002B33ED" w14:paraId="331B9805" w14:textId="77777777" w:rsidTr="00F04872">
        <w:tc>
          <w:tcPr>
            <w:tcW w:w="2122" w:type="dxa"/>
          </w:tcPr>
          <w:p w14:paraId="34EE20C0" w14:textId="77777777" w:rsidR="002B33ED" w:rsidRDefault="002B33ED" w:rsidP="002B33ED">
            <w:pPr>
              <w:pStyle w:val="Tabletext1"/>
              <w:ind w:left="0"/>
            </w:pPr>
            <w:r>
              <w:t>Anaphylaxis or severe allergy</w:t>
            </w:r>
          </w:p>
        </w:tc>
        <w:tc>
          <w:tcPr>
            <w:tcW w:w="1417" w:type="dxa"/>
          </w:tcPr>
          <w:p w14:paraId="2E6B3746" w14:textId="77777777" w:rsidR="002B33ED" w:rsidRDefault="002B33ED" w:rsidP="002B33ED">
            <w:pPr>
              <w:pStyle w:val="Tabletext1"/>
              <w:ind w:left="0"/>
              <w:jc w:val="center"/>
            </w:pPr>
            <w:r>
              <w:t>–0.1500</w:t>
            </w:r>
          </w:p>
        </w:tc>
        <w:tc>
          <w:tcPr>
            <w:tcW w:w="1429" w:type="dxa"/>
          </w:tcPr>
          <w:p w14:paraId="623443E1" w14:textId="77777777" w:rsidR="002B33ED" w:rsidRDefault="002B33ED" w:rsidP="002B33ED">
            <w:pPr>
              <w:pStyle w:val="Tabletext1"/>
              <w:ind w:left="0"/>
              <w:jc w:val="center"/>
            </w:pPr>
            <w:r>
              <w:t>-</w:t>
            </w:r>
          </w:p>
        </w:tc>
        <w:tc>
          <w:tcPr>
            <w:tcW w:w="1429" w:type="dxa"/>
          </w:tcPr>
          <w:p w14:paraId="0A1D0B93" w14:textId="77777777" w:rsidR="002B33ED" w:rsidRDefault="002B33ED" w:rsidP="002B33ED">
            <w:pPr>
              <w:pStyle w:val="Tabletext1"/>
              <w:ind w:left="0"/>
              <w:jc w:val="center"/>
            </w:pPr>
            <w:r>
              <w:t>-</w:t>
            </w:r>
          </w:p>
        </w:tc>
        <w:tc>
          <w:tcPr>
            <w:tcW w:w="2619" w:type="dxa"/>
          </w:tcPr>
          <w:p w14:paraId="1751AB0C" w14:textId="0E5BD835" w:rsidR="002B33ED" w:rsidRDefault="00B727D6" w:rsidP="00D726F6">
            <w:pPr>
              <w:pStyle w:val="Tabletext1"/>
              <w:ind w:left="0"/>
            </w:pPr>
            <w:r>
              <w:fldChar w:fldCharType="begin">
                <w:fldData xml:space="preserve">PEVuZE5vdGU+PENpdGU+PEF1dGhvcj5Sb2dub25pPC9BdXRob3I+PFllYXI+MjAxOTwvWWVhcj48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==
</w:fldData>
              </w:fldChar>
            </w:r>
            <w:r>
              <w:instrText xml:space="preserve"> ADDIN EN.CITE </w:instrText>
            </w:r>
            <w:r>
              <w:fldChar w:fldCharType="begin">
                <w:fldData xml:space="preserve">PEVuZE5vdGU+PENpdGU+PEF1dGhvcj5Sb2dub25pPC9BdXRob3I+PFllYXI+MjAxOTwvWWVhcj48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==
</w:fldData>
              </w:fldChar>
            </w:r>
            <w:r>
              <w:instrText xml:space="preserve"> ADDIN EN.CITE.DATA </w:instrText>
            </w:r>
            <w:r>
              <w:fldChar w:fldCharType="end"/>
            </w:r>
            <w:r>
              <w:fldChar w:fldCharType="separate"/>
            </w:r>
            <w:r>
              <w:rPr>
                <w:noProof/>
              </w:rPr>
              <w:t>(</w:t>
            </w:r>
            <w:hyperlink w:anchor="_ENREF_62" w:tooltip="Rognoni, 2019 #1959" w:history="1">
              <w:r w:rsidR="00D726F6">
                <w:rPr>
                  <w:noProof/>
                </w:rPr>
                <w:t>Rognoni et al. 2019</w:t>
              </w:r>
            </w:hyperlink>
            <w:r>
              <w:rPr>
                <w:noProof/>
              </w:rPr>
              <w:t>)</w:t>
            </w:r>
            <w:r>
              <w:fldChar w:fldCharType="end"/>
            </w:r>
          </w:p>
        </w:tc>
      </w:tr>
      <w:tr w:rsidR="00857B7F" w14:paraId="67611D29" w14:textId="77777777" w:rsidTr="00F04872">
        <w:tc>
          <w:tcPr>
            <w:tcW w:w="2122" w:type="dxa"/>
          </w:tcPr>
          <w:p w14:paraId="44A3B52F" w14:textId="77777777" w:rsidR="00857B7F" w:rsidRDefault="00857B7F" w:rsidP="00857B7F">
            <w:pPr>
              <w:pStyle w:val="Tabletext1"/>
              <w:ind w:left="0"/>
            </w:pPr>
            <w:r>
              <w:t>Aseptic meningitis</w:t>
            </w:r>
          </w:p>
        </w:tc>
        <w:tc>
          <w:tcPr>
            <w:tcW w:w="1417" w:type="dxa"/>
          </w:tcPr>
          <w:p w14:paraId="576A9CD9" w14:textId="77777777" w:rsidR="00857B7F" w:rsidRDefault="00857B7F" w:rsidP="00857B7F">
            <w:pPr>
              <w:pStyle w:val="Tabletext1"/>
              <w:ind w:left="0"/>
              <w:jc w:val="center"/>
            </w:pPr>
            <w:r>
              <w:t>–0.023</w:t>
            </w:r>
          </w:p>
        </w:tc>
        <w:tc>
          <w:tcPr>
            <w:tcW w:w="1429" w:type="dxa"/>
          </w:tcPr>
          <w:p w14:paraId="30100354" w14:textId="77777777" w:rsidR="00857B7F" w:rsidRDefault="00857B7F" w:rsidP="00857B7F">
            <w:pPr>
              <w:pStyle w:val="Tabletext1"/>
              <w:ind w:left="0"/>
              <w:jc w:val="center"/>
            </w:pPr>
            <w:r>
              <w:t>-</w:t>
            </w:r>
          </w:p>
        </w:tc>
        <w:tc>
          <w:tcPr>
            <w:tcW w:w="1429" w:type="dxa"/>
          </w:tcPr>
          <w:p w14:paraId="715C86D4" w14:textId="77777777" w:rsidR="00857B7F" w:rsidRDefault="00857B7F" w:rsidP="00857B7F">
            <w:pPr>
              <w:pStyle w:val="Tabletext1"/>
              <w:ind w:left="0"/>
              <w:jc w:val="center"/>
            </w:pPr>
            <w:r>
              <w:t>-</w:t>
            </w:r>
          </w:p>
        </w:tc>
        <w:tc>
          <w:tcPr>
            <w:tcW w:w="2619" w:type="dxa"/>
          </w:tcPr>
          <w:p w14:paraId="05AD60A4" w14:textId="7482215F" w:rsidR="00857B7F" w:rsidRDefault="00B727D6" w:rsidP="00D726F6">
            <w:pPr>
              <w:pStyle w:val="Tabletext1"/>
              <w:ind w:left="0"/>
            </w:pPr>
            <w:r>
              <w:fldChar w:fldCharType="begin">
                <w:fldData xml:space="preserve">PEVuZE5vdGU+PENpdGU+PEF1dGhvcj5EZWxnbGVpemU8L0F1dGhvcj48WWVhcj4yMDE2PC9ZZWFy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==
</w:fldData>
              </w:fldChar>
            </w:r>
            <w:r>
              <w:instrText xml:space="preserve"> ADDIN EN.CITE </w:instrText>
            </w:r>
            <w:r>
              <w:fldChar w:fldCharType="begin">
                <w:fldData xml:space="preserve">PEVuZE5vdGU+PENpdGU+PEF1dGhvcj5EZWxnbGVpemU8L0F1dGhvcj48WWVhcj4yMDE2PC9ZZWFy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==
</w:fldData>
              </w:fldChar>
            </w:r>
            <w:r>
              <w:instrText xml:space="preserve"> ADDIN EN.CITE.DATA </w:instrText>
            </w:r>
            <w:r>
              <w:fldChar w:fldCharType="end"/>
            </w:r>
            <w:r>
              <w:fldChar w:fldCharType="separate"/>
            </w:r>
            <w:r>
              <w:rPr>
                <w:noProof/>
              </w:rPr>
              <w:t>(</w:t>
            </w:r>
            <w:hyperlink w:anchor="_ENREF_11" w:tooltip="Delgleize, 2016 #1964" w:history="1">
              <w:r w:rsidR="00D726F6">
                <w:rPr>
                  <w:noProof/>
                </w:rPr>
                <w:t>Delgleize et al. 2016</w:t>
              </w:r>
            </w:hyperlink>
            <w:r>
              <w:rPr>
                <w:noProof/>
              </w:rPr>
              <w:t>)</w:t>
            </w:r>
            <w:r>
              <w:fldChar w:fldCharType="end"/>
            </w:r>
          </w:p>
        </w:tc>
      </w:tr>
      <w:tr w:rsidR="003B7759" w14:paraId="2F9E2460" w14:textId="77777777" w:rsidTr="00F04872">
        <w:tc>
          <w:tcPr>
            <w:tcW w:w="2122" w:type="dxa"/>
          </w:tcPr>
          <w:p w14:paraId="13A8A6D5" w14:textId="77777777" w:rsidR="003B7759" w:rsidRDefault="003B7759" w:rsidP="003B7759">
            <w:pPr>
              <w:pStyle w:val="Tabletext1"/>
              <w:ind w:left="0"/>
            </w:pPr>
            <w:r>
              <w:t>Severe infections</w:t>
            </w:r>
          </w:p>
        </w:tc>
        <w:tc>
          <w:tcPr>
            <w:tcW w:w="1417" w:type="dxa"/>
          </w:tcPr>
          <w:p w14:paraId="4814F34C" w14:textId="77777777" w:rsidR="003B7759" w:rsidRDefault="003B7759" w:rsidP="003B7759">
            <w:pPr>
              <w:pStyle w:val="Tabletext1"/>
              <w:ind w:left="0"/>
              <w:jc w:val="center"/>
            </w:pPr>
            <w:r>
              <w:t>–0.410</w:t>
            </w:r>
            <w:r w:rsidR="00857B7F">
              <w:t>0</w:t>
            </w:r>
          </w:p>
        </w:tc>
        <w:tc>
          <w:tcPr>
            <w:tcW w:w="1429" w:type="dxa"/>
          </w:tcPr>
          <w:p w14:paraId="66C6941B" w14:textId="77777777" w:rsidR="003B7759" w:rsidRDefault="003B7759" w:rsidP="003B7759">
            <w:pPr>
              <w:pStyle w:val="Tabletext1"/>
              <w:ind w:left="0"/>
              <w:jc w:val="center"/>
            </w:pPr>
            <w:r>
              <w:t>-</w:t>
            </w:r>
          </w:p>
        </w:tc>
        <w:tc>
          <w:tcPr>
            <w:tcW w:w="1429" w:type="dxa"/>
          </w:tcPr>
          <w:p w14:paraId="6B2CC66B" w14:textId="77777777" w:rsidR="003B7759" w:rsidRDefault="003B7759" w:rsidP="003B7759">
            <w:pPr>
              <w:pStyle w:val="Tabletext1"/>
              <w:ind w:left="0"/>
              <w:jc w:val="center"/>
            </w:pPr>
            <w:r>
              <w:t>-</w:t>
            </w:r>
          </w:p>
        </w:tc>
        <w:tc>
          <w:tcPr>
            <w:tcW w:w="2619" w:type="dxa"/>
          </w:tcPr>
          <w:p w14:paraId="2FC4E551" w14:textId="3F473B96" w:rsidR="003B7759" w:rsidRDefault="00B727D6" w:rsidP="00D726F6">
            <w:pPr>
              <w:pStyle w:val="Tabletext1"/>
              <w:ind w:left="0"/>
            </w:pPr>
            <w:r>
              <w:fldChar w:fldCharType="begin"/>
            </w:r>
            <w:r>
              <w:instrText xml:space="preserve"> ADDIN EN.CITE &lt;EndNote&gt;&lt;Cite&gt;&lt;Author&gt;Wyndham&lt;/Author&gt;&lt;Year&gt;2019&lt;/Year&gt;&lt;RecNum&gt;1950&lt;/RecNum&gt;&lt;DisplayText&gt;(Wyndham et al. 2019)&lt;/DisplayText&gt;&lt;record&gt;&lt;rec-number&gt;1950&lt;/rec-number&gt;&lt;foreign-keys&gt;&lt;key app="EN" db-id="xtr5xfx2xf0wd7e0s2qvst2ietxxf0tpzr9v" timestamp="1614303612"&gt;1950&lt;/key&gt;&lt;/foreign-keys&gt;&lt;ref-type name="Report"&gt;27&lt;/ref-type&gt;&lt;contributors&gt;&lt;authors&gt;&lt;author&gt;Allison Wyndham&lt;/author&gt;&lt;author&gt;Arlene Vogan&lt;/author&gt;&lt;author&gt;Skye Newton&lt;/author&gt;&lt;author&gt;Camille Schubert &lt;/author&gt;&lt;/authors&gt;&lt;/contributors&gt;&lt;titles&gt;&lt;title&gt;Immunoglobulin for acquired hypogammaglobulinaemia secondary to haematological malignancies, or post-haemopoietic stem cell transplantation (HSCT). MSAC Application 1565, Assessment Report&lt;/title&gt;&lt;/titles&gt;&lt;dates&gt;&lt;year&gt;2019&lt;/year&gt;&lt;/dates&gt;&lt;pub-location&gt;Commonwealth of Australia, Canberra, ACT&lt;/pub-location&gt;&lt;urls&gt;&lt;/urls&gt;&lt;/record&gt;&lt;/Cite&gt;&lt;/EndNote&gt;</w:instrText>
            </w:r>
            <w:r>
              <w:fldChar w:fldCharType="separate"/>
            </w:r>
            <w:r>
              <w:rPr>
                <w:noProof/>
              </w:rPr>
              <w:t>(</w:t>
            </w:r>
            <w:hyperlink w:anchor="_ENREF_85" w:tooltip="Wyndham, 2019 #1950" w:history="1">
              <w:r w:rsidR="00D726F6">
                <w:rPr>
                  <w:noProof/>
                </w:rPr>
                <w:t>Wyndham et al. 2019</w:t>
              </w:r>
            </w:hyperlink>
            <w:r>
              <w:rPr>
                <w:noProof/>
              </w:rPr>
              <w:t>)</w:t>
            </w:r>
            <w:r>
              <w:fldChar w:fldCharType="end"/>
            </w:r>
          </w:p>
        </w:tc>
      </w:tr>
      <w:tr w:rsidR="003B7759" w14:paraId="1A80985F" w14:textId="77777777" w:rsidTr="00F04872">
        <w:tc>
          <w:tcPr>
            <w:tcW w:w="2122" w:type="dxa"/>
          </w:tcPr>
          <w:p w14:paraId="60E64972" w14:textId="77777777" w:rsidR="003B7759" w:rsidRDefault="003B7759" w:rsidP="003B7759">
            <w:pPr>
              <w:pStyle w:val="Tabletext1"/>
              <w:ind w:left="0"/>
            </w:pPr>
            <w:r>
              <w:t>Fracture</w:t>
            </w:r>
          </w:p>
        </w:tc>
        <w:tc>
          <w:tcPr>
            <w:tcW w:w="1417" w:type="dxa"/>
          </w:tcPr>
          <w:p w14:paraId="7D9C7AB2" w14:textId="77777777" w:rsidR="003B7759" w:rsidRDefault="003B7759" w:rsidP="003B7759">
            <w:pPr>
              <w:pStyle w:val="Tabletext1"/>
              <w:ind w:left="0"/>
              <w:jc w:val="center"/>
            </w:pPr>
            <w:r>
              <w:t>–0.157</w:t>
            </w:r>
            <w:r w:rsidR="00857B7F">
              <w:t>0</w:t>
            </w:r>
          </w:p>
        </w:tc>
        <w:tc>
          <w:tcPr>
            <w:tcW w:w="1429" w:type="dxa"/>
          </w:tcPr>
          <w:p w14:paraId="771BE829" w14:textId="77777777" w:rsidR="003B7759" w:rsidRDefault="003B7759" w:rsidP="003B7759">
            <w:pPr>
              <w:pStyle w:val="Tabletext1"/>
              <w:ind w:left="0"/>
              <w:jc w:val="center"/>
            </w:pPr>
            <w:r>
              <w:t>-</w:t>
            </w:r>
          </w:p>
        </w:tc>
        <w:tc>
          <w:tcPr>
            <w:tcW w:w="1429" w:type="dxa"/>
          </w:tcPr>
          <w:p w14:paraId="04A66383" w14:textId="77777777" w:rsidR="003B7759" w:rsidRDefault="003B7759" w:rsidP="003B7759">
            <w:pPr>
              <w:pStyle w:val="Tabletext1"/>
              <w:ind w:left="0"/>
              <w:jc w:val="center"/>
            </w:pPr>
            <w:r>
              <w:t>-</w:t>
            </w:r>
          </w:p>
        </w:tc>
        <w:tc>
          <w:tcPr>
            <w:tcW w:w="2619" w:type="dxa"/>
          </w:tcPr>
          <w:p w14:paraId="7E443A61" w14:textId="2AC5CFEC" w:rsidR="003B7759" w:rsidRDefault="00B727D6" w:rsidP="00D726F6">
            <w:pPr>
              <w:pStyle w:val="Tabletext1"/>
              <w:ind w:left="0"/>
            </w:pPr>
            <w:r>
              <w:fldChar w:fldCharType="begin">
                <w:fldData xml:space="preserve">PEVuZE5vdGU+PENpdGU+PEF1dGhvcj5BYmltYW55aS1PY2hvbTwvQXV0aG9yPjxZZWFyPjIwMTU8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MT48L3BlcmlvZGljYWw+PGFsdC1wZXJpb2RpY2FsPjxmdWxsLXRpdGxlPk9zdGVvcG9yb3MgSW50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b3NpcyBGb3VuZGF0aW9uIG9mIHRoZSBVU0E8L2FiYnItMT48L2FsdC1wZXJpb2RpY2FsPjxwYWdl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PEVuZE5vdGU+PENpdGU+PEF1dGhvcj5BYmltYW55aS1PY2hvbTwvQXV0aG9yPjxZZWFyPjIwMTU8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dWxsLXRpdGxlPk9zdGVvcG9yb3MgSW50PC9mdWxsLXRpdGxlPjxhYmJyLTE+T3N0ZW9wb3Jvc2lz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w:t>
            </w:r>
            <w:hyperlink w:anchor="_ENREF_1" w:tooltip="Abimanyi-Ochom, 2015 #1942" w:history="1">
              <w:r w:rsidR="00D726F6">
                <w:rPr>
                  <w:noProof/>
                </w:rPr>
                <w:t>Abimanyi-Ochom et al. 2015</w:t>
              </w:r>
            </w:hyperlink>
            <w:r>
              <w:rPr>
                <w:noProof/>
              </w:rPr>
              <w:t>)</w:t>
            </w:r>
            <w:r>
              <w:fldChar w:fldCharType="end"/>
            </w:r>
          </w:p>
        </w:tc>
      </w:tr>
      <w:tr w:rsidR="003B7759" w14:paraId="68DCC5C2" w14:textId="77777777" w:rsidTr="00F04872">
        <w:tc>
          <w:tcPr>
            <w:tcW w:w="2122" w:type="dxa"/>
          </w:tcPr>
          <w:p w14:paraId="5262352D" w14:textId="77777777" w:rsidR="003B7759" w:rsidRDefault="003B7759" w:rsidP="003B7759">
            <w:pPr>
              <w:pStyle w:val="Tabletext1"/>
              <w:ind w:left="0"/>
            </w:pPr>
            <w:r>
              <w:t>Patient in remission</w:t>
            </w:r>
          </w:p>
        </w:tc>
        <w:tc>
          <w:tcPr>
            <w:tcW w:w="1417" w:type="dxa"/>
          </w:tcPr>
          <w:p w14:paraId="1C9ECFD3" w14:textId="77777777" w:rsidR="003B7759" w:rsidRDefault="003B7759" w:rsidP="003B7759">
            <w:pPr>
              <w:pStyle w:val="Tabletext1"/>
              <w:ind w:left="0"/>
              <w:jc w:val="center"/>
            </w:pPr>
            <w:r>
              <w:t>Revert to age-specific utility</w:t>
            </w:r>
          </w:p>
        </w:tc>
        <w:tc>
          <w:tcPr>
            <w:tcW w:w="1429" w:type="dxa"/>
          </w:tcPr>
          <w:p w14:paraId="13978847" w14:textId="77777777" w:rsidR="003B7759" w:rsidRDefault="003B7759" w:rsidP="003B7759">
            <w:pPr>
              <w:pStyle w:val="Tabletext1"/>
              <w:ind w:left="0"/>
              <w:jc w:val="center"/>
            </w:pPr>
            <w:r>
              <w:t>-</w:t>
            </w:r>
          </w:p>
        </w:tc>
        <w:tc>
          <w:tcPr>
            <w:tcW w:w="1429" w:type="dxa"/>
          </w:tcPr>
          <w:p w14:paraId="3753CF3B" w14:textId="77777777" w:rsidR="003B7759" w:rsidRDefault="003B7759" w:rsidP="003B7759">
            <w:pPr>
              <w:pStyle w:val="Tabletext1"/>
              <w:ind w:left="0"/>
              <w:jc w:val="center"/>
            </w:pPr>
            <w:r>
              <w:t>-</w:t>
            </w:r>
          </w:p>
        </w:tc>
        <w:tc>
          <w:tcPr>
            <w:tcW w:w="2619" w:type="dxa"/>
          </w:tcPr>
          <w:p w14:paraId="2541D032" w14:textId="77777777" w:rsidR="003B7759" w:rsidRDefault="003B7759" w:rsidP="003B7759">
            <w:pPr>
              <w:pStyle w:val="Tabletext1"/>
              <w:ind w:left="0"/>
            </w:pPr>
            <w:r w:rsidRPr="0014501F">
              <w:t>Table 23</w:t>
            </w:r>
          </w:p>
        </w:tc>
      </w:tr>
    </w:tbl>
    <w:p w14:paraId="789B9B22" w14:textId="77777777" w:rsidR="00837294" w:rsidRDefault="00837294" w:rsidP="00837294">
      <w:pPr>
        <w:pStyle w:val="Tablenotes0"/>
      </w:pPr>
      <w:r w:rsidRPr="00884439">
        <w:rPr>
          <w:vertAlign w:val="superscript"/>
        </w:rPr>
        <w:t>a</w:t>
      </w:r>
      <w:r>
        <w:t xml:space="preserve"> Annual utility values are reported here unless specified. These are all adjusted for the cycle length in the model. Base-case utility for a patient entering in the model is assumed to be 0.62 which is health related quality of life value estimated for a patient with CIDP. All other utility or disutility values are applied to this base-value in the model. </w:t>
      </w:r>
    </w:p>
    <w:p w14:paraId="049B6AA1" w14:textId="77777777" w:rsidR="00837294" w:rsidRDefault="00837294" w:rsidP="00837294">
      <w:pPr>
        <w:pStyle w:val="Tablenotes0"/>
      </w:pPr>
      <w:r w:rsidRPr="00A02F3F">
        <w:rPr>
          <w:vertAlign w:val="superscript"/>
        </w:rPr>
        <w:t>b</w:t>
      </w:r>
      <w:r>
        <w:t xml:space="preserve"> </w:t>
      </w:r>
      <w:r w:rsidRPr="00A02F3F">
        <w:t>Value</w:t>
      </w:r>
      <w:r>
        <w:t xml:space="preserve"> reported for marginal disutility per day of infusion.</w:t>
      </w:r>
    </w:p>
    <w:p w14:paraId="59565EF4" w14:textId="77777777" w:rsidR="006E2E3E" w:rsidRDefault="006E2E3E" w:rsidP="00837294">
      <w:pPr>
        <w:pStyle w:val="Tablenotes0"/>
      </w:pPr>
      <w:r w:rsidRPr="006E2E3E">
        <w:rPr>
          <w:vertAlign w:val="superscript"/>
        </w:rPr>
        <w:t>c</w:t>
      </w:r>
      <w:r>
        <w:t xml:space="preserve"> </w:t>
      </w:r>
      <w:r w:rsidRPr="006E2E3E">
        <w:t>Disutility</w:t>
      </w:r>
      <w:r>
        <w:t xml:space="preserve"> associated with bronchospasm was not found in the literature. Bronchospasm is similar to an asthmatic attack. Therefore disutility associated with asthmatic attack was used in the assessment. </w:t>
      </w:r>
    </w:p>
    <w:p w14:paraId="6185A6E2" w14:textId="6249E8A0" w:rsidR="00837294" w:rsidRDefault="008C6D90" w:rsidP="00837294">
      <w:pPr>
        <w:pStyle w:val="Tablenotes0"/>
      </w:pPr>
      <w:r>
        <w:t xml:space="preserve">AE = adverse events; </w:t>
      </w:r>
      <w:r w:rsidR="00837294">
        <w:t>CIDP = chronic inflammatory demyelinating polyneuropathy; Ig = immunoglobulin; PE = Plasma exchange</w:t>
      </w:r>
    </w:p>
    <w:p w14:paraId="5F6009AF" w14:textId="77777777" w:rsidR="00837294" w:rsidRPr="009D46C7" w:rsidRDefault="00837294" w:rsidP="00837294">
      <w:pPr>
        <w:pStyle w:val="Heading2"/>
      </w:pPr>
      <w:bookmarkStart w:id="259" w:name="_Toc24103502"/>
      <w:bookmarkStart w:id="260" w:name="_Toc69305582"/>
      <w:r w:rsidRPr="009D46C7">
        <w:t>C.5.</w:t>
      </w:r>
      <w:r w:rsidRPr="009D46C7">
        <w:tab/>
        <w:t>Relationship of each Pre-Modelling Study to the Economic Evaluation</w:t>
      </w:r>
      <w:bookmarkEnd w:id="259"/>
      <w:bookmarkEnd w:id="260"/>
    </w:p>
    <w:p w14:paraId="026079C3" w14:textId="3136F027" w:rsidR="00837294" w:rsidRPr="00E3331A" w:rsidRDefault="00837294" w:rsidP="00837294">
      <w:pPr>
        <w:pStyle w:val="BodyTextSTD"/>
      </w:pPr>
      <w:r w:rsidRPr="00E3331A">
        <w:t>A summary of the results and implications is provided in</w:t>
      </w:r>
      <w:r w:rsidR="00F04872">
        <w:t xml:space="preserve"> </w:t>
      </w:r>
      <w:r w:rsidR="00F04872">
        <w:fldChar w:fldCharType="begin"/>
      </w:r>
      <w:r w:rsidR="00F04872">
        <w:instrText xml:space="preserve"> REF _Ref68177370 \h </w:instrText>
      </w:r>
      <w:r w:rsidR="00F04872">
        <w:fldChar w:fldCharType="separate"/>
      </w:r>
      <w:r w:rsidR="004B3EA2" w:rsidRPr="00E3331A">
        <w:t xml:space="preserve">Table </w:t>
      </w:r>
      <w:r w:rsidR="004B3EA2">
        <w:rPr>
          <w:noProof/>
        </w:rPr>
        <w:t>35</w:t>
      </w:r>
      <w:r w:rsidR="00F04872">
        <w:fldChar w:fldCharType="end"/>
      </w:r>
      <w:r w:rsidR="00F04872">
        <w:t>.</w:t>
      </w:r>
    </w:p>
    <w:p w14:paraId="36903866" w14:textId="77777777" w:rsidR="00D67808" w:rsidRDefault="00D67808" w:rsidP="00837294">
      <w:pPr>
        <w:pStyle w:val="Caption"/>
        <w:sectPr w:rsidR="00D67808" w:rsidSect="008A06D0">
          <w:footerReference w:type="even" r:id="rId44"/>
          <w:pgSz w:w="11906" w:h="16838"/>
          <w:pgMar w:top="1440" w:right="1440" w:bottom="1440" w:left="1440" w:header="720" w:footer="720" w:gutter="0"/>
          <w:paperSrc w:first="7" w:other="7"/>
          <w:cols w:space="720"/>
          <w:docGrid w:linePitch="299"/>
        </w:sectPr>
      </w:pPr>
      <w:bookmarkStart w:id="261" w:name="_Ref421019304"/>
      <w:bookmarkStart w:id="262" w:name="_Toc474318246"/>
      <w:bookmarkStart w:id="263" w:name="_Toc493000466"/>
      <w:bookmarkStart w:id="264" w:name="_Toc24103359"/>
      <w:bookmarkStart w:id="265" w:name="_Toc153967310"/>
      <w:bookmarkStart w:id="266" w:name="_Toc341796370"/>
    </w:p>
    <w:p w14:paraId="4A2BD2A1" w14:textId="040D6717" w:rsidR="00837294" w:rsidRPr="00E3331A" w:rsidRDefault="00837294" w:rsidP="00837294">
      <w:pPr>
        <w:pStyle w:val="Caption"/>
      </w:pPr>
      <w:bookmarkStart w:id="267" w:name="_Ref68177370"/>
      <w:bookmarkStart w:id="268" w:name="_Toc69305676"/>
      <w:r w:rsidRPr="00E3331A">
        <w:t xml:space="preserve">Table </w:t>
      </w:r>
      <w:r w:rsidRPr="00E3331A">
        <w:rPr>
          <w:noProof/>
        </w:rPr>
        <w:fldChar w:fldCharType="begin"/>
      </w:r>
      <w:r w:rsidRPr="00E3331A">
        <w:rPr>
          <w:noProof/>
        </w:rPr>
        <w:instrText xml:space="preserve"> SEQ Table \* ARABIC </w:instrText>
      </w:r>
      <w:r w:rsidRPr="00E3331A">
        <w:rPr>
          <w:noProof/>
        </w:rPr>
        <w:fldChar w:fldCharType="separate"/>
      </w:r>
      <w:r w:rsidR="004B3EA2">
        <w:rPr>
          <w:noProof/>
        </w:rPr>
        <w:t>35</w:t>
      </w:r>
      <w:r w:rsidRPr="00E3331A">
        <w:rPr>
          <w:noProof/>
        </w:rPr>
        <w:fldChar w:fldCharType="end"/>
      </w:r>
      <w:bookmarkEnd w:id="261"/>
      <w:bookmarkEnd w:id="267"/>
      <w:r w:rsidRPr="00E3331A">
        <w:rPr>
          <w:noProof/>
        </w:rPr>
        <w:tab/>
      </w:r>
      <w:r w:rsidRPr="00E3331A">
        <w:t>Summary of results of pre-modelling studies and their uses in the economic evaluation</w:t>
      </w:r>
      <w:bookmarkEnd w:id="262"/>
      <w:bookmarkEnd w:id="263"/>
      <w:bookmarkEnd w:id="264"/>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Caption w:val="Summary of results of pre-modelling studies and their uses in the economic evaluation"/>
        <w:tblDescription w:val="Summary of results of pre-modelling studies and their uses in the economic evaluation"/>
      </w:tblPr>
      <w:tblGrid>
        <w:gridCol w:w="844"/>
        <w:gridCol w:w="4112"/>
        <w:gridCol w:w="3509"/>
        <w:gridCol w:w="982"/>
        <w:gridCol w:w="3532"/>
        <w:gridCol w:w="969"/>
      </w:tblGrid>
      <w:tr w:rsidR="00D67808" w:rsidRPr="008A3596" w14:paraId="76365F58" w14:textId="77777777" w:rsidTr="00171CCE">
        <w:trPr>
          <w:cantSplit/>
        </w:trPr>
        <w:tc>
          <w:tcPr>
            <w:tcW w:w="303" w:type="pct"/>
            <w:shd w:val="clear" w:color="auto" w:fill="auto"/>
          </w:tcPr>
          <w:p w14:paraId="0E3C4B74" w14:textId="77777777" w:rsidR="00837294" w:rsidRPr="008A3596" w:rsidRDefault="00837294" w:rsidP="00171CCE">
            <w:pPr>
              <w:pStyle w:val="TableHeading"/>
              <w:contextualSpacing/>
            </w:pPr>
            <w:r w:rsidRPr="008A3596">
              <w:t>Section</w:t>
            </w:r>
          </w:p>
        </w:tc>
        <w:tc>
          <w:tcPr>
            <w:tcW w:w="1474" w:type="pct"/>
            <w:tcBorders>
              <w:bottom w:val="single" w:sz="4" w:space="0" w:color="auto"/>
            </w:tcBorders>
            <w:shd w:val="clear" w:color="auto" w:fill="auto"/>
          </w:tcPr>
          <w:p w14:paraId="3A2746E8" w14:textId="77777777" w:rsidR="00837294" w:rsidRPr="008A3596" w:rsidRDefault="00837294" w:rsidP="00171CCE">
            <w:pPr>
              <w:pStyle w:val="TableHeading"/>
              <w:contextualSpacing/>
            </w:pPr>
            <w:r w:rsidRPr="008A3596">
              <w:t>Pre-modelling study</w:t>
            </w:r>
          </w:p>
        </w:tc>
        <w:tc>
          <w:tcPr>
            <w:tcW w:w="1258" w:type="pct"/>
            <w:tcBorders>
              <w:bottom w:val="single" w:sz="4" w:space="0" w:color="auto"/>
            </w:tcBorders>
            <w:shd w:val="clear" w:color="auto" w:fill="auto"/>
          </w:tcPr>
          <w:p w14:paraId="0FD7FABD" w14:textId="77777777" w:rsidR="00837294" w:rsidRPr="008A3596" w:rsidRDefault="00837294" w:rsidP="00171CCE">
            <w:pPr>
              <w:pStyle w:val="TableHeading"/>
              <w:contextualSpacing/>
            </w:pPr>
            <w:r w:rsidRPr="008A3596">
              <w:t>Results used in Section D</w:t>
            </w:r>
          </w:p>
        </w:tc>
        <w:tc>
          <w:tcPr>
            <w:tcW w:w="352" w:type="pct"/>
            <w:tcBorders>
              <w:bottom w:val="single" w:sz="4" w:space="0" w:color="auto"/>
            </w:tcBorders>
            <w:shd w:val="clear" w:color="auto" w:fill="auto"/>
          </w:tcPr>
          <w:p w14:paraId="6BBAF0EF" w14:textId="77777777" w:rsidR="00837294" w:rsidRPr="008A3596" w:rsidRDefault="00837294" w:rsidP="00171CCE">
            <w:pPr>
              <w:pStyle w:val="TableHeading"/>
              <w:contextualSpacing/>
            </w:pPr>
            <w:r w:rsidRPr="008A3596">
              <w:t>Cross-reference</w:t>
            </w:r>
          </w:p>
        </w:tc>
        <w:tc>
          <w:tcPr>
            <w:tcW w:w="1266" w:type="pct"/>
            <w:tcBorders>
              <w:bottom w:val="single" w:sz="4" w:space="0" w:color="auto"/>
            </w:tcBorders>
            <w:shd w:val="clear" w:color="auto" w:fill="auto"/>
          </w:tcPr>
          <w:p w14:paraId="7DB9FD94" w14:textId="77777777" w:rsidR="00837294" w:rsidRPr="008A3596" w:rsidRDefault="00837294" w:rsidP="00171CCE">
            <w:pPr>
              <w:pStyle w:val="TableHeading"/>
              <w:contextualSpacing/>
            </w:pPr>
            <w:r w:rsidRPr="008A3596">
              <w:t>Results used in sensitivity analyses</w:t>
            </w:r>
          </w:p>
        </w:tc>
        <w:tc>
          <w:tcPr>
            <w:tcW w:w="347" w:type="pct"/>
            <w:tcBorders>
              <w:bottom w:val="single" w:sz="4" w:space="0" w:color="auto"/>
            </w:tcBorders>
            <w:shd w:val="clear" w:color="auto" w:fill="auto"/>
          </w:tcPr>
          <w:p w14:paraId="6342013D" w14:textId="77777777" w:rsidR="00837294" w:rsidRPr="008A3596" w:rsidRDefault="00837294" w:rsidP="00171CCE">
            <w:pPr>
              <w:pStyle w:val="TableHeading"/>
              <w:contextualSpacing/>
            </w:pPr>
            <w:r w:rsidRPr="008A3596">
              <w:t>Cross-reference</w:t>
            </w:r>
          </w:p>
        </w:tc>
      </w:tr>
      <w:tr w:rsidR="00D67808" w:rsidRPr="008A3596" w14:paraId="5407D205" w14:textId="77777777" w:rsidTr="00171CCE">
        <w:trPr>
          <w:cantSplit/>
        </w:trPr>
        <w:tc>
          <w:tcPr>
            <w:tcW w:w="303" w:type="pct"/>
          </w:tcPr>
          <w:p w14:paraId="1EF4992C" w14:textId="77777777" w:rsidR="00530431" w:rsidRPr="00530431" w:rsidRDefault="00530431" w:rsidP="00171CCE">
            <w:pPr>
              <w:pStyle w:val="Tablenotes0"/>
              <w:rPr>
                <w:b/>
                <w:sz w:val="20"/>
                <w:szCs w:val="20"/>
              </w:rPr>
            </w:pPr>
            <w:r w:rsidRPr="00530431">
              <w:rPr>
                <w:b/>
                <w:sz w:val="20"/>
                <w:szCs w:val="20"/>
              </w:rPr>
              <w:t>C.2.</w:t>
            </w:r>
          </w:p>
        </w:tc>
        <w:tc>
          <w:tcPr>
            <w:tcW w:w="1474" w:type="pct"/>
            <w:tcBorders>
              <w:right w:val="nil"/>
            </w:tcBorders>
          </w:tcPr>
          <w:p w14:paraId="28A4FD89" w14:textId="77777777" w:rsidR="00530431" w:rsidRPr="00530431" w:rsidRDefault="00530431" w:rsidP="00171CCE">
            <w:pPr>
              <w:pStyle w:val="Tablenotes0"/>
              <w:rPr>
                <w:b/>
                <w:sz w:val="20"/>
                <w:szCs w:val="20"/>
              </w:rPr>
            </w:pPr>
            <w:r w:rsidRPr="00530431">
              <w:rPr>
                <w:b/>
                <w:sz w:val="20"/>
                <w:szCs w:val="20"/>
              </w:rPr>
              <w:t>Applicability issues</w:t>
            </w:r>
          </w:p>
        </w:tc>
        <w:tc>
          <w:tcPr>
            <w:tcW w:w="1258" w:type="pct"/>
            <w:tcBorders>
              <w:left w:val="nil"/>
              <w:right w:val="nil"/>
            </w:tcBorders>
          </w:tcPr>
          <w:p w14:paraId="5C9F2E5C" w14:textId="77777777" w:rsidR="00530431" w:rsidRPr="008A3596" w:rsidRDefault="00530431" w:rsidP="00171CCE">
            <w:pPr>
              <w:pStyle w:val="Tablenotes0"/>
              <w:rPr>
                <w:sz w:val="20"/>
                <w:szCs w:val="20"/>
              </w:rPr>
            </w:pPr>
          </w:p>
        </w:tc>
        <w:tc>
          <w:tcPr>
            <w:tcW w:w="352" w:type="pct"/>
            <w:tcBorders>
              <w:left w:val="nil"/>
              <w:right w:val="nil"/>
            </w:tcBorders>
          </w:tcPr>
          <w:p w14:paraId="61C26519" w14:textId="77777777" w:rsidR="00530431" w:rsidRPr="008A3596" w:rsidRDefault="00530431" w:rsidP="00171CCE">
            <w:pPr>
              <w:pStyle w:val="Tablenotes0"/>
              <w:rPr>
                <w:sz w:val="20"/>
                <w:szCs w:val="20"/>
              </w:rPr>
            </w:pPr>
          </w:p>
        </w:tc>
        <w:tc>
          <w:tcPr>
            <w:tcW w:w="1266" w:type="pct"/>
            <w:tcBorders>
              <w:left w:val="nil"/>
              <w:right w:val="nil"/>
            </w:tcBorders>
          </w:tcPr>
          <w:p w14:paraId="79AD5C93" w14:textId="77777777" w:rsidR="00530431" w:rsidRPr="008A3596" w:rsidRDefault="00530431" w:rsidP="00171CCE">
            <w:pPr>
              <w:pStyle w:val="Tablenotes0"/>
              <w:rPr>
                <w:sz w:val="20"/>
                <w:szCs w:val="20"/>
              </w:rPr>
            </w:pPr>
          </w:p>
        </w:tc>
        <w:tc>
          <w:tcPr>
            <w:tcW w:w="347" w:type="pct"/>
            <w:tcBorders>
              <w:left w:val="nil"/>
            </w:tcBorders>
          </w:tcPr>
          <w:p w14:paraId="0AC57435" w14:textId="77777777" w:rsidR="00530431" w:rsidRPr="008A3596" w:rsidRDefault="00530431" w:rsidP="00171CCE">
            <w:pPr>
              <w:pStyle w:val="Tablenotes0"/>
              <w:rPr>
                <w:sz w:val="20"/>
                <w:szCs w:val="20"/>
              </w:rPr>
            </w:pPr>
          </w:p>
        </w:tc>
      </w:tr>
      <w:tr w:rsidR="00D67808" w:rsidRPr="008A3596" w14:paraId="135018F7" w14:textId="77777777" w:rsidTr="00171CCE">
        <w:trPr>
          <w:cantSplit/>
        </w:trPr>
        <w:tc>
          <w:tcPr>
            <w:tcW w:w="303" w:type="pct"/>
          </w:tcPr>
          <w:p w14:paraId="4B10EF92" w14:textId="77777777" w:rsidR="00837294" w:rsidRPr="008A3596" w:rsidRDefault="00C46C63" w:rsidP="00171CCE">
            <w:pPr>
              <w:pStyle w:val="Tablenotes0"/>
              <w:rPr>
                <w:sz w:val="20"/>
                <w:szCs w:val="20"/>
              </w:rPr>
            </w:pPr>
            <w:r w:rsidRPr="008A3596">
              <w:rPr>
                <w:sz w:val="20"/>
                <w:szCs w:val="20"/>
              </w:rPr>
              <w:t>C.2.1</w:t>
            </w:r>
          </w:p>
        </w:tc>
        <w:tc>
          <w:tcPr>
            <w:tcW w:w="1474" w:type="pct"/>
          </w:tcPr>
          <w:p w14:paraId="63C38123" w14:textId="77777777" w:rsidR="00837294" w:rsidRPr="008A3596" w:rsidRDefault="00C46C63" w:rsidP="00171CCE">
            <w:pPr>
              <w:pStyle w:val="Tablenotes0"/>
              <w:rPr>
                <w:sz w:val="20"/>
                <w:szCs w:val="20"/>
              </w:rPr>
            </w:pPr>
            <w:r w:rsidRPr="008A3596">
              <w:rPr>
                <w:sz w:val="20"/>
                <w:szCs w:val="20"/>
              </w:rPr>
              <w:t>Does the patient profile in the clinical evidence match the demographic characteristics of patients with CIDP in Australia?</w:t>
            </w:r>
          </w:p>
        </w:tc>
        <w:tc>
          <w:tcPr>
            <w:tcW w:w="1258" w:type="pct"/>
          </w:tcPr>
          <w:p w14:paraId="5E3E1865" w14:textId="77777777" w:rsidR="00837294" w:rsidRPr="008A3596" w:rsidRDefault="00C46C63" w:rsidP="00171CCE">
            <w:pPr>
              <w:pStyle w:val="Tablenotes0"/>
              <w:rPr>
                <w:sz w:val="20"/>
                <w:szCs w:val="20"/>
              </w:rPr>
            </w:pPr>
            <w:r w:rsidRPr="008A3596">
              <w:rPr>
                <w:sz w:val="20"/>
                <w:szCs w:val="20"/>
              </w:rPr>
              <w:t>Patient weight: 78 kgs</w:t>
            </w:r>
          </w:p>
          <w:p w14:paraId="0F3ABE20" w14:textId="77777777" w:rsidR="00C46C63" w:rsidRPr="008A3596" w:rsidRDefault="00C46C63" w:rsidP="00171CCE">
            <w:pPr>
              <w:pStyle w:val="Tablenotes0"/>
              <w:rPr>
                <w:sz w:val="20"/>
                <w:szCs w:val="20"/>
              </w:rPr>
            </w:pPr>
            <w:r w:rsidRPr="008A3596">
              <w:rPr>
                <w:sz w:val="20"/>
                <w:szCs w:val="20"/>
              </w:rPr>
              <w:t>Patient age: 65 years</w:t>
            </w:r>
          </w:p>
        </w:tc>
        <w:tc>
          <w:tcPr>
            <w:tcW w:w="352" w:type="pct"/>
          </w:tcPr>
          <w:p w14:paraId="5B9C8686" w14:textId="77777777" w:rsidR="00837294" w:rsidRPr="008A3596" w:rsidRDefault="00C46C63" w:rsidP="00171CCE">
            <w:pPr>
              <w:pStyle w:val="Tablenotes0"/>
              <w:rPr>
                <w:sz w:val="20"/>
                <w:szCs w:val="20"/>
              </w:rPr>
            </w:pPr>
            <w:r w:rsidRPr="008A3596">
              <w:rPr>
                <w:sz w:val="20"/>
                <w:szCs w:val="20"/>
              </w:rPr>
              <w:t>D.4</w:t>
            </w:r>
          </w:p>
        </w:tc>
        <w:tc>
          <w:tcPr>
            <w:tcW w:w="1266" w:type="pct"/>
          </w:tcPr>
          <w:p w14:paraId="1EE1A5AA" w14:textId="77777777" w:rsidR="00837294" w:rsidRPr="008A3596" w:rsidRDefault="00C46C63" w:rsidP="00171CCE">
            <w:pPr>
              <w:pStyle w:val="Tablenotes0"/>
              <w:rPr>
                <w:sz w:val="20"/>
                <w:szCs w:val="20"/>
              </w:rPr>
            </w:pPr>
            <w:r w:rsidRPr="008A3596">
              <w:rPr>
                <w:sz w:val="20"/>
                <w:szCs w:val="20"/>
              </w:rPr>
              <w:t>-</w:t>
            </w:r>
          </w:p>
        </w:tc>
        <w:tc>
          <w:tcPr>
            <w:tcW w:w="347" w:type="pct"/>
          </w:tcPr>
          <w:p w14:paraId="519D1C36" w14:textId="77777777" w:rsidR="00837294" w:rsidRPr="008A3596" w:rsidRDefault="00C46C63" w:rsidP="00171CCE">
            <w:pPr>
              <w:pStyle w:val="Tablenotes0"/>
              <w:rPr>
                <w:sz w:val="20"/>
                <w:szCs w:val="20"/>
              </w:rPr>
            </w:pPr>
            <w:r w:rsidRPr="008A3596">
              <w:rPr>
                <w:sz w:val="20"/>
                <w:szCs w:val="20"/>
              </w:rPr>
              <w:t>-</w:t>
            </w:r>
          </w:p>
        </w:tc>
      </w:tr>
      <w:tr w:rsidR="00D67808" w:rsidRPr="008A3596" w14:paraId="7CF439BC" w14:textId="77777777" w:rsidTr="00171CCE">
        <w:trPr>
          <w:cantSplit/>
          <w:trHeight w:val="688"/>
        </w:trPr>
        <w:tc>
          <w:tcPr>
            <w:tcW w:w="303" w:type="pct"/>
          </w:tcPr>
          <w:p w14:paraId="02DA6AF0" w14:textId="77777777" w:rsidR="00837294" w:rsidRPr="008A3596" w:rsidRDefault="00C46C63" w:rsidP="00171CCE">
            <w:pPr>
              <w:pStyle w:val="Tablenotes0"/>
              <w:rPr>
                <w:sz w:val="20"/>
                <w:szCs w:val="20"/>
              </w:rPr>
            </w:pPr>
            <w:r w:rsidRPr="008A3596">
              <w:rPr>
                <w:sz w:val="20"/>
                <w:szCs w:val="20"/>
              </w:rPr>
              <w:t>C.2.2</w:t>
            </w:r>
          </w:p>
        </w:tc>
        <w:tc>
          <w:tcPr>
            <w:tcW w:w="1474" w:type="pct"/>
          </w:tcPr>
          <w:p w14:paraId="10453D4D" w14:textId="77777777" w:rsidR="00837294" w:rsidRPr="008A3596" w:rsidRDefault="00C46C63" w:rsidP="00171CCE">
            <w:pPr>
              <w:pStyle w:val="Tablenotes0"/>
              <w:rPr>
                <w:sz w:val="20"/>
                <w:szCs w:val="20"/>
              </w:rPr>
            </w:pPr>
            <w:r w:rsidRPr="008A3596">
              <w:rPr>
                <w:sz w:val="20"/>
                <w:szCs w:val="20"/>
              </w:rPr>
              <w:t xml:space="preserve">Is the </w:t>
            </w:r>
            <w:r w:rsidR="008A3596" w:rsidRPr="008A3596">
              <w:rPr>
                <w:sz w:val="20"/>
                <w:szCs w:val="20"/>
              </w:rPr>
              <w:t>Ig</w:t>
            </w:r>
            <w:r w:rsidRPr="008A3596">
              <w:rPr>
                <w:sz w:val="20"/>
                <w:szCs w:val="20"/>
              </w:rPr>
              <w:t xml:space="preserve"> dosing and frequency of administration schedule in the clinical trials consistent with the current recommendation in Australia (version 3 of ‘the criteria’)?</w:t>
            </w:r>
          </w:p>
        </w:tc>
        <w:tc>
          <w:tcPr>
            <w:tcW w:w="1258" w:type="pct"/>
          </w:tcPr>
          <w:p w14:paraId="4B4D6AB9" w14:textId="59297C4F" w:rsidR="00837294" w:rsidRPr="008A3596" w:rsidRDefault="008A3596" w:rsidP="00171CCE">
            <w:pPr>
              <w:pStyle w:val="Tablenotes0"/>
              <w:rPr>
                <w:sz w:val="20"/>
                <w:szCs w:val="20"/>
              </w:rPr>
            </w:pPr>
            <w:r w:rsidRPr="008A3596">
              <w:rPr>
                <w:sz w:val="20"/>
                <w:szCs w:val="20"/>
              </w:rPr>
              <w:t xml:space="preserve">Treatment doses and frequency vary across trial and clinical practice. </w:t>
            </w:r>
            <w:r w:rsidR="00D755AB" w:rsidRPr="00D755AB">
              <w:rPr>
                <w:sz w:val="20"/>
                <w:szCs w:val="20"/>
              </w:rPr>
              <w:t xml:space="preserve">The base case uses doses based on the Australian BloodStar Criteria V3 and NBA data rather than clinical trial doses. </w:t>
            </w:r>
            <w:r w:rsidRPr="008A3596">
              <w:rPr>
                <w:sz w:val="20"/>
                <w:szCs w:val="20"/>
              </w:rPr>
              <w:fldChar w:fldCharType="begin"/>
            </w:r>
            <w:r w:rsidRPr="008A3596">
              <w:rPr>
                <w:sz w:val="20"/>
                <w:szCs w:val="20"/>
              </w:rPr>
              <w:instrText xml:space="preserve"> REF _Ref65086945 \h  \* MERGEFORMAT </w:instrText>
            </w:r>
            <w:r w:rsidRPr="008A3596">
              <w:rPr>
                <w:sz w:val="20"/>
                <w:szCs w:val="20"/>
              </w:rPr>
            </w:r>
            <w:r w:rsidRPr="008A3596">
              <w:rPr>
                <w:sz w:val="20"/>
                <w:szCs w:val="20"/>
              </w:rPr>
              <w:fldChar w:fldCharType="separate"/>
            </w:r>
            <w:r w:rsidR="004B3EA2" w:rsidRPr="004B3EA2">
              <w:rPr>
                <w:sz w:val="20"/>
                <w:szCs w:val="20"/>
              </w:rPr>
              <w:t>Table 28</w:t>
            </w:r>
            <w:r w:rsidRPr="008A3596">
              <w:rPr>
                <w:sz w:val="20"/>
                <w:szCs w:val="20"/>
              </w:rPr>
              <w:fldChar w:fldCharType="end"/>
            </w:r>
            <w:r w:rsidRPr="008A3596">
              <w:rPr>
                <w:sz w:val="20"/>
                <w:szCs w:val="20"/>
              </w:rPr>
              <w:t xml:space="preserve"> summarises </w:t>
            </w:r>
            <w:r w:rsidR="00D755AB">
              <w:rPr>
                <w:sz w:val="20"/>
                <w:szCs w:val="20"/>
              </w:rPr>
              <w:t xml:space="preserve">the </w:t>
            </w:r>
            <w:r w:rsidRPr="008A3596">
              <w:rPr>
                <w:sz w:val="20"/>
                <w:szCs w:val="20"/>
              </w:rPr>
              <w:t>values used in the analys</w:t>
            </w:r>
            <w:r w:rsidR="00D755AB">
              <w:rPr>
                <w:sz w:val="20"/>
                <w:szCs w:val="20"/>
              </w:rPr>
              <w:t>e</w:t>
            </w:r>
            <w:r w:rsidRPr="008A3596">
              <w:rPr>
                <w:sz w:val="20"/>
                <w:szCs w:val="20"/>
              </w:rPr>
              <w:t xml:space="preserve">s. </w:t>
            </w:r>
          </w:p>
        </w:tc>
        <w:tc>
          <w:tcPr>
            <w:tcW w:w="352" w:type="pct"/>
          </w:tcPr>
          <w:p w14:paraId="74040B14" w14:textId="77777777" w:rsidR="00837294" w:rsidRPr="008A3596" w:rsidRDefault="008A3596" w:rsidP="00171CCE">
            <w:pPr>
              <w:pStyle w:val="Tablenotes0"/>
              <w:rPr>
                <w:sz w:val="20"/>
                <w:szCs w:val="20"/>
              </w:rPr>
            </w:pPr>
            <w:r w:rsidRPr="008A3596">
              <w:rPr>
                <w:sz w:val="20"/>
                <w:szCs w:val="20"/>
              </w:rPr>
              <w:t>D.4</w:t>
            </w:r>
          </w:p>
        </w:tc>
        <w:tc>
          <w:tcPr>
            <w:tcW w:w="1266" w:type="pct"/>
          </w:tcPr>
          <w:p w14:paraId="5A29F03B" w14:textId="7ADEF1E7" w:rsidR="00837294" w:rsidRPr="008A3596" w:rsidRDefault="00D755AB" w:rsidP="00171CCE">
            <w:pPr>
              <w:pStyle w:val="Tablenotes0"/>
              <w:rPr>
                <w:sz w:val="20"/>
                <w:szCs w:val="20"/>
              </w:rPr>
            </w:pPr>
            <w:r w:rsidRPr="00D755AB">
              <w:rPr>
                <w:sz w:val="20"/>
                <w:szCs w:val="20"/>
              </w:rPr>
              <w:t>Alternative estimates of IVIg dosing (higher and lower per infusion doses and higher and lower infusion frequency) are tested in sensitivity analyses.</w:t>
            </w:r>
            <w:r w:rsidR="008A3596" w:rsidRPr="008A3596">
              <w:rPr>
                <w:sz w:val="20"/>
                <w:szCs w:val="20"/>
              </w:rPr>
              <w:t>.</w:t>
            </w:r>
          </w:p>
        </w:tc>
        <w:tc>
          <w:tcPr>
            <w:tcW w:w="347" w:type="pct"/>
          </w:tcPr>
          <w:p w14:paraId="15F1EBEA" w14:textId="77777777" w:rsidR="00837294" w:rsidRPr="008A3596" w:rsidRDefault="00C46C63" w:rsidP="00171CCE">
            <w:pPr>
              <w:pStyle w:val="Tablenotes0"/>
              <w:rPr>
                <w:sz w:val="20"/>
                <w:szCs w:val="20"/>
              </w:rPr>
            </w:pPr>
            <w:r w:rsidRPr="008A3596">
              <w:rPr>
                <w:sz w:val="20"/>
                <w:szCs w:val="20"/>
              </w:rPr>
              <w:t>D.6</w:t>
            </w:r>
          </w:p>
        </w:tc>
      </w:tr>
      <w:tr w:rsidR="00D67808" w:rsidRPr="008A3596" w14:paraId="68803BB8" w14:textId="77777777" w:rsidTr="00171CCE">
        <w:trPr>
          <w:cantSplit/>
        </w:trPr>
        <w:tc>
          <w:tcPr>
            <w:tcW w:w="303" w:type="pct"/>
          </w:tcPr>
          <w:p w14:paraId="4057D74F" w14:textId="77777777" w:rsidR="00837294" w:rsidRPr="008A3596" w:rsidRDefault="008A3596" w:rsidP="00171CCE">
            <w:pPr>
              <w:pStyle w:val="Tablenotes0"/>
              <w:rPr>
                <w:sz w:val="20"/>
                <w:szCs w:val="20"/>
              </w:rPr>
            </w:pPr>
            <w:r w:rsidRPr="008A3596">
              <w:rPr>
                <w:sz w:val="20"/>
                <w:szCs w:val="20"/>
              </w:rPr>
              <w:t>C.2.3</w:t>
            </w:r>
          </w:p>
        </w:tc>
        <w:tc>
          <w:tcPr>
            <w:tcW w:w="1474" w:type="pct"/>
          </w:tcPr>
          <w:p w14:paraId="04EBCED7" w14:textId="77777777" w:rsidR="00837294" w:rsidRPr="008A3596" w:rsidRDefault="008A3596" w:rsidP="00171CCE">
            <w:pPr>
              <w:pStyle w:val="Tablenotes0"/>
              <w:rPr>
                <w:sz w:val="20"/>
                <w:szCs w:val="20"/>
              </w:rPr>
            </w:pPr>
            <w:r w:rsidRPr="008A3596">
              <w:rPr>
                <w:sz w:val="20"/>
                <w:szCs w:val="20"/>
              </w:rPr>
              <w:t>Is the duration of Ig treatment in the clinical evidence consistent with use in the current Australian population?</w:t>
            </w:r>
          </w:p>
        </w:tc>
        <w:tc>
          <w:tcPr>
            <w:tcW w:w="1258" w:type="pct"/>
          </w:tcPr>
          <w:p w14:paraId="656AB91D" w14:textId="55F31923" w:rsidR="00837294" w:rsidRPr="008A3596" w:rsidRDefault="00D755AB" w:rsidP="00171CCE">
            <w:pPr>
              <w:pStyle w:val="Tablenotes0"/>
              <w:rPr>
                <w:sz w:val="20"/>
                <w:szCs w:val="20"/>
              </w:rPr>
            </w:pPr>
            <w:r w:rsidRPr="00D755AB">
              <w:rPr>
                <w:sz w:val="20"/>
                <w:szCs w:val="20"/>
              </w:rPr>
              <w:t xml:space="preserve">There is little information on duration of treatment, therefore the modelled duration of treatment is driven by response, relapse and remission </w:t>
            </w:r>
            <w:r>
              <w:rPr>
                <w:sz w:val="20"/>
                <w:szCs w:val="20"/>
              </w:rPr>
              <w:t>d</w:t>
            </w:r>
            <w:r w:rsidR="00FA1A45">
              <w:rPr>
                <w:sz w:val="20"/>
                <w:szCs w:val="20"/>
              </w:rPr>
              <w:t xml:space="preserve">ata </w:t>
            </w:r>
            <w:r w:rsidR="00530431">
              <w:rPr>
                <w:sz w:val="20"/>
                <w:szCs w:val="20"/>
              </w:rPr>
              <w:t>synthesised from RCTs, observational studies and BloodStar data.</w:t>
            </w:r>
          </w:p>
        </w:tc>
        <w:tc>
          <w:tcPr>
            <w:tcW w:w="352" w:type="pct"/>
          </w:tcPr>
          <w:p w14:paraId="4A4C716A" w14:textId="77777777" w:rsidR="00837294" w:rsidRPr="008A3596" w:rsidRDefault="00530431" w:rsidP="00171CCE">
            <w:pPr>
              <w:pStyle w:val="Tablenotes0"/>
              <w:rPr>
                <w:sz w:val="20"/>
                <w:szCs w:val="20"/>
              </w:rPr>
            </w:pPr>
            <w:r>
              <w:rPr>
                <w:sz w:val="20"/>
                <w:szCs w:val="20"/>
              </w:rPr>
              <w:t>C.3.1</w:t>
            </w:r>
          </w:p>
        </w:tc>
        <w:tc>
          <w:tcPr>
            <w:tcW w:w="1266" w:type="pct"/>
          </w:tcPr>
          <w:p w14:paraId="71A7CE37" w14:textId="77777777" w:rsidR="00837294" w:rsidRPr="008A3596" w:rsidRDefault="00530431" w:rsidP="00171CCE">
            <w:pPr>
              <w:pStyle w:val="Tablenotes0"/>
              <w:rPr>
                <w:sz w:val="20"/>
                <w:szCs w:val="20"/>
              </w:rPr>
            </w:pPr>
            <w:r>
              <w:rPr>
                <w:sz w:val="20"/>
                <w:szCs w:val="20"/>
              </w:rPr>
              <w:t>-</w:t>
            </w:r>
          </w:p>
        </w:tc>
        <w:tc>
          <w:tcPr>
            <w:tcW w:w="347" w:type="pct"/>
          </w:tcPr>
          <w:p w14:paraId="4D9F0499" w14:textId="77777777" w:rsidR="00837294" w:rsidRPr="008A3596" w:rsidRDefault="00530431" w:rsidP="00171CCE">
            <w:pPr>
              <w:pStyle w:val="Tablenotes0"/>
              <w:rPr>
                <w:sz w:val="20"/>
                <w:szCs w:val="20"/>
              </w:rPr>
            </w:pPr>
            <w:r>
              <w:rPr>
                <w:sz w:val="20"/>
                <w:szCs w:val="20"/>
              </w:rPr>
              <w:t>-</w:t>
            </w:r>
          </w:p>
        </w:tc>
      </w:tr>
      <w:tr w:rsidR="00D67808" w:rsidRPr="008A3596" w14:paraId="2D0A14F6" w14:textId="77777777" w:rsidTr="00171CCE">
        <w:trPr>
          <w:cantSplit/>
        </w:trPr>
        <w:tc>
          <w:tcPr>
            <w:tcW w:w="303" w:type="pct"/>
          </w:tcPr>
          <w:p w14:paraId="1A7FEF64" w14:textId="77777777" w:rsidR="00FA1A45" w:rsidRPr="008A3596" w:rsidRDefault="00FA1A45" w:rsidP="00171CCE">
            <w:pPr>
              <w:pStyle w:val="Tablenotes0"/>
              <w:rPr>
                <w:sz w:val="20"/>
                <w:szCs w:val="20"/>
              </w:rPr>
            </w:pPr>
            <w:r>
              <w:rPr>
                <w:sz w:val="20"/>
                <w:szCs w:val="20"/>
              </w:rPr>
              <w:t>C.2.4</w:t>
            </w:r>
          </w:p>
        </w:tc>
        <w:tc>
          <w:tcPr>
            <w:tcW w:w="1474" w:type="pct"/>
            <w:tcBorders>
              <w:bottom w:val="single" w:sz="4" w:space="0" w:color="auto"/>
            </w:tcBorders>
          </w:tcPr>
          <w:p w14:paraId="390F983C" w14:textId="77777777" w:rsidR="00FA1A45" w:rsidRPr="008A3596" w:rsidRDefault="00FA1A45" w:rsidP="00171CCE">
            <w:pPr>
              <w:pStyle w:val="Tablenotes0"/>
              <w:rPr>
                <w:sz w:val="20"/>
                <w:szCs w:val="20"/>
              </w:rPr>
            </w:pPr>
            <w:r w:rsidRPr="00FA1A45">
              <w:rPr>
                <w:sz w:val="20"/>
                <w:szCs w:val="20"/>
              </w:rPr>
              <w:t>What is the optimum period of disease stability that would trigger a decision to reduce the maintenance dose, in order to inform the Criteria?</w:t>
            </w:r>
          </w:p>
        </w:tc>
        <w:tc>
          <w:tcPr>
            <w:tcW w:w="1258" w:type="pct"/>
            <w:tcBorders>
              <w:bottom w:val="single" w:sz="4" w:space="0" w:color="auto"/>
            </w:tcBorders>
          </w:tcPr>
          <w:p w14:paraId="26500586" w14:textId="6A18350B" w:rsidR="00FA1A45" w:rsidRPr="008A3596" w:rsidRDefault="00D755AB" w:rsidP="00171CCE">
            <w:pPr>
              <w:pStyle w:val="Tablenotes0"/>
              <w:rPr>
                <w:sz w:val="20"/>
                <w:szCs w:val="20"/>
              </w:rPr>
            </w:pPr>
            <w:r w:rsidRPr="00D755AB">
              <w:rPr>
                <w:sz w:val="20"/>
                <w:szCs w:val="20"/>
              </w:rPr>
              <w:t>The base case dosing is based on Range of analysis presented using dose and frequency suggested in the Criteria V3</w:t>
            </w:r>
            <w:r w:rsidR="00530431">
              <w:rPr>
                <w:sz w:val="20"/>
                <w:szCs w:val="20"/>
              </w:rPr>
              <w:t>.</w:t>
            </w:r>
          </w:p>
        </w:tc>
        <w:tc>
          <w:tcPr>
            <w:tcW w:w="352" w:type="pct"/>
            <w:tcBorders>
              <w:bottom w:val="single" w:sz="4" w:space="0" w:color="auto"/>
            </w:tcBorders>
          </w:tcPr>
          <w:p w14:paraId="66F0A358" w14:textId="77777777" w:rsidR="00FA1A45" w:rsidRPr="008A3596" w:rsidRDefault="00530431" w:rsidP="00171CCE">
            <w:pPr>
              <w:pStyle w:val="Tablenotes0"/>
              <w:rPr>
                <w:sz w:val="20"/>
                <w:szCs w:val="20"/>
              </w:rPr>
            </w:pPr>
            <w:r>
              <w:rPr>
                <w:sz w:val="20"/>
                <w:szCs w:val="20"/>
              </w:rPr>
              <w:t>D.5</w:t>
            </w:r>
          </w:p>
        </w:tc>
        <w:tc>
          <w:tcPr>
            <w:tcW w:w="1266" w:type="pct"/>
            <w:tcBorders>
              <w:bottom w:val="single" w:sz="4" w:space="0" w:color="auto"/>
            </w:tcBorders>
          </w:tcPr>
          <w:p w14:paraId="38B7539E" w14:textId="24CAD69A" w:rsidR="00FA1A45" w:rsidRPr="008A3596" w:rsidRDefault="00D755AB" w:rsidP="00171CCE">
            <w:pPr>
              <w:pStyle w:val="Tablenotes0"/>
              <w:rPr>
                <w:sz w:val="20"/>
                <w:szCs w:val="20"/>
              </w:rPr>
            </w:pPr>
            <w:r>
              <w:rPr>
                <w:sz w:val="20"/>
                <w:szCs w:val="20"/>
              </w:rPr>
              <w:t>An</w:t>
            </w:r>
            <w:r w:rsidR="00530431" w:rsidRPr="00530431">
              <w:rPr>
                <w:sz w:val="20"/>
                <w:szCs w:val="20"/>
              </w:rPr>
              <w:t xml:space="preserve"> Ig dose reduction by 20% per course for 6 cycles for </w:t>
            </w:r>
            <w:r>
              <w:rPr>
                <w:sz w:val="20"/>
                <w:szCs w:val="20"/>
              </w:rPr>
              <w:t>Ig maintenance treatment is presented.</w:t>
            </w:r>
          </w:p>
        </w:tc>
        <w:tc>
          <w:tcPr>
            <w:tcW w:w="347" w:type="pct"/>
            <w:tcBorders>
              <w:bottom w:val="single" w:sz="4" w:space="0" w:color="auto"/>
            </w:tcBorders>
          </w:tcPr>
          <w:p w14:paraId="6C0F9668" w14:textId="77777777" w:rsidR="00FA1A45" w:rsidRPr="008A3596" w:rsidRDefault="00530431" w:rsidP="00171CCE">
            <w:pPr>
              <w:pStyle w:val="Tablenotes0"/>
              <w:rPr>
                <w:sz w:val="20"/>
                <w:szCs w:val="20"/>
              </w:rPr>
            </w:pPr>
            <w:r>
              <w:rPr>
                <w:sz w:val="20"/>
                <w:szCs w:val="20"/>
              </w:rPr>
              <w:t>D.6</w:t>
            </w:r>
          </w:p>
        </w:tc>
      </w:tr>
      <w:tr w:rsidR="00D67808" w:rsidRPr="008A3596" w14:paraId="5EFC0BD1" w14:textId="77777777" w:rsidTr="00171CCE">
        <w:trPr>
          <w:cantSplit/>
        </w:trPr>
        <w:tc>
          <w:tcPr>
            <w:tcW w:w="303" w:type="pct"/>
          </w:tcPr>
          <w:p w14:paraId="76D2DA89" w14:textId="77777777" w:rsidR="00FA1A45" w:rsidRPr="00530431" w:rsidRDefault="00530431" w:rsidP="00171CCE">
            <w:pPr>
              <w:pStyle w:val="Tablenotes0"/>
              <w:rPr>
                <w:b/>
                <w:sz w:val="20"/>
                <w:szCs w:val="20"/>
              </w:rPr>
            </w:pPr>
            <w:r w:rsidRPr="00530431">
              <w:rPr>
                <w:b/>
                <w:sz w:val="20"/>
                <w:szCs w:val="20"/>
              </w:rPr>
              <w:t>C.3</w:t>
            </w:r>
          </w:p>
        </w:tc>
        <w:tc>
          <w:tcPr>
            <w:tcW w:w="1474" w:type="pct"/>
            <w:tcBorders>
              <w:right w:val="nil"/>
            </w:tcBorders>
          </w:tcPr>
          <w:p w14:paraId="1216AA51" w14:textId="77777777" w:rsidR="00FA1A45" w:rsidRPr="00530431" w:rsidRDefault="00530431" w:rsidP="00171CCE">
            <w:pPr>
              <w:pStyle w:val="Tablenotes0"/>
              <w:rPr>
                <w:b/>
                <w:sz w:val="20"/>
                <w:szCs w:val="20"/>
              </w:rPr>
            </w:pPr>
            <w:r w:rsidRPr="00530431">
              <w:rPr>
                <w:b/>
                <w:sz w:val="20"/>
                <w:szCs w:val="20"/>
              </w:rPr>
              <w:t>Extrapolation issues</w:t>
            </w:r>
          </w:p>
        </w:tc>
        <w:tc>
          <w:tcPr>
            <w:tcW w:w="1258" w:type="pct"/>
            <w:tcBorders>
              <w:left w:val="nil"/>
              <w:right w:val="nil"/>
            </w:tcBorders>
          </w:tcPr>
          <w:p w14:paraId="0A909250" w14:textId="77777777" w:rsidR="00FA1A45" w:rsidRPr="008A3596" w:rsidRDefault="00FA1A45" w:rsidP="00171CCE">
            <w:pPr>
              <w:pStyle w:val="Tablenotes0"/>
              <w:rPr>
                <w:sz w:val="20"/>
                <w:szCs w:val="20"/>
              </w:rPr>
            </w:pPr>
          </w:p>
        </w:tc>
        <w:tc>
          <w:tcPr>
            <w:tcW w:w="352" w:type="pct"/>
            <w:tcBorders>
              <w:left w:val="nil"/>
              <w:right w:val="nil"/>
            </w:tcBorders>
          </w:tcPr>
          <w:p w14:paraId="6749B2F8" w14:textId="77777777" w:rsidR="00FA1A45" w:rsidRPr="008A3596" w:rsidRDefault="00FA1A45" w:rsidP="00171CCE">
            <w:pPr>
              <w:pStyle w:val="Tablenotes0"/>
              <w:rPr>
                <w:sz w:val="20"/>
                <w:szCs w:val="20"/>
              </w:rPr>
            </w:pPr>
          </w:p>
        </w:tc>
        <w:tc>
          <w:tcPr>
            <w:tcW w:w="1266" w:type="pct"/>
            <w:tcBorders>
              <w:left w:val="nil"/>
              <w:right w:val="nil"/>
            </w:tcBorders>
          </w:tcPr>
          <w:p w14:paraId="1163BEDF" w14:textId="77777777" w:rsidR="00FA1A45" w:rsidRPr="008A3596" w:rsidRDefault="00FA1A45" w:rsidP="00171CCE">
            <w:pPr>
              <w:pStyle w:val="Tablenotes0"/>
              <w:rPr>
                <w:sz w:val="20"/>
                <w:szCs w:val="20"/>
              </w:rPr>
            </w:pPr>
          </w:p>
        </w:tc>
        <w:tc>
          <w:tcPr>
            <w:tcW w:w="347" w:type="pct"/>
            <w:tcBorders>
              <w:left w:val="nil"/>
            </w:tcBorders>
          </w:tcPr>
          <w:p w14:paraId="3A9E1E45" w14:textId="77777777" w:rsidR="00FA1A45" w:rsidRPr="008A3596" w:rsidRDefault="00FA1A45" w:rsidP="00171CCE">
            <w:pPr>
              <w:pStyle w:val="Tablenotes0"/>
              <w:rPr>
                <w:sz w:val="20"/>
                <w:szCs w:val="20"/>
              </w:rPr>
            </w:pPr>
          </w:p>
        </w:tc>
      </w:tr>
      <w:tr w:rsidR="0059447C" w:rsidRPr="008A3596" w14:paraId="6AB606FE" w14:textId="77777777" w:rsidTr="00171CCE">
        <w:trPr>
          <w:cantSplit/>
        </w:trPr>
        <w:tc>
          <w:tcPr>
            <w:tcW w:w="303" w:type="pct"/>
          </w:tcPr>
          <w:p w14:paraId="15F06418" w14:textId="1497A5CB" w:rsidR="0059447C" w:rsidRPr="008A3596" w:rsidRDefault="0059447C" w:rsidP="00171CCE">
            <w:pPr>
              <w:pStyle w:val="Tablenotes0"/>
              <w:rPr>
                <w:sz w:val="20"/>
                <w:szCs w:val="20"/>
              </w:rPr>
            </w:pPr>
            <w:r>
              <w:rPr>
                <w:sz w:val="20"/>
                <w:szCs w:val="20"/>
              </w:rPr>
              <w:t>C.3.1</w:t>
            </w:r>
          </w:p>
        </w:tc>
        <w:tc>
          <w:tcPr>
            <w:tcW w:w="1474" w:type="pct"/>
          </w:tcPr>
          <w:p w14:paraId="423CA07F" w14:textId="77777777" w:rsidR="0059447C" w:rsidRPr="008A3596" w:rsidRDefault="0059447C" w:rsidP="00171CCE">
            <w:pPr>
              <w:pStyle w:val="Tablenotes0"/>
              <w:rPr>
                <w:sz w:val="20"/>
                <w:szCs w:val="20"/>
              </w:rPr>
            </w:pPr>
            <w:r w:rsidRPr="00E33752">
              <w:rPr>
                <w:sz w:val="20"/>
                <w:szCs w:val="20"/>
              </w:rPr>
              <w:t>What is the appropriate time horizon for the economic analysis of maintenance IVIg?</w:t>
            </w:r>
          </w:p>
        </w:tc>
        <w:tc>
          <w:tcPr>
            <w:tcW w:w="1258" w:type="pct"/>
          </w:tcPr>
          <w:p w14:paraId="2AE5EF52" w14:textId="77777777" w:rsidR="0059447C" w:rsidRPr="008A3596" w:rsidRDefault="0059447C" w:rsidP="00171CCE">
            <w:pPr>
              <w:pStyle w:val="Tablenotes0"/>
              <w:rPr>
                <w:sz w:val="20"/>
                <w:szCs w:val="20"/>
              </w:rPr>
            </w:pPr>
            <w:r>
              <w:rPr>
                <w:sz w:val="20"/>
                <w:szCs w:val="20"/>
              </w:rPr>
              <w:t>Follow-up in key trials and 10 year</w:t>
            </w:r>
          </w:p>
        </w:tc>
        <w:tc>
          <w:tcPr>
            <w:tcW w:w="352" w:type="pct"/>
          </w:tcPr>
          <w:p w14:paraId="521AE5B2" w14:textId="77777777" w:rsidR="0059447C" w:rsidRPr="008A3596" w:rsidRDefault="0059447C" w:rsidP="00171CCE">
            <w:pPr>
              <w:pStyle w:val="Tablenotes0"/>
              <w:rPr>
                <w:sz w:val="20"/>
                <w:szCs w:val="20"/>
              </w:rPr>
            </w:pPr>
            <w:r>
              <w:rPr>
                <w:sz w:val="20"/>
                <w:szCs w:val="20"/>
              </w:rPr>
              <w:t>D.3</w:t>
            </w:r>
          </w:p>
        </w:tc>
        <w:tc>
          <w:tcPr>
            <w:tcW w:w="1266" w:type="pct"/>
          </w:tcPr>
          <w:p w14:paraId="6CEAAD63" w14:textId="77777777" w:rsidR="0059447C" w:rsidRPr="008A3596" w:rsidRDefault="0059447C" w:rsidP="00171CCE">
            <w:pPr>
              <w:pStyle w:val="Tablenotes0"/>
              <w:rPr>
                <w:sz w:val="20"/>
                <w:szCs w:val="20"/>
              </w:rPr>
            </w:pPr>
            <w:r>
              <w:rPr>
                <w:sz w:val="20"/>
                <w:szCs w:val="20"/>
              </w:rPr>
              <w:t>Results across variable time horizons</w:t>
            </w:r>
          </w:p>
        </w:tc>
        <w:tc>
          <w:tcPr>
            <w:tcW w:w="347" w:type="pct"/>
          </w:tcPr>
          <w:p w14:paraId="020A9300" w14:textId="77777777" w:rsidR="0059447C" w:rsidRPr="008A3596" w:rsidRDefault="0059447C" w:rsidP="00171CCE">
            <w:pPr>
              <w:pStyle w:val="Tablenotes0"/>
              <w:rPr>
                <w:sz w:val="20"/>
                <w:szCs w:val="20"/>
              </w:rPr>
            </w:pPr>
            <w:r>
              <w:rPr>
                <w:sz w:val="20"/>
                <w:szCs w:val="20"/>
              </w:rPr>
              <w:t>D.6</w:t>
            </w:r>
          </w:p>
        </w:tc>
      </w:tr>
      <w:tr w:rsidR="00D67808" w:rsidRPr="008A3596" w14:paraId="14E617B6" w14:textId="77777777" w:rsidTr="00171CCE">
        <w:trPr>
          <w:cantSplit/>
        </w:trPr>
        <w:tc>
          <w:tcPr>
            <w:tcW w:w="303" w:type="pct"/>
          </w:tcPr>
          <w:p w14:paraId="065E2719" w14:textId="18C01A0A" w:rsidR="00FA1A45" w:rsidRPr="008A3596" w:rsidRDefault="00530431" w:rsidP="00171CCE">
            <w:pPr>
              <w:pStyle w:val="Tablenotes0"/>
              <w:rPr>
                <w:sz w:val="20"/>
                <w:szCs w:val="20"/>
              </w:rPr>
            </w:pPr>
            <w:r>
              <w:rPr>
                <w:sz w:val="20"/>
                <w:szCs w:val="20"/>
              </w:rPr>
              <w:t>C.3.</w:t>
            </w:r>
            <w:r w:rsidR="0059447C">
              <w:rPr>
                <w:sz w:val="20"/>
                <w:szCs w:val="20"/>
              </w:rPr>
              <w:t>2</w:t>
            </w:r>
          </w:p>
        </w:tc>
        <w:tc>
          <w:tcPr>
            <w:tcW w:w="1474" w:type="pct"/>
          </w:tcPr>
          <w:p w14:paraId="650E9936" w14:textId="77777777" w:rsidR="00FA1A45" w:rsidRPr="008A3596" w:rsidRDefault="005B4287" w:rsidP="00171CCE">
            <w:pPr>
              <w:pStyle w:val="Tablenotes0"/>
              <w:rPr>
                <w:sz w:val="20"/>
                <w:szCs w:val="20"/>
              </w:rPr>
            </w:pPr>
            <w:r w:rsidRPr="005B4287">
              <w:rPr>
                <w:sz w:val="20"/>
                <w:szCs w:val="20"/>
              </w:rPr>
              <w:t>What is the duration of the treatment effect in patients with CIDP and was the duration of effect expected in the Australian setting captured in the available clinical evidence?</w:t>
            </w:r>
          </w:p>
        </w:tc>
        <w:tc>
          <w:tcPr>
            <w:tcW w:w="1258" w:type="pct"/>
          </w:tcPr>
          <w:p w14:paraId="7C18901E" w14:textId="06A6092F" w:rsidR="00FA1A45" w:rsidRPr="008A3596" w:rsidRDefault="00F90289" w:rsidP="00171CCE">
            <w:pPr>
              <w:pStyle w:val="Tablenotes0"/>
              <w:rPr>
                <w:sz w:val="20"/>
                <w:szCs w:val="20"/>
              </w:rPr>
            </w:pPr>
            <w:r w:rsidRPr="00F90289">
              <w:rPr>
                <w:sz w:val="20"/>
                <w:szCs w:val="20"/>
              </w:rPr>
              <w:t xml:space="preserve">On and off-treatment transition </w:t>
            </w:r>
            <w:r w:rsidR="005B4287">
              <w:rPr>
                <w:sz w:val="20"/>
                <w:szCs w:val="20"/>
              </w:rPr>
              <w:t xml:space="preserve">probabilities estimated from </w:t>
            </w:r>
            <w:r w:rsidR="005B4287" w:rsidRPr="005B4287">
              <w:rPr>
                <w:sz w:val="20"/>
                <w:szCs w:val="20"/>
              </w:rPr>
              <w:t>RCTs, observational studies and BloodStar data</w:t>
            </w:r>
            <w:r w:rsidR="005B4287">
              <w:rPr>
                <w:sz w:val="20"/>
                <w:szCs w:val="20"/>
              </w:rPr>
              <w:t xml:space="preserve"> </w:t>
            </w:r>
            <w:r w:rsidR="005B4287" w:rsidRPr="00DF5C92">
              <w:rPr>
                <w:sz w:val="20"/>
                <w:szCs w:val="20"/>
              </w:rPr>
              <w:t>(</w:t>
            </w:r>
            <w:r w:rsidR="005B4287" w:rsidRPr="00DF5C92">
              <w:rPr>
                <w:sz w:val="20"/>
                <w:szCs w:val="20"/>
              </w:rPr>
              <w:fldChar w:fldCharType="begin"/>
            </w:r>
            <w:r w:rsidR="005B4287" w:rsidRPr="00DF5C92">
              <w:rPr>
                <w:sz w:val="20"/>
                <w:szCs w:val="20"/>
              </w:rPr>
              <w:instrText xml:space="preserve"> REF _Ref65856839 \h </w:instrText>
            </w:r>
            <w:r w:rsidR="00DF5C92">
              <w:rPr>
                <w:sz w:val="20"/>
                <w:szCs w:val="20"/>
              </w:rPr>
              <w:instrText xml:space="preserve"> \* MERGEFORMAT </w:instrText>
            </w:r>
            <w:r w:rsidR="005B4287" w:rsidRPr="00DF5C92">
              <w:rPr>
                <w:sz w:val="20"/>
                <w:szCs w:val="20"/>
              </w:rPr>
            </w:r>
            <w:r w:rsidR="005B4287" w:rsidRPr="00DF5C92">
              <w:rPr>
                <w:sz w:val="20"/>
                <w:szCs w:val="20"/>
              </w:rPr>
              <w:fldChar w:fldCharType="separate"/>
            </w:r>
            <w:r w:rsidR="004B3EA2" w:rsidRPr="004B3EA2">
              <w:rPr>
                <w:sz w:val="20"/>
                <w:szCs w:val="20"/>
              </w:rPr>
              <w:t xml:space="preserve">Table </w:t>
            </w:r>
            <w:r w:rsidR="004B3EA2" w:rsidRPr="004B3EA2">
              <w:rPr>
                <w:noProof/>
                <w:sz w:val="20"/>
                <w:szCs w:val="20"/>
              </w:rPr>
              <w:t>31</w:t>
            </w:r>
            <w:r w:rsidR="005B4287" w:rsidRPr="00DF5C92">
              <w:rPr>
                <w:sz w:val="20"/>
                <w:szCs w:val="20"/>
              </w:rPr>
              <w:fldChar w:fldCharType="end"/>
            </w:r>
            <w:r w:rsidR="005B4287" w:rsidRPr="00DF5C92">
              <w:rPr>
                <w:sz w:val="20"/>
                <w:szCs w:val="20"/>
              </w:rPr>
              <w:t>)</w:t>
            </w:r>
            <w:r>
              <w:rPr>
                <w:sz w:val="20"/>
                <w:szCs w:val="20"/>
              </w:rPr>
              <w:t xml:space="preserve"> </w:t>
            </w:r>
            <w:r w:rsidRPr="00F90289">
              <w:rPr>
                <w:sz w:val="20"/>
                <w:szCs w:val="20"/>
              </w:rPr>
              <w:t>and are extrapolated over the modelled time horizon.</w:t>
            </w:r>
          </w:p>
        </w:tc>
        <w:tc>
          <w:tcPr>
            <w:tcW w:w="352" w:type="pct"/>
          </w:tcPr>
          <w:p w14:paraId="555DD77E" w14:textId="77777777" w:rsidR="00FA1A45" w:rsidRPr="008A3596" w:rsidRDefault="005B4287" w:rsidP="00171CCE">
            <w:pPr>
              <w:pStyle w:val="Tablenotes0"/>
              <w:rPr>
                <w:sz w:val="20"/>
                <w:szCs w:val="20"/>
              </w:rPr>
            </w:pPr>
            <w:r>
              <w:rPr>
                <w:sz w:val="20"/>
                <w:szCs w:val="20"/>
              </w:rPr>
              <w:t>D.4</w:t>
            </w:r>
          </w:p>
        </w:tc>
        <w:tc>
          <w:tcPr>
            <w:tcW w:w="1266" w:type="pct"/>
          </w:tcPr>
          <w:p w14:paraId="0C20DBB6" w14:textId="5A42A459" w:rsidR="00FA1A45" w:rsidRPr="00DF5C92" w:rsidRDefault="00F90289" w:rsidP="00171CCE">
            <w:pPr>
              <w:pStyle w:val="Tablenotes0"/>
              <w:rPr>
                <w:sz w:val="20"/>
                <w:szCs w:val="20"/>
              </w:rPr>
            </w:pPr>
            <w:r w:rsidRPr="00F90289">
              <w:rPr>
                <w:sz w:val="20"/>
                <w:szCs w:val="20"/>
              </w:rPr>
              <w:t xml:space="preserve">A range of alternative transition values </w:t>
            </w:r>
            <w:r>
              <w:rPr>
                <w:sz w:val="20"/>
                <w:szCs w:val="20"/>
              </w:rPr>
              <w:t>(</w:t>
            </w:r>
            <w:r w:rsidR="00E33752" w:rsidRPr="00DF5C92">
              <w:rPr>
                <w:sz w:val="20"/>
                <w:szCs w:val="20"/>
              </w:rPr>
              <w:t xml:space="preserve">summarised in </w:t>
            </w:r>
            <w:r w:rsidR="00541E48" w:rsidRPr="00DF5C92">
              <w:rPr>
                <w:sz w:val="20"/>
                <w:szCs w:val="20"/>
              </w:rPr>
              <w:fldChar w:fldCharType="begin"/>
            </w:r>
            <w:r w:rsidR="00541E48" w:rsidRPr="00DF5C92">
              <w:rPr>
                <w:sz w:val="20"/>
                <w:szCs w:val="20"/>
              </w:rPr>
              <w:instrText xml:space="preserve"> REF _Ref65856839 \h </w:instrText>
            </w:r>
            <w:r w:rsidR="00DF5C92">
              <w:rPr>
                <w:sz w:val="20"/>
                <w:szCs w:val="20"/>
              </w:rPr>
              <w:instrText xml:space="preserve"> \* MERGEFORMAT </w:instrText>
            </w:r>
            <w:r w:rsidR="00541E48" w:rsidRPr="00DF5C92">
              <w:rPr>
                <w:sz w:val="20"/>
                <w:szCs w:val="20"/>
              </w:rPr>
            </w:r>
            <w:r w:rsidR="00541E48" w:rsidRPr="00DF5C92">
              <w:rPr>
                <w:sz w:val="20"/>
                <w:szCs w:val="20"/>
              </w:rPr>
              <w:fldChar w:fldCharType="separate"/>
            </w:r>
            <w:r w:rsidR="004B3EA2" w:rsidRPr="004B3EA2">
              <w:rPr>
                <w:sz w:val="20"/>
                <w:szCs w:val="20"/>
              </w:rPr>
              <w:t xml:space="preserve">Table </w:t>
            </w:r>
            <w:r w:rsidR="004B3EA2" w:rsidRPr="004B3EA2">
              <w:rPr>
                <w:noProof/>
                <w:sz w:val="20"/>
                <w:szCs w:val="20"/>
              </w:rPr>
              <w:t>31</w:t>
            </w:r>
            <w:r w:rsidR="00541E48" w:rsidRPr="00DF5C92">
              <w:rPr>
                <w:sz w:val="20"/>
                <w:szCs w:val="20"/>
              </w:rPr>
              <w:fldChar w:fldCharType="end"/>
            </w:r>
            <w:r>
              <w:rPr>
                <w:sz w:val="20"/>
                <w:szCs w:val="20"/>
              </w:rPr>
              <w:t>) are tested</w:t>
            </w:r>
            <w:r w:rsidR="00E33752" w:rsidRPr="00DF5C92">
              <w:rPr>
                <w:sz w:val="20"/>
                <w:szCs w:val="20"/>
              </w:rPr>
              <w:t>.</w:t>
            </w:r>
          </w:p>
        </w:tc>
        <w:tc>
          <w:tcPr>
            <w:tcW w:w="347" w:type="pct"/>
          </w:tcPr>
          <w:p w14:paraId="63998DE9" w14:textId="77777777" w:rsidR="00FA1A45" w:rsidRPr="008A3596" w:rsidRDefault="00541E48" w:rsidP="00171CCE">
            <w:pPr>
              <w:pStyle w:val="Tablenotes0"/>
              <w:rPr>
                <w:sz w:val="20"/>
                <w:szCs w:val="20"/>
              </w:rPr>
            </w:pPr>
            <w:r>
              <w:rPr>
                <w:sz w:val="20"/>
                <w:szCs w:val="20"/>
              </w:rPr>
              <w:t>D.6</w:t>
            </w:r>
          </w:p>
        </w:tc>
      </w:tr>
      <w:tr w:rsidR="00D67808" w:rsidRPr="008A3596" w14:paraId="049B851B" w14:textId="77777777" w:rsidTr="00171CCE">
        <w:trPr>
          <w:cantSplit/>
        </w:trPr>
        <w:tc>
          <w:tcPr>
            <w:tcW w:w="303" w:type="pct"/>
          </w:tcPr>
          <w:p w14:paraId="13ADFCA7" w14:textId="77777777" w:rsidR="00530431" w:rsidRPr="008A3596" w:rsidRDefault="00530431" w:rsidP="00171CCE">
            <w:pPr>
              <w:pStyle w:val="Tablenotes0"/>
              <w:rPr>
                <w:sz w:val="20"/>
                <w:szCs w:val="20"/>
              </w:rPr>
            </w:pPr>
            <w:r>
              <w:rPr>
                <w:sz w:val="20"/>
                <w:szCs w:val="20"/>
              </w:rPr>
              <w:t>C.3.3</w:t>
            </w:r>
          </w:p>
        </w:tc>
        <w:tc>
          <w:tcPr>
            <w:tcW w:w="1474" w:type="pct"/>
            <w:tcBorders>
              <w:bottom w:val="single" w:sz="4" w:space="0" w:color="auto"/>
            </w:tcBorders>
          </w:tcPr>
          <w:p w14:paraId="14C2489F" w14:textId="77777777" w:rsidR="00530431" w:rsidRPr="008A3596" w:rsidRDefault="00E33752" w:rsidP="00171CCE">
            <w:pPr>
              <w:pStyle w:val="Tablenotes0"/>
              <w:rPr>
                <w:sz w:val="20"/>
                <w:szCs w:val="20"/>
              </w:rPr>
            </w:pPr>
            <w:r w:rsidRPr="00E33752">
              <w:rPr>
                <w:sz w:val="20"/>
                <w:szCs w:val="20"/>
              </w:rPr>
              <w:t>What safety implications and adverse events are associated with the intervention and comparator drugs treatments when used for longer durations?</w:t>
            </w:r>
          </w:p>
        </w:tc>
        <w:tc>
          <w:tcPr>
            <w:tcW w:w="1258" w:type="pct"/>
            <w:tcBorders>
              <w:bottom w:val="single" w:sz="4" w:space="0" w:color="auto"/>
            </w:tcBorders>
          </w:tcPr>
          <w:p w14:paraId="7C68A6D8" w14:textId="29A00777" w:rsidR="00530431" w:rsidRPr="008A3596" w:rsidRDefault="00F90289" w:rsidP="00171CCE">
            <w:pPr>
              <w:pStyle w:val="Tablenotes0"/>
              <w:rPr>
                <w:sz w:val="20"/>
                <w:szCs w:val="20"/>
              </w:rPr>
            </w:pPr>
            <w:r w:rsidRPr="00F90289">
              <w:rPr>
                <w:sz w:val="20"/>
                <w:szCs w:val="20"/>
              </w:rPr>
              <w:t>Adverse events associated with long</w:t>
            </w:r>
            <w:r w:rsidR="00DA600D">
              <w:rPr>
                <w:sz w:val="20"/>
                <w:szCs w:val="20"/>
              </w:rPr>
              <w:t xml:space="preserve"> </w:t>
            </w:r>
            <w:r w:rsidRPr="00F90289">
              <w:rPr>
                <w:sz w:val="20"/>
                <w:szCs w:val="20"/>
              </w:rPr>
              <w:t>term corticosteroids and ongoing PE are included in the base case economic models. A s</w:t>
            </w:r>
            <w:r w:rsidR="00E33752">
              <w:rPr>
                <w:sz w:val="20"/>
                <w:szCs w:val="20"/>
              </w:rPr>
              <w:t xml:space="preserve">ummary </w:t>
            </w:r>
            <w:r>
              <w:rPr>
                <w:sz w:val="20"/>
                <w:szCs w:val="20"/>
              </w:rPr>
              <w:t xml:space="preserve">is </w:t>
            </w:r>
            <w:r w:rsidR="00E33752">
              <w:rPr>
                <w:sz w:val="20"/>
                <w:szCs w:val="20"/>
              </w:rPr>
              <w:t xml:space="preserve">presented in </w:t>
            </w:r>
            <w:r w:rsidR="00E33752" w:rsidRPr="001536D3">
              <w:rPr>
                <w:sz w:val="20"/>
                <w:szCs w:val="20"/>
              </w:rPr>
              <w:fldChar w:fldCharType="begin"/>
            </w:r>
            <w:r w:rsidR="00E33752" w:rsidRPr="001536D3">
              <w:rPr>
                <w:sz w:val="20"/>
                <w:szCs w:val="20"/>
              </w:rPr>
              <w:instrText xml:space="preserve"> REF _Ref65252255 \h </w:instrText>
            </w:r>
            <w:r w:rsidR="001536D3">
              <w:rPr>
                <w:sz w:val="20"/>
                <w:szCs w:val="20"/>
              </w:rPr>
              <w:instrText xml:space="preserve"> \* MERGEFORMAT </w:instrText>
            </w:r>
            <w:r w:rsidR="00E33752" w:rsidRPr="001536D3">
              <w:rPr>
                <w:sz w:val="20"/>
                <w:szCs w:val="20"/>
              </w:rPr>
            </w:r>
            <w:r w:rsidR="00E33752" w:rsidRPr="001536D3">
              <w:rPr>
                <w:sz w:val="20"/>
                <w:szCs w:val="20"/>
              </w:rPr>
              <w:fldChar w:fldCharType="separate"/>
            </w:r>
            <w:r w:rsidR="004B3EA2" w:rsidRPr="004B3EA2">
              <w:rPr>
                <w:sz w:val="20"/>
                <w:szCs w:val="20"/>
              </w:rPr>
              <w:t xml:space="preserve">Table </w:t>
            </w:r>
            <w:r w:rsidR="004B3EA2" w:rsidRPr="004B3EA2">
              <w:rPr>
                <w:noProof/>
                <w:sz w:val="20"/>
                <w:szCs w:val="20"/>
              </w:rPr>
              <w:t>32</w:t>
            </w:r>
            <w:r w:rsidR="00E33752" w:rsidRPr="001536D3">
              <w:rPr>
                <w:sz w:val="20"/>
                <w:szCs w:val="20"/>
              </w:rPr>
              <w:fldChar w:fldCharType="end"/>
            </w:r>
          </w:p>
        </w:tc>
        <w:tc>
          <w:tcPr>
            <w:tcW w:w="352" w:type="pct"/>
            <w:tcBorders>
              <w:bottom w:val="single" w:sz="4" w:space="0" w:color="auto"/>
            </w:tcBorders>
          </w:tcPr>
          <w:p w14:paraId="55D59751" w14:textId="77777777" w:rsidR="00530431" w:rsidRPr="008A3596" w:rsidRDefault="00E33752" w:rsidP="00171CCE">
            <w:pPr>
              <w:pStyle w:val="Tablenotes0"/>
              <w:rPr>
                <w:sz w:val="20"/>
                <w:szCs w:val="20"/>
              </w:rPr>
            </w:pPr>
            <w:r>
              <w:rPr>
                <w:sz w:val="20"/>
                <w:szCs w:val="20"/>
              </w:rPr>
              <w:t>D.4</w:t>
            </w:r>
          </w:p>
        </w:tc>
        <w:tc>
          <w:tcPr>
            <w:tcW w:w="1266" w:type="pct"/>
            <w:tcBorders>
              <w:bottom w:val="single" w:sz="4" w:space="0" w:color="auto"/>
            </w:tcBorders>
          </w:tcPr>
          <w:p w14:paraId="7E1AD929" w14:textId="1EDD35CD" w:rsidR="00530431" w:rsidRPr="008A3596" w:rsidRDefault="00F90289" w:rsidP="00171CCE">
            <w:pPr>
              <w:pStyle w:val="Tablenotes0"/>
              <w:rPr>
                <w:sz w:val="20"/>
                <w:szCs w:val="20"/>
              </w:rPr>
            </w:pPr>
            <w:r w:rsidRPr="00F90289">
              <w:rPr>
                <w:sz w:val="20"/>
                <w:szCs w:val="20"/>
              </w:rPr>
              <w:t>Alternative estimates of long-term adverse event rates are tested.</w:t>
            </w:r>
          </w:p>
        </w:tc>
        <w:tc>
          <w:tcPr>
            <w:tcW w:w="347" w:type="pct"/>
            <w:tcBorders>
              <w:bottom w:val="single" w:sz="4" w:space="0" w:color="auto"/>
            </w:tcBorders>
          </w:tcPr>
          <w:p w14:paraId="6709F8D2" w14:textId="77777777" w:rsidR="00530431" w:rsidRPr="008A3596" w:rsidRDefault="00E33752" w:rsidP="00171CCE">
            <w:pPr>
              <w:pStyle w:val="Tablenotes0"/>
              <w:rPr>
                <w:sz w:val="20"/>
                <w:szCs w:val="20"/>
              </w:rPr>
            </w:pPr>
            <w:r>
              <w:rPr>
                <w:sz w:val="20"/>
                <w:szCs w:val="20"/>
              </w:rPr>
              <w:t>D.6</w:t>
            </w:r>
          </w:p>
        </w:tc>
      </w:tr>
      <w:tr w:rsidR="00D67808" w:rsidRPr="008A3596" w14:paraId="19B47995" w14:textId="77777777" w:rsidTr="00171CCE">
        <w:trPr>
          <w:cantSplit/>
        </w:trPr>
        <w:tc>
          <w:tcPr>
            <w:tcW w:w="303" w:type="pct"/>
          </w:tcPr>
          <w:p w14:paraId="5D4E171A" w14:textId="77777777" w:rsidR="00530431" w:rsidRPr="00530431" w:rsidRDefault="00530431" w:rsidP="00171CCE">
            <w:pPr>
              <w:pStyle w:val="Tablenotes0"/>
              <w:rPr>
                <w:b/>
                <w:sz w:val="20"/>
                <w:szCs w:val="20"/>
              </w:rPr>
            </w:pPr>
            <w:r w:rsidRPr="00530431">
              <w:rPr>
                <w:b/>
                <w:sz w:val="20"/>
                <w:szCs w:val="20"/>
              </w:rPr>
              <w:t>C.4</w:t>
            </w:r>
          </w:p>
        </w:tc>
        <w:tc>
          <w:tcPr>
            <w:tcW w:w="1474" w:type="pct"/>
            <w:tcBorders>
              <w:right w:val="nil"/>
            </w:tcBorders>
          </w:tcPr>
          <w:p w14:paraId="17D9266D" w14:textId="77777777" w:rsidR="00530431" w:rsidRPr="00530431" w:rsidRDefault="00530431" w:rsidP="00171CCE">
            <w:pPr>
              <w:pStyle w:val="Tablenotes0"/>
              <w:rPr>
                <w:b/>
                <w:sz w:val="20"/>
                <w:szCs w:val="20"/>
              </w:rPr>
            </w:pPr>
            <w:r w:rsidRPr="00530431">
              <w:rPr>
                <w:b/>
                <w:sz w:val="20"/>
                <w:szCs w:val="20"/>
              </w:rPr>
              <w:t>Transformation issues</w:t>
            </w:r>
          </w:p>
        </w:tc>
        <w:tc>
          <w:tcPr>
            <w:tcW w:w="1258" w:type="pct"/>
            <w:tcBorders>
              <w:left w:val="nil"/>
              <w:right w:val="nil"/>
            </w:tcBorders>
          </w:tcPr>
          <w:p w14:paraId="00A3DF3F" w14:textId="77777777" w:rsidR="00530431" w:rsidRPr="008A3596" w:rsidRDefault="00530431" w:rsidP="00171CCE">
            <w:pPr>
              <w:pStyle w:val="Tablenotes0"/>
              <w:rPr>
                <w:sz w:val="20"/>
                <w:szCs w:val="20"/>
              </w:rPr>
            </w:pPr>
          </w:p>
        </w:tc>
        <w:tc>
          <w:tcPr>
            <w:tcW w:w="352" w:type="pct"/>
            <w:tcBorders>
              <w:left w:val="nil"/>
              <w:right w:val="nil"/>
            </w:tcBorders>
          </w:tcPr>
          <w:p w14:paraId="29B8177B" w14:textId="77777777" w:rsidR="00530431" w:rsidRPr="008A3596" w:rsidRDefault="00530431" w:rsidP="00171CCE">
            <w:pPr>
              <w:pStyle w:val="Tablenotes0"/>
              <w:rPr>
                <w:sz w:val="20"/>
                <w:szCs w:val="20"/>
              </w:rPr>
            </w:pPr>
          </w:p>
        </w:tc>
        <w:tc>
          <w:tcPr>
            <w:tcW w:w="1266" w:type="pct"/>
            <w:tcBorders>
              <w:left w:val="nil"/>
              <w:right w:val="nil"/>
            </w:tcBorders>
          </w:tcPr>
          <w:p w14:paraId="166987E1" w14:textId="77777777" w:rsidR="00530431" w:rsidRPr="008A3596" w:rsidRDefault="00530431" w:rsidP="00171CCE">
            <w:pPr>
              <w:pStyle w:val="Tablenotes0"/>
              <w:rPr>
                <w:sz w:val="20"/>
                <w:szCs w:val="20"/>
              </w:rPr>
            </w:pPr>
          </w:p>
        </w:tc>
        <w:tc>
          <w:tcPr>
            <w:tcW w:w="347" w:type="pct"/>
            <w:tcBorders>
              <w:left w:val="nil"/>
            </w:tcBorders>
          </w:tcPr>
          <w:p w14:paraId="698E7892" w14:textId="77777777" w:rsidR="00530431" w:rsidRPr="008A3596" w:rsidRDefault="00530431" w:rsidP="00171CCE">
            <w:pPr>
              <w:pStyle w:val="Tablenotes0"/>
              <w:rPr>
                <w:sz w:val="20"/>
                <w:szCs w:val="20"/>
              </w:rPr>
            </w:pPr>
          </w:p>
        </w:tc>
      </w:tr>
      <w:tr w:rsidR="00D67808" w:rsidRPr="008A3596" w14:paraId="08646B92" w14:textId="77777777" w:rsidTr="00171CCE">
        <w:trPr>
          <w:cantSplit/>
        </w:trPr>
        <w:tc>
          <w:tcPr>
            <w:tcW w:w="303" w:type="pct"/>
          </w:tcPr>
          <w:p w14:paraId="3BA90094" w14:textId="77777777" w:rsidR="00FA1A45" w:rsidRPr="008A3596" w:rsidRDefault="00E33752" w:rsidP="00171CCE">
            <w:pPr>
              <w:pStyle w:val="Tablenotes0"/>
              <w:rPr>
                <w:sz w:val="20"/>
                <w:szCs w:val="20"/>
              </w:rPr>
            </w:pPr>
            <w:r>
              <w:rPr>
                <w:sz w:val="20"/>
                <w:szCs w:val="20"/>
              </w:rPr>
              <w:t>C.4.1</w:t>
            </w:r>
          </w:p>
        </w:tc>
        <w:tc>
          <w:tcPr>
            <w:tcW w:w="1474" w:type="pct"/>
          </w:tcPr>
          <w:p w14:paraId="5D87F120" w14:textId="77777777" w:rsidR="00FA1A45" w:rsidRPr="008A3596" w:rsidRDefault="00E33752" w:rsidP="00171CCE">
            <w:pPr>
              <w:pStyle w:val="Tablenotes0"/>
              <w:rPr>
                <w:sz w:val="20"/>
                <w:szCs w:val="20"/>
              </w:rPr>
            </w:pPr>
            <w:r w:rsidRPr="00E33752">
              <w:rPr>
                <w:sz w:val="20"/>
                <w:szCs w:val="20"/>
              </w:rPr>
              <w:t>What are the utility/disutility values associated with various treatments and health states for patients with CIDP?</w:t>
            </w:r>
          </w:p>
        </w:tc>
        <w:tc>
          <w:tcPr>
            <w:tcW w:w="1258" w:type="pct"/>
          </w:tcPr>
          <w:p w14:paraId="433A3DC7" w14:textId="7666A261" w:rsidR="00FA1A45" w:rsidRPr="00DF5C92" w:rsidRDefault="00F90289" w:rsidP="00171CCE">
            <w:pPr>
              <w:pStyle w:val="Tablenotes0"/>
              <w:rPr>
                <w:sz w:val="20"/>
                <w:szCs w:val="20"/>
              </w:rPr>
            </w:pPr>
            <w:r w:rsidRPr="00F90289">
              <w:rPr>
                <w:sz w:val="20"/>
                <w:szCs w:val="20"/>
              </w:rPr>
              <w:t xml:space="preserve">External literature identified estimates of utility and utility decrements associated with modelled health states and adverse events. A </w:t>
            </w:r>
            <w:r>
              <w:rPr>
                <w:sz w:val="20"/>
                <w:szCs w:val="20"/>
              </w:rPr>
              <w:t>s</w:t>
            </w:r>
            <w:r w:rsidR="00E130C4" w:rsidRPr="00DF5C92">
              <w:rPr>
                <w:sz w:val="20"/>
                <w:szCs w:val="20"/>
              </w:rPr>
              <w:t>ummary</w:t>
            </w:r>
            <w:r>
              <w:rPr>
                <w:sz w:val="20"/>
                <w:szCs w:val="20"/>
              </w:rPr>
              <w:t xml:space="preserve"> is</w:t>
            </w:r>
            <w:r w:rsidR="00E130C4" w:rsidRPr="00DF5C92">
              <w:rPr>
                <w:sz w:val="20"/>
                <w:szCs w:val="20"/>
              </w:rPr>
              <w:t xml:space="preserve"> presented in </w:t>
            </w:r>
            <w:r w:rsidR="00E130C4" w:rsidRPr="00DF5C92">
              <w:rPr>
                <w:sz w:val="20"/>
                <w:szCs w:val="20"/>
              </w:rPr>
              <w:fldChar w:fldCharType="begin"/>
            </w:r>
            <w:r w:rsidR="00E130C4" w:rsidRPr="00DF5C92">
              <w:rPr>
                <w:sz w:val="20"/>
                <w:szCs w:val="20"/>
              </w:rPr>
              <w:instrText xml:space="preserve"> REF _Ref65174909 \h </w:instrText>
            </w:r>
            <w:r w:rsidR="00DF5C92">
              <w:rPr>
                <w:sz w:val="20"/>
                <w:szCs w:val="20"/>
              </w:rPr>
              <w:instrText xml:space="preserve"> \* MERGEFORMAT </w:instrText>
            </w:r>
            <w:r w:rsidR="00E130C4" w:rsidRPr="00DF5C92">
              <w:rPr>
                <w:sz w:val="20"/>
                <w:szCs w:val="20"/>
              </w:rPr>
            </w:r>
            <w:r w:rsidR="00E130C4" w:rsidRPr="00DF5C92">
              <w:rPr>
                <w:sz w:val="20"/>
                <w:szCs w:val="20"/>
              </w:rPr>
              <w:fldChar w:fldCharType="separate"/>
            </w:r>
            <w:r w:rsidR="004B3EA2" w:rsidRPr="004B3EA2">
              <w:rPr>
                <w:sz w:val="20"/>
                <w:szCs w:val="20"/>
              </w:rPr>
              <w:t xml:space="preserve">Table </w:t>
            </w:r>
            <w:r w:rsidR="004B3EA2" w:rsidRPr="004B3EA2">
              <w:rPr>
                <w:noProof/>
                <w:sz w:val="20"/>
                <w:szCs w:val="20"/>
              </w:rPr>
              <w:t>33</w:t>
            </w:r>
            <w:r w:rsidR="00E130C4" w:rsidRPr="00DF5C92">
              <w:rPr>
                <w:sz w:val="20"/>
                <w:szCs w:val="20"/>
              </w:rPr>
              <w:fldChar w:fldCharType="end"/>
            </w:r>
            <w:r w:rsidR="00E130C4" w:rsidRPr="00DF5C92">
              <w:rPr>
                <w:sz w:val="20"/>
                <w:szCs w:val="20"/>
              </w:rPr>
              <w:t xml:space="preserve"> and </w:t>
            </w:r>
            <w:r w:rsidR="00E130C4" w:rsidRPr="00DF5C92">
              <w:rPr>
                <w:sz w:val="20"/>
                <w:szCs w:val="20"/>
              </w:rPr>
              <w:fldChar w:fldCharType="begin"/>
            </w:r>
            <w:r w:rsidR="00E130C4" w:rsidRPr="00DF5C92">
              <w:rPr>
                <w:sz w:val="20"/>
                <w:szCs w:val="20"/>
              </w:rPr>
              <w:instrText xml:space="preserve"> REF _Ref65237150 \h </w:instrText>
            </w:r>
            <w:r w:rsidR="00DF5C92">
              <w:rPr>
                <w:sz w:val="20"/>
                <w:szCs w:val="20"/>
              </w:rPr>
              <w:instrText xml:space="preserve"> \* MERGEFORMAT </w:instrText>
            </w:r>
            <w:r w:rsidR="00E130C4" w:rsidRPr="00DF5C92">
              <w:rPr>
                <w:sz w:val="20"/>
                <w:szCs w:val="20"/>
              </w:rPr>
            </w:r>
            <w:r w:rsidR="00E130C4" w:rsidRPr="00DF5C92">
              <w:rPr>
                <w:sz w:val="20"/>
                <w:szCs w:val="20"/>
              </w:rPr>
              <w:fldChar w:fldCharType="separate"/>
            </w:r>
            <w:r w:rsidR="004B3EA2" w:rsidRPr="004B3EA2">
              <w:rPr>
                <w:sz w:val="20"/>
                <w:szCs w:val="20"/>
              </w:rPr>
              <w:t xml:space="preserve">Table </w:t>
            </w:r>
            <w:r w:rsidR="004B3EA2" w:rsidRPr="004B3EA2">
              <w:rPr>
                <w:noProof/>
                <w:sz w:val="20"/>
                <w:szCs w:val="20"/>
              </w:rPr>
              <w:t>34</w:t>
            </w:r>
            <w:r w:rsidR="00E130C4" w:rsidRPr="00DF5C92">
              <w:rPr>
                <w:sz w:val="20"/>
                <w:szCs w:val="20"/>
              </w:rPr>
              <w:fldChar w:fldCharType="end"/>
            </w:r>
          </w:p>
        </w:tc>
        <w:tc>
          <w:tcPr>
            <w:tcW w:w="352" w:type="pct"/>
          </w:tcPr>
          <w:p w14:paraId="2C60DD60" w14:textId="77777777" w:rsidR="00FA1A45" w:rsidRPr="008A3596" w:rsidRDefault="00E130C4" w:rsidP="00171CCE">
            <w:pPr>
              <w:pStyle w:val="Tablenotes0"/>
              <w:rPr>
                <w:sz w:val="20"/>
                <w:szCs w:val="20"/>
              </w:rPr>
            </w:pPr>
            <w:r>
              <w:rPr>
                <w:sz w:val="20"/>
                <w:szCs w:val="20"/>
              </w:rPr>
              <w:t>D.4</w:t>
            </w:r>
          </w:p>
        </w:tc>
        <w:tc>
          <w:tcPr>
            <w:tcW w:w="1266" w:type="pct"/>
          </w:tcPr>
          <w:p w14:paraId="1B197CCD" w14:textId="2CC88E5A" w:rsidR="00FA1A45" w:rsidRPr="00DF5C92" w:rsidRDefault="00F90289" w:rsidP="00171CCE">
            <w:pPr>
              <w:pStyle w:val="Tablenotes0"/>
              <w:rPr>
                <w:sz w:val="20"/>
                <w:szCs w:val="20"/>
              </w:rPr>
            </w:pPr>
            <w:r w:rsidRPr="00F90289">
              <w:rPr>
                <w:sz w:val="20"/>
                <w:szCs w:val="20"/>
              </w:rPr>
              <w:t xml:space="preserve">Alternative health state utility values and decrements are tested. </w:t>
            </w:r>
            <w:r w:rsidR="00E130C4" w:rsidRPr="00DF5C92">
              <w:rPr>
                <w:sz w:val="20"/>
                <w:szCs w:val="20"/>
              </w:rPr>
              <w:t xml:space="preserve">Summary presented in </w:t>
            </w:r>
            <w:r w:rsidR="00E130C4" w:rsidRPr="00DF5C92">
              <w:rPr>
                <w:sz w:val="20"/>
                <w:szCs w:val="20"/>
              </w:rPr>
              <w:fldChar w:fldCharType="begin"/>
            </w:r>
            <w:r w:rsidR="00E130C4" w:rsidRPr="00DF5C92">
              <w:rPr>
                <w:sz w:val="20"/>
                <w:szCs w:val="20"/>
              </w:rPr>
              <w:instrText xml:space="preserve"> REF _Ref65174909 \h </w:instrText>
            </w:r>
            <w:r w:rsidR="00DF5C92">
              <w:rPr>
                <w:sz w:val="20"/>
                <w:szCs w:val="20"/>
              </w:rPr>
              <w:instrText xml:space="preserve"> \* MERGEFORMAT </w:instrText>
            </w:r>
            <w:r w:rsidR="00E130C4" w:rsidRPr="00DF5C92">
              <w:rPr>
                <w:sz w:val="20"/>
                <w:szCs w:val="20"/>
              </w:rPr>
            </w:r>
            <w:r w:rsidR="00E130C4" w:rsidRPr="00DF5C92">
              <w:rPr>
                <w:sz w:val="20"/>
                <w:szCs w:val="20"/>
              </w:rPr>
              <w:fldChar w:fldCharType="separate"/>
            </w:r>
            <w:r w:rsidR="004B3EA2" w:rsidRPr="004B3EA2">
              <w:rPr>
                <w:sz w:val="20"/>
                <w:szCs w:val="20"/>
              </w:rPr>
              <w:t xml:space="preserve">Table </w:t>
            </w:r>
            <w:r w:rsidR="004B3EA2" w:rsidRPr="004B3EA2">
              <w:rPr>
                <w:noProof/>
                <w:sz w:val="20"/>
                <w:szCs w:val="20"/>
              </w:rPr>
              <w:t>33</w:t>
            </w:r>
            <w:r w:rsidR="00E130C4" w:rsidRPr="00DF5C92">
              <w:rPr>
                <w:sz w:val="20"/>
                <w:szCs w:val="20"/>
              </w:rPr>
              <w:fldChar w:fldCharType="end"/>
            </w:r>
            <w:r w:rsidR="00E130C4" w:rsidRPr="00DF5C92">
              <w:rPr>
                <w:sz w:val="20"/>
                <w:szCs w:val="20"/>
              </w:rPr>
              <w:t xml:space="preserve"> and </w:t>
            </w:r>
            <w:r w:rsidR="00E130C4" w:rsidRPr="00DF5C92">
              <w:rPr>
                <w:sz w:val="20"/>
                <w:szCs w:val="20"/>
              </w:rPr>
              <w:fldChar w:fldCharType="begin"/>
            </w:r>
            <w:r w:rsidR="00E130C4" w:rsidRPr="00DF5C92">
              <w:rPr>
                <w:sz w:val="20"/>
                <w:szCs w:val="20"/>
              </w:rPr>
              <w:instrText xml:space="preserve"> REF _Ref65237150 \h </w:instrText>
            </w:r>
            <w:r w:rsidR="00DF5C92">
              <w:rPr>
                <w:sz w:val="20"/>
                <w:szCs w:val="20"/>
              </w:rPr>
              <w:instrText xml:space="preserve"> \* MERGEFORMAT </w:instrText>
            </w:r>
            <w:r w:rsidR="00E130C4" w:rsidRPr="00DF5C92">
              <w:rPr>
                <w:sz w:val="20"/>
                <w:szCs w:val="20"/>
              </w:rPr>
            </w:r>
            <w:r w:rsidR="00E130C4" w:rsidRPr="00DF5C92">
              <w:rPr>
                <w:sz w:val="20"/>
                <w:szCs w:val="20"/>
              </w:rPr>
              <w:fldChar w:fldCharType="separate"/>
            </w:r>
            <w:r w:rsidR="004B3EA2" w:rsidRPr="004B3EA2">
              <w:rPr>
                <w:sz w:val="20"/>
                <w:szCs w:val="20"/>
              </w:rPr>
              <w:t xml:space="preserve">Table </w:t>
            </w:r>
            <w:r w:rsidR="004B3EA2" w:rsidRPr="004B3EA2">
              <w:rPr>
                <w:noProof/>
                <w:sz w:val="20"/>
                <w:szCs w:val="20"/>
              </w:rPr>
              <w:t>34</w:t>
            </w:r>
            <w:r w:rsidR="00E130C4" w:rsidRPr="00DF5C92">
              <w:rPr>
                <w:sz w:val="20"/>
                <w:szCs w:val="20"/>
              </w:rPr>
              <w:fldChar w:fldCharType="end"/>
            </w:r>
          </w:p>
        </w:tc>
        <w:tc>
          <w:tcPr>
            <w:tcW w:w="347" w:type="pct"/>
          </w:tcPr>
          <w:p w14:paraId="3BD57E8B" w14:textId="77777777" w:rsidR="00FA1A45" w:rsidRPr="008A3596" w:rsidRDefault="00E130C4" w:rsidP="00171CCE">
            <w:pPr>
              <w:pStyle w:val="Tablenotes0"/>
              <w:rPr>
                <w:sz w:val="20"/>
                <w:szCs w:val="20"/>
              </w:rPr>
            </w:pPr>
            <w:r>
              <w:rPr>
                <w:sz w:val="20"/>
                <w:szCs w:val="20"/>
              </w:rPr>
              <w:t>D.6</w:t>
            </w:r>
          </w:p>
        </w:tc>
      </w:tr>
    </w:tbl>
    <w:bookmarkEnd w:id="265"/>
    <w:bookmarkEnd w:id="266"/>
    <w:p w14:paraId="0F7F880C" w14:textId="6BD4E39F" w:rsidR="00837294" w:rsidRDefault="00E130C4" w:rsidP="00A46424">
      <w:pPr>
        <w:pStyle w:val="Tablenote"/>
      </w:pPr>
      <w:r>
        <w:t xml:space="preserve">CIDP = chronic inflammatory demyelinating polyneuropathy; IVIg = intravenous immunoglobulin; </w:t>
      </w:r>
      <w:r w:rsidR="00F90289">
        <w:t xml:space="preserve">PE = plasma exchange; </w:t>
      </w:r>
      <w:r w:rsidR="00DF5C92">
        <w:t>RCT = randomised controlled trials</w:t>
      </w:r>
    </w:p>
    <w:p w14:paraId="367DFD9A" w14:textId="77777777" w:rsidR="00D67808" w:rsidRDefault="00D67808" w:rsidP="00837294">
      <w:pPr>
        <w:pStyle w:val="Heading1"/>
        <w:sectPr w:rsidR="00D67808" w:rsidSect="001536D3">
          <w:pgSz w:w="16838" w:h="11906" w:orient="landscape"/>
          <w:pgMar w:top="1440" w:right="1440" w:bottom="1440" w:left="1440" w:header="720" w:footer="720" w:gutter="0"/>
          <w:paperSrc w:first="262" w:other="262"/>
          <w:cols w:space="720"/>
          <w:docGrid w:linePitch="299"/>
        </w:sectPr>
      </w:pPr>
    </w:p>
    <w:p w14:paraId="2A92FD31" w14:textId="6400DDA9" w:rsidR="00837294" w:rsidRDefault="00837294" w:rsidP="00837294">
      <w:pPr>
        <w:pStyle w:val="Heading1"/>
      </w:pPr>
      <w:bookmarkStart w:id="269" w:name="_Toc69305583"/>
      <w:r w:rsidRPr="00E3331A">
        <w:t>Section D</w:t>
      </w:r>
      <w:r w:rsidRPr="00E3331A">
        <w:tab/>
        <w:t>Economic Evaluation</w:t>
      </w:r>
      <w:bookmarkEnd w:id="269"/>
    </w:p>
    <w:p w14:paraId="6408098E" w14:textId="77777777" w:rsidR="00837294" w:rsidRDefault="00837294" w:rsidP="00837294">
      <w:pPr>
        <w:pStyle w:val="Heading2"/>
        <w:numPr>
          <w:ilvl w:val="3"/>
          <w:numId w:val="10"/>
        </w:numPr>
        <w:jc w:val="both"/>
      </w:pPr>
      <w:bookmarkStart w:id="270" w:name="_Toc69305584"/>
      <w:r w:rsidRPr="00E3331A">
        <w:t>Overview</w:t>
      </w:r>
      <w:bookmarkEnd w:id="270"/>
    </w:p>
    <w:p w14:paraId="236374BD" w14:textId="49377BFE" w:rsidR="00837294" w:rsidRDefault="00837294" w:rsidP="00A46424">
      <w:pPr>
        <w:pStyle w:val="BodyTextSTD"/>
        <w:rPr>
          <w:noProof/>
        </w:rPr>
      </w:pPr>
      <w:r>
        <w:rPr>
          <w:noProof/>
        </w:rPr>
        <w:t>A number of the revisions that t</w:t>
      </w:r>
      <w:r w:rsidRPr="003A1934">
        <w:rPr>
          <w:noProof/>
        </w:rPr>
        <w:t xml:space="preserve">he MSAC </w:t>
      </w:r>
      <w:r>
        <w:rPr>
          <w:noProof/>
        </w:rPr>
        <w:t xml:space="preserve">requested for the economic model in the </w:t>
      </w:r>
      <w:r w:rsidRPr="003A1934">
        <w:rPr>
          <w:noProof/>
        </w:rPr>
        <w:t>original DCAR</w:t>
      </w:r>
      <w:r>
        <w:rPr>
          <w:noProof/>
        </w:rPr>
        <w:t xml:space="preserve"> 1564</w:t>
      </w:r>
      <w:r w:rsidRPr="003A1934">
        <w:rPr>
          <w:noProof/>
        </w:rPr>
        <w:t xml:space="preserve"> required </w:t>
      </w:r>
      <w:r>
        <w:rPr>
          <w:noProof/>
        </w:rPr>
        <w:t xml:space="preserve">significant change to the model structure and the approaches used to apply inputs. </w:t>
      </w:r>
      <w:r w:rsidRPr="003A1934">
        <w:rPr>
          <w:noProof/>
        </w:rPr>
        <w:t>The changes essentially require</w:t>
      </w:r>
      <w:r>
        <w:rPr>
          <w:noProof/>
        </w:rPr>
        <w:t>d</w:t>
      </w:r>
      <w:r w:rsidRPr="003A1934">
        <w:rPr>
          <w:noProof/>
        </w:rPr>
        <w:t xml:space="preserve"> the development of three </w:t>
      </w:r>
      <w:r>
        <w:rPr>
          <w:noProof/>
        </w:rPr>
        <w:t xml:space="preserve">distinct </w:t>
      </w:r>
      <w:r w:rsidRPr="003A1934">
        <w:rPr>
          <w:noProof/>
        </w:rPr>
        <w:t>models</w:t>
      </w:r>
      <w:r>
        <w:rPr>
          <w:noProof/>
        </w:rPr>
        <w:t xml:space="preserve">; one for each of the three different comparators – </w:t>
      </w:r>
      <w:r w:rsidRPr="003A1934">
        <w:rPr>
          <w:noProof/>
        </w:rPr>
        <w:t>Ig versus steroids</w:t>
      </w:r>
      <w:r>
        <w:rPr>
          <w:noProof/>
        </w:rPr>
        <w:t>; Ig versus therapeutic PE; and second line use of Ig in a steroid-resistant population versus placebo. The first two models are based on the non-inferior efficacy of Ig vs the comparators, but with further investigation of the comparative safety of each of the two therapies for each model. The third model assumes superior effectiveness and likely inferior or non-inferior safety for Ig use.</w:t>
      </w:r>
    </w:p>
    <w:p w14:paraId="39823C92" w14:textId="2509F0BB" w:rsidR="00837294" w:rsidRPr="003A1934" w:rsidRDefault="00837294" w:rsidP="00A46424">
      <w:pPr>
        <w:pStyle w:val="BodyTextSTD"/>
        <w:rPr>
          <w:noProof/>
        </w:rPr>
      </w:pPr>
      <w:r>
        <w:rPr>
          <w:noProof/>
        </w:rPr>
        <w:t xml:space="preserve">All models are structured to allow discontinuation of treatment due to remission, in addition to treatment failure. A stepped approach </w:t>
      </w:r>
      <w:r w:rsidR="00B10B67">
        <w:rPr>
          <w:noProof/>
        </w:rPr>
        <w:t>has been</w:t>
      </w:r>
      <w:r w:rsidR="004014EE">
        <w:rPr>
          <w:noProof/>
        </w:rPr>
        <w:t xml:space="preserve"> </w:t>
      </w:r>
      <w:r>
        <w:rPr>
          <w:noProof/>
        </w:rPr>
        <w:t>used to demonstrate the impacts of using the dose and time on treatment likely used in Australian clinical practice (based on BloodStar data and clinical opinion</w:t>
      </w:r>
      <w:r w:rsidR="000C7AD8">
        <w:rPr>
          <w:noProof/>
        </w:rPr>
        <w:t xml:space="preserve"> </w:t>
      </w:r>
      <w:r w:rsidR="00B727D6">
        <w:rPr>
          <w:noProof/>
        </w:rPr>
        <w:fldChar w:fldCharType="begin"/>
      </w:r>
      <w:r w:rsidR="00B727D6">
        <w:rPr>
          <w:noProof/>
        </w:rPr>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rPr>
          <w:noProof/>
        </w:rPr>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rPr>
          <w:noProof/>
        </w:rPr>
        <w:fldChar w:fldCharType="end"/>
      </w:r>
      <w:r>
        <w:rPr>
          <w:noProof/>
        </w:rPr>
        <w:t xml:space="preserve">), and important structural assumptions. Sensitivity analyses </w:t>
      </w:r>
      <w:r w:rsidR="004014EE">
        <w:rPr>
          <w:noProof/>
        </w:rPr>
        <w:t xml:space="preserve">have been </w:t>
      </w:r>
      <w:r>
        <w:rPr>
          <w:noProof/>
        </w:rPr>
        <w:t>conducted around the uncertain parameters.</w:t>
      </w:r>
    </w:p>
    <w:p w14:paraId="545A7292" w14:textId="77777777" w:rsidR="00837294" w:rsidRDefault="00837294" w:rsidP="00A46424">
      <w:pPr>
        <w:pStyle w:val="BodyTextSTD"/>
      </w:pPr>
      <w:r>
        <w:t>Ig versus steroids:</w:t>
      </w:r>
    </w:p>
    <w:p w14:paraId="2CEA3A75" w14:textId="3525F6FC" w:rsidR="00837294" w:rsidRDefault="00837294" w:rsidP="000B596E">
      <w:pPr>
        <w:numPr>
          <w:ilvl w:val="0"/>
          <w:numId w:val="25"/>
        </w:numPr>
        <w:spacing w:after="120" w:line="240" w:lineRule="auto"/>
        <w:jc w:val="both"/>
        <w:rPr>
          <w:rFonts w:cs="Calibri"/>
        </w:rPr>
      </w:pPr>
      <w:r>
        <w:rPr>
          <w:rFonts w:cs="Calibri"/>
        </w:rPr>
        <w:t xml:space="preserve">Evidence around the safety of steroid use over the modelled lifetime of the disease and the appropriate utility increments/decrements </w:t>
      </w:r>
      <w:r w:rsidR="004014EE">
        <w:rPr>
          <w:rFonts w:cs="Calibri"/>
        </w:rPr>
        <w:t>have been</w:t>
      </w:r>
      <w:r>
        <w:rPr>
          <w:rFonts w:cs="Calibri"/>
        </w:rPr>
        <w:t xml:space="preserve"> carefully incorporated.</w:t>
      </w:r>
    </w:p>
    <w:p w14:paraId="30D1782A" w14:textId="770F8418" w:rsidR="00837294" w:rsidRDefault="00837294" w:rsidP="000B596E">
      <w:pPr>
        <w:numPr>
          <w:ilvl w:val="0"/>
          <w:numId w:val="25"/>
        </w:numPr>
        <w:spacing w:after="120" w:line="240" w:lineRule="auto"/>
        <w:jc w:val="both"/>
        <w:rPr>
          <w:rFonts w:cs="Calibri"/>
        </w:rPr>
      </w:pPr>
      <w:r>
        <w:rPr>
          <w:rFonts w:cs="Calibri"/>
        </w:rPr>
        <w:t xml:space="preserve">The claim in </w:t>
      </w:r>
      <w:r w:rsidR="000C7AD8">
        <w:rPr>
          <w:rFonts w:cs="Calibri"/>
        </w:rPr>
        <w:t xml:space="preserve">the </w:t>
      </w:r>
      <w:r>
        <w:rPr>
          <w:rFonts w:cs="Calibri"/>
        </w:rPr>
        <w:t xml:space="preserve">base case is non-inferiority based on Nobile-Orazio et al (2012), but a sensitivity analysis </w:t>
      </w:r>
      <w:r w:rsidR="00B10B67">
        <w:rPr>
          <w:rFonts w:cs="Calibri"/>
        </w:rPr>
        <w:t>has been</w:t>
      </w:r>
      <w:r>
        <w:rPr>
          <w:rFonts w:cs="Calibri"/>
        </w:rPr>
        <w:t xml:space="preserve"> included to model superior efficacy of Ig as per the Reference Group clinical opinion.</w:t>
      </w:r>
    </w:p>
    <w:p w14:paraId="6EFBBF0B" w14:textId="77777777" w:rsidR="00837294" w:rsidRDefault="00837294" w:rsidP="00A46424">
      <w:pPr>
        <w:pStyle w:val="BodyTextSTD"/>
      </w:pPr>
      <w:r>
        <w:t>Ig versus PE:</w:t>
      </w:r>
    </w:p>
    <w:p w14:paraId="4ADCF664" w14:textId="587198F0" w:rsidR="00837294" w:rsidRDefault="00837294" w:rsidP="000B596E">
      <w:pPr>
        <w:numPr>
          <w:ilvl w:val="0"/>
          <w:numId w:val="26"/>
        </w:numPr>
        <w:spacing w:line="240" w:lineRule="auto"/>
        <w:jc w:val="both"/>
        <w:rPr>
          <w:rFonts w:cs="Calibri"/>
        </w:rPr>
      </w:pPr>
      <w:r>
        <w:rPr>
          <w:rFonts w:cs="Calibri"/>
        </w:rPr>
        <w:t xml:space="preserve">Insufficient evidence was found in the original DCAR to assess </w:t>
      </w:r>
      <w:r w:rsidR="00D67808">
        <w:rPr>
          <w:rFonts w:cs="Calibri"/>
        </w:rPr>
        <w:t xml:space="preserve">the </w:t>
      </w:r>
      <w:r>
        <w:rPr>
          <w:rFonts w:cs="Calibri"/>
        </w:rPr>
        <w:t xml:space="preserve">comparative safety of PE. </w:t>
      </w:r>
      <w:r w:rsidR="00D67808">
        <w:rPr>
          <w:rFonts w:cs="Calibri"/>
        </w:rPr>
        <w:t>The r</w:t>
      </w:r>
      <w:r>
        <w:rPr>
          <w:rFonts w:cs="Calibri"/>
        </w:rPr>
        <w:t xml:space="preserve">esults of </w:t>
      </w:r>
      <w:r w:rsidR="00D67808">
        <w:rPr>
          <w:rFonts w:cs="Calibri"/>
        </w:rPr>
        <w:t xml:space="preserve">an </w:t>
      </w:r>
      <w:r>
        <w:rPr>
          <w:rFonts w:cs="Calibri"/>
        </w:rPr>
        <w:t>expanded search on safety of PE (Section B.7) inform</w:t>
      </w:r>
      <w:r w:rsidR="004014EE">
        <w:rPr>
          <w:rFonts w:cs="Calibri"/>
        </w:rPr>
        <w:t>ed</w:t>
      </w:r>
      <w:r>
        <w:rPr>
          <w:rFonts w:cs="Calibri"/>
        </w:rPr>
        <w:t xml:space="preserve"> this model.</w:t>
      </w:r>
    </w:p>
    <w:p w14:paraId="19E53BAA" w14:textId="4796252C" w:rsidR="00837294" w:rsidRDefault="00D67808" w:rsidP="000B596E">
      <w:pPr>
        <w:numPr>
          <w:ilvl w:val="0"/>
          <w:numId w:val="26"/>
        </w:numPr>
        <w:spacing w:line="240" w:lineRule="auto"/>
        <w:jc w:val="both"/>
        <w:rPr>
          <w:rFonts w:cs="Calibri"/>
        </w:rPr>
      </w:pPr>
      <w:r>
        <w:rPr>
          <w:rFonts w:cs="Calibri"/>
        </w:rPr>
        <w:t>The clinical effectiveness c</w:t>
      </w:r>
      <w:r w:rsidR="00837294">
        <w:rPr>
          <w:rFonts w:cs="Calibri"/>
        </w:rPr>
        <w:t>laim is non-inferiority based on Dyck (1994).</w:t>
      </w:r>
    </w:p>
    <w:p w14:paraId="0A2E9A5D" w14:textId="77777777" w:rsidR="00837294" w:rsidRDefault="00837294" w:rsidP="00A46424">
      <w:pPr>
        <w:pStyle w:val="BodyTextSTD"/>
      </w:pPr>
      <w:r>
        <w:t>Ig versus placebo in steroid-resistant populations</w:t>
      </w:r>
    </w:p>
    <w:p w14:paraId="38E49EB4" w14:textId="3B655E5B" w:rsidR="00837294" w:rsidRDefault="00D67808" w:rsidP="000B596E">
      <w:pPr>
        <w:numPr>
          <w:ilvl w:val="0"/>
          <w:numId w:val="27"/>
        </w:numPr>
        <w:spacing w:line="240" w:lineRule="auto"/>
        <w:jc w:val="both"/>
        <w:rPr>
          <w:rFonts w:cs="Calibri"/>
        </w:rPr>
      </w:pPr>
      <w:r>
        <w:rPr>
          <w:rFonts w:cs="Calibri"/>
        </w:rPr>
        <w:t>The clinical effectiveness c</w:t>
      </w:r>
      <w:r w:rsidR="00837294">
        <w:rPr>
          <w:rFonts w:cs="Calibri"/>
        </w:rPr>
        <w:t>laim is superiority over placebo based on trial evidence in steroid-resistant trial populations</w:t>
      </w:r>
      <w:r w:rsidR="00814E89">
        <w:rPr>
          <w:rFonts w:cs="Calibri"/>
        </w:rPr>
        <w:t>.</w:t>
      </w:r>
    </w:p>
    <w:p w14:paraId="35A92CB8" w14:textId="77777777" w:rsidR="00837294" w:rsidRPr="00183E4D" w:rsidRDefault="00837294" w:rsidP="00837294">
      <w:pPr>
        <w:pStyle w:val="Heading2"/>
        <w:numPr>
          <w:ilvl w:val="3"/>
          <w:numId w:val="10"/>
        </w:numPr>
        <w:jc w:val="both"/>
      </w:pPr>
      <w:bookmarkStart w:id="271" w:name="_Toc381796477"/>
      <w:bookmarkStart w:id="272" w:name="_Toc9515610"/>
      <w:bookmarkStart w:id="273" w:name="_Toc14431160"/>
      <w:bookmarkStart w:id="274" w:name="_Toc16671557"/>
      <w:bookmarkStart w:id="275" w:name="_Toc69305585"/>
      <w:r w:rsidRPr="00183E4D">
        <w:t>Populations and settings</w:t>
      </w:r>
      <w:bookmarkEnd w:id="271"/>
      <w:bookmarkEnd w:id="272"/>
      <w:bookmarkEnd w:id="273"/>
      <w:bookmarkEnd w:id="274"/>
      <w:bookmarkEnd w:id="275"/>
    </w:p>
    <w:p w14:paraId="362553B4" w14:textId="77777777" w:rsidR="00837294" w:rsidRPr="00E3331A" w:rsidRDefault="00837294" w:rsidP="00A46424">
      <w:pPr>
        <w:pStyle w:val="BodyTextSTD"/>
      </w:pPr>
      <w:r>
        <w:t>T</w:t>
      </w:r>
      <w:r w:rsidRPr="00E3331A">
        <w:t>he use of IVIg</w:t>
      </w:r>
      <w:r>
        <w:t xml:space="preserve"> and SCIg</w:t>
      </w:r>
      <w:r w:rsidRPr="00E3331A">
        <w:t xml:space="preserve"> </w:t>
      </w:r>
      <w:r>
        <w:t>is</w:t>
      </w:r>
      <w:r w:rsidRPr="00E3331A">
        <w:t xml:space="preserve"> funded in Australia by the NBA for </w:t>
      </w:r>
      <w:r>
        <w:t xml:space="preserve">patients with </w:t>
      </w:r>
      <w:r w:rsidRPr="00E3331A">
        <w:t xml:space="preserve">CIDP </w:t>
      </w:r>
      <w:r>
        <w:t>who qualify according to the</w:t>
      </w:r>
      <w:r w:rsidRPr="00E3331A">
        <w:t xml:space="preserve"> Version 3 of ‘</w:t>
      </w:r>
      <w:r w:rsidRPr="00E3331A">
        <w:rPr>
          <w:i/>
        </w:rPr>
        <w:t>the Criteria</w:t>
      </w:r>
      <w:r>
        <w:rPr>
          <w:i/>
        </w:rPr>
        <w:t xml:space="preserve"> for the clinical use of immunoglobulin in Australia’</w:t>
      </w:r>
      <w:r w:rsidRPr="00E3331A">
        <w:t>.</w:t>
      </w:r>
      <w:r>
        <w:t xml:space="preserve"> </w:t>
      </w:r>
    </w:p>
    <w:p w14:paraId="5108F775" w14:textId="447BB28A" w:rsidR="00837294" w:rsidRDefault="00814E89" w:rsidP="00A46424">
      <w:pPr>
        <w:pStyle w:val="BodyTextSTD"/>
      </w:pPr>
      <w:r>
        <w:t>IVIg</w:t>
      </w:r>
      <w:r w:rsidR="00837294">
        <w:t xml:space="preserve"> can be delivered in different settings depending on various factors. In Australia, it can be delivered in one of the following settings:</w:t>
      </w:r>
    </w:p>
    <w:p w14:paraId="600A1FE4" w14:textId="77777777" w:rsidR="00837294" w:rsidRDefault="00837294" w:rsidP="000B596E">
      <w:pPr>
        <w:pStyle w:val="ListParagraph"/>
        <w:numPr>
          <w:ilvl w:val="0"/>
          <w:numId w:val="27"/>
        </w:numPr>
        <w:jc w:val="both"/>
      </w:pPr>
      <w:r>
        <w:t>Inpatient private hospital</w:t>
      </w:r>
    </w:p>
    <w:p w14:paraId="7F76463D" w14:textId="77777777" w:rsidR="00837294" w:rsidRDefault="00837294" w:rsidP="000B596E">
      <w:pPr>
        <w:pStyle w:val="ListParagraph"/>
        <w:numPr>
          <w:ilvl w:val="0"/>
          <w:numId w:val="27"/>
        </w:numPr>
        <w:jc w:val="both"/>
      </w:pPr>
      <w:r>
        <w:t>Inpatient public hospital (as private or public patient)</w:t>
      </w:r>
    </w:p>
    <w:p w14:paraId="77719F3F" w14:textId="77777777" w:rsidR="00837294" w:rsidRDefault="00837294" w:rsidP="000B596E">
      <w:pPr>
        <w:pStyle w:val="ListParagraph"/>
        <w:numPr>
          <w:ilvl w:val="0"/>
          <w:numId w:val="27"/>
        </w:numPr>
        <w:jc w:val="both"/>
      </w:pPr>
      <w:r>
        <w:t>Outpatient clinic</w:t>
      </w:r>
    </w:p>
    <w:p w14:paraId="5CF73549" w14:textId="77777777" w:rsidR="00837294" w:rsidRDefault="00837294" w:rsidP="000B596E">
      <w:pPr>
        <w:pStyle w:val="ListParagraph"/>
        <w:numPr>
          <w:ilvl w:val="0"/>
          <w:numId w:val="27"/>
        </w:numPr>
        <w:jc w:val="both"/>
      </w:pPr>
      <w:r>
        <w:t>Patient’s home</w:t>
      </w:r>
    </w:p>
    <w:p w14:paraId="12C42609" w14:textId="77777777" w:rsidR="00837294" w:rsidRDefault="00837294" w:rsidP="000B596E">
      <w:pPr>
        <w:pStyle w:val="ListParagraph"/>
        <w:numPr>
          <w:ilvl w:val="0"/>
          <w:numId w:val="27"/>
        </w:numPr>
        <w:jc w:val="both"/>
      </w:pPr>
      <w:r>
        <w:t>Private same day infusion facility unattached to a hospital.</w:t>
      </w:r>
    </w:p>
    <w:p w14:paraId="09F3EC0F" w14:textId="65B6283D" w:rsidR="00837294" w:rsidRDefault="00837294" w:rsidP="00A46424">
      <w:pPr>
        <w:pStyle w:val="BodyTextSTD"/>
      </w:pPr>
      <w:r w:rsidRPr="00FE4E44">
        <w:t xml:space="preserve">Clinical advisers on the </w:t>
      </w:r>
      <w:r w:rsidR="00F915D2">
        <w:t xml:space="preserve">Ig </w:t>
      </w:r>
      <w:r w:rsidRPr="00FE4E44">
        <w:t xml:space="preserve">Review </w:t>
      </w:r>
      <w:r w:rsidR="00F915D2">
        <w:t xml:space="preserve">Reference </w:t>
      </w:r>
      <w:r w:rsidRPr="00FE4E44">
        <w:t>Group</w:t>
      </w:r>
      <w:r>
        <w:rPr>
          <w:rStyle w:val="FootnoteReference"/>
        </w:rPr>
        <w:footnoteReference w:id="8"/>
      </w:r>
      <w:r w:rsidRPr="00FE4E44">
        <w:t xml:space="preserve"> </w:t>
      </w:r>
      <w:r>
        <w:t>indicated</w:t>
      </w:r>
      <w:r w:rsidRPr="00FE4E44">
        <w:t xml:space="preserve"> that IVIg is infused predominantly in</w:t>
      </w:r>
      <w:r>
        <w:t xml:space="preserve"> the public outpatient setting as a day procedure. </w:t>
      </w:r>
      <w:r w:rsidRPr="00870CB7">
        <w:t>The timeframe taken to administer intravenous Ig varies between patients and depends on dose required; weight of the patient; specifications of product information and administering centre protocol on infusion rate; and patient’s response during infusion.</w:t>
      </w:r>
      <w:r>
        <w:t xml:space="preserve"> Patients requiring smaller doses are likely to attend the hospital/clinic for a day procedure. Patients requiring larger doses may require a number of infusions and patients may (or may not) be required to attend a ‘day procedure’ on a number of days (usually consecutive) each month. However, some patients (approximately 5% as advised in PICO for DCAR 1564) may require admission to hospital due to comorbidities, advanced age, doses required over multiple days and patient preference. The required dose of intravenous Ig must be established by the treating doctor (neurologist) while its administration can be also undertaken by a doctor or by nursing staff.</w:t>
      </w:r>
    </w:p>
    <w:p w14:paraId="6DB3A52F" w14:textId="77777777" w:rsidR="00837294" w:rsidRDefault="00837294" w:rsidP="00837294">
      <w:pPr>
        <w:pStyle w:val="Heading2"/>
        <w:numPr>
          <w:ilvl w:val="3"/>
          <w:numId w:val="10"/>
        </w:numPr>
        <w:jc w:val="both"/>
      </w:pPr>
      <w:bookmarkStart w:id="276" w:name="_Toc381796478"/>
      <w:bookmarkStart w:id="277" w:name="_Toc9515611"/>
      <w:bookmarkStart w:id="278" w:name="_Toc14431161"/>
      <w:bookmarkStart w:id="279" w:name="_Toc16671558"/>
      <w:bookmarkStart w:id="280" w:name="_Toc69305586"/>
      <w:r w:rsidRPr="00183E4D">
        <w:t>Structure and rationale of the economic evaluation</w:t>
      </w:r>
      <w:bookmarkEnd w:id="276"/>
      <w:bookmarkEnd w:id="277"/>
      <w:bookmarkEnd w:id="278"/>
      <w:bookmarkEnd w:id="279"/>
      <w:bookmarkEnd w:id="280"/>
    </w:p>
    <w:p w14:paraId="1FD4DC96" w14:textId="7A10811B" w:rsidR="00837294" w:rsidRPr="004D32EA" w:rsidRDefault="00837294" w:rsidP="00A46424">
      <w:pPr>
        <w:pStyle w:val="BodyTextSTD"/>
      </w:pPr>
      <w:r w:rsidRPr="004D32EA">
        <w:t xml:space="preserve">A summary of the key characteristics of the economic evaluation is given in </w:t>
      </w:r>
      <w:r w:rsidRPr="004D32EA">
        <w:fldChar w:fldCharType="begin"/>
      </w:r>
      <w:r w:rsidRPr="004D32EA">
        <w:instrText xml:space="preserve"> REF _Ref395196756 \h  \* MERGEFORMAT </w:instrText>
      </w:r>
      <w:r w:rsidRPr="004D32EA">
        <w:fldChar w:fldCharType="separate"/>
      </w:r>
      <w:r w:rsidR="004B3EA2" w:rsidRPr="004D32EA">
        <w:t xml:space="preserve">Table </w:t>
      </w:r>
      <w:r w:rsidR="004B3EA2">
        <w:rPr>
          <w:noProof/>
        </w:rPr>
        <w:t>36</w:t>
      </w:r>
      <w:r w:rsidRPr="004D32EA">
        <w:fldChar w:fldCharType="end"/>
      </w:r>
      <w:r w:rsidRPr="004D32EA">
        <w:t>.</w:t>
      </w:r>
    </w:p>
    <w:p w14:paraId="441F182B" w14:textId="7C68A635" w:rsidR="00837294" w:rsidRDefault="00837294" w:rsidP="00837294">
      <w:pPr>
        <w:pStyle w:val="Caption"/>
        <w:tabs>
          <w:tab w:val="left" w:pos="1134"/>
        </w:tabs>
        <w:ind w:left="1134" w:hanging="1134"/>
      </w:pPr>
      <w:bookmarkStart w:id="281" w:name="_Ref395196756"/>
      <w:bookmarkStart w:id="282" w:name="_Toc444869034"/>
      <w:bookmarkStart w:id="283" w:name="_Toc14348871"/>
      <w:bookmarkStart w:id="284" w:name="_Toc14429577"/>
      <w:bookmarkStart w:id="285" w:name="_Toc16671634"/>
      <w:bookmarkStart w:id="286" w:name="_Toc69305677"/>
      <w:r w:rsidRPr="004D32EA">
        <w:t xml:space="preserve">Table </w:t>
      </w:r>
      <w:r>
        <w:rPr>
          <w:noProof/>
        </w:rPr>
        <w:fldChar w:fldCharType="begin"/>
      </w:r>
      <w:r>
        <w:rPr>
          <w:noProof/>
        </w:rPr>
        <w:instrText xml:space="preserve"> SEQ Table \* ARABIC </w:instrText>
      </w:r>
      <w:r>
        <w:rPr>
          <w:noProof/>
        </w:rPr>
        <w:fldChar w:fldCharType="separate"/>
      </w:r>
      <w:r w:rsidR="004B3EA2">
        <w:rPr>
          <w:noProof/>
        </w:rPr>
        <w:t>36</w:t>
      </w:r>
      <w:r>
        <w:rPr>
          <w:noProof/>
        </w:rPr>
        <w:fldChar w:fldCharType="end"/>
      </w:r>
      <w:bookmarkEnd w:id="281"/>
      <w:r w:rsidRPr="004D32EA">
        <w:tab/>
        <w:t>Summary of the economic evaluation</w:t>
      </w:r>
      <w:bookmarkEnd w:id="282"/>
      <w:bookmarkEnd w:id="283"/>
      <w:bookmarkEnd w:id="284"/>
      <w:bookmarkEnd w:id="285"/>
      <w:bookmarkEnd w:id="286"/>
      <w:r w:rsidRPr="00183E4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the economic evaluation "/>
        <w:tblDescription w:val="This table describes the key constructs of the economic evaluation that is provided in the assessment report."/>
      </w:tblPr>
      <w:tblGrid>
        <w:gridCol w:w="3107"/>
        <w:gridCol w:w="5909"/>
      </w:tblGrid>
      <w:tr w:rsidR="00837294" w:rsidRPr="00183E4D" w14:paraId="2F52F8A7" w14:textId="77777777" w:rsidTr="00857754">
        <w:trPr>
          <w:cantSplit/>
          <w:trHeight w:val="20"/>
          <w:tblHeader/>
        </w:trPr>
        <w:tc>
          <w:tcPr>
            <w:tcW w:w="1723" w:type="pct"/>
            <w:tcBorders>
              <w:top w:val="single" w:sz="4" w:space="0" w:color="auto"/>
              <w:left w:val="single" w:sz="4" w:space="0" w:color="auto"/>
              <w:bottom w:val="single" w:sz="4" w:space="0" w:color="auto"/>
              <w:right w:val="single" w:sz="4" w:space="0" w:color="auto"/>
            </w:tcBorders>
          </w:tcPr>
          <w:p w14:paraId="77EF13DE" w14:textId="77777777" w:rsidR="00837294" w:rsidRPr="00183E4D" w:rsidRDefault="00837294" w:rsidP="00857754">
            <w:pPr>
              <w:pStyle w:val="Tabletext1"/>
              <w:keepNext/>
              <w:rPr>
                <w:b/>
              </w:rPr>
            </w:pPr>
            <w:r w:rsidRPr="00183E4D">
              <w:rPr>
                <w:b/>
              </w:rPr>
              <w:t>Perspective</w:t>
            </w:r>
          </w:p>
        </w:tc>
        <w:tc>
          <w:tcPr>
            <w:tcW w:w="3277" w:type="pct"/>
            <w:tcBorders>
              <w:top w:val="single" w:sz="4" w:space="0" w:color="auto"/>
              <w:left w:val="single" w:sz="4" w:space="0" w:color="auto"/>
              <w:bottom w:val="single" w:sz="4" w:space="0" w:color="auto"/>
              <w:right w:val="single" w:sz="4" w:space="0" w:color="auto"/>
            </w:tcBorders>
          </w:tcPr>
          <w:p w14:paraId="29DA1B38" w14:textId="77777777" w:rsidR="00837294" w:rsidRPr="00E9672D" w:rsidRDefault="00837294" w:rsidP="00857754">
            <w:pPr>
              <w:pStyle w:val="Tabletext1"/>
            </w:pPr>
            <w:r w:rsidRPr="00C74C59">
              <w:t>Australian healthcare</w:t>
            </w:r>
            <w:r>
              <w:t xml:space="preserve"> system</w:t>
            </w:r>
          </w:p>
        </w:tc>
      </w:tr>
      <w:tr w:rsidR="00837294" w:rsidRPr="00183E4D" w14:paraId="126C1128" w14:textId="77777777" w:rsidTr="00857754">
        <w:trPr>
          <w:trHeight w:val="20"/>
        </w:trPr>
        <w:tc>
          <w:tcPr>
            <w:tcW w:w="1723" w:type="pct"/>
            <w:tcBorders>
              <w:top w:val="single" w:sz="4" w:space="0" w:color="auto"/>
              <w:left w:val="single" w:sz="4" w:space="0" w:color="auto"/>
              <w:bottom w:val="single" w:sz="4" w:space="0" w:color="auto"/>
              <w:right w:val="single" w:sz="4" w:space="0" w:color="auto"/>
            </w:tcBorders>
          </w:tcPr>
          <w:p w14:paraId="1D19F92F" w14:textId="77777777" w:rsidR="00837294" w:rsidRPr="00183E4D" w:rsidRDefault="00837294" w:rsidP="00857754">
            <w:pPr>
              <w:pStyle w:val="Tabletext1"/>
              <w:keepNext/>
              <w:rPr>
                <w:b/>
              </w:rPr>
            </w:pPr>
            <w:r w:rsidRPr="00183E4D">
              <w:rPr>
                <w:b/>
              </w:rPr>
              <w:t>Comparator</w:t>
            </w:r>
            <w:r>
              <w:rPr>
                <w:b/>
              </w:rPr>
              <w:t>(s)</w:t>
            </w:r>
          </w:p>
        </w:tc>
        <w:tc>
          <w:tcPr>
            <w:tcW w:w="3277" w:type="pct"/>
            <w:tcBorders>
              <w:top w:val="single" w:sz="4" w:space="0" w:color="auto"/>
              <w:left w:val="single" w:sz="4" w:space="0" w:color="auto"/>
              <w:bottom w:val="single" w:sz="4" w:space="0" w:color="auto"/>
              <w:right w:val="single" w:sz="4" w:space="0" w:color="auto"/>
            </w:tcBorders>
          </w:tcPr>
          <w:p w14:paraId="087943BD" w14:textId="77777777" w:rsidR="00837294" w:rsidRDefault="00837294" w:rsidP="00CB0960">
            <w:pPr>
              <w:pStyle w:val="Tabletext1"/>
              <w:numPr>
                <w:ilvl w:val="0"/>
                <w:numId w:val="45"/>
              </w:numPr>
              <w:jc w:val="both"/>
            </w:pPr>
            <w:r>
              <w:t>Steroids</w:t>
            </w:r>
          </w:p>
          <w:p w14:paraId="2F285DF6" w14:textId="77777777" w:rsidR="00837294" w:rsidRDefault="00837294" w:rsidP="00CB0960">
            <w:pPr>
              <w:pStyle w:val="Tabletext1"/>
              <w:numPr>
                <w:ilvl w:val="0"/>
                <w:numId w:val="45"/>
              </w:numPr>
              <w:jc w:val="both"/>
            </w:pPr>
            <w:r>
              <w:t>Therapeutic plasma exchange</w:t>
            </w:r>
          </w:p>
          <w:p w14:paraId="3AA977F7" w14:textId="77777777" w:rsidR="00837294" w:rsidRPr="00E9672D" w:rsidRDefault="00837294" w:rsidP="00CB0960">
            <w:pPr>
              <w:pStyle w:val="Tabletext1"/>
              <w:numPr>
                <w:ilvl w:val="0"/>
                <w:numId w:val="45"/>
              </w:numPr>
              <w:jc w:val="both"/>
            </w:pPr>
            <w:r>
              <w:t>Placebo (in steroids resistant subgroup)</w:t>
            </w:r>
          </w:p>
        </w:tc>
      </w:tr>
      <w:tr w:rsidR="00837294" w:rsidRPr="00183E4D" w14:paraId="774EC260" w14:textId="77777777" w:rsidTr="00857754">
        <w:trPr>
          <w:trHeight w:val="20"/>
        </w:trPr>
        <w:tc>
          <w:tcPr>
            <w:tcW w:w="1723" w:type="pct"/>
            <w:tcBorders>
              <w:top w:val="single" w:sz="4" w:space="0" w:color="auto"/>
              <w:left w:val="single" w:sz="4" w:space="0" w:color="auto"/>
              <w:bottom w:val="single" w:sz="4" w:space="0" w:color="auto"/>
              <w:right w:val="single" w:sz="4" w:space="0" w:color="auto"/>
            </w:tcBorders>
          </w:tcPr>
          <w:p w14:paraId="56DAD783" w14:textId="77777777" w:rsidR="00837294" w:rsidRPr="00183E4D" w:rsidRDefault="00837294" w:rsidP="00857754">
            <w:pPr>
              <w:pStyle w:val="Tabletext1"/>
              <w:keepNext/>
              <w:rPr>
                <w:b/>
              </w:rPr>
            </w:pPr>
            <w:r w:rsidRPr="00183E4D">
              <w:rPr>
                <w:b/>
              </w:rPr>
              <w:t>Type of economic evaluation</w:t>
            </w:r>
          </w:p>
        </w:tc>
        <w:tc>
          <w:tcPr>
            <w:tcW w:w="3277" w:type="pct"/>
            <w:tcBorders>
              <w:top w:val="single" w:sz="4" w:space="0" w:color="auto"/>
              <w:left w:val="single" w:sz="4" w:space="0" w:color="auto"/>
              <w:bottom w:val="single" w:sz="4" w:space="0" w:color="auto"/>
              <w:right w:val="single" w:sz="4" w:space="0" w:color="auto"/>
            </w:tcBorders>
          </w:tcPr>
          <w:p w14:paraId="248AAE55" w14:textId="77777777" w:rsidR="00837294" w:rsidRPr="00E9672D" w:rsidRDefault="00837294" w:rsidP="00857754">
            <w:pPr>
              <w:pStyle w:val="Tabletext1"/>
            </w:pPr>
            <w:r>
              <w:t>Stepped c</w:t>
            </w:r>
            <w:r w:rsidRPr="00C74C59">
              <w:t>ost-utility</w:t>
            </w:r>
            <w:r>
              <w:t xml:space="preserve"> analysis</w:t>
            </w:r>
          </w:p>
        </w:tc>
      </w:tr>
      <w:tr w:rsidR="00837294" w:rsidRPr="00183E4D" w14:paraId="4F2BBF36" w14:textId="77777777" w:rsidTr="00857754">
        <w:trPr>
          <w:trHeight w:val="20"/>
        </w:trPr>
        <w:tc>
          <w:tcPr>
            <w:tcW w:w="1723" w:type="pct"/>
            <w:tcBorders>
              <w:top w:val="single" w:sz="4" w:space="0" w:color="auto"/>
              <w:left w:val="single" w:sz="4" w:space="0" w:color="auto"/>
              <w:bottom w:val="single" w:sz="4" w:space="0" w:color="auto"/>
              <w:right w:val="single" w:sz="4" w:space="0" w:color="auto"/>
            </w:tcBorders>
          </w:tcPr>
          <w:p w14:paraId="2383D25D" w14:textId="77777777" w:rsidR="00837294" w:rsidRPr="00183E4D" w:rsidRDefault="00837294" w:rsidP="00857754">
            <w:pPr>
              <w:pStyle w:val="Tabletext1"/>
              <w:keepNext/>
              <w:rPr>
                <w:b/>
              </w:rPr>
            </w:pPr>
            <w:r w:rsidRPr="00183E4D">
              <w:rPr>
                <w:b/>
              </w:rPr>
              <w:t>Sources of evidence</w:t>
            </w:r>
          </w:p>
        </w:tc>
        <w:tc>
          <w:tcPr>
            <w:tcW w:w="3277" w:type="pct"/>
            <w:tcBorders>
              <w:top w:val="single" w:sz="4" w:space="0" w:color="auto"/>
              <w:left w:val="single" w:sz="4" w:space="0" w:color="auto"/>
              <w:bottom w:val="single" w:sz="4" w:space="0" w:color="auto"/>
              <w:right w:val="single" w:sz="4" w:space="0" w:color="auto"/>
            </w:tcBorders>
          </w:tcPr>
          <w:p w14:paraId="132A0C6F" w14:textId="77777777" w:rsidR="00837294" w:rsidRPr="00E9672D" w:rsidRDefault="00837294" w:rsidP="00857754">
            <w:pPr>
              <w:pStyle w:val="Tabletext1"/>
            </w:pPr>
            <w:r w:rsidRPr="00C74C59">
              <w:t>Systematic review</w:t>
            </w:r>
            <w:r>
              <w:t xml:space="preserve">, </w:t>
            </w:r>
            <w:r w:rsidRPr="00DA3C6E">
              <w:t>expert opini</w:t>
            </w:r>
            <w:r>
              <w:t>on (Ig review reference group) and data provided by NBA and Department of Health</w:t>
            </w:r>
          </w:p>
        </w:tc>
      </w:tr>
      <w:tr w:rsidR="00837294" w:rsidRPr="00183E4D" w14:paraId="7B42F0E5" w14:textId="77777777" w:rsidTr="00857754">
        <w:trPr>
          <w:trHeight w:val="20"/>
        </w:trPr>
        <w:tc>
          <w:tcPr>
            <w:tcW w:w="1723" w:type="pct"/>
            <w:tcBorders>
              <w:top w:val="single" w:sz="4" w:space="0" w:color="auto"/>
              <w:left w:val="single" w:sz="4" w:space="0" w:color="auto"/>
              <w:bottom w:val="single" w:sz="4" w:space="0" w:color="auto"/>
              <w:right w:val="single" w:sz="4" w:space="0" w:color="auto"/>
            </w:tcBorders>
            <w:hideMark/>
          </w:tcPr>
          <w:p w14:paraId="5C535FFE" w14:textId="77777777" w:rsidR="00837294" w:rsidRPr="00183E4D" w:rsidRDefault="00837294" w:rsidP="00857754">
            <w:pPr>
              <w:pStyle w:val="Tabletext1"/>
              <w:keepNext/>
              <w:rPr>
                <w:b/>
              </w:rPr>
            </w:pPr>
            <w:r w:rsidRPr="00183E4D">
              <w:rPr>
                <w:b/>
              </w:rPr>
              <w:t>Time horizon</w:t>
            </w:r>
          </w:p>
        </w:tc>
        <w:tc>
          <w:tcPr>
            <w:tcW w:w="3277" w:type="pct"/>
            <w:tcBorders>
              <w:top w:val="single" w:sz="4" w:space="0" w:color="auto"/>
              <w:left w:val="single" w:sz="4" w:space="0" w:color="auto"/>
              <w:bottom w:val="single" w:sz="4" w:space="0" w:color="auto"/>
              <w:right w:val="single" w:sz="4" w:space="0" w:color="auto"/>
            </w:tcBorders>
            <w:hideMark/>
          </w:tcPr>
          <w:p w14:paraId="05968A43" w14:textId="1C7F3F23" w:rsidR="00837294" w:rsidRPr="00914144" w:rsidRDefault="00171CCE" w:rsidP="00171CCE">
            <w:pPr>
              <w:pStyle w:val="Tabletext1"/>
            </w:pPr>
            <w:r>
              <w:t>10 years</w:t>
            </w:r>
          </w:p>
        </w:tc>
      </w:tr>
      <w:tr w:rsidR="00837294" w:rsidRPr="00183E4D" w14:paraId="329710A8" w14:textId="77777777" w:rsidTr="00857754">
        <w:trPr>
          <w:trHeight w:val="20"/>
        </w:trPr>
        <w:tc>
          <w:tcPr>
            <w:tcW w:w="1723" w:type="pct"/>
            <w:tcBorders>
              <w:top w:val="single" w:sz="4" w:space="0" w:color="auto"/>
              <w:left w:val="single" w:sz="4" w:space="0" w:color="auto"/>
              <w:bottom w:val="single" w:sz="4" w:space="0" w:color="auto"/>
              <w:right w:val="single" w:sz="4" w:space="0" w:color="auto"/>
            </w:tcBorders>
            <w:hideMark/>
          </w:tcPr>
          <w:p w14:paraId="5220891C" w14:textId="77777777" w:rsidR="00837294" w:rsidRPr="00183E4D" w:rsidRDefault="00837294" w:rsidP="00857754">
            <w:pPr>
              <w:pStyle w:val="Tabletext1"/>
              <w:keepNext/>
              <w:rPr>
                <w:b/>
              </w:rPr>
            </w:pPr>
            <w:r w:rsidRPr="00183E4D">
              <w:rPr>
                <w:b/>
              </w:rPr>
              <w:t>Outcomes</w:t>
            </w:r>
          </w:p>
        </w:tc>
        <w:tc>
          <w:tcPr>
            <w:tcW w:w="3277" w:type="pct"/>
            <w:tcBorders>
              <w:top w:val="single" w:sz="4" w:space="0" w:color="auto"/>
              <w:left w:val="single" w:sz="4" w:space="0" w:color="auto"/>
              <w:bottom w:val="single" w:sz="4" w:space="0" w:color="auto"/>
              <w:right w:val="single" w:sz="4" w:space="0" w:color="auto"/>
            </w:tcBorders>
          </w:tcPr>
          <w:p w14:paraId="4538E431" w14:textId="77777777" w:rsidR="00837294" w:rsidRPr="00E9672D" w:rsidRDefault="00837294" w:rsidP="00857754">
            <w:pPr>
              <w:pStyle w:val="Tabletext1"/>
            </w:pPr>
            <w:r>
              <w:t>Cost per QALYs gained</w:t>
            </w:r>
          </w:p>
        </w:tc>
      </w:tr>
      <w:tr w:rsidR="00837294" w:rsidRPr="00183E4D" w14:paraId="0A86859D" w14:textId="77777777" w:rsidTr="00857754">
        <w:trPr>
          <w:trHeight w:val="20"/>
        </w:trPr>
        <w:tc>
          <w:tcPr>
            <w:tcW w:w="1723" w:type="pct"/>
            <w:tcBorders>
              <w:top w:val="single" w:sz="4" w:space="0" w:color="auto"/>
              <w:left w:val="single" w:sz="4" w:space="0" w:color="auto"/>
              <w:bottom w:val="single" w:sz="4" w:space="0" w:color="auto"/>
              <w:right w:val="single" w:sz="4" w:space="0" w:color="auto"/>
            </w:tcBorders>
            <w:hideMark/>
          </w:tcPr>
          <w:p w14:paraId="6866C33D" w14:textId="77777777" w:rsidR="00837294" w:rsidRPr="00183E4D" w:rsidRDefault="00837294" w:rsidP="00857754">
            <w:pPr>
              <w:pStyle w:val="Tabletext1"/>
              <w:keepNext/>
              <w:rPr>
                <w:b/>
              </w:rPr>
            </w:pPr>
            <w:r w:rsidRPr="00183E4D">
              <w:rPr>
                <w:b/>
              </w:rPr>
              <w:t>Methods used to generate results</w:t>
            </w:r>
          </w:p>
        </w:tc>
        <w:tc>
          <w:tcPr>
            <w:tcW w:w="3277" w:type="pct"/>
            <w:tcBorders>
              <w:top w:val="single" w:sz="4" w:space="0" w:color="auto"/>
              <w:left w:val="single" w:sz="4" w:space="0" w:color="auto"/>
              <w:bottom w:val="single" w:sz="4" w:space="0" w:color="auto"/>
              <w:right w:val="single" w:sz="4" w:space="0" w:color="auto"/>
            </w:tcBorders>
          </w:tcPr>
          <w:p w14:paraId="495CDC91" w14:textId="77777777" w:rsidR="00837294" w:rsidRPr="00E9672D" w:rsidRDefault="00837294" w:rsidP="00857754">
            <w:pPr>
              <w:pStyle w:val="Tabletext1"/>
            </w:pPr>
            <w:r>
              <w:t xml:space="preserve">Decision analytic </w:t>
            </w:r>
            <w:r w:rsidRPr="00C74C59">
              <w:t>Markov model</w:t>
            </w:r>
          </w:p>
        </w:tc>
      </w:tr>
      <w:tr w:rsidR="00837294" w:rsidRPr="00183E4D" w14:paraId="0ECB6315" w14:textId="77777777" w:rsidTr="00857754">
        <w:trPr>
          <w:trHeight w:val="20"/>
        </w:trPr>
        <w:tc>
          <w:tcPr>
            <w:tcW w:w="1723" w:type="pct"/>
            <w:tcBorders>
              <w:top w:val="single" w:sz="4" w:space="0" w:color="auto"/>
              <w:left w:val="single" w:sz="4" w:space="0" w:color="auto"/>
              <w:bottom w:val="single" w:sz="4" w:space="0" w:color="auto"/>
              <w:right w:val="single" w:sz="4" w:space="0" w:color="auto"/>
            </w:tcBorders>
          </w:tcPr>
          <w:p w14:paraId="65C090D4" w14:textId="77777777" w:rsidR="00837294" w:rsidRPr="00183E4D" w:rsidRDefault="00837294" w:rsidP="00857754">
            <w:pPr>
              <w:pStyle w:val="Tabletext1"/>
              <w:keepNext/>
              <w:rPr>
                <w:b/>
              </w:rPr>
            </w:pPr>
            <w:r>
              <w:rPr>
                <w:b/>
              </w:rPr>
              <w:t>Health states</w:t>
            </w:r>
          </w:p>
        </w:tc>
        <w:tc>
          <w:tcPr>
            <w:tcW w:w="3277" w:type="pct"/>
            <w:tcBorders>
              <w:top w:val="single" w:sz="4" w:space="0" w:color="auto"/>
              <w:left w:val="single" w:sz="4" w:space="0" w:color="auto"/>
              <w:bottom w:val="single" w:sz="4" w:space="0" w:color="auto"/>
              <w:right w:val="single" w:sz="4" w:space="0" w:color="auto"/>
            </w:tcBorders>
          </w:tcPr>
          <w:p w14:paraId="27810915" w14:textId="15A063B4" w:rsidR="00837294" w:rsidRDefault="00DC659B" w:rsidP="00171CCE">
            <w:pPr>
              <w:pStyle w:val="Tabletext1"/>
              <w:numPr>
                <w:ilvl w:val="0"/>
                <w:numId w:val="49"/>
              </w:numPr>
            </w:pPr>
            <w:r>
              <w:t>Active disease: t</w:t>
            </w:r>
            <w:r w:rsidR="00837294">
              <w:t>reatment induction or a relapse</w:t>
            </w:r>
            <w:r w:rsidR="00837294" w:rsidRPr="002502A1">
              <w:t xml:space="preserve"> after more than 6 months</w:t>
            </w:r>
            <w:r w:rsidR="00837294">
              <w:t xml:space="preserve"> off treatment</w:t>
            </w:r>
          </w:p>
          <w:p w14:paraId="1C462BF8" w14:textId="451DB5ED" w:rsidR="00837294" w:rsidRPr="002832C1" w:rsidRDefault="00DC659B" w:rsidP="00171CCE">
            <w:pPr>
              <w:pStyle w:val="Tabletext1"/>
              <w:numPr>
                <w:ilvl w:val="0"/>
                <w:numId w:val="49"/>
              </w:numPr>
            </w:pPr>
            <w:r>
              <w:t>Active but stable disease: m</w:t>
            </w:r>
            <w:r w:rsidR="00837294" w:rsidRPr="002832C1">
              <w:t>aintenance phase (on treatment more than 4 months)</w:t>
            </w:r>
          </w:p>
          <w:p w14:paraId="4B118B8E" w14:textId="1FD90E28" w:rsidR="00837294" w:rsidRDefault="00DC659B" w:rsidP="00171CCE">
            <w:pPr>
              <w:pStyle w:val="Tabletext1"/>
              <w:numPr>
                <w:ilvl w:val="0"/>
                <w:numId w:val="49"/>
              </w:numPr>
            </w:pPr>
            <w:r>
              <w:t>No active disease: i</w:t>
            </w:r>
            <w:r w:rsidR="00837294" w:rsidRPr="002502A1">
              <w:t>n remission (</w:t>
            </w:r>
            <w:r w:rsidR="00837294">
              <w:t xml:space="preserve">off </w:t>
            </w:r>
            <w:r w:rsidR="00837294" w:rsidRPr="002502A1">
              <w:t>treatment)</w:t>
            </w:r>
          </w:p>
          <w:p w14:paraId="7B23A4D8" w14:textId="054CADFC" w:rsidR="00837294" w:rsidRDefault="00DC659B" w:rsidP="00171CCE">
            <w:pPr>
              <w:pStyle w:val="Tabletext1"/>
              <w:numPr>
                <w:ilvl w:val="0"/>
                <w:numId w:val="49"/>
              </w:numPr>
            </w:pPr>
            <w:r>
              <w:t>Treatment resistant/intolerant disease: b</w:t>
            </w:r>
            <w:r w:rsidR="00837294">
              <w:t>est supportive care</w:t>
            </w:r>
            <w:r w:rsidR="00837294" w:rsidRPr="002502A1">
              <w:t xml:space="preserve"> </w:t>
            </w:r>
          </w:p>
          <w:p w14:paraId="2177DFA4" w14:textId="77777777" w:rsidR="00837294" w:rsidRPr="00E9672D" w:rsidRDefault="00837294" w:rsidP="00171CCE">
            <w:pPr>
              <w:pStyle w:val="Tabletext1"/>
              <w:numPr>
                <w:ilvl w:val="0"/>
                <w:numId w:val="49"/>
              </w:numPr>
            </w:pPr>
            <w:r>
              <w:t>Dead</w:t>
            </w:r>
          </w:p>
        </w:tc>
      </w:tr>
      <w:tr w:rsidR="00837294" w:rsidRPr="00183E4D" w14:paraId="711B4198" w14:textId="77777777" w:rsidTr="00857754">
        <w:trPr>
          <w:trHeight w:val="20"/>
        </w:trPr>
        <w:tc>
          <w:tcPr>
            <w:tcW w:w="1723" w:type="pct"/>
            <w:tcBorders>
              <w:top w:val="single" w:sz="4" w:space="0" w:color="auto"/>
              <w:left w:val="single" w:sz="4" w:space="0" w:color="auto"/>
              <w:bottom w:val="single" w:sz="4" w:space="0" w:color="auto"/>
              <w:right w:val="single" w:sz="4" w:space="0" w:color="auto"/>
            </w:tcBorders>
            <w:hideMark/>
          </w:tcPr>
          <w:p w14:paraId="2BA4E191" w14:textId="77777777" w:rsidR="00837294" w:rsidRPr="00183E4D" w:rsidRDefault="00837294" w:rsidP="00857754">
            <w:pPr>
              <w:pStyle w:val="Tabletext1"/>
              <w:keepNext/>
              <w:rPr>
                <w:b/>
              </w:rPr>
            </w:pPr>
            <w:r w:rsidRPr="00183E4D">
              <w:rPr>
                <w:b/>
              </w:rPr>
              <w:t>Cycle length</w:t>
            </w:r>
          </w:p>
        </w:tc>
        <w:tc>
          <w:tcPr>
            <w:tcW w:w="3277" w:type="pct"/>
            <w:tcBorders>
              <w:top w:val="single" w:sz="4" w:space="0" w:color="auto"/>
              <w:left w:val="single" w:sz="4" w:space="0" w:color="auto"/>
              <w:bottom w:val="single" w:sz="4" w:space="0" w:color="auto"/>
              <w:right w:val="single" w:sz="4" w:space="0" w:color="auto"/>
            </w:tcBorders>
          </w:tcPr>
          <w:p w14:paraId="6F6E2F58" w14:textId="77777777" w:rsidR="00837294" w:rsidRPr="00E9672D" w:rsidRDefault="00113ADA" w:rsidP="00857754">
            <w:pPr>
              <w:pStyle w:val="Tabletext1"/>
            </w:pPr>
            <w:r>
              <w:t>Four weeks</w:t>
            </w:r>
          </w:p>
        </w:tc>
      </w:tr>
      <w:tr w:rsidR="00837294" w:rsidRPr="00183E4D" w14:paraId="5CC10ADA" w14:textId="77777777" w:rsidTr="00857754">
        <w:trPr>
          <w:trHeight w:val="20"/>
        </w:trPr>
        <w:tc>
          <w:tcPr>
            <w:tcW w:w="1723" w:type="pct"/>
            <w:tcBorders>
              <w:top w:val="single" w:sz="4" w:space="0" w:color="auto"/>
              <w:left w:val="single" w:sz="4" w:space="0" w:color="auto"/>
              <w:bottom w:val="single" w:sz="4" w:space="0" w:color="auto"/>
              <w:right w:val="single" w:sz="4" w:space="0" w:color="auto"/>
            </w:tcBorders>
            <w:hideMark/>
          </w:tcPr>
          <w:p w14:paraId="3DB06386" w14:textId="77777777" w:rsidR="00837294" w:rsidRPr="00183E4D" w:rsidRDefault="00837294" w:rsidP="00857754">
            <w:pPr>
              <w:pStyle w:val="Tabletext1"/>
              <w:keepNext/>
              <w:rPr>
                <w:b/>
              </w:rPr>
            </w:pPr>
            <w:r w:rsidRPr="00183E4D">
              <w:rPr>
                <w:b/>
              </w:rPr>
              <w:t>Discount rate</w:t>
            </w:r>
          </w:p>
        </w:tc>
        <w:tc>
          <w:tcPr>
            <w:tcW w:w="3277" w:type="pct"/>
            <w:tcBorders>
              <w:top w:val="single" w:sz="4" w:space="0" w:color="auto"/>
              <w:left w:val="single" w:sz="4" w:space="0" w:color="auto"/>
              <w:bottom w:val="single" w:sz="4" w:space="0" w:color="auto"/>
              <w:right w:val="single" w:sz="4" w:space="0" w:color="auto"/>
            </w:tcBorders>
          </w:tcPr>
          <w:p w14:paraId="32E6D689" w14:textId="77777777" w:rsidR="00837294" w:rsidRPr="00E9672D" w:rsidRDefault="00837294" w:rsidP="00857754">
            <w:pPr>
              <w:pStyle w:val="Tabletext1"/>
            </w:pPr>
            <w:r>
              <w:t>5%</w:t>
            </w:r>
          </w:p>
        </w:tc>
      </w:tr>
      <w:tr w:rsidR="00837294" w:rsidRPr="00183E4D" w14:paraId="52A5F17B" w14:textId="77777777" w:rsidTr="00857754">
        <w:trPr>
          <w:trHeight w:val="20"/>
        </w:trPr>
        <w:tc>
          <w:tcPr>
            <w:tcW w:w="1723" w:type="pct"/>
            <w:tcBorders>
              <w:top w:val="single" w:sz="4" w:space="0" w:color="auto"/>
              <w:left w:val="single" w:sz="4" w:space="0" w:color="auto"/>
              <w:bottom w:val="single" w:sz="4" w:space="0" w:color="auto"/>
              <w:right w:val="single" w:sz="4" w:space="0" w:color="auto"/>
            </w:tcBorders>
            <w:hideMark/>
          </w:tcPr>
          <w:p w14:paraId="74CA392A" w14:textId="77777777" w:rsidR="00837294" w:rsidRPr="00183E4D" w:rsidRDefault="00837294" w:rsidP="00857754">
            <w:pPr>
              <w:pStyle w:val="Tabletext1"/>
              <w:rPr>
                <w:b/>
              </w:rPr>
            </w:pPr>
            <w:r w:rsidRPr="00183E4D">
              <w:rPr>
                <w:b/>
              </w:rPr>
              <w:t>Software packages used</w:t>
            </w:r>
          </w:p>
        </w:tc>
        <w:tc>
          <w:tcPr>
            <w:tcW w:w="3277" w:type="pct"/>
            <w:tcBorders>
              <w:top w:val="single" w:sz="4" w:space="0" w:color="auto"/>
              <w:left w:val="single" w:sz="4" w:space="0" w:color="auto"/>
              <w:bottom w:val="single" w:sz="4" w:space="0" w:color="auto"/>
              <w:right w:val="single" w:sz="4" w:space="0" w:color="auto"/>
            </w:tcBorders>
          </w:tcPr>
          <w:p w14:paraId="0CFFF6A6" w14:textId="77777777" w:rsidR="00837294" w:rsidRPr="00E9672D" w:rsidRDefault="00837294" w:rsidP="00857754">
            <w:pPr>
              <w:pStyle w:val="Tabletext1"/>
            </w:pPr>
            <w:r>
              <w:t>Microsoft Excel and TreeAge Pro</w:t>
            </w:r>
          </w:p>
        </w:tc>
      </w:tr>
    </w:tbl>
    <w:p w14:paraId="432DD7D8" w14:textId="77777777" w:rsidR="00837294" w:rsidRDefault="00837294" w:rsidP="00837294">
      <w:pPr>
        <w:pStyle w:val="Tablenotes1"/>
      </w:pPr>
      <w:r>
        <w:t xml:space="preserve">AE = adverse event; Ig = immunoglobulin; </w:t>
      </w:r>
      <w:r w:rsidRPr="00DA3C6E">
        <w:t>NBA = National Blood Authority</w:t>
      </w:r>
      <w:r>
        <w:t>; QALY = quality-adjusted life year.</w:t>
      </w:r>
    </w:p>
    <w:p w14:paraId="50BE6357" w14:textId="77777777" w:rsidR="00837294" w:rsidRDefault="00837294" w:rsidP="00837294">
      <w:pPr>
        <w:pStyle w:val="Heading3"/>
      </w:pPr>
      <w:bookmarkStart w:id="287" w:name="_Toc395200799"/>
      <w:bookmarkStart w:id="288" w:name="_Toc9515612"/>
      <w:bookmarkStart w:id="289" w:name="_Toc14431162"/>
      <w:bookmarkStart w:id="290" w:name="_Toc16671559"/>
      <w:bookmarkStart w:id="291" w:name="_Toc69305587"/>
      <w:r>
        <w:t>Literature review</w:t>
      </w:r>
      <w:bookmarkEnd w:id="287"/>
      <w:bookmarkEnd w:id="288"/>
      <w:bookmarkEnd w:id="289"/>
      <w:bookmarkEnd w:id="290"/>
      <w:bookmarkEnd w:id="291"/>
    </w:p>
    <w:p w14:paraId="32F5F3B2" w14:textId="5112B137" w:rsidR="00837294" w:rsidRDefault="00837294" w:rsidP="00113ADA">
      <w:pPr>
        <w:pStyle w:val="BodyTextSTD"/>
      </w:pPr>
      <w:r>
        <w:t xml:space="preserve">A search of the literature was conducted to identify cost-effectiveness analyses of Ig in CIDP </w:t>
      </w:r>
      <w:r w:rsidR="00AC7475">
        <w:t xml:space="preserve">published </w:t>
      </w:r>
      <w:r>
        <w:t xml:space="preserve">in 2019-20 (extending the search conducted in the previous DCAR 1564 report). Two cost studies were identified </w:t>
      </w:r>
      <w:r w:rsidR="00B727D6">
        <w:fldChar w:fldCharType="begin">
          <w:fldData xml:space="preserve">PEVuZE5vdGU+PENpdGU+PEF1dGhvcj5HdXB0aWxsPC9BdXRob3I+PFllYXI+MjAxOTwvWWVhcj48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</w:fldData>
        </w:fldChar>
      </w:r>
      <w:r w:rsidR="00B727D6">
        <w:instrText xml:space="preserve"> ADDIN EN.CITE </w:instrText>
      </w:r>
      <w:r w:rsidR="00B727D6">
        <w:fldChar w:fldCharType="begin">
          <w:fldData xml:space="preserve">PEVuZE5vdGU+PENpdGU+PEF1dGhvcj5HdXB0aWxsPC9BdXRob3I+PFllYXI+MjAxOTwvWWVhcj48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21" w:tooltip="Guptill, 2019 #71" w:history="1">
        <w:r w:rsidR="00D726F6">
          <w:rPr>
            <w:noProof/>
          </w:rPr>
          <w:t>Guptill et al. 2019</w:t>
        </w:r>
      </w:hyperlink>
      <w:r w:rsidR="00B727D6">
        <w:rPr>
          <w:noProof/>
        </w:rPr>
        <w:t xml:space="preserve">; </w:t>
      </w:r>
      <w:hyperlink w:anchor="_ENREF_57" w:tooltip="Querol, 2020 #122" w:history="1">
        <w:r w:rsidR="00D726F6">
          <w:rPr>
            <w:noProof/>
          </w:rPr>
          <w:t>Querol et al. 2020</w:t>
        </w:r>
      </w:hyperlink>
      <w:r w:rsidR="00B727D6">
        <w:rPr>
          <w:noProof/>
        </w:rPr>
        <w:t>)</w:t>
      </w:r>
      <w:r w:rsidR="00B727D6">
        <w:fldChar w:fldCharType="end"/>
      </w:r>
      <w:r>
        <w:t xml:space="preserve">. One was a </w:t>
      </w:r>
      <w:r w:rsidRPr="00E00238">
        <w:t>retrospective cohort study</w:t>
      </w:r>
      <w:r>
        <w:t xml:space="preserve"> that</w:t>
      </w:r>
      <w:r w:rsidRPr="00E00238">
        <w:t xml:space="preserve"> evaluated the treatment patterns and CIDP-r</w:t>
      </w:r>
      <w:r>
        <w:t>elated healthcare costs over a two-year</w:t>
      </w:r>
      <w:r w:rsidRPr="00E00238">
        <w:t xml:space="preserve"> follow-up period for patients with newly diagnosed CIDP who had commercial insurance, using claims data from the IMS LifeLink PharMetrics Plus Claims database between 2009 </w:t>
      </w:r>
      <w:r>
        <w:t xml:space="preserve">and </w:t>
      </w:r>
      <w:r w:rsidRPr="00E00238">
        <w:t>2014</w:t>
      </w:r>
      <w:r>
        <w:t xml:space="preserve"> </w:t>
      </w:r>
      <w:r w:rsidR="00B727D6">
        <w:fldChar w:fldCharType="begin"/>
      </w:r>
      <w:r w:rsidR="00B727D6">
        <w:instrText xml:space="preserve"> ADDIN EN.CITE &lt;EndNote&gt;&lt;Cite&gt;&lt;Author&gt;Guptill&lt;/Author&gt;&lt;Year&gt;2019&lt;/Year&gt;&lt;RecNum&gt;71&lt;/RecNum&gt;&lt;DisplayText&gt;(Guptill et al. 2019)&lt;/DisplayText&gt;&lt;record&gt;&lt;rec-number&gt;71&lt;/rec-number&gt;&lt;foreign-keys&gt;&lt;key app="EN" db-id="xtr5xfx2xf0wd7e0s2qvst2ietxxf0tpzr9v" timestamp="1602204847"&gt;71&lt;/key&gt;&lt;/foreign-keys&gt;&lt;ref-type name="Journal Article"&gt;17&lt;/ref-type&gt;&lt;contributors&gt;&lt;authors&gt;&lt;author&gt;Guptill, J. T.&lt;/author&gt;&lt;author&gt;Runken, M. C.&lt;/author&gt;&lt;author&gt;Eaddy, M.&lt;/author&gt;&lt;author&gt;Lunacsek, O.&lt;/author&gt;&lt;author&gt;Fuldeore, R. M.&lt;/author&gt;&lt;/authors&gt;&lt;/contributors&gt;&lt;auth-address&gt;Associate Professor of Neurology, Duke Clinical Research Institute, Duke University, Durham, NC.&amp;#xD;Senior Director Global HEOR, Grifols SSNA, Research Triangle Park, NC.&amp;#xD;Vice President, Scientific Consulting, Xcenda, Palm Harbor, FL.&amp;#xD;Director, Scientific Consulting, Xcenda.&amp;#xD;Manager, Scientific Consulting, Xcenda.&lt;/auth-address&gt;&lt;titles&gt;&lt;title&gt;Treatment Patterns and Costs of Chronic Inflammatory Demyelinating Polyneuropathy: A Claims Database Analysis&lt;/title&gt;&lt;secondary-title&gt;Am Health Drug Benefits&lt;/secondary-title&gt;&lt;/titles&gt;&lt;periodical&gt;&lt;full-title&gt;Am Health Drug Benefits&lt;/full-title&gt;&lt;/periodical&gt;&lt;pages&gt;127-135&lt;/pages&gt;&lt;volume&gt;12&lt;/volume&gt;&lt;number&gt;3&lt;/number&gt;&lt;edition&gt;2019/07/28&lt;/edition&gt;&lt;keywords&gt;&lt;keyword&gt;Cidp&lt;/keyword&gt;&lt;keyword&gt;Ivig&lt;/keyword&gt;&lt;keyword&gt;chronic inflammatory demyelinating polyneuropathy&lt;/keyword&gt;&lt;keyword&gt;economic burden&lt;/keyword&gt;&lt;keyword&gt;healthcare costs&lt;/keyword&gt;&lt;keyword&gt;intravenous immunoglobulin&lt;/keyword&gt;&lt;keyword&gt;plasma exchanges&lt;/keyword&gt;&lt;keyword&gt;steroids&lt;/keyword&gt;&lt;keyword&gt;treatment patterns&lt;/keyword&gt;&lt;/keywords&gt;&lt;dates&gt;&lt;year&gt;2019&lt;/year&gt;&lt;pub-dates&gt;&lt;date&gt;May&lt;/date&gt;&lt;/pub-dates&gt;&lt;/dates&gt;&lt;isbn&gt;1942-2962 (Print)&amp;#xD;1942-2970 (Electronic)&amp;#xD;1942-2962 (Linking)&lt;/isbn&gt;&lt;accession-num&gt;31346365&lt;/accession-num&gt;&lt;urls&gt;&lt;related-urls&gt;&lt;url&gt;https://www.ncbi.nlm.nih.gov/pmc/articles/PMC6611518/pdf/ahdb-12-127.pdf&lt;/url&gt;&lt;/related-urls&gt;&lt;/urls&gt;&lt;custom2&gt;PMC6611518&lt;/custom2&gt;&lt;remote-database-provider&gt;NLM&lt;/remote-database-provider&gt;&lt;language&gt;eng&lt;/language&gt;&lt;/record&gt;&lt;/Cite&gt;&lt;/EndNote&gt;</w:instrText>
      </w:r>
      <w:r w:rsidR="00B727D6">
        <w:fldChar w:fldCharType="separate"/>
      </w:r>
      <w:r w:rsidR="00B727D6">
        <w:rPr>
          <w:noProof/>
        </w:rPr>
        <w:t>(</w:t>
      </w:r>
      <w:hyperlink w:anchor="_ENREF_21" w:tooltip="Guptill, 2019 #71" w:history="1">
        <w:r w:rsidR="00D726F6">
          <w:rPr>
            <w:noProof/>
          </w:rPr>
          <w:t>Guptill et al. 2019</w:t>
        </w:r>
      </w:hyperlink>
      <w:r w:rsidR="00B727D6">
        <w:rPr>
          <w:noProof/>
        </w:rPr>
        <w:t>)</w:t>
      </w:r>
      <w:r w:rsidR="00B727D6">
        <w:fldChar w:fldCharType="end"/>
      </w:r>
      <w:r w:rsidRPr="00E00238">
        <w:t xml:space="preserve">. </w:t>
      </w:r>
      <w:r>
        <w:t>Querol et al provided</w:t>
      </w:r>
      <w:r w:rsidRPr="002B7317">
        <w:t xml:space="preserve"> a </w:t>
      </w:r>
      <w:r>
        <w:t>systematic</w:t>
      </w:r>
      <w:r w:rsidRPr="002B7317">
        <w:t xml:space="preserve"> literature review of the burden of illness of CIDP</w:t>
      </w:r>
      <w:r>
        <w:t xml:space="preserve"> </w:t>
      </w:r>
      <w:r w:rsidR="00B727D6">
        <w:fldChar w:fldCharType="begin"/>
      </w:r>
      <w:r w:rsidR="00B727D6">
        <w:instrText xml:space="preserve"> ADDIN EN.CITE &lt;EndNote&gt;&lt;Cite&gt;&lt;Author&gt;Querol&lt;/Author&gt;&lt;Year&gt;2020&lt;/Year&gt;&lt;RecNum&gt;122&lt;/RecNum&gt;&lt;DisplayText&gt;(Querol et al. 2020)&lt;/DisplayText&gt;&lt;record&gt;&lt;rec-number&gt;122&lt;/rec-number&gt;&lt;foreign-keys&gt;&lt;key app="EN" db-id="xtr5xfx2xf0wd7e0s2qvst2ietxxf0tpzr9v" timestamp="1602211249"&gt;122&lt;/key&gt;&lt;/foreign-keys&gt;&lt;ref-type name="Journal Article"&gt;17&lt;/ref-type&gt;&lt;contributors&gt;&lt;authors&gt;&lt;author&gt;Querol, L.&lt;/author&gt;&lt;author&gt;Crabtree, M.&lt;/author&gt;&lt;author&gt;Herepath, M.&lt;/author&gt;&lt;author&gt;Priedane, E.&lt;/author&gt;&lt;author&gt;Viejo Viejo, I.&lt;/author&gt;&lt;author&gt;Agush, S.&lt;/author&gt;&lt;author&gt;Sommerer, P.&lt;/author&gt;&lt;/authors&gt;&lt;/contributors&gt;&lt;auth-address&gt;Institut de Recerca Biomèdica Sant Pau, Barcelona, Spain. LQuerol@santpau.cat.&amp;#xD;Huron Consulting Group, London, UK.&amp;#xD;Optimal Access Life Science Consulting Limited, Swansea, UK.&amp;#xD;CSL Behring, Hattersheim, Germany.&lt;/auth-address&gt;&lt;titles&gt;&lt;title&gt;Systematic literature review of burden of illness in chronic inflammatory demyelinating polyneuropathy (CIDP)&lt;/title&gt;&lt;secondary-title&gt;J Neurol&lt;/secondary-title&gt;&lt;/titles&gt;&lt;periodical&gt;&lt;full-title&gt;J Neurol&lt;/full-title&gt;&lt;/periodical&gt;&lt;edition&gt;2020/06/26&lt;/edition&gt;&lt;keywords&gt;&lt;keyword&gt;Burden&lt;/keyword&gt;&lt;keyword&gt;Cidp&lt;/keyword&gt;&lt;keyword&gt;Cost&lt;/keyword&gt;&lt;keyword&gt;Epidemiology&lt;/keyword&gt;&lt;keyword&gt;QoL&lt;/keyword&gt;&lt;keyword&gt;Treatment&lt;/keyword&gt;&lt;/keywords&gt;&lt;dates&gt;&lt;year&gt;2020&lt;/year&gt;&lt;pub-dates&gt;&lt;date&gt;Jun 24&lt;/date&gt;&lt;/pub-dates&gt;&lt;/dates&gt;&lt;isbn&gt;1432-1459 (Electronic)&amp;#xD;0340-5354 (Linking)&lt;/isbn&gt;&lt;accession-num&gt;32583051&lt;/accession-num&gt;&lt;urls&gt;&lt;related-urls&gt;&lt;url&gt;https://link.springer.com/content/pdf/10.1007/s00415-020-09998-8.pdf&lt;/url&gt;&lt;/related-urls&gt;&lt;/urls&gt;&lt;electronic-resource-num&gt;10.1007/s00415-020-09998-8&lt;/electronic-resource-num&gt;&lt;remote-database-provider&gt;NLM&lt;/remote-database-provider&gt;&lt;language&gt;eng&lt;/language&gt;&lt;/record&gt;&lt;/Cite&gt;&lt;/EndNote&gt;</w:instrText>
      </w:r>
      <w:r w:rsidR="00B727D6">
        <w:fldChar w:fldCharType="separate"/>
      </w:r>
      <w:r w:rsidR="00B727D6">
        <w:rPr>
          <w:noProof/>
        </w:rPr>
        <w:t>(</w:t>
      </w:r>
      <w:hyperlink w:anchor="_ENREF_57" w:tooltip="Querol, 2020 #122" w:history="1">
        <w:r w:rsidR="00D726F6">
          <w:rPr>
            <w:noProof/>
          </w:rPr>
          <w:t>Querol et al. 2020</w:t>
        </w:r>
      </w:hyperlink>
      <w:r w:rsidR="00B727D6">
        <w:rPr>
          <w:noProof/>
        </w:rPr>
        <w:t>)</w:t>
      </w:r>
      <w:r w:rsidR="00B727D6">
        <w:fldChar w:fldCharType="end"/>
      </w:r>
      <w:r>
        <w:t xml:space="preserve">. None of the studies identified in the previous or current extended search were applicable in the Australian context or addressed the research questions pertaining to the current assessment. </w:t>
      </w:r>
    </w:p>
    <w:p w14:paraId="2092CD81" w14:textId="77777777" w:rsidR="00837294" w:rsidRPr="00013791" w:rsidRDefault="00837294" w:rsidP="00837294">
      <w:pPr>
        <w:pStyle w:val="Heading3"/>
      </w:pPr>
      <w:bookmarkStart w:id="292" w:name="_Toc395200800"/>
      <w:bookmarkStart w:id="293" w:name="_Toc9515613"/>
      <w:bookmarkStart w:id="294" w:name="_Toc14431163"/>
      <w:bookmarkStart w:id="295" w:name="_Toc16671560"/>
      <w:bookmarkStart w:id="296" w:name="_Toc69305588"/>
      <w:r>
        <w:t>Structure of the economic evaluation</w:t>
      </w:r>
      <w:bookmarkEnd w:id="292"/>
      <w:bookmarkEnd w:id="293"/>
      <w:bookmarkEnd w:id="294"/>
      <w:bookmarkEnd w:id="295"/>
      <w:bookmarkEnd w:id="296"/>
    </w:p>
    <w:p w14:paraId="3AE29F89" w14:textId="771C0E4E" w:rsidR="00837294" w:rsidRDefault="00837294" w:rsidP="00113ADA">
      <w:pPr>
        <w:pStyle w:val="BodyTextSTD"/>
      </w:pPr>
      <w:r>
        <w:t xml:space="preserve">As the studies identified in the search of the economic literature could not answer the question of the cost-effectiveness of Ig relative to steroids, PE and placebo (second line treatment in steroid- resistant subgroup) in the contemporary Australian setting, </w:t>
      </w:r>
      <w:r w:rsidRPr="005D6D3B">
        <w:t>a Markov model was developed de novo to evaluate the cost effectiveness of intravenous Ig therapy compared</w:t>
      </w:r>
      <w:r>
        <w:t xml:space="preserve"> to the alternative treatments.</w:t>
      </w:r>
      <w:r w:rsidRPr="005D6D3B">
        <w:t xml:space="preserve"> </w:t>
      </w:r>
      <w:r w:rsidRPr="00013791">
        <w:t xml:space="preserve">The </w:t>
      </w:r>
      <w:r>
        <w:t xml:space="preserve">Markov model structure with allowable transitions between health states is depicted in </w:t>
      </w:r>
      <w:r>
        <w:fldChar w:fldCharType="begin"/>
      </w:r>
      <w:r>
        <w:instrText xml:space="preserve"> REF _Ref57916854 \h </w:instrText>
      </w:r>
      <w:r w:rsidR="00113ADA">
        <w:instrText xml:space="preserve"> \* MERGEFORMAT </w:instrText>
      </w:r>
      <w:r>
        <w:fldChar w:fldCharType="separate"/>
      </w:r>
      <w:r w:rsidR="004B3EA2">
        <w:t xml:space="preserve">Figure </w:t>
      </w:r>
      <w:r w:rsidR="004B3EA2">
        <w:rPr>
          <w:noProof/>
        </w:rPr>
        <w:t>12</w:t>
      </w:r>
      <w:r>
        <w:fldChar w:fldCharType="end"/>
      </w:r>
      <w:r>
        <w:t xml:space="preserve">. The five health states modelled are described in </w:t>
      </w:r>
      <w:r>
        <w:fldChar w:fldCharType="begin"/>
      </w:r>
      <w:r>
        <w:instrText xml:space="preserve"> REF _Ref57910940 \h </w:instrText>
      </w:r>
      <w:r w:rsidR="00113ADA">
        <w:instrText xml:space="preserve"> \* MERGEFORMAT </w:instrText>
      </w:r>
      <w:r>
        <w:fldChar w:fldCharType="separate"/>
      </w:r>
      <w:r w:rsidR="004B3EA2">
        <w:t xml:space="preserve">Table </w:t>
      </w:r>
      <w:r w:rsidR="004B3EA2">
        <w:rPr>
          <w:noProof/>
        </w:rPr>
        <w:t>37</w:t>
      </w:r>
      <w:r>
        <w:fldChar w:fldCharType="end"/>
      </w:r>
      <w:r>
        <w:t xml:space="preserve">. </w:t>
      </w:r>
    </w:p>
    <w:p w14:paraId="230F2429" w14:textId="77777777" w:rsidR="00837294" w:rsidRDefault="003A6937" w:rsidP="00837294">
      <w:r w:rsidRPr="003A6937">
        <w:rPr>
          <w:noProof/>
        </w:rPr>
        <w:drawing>
          <wp:inline distT="0" distB="0" distL="0" distR="0" wp14:anchorId="18166AAF" wp14:editId="45F568C8">
            <wp:extent cx="5742305" cy="3867150"/>
            <wp:effectExtent l="0" t="0" r="0" b="0"/>
            <wp:docPr id="13" name="Picture 13" descr="State transition diagram for the Markov model&#10;Each oval (A to E) represents a chance node and the arrows represent the valid transitions between health states. All patients initially enter the Markov model at node “Treatment induction or relapse after six months off treatment&#10;" title="State transition diagram for the Markov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a:extLst>
                        <a:ext uri="{28A0092B-C50C-407E-A947-70E740481C1C}">
                          <a14:useLocalDpi xmlns:a14="http://schemas.microsoft.com/office/drawing/2010/main" val="0"/>
                        </a:ext>
                      </a:extLst>
                    </a:blip>
                    <a:srcRect l="1804" t="1185" r="4549" b="3359"/>
                    <a:stretch/>
                  </pic:blipFill>
                  <pic:spPr bwMode="auto">
                    <a:xfrm>
                      <a:off x="0" y="0"/>
                      <a:ext cx="5760035" cy="3879090"/>
                    </a:xfrm>
                    <a:prstGeom prst="rect">
                      <a:avLst/>
                    </a:prstGeom>
                    <a:noFill/>
                    <a:ln>
                      <a:noFill/>
                    </a:ln>
                    <a:extLst>
                      <a:ext uri="{53640926-AAD7-44D8-BBD7-CCE9431645EC}">
                        <a14:shadowObscured xmlns:a14="http://schemas.microsoft.com/office/drawing/2010/main"/>
                      </a:ext>
                    </a:extLst>
                  </pic:spPr>
                </pic:pic>
              </a:graphicData>
            </a:graphic>
          </wp:inline>
        </w:drawing>
      </w:r>
    </w:p>
    <w:p w14:paraId="16EB071F" w14:textId="4E159652" w:rsidR="00837294" w:rsidRDefault="00837294" w:rsidP="00837294">
      <w:pPr>
        <w:pStyle w:val="Caption"/>
      </w:pPr>
      <w:bookmarkStart w:id="297" w:name="_Ref57916854"/>
      <w:bookmarkStart w:id="298" w:name="_Toc69305744"/>
      <w:r>
        <w:t xml:space="preserve">Figure </w:t>
      </w:r>
      <w:r w:rsidR="00003BA5">
        <w:fldChar w:fldCharType="begin"/>
      </w:r>
      <w:r w:rsidR="00003BA5">
        <w:instrText xml:space="preserve"> SEQ Figure \* </w:instrText>
      </w:r>
      <w:r w:rsidR="00003BA5">
        <w:instrText xml:space="preserve">ARABIC </w:instrText>
      </w:r>
      <w:r w:rsidR="00003BA5">
        <w:fldChar w:fldCharType="separate"/>
      </w:r>
      <w:r w:rsidR="004B3EA2">
        <w:rPr>
          <w:noProof/>
        </w:rPr>
        <w:t>12</w:t>
      </w:r>
      <w:r w:rsidR="00003BA5">
        <w:rPr>
          <w:noProof/>
        </w:rPr>
        <w:fldChar w:fldCharType="end"/>
      </w:r>
      <w:bookmarkEnd w:id="297"/>
      <w:r>
        <w:tab/>
        <w:t>State transition diagram for the Markov model</w:t>
      </w:r>
      <w:bookmarkEnd w:id="298"/>
    </w:p>
    <w:p w14:paraId="517CFC03" w14:textId="69BB4E39" w:rsidR="00837294" w:rsidRDefault="00837294" w:rsidP="00837294">
      <w:pPr>
        <w:pStyle w:val="Tablenote"/>
      </w:pPr>
      <w:r>
        <w:t>Each oval (A to E) represents a chance node and the arrows represent the valid transitions between health states. All patients initially enter the Markov model at node “</w:t>
      </w:r>
      <w:r w:rsidR="00356B60">
        <w:t>T</w:t>
      </w:r>
      <w:r>
        <w:t>reatment induction or relapse after six months off treatment”.</w:t>
      </w:r>
    </w:p>
    <w:p w14:paraId="42DCF16E" w14:textId="51120F10" w:rsidR="00837294" w:rsidRDefault="00837294" w:rsidP="00837294">
      <w:pPr>
        <w:pStyle w:val="Caption"/>
      </w:pPr>
      <w:bookmarkStart w:id="299" w:name="_Ref57910940"/>
      <w:bookmarkStart w:id="300" w:name="_Toc69305678"/>
      <w:r>
        <w:t xml:space="preserve">Table </w:t>
      </w:r>
      <w:r w:rsidR="00003BA5">
        <w:fldChar w:fldCharType="begin"/>
      </w:r>
      <w:r w:rsidR="00003BA5">
        <w:instrText xml:space="preserve"> SEQ Table \* ARABIC </w:instrText>
      </w:r>
      <w:r w:rsidR="00003BA5">
        <w:fldChar w:fldCharType="separate"/>
      </w:r>
      <w:r w:rsidR="004B3EA2">
        <w:rPr>
          <w:noProof/>
        </w:rPr>
        <w:t>37</w:t>
      </w:r>
      <w:r w:rsidR="00003BA5">
        <w:rPr>
          <w:noProof/>
        </w:rPr>
        <w:fldChar w:fldCharType="end"/>
      </w:r>
      <w:bookmarkEnd w:id="299"/>
      <w:r>
        <w:tab/>
        <w:t>Description of health states included in the Markov model</w:t>
      </w:r>
      <w:bookmarkEnd w:id="300"/>
    </w:p>
    <w:tbl>
      <w:tblPr>
        <w:tblStyle w:val="TableGrid"/>
        <w:tblW w:w="0" w:type="auto"/>
        <w:tblLook w:val="04A0" w:firstRow="1" w:lastRow="0" w:firstColumn="1" w:lastColumn="0" w:noHBand="0" w:noVBand="1"/>
        <w:tblCaption w:val="Description of health states included in the Markov model"/>
        <w:tblDescription w:val="Description of health states included in the Markov model"/>
      </w:tblPr>
      <w:tblGrid>
        <w:gridCol w:w="562"/>
        <w:gridCol w:w="1985"/>
        <w:gridCol w:w="6469"/>
      </w:tblGrid>
      <w:tr w:rsidR="00837294" w:rsidRPr="004021B8" w14:paraId="6E1C44A9" w14:textId="77777777" w:rsidTr="00BB43B6">
        <w:trPr>
          <w:tblHeader/>
        </w:trPr>
        <w:tc>
          <w:tcPr>
            <w:tcW w:w="562" w:type="dxa"/>
          </w:tcPr>
          <w:p w14:paraId="3126E9D8" w14:textId="77777777" w:rsidR="00837294" w:rsidRPr="004021B8" w:rsidRDefault="00837294" w:rsidP="006B0456">
            <w:pPr>
              <w:pStyle w:val="TableHeading"/>
              <w:ind w:left="0"/>
            </w:pPr>
          </w:p>
        </w:tc>
        <w:tc>
          <w:tcPr>
            <w:tcW w:w="1985" w:type="dxa"/>
          </w:tcPr>
          <w:p w14:paraId="3CE5D7FD" w14:textId="77777777" w:rsidR="00837294" w:rsidRPr="004021B8" w:rsidRDefault="00837294" w:rsidP="006B0456">
            <w:pPr>
              <w:pStyle w:val="TableHeading"/>
              <w:ind w:left="0"/>
            </w:pPr>
            <w:r w:rsidRPr="004021B8">
              <w:t>Health state</w:t>
            </w:r>
          </w:p>
        </w:tc>
        <w:tc>
          <w:tcPr>
            <w:tcW w:w="6469" w:type="dxa"/>
          </w:tcPr>
          <w:p w14:paraId="589BDA8D" w14:textId="77777777" w:rsidR="00837294" w:rsidRPr="004021B8" w:rsidRDefault="00837294" w:rsidP="006B0456">
            <w:pPr>
              <w:pStyle w:val="TableHeading"/>
              <w:ind w:left="0"/>
            </w:pPr>
            <w:r w:rsidRPr="004021B8">
              <w:t>Description</w:t>
            </w:r>
          </w:p>
        </w:tc>
      </w:tr>
      <w:tr w:rsidR="00837294" w:rsidRPr="004021B8" w14:paraId="488A10A0" w14:textId="77777777" w:rsidTr="00857754">
        <w:tc>
          <w:tcPr>
            <w:tcW w:w="562" w:type="dxa"/>
          </w:tcPr>
          <w:p w14:paraId="4D8307BF" w14:textId="77777777" w:rsidR="00837294" w:rsidRDefault="00837294" w:rsidP="006B0456">
            <w:pPr>
              <w:pStyle w:val="Tabletext1"/>
              <w:ind w:left="0"/>
            </w:pPr>
            <w:r>
              <w:t>A</w:t>
            </w:r>
          </w:p>
        </w:tc>
        <w:tc>
          <w:tcPr>
            <w:tcW w:w="1985" w:type="dxa"/>
          </w:tcPr>
          <w:p w14:paraId="36CD0A12" w14:textId="51B4CAF4" w:rsidR="00837294" w:rsidRPr="004021B8" w:rsidRDefault="0059447C" w:rsidP="0059447C">
            <w:pPr>
              <w:pStyle w:val="Tabletext1"/>
              <w:ind w:left="0"/>
            </w:pPr>
            <w:r>
              <w:t xml:space="preserve">Active disease: </w:t>
            </w:r>
            <w:r w:rsidR="009D68D4">
              <w:t>t</w:t>
            </w:r>
            <w:r w:rsidR="00837294" w:rsidRPr="004021B8">
              <w:t xml:space="preserve">reatment </w:t>
            </w:r>
            <w:r w:rsidR="00837294">
              <w:t>induction or a relapse</w:t>
            </w:r>
            <w:r w:rsidR="00837294" w:rsidRPr="004021B8">
              <w:t xml:space="preserve"> after more than 6 months</w:t>
            </w:r>
            <w:r w:rsidR="00837294">
              <w:t xml:space="preserve"> off treatment</w:t>
            </w:r>
          </w:p>
        </w:tc>
        <w:tc>
          <w:tcPr>
            <w:tcW w:w="6469" w:type="dxa"/>
          </w:tcPr>
          <w:p w14:paraId="73082CA7" w14:textId="4B8012EE" w:rsidR="00837294" w:rsidRDefault="00837294" w:rsidP="006B0456">
            <w:pPr>
              <w:pStyle w:val="Tabletext1"/>
              <w:ind w:left="0"/>
            </w:pPr>
            <w:r>
              <w:t xml:space="preserve">All patients enter model in this health state. This health state represents patients on induction treatment either being treatment naïve or </w:t>
            </w:r>
            <w:r w:rsidR="007219C6">
              <w:t xml:space="preserve">experiencing </w:t>
            </w:r>
            <w:r>
              <w:t xml:space="preserve">a relapse after more than six months in remission. </w:t>
            </w:r>
          </w:p>
          <w:p w14:paraId="1BA5F3E3" w14:textId="77777777" w:rsidR="00837294" w:rsidRPr="004021B8" w:rsidRDefault="00837294" w:rsidP="006B0456">
            <w:pPr>
              <w:pStyle w:val="Tabletext1"/>
              <w:ind w:left="0"/>
            </w:pPr>
            <w:r>
              <w:t>Patients in this health state may stay on the induction treatment up to 4 months, continue to maintenance treatment after 4 months review, may have remission, withdraw from the treatment due to adverse events or no-response, or die.</w:t>
            </w:r>
          </w:p>
        </w:tc>
      </w:tr>
      <w:tr w:rsidR="00837294" w:rsidRPr="004021B8" w14:paraId="01B00DEF" w14:textId="77777777" w:rsidTr="00857754">
        <w:tc>
          <w:tcPr>
            <w:tcW w:w="562" w:type="dxa"/>
          </w:tcPr>
          <w:p w14:paraId="73AC96B3" w14:textId="77777777" w:rsidR="00837294" w:rsidRDefault="00837294" w:rsidP="006B0456">
            <w:pPr>
              <w:pStyle w:val="Tabletext1"/>
              <w:ind w:left="0"/>
            </w:pPr>
            <w:r>
              <w:t>B</w:t>
            </w:r>
          </w:p>
        </w:tc>
        <w:tc>
          <w:tcPr>
            <w:tcW w:w="1985" w:type="dxa"/>
          </w:tcPr>
          <w:p w14:paraId="3F1E434B" w14:textId="014EB521" w:rsidR="00837294" w:rsidRPr="004021B8" w:rsidRDefault="009D68D4" w:rsidP="0059447C">
            <w:pPr>
              <w:pStyle w:val="Tabletext1"/>
              <w:ind w:left="0"/>
            </w:pPr>
            <w:r>
              <w:t xml:space="preserve">Active but </w:t>
            </w:r>
            <w:r w:rsidR="0059447C">
              <w:t>stable disease</w:t>
            </w:r>
            <w:r>
              <w:t>: m</w:t>
            </w:r>
            <w:r w:rsidR="00DA3FD5" w:rsidRPr="002832C1">
              <w:t xml:space="preserve">aintenance phase </w:t>
            </w:r>
            <w:r>
              <w:t xml:space="preserve">of </w:t>
            </w:r>
            <w:r w:rsidR="00DA3FD5" w:rsidRPr="002832C1">
              <w:t xml:space="preserve">treatment </w:t>
            </w:r>
            <w:r>
              <w:t>(</w:t>
            </w:r>
            <w:r w:rsidR="00DA3FD5" w:rsidRPr="002832C1">
              <w:t>more than 4 months)</w:t>
            </w:r>
            <w:r w:rsidR="00266480">
              <w:t xml:space="preserve"> (</w:t>
            </w:r>
            <w:r w:rsidR="006B0456">
              <w:t>abbreviated</w:t>
            </w:r>
            <w:r w:rsidR="00266480">
              <w:t xml:space="preserve"> as 'Maintenance phase’ in the report)</w:t>
            </w:r>
          </w:p>
        </w:tc>
        <w:tc>
          <w:tcPr>
            <w:tcW w:w="6469" w:type="dxa"/>
          </w:tcPr>
          <w:p w14:paraId="07086E3D" w14:textId="77777777" w:rsidR="00837294" w:rsidRDefault="00837294" w:rsidP="006B0456">
            <w:pPr>
              <w:pStyle w:val="Tabletext1"/>
              <w:ind w:left="0"/>
            </w:pPr>
            <w:r>
              <w:t>This health state represents patients who are on maintenance treatment after showing response in the induction phase. Patients may stay in this health state, may have remission, withdraw from the treatment due to adverse event/no response, or die.</w:t>
            </w:r>
          </w:p>
          <w:p w14:paraId="6979D367" w14:textId="6B9726F9" w:rsidR="00837294" w:rsidRPr="0025529D" w:rsidRDefault="00837294" w:rsidP="006B0456">
            <w:pPr>
              <w:pStyle w:val="Tabletext1"/>
              <w:ind w:left="0"/>
              <w:rPr>
                <w:i/>
              </w:rPr>
            </w:pPr>
            <w:r w:rsidRPr="0025529D">
              <w:rPr>
                <w:i/>
              </w:rPr>
              <w:t>This state will allow modelling weaning off trial</w:t>
            </w:r>
            <w:r>
              <w:rPr>
                <w:i/>
              </w:rPr>
              <w:t xml:space="preserve"> for treatment (specifically Ig)</w:t>
            </w:r>
            <w:r w:rsidRPr="0025529D">
              <w:rPr>
                <w:i/>
              </w:rPr>
              <w:t xml:space="preserve"> by varying treatment dose or frequency</w:t>
            </w:r>
            <w:r w:rsidR="00887848">
              <w:rPr>
                <w:i/>
              </w:rPr>
              <w:t xml:space="preserve"> in sensitivity analysis</w:t>
            </w:r>
            <w:r w:rsidRPr="0025529D">
              <w:rPr>
                <w:i/>
              </w:rPr>
              <w:t>.</w:t>
            </w:r>
          </w:p>
        </w:tc>
      </w:tr>
      <w:tr w:rsidR="00837294" w:rsidRPr="004021B8" w14:paraId="6821A0FF" w14:textId="77777777" w:rsidTr="00857754">
        <w:tc>
          <w:tcPr>
            <w:tcW w:w="562" w:type="dxa"/>
          </w:tcPr>
          <w:p w14:paraId="5A13326F" w14:textId="77777777" w:rsidR="00837294" w:rsidRDefault="00837294" w:rsidP="006B0456">
            <w:pPr>
              <w:pStyle w:val="Tabletext1"/>
              <w:ind w:left="0"/>
            </w:pPr>
            <w:r>
              <w:t>C</w:t>
            </w:r>
          </w:p>
        </w:tc>
        <w:tc>
          <w:tcPr>
            <w:tcW w:w="1985" w:type="dxa"/>
          </w:tcPr>
          <w:p w14:paraId="2D82B767" w14:textId="3BC07CEC" w:rsidR="00837294" w:rsidRPr="004021B8" w:rsidRDefault="009D68D4" w:rsidP="0059447C">
            <w:pPr>
              <w:pStyle w:val="Tabletext1"/>
              <w:ind w:left="0"/>
            </w:pPr>
            <w:r>
              <w:t xml:space="preserve">No active </w:t>
            </w:r>
            <w:r w:rsidR="0059447C">
              <w:t>disease</w:t>
            </w:r>
            <w:r>
              <w:t xml:space="preserve">: </w:t>
            </w:r>
            <w:r w:rsidR="00DC659B">
              <w:t>i</w:t>
            </w:r>
            <w:r w:rsidR="00837294">
              <w:t>n remission (off-treatment)</w:t>
            </w:r>
          </w:p>
        </w:tc>
        <w:tc>
          <w:tcPr>
            <w:tcW w:w="6469" w:type="dxa"/>
          </w:tcPr>
          <w:p w14:paraId="0AC2A431" w14:textId="3745A487" w:rsidR="00837294" w:rsidRPr="004021B8" w:rsidRDefault="00837294" w:rsidP="006B0456">
            <w:pPr>
              <w:pStyle w:val="Tabletext1"/>
              <w:ind w:left="0"/>
            </w:pPr>
            <w:r>
              <w:t>This health state represents patients who have stopped treatment being in remission or due to stable disease. Patients may stay in this health state or reinitiate treatment (</w:t>
            </w:r>
            <w:r w:rsidR="007219C6">
              <w:t xml:space="preserve">via </w:t>
            </w:r>
            <w:r>
              <w:t xml:space="preserve">State A if in relapse for more than 6 months or </w:t>
            </w:r>
            <w:r w:rsidR="007219C6">
              <w:t xml:space="preserve">via </w:t>
            </w:r>
            <w:r>
              <w:t>State B if in relapse for less than 6 months), withdraw from the treatment due to adverse event/no response</w:t>
            </w:r>
            <w:r w:rsidR="007219C6">
              <w:t>,</w:t>
            </w:r>
            <w:r>
              <w:t xml:space="preserve"> or die.</w:t>
            </w:r>
          </w:p>
        </w:tc>
      </w:tr>
      <w:tr w:rsidR="00837294" w:rsidRPr="004021B8" w14:paraId="3FE69095" w14:textId="77777777" w:rsidTr="00857754">
        <w:tc>
          <w:tcPr>
            <w:tcW w:w="562" w:type="dxa"/>
          </w:tcPr>
          <w:p w14:paraId="6D2A557D" w14:textId="77777777" w:rsidR="00837294" w:rsidRDefault="00837294" w:rsidP="006B0456">
            <w:pPr>
              <w:pStyle w:val="Tabletext1"/>
              <w:ind w:left="0"/>
            </w:pPr>
            <w:r>
              <w:t>D</w:t>
            </w:r>
          </w:p>
        </w:tc>
        <w:tc>
          <w:tcPr>
            <w:tcW w:w="1985" w:type="dxa"/>
          </w:tcPr>
          <w:p w14:paraId="0C1E8A1C" w14:textId="7E39E7BE" w:rsidR="00837294" w:rsidRPr="004021B8" w:rsidRDefault="0059447C" w:rsidP="00DC659B">
            <w:pPr>
              <w:pStyle w:val="Tabletext1"/>
              <w:ind w:left="0"/>
            </w:pPr>
            <w:r>
              <w:t>Treatment resistant/intolerant</w:t>
            </w:r>
            <w:r w:rsidR="009D68D4">
              <w:t xml:space="preserve"> </w:t>
            </w:r>
            <w:r>
              <w:t>disease</w:t>
            </w:r>
            <w:r w:rsidR="009D68D4">
              <w:t xml:space="preserve">: </w:t>
            </w:r>
            <w:r w:rsidR="00DC659B">
              <w:t>b</w:t>
            </w:r>
            <w:r w:rsidR="00837294">
              <w:t>est supportive care</w:t>
            </w:r>
          </w:p>
        </w:tc>
        <w:tc>
          <w:tcPr>
            <w:tcW w:w="6469" w:type="dxa"/>
          </w:tcPr>
          <w:p w14:paraId="0AA504A7" w14:textId="0E7C69A0" w:rsidR="00837294" w:rsidRDefault="00837294" w:rsidP="006B0456">
            <w:pPr>
              <w:pStyle w:val="Tabletext1"/>
              <w:ind w:left="0"/>
            </w:pPr>
            <w:r w:rsidRPr="00A00293">
              <w:t>Patients in this health state include those who have discontinue</w:t>
            </w:r>
            <w:r>
              <w:t>d treatment</w:t>
            </w:r>
            <w:r w:rsidRPr="00A00293">
              <w:t xml:space="preserve"> due to an adverse event or patients who have not responded to Ig</w:t>
            </w:r>
            <w:r>
              <w:t xml:space="preserve">. </w:t>
            </w:r>
          </w:p>
          <w:p w14:paraId="77B04226" w14:textId="4D341D6B" w:rsidR="00837294" w:rsidRPr="004021B8" w:rsidRDefault="00837294" w:rsidP="007C304D">
            <w:pPr>
              <w:pStyle w:val="Tabletext1"/>
              <w:ind w:left="0"/>
            </w:pPr>
            <w:r>
              <w:t xml:space="preserve">It is assumed that patients who withdraw from the treatment due to non-response or adverse events will continue in this state </w:t>
            </w:r>
            <w:r w:rsidR="007219C6">
              <w:t xml:space="preserve">and will </w:t>
            </w:r>
            <w:r>
              <w:t>accumulate disutility and costs associated with the long-term treatment side effects (such as with steroids) or disease progression, or may die.</w:t>
            </w:r>
            <w:r w:rsidR="004C504D">
              <w:t xml:space="preserve"> Treatment switching </w:t>
            </w:r>
            <w:r w:rsidR="00B36848">
              <w:t>(to a new treatment)</w:t>
            </w:r>
            <w:r w:rsidR="004C504D">
              <w:t xml:space="preserve"> </w:t>
            </w:r>
            <w:r w:rsidR="00B36848">
              <w:t>or</w:t>
            </w:r>
            <w:r w:rsidR="004C504D">
              <w:t xml:space="preserve"> treatment cross-over is not </w:t>
            </w:r>
            <w:r w:rsidR="007C304D">
              <w:t>allowed</w:t>
            </w:r>
            <w:r w:rsidR="004C504D">
              <w:t xml:space="preserve"> in the model.</w:t>
            </w:r>
          </w:p>
        </w:tc>
      </w:tr>
      <w:tr w:rsidR="00837294" w:rsidRPr="004021B8" w14:paraId="5573F17B" w14:textId="77777777" w:rsidTr="00857754">
        <w:tc>
          <w:tcPr>
            <w:tcW w:w="562" w:type="dxa"/>
          </w:tcPr>
          <w:p w14:paraId="0B4589CF" w14:textId="77777777" w:rsidR="00837294" w:rsidRPr="004021B8" w:rsidRDefault="00837294" w:rsidP="006B0456">
            <w:pPr>
              <w:pStyle w:val="Tabletext1"/>
              <w:ind w:left="0"/>
            </w:pPr>
            <w:r>
              <w:t>E</w:t>
            </w:r>
          </w:p>
        </w:tc>
        <w:tc>
          <w:tcPr>
            <w:tcW w:w="1985" w:type="dxa"/>
          </w:tcPr>
          <w:p w14:paraId="05C49056" w14:textId="77777777" w:rsidR="00837294" w:rsidRPr="004021B8" w:rsidRDefault="00837294" w:rsidP="006B0456">
            <w:pPr>
              <w:pStyle w:val="Tabletext1"/>
              <w:ind w:left="0"/>
            </w:pPr>
            <w:r w:rsidRPr="004021B8">
              <w:t>Dead</w:t>
            </w:r>
          </w:p>
        </w:tc>
        <w:tc>
          <w:tcPr>
            <w:tcW w:w="6469" w:type="dxa"/>
          </w:tcPr>
          <w:p w14:paraId="60E1E751" w14:textId="77777777" w:rsidR="00837294" w:rsidRPr="004021B8" w:rsidRDefault="00837294" w:rsidP="006B0456">
            <w:pPr>
              <w:pStyle w:val="Tabletext1"/>
              <w:ind w:left="0"/>
            </w:pPr>
            <w:r>
              <w:t>Absorbing state (age-specific mortality or excess mortality associated with disease or treatment related adverse events)</w:t>
            </w:r>
          </w:p>
        </w:tc>
      </w:tr>
    </w:tbl>
    <w:p w14:paraId="5C03DA77" w14:textId="77777777" w:rsidR="00837294" w:rsidRDefault="003A6937" w:rsidP="00195840">
      <w:pPr>
        <w:pStyle w:val="Tablenote"/>
      </w:pPr>
      <w:r>
        <w:t xml:space="preserve">Abbreviation: </w:t>
      </w:r>
      <w:r w:rsidR="00195840">
        <w:t>Ig = immunoglobulin</w:t>
      </w:r>
    </w:p>
    <w:p w14:paraId="62AD4D05" w14:textId="48E2B28A" w:rsidR="008529AD" w:rsidRDefault="008529AD" w:rsidP="00113ADA">
      <w:pPr>
        <w:pStyle w:val="BodyTextSTD"/>
      </w:pPr>
      <w:r>
        <w:t xml:space="preserve">To ease readability, the health state names for the model as described in full in </w:t>
      </w:r>
      <w:r>
        <w:fldChar w:fldCharType="begin"/>
      </w:r>
      <w:r>
        <w:instrText xml:space="preserve"> REF _Ref57910940 \h </w:instrText>
      </w:r>
      <w:r>
        <w:fldChar w:fldCharType="separate"/>
      </w:r>
      <w:r w:rsidR="004B3EA2">
        <w:t xml:space="preserve">Table </w:t>
      </w:r>
      <w:r w:rsidR="004B3EA2">
        <w:rPr>
          <w:noProof/>
        </w:rPr>
        <w:t>37</w:t>
      </w:r>
      <w:r>
        <w:fldChar w:fldCharType="end"/>
      </w:r>
      <w:r>
        <w:t xml:space="preserve"> are abbreviated in the report here onwards. State A is referred to as 'Induction phase’; State B is referred to as ‘Maintenance phase’; State C as ‘In remission’ and State D as ‘BSC’.</w:t>
      </w:r>
    </w:p>
    <w:p w14:paraId="1AE0FED2" w14:textId="7103EFDB" w:rsidR="00837294" w:rsidRDefault="00837294" w:rsidP="00113ADA">
      <w:pPr>
        <w:pStyle w:val="BodyTextSTD"/>
      </w:pPr>
      <w:r>
        <w:t xml:space="preserve">As IVIg is mostly administered </w:t>
      </w:r>
      <w:r w:rsidR="00814E89">
        <w:t>three to six</w:t>
      </w:r>
      <w:r>
        <w:t xml:space="preserve"> weekly, a </w:t>
      </w:r>
      <w:r w:rsidR="00814E89">
        <w:t xml:space="preserve">four </w:t>
      </w:r>
      <w:r>
        <w:t>weekly cycle length was chosen with a time horizon of 10 years (see section C.3). Half-cycle corrections are applied to all transitions in the model. Costs and outcomes are discounted at the standard discount rate of 5%.</w:t>
      </w:r>
    </w:p>
    <w:p w14:paraId="449C6DDE" w14:textId="22AA8A68" w:rsidR="00837294" w:rsidRDefault="00837294" w:rsidP="00113ADA">
      <w:pPr>
        <w:pStyle w:val="BodyTextSTD"/>
      </w:pPr>
      <w:r>
        <w:t>The base-case will be generated using a modelled stepped evaluation with new step added for each new assumption added into the model, such as starting with a trial-based economic evaluation, presenting a modelle</w:t>
      </w:r>
      <w:r w:rsidR="00113ADA">
        <w:t>d economic evaluation over a 10 </w:t>
      </w:r>
      <w:r>
        <w:t xml:space="preserve">year time horizon, changing resource use to Australian settings, adding utilities, assumptions regarding the side-effects, treatment switching etc. The model will include the costs and associated disutility of the serious adverse events that were identified in the review of extended safety and harm in Section B.7. Scenario analyses assuming the claim of superior safety and effectiveness of IVIg compared with steroids and plasma exchange will be performed. Due to the limited and poor quality evidence available for both intervention and comparators in CIDP, number of univariate sensitivity analyses will be performed and presented in Section D.6. </w:t>
      </w:r>
    </w:p>
    <w:p w14:paraId="402FC49A" w14:textId="77777777" w:rsidR="00837294" w:rsidRPr="0070331E" w:rsidRDefault="00837294" w:rsidP="00837294">
      <w:pPr>
        <w:spacing w:before="240"/>
        <w:rPr>
          <w:b/>
        </w:rPr>
      </w:pPr>
      <w:r w:rsidRPr="0070331E">
        <w:rPr>
          <w:b/>
        </w:rPr>
        <w:t>Assumptions</w:t>
      </w:r>
    </w:p>
    <w:p w14:paraId="03961174" w14:textId="77777777" w:rsidR="00837294" w:rsidRDefault="00113ADA" w:rsidP="000B596E">
      <w:pPr>
        <w:pStyle w:val="BodyTextSTD"/>
        <w:numPr>
          <w:ilvl w:val="0"/>
          <w:numId w:val="32"/>
        </w:numPr>
      </w:pPr>
      <w:r>
        <w:t>Treatment effects are assumed to be constant throughout the model.</w:t>
      </w:r>
    </w:p>
    <w:p w14:paraId="2F2849E3" w14:textId="77777777" w:rsidR="00113ADA" w:rsidRDefault="00C77C5C" w:rsidP="000B596E">
      <w:pPr>
        <w:pStyle w:val="BodyTextSTD"/>
        <w:numPr>
          <w:ilvl w:val="0"/>
          <w:numId w:val="32"/>
        </w:numPr>
      </w:pPr>
      <w:r>
        <w:t>Patients are 100% compliant to the treatment. It is assumed that non-compliance is captured in the estimated non-response, relapse and remission rates from the literature.</w:t>
      </w:r>
    </w:p>
    <w:p w14:paraId="37A74C87" w14:textId="77777777" w:rsidR="00C77C5C" w:rsidRDefault="00C77C5C" w:rsidP="000B596E">
      <w:pPr>
        <w:pStyle w:val="BodyTextSTD"/>
        <w:numPr>
          <w:ilvl w:val="0"/>
          <w:numId w:val="32"/>
        </w:numPr>
      </w:pPr>
      <w:r>
        <w:t>Intra-patient variability is not considered in the model. Range of analysis will be presented to capture the effect of patient variability.</w:t>
      </w:r>
    </w:p>
    <w:p w14:paraId="282FA053" w14:textId="77777777" w:rsidR="00C77C5C" w:rsidRDefault="00C77C5C" w:rsidP="000B596E">
      <w:pPr>
        <w:pStyle w:val="BodyTextSTD"/>
        <w:numPr>
          <w:ilvl w:val="0"/>
          <w:numId w:val="32"/>
        </w:numPr>
      </w:pPr>
      <w:r>
        <w:t>Monitoring costs included in the cost analysis vary depending on treatments. While monitoring for liver function, renal function and blood disorders are included for all, dexascan, vitamin D testing and diabetes tests are only associated with steroids use.</w:t>
      </w:r>
    </w:p>
    <w:p w14:paraId="46265C5B" w14:textId="04B3D64C" w:rsidR="00C77C5C" w:rsidRDefault="00C77C5C" w:rsidP="000B596E">
      <w:pPr>
        <w:pStyle w:val="BodyTextSTD"/>
        <w:numPr>
          <w:ilvl w:val="0"/>
          <w:numId w:val="32"/>
        </w:numPr>
      </w:pPr>
      <w:r>
        <w:t xml:space="preserve">Transient (mild) </w:t>
      </w:r>
      <w:r w:rsidR="00814E89">
        <w:t>AEs</w:t>
      </w:r>
      <w:r>
        <w:t xml:space="preserve"> are not included in the model as these are considered to have no or very low cost or health consequences.</w:t>
      </w:r>
    </w:p>
    <w:p w14:paraId="48B1DE7B" w14:textId="1F916685" w:rsidR="00C77C5C" w:rsidRDefault="00C77C5C" w:rsidP="000B596E">
      <w:pPr>
        <w:pStyle w:val="BodyTextSTD"/>
        <w:numPr>
          <w:ilvl w:val="0"/>
          <w:numId w:val="32"/>
        </w:numPr>
      </w:pPr>
      <w:r>
        <w:t xml:space="preserve">Moderate </w:t>
      </w:r>
      <w:r w:rsidR="00814E89">
        <w:t>AEs</w:t>
      </w:r>
      <w:r>
        <w:t xml:space="preserve"> associated with chronic steroids use </w:t>
      </w:r>
      <w:r w:rsidR="00E67765">
        <w:t xml:space="preserve">(diabetes, glaucoma, fractures, osteoporosis and serious infections) </w:t>
      </w:r>
      <w:r>
        <w:t xml:space="preserve">are </w:t>
      </w:r>
      <w:r w:rsidR="00E67765">
        <w:t xml:space="preserve">assumed to have a health impact for one year after stopping the treatment. It is assumed that patients with these </w:t>
      </w:r>
      <w:r w:rsidR="00814E89">
        <w:t>AEs</w:t>
      </w:r>
      <w:r w:rsidR="00E67765">
        <w:t xml:space="preserve"> will revert back to their original health one year after ceasing steroids therapy.</w:t>
      </w:r>
    </w:p>
    <w:p w14:paraId="6AB10333" w14:textId="77777777" w:rsidR="00732B1D" w:rsidRDefault="00732B1D" w:rsidP="000B596E">
      <w:pPr>
        <w:pStyle w:val="BodyTextSTD"/>
        <w:numPr>
          <w:ilvl w:val="0"/>
          <w:numId w:val="32"/>
        </w:numPr>
      </w:pPr>
      <w:r>
        <w:t>No clinical evidence was identified regarding long-term treatment effect of PE. Utility gain with PE treatment is considered similar to IVIg and the transition probabilities for</w:t>
      </w:r>
      <w:r w:rsidRPr="00732B1D">
        <w:t xml:space="preserve"> </w:t>
      </w:r>
      <w:r>
        <w:t xml:space="preserve">relapse are </w:t>
      </w:r>
      <w:r w:rsidR="003A6937">
        <w:t>used</w:t>
      </w:r>
      <w:r>
        <w:t xml:space="preserve"> from </w:t>
      </w:r>
      <w:r w:rsidR="003A6937">
        <w:t>Ig</w:t>
      </w:r>
      <w:r>
        <w:t xml:space="preserve"> studies.</w:t>
      </w:r>
    </w:p>
    <w:p w14:paraId="23D4B8A9" w14:textId="77777777" w:rsidR="00837294" w:rsidRPr="00DA3C6E" w:rsidRDefault="00837294" w:rsidP="00837294">
      <w:pPr>
        <w:pStyle w:val="Heading2"/>
        <w:numPr>
          <w:ilvl w:val="3"/>
          <w:numId w:val="10"/>
        </w:numPr>
        <w:jc w:val="both"/>
      </w:pPr>
      <w:bookmarkStart w:id="301" w:name="_Toc381796479"/>
      <w:bookmarkStart w:id="302" w:name="_Toc37845768"/>
      <w:bookmarkStart w:id="303" w:name="_Toc69305589"/>
      <w:r w:rsidRPr="00DA3C6E">
        <w:t>Inputs to the economic evaluation</w:t>
      </w:r>
      <w:bookmarkEnd w:id="301"/>
      <w:bookmarkEnd w:id="302"/>
      <w:bookmarkEnd w:id="303"/>
    </w:p>
    <w:p w14:paraId="32BCEBE9" w14:textId="77777777" w:rsidR="00837294" w:rsidRPr="00E07567" w:rsidRDefault="00837294" w:rsidP="00837294">
      <w:pPr>
        <w:pStyle w:val="Heading3"/>
      </w:pPr>
      <w:bookmarkStart w:id="304" w:name="_Toc23768053"/>
      <w:bookmarkStart w:id="305" w:name="_Toc69305590"/>
      <w:r w:rsidRPr="00E07567">
        <w:t>Patient Demographic inputs</w:t>
      </w:r>
      <w:bookmarkEnd w:id="304"/>
      <w:bookmarkEnd w:id="305"/>
    </w:p>
    <w:p w14:paraId="14B30C2F" w14:textId="40D2C111" w:rsidR="00837294" w:rsidRPr="00E07567" w:rsidRDefault="00837294" w:rsidP="00763450">
      <w:pPr>
        <w:pStyle w:val="BodyTextSTD"/>
      </w:pPr>
      <w:r w:rsidRPr="00E07567">
        <w:t xml:space="preserve">Inputs regarding the patient population are show in </w:t>
      </w:r>
      <w:r w:rsidRPr="00E07567">
        <w:fldChar w:fldCharType="begin"/>
      </w:r>
      <w:r w:rsidRPr="00E07567">
        <w:instrText xml:space="preserve"> REF _Ref14361554 \h  \* MERGEFORMAT </w:instrText>
      </w:r>
      <w:r w:rsidRPr="00E07567">
        <w:fldChar w:fldCharType="separate"/>
      </w:r>
      <w:r w:rsidR="004B3EA2" w:rsidRPr="00E07567">
        <w:t xml:space="preserve">Table </w:t>
      </w:r>
      <w:r w:rsidR="004B3EA2">
        <w:t>38</w:t>
      </w:r>
      <w:r w:rsidRPr="00E07567">
        <w:fldChar w:fldCharType="end"/>
      </w:r>
      <w:r w:rsidRPr="00E07567">
        <w:t>.</w:t>
      </w:r>
    </w:p>
    <w:p w14:paraId="33E725F1" w14:textId="1B5C1AA5" w:rsidR="00837294" w:rsidRPr="00E07567" w:rsidRDefault="00837294" w:rsidP="00837294">
      <w:pPr>
        <w:pStyle w:val="Caption"/>
      </w:pPr>
      <w:bookmarkStart w:id="306" w:name="_Ref14361554"/>
      <w:bookmarkStart w:id="307" w:name="_Toc23768914"/>
      <w:bookmarkStart w:id="308" w:name="_Toc69305679"/>
      <w:r w:rsidRPr="00E07567">
        <w:t xml:space="preserve">Table </w:t>
      </w:r>
      <w:r w:rsidRPr="00E07567">
        <w:rPr>
          <w:noProof/>
        </w:rPr>
        <w:fldChar w:fldCharType="begin"/>
      </w:r>
      <w:r w:rsidRPr="00E07567">
        <w:rPr>
          <w:noProof/>
        </w:rPr>
        <w:instrText xml:space="preserve"> SEQ Table \* ARABIC </w:instrText>
      </w:r>
      <w:r w:rsidRPr="00E07567">
        <w:rPr>
          <w:noProof/>
        </w:rPr>
        <w:fldChar w:fldCharType="separate"/>
      </w:r>
      <w:r w:rsidR="004B3EA2">
        <w:rPr>
          <w:noProof/>
        </w:rPr>
        <w:t>38</w:t>
      </w:r>
      <w:r w:rsidRPr="00E07567">
        <w:rPr>
          <w:noProof/>
        </w:rPr>
        <w:fldChar w:fldCharType="end"/>
      </w:r>
      <w:bookmarkEnd w:id="306"/>
      <w:r w:rsidRPr="00E07567">
        <w:rPr>
          <w:noProof/>
        </w:rPr>
        <w:tab/>
      </w:r>
      <w:r w:rsidRPr="00E07567">
        <w:t>Patient population inputs</w:t>
      </w:r>
      <w:bookmarkEnd w:id="307"/>
      <w:bookmarkEnd w:id="308"/>
    </w:p>
    <w:tbl>
      <w:tblPr>
        <w:tblStyle w:val="TableGrid"/>
        <w:tblW w:w="5000" w:type="pct"/>
        <w:tblLook w:val="04A0" w:firstRow="1" w:lastRow="0" w:firstColumn="1" w:lastColumn="0" w:noHBand="0" w:noVBand="1"/>
        <w:tblCaption w:val="Patient population inputs"/>
        <w:tblDescription w:val="Patient population inputs"/>
      </w:tblPr>
      <w:tblGrid>
        <w:gridCol w:w="3236"/>
        <w:gridCol w:w="1818"/>
        <w:gridCol w:w="3962"/>
      </w:tblGrid>
      <w:tr w:rsidR="00837294" w:rsidRPr="00E07567" w14:paraId="3B4F96E6" w14:textId="77777777" w:rsidTr="00BB43B6">
        <w:trPr>
          <w:tblHeader/>
        </w:trPr>
        <w:tc>
          <w:tcPr>
            <w:tcW w:w="1795" w:type="pct"/>
          </w:tcPr>
          <w:p w14:paraId="45A7513D" w14:textId="77777777" w:rsidR="00837294" w:rsidRPr="00E07567" w:rsidRDefault="00837294" w:rsidP="00857754">
            <w:pPr>
              <w:keepNext/>
              <w:spacing w:before="40" w:after="40" w:line="240" w:lineRule="auto"/>
              <w:ind w:left="0"/>
              <w:rPr>
                <w:rFonts w:ascii="Arial Narrow" w:hAnsi="Arial Narrow"/>
                <w:b/>
                <w:sz w:val="20"/>
                <w:szCs w:val="20"/>
              </w:rPr>
            </w:pPr>
            <w:r w:rsidRPr="00E07567">
              <w:rPr>
                <w:rFonts w:ascii="Arial Narrow" w:hAnsi="Arial Narrow"/>
                <w:b/>
                <w:sz w:val="20"/>
                <w:szCs w:val="20"/>
              </w:rPr>
              <w:t>Description</w:t>
            </w:r>
          </w:p>
        </w:tc>
        <w:tc>
          <w:tcPr>
            <w:tcW w:w="1008" w:type="pct"/>
          </w:tcPr>
          <w:p w14:paraId="3EE45DF6" w14:textId="77777777" w:rsidR="00837294" w:rsidRPr="00E07567" w:rsidRDefault="00837294" w:rsidP="00857754">
            <w:pPr>
              <w:keepNext/>
              <w:spacing w:before="40" w:after="40" w:line="240" w:lineRule="auto"/>
              <w:ind w:left="0"/>
              <w:jc w:val="center"/>
              <w:rPr>
                <w:rFonts w:ascii="Arial Narrow" w:hAnsi="Arial Narrow"/>
                <w:b/>
                <w:sz w:val="20"/>
                <w:szCs w:val="20"/>
              </w:rPr>
            </w:pPr>
            <w:r w:rsidRPr="00E07567">
              <w:rPr>
                <w:rFonts w:ascii="Arial Narrow" w:hAnsi="Arial Narrow"/>
                <w:b/>
                <w:sz w:val="20"/>
                <w:szCs w:val="20"/>
              </w:rPr>
              <w:t>Input value</w:t>
            </w:r>
          </w:p>
        </w:tc>
        <w:tc>
          <w:tcPr>
            <w:tcW w:w="2197" w:type="pct"/>
          </w:tcPr>
          <w:p w14:paraId="59F5872C" w14:textId="77777777" w:rsidR="00837294" w:rsidRPr="00E07567" w:rsidRDefault="00837294" w:rsidP="00857754">
            <w:pPr>
              <w:keepNext/>
              <w:spacing w:before="40" w:after="40" w:line="240" w:lineRule="auto"/>
              <w:ind w:left="0"/>
              <w:rPr>
                <w:rFonts w:ascii="Arial Narrow" w:hAnsi="Arial Narrow"/>
                <w:b/>
                <w:sz w:val="20"/>
                <w:szCs w:val="20"/>
              </w:rPr>
            </w:pPr>
            <w:r w:rsidRPr="00E07567">
              <w:rPr>
                <w:rFonts w:ascii="Arial Narrow" w:hAnsi="Arial Narrow"/>
                <w:b/>
                <w:sz w:val="20"/>
                <w:szCs w:val="20"/>
              </w:rPr>
              <w:t>Source</w:t>
            </w:r>
          </w:p>
        </w:tc>
      </w:tr>
      <w:tr w:rsidR="00837294" w:rsidRPr="00E07567" w14:paraId="55F9C03D" w14:textId="77777777" w:rsidTr="00857754">
        <w:tc>
          <w:tcPr>
            <w:tcW w:w="1795" w:type="pct"/>
          </w:tcPr>
          <w:p w14:paraId="775CCF51" w14:textId="77777777" w:rsidR="00837294" w:rsidRPr="00E07567" w:rsidRDefault="00837294" w:rsidP="00857754">
            <w:pPr>
              <w:spacing w:before="40" w:after="40" w:line="240" w:lineRule="auto"/>
              <w:ind w:left="0"/>
              <w:rPr>
                <w:rFonts w:ascii="Arial Narrow" w:hAnsi="Arial Narrow"/>
                <w:sz w:val="20"/>
                <w:szCs w:val="20"/>
              </w:rPr>
            </w:pPr>
            <w:r w:rsidRPr="00E07567">
              <w:rPr>
                <w:rFonts w:ascii="Arial Narrow" w:hAnsi="Arial Narrow"/>
                <w:sz w:val="20"/>
                <w:szCs w:val="20"/>
              </w:rPr>
              <w:t xml:space="preserve">Average </w:t>
            </w:r>
            <w:r>
              <w:rPr>
                <w:rFonts w:ascii="Arial Narrow" w:hAnsi="Arial Narrow"/>
                <w:sz w:val="20"/>
                <w:szCs w:val="20"/>
              </w:rPr>
              <w:t>p</w:t>
            </w:r>
            <w:r w:rsidRPr="00E07567">
              <w:rPr>
                <w:rFonts w:ascii="Arial Narrow" w:hAnsi="Arial Narrow"/>
                <w:sz w:val="20"/>
                <w:szCs w:val="20"/>
              </w:rPr>
              <w:t>atient weight (base case)</w:t>
            </w:r>
          </w:p>
        </w:tc>
        <w:tc>
          <w:tcPr>
            <w:tcW w:w="1008" w:type="pct"/>
          </w:tcPr>
          <w:p w14:paraId="3E8A477E" w14:textId="77777777" w:rsidR="00837294" w:rsidRPr="00E07567" w:rsidRDefault="00837294" w:rsidP="00857754">
            <w:pPr>
              <w:spacing w:before="40" w:after="40" w:line="240" w:lineRule="auto"/>
              <w:ind w:left="0"/>
              <w:jc w:val="center"/>
              <w:rPr>
                <w:rFonts w:ascii="Arial Narrow" w:hAnsi="Arial Narrow"/>
                <w:sz w:val="20"/>
                <w:szCs w:val="20"/>
              </w:rPr>
            </w:pPr>
            <w:r>
              <w:rPr>
                <w:rFonts w:ascii="Arial Narrow" w:hAnsi="Arial Narrow"/>
                <w:sz w:val="20"/>
                <w:szCs w:val="20"/>
              </w:rPr>
              <w:t>78 </w:t>
            </w:r>
            <w:r w:rsidRPr="00E07567">
              <w:rPr>
                <w:rFonts w:ascii="Arial Narrow" w:hAnsi="Arial Narrow"/>
                <w:sz w:val="20"/>
                <w:szCs w:val="20"/>
              </w:rPr>
              <w:t>kg</w:t>
            </w:r>
          </w:p>
        </w:tc>
        <w:tc>
          <w:tcPr>
            <w:tcW w:w="2197" w:type="pct"/>
          </w:tcPr>
          <w:p w14:paraId="59E58A5C" w14:textId="70457E84" w:rsidR="00837294" w:rsidRPr="00E07567" w:rsidRDefault="00837294" w:rsidP="00D726F6">
            <w:pPr>
              <w:spacing w:before="40" w:after="40" w:line="240" w:lineRule="auto"/>
              <w:ind w:left="0"/>
              <w:rPr>
                <w:rFonts w:ascii="Arial Narrow" w:hAnsi="Arial Narrow"/>
                <w:sz w:val="20"/>
                <w:szCs w:val="20"/>
              </w:rPr>
            </w:pPr>
            <w:r>
              <w:rPr>
                <w:rFonts w:ascii="Arial Narrow" w:hAnsi="Arial Narrow"/>
                <w:sz w:val="20"/>
                <w:szCs w:val="20"/>
              </w:rPr>
              <w:t>BloodS</w:t>
            </w:r>
            <w:r w:rsidRPr="00E07567">
              <w:rPr>
                <w:rFonts w:ascii="Arial Narrow" w:hAnsi="Arial Narrow"/>
                <w:sz w:val="20"/>
                <w:szCs w:val="20"/>
              </w:rPr>
              <w:t xml:space="preserve">tar data </w:t>
            </w:r>
            <w:r w:rsidR="00B727D6">
              <w:rPr>
                <w:rFonts w:ascii="Arial Narrow" w:hAnsi="Arial Narrow"/>
                <w:sz w:val="20"/>
                <w:szCs w:val="20"/>
              </w:rPr>
              <w:fldChar w:fldCharType="begin"/>
            </w:r>
            <w:r w:rsidR="00B727D6">
              <w:rPr>
                <w:rFonts w:ascii="Arial Narrow" w:hAnsi="Arial Narrow"/>
                <w:sz w:val="20"/>
                <w:szCs w:val="20"/>
              </w:rPr>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rPr>
                <w:rFonts w:ascii="Arial Narrow" w:hAnsi="Arial Narrow"/>
                <w:sz w:val="20"/>
                <w:szCs w:val="20"/>
              </w:rPr>
              <w:fldChar w:fldCharType="separate"/>
            </w:r>
            <w:r w:rsidR="00B727D6">
              <w:rPr>
                <w:rFonts w:ascii="Arial Narrow" w:hAnsi="Arial Narrow"/>
                <w:noProof/>
                <w:sz w:val="20"/>
                <w:szCs w:val="20"/>
              </w:rPr>
              <w:t>(</w:t>
            </w:r>
            <w:hyperlink w:anchor="_ENREF_14" w:tooltip="Department of Health, 2021 #1953" w:history="1">
              <w:r w:rsidR="00D726F6">
                <w:rPr>
                  <w:rFonts w:ascii="Arial Narrow" w:hAnsi="Arial Narrow"/>
                  <w:noProof/>
                  <w:sz w:val="20"/>
                  <w:szCs w:val="20"/>
                </w:rPr>
                <w:t>Department of Health 2021c</w:t>
              </w:r>
            </w:hyperlink>
            <w:r w:rsidR="00B727D6">
              <w:rPr>
                <w:rFonts w:ascii="Arial Narrow" w:hAnsi="Arial Narrow"/>
                <w:noProof/>
                <w:sz w:val="20"/>
                <w:szCs w:val="20"/>
              </w:rPr>
              <w:t>)</w:t>
            </w:r>
            <w:r w:rsidR="00B727D6">
              <w:rPr>
                <w:rFonts w:ascii="Arial Narrow" w:hAnsi="Arial Narrow"/>
                <w:sz w:val="20"/>
                <w:szCs w:val="20"/>
              </w:rPr>
              <w:fldChar w:fldCharType="end"/>
            </w:r>
          </w:p>
        </w:tc>
      </w:tr>
      <w:tr w:rsidR="00837294" w:rsidRPr="0055690A" w14:paraId="2563F1AD" w14:textId="77777777" w:rsidTr="00857754">
        <w:tc>
          <w:tcPr>
            <w:tcW w:w="1795" w:type="pct"/>
          </w:tcPr>
          <w:p w14:paraId="6950D5AD" w14:textId="77777777" w:rsidR="00837294" w:rsidRPr="00E07567" w:rsidRDefault="00837294" w:rsidP="00857754">
            <w:pPr>
              <w:spacing w:before="40" w:after="40" w:line="240" w:lineRule="auto"/>
              <w:ind w:left="0"/>
              <w:rPr>
                <w:rFonts w:ascii="Arial Narrow" w:hAnsi="Arial Narrow"/>
                <w:sz w:val="20"/>
                <w:szCs w:val="20"/>
              </w:rPr>
            </w:pPr>
            <w:r>
              <w:rPr>
                <w:rFonts w:ascii="Arial Narrow" w:hAnsi="Arial Narrow"/>
                <w:sz w:val="20"/>
                <w:szCs w:val="20"/>
              </w:rPr>
              <w:t>Average age (years)</w:t>
            </w:r>
          </w:p>
        </w:tc>
        <w:tc>
          <w:tcPr>
            <w:tcW w:w="1008" w:type="pct"/>
          </w:tcPr>
          <w:p w14:paraId="5D222ECE" w14:textId="77777777" w:rsidR="00837294" w:rsidRPr="00E07567" w:rsidRDefault="00837294" w:rsidP="00857754">
            <w:pPr>
              <w:spacing w:before="40" w:after="40" w:line="240" w:lineRule="auto"/>
              <w:ind w:left="0"/>
              <w:jc w:val="center"/>
              <w:rPr>
                <w:rFonts w:ascii="Arial Narrow" w:hAnsi="Arial Narrow"/>
                <w:sz w:val="20"/>
                <w:szCs w:val="20"/>
              </w:rPr>
            </w:pPr>
            <w:r>
              <w:rPr>
                <w:rFonts w:ascii="Arial Narrow" w:hAnsi="Arial Narrow"/>
                <w:sz w:val="20"/>
                <w:szCs w:val="20"/>
              </w:rPr>
              <w:t>65</w:t>
            </w:r>
          </w:p>
        </w:tc>
        <w:tc>
          <w:tcPr>
            <w:tcW w:w="2197" w:type="pct"/>
          </w:tcPr>
          <w:p w14:paraId="036A7054" w14:textId="351389E3" w:rsidR="00837294" w:rsidRPr="00E07567" w:rsidRDefault="00837294" w:rsidP="00D726F6">
            <w:pPr>
              <w:spacing w:before="40" w:after="40" w:line="240" w:lineRule="auto"/>
              <w:ind w:left="0"/>
              <w:rPr>
                <w:rFonts w:ascii="Arial Narrow" w:hAnsi="Arial Narrow"/>
                <w:sz w:val="20"/>
                <w:szCs w:val="20"/>
              </w:rPr>
            </w:pPr>
            <w:r>
              <w:rPr>
                <w:rFonts w:ascii="Arial Narrow" w:hAnsi="Arial Narrow"/>
                <w:sz w:val="20"/>
                <w:szCs w:val="20"/>
              </w:rPr>
              <w:t>BloodS</w:t>
            </w:r>
            <w:r w:rsidRPr="00E07567">
              <w:rPr>
                <w:rFonts w:ascii="Arial Narrow" w:hAnsi="Arial Narrow"/>
                <w:sz w:val="20"/>
                <w:szCs w:val="20"/>
              </w:rPr>
              <w:t xml:space="preserve">tar data </w:t>
            </w:r>
            <w:r w:rsidR="00B727D6">
              <w:rPr>
                <w:rFonts w:ascii="Arial Narrow" w:hAnsi="Arial Narrow"/>
                <w:sz w:val="20"/>
                <w:szCs w:val="20"/>
              </w:rPr>
              <w:fldChar w:fldCharType="begin"/>
            </w:r>
            <w:r w:rsidR="00B727D6">
              <w:rPr>
                <w:rFonts w:ascii="Arial Narrow" w:hAnsi="Arial Narrow"/>
                <w:sz w:val="20"/>
                <w:szCs w:val="20"/>
              </w:rPr>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rPr>
                <w:rFonts w:ascii="Arial Narrow" w:hAnsi="Arial Narrow"/>
                <w:sz w:val="20"/>
                <w:szCs w:val="20"/>
              </w:rPr>
              <w:fldChar w:fldCharType="separate"/>
            </w:r>
            <w:r w:rsidR="00B727D6">
              <w:rPr>
                <w:rFonts w:ascii="Arial Narrow" w:hAnsi="Arial Narrow"/>
                <w:noProof/>
                <w:sz w:val="20"/>
                <w:szCs w:val="20"/>
              </w:rPr>
              <w:t>(</w:t>
            </w:r>
            <w:hyperlink w:anchor="_ENREF_14" w:tooltip="Department of Health, 2021 #1953" w:history="1">
              <w:r w:rsidR="00D726F6">
                <w:rPr>
                  <w:rFonts w:ascii="Arial Narrow" w:hAnsi="Arial Narrow"/>
                  <w:noProof/>
                  <w:sz w:val="20"/>
                  <w:szCs w:val="20"/>
                </w:rPr>
                <w:t>Department of Health 2021c</w:t>
              </w:r>
            </w:hyperlink>
            <w:r w:rsidR="00B727D6">
              <w:rPr>
                <w:rFonts w:ascii="Arial Narrow" w:hAnsi="Arial Narrow"/>
                <w:noProof/>
                <w:sz w:val="20"/>
                <w:szCs w:val="20"/>
              </w:rPr>
              <w:t>)</w:t>
            </w:r>
            <w:r w:rsidR="00B727D6">
              <w:rPr>
                <w:rFonts w:ascii="Arial Narrow" w:hAnsi="Arial Narrow"/>
                <w:sz w:val="20"/>
                <w:szCs w:val="20"/>
              </w:rPr>
              <w:fldChar w:fldCharType="end"/>
            </w:r>
          </w:p>
        </w:tc>
      </w:tr>
      <w:tr w:rsidR="00356010" w:rsidRPr="0055690A" w14:paraId="022B6A86" w14:textId="77777777" w:rsidTr="00857754">
        <w:tc>
          <w:tcPr>
            <w:tcW w:w="1795" w:type="pct"/>
          </w:tcPr>
          <w:p w14:paraId="532E90EB" w14:textId="50DEB5FA" w:rsidR="00356010" w:rsidRDefault="00356010" w:rsidP="00E11A7D">
            <w:pPr>
              <w:spacing w:before="40" w:after="40" w:line="240" w:lineRule="auto"/>
              <w:ind w:left="0"/>
              <w:rPr>
                <w:rFonts w:ascii="Arial Narrow" w:hAnsi="Arial Narrow"/>
                <w:sz w:val="20"/>
                <w:szCs w:val="20"/>
              </w:rPr>
            </w:pPr>
            <w:r>
              <w:rPr>
                <w:rFonts w:ascii="Arial Narrow" w:hAnsi="Arial Narrow"/>
                <w:sz w:val="20"/>
                <w:szCs w:val="20"/>
              </w:rPr>
              <w:t>Proportion of males</w:t>
            </w:r>
          </w:p>
        </w:tc>
        <w:tc>
          <w:tcPr>
            <w:tcW w:w="1008" w:type="pct"/>
          </w:tcPr>
          <w:p w14:paraId="3C7A58D2" w14:textId="6B13BFF3" w:rsidR="00356010" w:rsidRDefault="00356010" w:rsidP="00E11A7D">
            <w:pPr>
              <w:spacing w:before="40" w:after="40" w:line="240" w:lineRule="auto"/>
              <w:rPr>
                <w:rFonts w:ascii="Arial Narrow" w:hAnsi="Arial Narrow"/>
                <w:sz w:val="20"/>
                <w:szCs w:val="20"/>
              </w:rPr>
            </w:pPr>
            <w:r>
              <w:rPr>
                <w:rFonts w:ascii="Arial Narrow" w:hAnsi="Arial Narrow"/>
                <w:sz w:val="20"/>
                <w:szCs w:val="20"/>
              </w:rPr>
              <w:t>58.8%</w:t>
            </w:r>
          </w:p>
        </w:tc>
        <w:tc>
          <w:tcPr>
            <w:tcW w:w="2197" w:type="pct"/>
          </w:tcPr>
          <w:p w14:paraId="3CAE34C6" w14:textId="499D8DB9" w:rsidR="00356010" w:rsidRDefault="00356010" w:rsidP="00D726F6">
            <w:pPr>
              <w:spacing w:before="40" w:after="40" w:line="240" w:lineRule="auto"/>
              <w:ind w:left="0"/>
              <w:rPr>
                <w:rFonts w:ascii="Arial Narrow" w:hAnsi="Arial Narrow"/>
                <w:sz w:val="20"/>
                <w:szCs w:val="20"/>
              </w:rPr>
            </w:pPr>
            <w:r>
              <w:rPr>
                <w:rFonts w:ascii="Arial Narrow" w:hAnsi="Arial Narrow"/>
                <w:sz w:val="20"/>
                <w:szCs w:val="20"/>
              </w:rPr>
              <w:t>BloodS</w:t>
            </w:r>
            <w:r w:rsidRPr="00E07567">
              <w:rPr>
                <w:rFonts w:ascii="Arial Narrow" w:hAnsi="Arial Narrow"/>
                <w:sz w:val="20"/>
                <w:szCs w:val="20"/>
              </w:rPr>
              <w:t xml:space="preserve">tar data </w:t>
            </w:r>
            <w:r w:rsidR="00B727D6">
              <w:rPr>
                <w:rFonts w:ascii="Arial Narrow" w:hAnsi="Arial Narrow"/>
                <w:sz w:val="20"/>
                <w:szCs w:val="20"/>
              </w:rPr>
              <w:fldChar w:fldCharType="begin"/>
            </w:r>
            <w:r w:rsidR="00B727D6">
              <w:rPr>
                <w:rFonts w:ascii="Arial Narrow" w:hAnsi="Arial Narrow"/>
                <w:sz w:val="20"/>
                <w:szCs w:val="20"/>
              </w:rPr>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rPr>
                <w:rFonts w:ascii="Arial Narrow" w:hAnsi="Arial Narrow"/>
                <w:sz w:val="20"/>
                <w:szCs w:val="20"/>
              </w:rPr>
              <w:fldChar w:fldCharType="separate"/>
            </w:r>
            <w:r w:rsidR="00B727D6">
              <w:rPr>
                <w:rFonts w:ascii="Arial Narrow" w:hAnsi="Arial Narrow"/>
                <w:noProof/>
                <w:sz w:val="20"/>
                <w:szCs w:val="20"/>
              </w:rPr>
              <w:t>(</w:t>
            </w:r>
            <w:hyperlink w:anchor="_ENREF_14" w:tooltip="Department of Health, 2021 #1953" w:history="1">
              <w:r w:rsidR="00D726F6">
                <w:rPr>
                  <w:rFonts w:ascii="Arial Narrow" w:hAnsi="Arial Narrow"/>
                  <w:noProof/>
                  <w:sz w:val="20"/>
                  <w:szCs w:val="20"/>
                </w:rPr>
                <w:t>Department of Health 2021c</w:t>
              </w:r>
            </w:hyperlink>
            <w:r w:rsidR="00B727D6">
              <w:rPr>
                <w:rFonts w:ascii="Arial Narrow" w:hAnsi="Arial Narrow"/>
                <w:noProof/>
                <w:sz w:val="20"/>
                <w:szCs w:val="20"/>
              </w:rPr>
              <w:t>)</w:t>
            </w:r>
            <w:r w:rsidR="00B727D6">
              <w:rPr>
                <w:rFonts w:ascii="Arial Narrow" w:hAnsi="Arial Narrow"/>
                <w:sz w:val="20"/>
                <w:szCs w:val="20"/>
              </w:rPr>
              <w:fldChar w:fldCharType="end"/>
            </w:r>
          </w:p>
        </w:tc>
      </w:tr>
    </w:tbl>
    <w:p w14:paraId="063B454E" w14:textId="77777777" w:rsidR="00837294" w:rsidRDefault="00837294" w:rsidP="00195840">
      <w:pPr>
        <w:pStyle w:val="Tablenotes1"/>
        <w:rPr>
          <w:snapToGrid w:val="0"/>
        </w:rPr>
      </w:pPr>
    </w:p>
    <w:p w14:paraId="2ADE7171" w14:textId="77777777" w:rsidR="00837294" w:rsidRDefault="00837294" w:rsidP="00763450">
      <w:pPr>
        <w:pStyle w:val="BodyTextSTD"/>
      </w:pPr>
      <w:r>
        <w:t>Patients entering the model are assumed to be 65 years old and weigh 78 kg.</w:t>
      </w:r>
    </w:p>
    <w:p w14:paraId="32B2C70E" w14:textId="77777777" w:rsidR="00F508FB" w:rsidRPr="001026E2" w:rsidRDefault="00F508FB" w:rsidP="00F508FB">
      <w:pPr>
        <w:rPr>
          <w:b/>
        </w:rPr>
      </w:pPr>
      <w:r w:rsidRPr="001026E2">
        <w:rPr>
          <w:b/>
        </w:rPr>
        <w:t>Mortality</w:t>
      </w:r>
    </w:p>
    <w:p w14:paraId="0F8B371C" w14:textId="1288B91C" w:rsidR="00F508FB" w:rsidRDefault="00F508FB" w:rsidP="00F508FB">
      <w:pPr>
        <w:pStyle w:val="BodyTextSTD"/>
      </w:pPr>
      <w:r w:rsidRPr="001026E2">
        <w:t>Two studies</w:t>
      </w:r>
      <w:r>
        <w:t xml:space="preserve"> </w:t>
      </w:r>
      <w:r w:rsidR="00B727D6">
        <w:fldChar w:fldCharType="begin">
          <w:fldData xml:space="preserve">PEVuZE5vdGU+PENpdGU+PEF1dGhvcj5IYWZzdGVpbnNkb3R0aXI8L0F1dGhvcj48WWVhcj4yMDE2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</w:fldData>
        </w:fldChar>
      </w:r>
      <w:r w:rsidR="00B727D6">
        <w:instrText xml:space="preserve"> ADDIN EN.CITE </w:instrText>
      </w:r>
      <w:r w:rsidR="00B727D6">
        <w:fldChar w:fldCharType="begin">
          <w:fldData xml:space="preserve">PEVuZE5vdGU+PENpdGU+PEF1dGhvcj5IYWZzdGVpbnNkb3R0aXI8L0F1dGhvcj48WWVhcj4yMDE2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24" w:tooltip="Hafsteinsdottir, 2016 #193" w:history="1">
        <w:r w:rsidR="00D726F6">
          <w:rPr>
            <w:noProof/>
          </w:rPr>
          <w:t>Hafsteinsdottir &amp; Olafsson 2016</w:t>
        </w:r>
      </w:hyperlink>
      <w:r w:rsidR="00B727D6">
        <w:rPr>
          <w:noProof/>
        </w:rPr>
        <w:t xml:space="preserve">; </w:t>
      </w:r>
      <w:hyperlink w:anchor="_ENREF_63" w:tooltip="Ryan, 2018 #64" w:history="1">
        <w:r w:rsidR="00D726F6">
          <w:rPr>
            <w:noProof/>
          </w:rPr>
          <w:t>Ryan &amp; Ryan 2018</w:t>
        </w:r>
      </w:hyperlink>
      <w:r w:rsidR="00B727D6">
        <w:rPr>
          <w:noProof/>
        </w:rPr>
        <w:t>)</w:t>
      </w:r>
      <w:r w:rsidR="00B727D6">
        <w:fldChar w:fldCharType="end"/>
      </w:r>
      <w:r w:rsidRPr="001026E2">
        <w:t xml:space="preserve"> investigating survival in patients with CIDP </w:t>
      </w:r>
      <w:r>
        <w:t xml:space="preserve">have reported that the standardised mortality ratio for CIDP patients do not vary from mortality rate in general population </w:t>
      </w:r>
      <w:r w:rsidR="00B727D6">
        <w:fldChar w:fldCharType="begin"/>
      </w:r>
      <w:r w:rsidR="00B727D6">
        <w:instrText xml:space="preserve"> ADDIN EN.CITE &lt;EndNote&gt;&lt;Cite&gt;&lt;Author&gt;Querol&lt;/Author&gt;&lt;Year&gt;2020&lt;/Year&gt;&lt;RecNum&gt;122&lt;/RecNum&gt;&lt;DisplayText&gt;(Querol et al. 2020)&lt;/DisplayText&gt;&lt;record&gt;&lt;rec-number&gt;122&lt;/rec-number&gt;&lt;foreign-keys&gt;&lt;key app="EN" db-id="xtr5xfx2xf0wd7e0s2qvst2ietxxf0tpzr9v" timestamp="1602211249"&gt;122&lt;/key&gt;&lt;/foreign-keys&gt;&lt;ref-type name="Journal Article"&gt;17&lt;/ref-type&gt;&lt;contributors&gt;&lt;authors&gt;&lt;author&gt;Querol, L.&lt;/author&gt;&lt;author&gt;Crabtree, M.&lt;/author&gt;&lt;author&gt;Herepath, M.&lt;/author&gt;&lt;author&gt;Priedane, E.&lt;/author&gt;&lt;author&gt;Viejo Viejo, I.&lt;/author&gt;&lt;author&gt;Agush, S.&lt;/author&gt;&lt;author&gt;Sommerer, P.&lt;/author&gt;&lt;/authors&gt;&lt;/contributors&gt;&lt;auth-address&gt;Institut de Recerca Biomèdica Sant Pau, Barcelona, Spain. LQuerol@santpau.cat.&amp;#xD;Huron Consulting Group, London, UK.&amp;#xD;Optimal Access Life Science Consulting Limited, Swansea, UK.&amp;#xD;CSL Behring, Hattersheim, Germany.&lt;/auth-address&gt;&lt;titles&gt;&lt;title&gt;Systematic literature review of burden of illness in chronic inflammatory demyelinating polyneuropathy (CIDP)&lt;/title&gt;&lt;secondary-title&gt;J Neurol&lt;/secondary-title&gt;&lt;/titles&gt;&lt;periodical&gt;&lt;full-title&gt;J Neurol&lt;/full-title&gt;&lt;/periodical&gt;&lt;edition&gt;2020/06/26&lt;/edition&gt;&lt;keywords&gt;&lt;keyword&gt;Burden&lt;/keyword&gt;&lt;keyword&gt;Cidp&lt;/keyword&gt;&lt;keyword&gt;Cost&lt;/keyword&gt;&lt;keyword&gt;Epidemiology&lt;/keyword&gt;&lt;keyword&gt;QoL&lt;/keyword&gt;&lt;keyword&gt;Treatment&lt;/keyword&gt;&lt;/keywords&gt;&lt;dates&gt;&lt;year&gt;2020&lt;/year&gt;&lt;pub-dates&gt;&lt;date&gt;Jun 24&lt;/date&gt;&lt;/pub-dates&gt;&lt;/dates&gt;&lt;isbn&gt;1432-1459 (Electronic)&amp;#xD;0340-5354 (Linking)&lt;/isbn&gt;&lt;accession-num&gt;32583051&lt;/accession-num&gt;&lt;urls&gt;&lt;related-urls&gt;&lt;url&gt;https://link.springer.com/content/pdf/10.1007/s00415-020-09998-8.pdf&lt;/url&gt;&lt;/related-urls&gt;&lt;/urls&gt;&lt;electronic-resource-num&gt;10.1007/s00415-020-09998-8&lt;/electronic-resource-num&gt;&lt;remote-database-provider&gt;NLM&lt;/remote-database-provider&gt;&lt;language&gt;eng&lt;/language&gt;&lt;/record&gt;&lt;/Cite&gt;&lt;/EndNote&gt;</w:instrText>
      </w:r>
      <w:r w:rsidR="00B727D6">
        <w:fldChar w:fldCharType="separate"/>
      </w:r>
      <w:r w:rsidR="00B727D6">
        <w:rPr>
          <w:noProof/>
        </w:rPr>
        <w:t>(</w:t>
      </w:r>
      <w:hyperlink w:anchor="_ENREF_57" w:tooltip="Querol, 2020 #122" w:history="1">
        <w:r w:rsidR="00D726F6">
          <w:rPr>
            <w:noProof/>
          </w:rPr>
          <w:t>Querol et al. 2020</w:t>
        </w:r>
      </w:hyperlink>
      <w:r w:rsidR="00B727D6">
        <w:rPr>
          <w:noProof/>
        </w:rPr>
        <w:t>)</w:t>
      </w:r>
      <w:r w:rsidR="00B727D6">
        <w:fldChar w:fldCharType="end"/>
      </w:r>
      <w:r>
        <w:t xml:space="preserve">. Therefore, the age-specific mortality rates of the general Australian population sourced from the Australian Life Tables </w:t>
      </w:r>
      <w:r w:rsidR="00B727D6">
        <w:fldChar w:fldCharType="begin"/>
      </w:r>
      <w:r w:rsidR="00B727D6">
        <w:instrText xml:space="preserve"> ADDIN EN.CITE &lt;EndNote&gt;&lt;Cite&gt;&lt;Author&gt;ABS&lt;/Author&gt;&lt;Year&gt;2020&lt;/Year&gt;&lt;RecNum&gt;1956&lt;/RecNum&gt;&lt;DisplayText&gt;(ABS 2020b)&lt;/DisplayText&gt;&lt;record&gt;&lt;rec-number&gt;1956&lt;/rec-number&gt;&lt;foreign-keys&gt;&lt;key app="EN" db-id="xtr5xfx2xf0wd7e0s2qvst2ietxxf0tpzr9v" timestamp="1614735097"&gt;1956&lt;/key&gt;&lt;/foreign-keys&gt;&lt;ref-type name="Catalog"&gt;8&lt;/ref-type&gt;&lt;contributors&gt;&lt;authors&gt;&lt;author&gt;ABS,&lt;/author&gt;&lt;/authors&gt;&lt;secondary-authors&gt;&lt;author&gt;Australian Bureau of Statistics,&lt;/author&gt;&lt;/secondary-authors&gt;&lt;/contributors&gt;&lt;titles&gt;&lt;title&gt;Table 1.9 Life Tables, Australia, 2017-2019&lt;/title&gt;&lt;/titles&gt;&lt;num-vols&gt;3302055001DO001_20172019&lt;/num-vols&gt;&lt;dates&gt;&lt;year&gt;2020&lt;/year&gt;&lt;/dates&gt;&lt;pub-location&gt;Canberra&lt;/pub-location&gt;&lt;urls&gt;&lt;related-urls&gt;&lt;url&gt;https://www.abs.gov.au/statistics/people/population/life-tables/2017-2019&lt;/url&gt;&lt;/related-urls&gt;&lt;/urls&gt;&lt;access-date&gt;20 January 2021&lt;/access-date&gt;&lt;/record&gt;&lt;/Cite&gt;&lt;/EndNote&gt;</w:instrText>
      </w:r>
      <w:r w:rsidR="00B727D6">
        <w:fldChar w:fldCharType="separate"/>
      </w:r>
      <w:r w:rsidR="00B727D6">
        <w:rPr>
          <w:noProof/>
        </w:rPr>
        <w:t>(</w:t>
      </w:r>
      <w:hyperlink w:anchor="_ENREF_3" w:tooltip="ABS, 2020 #1956" w:history="1">
        <w:r w:rsidR="00D726F6">
          <w:rPr>
            <w:noProof/>
          </w:rPr>
          <w:t>ABS 2020b</w:t>
        </w:r>
      </w:hyperlink>
      <w:r w:rsidR="00B727D6">
        <w:rPr>
          <w:noProof/>
        </w:rPr>
        <w:t>)</w:t>
      </w:r>
      <w:r w:rsidR="00B727D6">
        <w:fldChar w:fldCharType="end"/>
      </w:r>
      <w:r>
        <w:t xml:space="preserve"> are applied in the model. </w:t>
      </w:r>
    </w:p>
    <w:p w14:paraId="6ACDEA89" w14:textId="2232273D" w:rsidR="00F508FB" w:rsidRDefault="00F508FB" w:rsidP="00F508FB">
      <w:pPr>
        <w:pStyle w:val="BodyTextSTD"/>
      </w:pPr>
      <w:r>
        <w:t xml:space="preserve">Incidence rate ratio (IRR) for mortality of 1.2 estimated from the study by Wilson et al </w:t>
      </w:r>
      <w:r w:rsidR="00B727D6">
        <w:fldChar w:fldCharType="begin"/>
      </w:r>
      <w:r w:rsidR="00B727D6">
        <w:instrText xml:space="preserve"> ADDIN EN.CITE &lt;EndNote&gt;&lt;Cite&gt;&lt;Author&gt;Wilson&lt;/Author&gt;&lt;Year&gt;2017&lt;/Year&gt;&lt;RecNum&gt;1899&lt;/RecNum&gt;&lt;DisplayText&gt;(Wilson, Jessica C. et al. 2017)&lt;/DisplayText&gt;&lt;record&gt;&lt;rec-number&gt;1899&lt;/rec-number&gt;&lt;foreign-keys&gt;&lt;key app="EN" db-id="xtr5xfx2xf0wd7e0s2qvst2ietxxf0tpzr9v" timestamp="1604874061"&gt;1899&lt;/key&gt;&lt;/foreign-keys&gt;&lt;ref-type name="Journal Article"&gt;17&lt;/ref-type&gt;&lt;contributors&gt;&lt;authors&gt;&lt;author&gt;Wilson, Jessica C.&lt;/author&gt;&lt;author&gt;Sarsour, Khaled&lt;/author&gt;&lt;author&gt;Collinson, Neil&lt;/author&gt;&lt;author&gt;Tuckwell, Katie&lt;/author&gt;&lt;author&gt;Musselman, David&lt;/author&gt;&lt;author&gt;Klearman, Micki&lt;/author&gt;&lt;author&gt;Napalkov, Pavel&lt;/author&gt;&lt;author&gt;Jick, Susan S.&lt;/author&gt;&lt;author&gt;Stone, John H.&lt;/author&gt;&lt;author&gt;Meier, Christoph R.&lt;/author&gt;&lt;/authors&gt;&lt;/contributors&gt;&lt;titles&gt;&lt;title&gt;Incidence of outcomes potentially associated with corticosteroid therapy in patients with giant cell arteritis&lt;/title&gt;&lt;secondary-title&gt;Seminars in Arthritis and Rheumatism&lt;/secondary-title&gt;&lt;/titles&gt;&lt;periodical&gt;&lt;full-title&gt;Seminars in Arthritis and Rheumatism&lt;/full-title&gt;&lt;/periodical&gt;&lt;pages&gt;650-656&lt;/pages&gt;&lt;volume&gt;46&lt;/volume&gt;&lt;number&gt;5&lt;/number&gt;&lt;keywords&gt;&lt;keyword&gt;Corticosteroids&lt;/keyword&gt;&lt;keyword&gt;Giant cell arteritis&lt;/keyword&gt;&lt;keyword&gt;Health services research&lt;/keyword&gt;&lt;keyword&gt;Outcomes research&lt;/keyword&gt;&lt;keyword&gt;Serious adverse events&lt;/keyword&gt;&lt;/keywords&gt;&lt;dates&gt;&lt;year&gt;2017&lt;/year&gt;&lt;pub-dates&gt;&lt;date&gt;2017/04/01/&lt;/date&gt;&lt;/pub-dates&gt;&lt;/dates&gt;&lt;isbn&gt;0049-0172&lt;/isbn&gt;&lt;urls&gt;&lt;related-urls&gt;&lt;url&gt;http://www.sciencedirect.com/science/article/pii/S0049017216303420&lt;/url&gt;&lt;/related-urls&gt;&lt;/urls&gt;&lt;electronic-resource-num&gt;https://doi.org/10.1016/j.semarthrit.2016.10.001&lt;/electronic-resource-num&gt;&lt;/record&gt;&lt;/Cite&gt;&lt;/EndNote&gt;</w:instrText>
      </w:r>
      <w:r w:rsidR="00B727D6">
        <w:fldChar w:fldCharType="separate"/>
      </w:r>
      <w:r w:rsidR="00B727D6">
        <w:rPr>
          <w:noProof/>
        </w:rPr>
        <w:t>(</w:t>
      </w:r>
      <w:hyperlink w:anchor="_ENREF_81" w:tooltip="Wilson, 2017 #1899" w:history="1">
        <w:r w:rsidR="00D726F6">
          <w:rPr>
            <w:noProof/>
          </w:rPr>
          <w:t>Wilson, Jessica C. et al. 2017</w:t>
        </w:r>
      </w:hyperlink>
      <w:r w:rsidR="00B727D6">
        <w:rPr>
          <w:noProof/>
        </w:rPr>
        <w:t>)</w:t>
      </w:r>
      <w:r w:rsidR="00B727D6">
        <w:fldChar w:fldCharType="end"/>
      </w:r>
      <w:r>
        <w:t xml:space="preserve"> is applied to the background age-specific mortality risk to estimate the mortality risk associated with steroid use (see section C.3). Sensitivity analysis assesses the IRR of 1.1.</w:t>
      </w:r>
    </w:p>
    <w:p w14:paraId="78AB80E7" w14:textId="77777777" w:rsidR="00837294" w:rsidRDefault="00837294" w:rsidP="00837294">
      <w:pPr>
        <w:pStyle w:val="Heading3"/>
      </w:pPr>
      <w:bookmarkStart w:id="309" w:name="_Toc69305591"/>
      <w:r>
        <w:t>Transition probabilities</w:t>
      </w:r>
      <w:bookmarkEnd w:id="309"/>
    </w:p>
    <w:p w14:paraId="736AB302" w14:textId="2186EC9C" w:rsidR="0059447C" w:rsidRPr="00E8589E" w:rsidRDefault="00837294" w:rsidP="0059447C">
      <w:pPr>
        <w:pStyle w:val="BodyTextSTD"/>
      </w:pPr>
      <w:r>
        <w:t>Transition probabilities for each treatment arm are estimated from studies reporting short-term and long-term treatment outcomes for patients with CIDP</w:t>
      </w:r>
      <w:r w:rsidR="00FC5006">
        <w:t xml:space="preserve"> (</w:t>
      </w:r>
      <w:r w:rsidR="00FC5006">
        <w:fldChar w:fldCharType="begin"/>
      </w:r>
      <w:r w:rsidR="00FC5006">
        <w:instrText xml:space="preserve"> REF _Ref65856839 \h </w:instrText>
      </w:r>
      <w:r w:rsidR="00FC5006">
        <w:fldChar w:fldCharType="separate"/>
      </w:r>
      <w:r w:rsidR="004B3EA2" w:rsidRPr="001977C9">
        <w:t xml:space="preserve">Table </w:t>
      </w:r>
      <w:r w:rsidR="004B3EA2">
        <w:rPr>
          <w:noProof/>
        </w:rPr>
        <w:t>31</w:t>
      </w:r>
      <w:r w:rsidR="00FC5006">
        <w:fldChar w:fldCharType="end"/>
      </w:r>
      <w:r w:rsidR="00FC5006">
        <w:t>)</w:t>
      </w:r>
      <w:r>
        <w:t>.</w:t>
      </w:r>
    </w:p>
    <w:p w14:paraId="667D16ED" w14:textId="6D53E6A2" w:rsidR="00837294" w:rsidRDefault="0059447C" w:rsidP="0059447C">
      <w:pPr>
        <w:pStyle w:val="BodyTextSTD"/>
      </w:pPr>
      <w:r>
        <w:fldChar w:fldCharType="begin"/>
      </w:r>
      <w:r>
        <w:instrText xml:space="preserve"> REF _Ref68178130 \h </w:instrText>
      </w:r>
      <w:r>
        <w:fldChar w:fldCharType="separate"/>
      </w:r>
      <w:r w:rsidR="004B3EA2" w:rsidRPr="00DA3C6E">
        <w:t xml:space="preserve">Table </w:t>
      </w:r>
      <w:r w:rsidR="004B3EA2">
        <w:rPr>
          <w:noProof/>
        </w:rPr>
        <w:t>39</w:t>
      </w:r>
      <w:r>
        <w:fldChar w:fldCharType="end"/>
      </w:r>
      <w:r>
        <w:t xml:space="preserve"> </w:t>
      </w:r>
      <w:r w:rsidR="00F508FB" w:rsidRPr="00E8589E">
        <w:t>presents a summary of transition probabilities used in the model.</w:t>
      </w:r>
      <w:r w:rsidR="00F508FB">
        <w:t xml:space="preserve"> Section D.6 presents sensitivity analyses</w:t>
      </w:r>
      <w:r w:rsidR="00837294">
        <w:t xml:space="preserve"> using upper and lower bound of the parameter values found in these studies.</w:t>
      </w:r>
      <w:r w:rsidR="00727169">
        <w:t xml:space="preserve"> </w:t>
      </w:r>
    </w:p>
    <w:p w14:paraId="0F875938" w14:textId="77777777" w:rsidR="00D91768" w:rsidRDefault="00D91768" w:rsidP="00837294">
      <w:pPr>
        <w:pStyle w:val="Caption"/>
        <w:sectPr w:rsidR="00D91768" w:rsidSect="008A06D0">
          <w:pgSz w:w="11906" w:h="16838"/>
          <w:pgMar w:top="1440" w:right="1440" w:bottom="1440" w:left="1440" w:header="720" w:footer="720" w:gutter="0"/>
          <w:paperSrc w:first="7" w:other="7"/>
          <w:cols w:space="720"/>
          <w:docGrid w:linePitch="299"/>
        </w:sectPr>
      </w:pPr>
      <w:bookmarkStart w:id="310" w:name="_Ref30063374"/>
      <w:bookmarkStart w:id="311" w:name="_Toc30497478"/>
      <w:bookmarkStart w:id="312" w:name="_Toc33449609"/>
      <w:bookmarkStart w:id="313" w:name="_Toc37845834"/>
    </w:p>
    <w:p w14:paraId="67F65DA6" w14:textId="07F7AD7C" w:rsidR="008529AD" w:rsidRPr="00DA3C6E" w:rsidRDefault="008529AD" w:rsidP="008529AD">
      <w:pPr>
        <w:pStyle w:val="Caption"/>
      </w:pPr>
      <w:bookmarkStart w:id="314" w:name="_Ref68178130"/>
      <w:bookmarkStart w:id="315" w:name="_Toc69305680"/>
      <w:bookmarkEnd w:id="310"/>
      <w:bookmarkEnd w:id="311"/>
      <w:bookmarkEnd w:id="312"/>
      <w:bookmarkEnd w:id="313"/>
      <w:r w:rsidRPr="00DA3C6E">
        <w:t xml:space="preserve">Table </w:t>
      </w:r>
      <w:r w:rsidR="00003BA5">
        <w:fldChar w:fldCharType="begin"/>
      </w:r>
      <w:r w:rsidR="00003BA5">
        <w:instrText xml:space="preserve"> SEQ Table \* ARABIC </w:instrText>
      </w:r>
      <w:r w:rsidR="00003BA5">
        <w:fldChar w:fldCharType="separate"/>
      </w:r>
      <w:r w:rsidR="004B3EA2">
        <w:rPr>
          <w:noProof/>
        </w:rPr>
        <w:t>39</w:t>
      </w:r>
      <w:r w:rsidR="00003BA5">
        <w:rPr>
          <w:noProof/>
        </w:rPr>
        <w:fldChar w:fldCharType="end"/>
      </w:r>
      <w:bookmarkEnd w:id="314"/>
      <w:r>
        <w:rPr>
          <w:noProof/>
        </w:rPr>
        <w:tab/>
      </w:r>
      <w:r w:rsidRPr="00446B7D">
        <w:rPr>
          <w:noProof/>
        </w:rPr>
        <w:t>Transition probabilities</w:t>
      </w:r>
      <w:r>
        <w:rPr>
          <w:noProof/>
        </w:rPr>
        <w:t xml:space="preserve"> </w:t>
      </w:r>
      <w:r w:rsidRPr="00DA3C6E">
        <w:rPr>
          <w:noProof/>
        </w:rPr>
        <w:t>in the economic model</w:t>
      </w:r>
      <w:r>
        <w:rPr>
          <w:noProof/>
        </w:rPr>
        <w:t>s</w:t>
      </w:r>
      <w:bookmarkEnd w:id="315"/>
      <w:r>
        <w:rPr>
          <w:noProof/>
        </w:rPr>
        <w:t xml:space="preserve"> </w:t>
      </w:r>
    </w:p>
    <w:tbl>
      <w:tblPr>
        <w:tblStyle w:val="TableGrid"/>
        <w:tblW w:w="14029" w:type="dxa"/>
        <w:tblLook w:val="04A0" w:firstRow="1" w:lastRow="0" w:firstColumn="1" w:lastColumn="0" w:noHBand="0" w:noVBand="1"/>
        <w:tblCaption w:val="Transition probabilities in the economic models "/>
        <w:tblDescription w:val="Transition probabilities in the economic models "/>
      </w:tblPr>
      <w:tblGrid>
        <w:gridCol w:w="1696"/>
        <w:gridCol w:w="3686"/>
        <w:gridCol w:w="1559"/>
        <w:gridCol w:w="1276"/>
        <w:gridCol w:w="5812"/>
      </w:tblGrid>
      <w:tr w:rsidR="008529AD" w:rsidRPr="00012F4F" w14:paraId="3992FEC5" w14:textId="77777777" w:rsidTr="00CD16FE">
        <w:trPr>
          <w:tblHeader/>
        </w:trPr>
        <w:tc>
          <w:tcPr>
            <w:tcW w:w="1696" w:type="dxa"/>
          </w:tcPr>
          <w:p w14:paraId="7173A7B5" w14:textId="77777777" w:rsidR="008529AD" w:rsidRPr="00012F4F" w:rsidRDefault="008529AD" w:rsidP="00CD16FE">
            <w:pPr>
              <w:pStyle w:val="TableHeading"/>
              <w:ind w:left="0"/>
            </w:pPr>
            <w:r>
              <w:t>Transition Parameter</w:t>
            </w:r>
          </w:p>
        </w:tc>
        <w:tc>
          <w:tcPr>
            <w:tcW w:w="3686" w:type="dxa"/>
          </w:tcPr>
          <w:p w14:paraId="7CF5B500" w14:textId="77777777" w:rsidR="008529AD" w:rsidRDefault="008529AD" w:rsidP="00CD16FE">
            <w:pPr>
              <w:pStyle w:val="TableHeading"/>
              <w:ind w:left="0"/>
            </w:pPr>
            <w:r>
              <w:t>Description</w:t>
            </w:r>
          </w:p>
        </w:tc>
        <w:tc>
          <w:tcPr>
            <w:tcW w:w="1559" w:type="dxa"/>
          </w:tcPr>
          <w:p w14:paraId="792DB0B7" w14:textId="77777777" w:rsidR="008529AD" w:rsidRDefault="008529AD" w:rsidP="00CD16FE">
            <w:pPr>
              <w:pStyle w:val="TableHeading"/>
              <w:ind w:left="0"/>
            </w:pPr>
            <w:r>
              <w:t>Analysis</w:t>
            </w:r>
          </w:p>
        </w:tc>
        <w:tc>
          <w:tcPr>
            <w:tcW w:w="1276" w:type="dxa"/>
          </w:tcPr>
          <w:p w14:paraId="68E15616" w14:textId="77777777" w:rsidR="008529AD" w:rsidRPr="00012F4F" w:rsidRDefault="008529AD" w:rsidP="00CD16FE">
            <w:pPr>
              <w:pStyle w:val="TableHeading"/>
              <w:ind w:left="0"/>
            </w:pPr>
            <w:r>
              <w:t>Value(s) used</w:t>
            </w:r>
          </w:p>
        </w:tc>
        <w:tc>
          <w:tcPr>
            <w:tcW w:w="5812" w:type="dxa"/>
          </w:tcPr>
          <w:p w14:paraId="27B082B4" w14:textId="77777777" w:rsidR="008529AD" w:rsidRPr="00012F4F" w:rsidRDefault="008529AD" w:rsidP="00CD16FE">
            <w:pPr>
              <w:pStyle w:val="TableHeading"/>
              <w:ind w:left="0"/>
            </w:pPr>
            <w:r w:rsidRPr="00012F4F">
              <w:t>Source</w:t>
            </w:r>
          </w:p>
        </w:tc>
      </w:tr>
      <w:tr w:rsidR="008529AD" w:rsidRPr="000F18B2" w14:paraId="7DFDAA4C" w14:textId="77777777" w:rsidTr="00CD16FE">
        <w:trPr>
          <w:trHeight w:val="184"/>
        </w:trPr>
        <w:tc>
          <w:tcPr>
            <w:tcW w:w="14029" w:type="dxa"/>
            <w:gridSpan w:val="5"/>
            <w:shd w:val="clear" w:color="auto" w:fill="D9D9D9" w:themeFill="background1" w:themeFillShade="D9"/>
          </w:tcPr>
          <w:p w14:paraId="57449B10" w14:textId="77777777" w:rsidR="008529AD" w:rsidRPr="000F18B2" w:rsidRDefault="008529AD" w:rsidP="00CD16FE">
            <w:pPr>
              <w:spacing w:after="40" w:line="240" w:lineRule="auto"/>
              <w:ind w:left="0"/>
              <w:rPr>
                <w:rFonts w:ascii="Arial Narrow" w:hAnsi="Arial Narrow"/>
                <w:i/>
                <w:sz w:val="20"/>
                <w:szCs w:val="20"/>
              </w:rPr>
            </w:pPr>
            <w:r w:rsidRPr="000F18B2">
              <w:rPr>
                <w:rFonts w:ascii="Arial Narrow" w:hAnsi="Arial Narrow"/>
                <w:b/>
                <w:i/>
                <w:sz w:val="20"/>
                <w:szCs w:val="20"/>
              </w:rPr>
              <w:t>Intravenous Ig arm</w:t>
            </w:r>
          </w:p>
        </w:tc>
      </w:tr>
      <w:tr w:rsidR="008529AD" w:rsidRPr="00012F4F" w14:paraId="1DCA76EC" w14:textId="77777777" w:rsidTr="00CD16FE">
        <w:tc>
          <w:tcPr>
            <w:tcW w:w="1696" w:type="dxa"/>
            <w:vMerge w:val="restart"/>
          </w:tcPr>
          <w:p w14:paraId="077B1E9F" w14:textId="77777777" w:rsidR="008529AD" w:rsidRPr="00012F4F" w:rsidRDefault="008529AD" w:rsidP="00CD16FE">
            <w:pPr>
              <w:pStyle w:val="Tabletext1"/>
              <w:ind w:left="0"/>
            </w:pPr>
            <w:r>
              <w:t>‘Initial phase’ to ‘Maintenance phase’ (A→B)</w:t>
            </w:r>
          </w:p>
        </w:tc>
        <w:tc>
          <w:tcPr>
            <w:tcW w:w="3686" w:type="dxa"/>
            <w:vMerge w:val="restart"/>
          </w:tcPr>
          <w:p w14:paraId="19527ABA" w14:textId="77777777" w:rsidR="008529AD" w:rsidRDefault="008529AD" w:rsidP="00CD16FE">
            <w:pPr>
              <w:pStyle w:val="Tabletext1"/>
              <w:ind w:left="0"/>
            </w:pPr>
            <w:r>
              <w:t>Patients who respond to and tolerate initial treatment continue treatment (move to maintenance) after the first clinical review.</w:t>
            </w:r>
          </w:p>
        </w:tc>
        <w:tc>
          <w:tcPr>
            <w:tcW w:w="1559" w:type="dxa"/>
          </w:tcPr>
          <w:p w14:paraId="0C3AF78F" w14:textId="77777777" w:rsidR="008529AD" w:rsidRDefault="008529AD" w:rsidP="00CD16FE">
            <w:pPr>
              <w:pStyle w:val="Tabletext1"/>
              <w:ind w:left="0"/>
            </w:pPr>
            <w:r>
              <w:t>Trial-based</w:t>
            </w:r>
            <w:r w:rsidRPr="00012F4F">
              <w:t xml:space="preserve"> </w:t>
            </w:r>
          </w:p>
        </w:tc>
        <w:tc>
          <w:tcPr>
            <w:tcW w:w="1276" w:type="dxa"/>
          </w:tcPr>
          <w:p w14:paraId="4D37CF16" w14:textId="77777777" w:rsidR="008529AD" w:rsidRPr="00012F4F" w:rsidRDefault="008529AD" w:rsidP="00CD16FE">
            <w:pPr>
              <w:pStyle w:val="Tabletext1"/>
              <w:ind w:left="0"/>
            </w:pPr>
            <w:r>
              <w:t xml:space="preserve">NA </w:t>
            </w:r>
          </w:p>
        </w:tc>
        <w:tc>
          <w:tcPr>
            <w:tcW w:w="5812" w:type="dxa"/>
          </w:tcPr>
          <w:p w14:paraId="71106A49" w14:textId="46C3D009" w:rsidR="008529AD" w:rsidRPr="00012F4F" w:rsidRDefault="008529AD" w:rsidP="00D726F6">
            <w:pPr>
              <w:pStyle w:val="Tabletext1"/>
              <w:ind w:left="0"/>
            </w:pPr>
            <w:r>
              <w:t xml:space="preserve">No maintenance phase in clinical trial, </w: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Nobile-Orazio et al. 2012</w:t>
              </w:r>
            </w:hyperlink>
            <w:r w:rsidR="00B727D6">
              <w:rPr>
                <w:noProof/>
              </w:rPr>
              <w:t>)</w:t>
            </w:r>
            <w:r w:rsidR="00B727D6">
              <w:fldChar w:fldCharType="end"/>
            </w:r>
          </w:p>
        </w:tc>
      </w:tr>
      <w:tr w:rsidR="008529AD" w:rsidRPr="00134C6E" w14:paraId="537A3804" w14:textId="77777777" w:rsidTr="00CD16FE">
        <w:trPr>
          <w:trHeight w:val="629"/>
        </w:trPr>
        <w:tc>
          <w:tcPr>
            <w:tcW w:w="1696" w:type="dxa"/>
            <w:vMerge/>
          </w:tcPr>
          <w:p w14:paraId="7B40EDB5" w14:textId="77777777" w:rsidR="008529AD" w:rsidRDefault="008529AD" w:rsidP="00CD16FE">
            <w:pPr>
              <w:pStyle w:val="Tabletext1"/>
            </w:pPr>
          </w:p>
        </w:tc>
        <w:tc>
          <w:tcPr>
            <w:tcW w:w="3686" w:type="dxa"/>
            <w:vMerge/>
          </w:tcPr>
          <w:p w14:paraId="04EC3EE1" w14:textId="77777777" w:rsidR="008529AD" w:rsidRDefault="008529AD" w:rsidP="00CD16FE">
            <w:pPr>
              <w:pStyle w:val="Tabletext1"/>
            </w:pPr>
          </w:p>
        </w:tc>
        <w:tc>
          <w:tcPr>
            <w:tcW w:w="1559" w:type="dxa"/>
          </w:tcPr>
          <w:p w14:paraId="7634F69B" w14:textId="77777777" w:rsidR="008529AD" w:rsidRDefault="008529AD" w:rsidP="00CD16FE">
            <w:pPr>
              <w:pStyle w:val="Tabletext1"/>
              <w:ind w:left="0"/>
            </w:pPr>
            <w:r w:rsidRPr="00012F4F">
              <w:t xml:space="preserve">Modelled </w:t>
            </w:r>
          </w:p>
        </w:tc>
        <w:tc>
          <w:tcPr>
            <w:tcW w:w="1276" w:type="dxa"/>
          </w:tcPr>
          <w:p w14:paraId="68E59357" w14:textId="77777777" w:rsidR="008529AD" w:rsidRPr="00134C6E" w:rsidRDefault="008529AD" w:rsidP="00CD16FE">
            <w:pPr>
              <w:pStyle w:val="Tabletext1"/>
              <w:ind w:left="0"/>
            </w:pPr>
            <w:r w:rsidRPr="00134C6E">
              <w:t>1.0</w:t>
            </w:r>
          </w:p>
        </w:tc>
        <w:tc>
          <w:tcPr>
            <w:tcW w:w="5812" w:type="dxa"/>
          </w:tcPr>
          <w:p w14:paraId="4A525456" w14:textId="77777777" w:rsidR="008529AD" w:rsidRPr="00134C6E" w:rsidRDefault="008529AD" w:rsidP="00CD16FE">
            <w:pPr>
              <w:pStyle w:val="Tabletext1"/>
              <w:ind w:left="0"/>
            </w:pPr>
            <w:r w:rsidRPr="00134C6E">
              <w:t>Assumption, consistent with treatment algorithms and BloodStar criteria.</w:t>
            </w:r>
          </w:p>
        </w:tc>
      </w:tr>
      <w:tr w:rsidR="008529AD" w:rsidRPr="00012F4F" w14:paraId="75050AA5" w14:textId="77777777" w:rsidTr="00CD16FE">
        <w:tc>
          <w:tcPr>
            <w:tcW w:w="1696" w:type="dxa"/>
            <w:vMerge w:val="restart"/>
          </w:tcPr>
          <w:p w14:paraId="12C3C3F4" w14:textId="77777777" w:rsidR="008529AD" w:rsidRPr="00012F4F" w:rsidRDefault="008529AD" w:rsidP="00CD16FE">
            <w:pPr>
              <w:pStyle w:val="Tabletext1"/>
              <w:ind w:left="0"/>
            </w:pPr>
            <w:r w:rsidRPr="00012F4F">
              <w:t xml:space="preserve">‘Initial treatment’ to </w:t>
            </w:r>
            <w:r>
              <w:t>‘</w:t>
            </w:r>
            <w:r w:rsidRPr="00012F4F">
              <w:t xml:space="preserve">In </w:t>
            </w:r>
            <w:r w:rsidRPr="00446B7D">
              <w:t>remission (off-treatment)</w:t>
            </w:r>
            <w:r>
              <w:t xml:space="preserve"> (A→C)</w:t>
            </w:r>
          </w:p>
        </w:tc>
        <w:tc>
          <w:tcPr>
            <w:tcW w:w="3686" w:type="dxa"/>
            <w:vMerge w:val="restart"/>
          </w:tcPr>
          <w:p w14:paraId="7B411A97" w14:textId="77777777" w:rsidR="008529AD" w:rsidRDefault="008529AD" w:rsidP="00CD16FE">
            <w:pPr>
              <w:pStyle w:val="Tabletext1"/>
              <w:ind w:left="0"/>
            </w:pPr>
            <w:r>
              <w:t>Patients who respond to treatment, trial a cessation of therapy due to lack of disease activity/clinical need.</w:t>
            </w:r>
          </w:p>
        </w:tc>
        <w:tc>
          <w:tcPr>
            <w:tcW w:w="1559" w:type="dxa"/>
          </w:tcPr>
          <w:p w14:paraId="0BA6007B" w14:textId="77777777" w:rsidR="008529AD" w:rsidRDefault="008529AD" w:rsidP="00CD16FE">
            <w:pPr>
              <w:pStyle w:val="Tabletext1"/>
              <w:ind w:left="0"/>
            </w:pPr>
            <w:r>
              <w:t>Trial-based</w:t>
            </w:r>
            <w:r w:rsidRPr="00012F4F">
              <w:t xml:space="preserve"> </w:t>
            </w:r>
          </w:p>
        </w:tc>
        <w:tc>
          <w:tcPr>
            <w:tcW w:w="1276" w:type="dxa"/>
          </w:tcPr>
          <w:p w14:paraId="7A6D1844" w14:textId="77777777" w:rsidR="008529AD" w:rsidRPr="00134C6E" w:rsidRDefault="008529AD" w:rsidP="00CD16FE">
            <w:pPr>
              <w:pStyle w:val="Tabletext1"/>
              <w:ind w:left="0"/>
            </w:pPr>
            <w:r w:rsidRPr="00134C6E">
              <w:t xml:space="preserve">1.0 </w:t>
            </w:r>
          </w:p>
        </w:tc>
        <w:tc>
          <w:tcPr>
            <w:tcW w:w="5812" w:type="dxa"/>
          </w:tcPr>
          <w:p w14:paraId="4648E1A3" w14:textId="6110B46C" w:rsidR="008529AD" w:rsidRPr="00012F4F" w:rsidRDefault="00B727D6" w:rsidP="00D726F6">
            <w:pPr>
              <w:pStyle w:val="Tabletext1"/>
              <w:ind w:left="0"/>
            </w:pP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54" w:tooltip="Nobile-Orazio, 2012 #10" w:history="1">
              <w:r w:rsidR="00D726F6">
                <w:rPr>
                  <w:noProof/>
                </w:rPr>
                <w:t>Nobile-Orazio et al. 2012</w:t>
              </w:r>
            </w:hyperlink>
            <w:r>
              <w:rPr>
                <w:noProof/>
              </w:rPr>
              <w:t>)</w:t>
            </w:r>
            <w:r>
              <w:fldChar w:fldCharType="end"/>
            </w:r>
            <w:r w:rsidR="008529AD">
              <w:t xml:space="preserve">; </w:t>
            </w:r>
            <w:r w:rsidR="008529AD" w:rsidRPr="00134C6E">
              <w:t>all patients</w:t>
            </w:r>
            <w:r w:rsidR="008529AD">
              <w:t xml:space="preserve"> who responded to </w:t>
            </w:r>
            <w:r w:rsidR="005066A6">
              <w:t>treatment</w:t>
            </w:r>
            <w:r w:rsidR="008529AD">
              <w:t xml:space="preserve"> were off treatment (</w:t>
            </w:r>
            <w:r w:rsidR="008529AD" w:rsidRPr="00134C6E">
              <w:t>in remission</w:t>
            </w:r>
            <w:r w:rsidR="008529AD">
              <w:t>)</w:t>
            </w:r>
            <w:r w:rsidR="008529AD" w:rsidRPr="00134C6E">
              <w:t xml:space="preserve"> at 24 weeks.</w:t>
            </w:r>
          </w:p>
        </w:tc>
      </w:tr>
      <w:tr w:rsidR="008529AD" w:rsidRPr="00012F4F" w14:paraId="4C4589F1" w14:textId="77777777" w:rsidTr="00CD16FE">
        <w:tc>
          <w:tcPr>
            <w:tcW w:w="1696" w:type="dxa"/>
            <w:vMerge/>
          </w:tcPr>
          <w:p w14:paraId="5D765360" w14:textId="77777777" w:rsidR="008529AD" w:rsidRPr="00012F4F" w:rsidRDefault="008529AD" w:rsidP="00CD16FE">
            <w:pPr>
              <w:pStyle w:val="Tabletext1"/>
            </w:pPr>
          </w:p>
        </w:tc>
        <w:tc>
          <w:tcPr>
            <w:tcW w:w="3686" w:type="dxa"/>
            <w:vMerge/>
          </w:tcPr>
          <w:p w14:paraId="1F697866" w14:textId="77777777" w:rsidR="008529AD" w:rsidRDefault="008529AD" w:rsidP="00CD16FE">
            <w:pPr>
              <w:pStyle w:val="Tabletext1"/>
            </w:pPr>
          </w:p>
        </w:tc>
        <w:tc>
          <w:tcPr>
            <w:tcW w:w="1559" w:type="dxa"/>
          </w:tcPr>
          <w:p w14:paraId="2C3C9176" w14:textId="77777777" w:rsidR="008529AD" w:rsidRDefault="008529AD" w:rsidP="00CD16FE">
            <w:pPr>
              <w:pStyle w:val="Tabletext1"/>
              <w:ind w:left="0"/>
            </w:pPr>
            <w:r w:rsidRPr="00012F4F">
              <w:t xml:space="preserve">Modelled </w:t>
            </w:r>
          </w:p>
        </w:tc>
        <w:tc>
          <w:tcPr>
            <w:tcW w:w="1276" w:type="dxa"/>
          </w:tcPr>
          <w:p w14:paraId="2AA51C62" w14:textId="77777777" w:rsidR="008529AD" w:rsidRDefault="008529AD" w:rsidP="00CD16FE">
            <w:pPr>
              <w:pStyle w:val="Tabletext1"/>
              <w:ind w:left="0"/>
            </w:pPr>
            <w:r>
              <w:t>0.0527</w:t>
            </w:r>
          </w:p>
        </w:tc>
        <w:tc>
          <w:tcPr>
            <w:tcW w:w="5812" w:type="dxa"/>
          </w:tcPr>
          <w:p w14:paraId="1B3E9E24" w14:textId="36A89794" w:rsidR="008529AD" w:rsidRPr="004005B1" w:rsidRDefault="008529AD" w:rsidP="00CD16FE">
            <w:pPr>
              <w:pStyle w:val="Tabletext1"/>
              <w:ind w:left="0"/>
            </w:pPr>
            <w:r>
              <w:t xml:space="preserve">BloodStar data post second review, remission data – see </w:t>
            </w:r>
            <w:r>
              <w:fldChar w:fldCharType="begin"/>
            </w:r>
            <w:r>
              <w:instrText xml:space="preserve"> REF _Ref65856839 \h  \* MERGEFORMAT </w:instrText>
            </w:r>
            <w:r>
              <w:fldChar w:fldCharType="separate"/>
            </w:r>
            <w:r w:rsidR="004B3EA2" w:rsidRPr="001977C9">
              <w:t xml:space="preserve">Table </w:t>
            </w:r>
            <w:r w:rsidR="004B3EA2">
              <w:rPr>
                <w:noProof/>
              </w:rPr>
              <w:t>31</w:t>
            </w:r>
            <w:r>
              <w:fldChar w:fldCharType="end"/>
            </w:r>
          </w:p>
        </w:tc>
      </w:tr>
      <w:tr w:rsidR="008529AD" w:rsidRPr="00012F4F" w14:paraId="1187DB98" w14:textId="77777777" w:rsidTr="00CD16FE">
        <w:tc>
          <w:tcPr>
            <w:tcW w:w="1696" w:type="dxa"/>
            <w:vMerge/>
          </w:tcPr>
          <w:p w14:paraId="22C9CB9A" w14:textId="77777777" w:rsidR="008529AD" w:rsidRPr="00012F4F" w:rsidRDefault="008529AD" w:rsidP="00CD16FE">
            <w:pPr>
              <w:pStyle w:val="Tabletext1"/>
            </w:pPr>
          </w:p>
        </w:tc>
        <w:tc>
          <w:tcPr>
            <w:tcW w:w="3686" w:type="dxa"/>
            <w:vMerge/>
          </w:tcPr>
          <w:p w14:paraId="32949FBF" w14:textId="77777777" w:rsidR="008529AD" w:rsidRDefault="008529AD" w:rsidP="00CD16FE">
            <w:pPr>
              <w:pStyle w:val="Tabletext1"/>
            </w:pPr>
          </w:p>
        </w:tc>
        <w:tc>
          <w:tcPr>
            <w:tcW w:w="1559" w:type="dxa"/>
          </w:tcPr>
          <w:p w14:paraId="0AC14333" w14:textId="77777777" w:rsidR="008529AD" w:rsidRDefault="008529AD" w:rsidP="00CD16FE">
            <w:pPr>
              <w:pStyle w:val="Tabletext1"/>
              <w:ind w:left="0"/>
            </w:pPr>
            <w:r>
              <w:t>Sensitivity Analysis</w:t>
            </w:r>
          </w:p>
        </w:tc>
        <w:tc>
          <w:tcPr>
            <w:tcW w:w="1276" w:type="dxa"/>
          </w:tcPr>
          <w:p w14:paraId="333BA2B7" w14:textId="77777777" w:rsidR="008529AD" w:rsidRDefault="008529AD" w:rsidP="00CD16FE">
            <w:pPr>
              <w:pStyle w:val="Tabletext1"/>
              <w:ind w:left="0"/>
            </w:pPr>
            <w:r>
              <w:t>0.0057, 0.0612</w:t>
            </w:r>
          </w:p>
        </w:tc>
        <w:tc>
          <w:tcPr>
            <w:tcW w:w="5812" w:type="dxa"/>
          </w:tcPr>
          <w:p w14:paraId="11DE203F" w14:textId="5326FA59" w:rsidR="008529AD" w:rsidRPr="004005B1" w:rsidRDefault="008529AD" w:rsidP="00D726F6">
            <w:pPr>
              <w:pStyle w:val="Tabletext1"/>
              <w:ind w:left="0"/>
            </w:pPr>
            <w:r>
              <w:t xml:space="preserve">Upper and lower remission rate estimates in </w:t>
            </w:r>
            <w:r>
              <w:fldChar w:fldCharType="begin"/>
            </w:r>
            <w:r>
              <w:instrText xml:space="preserve"> REF _Ref65856839 \h </w:instrText>
            </w:r>
            <w:r>
              <w:fldChar w:fldCharType="separate"/>
            </w:r>
            <w:r w:rsidR="004B3EA2" w:rsidRPr="001977C9">
              <w:t xml:space="preserve">Table </w:t>
            </w:r>
            <w:r w:rsidR="004B3EA2">
              <w:rPr>
                <w:noProof/>
              </w:rPr>
              <w:t>31</w:t>
            </w:r>
            <w:r>
              <w:fldChar w:fldCharType="end"/>
            </w:r>
            <w:r>
              <w:t xml:space="preserve">; </w:t>
            </w:r>
            <w:r w:rsidRPr="000B1429">
              <w:t xml:space="preserve">Kuitward </w:t>
            </w:r>
            <w:r w:rsidR="00B727D6">
              <w:fldChar w:fldCharType="begin">
                <w:fldData xml:space="preserve">PEVuZE5vdGU+PENpdGUgRXhjbHVkZUF1dGg9IjEiPjxBdXRob3I+S3VpdHdhYXJkPC9BdXRob3I+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==
</w:fldData>
              </w:fldChar>
            </w:r>
            <w:r w:rsidR="00B727D6">
              <w:instrText xml:space="preserve"> ADDIN EN.CITE </w:instrText>
            </w:r>
            <w:r w:rsidR="00B727D6">
              <w:fldChar w:fldCharType="begin">
                <w:fldData xml:space="preserve">PEVuZE5vdGU+PENpdGUgRXhjbHVkZUF1dGg9IjEiPjxBdXRob3I+S3VpdHdhYXJkPC9BdXRob3I+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==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34" w:tooltip="Kuitwaard, 2015 #264" w:history="1">
              <w:r w:rsidR="00D726F6">
                <w:rPr>
                  <w:noProof/>
                </w:rPr>
                <w:t>2015</w:t>
              </w:r>
            </w:hyperlink>
            <w:r w:rsidR="00B727D6">
              <w:rPr>
                <w:noProof/>
              </w:rPr>
              <w:t>)</w:t>
            </w:r>
            <w:r w:rsidR="00B727D6">
              <w:fldChar w:fldCharType="end"/>
            </w:r>
            <w:r>
              <w:t xml:space="preserve">, </w:t>
            </w:r>
            <w:r w:rsidRPr="00EE0F8E">
              <w:t xml:space="preserve">Hughes </w:t>
            </w:r>
            <w:r w:rsidR="00B727D6">
              <w:fldChar w:fldCharType="begin">
                <w:fldData xml:space="preserve">PEVuZE5vdGU+PENpdGUgRXhjbHVkZUF1dGg9IjEiPjxBdXRob3I+SHVnaGVzPC9BdXRob3I+PFll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</w:fldData>
              </w:fldChar>
            </w:r>
            <w:r w:rsidR="00B727D6">
              <w:instrText xml:space="preserve"> ADDIN EN.CITE </w:instrText>
            </w:r>
            <w:r w:rsidR="00B727D6">
              <w:fldChar w:fldCharType="begin">
                <w:fldData xml:space="preserve">PEVuZE5vdGU+PENpdGUgRXhjbHVkZUF1dGg9IjEiPjxBdXRob3I+SHVnaGVzPC9BdXRob3I+PFll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</w:fldData>
              </w:fldChar>
            </w:r>
            <w:r w:rsidR="00B727D6">
              <w:instrText xml:space="preserve"> ADDIN EN.CITE.DATA </w:instrText>
            </w:r>
            <w:r w:rsidR="00B727D6">
              <w:fldChar w:fldCharType="end"/>
            </w:r>
            <w:r w:rsidR="00B727D6">
              <w:fldChar w:fldCharType="separate"/>
            </w:r>
            <w:r w:rsidR="00B727D6">
              <w:rPr>
                <w:noProof/>
              </w:rPr>
              <w:t>(</w:t>
            </w:r>
            <w:hyperlink w:anchor="_ENREF_28" w:tooltip="Hughes, 2008 #1205" w:history="1">
              <w:r w:rsidR="00D726F6">
                <w:rPr>
                  <w:noProof/>
                </w:rPr>
                <w:t>2008</w:t>
              </w:r>
            </w:hyperlink>
            <w:r w:rsidR="00B727D6">
              <w:rPr>
                <w:noProof/>
              </w:rPr>
              <w:t>)</w:t>
            </w:r>
            <w:r w:rsidR="00B727D6">
              <w:fldChar w:fldCharType="end"/>
            </w:r>
          </w:p>
        </w:tc>
      </w:tr>
      <w:tr w:rsidR="008529AD" w:rsidRPr="00012F4F" w14:paraId="5D155514" w14:textId="77777777" w:rsidTr="00CD16FE">
        <w:tc>
          <w:tcPr>
            <w:tcW w:w="1696" w:type="dxa"/>
            <w:vMerge w:val="restart"/>
          </w:tcPr>
          <w:p w14:paraId="24000D5E" w14:textId="77777777" w:rsidR="008529AD" w:rsidRPr="00012F4F" w:rsidRDefault="008529AD" w:rsidP="00CD16FE">
            <w:pPr>
              <w:pStyle w:val="Tabletext1"/>
              <w:ind w:left="0"/>
            </w:pPr>
            <w:r w:rsidRPr="00012F4F">
              <w:t xml:space="preserve">‘Initial treatment’ </w:t>
            </w:r>
            <w:r>
              <w:t>to ‘BSC’ (A→D)</w:t>
            </w:r>
            <w:r w:rsidDel="00C77F01">
              <w:t xml:space="preserve"> </w:t>
            </w:r>
          </w:p>
        </w:tc>
        <w:tc>
          <w:tcPr>
            <w:tcW w:w="3686" w:type="dxa"/>
            <w:vMerge w:val="restart"/>
          </w:tcPr>
          <w:p w14:paraId="310D9D00" w14:textId="77777777" w:rsidR="008529AD" w:rsidRDefault="008529AD" w:rsidP="00CD16FE">
            <w:pPr>
              <w:pStyle w:val="Tabletext1"/>
              <w:ind w:left="0"/>
            </w:pPr>
            <w:r>
              <w:t>Patients who discontinue after initial use of therapy, due to either adverse events or lack of response.</w:t>
            </w:r>
          </w:p>
        </w:tc>
        <w:tc>
          <w:tcPr>
            <w:tcW w:w="1559" w:type="dxa"/>
          </w:tcPr>
          <w:p w14:paraId="724CD845" w14:textId="77777777" w:rsidR="008529AD" w:rsidRDefault="008529AD" w:rsidP="00CD16FE">
            <w:pPr>
              <w:pStyle w:val="Tabletext1"/>
              <w:ind w:left="0"/>
            </w:pPr>
            <w:r>
              <w:t>Trial-based</w:t>
            </w:r>
            <w:r w:rsidRPr="00012F4F">
              <w:t xml:space="preserve"> </w:t>
            </w:r>
          </w:p>
        </w:tc>
        <w:tc>
          <w:tcPr>
            <w:tcW w:w="1276" w:type="dxa"/>
          </w:tcPr>
          <w:p w14:paraId="0911D604" w14:textId="77777777" w:rsidR="008529AD" w:rsidRPr="00012F4F" w:rsidRDefault="008529AD" w:rsidP="00CD16FE">
            <w:pPr>
              <w:pStyle w:val="Tabletext1"/>
              <w:ind w:left="0"/>
            </w:pPr>
            <w:r>
              <w:t>0.022</w:t>
            </w:r>
          </w:p>
        </w:tc>
        <w:tc>
          <w:tcPr>
            <w:tcW w:w="5812" w:type="dxa"/>
          </w:tcPr>
          <w:p w14:paraId="0C4C102D" w14:textId="195F016D" w:rsidR="008529AD" w:rsidRPr="00012F4F" w:rsidRDefault="00B727D6" w:rsidP="00D726F6">
            <w:pPr>
              <w:pStyle w:val="Tabletext1"/>
              <w:ind w:left="0"/>
            </w:pP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54" w:tooltip="Nobile-Orazio, 2012 #10" w:history="1">
              <w:r w:rsidR="00D726F6">
                <w:rPr>
                  <w:noProof/>
                </w:rPr>
                <w:t>Nobile-Orazio et al. 2012</w:t>
              </w:r>
            </w:hyperlink>
            <w:r>
              <w:rPr>
                <w:noProof/>
              </w:rPr>
              <w:t>)</w:t>
            </w:r>
            <w:r>
              <w:fldChar w:fldCharType="end"/>
            </w:r>
            <w:r w:rsidR="008529AD">
              <w:t>; 12.5% of the patients withdrew from Ig treatment over first 24 weeks of the trial</w:t>
            </w:r>
          </w:p>
        </w:tc>
      </w:tr>
      <w:tr w:rsidR="008529AD" w:rsidRPr="00012F4F" w14:paraId="6ED5CD8B" w14:textId="77777777" w:rsidTr="00CD16FE">
        <w:tc>
          <w:tcPr>
            <w:tcW w:w="1696" w:type="dxa"/>
            <w:vMerge/>
          </w:tcPr>
          <w:p w14:paraId="166DCC17" w14:textId="77777777" w:rsidR="008529AD" w:rsidRPr="00012F4F" w:rsidRDefault="008529AD" w:rsidP="00CD16FE">
            <w:pPr>
              <w:pStyle w:val="Tabletext1"/>
            </w:pPr>
          </w:p>
        </w:tc>
        <w:tc>
          <w:tcPr>
            <w:tcW w:w="3686" w:type="dxa"/>
            <w:vMerge/>
          </w:tcPr>
          <w:p w14:paraId="0D3B5072" w14:textId="77777777" w:rsidR="008529AD" w:rsidRDefault="008529AD" w:rsidP="00CD16FE">
            <w:pPr>
              <w:pStyle w:val="Tabletext1"/>
            </w:pPr>
          </w:p>
        </w:tc>
        <w:tc>
          <w:tcPr>
            <w:tcW w:w="1559" w:type="dxa"/>
          </w:tcPr>
          <w:p w14:paraId="3789E0D5" w14:textId="77777777" w:rsidR="008529AD" w:rsidRDefault="008529AD" w:rsidP="00CD16FE">
            <w:pPr>
              <w:pStyle w:val="Tabletext1"/>
              <w:ind w:left="0"/>
            </w:pPr>
            <w:r w:rsidRPr="00012F4F">
              <w:t xml:space="preserve">Modelled </w:t>
            </w:r>
          </w:p>
        </w:tc>
        <w:tc>
          <w:tcPr>
            <w:tcW w:w="1276" w:type="dxa"/>
          </w:tcPr>
          <w:p w14:paraId="3F8326CB" w14:textId="77777777" w:rsidR="008529AD" w:rsidRPr="00012F4F" w:rsidRDefault="008529AD" w:rsidP="00CD16FE">
            <w:pPr>
              <w:pStyle w:val="Tabletext1"/>
              <w:ind w:left="0"/>
            </w:pPr>
            <w:r>
              <w:t xml:space="preserve">0.0311 </w:t>
            </w:r>
          </w:p>
        </w:tc>
        <w:tc>
          <w:tcPr>
            <w:tcW w:w="5812" w:type="dxa"/>
          </w:tcPr>
          <w:p w14:paraId="2574044D" w14:textId="6CC664F2" w:rsidR="008529AD" w:rsidRPr="004005B1" w:rsidRDefault="008529AD" w:rsidP="00D726F6">
            <w:pPr>
              <w:pStyle w:val="Tabletext1"/>
              <w:ind w:left="0"/>
            </w:pPr>
            <w:r>
              <w:t xml:space="preserve">Assumption of 10% non-response and 5% AE over 20 weeks (before first review) (0.0209 + 0.0102) </w:t>
            </w:r>
            <w:r w:rsidR="00B727D6">
              <w:fldChar w:fldCharType="begin"/>
            </w:r>
            <w:r w:rsidR="00B727D6">
              <w:instrText xml:space="preserve"> ADDIN EN.CITE &lt;EndNote&gt;&lt;Cite&gt;&lt;Author&gt;Department of Health&lt;/Author&gt;&lt;Year&gt;2021&lt;/Year&gt;&lt;RecNum&gt;1954&lt;/RecNum&gt;&lt;DisplayText&gt;(Department of Health 2021a)&lt;/DisplayText&gt;&lt;record&gt;&lt;rec-number&gt;1954&lt;/rec-number&gt;&lt;foreign-keys&gt;&lt;key app="EN" db-id="xtr5xfx2xf0wd7e0s2qvst2ietxxf0tpzr9v" timestamp="1614643814"&gt;1954&lt;/key&gt;&lt;/foreign-keys&gt;&lt;ref-type name="Personal Communication"&gt;26&lt;/ref-type&gt;&lt;contributors&gt;&lt;authors&gt;&lt;author&gt;Department of Health,&lt;/author&gt;&lt;/authors&gt;&lt;/contributors&gt;&lt;titles&gt;&lt;title&gt;Clinical expert advice provided as feedback to the draft MSAC 1564.1 report&lt;/title&gt;&lt;/titles&gt;&lt;dates&gt;&lt;year&gt;2021&lt;/year&gt;&lt;/dates&gt;&lt;urls&gt;&lt;/urls&gt;&lt;/record&gt;&lt;/Cite&gt;&lt;/EndNote&gt;</w:instrText>
            </w:r>
            <w:r w:rsidR="00B727D6">
              <w:fldChar w:fldCharType="separate"/>
            </w:r>
            <w:r w:rsidR="00B727D6">
              <w:rPr>
                <w:noProof/>
              </w:rPr>
              <w:t>(</w:t>
            </w:r>
            <w:hyperlink w:anchor="_ENREF_12" w:tooltip="Department of Health, 2021 #1954" w:history="1">
              <w:r w:rsidR="00D726F6">
                <w:rPr>
                  <w:noProof/>
                </w:rPr>
                <w:t>Department of Health 2021a</w:t>
              </w:r>
            </w:hyperlink>
            <w:r w:rsidR="00B727D6">
              <w:rPr>
                <w:noProof/>
              </w:rPr>
              <w:t>)</w:t>
            </w:r>
            <w:r w:rsidR="00B727D6">
              <w:fldChar w:fldCharType="end"/>
            </w:r>
          </w:p>
        </w:tc>
      </w:tr>
      <w:tr w:rsidR="008529AD" w:rsidRPr="00012F4F" w14:paraId="45A6FDB6" w14:textId="77777777" w:rsidTr="00CD16FE">
        <w:tc>
          <w:tcPr>
            <w:tcW w:w="1696" w:type="dxa"/>
            <w:vMerge/>
          </w:tcPr>
          <w:p w14:paraId="1B3B49F4" w14:textId="77777777" w:rsidR="008529AD" w:rsidRPr="00012F4F" w:rsidRDefault="008529AD" w:rsidP="00CD16FE">
            <w:pPr>
              <w:pStyle w:val="Tabletext1"/>
            </w:pPr>
          </w:p>
        </w:tc>
        <w:tc>
          <w:tcPr>
            <w:tcW w:w="3686" w:type="dxa"/>
            <w:vMerge/>
          </w:tcPr>
          <w:p w14:paraId="4C90E43D" w14:textId="77777777" w:rsidR="008529AD" w:rsidRDefault="008529AD" w:rsidP="00CD16FE">
            <w:pPr>
              <w:pStyle w:val="Tabletext1"/>
            </w:pPr>
          </w:p>
        </w:tc>
        <w:tc>
          <w:tcPr>
            <w:tcW w:w="1559" w:type="dxa"/>
          </w:tcPr>
          <w:p w14:paraId="6D90E6C0" w14:textId="77777777" w:rsidR="008529AD" w:rsidRDefault="008529AD" w:rsidP="00CD16FE">
            <w:pPr>
              <w:pStyle w:val="Tabletext1"/>
              <w:ind w:left="0"/>
            </w:pPr>
            <w:r>
              <w:t>Sensitivity Analysis</w:t>
            </w:r>
          </w:p>
        </w:tc>
        <w:tc>
          <w:tcPr>
            <w:tcW w:w="1276" w:type="dxa"/>
          </w:tcPr>
          <w:p w14:paraId="6AF157D9" w14:textId="77777777" w:rsidR="008529AD" w:rsidRPr="00012F4F" w:rsidRDefault="008529AD" w:rsidP="00CD16FE">
            <w:pPr>
              <w:pStyle w:val="Tabletext1"/>
              <w:ind w:left="0"/>
            </w:pPr>
            <w:r>
              <w:t>0.0872</w:t>
            </w:r>
          </w:p>
        </w:tc>
        <w:tc>
          <w:tcPr>
            <w:tcW w:w="5812" w:type="dxa"/>
          </w:tcPr>
          <w:p w14:paraId="47C402AA" w14:textId="77777777" w:rsidR="008529AD" w:rsidRPr="004005B1" w:rsidRDefault="008529AD" w:rsidP="00CD16FE">
            <w:pPr>
              <w:pStyle w:val="Tabletext1"/>
              <w:ind w:left="0"/>
            </w:pPr>
            <w:r>
              <w:t>Assuming all 33% patients who discontinued treatment after first review in the BloodStar data are non-responders + adverse event rate (0.0770 + 0.0102)</w:t>
            </w:r>
          </w:p>
        </w:tc>
      </w:tr>
      <w:tr w:rsidR="008529AD" w:rsidRPr="00012F4F" w14:paraId="437D8B71" w14:textId="77777777" w:rsidTr="00CD16FE">
        <w:tc>
          <w:tcPr>
            <w:tcW w:w="1696" w:type="dxa"/>
            <w:vMerge w:val="restart"/>
          </w:tcPr>
          <w:p w14:paraId="326013AC" w14:textId="77777777" w:rsidR="008529AD" w:rsidRPr="00012F4F" w:rsidRDefault="008529AD" w:rsidP="00CD16FE">
            <w:pPr>
              <w:pStyle w:val="Tabletext1"/>
              <w:ind w:left="0"/>
            </w:pPr>
            <w:r>
              <w:t>‘Maintenance phase’ to ‘</w:t>
            </w:r>
            <w:r w:rsidRPr="00012F4F">
              <w:t xml:space="preserve">In </w:t>
            </w:r>
            <w:r w:rsidRPr="00446B7D">
              <w:t>remission (off-treatment)</w:t>
            </w:r>
            <w:r>
              <w:t xml:space="preserve"> (B→C)</w:t>
            </w:r>
          </w:p>
        </w:tc>
        <w:tc>
          <w:tcPr>
            <w:tcW w:w="3686" w:type="dxa"/>
            <w:vMerge w:val="restart"/>
          </w:tcPr>
          <w:p w14:paraId="2ADF7E2F" w14:textId="77777777" w:rsidR="008529AD" w:rsidDel="00BF45B9" w:rsidRDefault="008529AD" w:rsidP="00CD16FE">
            <w:pPr>
              <w:pStyle w:val="Tabletext1"/>
              <w:ind w:left="0"/>
            </w:pPr>
            <w:r>
              <w:t>Patients who respond to treatment then cease therapy due to lack of disease activity/clinical need.</w:t>
            </w:r>
          </w:p>
        </w:tc>
        <w:tc>
          <w:tcPr>
            <w:tcW w:w="1559" w:type="dxa"/>
          </w:tcPr>
          <w:p w14:paraId="5AF89C9A" w14:textId="77777777" w:rsidR="008529AD" w:rsidDel="00BF45B9" w:rsidRDefault="008529AD" w:rsidP="00CD16FE">
            <w:pPr>
              <w:pStyle w:val="Tabletext1"/>
              <w:ind w:left="0"/>
            </w:pPr>
            <w:r>
              <w:t>Trial-based</w:t>
            </w:r>
            <w:r w:rsidRPr="00012F4F">
              <w:t xml:space="preserve"> </w:t>
            </w:r>
          </w:p>
        </w:tc>
        <w:tc>
          <w:tcPr>
            <w:tcW w:w="1276" w:type="dxa"/>
          </w:tcPr>
          <w:p w14:paraId="0E9C9D62" w14:textId="77777777" w:rsidR="008529AD" w:rsidRPr="00012F4F" w:rsidRDefault="008529AD" w:rsidP="00CD16FE">
            <w:pPr>
              <w:pStyle w:val="Tabletext1"/>
              <w:ind w:left="0"/>
            </w:pPr>
            <w:r>
              <w:t>NA</w:t>
            </w:r>
          </w:p>
        </w:tc>
        <w:tc>
          <w:tcPr>
            <w:tcW w:w="5812" w:type="dxa"/>
          </w:tcPr>
          <w:p w14:paraId="294E7F7C" w14:textId="121B9A84" w:rsidR="008529AD" w:rsidRPr="00012F4F" w:rsidRDefault="008529AD" w:rsidP="00D726F6">
            <w:pPr>
              <w:pStyle w:val="Tabletext1"/>
              <w:ind w:left="0"/>
            </w:pPr>
            <w:r>
              <w:t xml:space="preserve">No maintenance phase in clinical trial, </w: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Nobile-Orazio et al. 2012</w:t>
              </w:r>
            </w:hyperlink>
            <w:r w:rsidR="00B727D6">
              <w:rPr>
                <w:noProof/>
              </w:rPr>
              <w:t>)</w:t>
            </w:r>
            <w:r w:rsidR="00B727D6">
              <w:fldChar w:fldCharType="end"/>
            </w:r>
          </w:p>
        </w:tc>
      </w:tr>
      <w:tr w:rsidR="008529AD" w:rsidRPr="00012F4F" w14:paraId="1F952A22" w14:textId="77777777" w:rsidTr="00CD16FE">
        <w:tc>
          <w:tcPr>
            <w:tcW w:w="1696" w:type="dxa"/>
            <w:vMerge/>
          </w:tcPr>
          <w:p w14:paraId="425B4E42" w14:textId="77777777" w:rsidR="008529AD" w:rsidRDefault="008529AD" w:rsidP="00CD16FE">
            <w:pPr>
              <w:pStyle w:val="Tabletext1"/>
            </w:pPr>
          </w:p>
        </w:tc>
        <w:tc>
          <w:tcPr>
            <w:tcW w:w="3686" w:type="dxa"/>
            <w:vMerge/>
          </w:tcPr>
          <w:p w14:paraId="43D61C82" w14:textId="77777777" w:rsidR="008529AD" w:rsidDel="00BF45B9" w:rsidRDefault="008529AD" w:rsidP="00CD16FE">
            <w:pPr>
              <w:pStyle w:val="Tabletext1"/>
            </w:pPr>
          </w:p>
        </w:tc>
        <w:tc>
          <w:tcPr>
            <w:tcW w:w="1559" w:type="dxa"/>
          </w:tcPr>
          <w:p w14:paraId="08107B99" w14:textId="77777777" w:rsidR="008529AD" w:rsidDel="00BF45B9" w:rsidRDefault="008529AD" w:rsidP="00CD16FE">
            <w:pPr>
              <w:pStyle w:val="Tabletext1"/>
              <w:ind w:left="0"/>
            </w:pPr>
            <w:r w:rsidRPr="00012F4F">
              <w:t xml:space="preserve">Modelled </w:t>
            </w:r>
          </w:p>
        </w:tc>
        <w:tc>
          <w:tcPr>
            <w:tcW w:w="1276" w:type="dxa"/>
          </w:tcPr>
          <w:p w14:paraId="7B626449" w14:textId="77777777" w:rsidR="008529AD" w:rsidRDefault="008529AD" w:rsidP="00CD16FE">
            <w:pPr>
              <w:pStyle w:val="Tabletext1"/>
              <w:ind w:left="0"/>
            </w:pPr>
            <w:r>
              <w:t>0.0527</w:t>
            </w:r>
          </w:p>
        </w:tc>
        <w:tc>
          <w:tcPr>
            <w:tcW w:w="5812" w:type="dxa"/>
          </w:tcPr>
          <w:p w14:paraId="08AE3E35" w14:textId="76B18B05" w:rsidR="008529AD" w:rsidRDefault="008529AD" w:rsidP="00CD16FE">
            <w:pPr>
              <w:pStyle w:val="Tabletext1"/>
              <w:ind w:left="0"/>
            </w:pPr>
            <w:r>
              <w:t xml:space="preserve">BloodStar data post second review, remission data – see </w:t>
            </w:r>
            <w:r>
              <w:fldChar w:fldCharType="begin"/>
            </w:r>
            <w:r>
              <w:instrText xml:space="preserve"> REF _Ref65856839 \h </w:instrText>
            </w:r>
            <w:r>
              <w:fldChar w:fldCharType="separate"/>
            </w:r>
            <w:r w:rsidR="004B3EA2" w:rsidRPr="001977C9">
              <w:t xml:space="preserve">Table </w:t>
            </w:r>
            <w:r w:rsidR="004B3EA2">
              <w:rPr>
                <w:noProof/>
              </w:rPr>
              <w:t>31</w:t>
            </w:r>
            <w:r>
              <w:fldChar w:fldCharType="end"/>
            </w:r>
          </w:p>
        </w:tc>
      </w:tr>
      <w:tr w:rsidR="008529AD" w:rsidRPr="00012F4F" w14:paraId="529D236C" w14:textId="77777777" w:rsidTr="00CD16FE">
        <w:tc>
          <w:tcPr>
            <w:tcW w:w="1696" w:type="dxa"/>
            <w:vMerge/>
          </w:tcPr>
          <w:p w14:paraId="387E1AA4" w14:textId="77777777" w:rsidR="008529AD" w:rsidRDefault="008529AD" w:rsidP="00CD16FE">
            <w:pPr>
              <w:pStyle w:val="Tabletext1"/>
            </w:pPr>
          </w:p>
        </w:tc>
        <w:tc>
          <w:tcPr>
            <w:tcW w:w="3686" w:type="dxa"/>
            <w:vMerge/>
          </w:tcPr>
          <w:p w14:paraId="58D0D992" w14:textId="77777777" w:rsidR="008529AD" w:rsidDel="00BF45B9" w:rsidRDefault="008529AD" w:rsidP="00CD16FE">
            <w:pPr>
              <w:pStyle w:val="Tabletext1"/>
            </w:pPr>
          </w:p>
        </w:tc>
        <w:tc>
          <w:tcPr>
            <w:tcW w:w="1559" w:type="dxa"/>
          </w:tcPr>
          <w:p w14:paraId="5F37A7A1" w14:textId="77777777" w:rsidR="008529AD" w:rsidDel="00BF45B9" w:rsidRDefault="008529AD" w:rsidP="00CD16FE">
            <w:pPr>
              <w:pStyle w:val="Tabletext1"/>
              <w:ind w:left="0"/>
            </w:pPr>
            <w:r>
              <w:t>Sensitivity Analysis</w:t>
            </w:r>
          </w:p>
        </w:tc>
        <w:tc>
          <w:tcPr>
            <w:tcW w:w="1276" w:type="dxa"/>
          </w:tcPr>
          <w:p w14:paraId="7526B369" w14:textId="77777777" w:rsidR="008529AD" w:rsidRDefault="008529AD" w:rsidP="00CD16FE">
            <w:pPr>
              <w:pStyle w:val="Tabletext1"/>
              <w:ind w:left="0"/>
            </w:pPr>
            <w:r>
              <w:t>0.0057, 0.0612</w:t>
            </w:r>
          </w:p>
        </w:tc>
        <w:tc>
          <w:tcPr>
            <w:tcW w:w="5812" w:type="dxa"/>
          </w:tcPr>
          <w:p w14:paraId="68BDC0DF" w14:textId="74DEE58F" w:rsidR="008529AD" w:rsidRDefault="008529AD" w:rsidP="00D726F6">
            <w:pPr>
              <w:pStyle w:val="Tabletext1"/>
              <w:ind w:left="0"/>
            </w:pPr>
            <w:r>
              <w:t xml:space="preserve">Upper and lower estimates from Table 31; Rajabally </w:t>
            </w:r>
            <w:r w:rsidR="00B727D6">
              <w:fldChar w:fldCharType="begin">
                <w:fldData xml:space="preserve">PEVuZE5vdGU+PENpdGUgRXhjbHVkZUF1dGg9IjEiPjxBdXRob3I+UmFqYWJhbGx5PC9BdXRob3I+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</w:fldData>
              </w:fldChar>
            </w:r>
            <w:r w:rsidR="00B727D6">
              <w:instrText xml:space="preserve"> ADDIN EN.CITE </w:instrText>
            </w:r>
            <w:r w:rsidR="00B727D6">
              <w:fldChar w:fldCharType="begin">
                <w:fldData xml:space="preserve">PEVuZE5vdGU+PENpdGUgRXhjbHVkZUF1dGg9IjEiPjxBdXRob3I+UmFqYWJhbGx5PC9BdXRob3I+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9" w:tooltip="Rajabally, 2019 #13" w:history="1">
              <w:r w:rsidR="00D726F6">
                <w:rPr>
                  <w:noProof/>
                </w:rPr>
                <w:t>2019</w:t>
              </w:r>
            </w:hyperlink>
            <w:r w:rsidR="00B727D6">
              <w:rPr>
                <w:noProof/>
              </w:rPr>
              <w:t>)</w:t>
            </w:r>
            <w:r w:rsidR="00B727D6">
              <w:fldChar w:fldCharType="end"/>
            </w:r>
            <w:r>
              <w:t xml:space="preserve">, </w:t>
            </w:r>
            <w:r w:rsidRPr="008B6B47">
              <w:t xml:space="preserve">Hughes </w:t>
            </w:r>
            <w:r w:rsidR="00B727D6">
              <w:fldChar w:fldCharType="begin">
                <w:fldData xml:space="preserve">PEVuZE5vdGU+PENpdGUgRXhjbHVkZUF1dGg9IjEiPjxBdXRob3I+SHVnaGVzPC9BdXRob3I+PFll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</w:fldData>
              </w:fldChar>
            </w:r>
            <w:r w:rsidR="00B727D6">
              <w:instrText xml:space="preserve"> ADDIN EN.CITE </w:instrText>
            </w:r>
            <w:r w:rsidR="00B727D6">
              <w:fldChar w:fldCharType="begin">
                <w:fldData xml:space="preserve">PEVuZE5vdGU+PENpdGUgRXhjbHVkZUF1dGg9IjEiPjxBdXRob3I+SHVnaGVzPC9BdXRob3I+PFll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</w:fldData>
              </w:fldChar>
            </w:r>
            <w:r w:rsidR="00B727D6">
              <w:instrText xml:space="preserve"> ADDIN EN.CITE.DATA </w:instrText>
            </w:r>
            <w:r w:rsidR="00B727D6">
              <w:fldChar w:fldCharType="end"/>
            </w:r>
            <w:r w:rsidR="00B727D6">
              <w:fldChar w:fldCharType="separate"/>
            </w:r>
            <w:r w:rsidR="00B727D6">
              <w:rPr>
                <w:noProof/>
              </w:rPr>
              <w:t>(</w:t>
            </w:r>
            <w:hyperlink w:anchor="_ENREF_28" w:tooltip="Hughes, 2008 #1205" w:history="1">
              <w:r w:rsidR="00D726F6">
                <w:rPr>
                  <w:noProof/>
                </w:rPr>
                <w:t>2008</w:t>
              </w:r>
            </w:hyperlink>
            <w:r w:rsidR="00B727D6">
              <w:rPr>
                <w:noProof/>
              </w:rPr>
              <w:t>)</w:t>
            </w:r>
            <w:r w:rsidR="00B727D6">
              <w:fldChar w:fldCharType="end"/>
            </w:r>
          </w:p>
        </w:tc>
      </w:tr>
      <w:tr w:rsidR="008529AD" w:rsidRPr="00012F4F" w14:paraId="13ED4949" w14:textId="77777777" w:rsidTr="00CD16FE">
        <w:tc>
          <w:tcPr>
            <w:tcW w:w="1696" w:type="dxa"/>
            <w:vMerge w:val="restart"/>
          </w:tcPr>
          <w:p w14:paraId="7164BC19" w14:textId="77777777" w:rsidR="008529AD" w:rsidRDefault="008529AD" w:rsidP="00CD16FE">
            <w:pPr>
              <w:pStyle w:val="Tabletext1"/>
              <w:ind w:left="0"/>
            </w:pPr>
            <w:r>
              <w:t xml:space="preserve">‘Maintenance phase’ to </w:t>
            </w:r>
            <w:r w:rsidRPr="00012F4F">
              <w:t>‘BSC’</w:t>
            </w:r>
          </w:p>
          <w:p w14:paraId="4091116E" w14:textId="77777777" w:rsidR="008529AD" w:rsidRDefault="008529AD" w:rsidP="00CD16FE">
            <w:pPr>
              <w:pStyle w:val="Tabletext1"/>
              <w:ind w:left="0"/>
            </w:pPr>
            <w:r>
              <w:t>(B→D)</w:t>
            </w:r>
          </w:p>
        </w:tc>
        <w:tc>
          <w:tcPr>
            <w:tcW w:w="3686" w:type="dxa"/>
            <w:vMerge w:val="restart"/>
          </w:tcPr>
          <w:p w14:paraId="185676AA" w14:textId="77777777" w:rsidR="008529AD" w:rsidRDefault="008529AD" w:rsidP="00CD16FE">
            <w:pPr>
              <w:pStyle w:val="Tabletext1"/>
              <w:ind w:left="0"/>
            </w:pPr>
            <w:r>
              <w:t>Patients who are on treatment but stop therapy and move to BSC, due to adverse events (primarily) or loss of effect.</w:t>
            </w:r>
          </w:p>
        </w:tc>
        <w:tc>
          <w:tcPr>
            <w:tcW w:w="1559" w:type="dxa"/>
          </w:tcPr>
          <w:p w14:paraId="48131918" w14:textId="77777777" w:rsidR="008529AD" w:rsidRDefault="008529AD" w:rsidP="00CD16FE">
            <w:pPr>
              <w:pStyle w:val="Tabletext1"/>
              <w:ind w:left="0"/>
            </w:pPr>
            <w:r>
              <w:t>Trial-based</w:t>
            </w:r>
            <w:r w:rsidRPr="00012F4F">
              <w:t xml:space="preserve"> </w:t>
            </w:r>
          </w:p>
        </w:tc>
        <w:tc>
          <w:tcPr>
            <w:tcW w:w="1276" w:type="dxa"/>
          </w:tcPr>
          <w:p w14:paraId="1FB6968C" w14:textId="77777777" w:rsidR="008529AD" w:rsidRPr="00012F4F" w:rsidRDefault="008529AD" w:rsidP="00CD16FE">
            <w:pPr>
              <w:pStyle w:val="Tabletext1"/>
              <w:ind w:left="0"/>
            </w:pPr>
            <w:r>
              <w:t xml:space="preserve">NA </w:t>
            </w:r>
          </w:p>
        </w:tc>
        <w:tc>
          <w:tcPr>
            <w:tcW w:w="5812" w:type="dxa"/>
          </w:tcPr>
          <w:p w14:paraId="3ABA30C2" w14:textId="261993FD" w:rsidR="008529AD" w:rsidRPr="00012F4F" w:rsidRDefault="008529AD" w:rsidP="00D726F6">
            <w:pPr>
              <w:pStyle w:val="Tabletext1"/>
              <w:ind w:left="0"/>
            </w:pPr>
            <w:r>
              <w:t xml:space="preserve">No maintenance phase in clinical trial, </w: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Nobile-Orazio et al. 2012</w:t>
              </w:r>
            </w:hyperlink>
            <w:r w:rsidR="00B727D6">
              <w:rPr>
                <w:noProof/>
              </w:rPr>
              <w:t>)</w:t>
            </w:r>
            <w:r w:rsidR="00B727D6">
              <w:fldChar w:fldCharType="end"/>
            </w:r>
          </w:p>
        </w:tc>
      </w:tr>
      <w:tr w:rsidR="008529AD" w:rsidRPr="00012F4F" w14:paraId="5C8134EC" w14:textId="77777777" w:rsidTr="00CD16FE">
        <w:tc>
          <w:tcPr>
            <w:tcW w:w="1696" w:type="dxa"/>
            <w:vMerge/>
          </w:tcPr>
          <w:p w14:paraId="112141F3" w14:textId="77777777" w:rsidR="008529AD" w:rsidRDefault="008529AD" w:rsidP="00CD16FE">
            <w:pPr>
              <w:pStyle w:val="Tabletext1"/>
            </w:pPr>
          </w:p>
        </w:tc>
        <w:tc>
          <w:tcPr>
            <w:tcW w:w="3686" w:type="dxa"/>
            <w:vMerge/>
          </w:tcPr>
          <w:p w14:paraId="43EBC53E" w14:textId="77777777" w:rsidR="008529AD" w:rsidRDefault="008529AD" w:rsidP="00CD16FE">
            <w:pPr>
              <w:pStyle w:val="Tabletext1"/>
            </w:pPr>
          </w:p>
        </w:tc>
        <w:tc>
          <w:tcPr>
            <w:tcW w:w="1559" w:type="dxa"/>
          </w:tcPr>
          <w:p w14:paraId="46FABDAE" w14:textId="77777777" w:rsidR="008529AD" w:rsidRDefault="008529AD" w:rsidP="00CD16FE">
            <w:pPr>
              <w:pStyle w:val="Tabletext1"/>
              <w:ind w:left="0"/>
            </w:pPr>
            <w:r w:rsidRPr="00012F4F">
              <w:t xml:space="preserve">Modelled </w:t>
            </w:r>
          </w:p>
        </w:tc>
        <w:tc>
          <w:tcPr>
            <w:tcW w:w="1276" w:type="dxa"/>
          </w:tcPr>
          <w:p w14:paraId="1C4B941B" w14:textId="77777777" w:rsidR="008529AD" w:rsidRDefault="008529AD" w:rsidP="00CD16FE">
            <w:pPr>
              <w:pStyle w:val="Tabletext1"/>
              <w:ind w:left="0"/>
            </w:pPr>
            <w:r>
              <w:t>0.0102</w:t>
            </w:r>
          </w:p>
        </w:tc>
        <w:tc>
          <w:tcPr>
            <w:tcW w:w="5812" w:type="dxa"/>
          </w:tcPr>
          <w:p w14:paraId="1A7D85C2" w14:textId="3E4F2042" w:rsidR="008529AD" w:rsidRDefault="008529AD" w:rsidP="00D726F6">
            <w:pPr>
              <w:pStyle w:val="Tabletext1"/>
              <w:ind w:left="0"/>
            </w:pPr>
            <w:r>
              <w:t xml:space="preserve">Based on an estimated rate of adverse events resulting in discontinuation rate of 5% </w:t>
            </w:r>
            <w:r w:rsidRPr="008A3719">
              <w:t>per twenty weeks</w:t>
            </w:r>
            <w:r>
              <w:t xml:space="preserve"> </w:t>
            </w:r>
            <w:r w:rsidR="00B727D6">
              <w:fldChar w:fldCharType="begin"/>
            </w:r>
            <w:r w:rsidR="00B727D6">
              <w:instrText xml:space="preserve"> ADDIN EN.CITE &lt;EndNote&gt;&lt;Cite&gt;&lt;Author&gt;Department of Health&lt;/Author&gt;&lt;Year&gt;2021&lt;/Year&gt;&lt;RecNum&gt;1954&lt;/RecNum&gt;&lt;DisplayText&gt;(Department of Health 2021a)&lt;/DisplayText&gt;&lt;record&gt;&lt;rec-number&gt;1954&lt;/rec-number&gt;&lt;foreign-keys&gt;&lt;key app="EN" db-id="xtr5xfx2xf0wd7e0s2qvst2ietxxf0tpzr9v" timestamp="1614643814"&gt;1954&lt;/key&gt;&lt;/foreign-keys&gt;&lt;ref-type name="Personal Communication"&gt;26&lt;/ref-type&gt;&lt;contributors&gt;&lt;authors&gt;&lt;author&gt;Department of Health,&lt;/author&gt;&lt;/authors&gt;&lt;/contributors&gt;&lt;titles&gt;&lt;title&gt;Clinical expert advice provided as feedback to the draft MSAC 1564.1 report&lt;/title&gt;&lt;/titles&gt;&lt;dates&gt;&lt;year&gt;2021&lt;/year&gt;&lt;/dates&gt;&lt;urls&gt;&lt;/urls&gt;&lt;/record&gt;&lt;/Cite&gt;&lt;/EndNote&gt;</w:instrText>
            </w:r>
            <w:r w:rsidR="00B727D6">
              <w:fldChar w:fldCharType="separate"/>
            </w:r>
            <w:r w:rsidR="00B727D6">
              <w:rPr>
                <w:noProof/>
              </w:rPr>
              <w:t>(</w:t>
            </w:r>
            <w:hyperlink w:anchor="_ENREF_12" w:tooltip="Department of Health, 2021 #1954" w:history="1">
              <w:r w:rsidR="00D726F6">
                <w:rPr>
                  <w:noProof/>
                </w:rPr>
                <w:t>Department of Health 2021a</w:t>
              </w:r>
            </w:hyperlink>
            <w:r w:rsidR="00B727D6">
              <w:rPr>
                <w:noProof/>
              </w:rPr>
              <w:t>)</w:t>
            </w:r>
            <w:r w:rsidR="00B727D6">
              <w:fldChar w:fldCharType="end"/>
            </w:r>
          </w:p>
        </w:tc>
      </w:tr>
      <w:tr w:rsidR="008529AD" w:rsidRPr="00012F4F" w14:paraId="4444CF5C" w14:textId="77777777" w:rsidTr="00CD16FE">
        <w:tc>
          <w:tcPr>
            <w:tcW w:w="1696" w:type="dxa"/>
            <w:vMerge/>
          </w:tcPr>
          <w:p w14:paraId="63D82C95" w14:textId="77777777" w:rsidR="008529AD" w:rsidRDefault="008529AD" w:rsidP="00CD16FE">
            <w:pPr>
              <w:pStyle w:val="Tabletext1"/>
            </w:pPr>
          </w:p>
        </w:tc>
        <w:tc>
          <w:tcPr>
            <w:tcW w:w="3686" w:type="dxa"/>
            <w:vMerge/>
          </w:tcPr>
          <w:p w14:paraId="77332AB7" w14:textId="77777777" w:rsidR="008529AD" w:rsidRDefault="008529AD" w:rsidP="00CD16FE">
            <w:pPr>
              <w:pStyle w:val="Tabletext1"/>
            </w:pPr>
          </w:p>
        </w:tc>
        <w:tc>
          <w:tcPr>
            <w:tcW w:w="1559" w:type="dxa"/>
          </w:tcPr>
          <w:p w14:paraId="00FA9F7A" w14:textId="77777777" w:rsidR="008529AD" w:rsidRDefault="008529AD" w:rsidP="00CD16FE">
            <w:pPr>
              <w:pStyle w:val="Tabletext1"/>
              <w:ind w:left="0"/>
            </w:pPr>
            <w:r>
              <w:t>Sensitivity Analysis</w:t>
            </w:r>
          </w:p>
        </w:tc>
        <w:tc>
          <w:tcPr>
            <w:tcW w:w="1276" w:type="dxa"/>
          </w:tcPr>
          <w:p w14:paraId="29C4BB80" w14:textId="77777777" w:rsidR="008529AD" w:rsidRDefault="008529AD" w:rsidP="00CD16FE">
            <w:pPr>
              <w:pStyle w:val="Tabletext1"/>
              <w:ind w:left="0"/>
            </w:pPr>
            <w:r>
              <w:t>0.0003</w:t>
            </w:r>
          </w:p>
        </w:tc>
        <w:tc>
          <w:tcPr>
            <w:tcW w:w="5812" w:type="dxa"/>
          </w:tcPr>
          <w:p w14:paraId="7B59EF78" w14:textId="7C956B86" w:rsidR="008529AD" w:rsidRDefault="008529AD" w:rsidP="00D726F6">
            <w:pPr>
              <w:pStyle w:val="Tabletext1"/>
              <w:ind w:left="0"/>
            </w:pPr>
            <w:r w:rsidRPr="00134C6E">
              <w:t>Serious</w:t>
            </w:r>
            <w:r>
              <w:t xml:space="preserve"> adverse event rate as reported in </w:t>
            </w:r>
            <w:r w:rsidR="00B727D6">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sidR="00B727D6">
              <w:instrText xml:space="preserve"> ADDIN EN.CITE </w:instrText>
            </w:r>
            <w:r w:rsidR="00B727D6">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7" w:tooltip="Waheed, 2019 #14" w:history="1">
              <w:r w:rsidR="00D726F6">
                <w:rPr>
                  <w:noProof/>
                </w:rPr>
                <w:t>Waheed et al. 2019</w:t>
              </w:r>
            </w:hyperlink>
            <w:r w:rsidR="00B727D6">
              <w:rPr>
                <w:noProof/>
              </w:rPr>
              <w:t>)</w:t>
            </w:r>
            <w:r w:rsidR="00B727D6">
              <w:fldChar w:fldCharType="end"/>
            </w:r>
          </w:p>
        </w:tc>
      </w:tr>
      <w:tr w:rsidR="008529AD" w:rsidRPr="00012F4F" w14:paraId="49879D14" w14:textId="77777777" w:rsidTr="00CD16FE">
        <w:tc>
          <w:tcPr>
            <w:tcW w:w="1696" w:type="dxa"/>
            <w:vMerge w:val="restart"/>
          </w:tcPr>
          <w:p w14:paraId="1ED3C8ED" w14:textId="77777777" w:rsidR="008529AD" w:rsidRDefault="008529AD" w:rsidP="00CD16FE">
            <w:pPr>
              <w:pStyle w:val="Tabletext1"/>
              <w:ind w:left="0"/>
            </w:pPr>
            <w:r w:rsidRPr="00012F4F">
              <w:t>‘</w:t>
            </w:r>
            <w:r>
              <w:t>In remission’</w:t>
            </w:r>
            <w:r w:rsidRPr="00012F4F">
              <w:t xml:space="preserve"> to ‘Initial</w:t>
            </w:r>
            <w:r>
              <w:t xml:space="preserve"> / maintenance</w:t>
            </w:r>
            <w:r w:rsidRPr="00012F4F">
              <w:t xml:space="preserve"> treatment’ due to relapse</w:t>
            </w:r>
          </w:p>
          <w:p w14:paraId="3DCFF108" w14:textId="77777777" w:rsidR="008529AD" w:rsidRPr="00012F4F" w:rsidRDefault="008529AD" w:rsidP="00CD16FE">
            <w:pPr>
              <w:pStyle w:val="Tabletext1"/>
              <w:ind w:left="0"/>
            </w:pPr>
            <w:r>
              <w:t>(C →A or B)</w:t>
            </w:r>
          </w:p>
        </w:tc>
        <w:tc>
          <w:tcPr>
            <w:tcW w:w="3686" w:type="dxa"/>
            <w:vMerge w:val="restart"/>
          </w:tcPr>
          <w:p w14:paraId="6D5E9DF0" w14:textId="03F20CEC" w:rsidR="008529AD" w:rsidRDefault="008529AD" w:rsidP="00033613">
            <w:pPr>
              <w:pStyle w:val="Tabletext1"/>
              <w:ind w:left="0"/>
            </w:pPr>
            <w:r>
              <w:t>Patients who have previously been successfully treated and stopped therapy who then experience disease relapse and need to re-start treatment.</w:t>
            </w:r>
            <w:r w:rsidR="00C06838">
              <w:t xml:space="preserve"> The </w:t>
            </w:r>
            <w:r w:rsidR="00033613">
              <w:t>allocation to state A or B is time-dependent; where remission is &lt;6 months patients restart treatment in B, where remission is &gt;6 months patients restart in A.</w:t>
            </w:r>
            <w:r w:rsidR="00C06838">
              <w:t xml:space="preserve"> </w:t>
            </w:r>
          </w:p>
        </w:tc>
        <w:tc>
          <w:tcPr>
            <w:tcW w:w="1559" w:type="dxa"/>
          </w:tcPr>
          <w:p w14:paraId="61DDFED1" w14:textId="77777777" w:rsidR="008529AD" w:rsidRDefault="008529AD" w:rsidP="00CD16FE">
            <w:pPr>
              <w:pStyle w:val="Tabletext1"/>
              <w:ind w:left="0"/>
            </w:pPr>
            <w:r>
              <w:t>Trial-based</w:t>
            </w:r>
            <w:r w:rsidRPr="00012F4F">
              <w:t xml:space="preserve"> </w:t>
            </w:r>
          </w:p>
        </w:tc>
        <w:tc>
          <w:tcPr>
            <w:tcW w:w="1276" w:type="dxa"/>
          </w:tcPr>
          <w:p w14:paraId="1C8570DE" w14:textId="77777777" w:rsidR="008529AD" w:rsidRPr="00012F4F" w:rsidRDefault="008529AD" w:rsidP="00CD16FE">
            <w:pPr>
              <w:pStyle w:val="Tabletext1"/>
              <w:ind w:left="0"/>
            </w:pPr>
            <w:r>
              <w:t>0.0768 (short-term) - 0.0419 (long-term)</w:t>
            </w:r>
          </w:p>
        </w:tc>
        <w:tc>
          <w:tcPr>
            <w:tcW w:w="5812" w:type="dxa"/>
          </w:tcPr>
          <w:p w14:paraId="4647BF6D" w14:textId="249B320B" w:rsidR="008529AD" w:rsidRPr="00012F4F" w:rsidRDefault="008529AD" w:rsidP="00D726F6">
            <w:pPr>
              <w:pStyle w:val="Tabletext1"/>
              <w:ind w:left="0"/>
            </w:pPr>
            <w:r>
              <w:t>Relapse rates from Nobile-Orazio</w:t>
            </w:r>
            <w:r w:rsidRPr="004005B1">
              <w:t xml:space="preserve"> </w:t>
            </w:r>
            <w:r w:rsidR="00B727D6">
              <w:fldChar w:fldCharType="begin">
                <w:fldData xml:space="preserve">PEVuZE5vdGU+PENpdGUgRXhjbHVkZUF1dGg9IjEiPjxBdXRob3I+Tm9iaWxlLU9yYXppbzwvQXV0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==
</w:fldData>
              </w:fldChar>
            </w:r>
            <w:r w:rsidR="00B727D6">
              <w:instrText xml:space="preserve"> ADDIN EN.CITE </w:instrText>
            </w:r>
            <w:r w:rsidR="00B727D6">
              <w:fldChar w:fldCharType="begin">
                <w:fldData xml:space="preserve">PEVuZE5vdGU+PENpdGUgRXhjbHVkZUF1dGg9IjEiPjxBdXRob3I+Tm9iaWxlLU9yYXppbzwvQXV0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==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2012</w:t>
              </w:r>
            </w:hyperlink>
            <w:r w:rsidR="00B727D6">
              <w:rPr>
                <w:noProof/>
              </w:rPr>
              <w:t>)</w:t>
            </w:r>
            <w:r w:rsidR="00B727D6">
              <w:fldChar w:fldCharType="end"/>
            </w:r>
            <w:r>
              <w:t xml:space="preserve"> and </w:t>
            </w:r>
            <w:r w:rsidRPr="004005B1">
              <w:t xml:space="preserve">Nobile-Orazio </w: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 </w:instrTex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2015</w:t>
              </w:r>
            </w:hyperlink>
            <w:r w:rsidR="00B727D6">
              <w:rPr>
                <w:noProof/>
              </w:rPr>
              <w:t>)</w:t>
            </w:r>
            <w:r w:rsidR="00B727D6">
              <w:fldChar w:fldCharType="end"/>
            </w:r>
            <w:r>
              <w:t xml:space="preserve">, </w:t>
            </w:r>
            <w:r>
              <w:fldChar w:fldCharType="begin"/>
            </w:r>
            <w:r>
              <w:instrText xml:space="preserve"> REF _Ref65856839 \h  \* MERGEFORMAT </w:instrText>
            </w:r>
            <w:r>
              <w:fldChar w:fldCharType="separate"/>
            </w:r>
            <w:r w:rsidR="004B3EA2" w:rsidRPr="001977C9">
              <w:t xml:space="preserve">Table </w:t>
            </w:r>
            <w:r w:rsidR="004B3EA2">
              <w:rPr>
                <w:noProof/>
              </w:rPr>
              <w:t>31</w:t>
            </w:r>
            <w:r>
              <w:fldChar w:fldCharType="end"/>
            </w:r>
          </w:p>
        </w:tc>
      </w:tr>
      <w:tr w:rsidR="008529AD" w:rsidRPr="00012F4F" w14:paraId="1E0FFB10" w14:textId="77777777" w:rsidTr="00CD16FE">
        <w:tc>
          <w:tcPr>
            <w:tcW w:w="1696" w:type="dxa"/>
            <w:vMerge/>
          </w:tcPr>
          <w:p w14:paraId="72A1D1FE" w14:textId="77777777" w:rsidR="008529AD" w:rsidRPr="00012F4F" w:rsidRDefault="008529AD" w:rsidP="00CD16FE">
            <w:pPr>
              <w:pStyle w:val="Tabletext1"/>
            </w:pPr>
          </w:p>
        </w:tc>
        <w:tc>
          <w:tcPr>
            <w:tcW w:w="3686" w:type="dxa"/>
            <w:vMerge/>
          </w:tcPr>
          <w:p w14:paraId="4501F349" w14:textId="77777777" w:rsidR="008529AD" w:rsidRDefault="008529AD" w:rsidP="00CD16FE">
            <w:pPr>
              <w:pStyle w:val="Tabletext1"/>
            </w:pPr>
          </w:p>
        </w:tc>
        <w:tc>
          <w:tcPr>
            <w:tcW w:w="1559" w:type="dxa"/>
          </w:tcPr>
          <w:p w14:paraId="76DF14A7" w14:textId="77777777" w:rsidR="008529AD" w:rsidRDefault="008529AD" w:rsidP="00CD16FE">
            <w:pPr>
              <w:pStyle w:val="Tabletext1"/>
              <w:ind w:left="0"/>
            </w:pPr>
            <w:r w:rsidRPr="00012F4F">
              <w:t xml:space="preserve">Modelled </w:t>
            </w:r>
          </w:p>
        </w:tc>
        <w:tc>
          <w:tcPr>
            <w:tcW w:w="1276" w:type="dxa"/>
          </w:tcPr>
          <w:p w14:paraId="67284267" w14:textId="77777777" w:rsidR="008529AD" w:rsidRDefault="008529AD" w:rsidP="00CD16FE">
            <w:pPr>
              <w:pStyle w:val="Tabletext1"/>
              <w:ind w:left="0"/>
            </w:pPr>
            <w:r>
              <w:t>0.0380</w:t>
            </w:r>
          </w:p>
        </w:tc>
        <w:tc>
          <w:tcPr>
            <w:tcW w:w="5812" w:type="dxa"/>
          </w:tcPr>
          <w:p w14:paraId="0E884D73" w14:textId="4EACB744" w:rsidR="008529AD" w:rsidRDefault="008529AD" w:rsidP="00CD16FE">
            <w:pPr>
              <w:pStyle w:val="Tabletext1"/>
              <w:ind w:left="0"/>
            </w:pPr>
            <w:r>
              <w:t xml:space="preserve">BloodStar data post second review, relapse data – see </w:t>
            </w:r>
            <w:r>
              <w:fldChar w:fldCharType="begin"/>
            </w:r>
            <w:r>
              <w:instrText xml:space="preserve"> REF _Ref65856839 \h  \* MERGEFORMAT </w:instrText>
            </w:r>
            <w:r>
              <w:fldChar w:fldCharType="separate"/>
            </w:r>
            <w:r w:rsidR="004B3EA2" w:rsidRPr="001977C9">
              <w:t xml:space="preserve">Table </w:t>
            </w:r>
            <w:r w:rsidR="004B3EA2">
              <w:rPr>
                <w:noProof/>
              </w:rPr>
              <w:t>31</w:t>
            </w:r>
            <w:r>
              <w:fldChar w:fldCharType="end"/>
            </w:r>
          </w:p>
        </w:tc>
      </w:tr>
      <w:tr w:rsidR="008529AD" w:rsidRPr="00012F4F" w14:paraId="2B32ED5D" w14:textId="77777777" w:rsidTr="00CD16FE">
        <w:tc>
          <w:tcPr>
            <w:tcW w:w="1696" w:type="dxa"/>
            <w:vMerge/>
          </w:tcPr>
          <w:p w14:paraId="661F56D3" w14:textId="77777777" w:rsidR="008529AD" w:rsidRPr="00012F4F" w:rsidRDefault="008529AD" w:rsidP="00CD16FE">
            <w:pPr>
              <w:pStyle w:val="Tabletext1"/>
            </w:pPr>
          </w:p>
        </w:tc>
        <w:tc>
          <w:tcPr>
            <w:tcW w:w="3686" w:type="dxa"/>
            <w:vMerge/>
          </w:tcPr>
          <w:p w14:paraId="5B52B777" w14:textId="77777777" w:rsidR="008529AD" w:rsidRDefault="008529AD" w:rsidP="00CD16FE">
            <w:pPr>
              <w:pStyle w:val="Tabletext1"/>
            </w:pPr>
          </w:p>
        </w:tc>
        <w:tc>
          <w:tcPr>
            <w:tcW w:w="1559" w:type="dxa"/>
          </w:tcPr>
          <w:p w14:paraId="0F552FC4" w14:textId="77777777" w:rsidR="008529AD" w:rsidRDefault="008529AD" w:rsidP="00CD16FE">
            <w:pPr>
              <w:pStyle w:val="Tabletext1"/>
              <w:ind w:left="0"/>
            </w:pPr>
            <w:r>
              <w:t>Sensitivity Analysis</w:t>
            </w:r>
          </w:p>
        </w:tc>
        <w:tc>
          <w:tcPr>
            <w:tcW w:w="1276" w:type="dxa"/>
          </w:tcPr>
          <w:p w14:paraId="52163C62" w14:textId="77777777" w:rsidR="008529AD" w:rsidRDefault="008529AD" w:rsidP="00CD16FE">
            <w:pPr>
              <w:pStyle w:val="Tabletext1"/>
              <w:ind w:left="0"/>
            </w:pPr>
            <w:r>
              <w:t>0.015 – 0.0419</w:t>
            </w:r>
          </w:p>
        </w:tc>
        <w:tc>
          <w:tcPr>
            <w:tcW w:w="5812" w:type="dxa"/>
          </w:tcPr>
          <w:p w14:paraId="3A174EB3" w14:textId="4D0CD47B" w:rsidR="008529AD" w:rsidRDefault="008529AD" w:rsidP="00D726F6">
            <w:pPr>
              <w:pStyle w:val="Tabletext1"/>
              <w:ind w:left="0"/>
            </w:pPr>
            <w:r>
              <w:t xml:space="preserve">BloodStar data post first review, relapse data, and </w:t>
            </w:r>
            <w:r w:rsidRPr="004005B1">
              <w:t xml:space="preserve">Nobile-Orazio </w: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 </w:instrTex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2015</w:t>
              </w:r>
            </w:hyperlink>
            <w:r w:rsidR="00B727D6">
              <w:rPr>
                <w:noProof/>
              </w:rPr>
              <w:t>)</w:t>
            </w:r>
            <w:r w:rsidR="00B727D6">
              <w:fldChar w:fldCharType="end"/>
            </w:r>
            <w:r>
              <w:t xml:space="preserve">, see </w:t>
            </w:r>
            <w:r>
              <w:fldChar w:fldCharType="begin"/>
            </w:r>
            <w:r>
              <w:instrText xml:space="preserve"> REF _Ref65856839 \h  \* MERGEFORMAT </w:instrText>
            </w:r>
            <w:r>
              <w:fldChar w:fldCharType="separate"/>
            </w:r>
            <w:r w:rsidR="004B3EA2" w:rsidRPr="001977C9">
              <w:t xml:space="preserve">Table </w:t>
            </w:r>
            <w:r w:rsidR="004B3EA2">
              <w:rPr>
                <w:noProof/>
              </w:rPr>
              <w:t>31</w:t>
            </w:r>
            <w:r>
              <w:fldChar w:fldCharType="end"/>
            </w:r>
          </w:p>
        </w:tc>
      </w:tr>
      <w:tr w:rsidR="008529AD" w:rsidRPr="00012F4F" w14:paraId="796F0ED5" w14:textId="77777777" w:rsidTr="00CD16FE">
        <w:tc>
          <w:tcPr>
            <w:tcW w:w="1696" w:type="dxa"/>
            <w:vMerge w:val="restart"/>
          </w:tcPr>
          <w:p w14:paraId="5BC8D56F" w14:textId="77777777" w:rsidR="008529AD" w:rsidRDefault="008529AD" w:rsidP="00CD16FE">
            <w:pPr>
              <w:pStyle w:val="Tabletext1"/>
              <w:ind w:left="0"/>
            </w:pPr>
            <w:r w:rsidRPr="00012F4F">
              <w:t xml:space="preserve">Death from all </w:t>
            </w:r>
            <w:r>
              <w:t xml:space="preserve">health </w:t>
            </w:r>
            <w:r w:rsidRPr="00012F4F">
              <w:t>states</w:t>
            </w:r>
          </w:p>
          <w:p w14:paraId="42B0FC8F" w14:textId="77777777" w:rsidR="008529AD" w:rsidRPr="00012F4F" w:rsidRDefault="008529AD" w:rsidP="00CD16FE">
            <w:pPr>
              <w:pStyle w:val="Tabletext1"/>
              <w:ind w:left="0"/>
            </w:pPr>
            <w:r>
              <w:t>(A/B/C/D→E)</w:t>
            </w:r>
          </w:p>
        </w:tc>
        <w:tc>
          <w:tcPr>
            <w:tcW w:w="3686" w:type="dxa"/>
            <w:vMerge w:val="restart"/>
          </w:tcPr>
          <w:p w14:paraId="1AD5CFBF" w14:textId="77777777" w:rsidR="008529AD" w:rsidRDefault="008529AD" w:rsidP="00CD16FE">
            <w:pPr>
              <w:pStyle w:val="Tabletext1"/>
              <w:ind w:left="0"/>
            </w:pPr>
            <w:r>
              <w:t>All patients are at risk of all-cause mortality (background mortality) at all times in the model.</w:t>
            </w:r>
          </w:p>
        </w:tc>
        <w:tc>
          <w:tcPr>
            <w:tcW w:w="1559" w:type="dxa"/>
          </w:tcPr>
          <w:p w14:paraId="178F850B" w14:textId="77777777" w:rsidR="008529AD" w:rsidRDefault="008529AD" w:rsidP="00CD16FE">
            <w:pPr>
              <w:pStyle w:val="Tabletext1"/>
              <w:ind w:left="0"/>
            </w:pPr>
            <w:r>
              <w:t>Trial-based</w:t>
            </w:r>
            <w:r w:rsidRPr="00012F4F">
              <w:t xml:space="preserve"> </w:t>
            </w:r>
          </w:p>
        </w:tc>
        <w:tc>
          <w:tcPr>
            <w:tcW w:w="1276" w:type="dxa"/>
          </w:tcPr>
          <w:p w14:paraId="77EFA260" w14:textId="77777777" w:rsidR="008529AD" w:rsidRPr="00012F4F" w:rsidRDefault="008529AD" w:rsidP="00CD16FE">
            <w:pPr>
              <w:pStyle w:val="Tabletext1"/>
              <w:ind w:left="0"/>
            </w:pPr>
            <w:r>
              <w:t>NA</w:t>
            </w:r>
          </w:p>
        </w:tc>
        <w:tc>
          <w:tcPr>
            <w:tcW w:w="5812" w:type="dxa"/>
          </w:tcPr>
          <w:p w14:paraId="3F354399" w14:textId="3DA7C3A5" w:rsidR="008529AD" w:rsidRPr="00012F4F" w:rsidRDefault="008529AD" w:rsidP="00D726F6">
            <w:pPr>
              <w:pStyle w:val="Tabletext1"/>
              <w:ind w:left="0"/>
            </w:pPr>
            <w:r>
              <w:t xml:space="preserve">Not identified in clinical trial, </w: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Nobile-Orazio et al. 2012</w:t>
              </w:r>
            </w:hyperlink>
            <w:r w:rsidR="00B727D6">
              <w:rPr>
                <w:noProof/>
              </w:rPr>
              <w:t>)</w:t>
            </w:r>
            <w:r w:rsidR="00B727D6">
              <w:fldChar w:fldCharType="end"/>
            </w:r>
            <w:r>
              <w:t xml:space="preserve"> and </w:t>
            </w:r>
            <w:r w:rsidRPr="004005B1">
              <w:t xml:space="preserve">Nobile-Orazio </w: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 </w:instrTex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2015</w:t>
              </w:r>
            </w:hyperlink>
            <w:r w:rsidR="00B727D6">
              <w:rPr>
                <w:noProof/>
              </w:rPr>
              <w:t>)</w:t>
            </w:r>
            <w:r w:rsidR="00B727D6">
              <w:fldChar w:fldCharType="end"/>
            </w:r>
          </w:p>
        </w:tc>
      </w:tr>
      <w:tr w:rsidR="008529AD" w:rsidRPr="00012F4F" w14:paraId="1776030F" w14:textId="77777777" w:rsidTr="00CD16FE">
        <w:trPr>
          <w:trHeight w:val="231"/>
        </w:trPr>
        <w:tc>
          <w:tcPr>
            <w:tcW w:w="1696" w:type="dxa"/>
            <w:vMerge/>
          </w:tcPr>
          <w:p w14:paraId="349901CF" w14:textId="77777777" w:rsidR="008529AD" w:rsidRPr="00012F4F" w:rsidRDefault="008529AD" w:rsidP="00CD16FE">
            <w:pPr>
              <w:pStyle w:val="Tabletext1"/>
            </w:pPr>
          </w:p>
        </w:tc>
        <w:tc>
          <w:tcPr>
            <w:tcW w:w="3686" w:type="dxa"/>
            <w:vMerge/>
          </w:tcPr>
          <w:p w14:paraId="6CE7228F" w14:textId="77777777" w:rsidR="008529AD" w:rsidRDefault="008529AD" w:rsidP="00CD16FE">
            <w:pPr>
              <w:pStyle w:val="Tabletext1"/>
            </w:pPr>
          </w:p>
        </w:tc>
        <w:tc>
          <w:tcPr>
            <w:tcW w:w="1559" w:type="dxa"/>
          </w:tcPr>
          <w:p w14:paraId="7A25C946" w14:textId="77777777" w:rsidR="008529AD" w:rsidRDefault="008529AD" w:rsidP="00CD16FE">
            <w:pPr>
              <w:pStyle w:val="Tabletext1"/>
              <w:ind w:left="0"/>
            </w:pPr>
            <w:r w:rsidRPr="00012F4F">
              <w:t xml:space="preserve">Modelled </w:t>
            </w:r>
          </w:p>
        </w:tc>
        <w:tc>
          <w:tcPr>
            <w:tcW w:w="1276" w:type="dxa"/>
          </w:tcPr>
          <w:p w14:paraId="16A7700D" w14:textId="77777777" w:rsidR="008529AD" w:rsidRDefault="008529AD" w:rsidP="00CD16FE">
            <w:pPr>
              <w:pStyle w:val="Tabletext1"/>
              <w:ind w:left="0"/>
            </w:pPr>
            <w:r>
              <w:t>ASM</w:t>
            </w:r>
          </w:p>
        </w:tc>
        <w:tc>
          <w:tcPr>
            <w:tcW w:w="5812" w:type="dxa"/>
          </w:tcPr>
          <w:p w14:paraId="308272AC" w14:textId="68096D2D" w:rsidR="008529AD" w:rsidRDefault="008529AD" w:rsidP="00D726F6">
            <w:pPr>
              <w:pStyle w:val="Tabletext1"/>
              <w:ind w:left="0"/>
            </w:pPr>
            <w:r>
              <w:t xml:space="preserve">Australian Life Tables </w:t>
            </w:r>
            <w:r w:rsidR="00B727D6">
              <w:fldChar w:fldCharType="begin"/>
            </w:r>
            <w:r w:rsidR="00B727D6">
              <w:instrText xml:space="preserve"> ADDIN EN.CITE &lt;EndNote&gt;&lt;Cite&gt;&lt;Author&gt;ABS&lt;/Author&gt;&lt;Year&gt;2020&lt;/Year&gt;&lt;RecNum&gt;1956&lt;/RecNum&gt;&lt;DisplayText&gt;(ABS 2020b)&lt;/DisplayText&gt;&lt;record&gt;&lt;rec-number&gt;1956&lt;/rec-number&gt;&lt;foreign-keys&gt;&lt;key app="EN" db-id="xtr5xfx2xf0wd7e0s2qvst2ietxxf0tpzr9v" timestamp="1614735097"&gt;1956&lt;/key&gt;&lt;/foreign-keys&gt;&lt;ref-type name="Catalog"&gt;8&lt;/ref-type&gt;&lt;contributors&gt;&lt;authors&gt;&lt;author&gt;ABS,&lt;/author&gt;&lt;/authors&gt;&lt;secondary-authors&gt;&lt;author&gt;Australian Bureau of Statistics,&lt;/author&gt;&lt;/secondary-authors&gt;&lt;/contributors&gt;&lt;titles&gt;&lt;title&gt;Table 1.9 Life Tables, Australia, 2017-2019&lt;/title&gt;&lt;/titles&gt;&lt;num-vols&gt;3302055001DO001_20172019&lt;/num-vols&gt;&lt;dates&gt;&lt;year&gt;2020&lt;/year&gt;&lt;/dates&gt;&lt;pub-location&gt;Canberra&lt;/pub-location&gt;&lt;urls&gt;&lt;related-urls&gt;&lt;url&gt;https://www.abs.gov.au/statistics/people/population/life-tables/2017-2019&lt;/url&gt;&lt;/related-urls&gt;&lt;/urls&gt;&lt;access-date&gt;20 January 2021&lt;/access-date&gt;&lt;/record&gt;&lt;/Cite&gt;&lt;/EndNote&gt;</w:instrText>
            </w:r>
            <w:r w:rsidR="00B727D6">
              <w:fldChar w:fldCharType="separate"/>
            </w:r>
            <w:r w:rsidR="00B727D6">
              <w:rPr>
                <w:noProof/>
              </w:rPr>
              <w:t>(</w:t>
            </w:r>
            <w:hyperlink w:anchor="_ENREF_3" w:tooltip="ABS, 2020 #1956" w:history="1">
              <w:r w:rsidR="00D726F6">
                <w:rPr>
                  <w:noProof/>
                </w:rPr>
                <w:t>ABS 2020b</w:t>
              </w:r>
            </w:hyperlink>
            <w:r w:rsidR="00B727D6">
              <w:rPr>
                <w:noProof/>
              </w:rPr>
              <w:t>)</w:t>
            </w:r>
            <w:r w:rsidR="00B727D6">
              <w:fldChar w:fldCharType="end"/>
            </w:r>
          </w:p>
        </w:tc>
      </w:tr>
      <w:tr w:rsidR="008529AD" w:rsidRPr="00012F4F" w14:paraId="7160CFA5" w14:textId="77777777" w:rsidTr="00CD16FE">
        <w:tc>
          <w:tcPr>
            <w:tcW w:w="14029" w:type="dxa"/>
            <w:gridSpan w:val="5"/>
            <w:shd w:val="clear" w:color="auto" w:fill="D9D9D9" w:themeFill="background1" w:themeFillShade="D9"/>
          </w:tcPr>
          <w:p w14:paraId="2560105F" w14:textId="77777777" w:rsidR="008529AD" w:rsidRPr="00012F4F" w:rsidRDefault="008529AD" w:rsidP="00CD16FE">
            <w:pPr>
              <w:pStyle w:val="Tabletext1"/>
              <w:ind w:left="0"/>
            </w:pPr>
            <w:r>
              <w:rPr>
                <w:b/>
                <w:i/>
              </w:rPr>
              <w:t>Corticosteroid</w:t>
            </w:r>
            <w:r w:rsidRPr="00012F4F">
              <w:rPr>
                <w:b/>
                <w:i/>
              </w:rPr>
              <w:t xml:space="preserve"> </w:t>
            </w:r>
            <w:r>
              <w:rPr>
                <w:b/>
                <w:i/>
              </w:rPr>
              <w:t>arm</w:t>
            </w:r>
          </w:p>
        </w:tc>
      </w:tr>
      <w:tr w:rsidR="008529AD" w:rsidRPr="00012F4F" w14:paraId="13D5C342" w14:textId="77777777" w:rsidTr="00CD16FE">
        <w:tc>
          <w:tcPr>
            <w:tcW w:w="1696" w:type="dxa"/>
            <w:vMerge w:val="restart"/>
          </w:tcPr>
          <w:p w14:paraId="2A0AE38E" w14:textId="77777777" w:rsidR="008529AD" w:rsidRPr="00012F4F" w:rsidRDefault="008529AD" w:rsidP="00CD16FE">
            <w:pPr>
              <w:pStyle w:val="Tabletext1"/>
              <w:ind w:left="0"/>
              <w:rPr>
                <w:vertAlign w:val="superscript"/>
              </w:rPr>
            </w:pPr>
            <w:r>
              <w:t>‘Initial treatment’ to ‘Maintenance phase’ (A→B)</w:t>
            </w:r>
          </w:p>
        </w:tc>
        <w:tc>
          <w:tcPr>
            <w:tcW w:w="3686" w:type="dxa"/>
            <w:vMerge w:val="restart"/>
          </w:tcPr>
          <w:p w14:paraId="7EC886BD" w14:textId="77777777" w:rsidR="008529AD" w:rsidRDefault="008529AD" w:rsidP="00CD16FE">
            <w:pPr>
              <w:pStyle w:val="Tabletext1"/>
              <w:ind w:left="0"/>
            </w:pPr>
            <w:r>
              <w:t>Patients who respond to and tolerate initial treatment who continue treatment after the first clinical review.</w:t>
            </w:r>
          </w:p>
        </w:tc>
        <w:tc>
          <w:tcPr>
            <w:tcW w:w="1559" w:type="dxa"/>
          </w:tcPr>
          <w:p w14:paraId="6DE5FDCA" w14:textId="77777777" w:rsidR="008529AD" w:rsidRDefault="008529AD" w:rsidP="00CD16FE">
            <w:pPr>
              <w:pStyle w:val="Tabletext1"/>
              <w:ind w:left="0"/>
            </w:pPr>
            <w:r>
              <w:t>Trial-based</w:t>
            </w:r>
            <w:r w:rsidRPr="00012F4F">
              <w:t xml:space="preserve"> </w:t>
            </w:r>
          </w:p>
        </w:tc>
        <w:tc>
          <w:tcPr>
            <w:tcW w:w="1276" w:type="dxa"/>
          </w:tcPr>
          <w:p w14:paraId="2B461569" w14:textId="77777777" w:rsidR="008529AD" w:rsidRPr="00012F4F" w:rsidRDefault="008529AD" w:rsidP="00CD16FE">
            <w:pPr>
              <w:pStyle w:val="Tabletext1"/>
              <w:ind w:left="0"/>
            </w:pPr>
            <w:r>
              <w:t>NA</w:t>
            </w:r>
          </w:p>
        </w:tc>
        <w:tc>
          <w:tcPr>
            <w:tcW w:w="5812" w:type="dxa"/>
          </w:tcPr>
          <w:p w14:paraId="3AB02DB1" w14:textId="4CAE5693" w:rsidR="008529AD" w:rsidRPr="00012F4F" w:rsidRDefault="008529AD" w:rsidP="00D726F6">
            <w:pPr>
              <w:pStyle w:val="Tabletext1"/>
              <w:ind w:left="0"/>
              <w:rPr>
                <w:lang w:val="es-CL"/>
              </w:rPr>
            </w:pPr>
            <w:r>
              <w:t xml:space="preserve">No maintenance phase in clinical trial, </w: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Nobile-Orazio et al. 2012</w:t>
              </w:r>
            </w:hyperlink>
            <w:r w:rsidR="00B727D6">
              <w:rPr>
                <w:noProof/>
              </w:rPr>
              <w:t>)</w:t>
            </w:r>
            <w:r w:rsidR="00B727D6">
              <w:fldChar w:fldCharType="end"/>
            </w:r>
          </w:p>
        </w:tc>
      </w:tr>
      <w:tr w:rsidR="008529AD" w:rsidRPr="00012F4F" w14:paraId="09C4B19E" w14:textId="77777777" w:rsidTr="00CD16FE">
        <w:trPr>
          <w:trHeight w:val="302"/>
        </w:trPr>
        <w:tc>
          <w:tcPr>
            <w:tcW w:w="1696" w:type="dxa"/>
            <w:vMerge/>
          </w:tcPr>
          <w:p w14:paraId="0AB07A4B" w14:textId="77777777" w:rsidR="008529AD" w:rsidRDefault="008529AD" w:rsidP="00CD16FE">
            <w:pPr>
              <w:pStyle w:val="Tabletext1"/>
            </w:pPr>
          </w:p>
        </w:tc>
        <w:tc>
          <w:tcPr>
            <w:tcW w:w="3686" w:type="dxa"/>
            <w:vMerge/>
          </w:tcPr>
          <w:p w14:paraId="2F505561" w14:textId="77777777" w:rsidR="008529AD" w:rsidRDefault="008529AD" w:rsidP="00CD16FE">
            <w:pPr>
              <w:pStyle w:val="Tabletext1"/>
            </w:pPr>
          </w:p>
        </w:tc>
        <w:tc>
          <w:tcPr>
            <w:tcW w:w="1559" w:type="dxa"/>
          </w:tcPr>
          <w:p w14:paraId="37E844AD" w14:textId="77777777" w:rsidR="008529AD" w:rsidRDefault="008529AD" w:rsidP="00CD16FE">
            <w:pPr>
              <w:pStyle w:val="Tabletext1"/>
              <w:ind w:left="0"/>
            </w:pPr>
            <w:r w:rsidRPr="00012F4F">
              <w:t xml:space="preserve">Modelled </w:t>
            </w:r>
          </w:p>
        </w:tc>
        <w:tc>
          <w:tcPr>
            <w:tcW w:w="1276" w:type="dxa"/>
          </w:tcPr>
          <w:p w14:paraId="649F83E7" w14:textId="77777777" w:rsidR="008529AD" w:rsidRPr="000F18B2" w:rsidRDefault="008529AD" w:rsidP="00CD16FE">
            <w:pPr>
              <w:pStyle w:val="Tabletext1"/>
              <w:ind w:left="0"/>
              <w:rPr>
                <w:highlight w:val="yellow"/>
              </w:rPr>
            </w:pPr>
            <w:r w:rsidRPr="006D1218">
              <w:t>1.0</w:t>
            </w:r>
          </w:p>
        </w:tc>
        <w:tc>
          <w:tcPr>
            <w:tcW w:w="5812" w:type="dxa"/>
          </w:tcPr>
          <w:p w14:paraId="569413B4" w14:textId="77777777" w:rsidR="008529AD" w:rsidRPr="004005B1" w:rsidRDefault="008529AD" w:rsidP="00CD16FE">
            <w:pPr>
              <w:pStyle w:val="Tabletext1"/>
              <w:ind w:left="0"/>
            </w:pPr>
            <w:r>
              <w:t>Structural assumption: patients with a response to initial therapy continue to maintenance therapy after 4 months.</w:t>
            </w:r>
          </w:p>
        </w:tc>
      </w:tr>
      <w:tr w:rsidR="008529AD" w:rsidRPr="00012F4F" w14:paraId="71ADD63E" w14:textId="77777777" w:rsidTr="00CD16FE">
        <w:tc>
          <w:tcPr>
            <w:tcW w:w="1696" w:type="dxa"/>
            <w:vMerge w:val="restart"/>
          </w:tcPr>
          <w:p w14:paraId="59DEA9FA" w14:textId="77777777" w:rsidR="008529AD" w:rsidRPr="00012F4F" w:rsidRDefault="008529AD" w:rsidP="00CD16FE">
            <w:pPr>
              <w:pStyle w:val="Tabletext1"/>
              <w:ind w:left="0"/>
              <w:rPr>
                <w:vertAlign w:val="superscript"/>
              </w:rPr>
            </w:pPr>
            <w:r w:rsidRPr="00012F4F">
              <w:t xml:space="preserve">‘Initial treatment’ to </w:t>
            </w:r>
            <w:r>
              <w:t>‘</w:t>
            </w:r>
            <w:r w:rsidRPr="00012F4F">
              <w:t xml:space="preserve">In </w:t>
            </w:r>
            <w:r w:rsidRPr="00446B7D">
              <w:t>remission (off-treatment)</w:t>
            </w:r>
            <w:r>
              <w:t xml:space="preserve"> (A→C)</w:t>
            </w:r>
          </w:p>
        </w:tc>
        <w:tc>
          <w:tcPr>
            <w:tcW w:w="3686" w:type="dxa"/>
            <w:vMerge w:val="restart"/>
          </w:tcPr>
          <w:p w14:paraId="4E2BC2C5" w14:textId="77777777" w:rsidR="008529AD" w:rsidRDefault="008529AD" w:rsidP="00CD16FE">
            <w:pPr>
              <w:pStyle w:val="Tabletext1"/>
              <w:ind w:left="0"/>
            </w:pPr>
            <w:r>
              <w:t>Patients who respond to treatment then cease therapy due to lack of disease activity/clinical need.</w:t>
            </w:r>
          </w:p>
        </w:tc>
        <w:tc>
          <w:tcPr>
            <w:tcW w:w="1559" w:type="dxa"/>
          </w:tcPr>
          <w:p w14:paraId="7FDBEF6E" w14:textId="77777777" w:rsidR="008529AD" w:rsidRDefault="008529AD" w:rsidP="00CD16FE">
            <w:pPr>
              <w:pStyle w:val="Tabletext1"/>
              <w:ind w:left="0"/>
            </w:pPr>
            <w:r>
              <w:t>Trial-based</w:t>
            </w:r>
            <w:r w:rsidRPr="00012F4F">
              <w:t xml:space="preserve"> </w:t>
            </w:r>
          </w:p>
        </w:tc>
        <w:tc>
          <w:tcPr>
            <w:tcW w:w="1276" w:type="dxa"/>
          </w:tcPr>
          <w:p w14:paraId="337D566F" w14:textId="77777777" w:rsidR="008529AD" w:rsidRPr="00012F4F" w:rsidRDefault="008529AD" w:rsidP="00CD16FE">
            <w:pPr>
              <w:pStyle w:val="Tabletext1"/>
              <w:ind w:left="0"/>
            </w:pPr>
            <w:r>
              <w:t xml:space="preserve">1.0 </w:t>
            </w:r>
          </w:p>
        </w:tc>
        <w:tc>
          <w:tcPr>
            <w:tcW w:w="5812" w:type="dxa"/>
          </w:tcPr>
          <w:p w14:paraId="6A69A362" w14:textId="573C2F93" w:rsidR="008529AD" w:rsidRPr="00012F4F" w:rsidRDefault="00B727D6" w:rsidP="00D726F6">
            <w:pPr>
              <w:pStyle w:val="Tabletext1"/>
              <w:ind w:left="0"/>
            </w:pP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54" w:tooltip="Nobile-Orazio, 2012 #10" w:history="1">
              <w:r w:rsidR="00D726F6">
                <w:rPr>
                  <w:noProof/>
                </w:rPr>
                <w:t>Nobile-Orazio et al. 2012</w:t>
              </w:r>
            </w:hyperlink>
            <w:r>
              <w:rPr>
                <w:noProof/>
              </w:rPr>
              <w:t>)</w:t>
            </w:r>
            <w:r>
              <w:fldChar w:fldCharType="end"/>
            </w:r>
            <w:r w:rsidR="008529AD">
              <w:t>; all patients in remission at 24 weeks.</w:t>
            </w:r>
          </w:p>
        </w:tc>
      </w:tr>
      <w:tr w:rsidR="008529AD" w:rsidRPr="00012F4F" w14:paraId="6B855FE4" w14:textId="77777777" w:rsidTr="00CD16FE">
        <w:tc>
          <w:tcPr>
            <w:tcW w:w="1696" w:type="dxa"/>
            <w:vMerge/>
          </w:tcPr>
          <w:p w14:paraId="3500FB17" w14:textId="77777777" w:rsidR="008529AD" w:rsidRPr="00012F4F" w:rsidRDefault="008529AD" w:rsidP="00CD16FE">
            <w:pPr>
              <w:pStyle w:val="Tabletext1"/>
            </w:pPr>
          </w:p>
        </w:tc>
        <w:tc>
          <w:tcPr>
            <w:tcW w:w="3686" w:type="dxa"/>
            <w:vMerge/>
          </w:tcPr>
          <w:p w14:paraId="01AD70DC" w14:textId="77777777" w:rsidR="008529AD" w:rsidRDefault="008529AD" w:rsidP="00CD16FE">
            <w:pPr>
              <w:pStyle w:val="Tabletext1"/>
            </w:pPr>
          </w:p>
        </w:tc>
        <w:tc>
          <w:tcPr>
            <w:tcW w:w="1559" w:type="dxa"/>
          </w:tcPr>
          <w:p w14:paraId="75CF50AE" w14:textId="77777777" w:rsidR="008529AD" w:rsidRDefault="008529AD" w:rsidP="00CD16FE">
            <w:pPr>
              <w:pStyle w:val="Tabletext1"/>
              <w:ind w:left="0"/>
            </w:pPr>
            <w:r w:rsidRPr="00012F4F">
              <w:t xml:space="preserve">Modelled </w:t>
            </w:r>
          </w:p>
        </w:tc>
        <w:tc>
          <w:tcPr>
            <w:tcW w:w="1276" w:type="dxa"/>
          </w:tcPr>
          <w:p w14:paraId="2D571C39" w14:textId="77777777" w:rsidR="008529AD" w:rsidRDefault="008529AD" w:rsidP="00CD16FE">
            <w:pPr>
              <w:pStyle w:val="Tabletext1"/>
              <w:ind w:left="0"/>
            </w:pPr>
            <w:r>
              <w:t>0.0385</w:t>
            </w:r>
          </w:p>
        </w:tc>
        <w:tc>
          <w:tcPr>
            <w:tcW w:w="5812" w:type="dxa"/>
            <w:tcBorders>
              <w:bottom w:val="single" w:sz="4" w:space="0" w:color="auto"/>
            </w:tcBorders>
          </w:tcPr>
          <w:p w14:paraId="01E28E9A" w14:textId="3AFA0301" w:rsidR="008529AD" w:rsidRPr="004005B1" w:rsidRDefault="008529AD" w:rsidP="00D726F6">
            <w:pPr>
              <w:pStyle w:val="Tabletext1"/>
              <w:ind w:left="0"/>
            </w:pPr>
            <w:r>
              <w:t xml:space="preserve">Remission rate in Van Schaik </w:t>
            </w:r>
            <w:r w:rsidR="00B727D6">
              <w:fldChar w:fldCharType="begin">
                <w:fldData xml:space="preserve">PEVuZE5vdGU+PENpdGUgRXhjbHVkZUF1dGg9IjEiPjxBdXRob3I+dmFuIFNjaGFpazwvQXV0aG9y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</w:fldData>
              </w:fldChar>
            </w:r>
            <w:r w:rsidR="00B727D6">
              <w:instrText xml:space="preserve"> ADDIN EN.CITE </w:instrText>
            </w:r>
            <w:r w:rsidR="00B727D6">
              <w:fldChar w:fldCharType="begin">
                <w:fldData xml:space="preserve">PEVuZE5vdGU+PENpdGUgRXhjbHVkZUF1dGg9IjEiPjxBdXRob3I+dmFuIFNjaGFpazwvQXV0aG9y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5" w:tooltip="van Schaik, 2010 #57" w:history="1">
              <w:r w:rsidR="00D726F6">
                <w:rPr>
                  <w:noProof/>
                </w:rPr>
                <w:t>2010</w:t>
              </w:r>
            </w:hyperlink>
            <w:r w:rsidR="00B727D6">
              <w:rPr>
                <w:noProof/>
              </w:rPr>
              <w:t>)</w:t>
            </w:r>
            <w:r w:rsidR="00B727D6">
              <w:fldChar w:fldCharType="end"/>
            </w:r>
            <w:r>
              <w:t>, see Table 31.</w:t>
            </w:r>
          </w:p>
        </w:tc>
      </w:tr>
      <w:tr w:rsidR="008529AD" w:rsidRPr="00012F4F" w14:paraId="74B8435F" w14:textId="77777777" w:rsidTr="00CD16FE">
        <w:tc>
          <w:tcPr>
            <w:tcW w:w="1696" w:type="dxa"/>
            <w:vMerge/>
          </w:tcPr>
          <w:p w14:paraId="76BCA5A3" w14:textId="77777777" w:rsidR="008529AD" w:rsidRPr="00012F4F" w:rsidRDefault="008529AD" w:rsidP="00CD16FE">
            <w:pPr>
              <w:pStyle w:val="Tabletext1"/>
            </w:pPr>
          </w:p>
        </w:tc>
        <w:tc>
          <w:tcPr>
            <w:tcW w:w="3686" w:type="dxa"/>
            <w:vMerge/>
          </w:tcPr>
          <w:p w14:paraId="3E2B6011" w14:textId="77777777" w:rsidR="008529AD" w:rsidRDefault="008529AD" w:rsidP="00CD16FE">
            <w:pPr>
              <w:pStyle w:val="Tabletext1"/>
            </w:pPr>
          </w:p>
        </w:tc>
        <w:tc>
          <w:tcPr>
            <w:tcW w:w="1559" w:type="dxa"/>
          </w:tcPr>
          <w:p w14:paraId="21113DC6" w14:textId="77777777" w:rsidR="008529AD" w:rsidRDefault="008529AD" w:rsidP="00CD16FE">
            <w:pPr>
              <w:pStyle w:val="Tabletext1"/>
              <w:ind w:left="0"/>
            </w:pPr>
            <w:r>
              <w:t>Sensitivity Analysis</w:t>
            </w:r>
          </w:p>
        </w:tc>
        <w:tc>
          <w:tcPr>
            <w:tcW w:w="1276" w:type="dxa"/>
          </w:tcPr>
          <w:p w14:paraId="2D7BA75A" w14:textId="77777777" w:rsidR="008529AD" w:rsidRDefault="008529AD" w:rsidP="00CD16FE">
            <w:pPr>
              <w:pStyle w:val="Tabletext1"/>
              <w:ind w:left="0"/>
            </w:pPr>
            <w:r>
              <w:t>±50%</w:t>
            </w:r>
          </w:p>
        </w:tc>
        <w:tc>
          <w:tcPr>
            <w:tcW w:w="5812" w:type="dxa"/>
          </w:tcPr>
          <w:p w14:paraId="7BCFFA0A" w14:textId="77777777" w:rsidR="008529AD" w:rsidRPr="004005B1" w:rsidRDefault="008529AD" w:rsidP="00CD16FE">
            <w:pPr>
              <w:pStyle w:val="Tabletext1"/>
              <w:ind w:left="0"/>
            </w:pPr>
            <w:r>
              <w:t>Arbitrary estimate of plausible range.</w:t>
            </w:r>
          </w:p>
        </w:tc>
      </w:tr>
      <w:tr w:rsidR="008529AD" w:rsidRPr="00012F4F" w14:paraId="2D4A4563" w14:textId="77777777" w:rsidTr="00CD16FE">
        <w:tc>
          <w:tcPr>
            <w:tcW w:w="1696" w:type="dxa"/>
            <w:vMerge w:val="restart"/>
          </w:tcPr>
          <w:p w14:paraId="5BFD8986" w14:textId="77777777" w:rsidR="008529AD" w:rsidRPr="00012F4F" w:rsidRDefault="008529AD" w:rsidP="00CD16FE">
            <w:pPr>
              <w:pStyle w:val="Tabletext1"/>
              <w:ind w:left="0"/>
              <w:rPr>
                <w:vertAlign w:val="superscript"/>
              </w:rPr>
            </w:pPr>
            <w:r w:rsidRPr="00012F4F">
              <w:t xml:space="preserve">‘Initial treatment’ </w:t>
            </w:r>
            <w:r>
              <w:t>to ‘BSC‘ (A→D)</w:t>
            </w:r>
          </w:p>
        </w:tc>
        <w:tc>
          <w:tcPr>
            <w:tcW w:w="3686" w:type="dxa"/>
            <w:vMerge w:val="restart"/>
          </w:tcPr>
          <w:p w14:paraId="2891B6D1" w14:textId="77777777" w:rsidR="008529AD" w:rsidRDefault="008529AD" w:rsidP="00CD16FE">
            <w:pPr>
              <w:pStyle w:val="Tabletext1"/>
              <w:ind w:left="0"/>
            </w:pPr>
            <w:r>
              <w:t>Patients who discontinue after initial use of therapy, due to either adverse events or lack of response.</w:t>
            </w:r>
          </w:p>
        </w:tc>
        <w:tc>
          <w:tcPr>
            <w:tcW w:w="1559" w:type="dxa"/>
          </w:tcPr>
          <w:p w14:paraId="791F414B" w14:textId="77777777" w:rsidR="008529AD" w:rsidRDefault="008529AD" w:rsidP="00CD16FE">
            <w:pPr>
              <w:pStyle w:val="Tabletext1"/>
              <w:ind w:left="0"/>
            </w:pPr>
            <w:r>
              <w:t>Trial-based</w:t>
            </w:r>
            <w:r w:rsidRPr="00012F4F">
              <w:t xml:space="preserve"> </w:t>
            </w:r>
          </w:p>
        </w:tc>
        <w:tc>
          <w:tcPr>
            <w:tcW w:w="1276" w:type="dxa"/>
          </w:tcPr>
          <w:p w14:paraId="3F18E47D" w14:textId="77777777" w:rsidR="008529AD" w:rsidRPr="00012F4F" w:rsidRDefault="008529AD" w:rsidP="00CD16FE">
            <w:pPr>
              <w:pStyle w:val="Tabletext1"/>
              <w:ind w:left="0"/>
            </w:pPr>
            <w:r>
              <w:t>0.1103</w:t>
            </w:r>
          </w:p>
        </w:tc>
        <w:tc>
          <w:tcPr>
            <w:tcW w:w="5812" w:type="dxa"/>
          </w:tcPr>
          <w:p w14:paraId="39026E32" w14:textId="245206B8" w:rsidR="008529AD" w:rsidRPr="00012F4F" w:rsidRDefault="00B727D6" w:rsidP="00D726F6">
            <w:pPr>
              <w:pStyle w:val="Tabletext1"/>
              <w:ind w:left="0"/>
            </w:pP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54" w:tooltip="Nobile-Orazio, 2012 #10" w:history="1">
              <w:r w:rsidR="00D726F6">
                <w:rPr>
                  <w:noProof/>
                </w:rPr>
                <w:t>Nobile-Orazio et al. 2012</w:t>
              </w:r>
            </w:hyperlink>
            <w:r>
              <w:rPr>
                <w:noProof/>
              </w:rPr>
              <w:t>)</w:t>
            </w:r>
            <w:r>
              <w:fldChar w:fldCharType="end"/>
            </w:r>
            <w:r w:rsidR="008529AD">
              <w:t>; 52.38% of the patients withdrew from steroids treatment either due to intolerance (4.76%) or non-response (47.62%) over first 24 weeks of the trial (sum of cyclic probabilities: 0.0081 and 0.1022 for AEs and non-efficacy)</w:t>
            </w:r>
          </w:p>
        </w:tc>
      </w:tr>
      <w:tr w:rsidR="008529AD" w:rsidRPr="00012F4F" w14:paraId="2A312B37" w14:textId="77777777" w:rsidTr="00CD16FE">
        <w:tc>
          <w:tcPr>
            <w:tcW w:w="1696" w:type="dxa"/>
            <w:vMerge/>
          </w:tcPr>
          <w:p w14:paraId="1554BCE9" w14:textId="77777777" w:rsidR="008529AD" w:rsidRPr="00012F4F" w:rsidRDefault="008529AD" w:rsidP="00CD16FE">
            <w:pPr>
              <w:pStyle w:val="Tabletext1"/>
            </w:pPr>
          </w:p>
        </w:tc>
        <w:tc>
          <w:tcPr>
            <w:tcW w:w="3686" w:type="dxa"/>
            <w:vMerge/>
          </w:tcPr>
          <w:p w14:paraId="6EDFF73B" w14:textId="77777777" w:rsidR="008529AD" w:rsidRDefault="008529AD" w:rsidP="00CD16FE">
            <w:pPr>
              <w:pStyle w:val="Tabletext1"/>
            </w:pPr>
          </w:p>
        </w:tc>
        <w:tc>
          <w:tcPr>
            <w:tcW w:w="1559" w:type="dxa"/>
          </w:tcPr>
          <w:p w14:paraId="211C824E" w14:textId="77777777" w:rsidR="008529AD" w:rsidRDefault="008529AD" w:rsidP="00CD16FE">
            <w:pPr>
              <w:pStyle w:val="Tabletext1"/>
              <w:ind w:left="0"/>
            </w:pPr>
            <w:r w:rsidRPr="00012F4F">
              <w:t xml:space="preserve">Modelled </w:t>
            </w:r>
          </w:p>
        </w:tc>
        <w:tc>
          <w:tcPr>
            <w:tcW w:w="1276" w:type="dxa"/>
          </w:tcPr>
          <w:p w14:paraId="5DBFA527" w14:textId="77777777" w:rsidR="008529AD" w:rsidDel="00D224B4" w:rsidRDefault="008529AD" w:rsidP="00CD16FE">
            <w:pPr>
              <w:pStyle w:val="Tabletext1"/>
              <w:ind w:left="0"/>
            </w:pPr>
            <w:r>
              <w:t>0.1082</w:t>
            </w:r>
          </w:p>
        </w:tc>
        <w:tc>
          <w:tcPr>
            <w:tcW w:w="5812" w:type="dxa"/>
          </w:tcPr>
          <w:p w14:paraId="1C2FB990" w14:textId="79D89403" w:rsidR="008529AD" w:rsidRDefault="00B727D6" w:rsidP="00CD16FE">
            <w:pPr>
              <w:pStyle w:val="Tabletext1"/>
              <w:ind w:left="0"/>
            </w:pP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54" w:tooltip="Nobile-Orazio, 2012 #10" w:history="1">
              <w:r w:rsidR="00D726F6">
                <w:rPr>
                  <w:noProof/>
                </w:rPr>
                <w:t>Nobile-Orazio et al. 2012</w:t>
              </w:r>
            </w:hyperlink>
            <w:r>
              <w:rPr>
                <w:noProof/>
              </w:rPr>
              <w:t>)</w:t>
            </w:r>
            <w:r>
              <w:fldChar w:fldCharType="end"/>
            </w:r>
            <w:r w:rsidR="008529AD">
              <w:t xml:space="preserve">; 47.64% non-responders over 24 weeks (0.1022) </w:t>
            </w:r>
          </w:p>
          <w:p w14:paraId="6DEE8E78" w14:textId="04B328C3" w:rsidR="008529AD" w:rsidRDefault="008529AD" w:rsidP="00CD16FE">
            <w:pPr>
              <w:pStyle w:val="Tabletext1"/>
              <w:ind w:left="0"/>
            </w:pPr>
            <w:r>
              <w:t xml:space="preserve">Waheed et al </w:t>
            </w:r>
            <w:r w:rsidR="00B727D6">
              <w:fldChar w:fldCharType="begin">
                <w:fldData xml:space="preserve">PEVuZE5vdGU+PENpdGUgRXhjbHVkZUF1dGg9IjEiPjxBdXRob3I+V2FoZWVkPC9BdXRob3I+PFll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</w:fldData>
              </w:fldChar>
            </w:r>
            <w:r w:rsidR="00B727D6">
              <w:instrText xml:space="preserve"> ADDIN EN.CITE </w:instrText>
            </w:r>
            <w:r w:rsidR="00B727D6">
              <w:fldChar w:fldCharType="begin">
                <w:fldData xml:space="preserve">PEVuZE5vdGU+PENpdGUgRXhjbHVkZUF1dGg9IjEiPjxBdXRob3I+V2FoZWVkPC9BdXRob3I+PFll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</w:fldData>
              </w:fldChar>
            </w:r>
            <w:r w:rsidR="00B727D6">
              <w:instrText xml:space="preserve"> ADDIN EN.CITE.DATA </w:instrText>
            </w:r>
            <w:r w:rsidR="00B727D6">
              <w:fldChar w:fldCharType="end"/>
            </w:r>
            <w:r w:rsidR="00B727D6">
              <w:fldChar w:fldCharType="separate"/>
            </w:r>
            <w:r w:rsidR="00B727D6">
              <w:rPr>
                <w:noProof/>
              </w:rPr>
              <w:t>(</w:t>
            </w:r>
            <w:hyperlink w:anchor="_ENREF_77" w:tooltip="Waheed, 2019 #14" w:history="1">
              <w:r w:rsidR="00D726F6">
                <w:rPr>
                  <w:noProof/>
                </w:rPr>
                <w:t>2019</w:t>
              </w:r>
            </w:hyperlink>
            <w:r w:rsidR="00B727D6">
              <w:rPr>
                <w:noProof/>
              </w:rPr>
              <w:t>)</w:t>
            </w:r>
            <w:r w:rsidR="00B727D6">
              <w:fldChar w:fldCharType="end"/>
            </w:r>
            <w:r>
              <w:t xml:space="preserve"> reported severe adverse events in 1.6% patients over 21 weeks (0.00307 per cycle probability for AE)</w:t>
            </w:r>
          </w:p>
          <w:p w14:paraId="73DC8488" w14:textId="4611824F" w:rsidR="008529AD" w:rsidRDefault="008529AD" w:rsidP="00CD16FE">
            <w:pPr>
              <w:pStyle w:val="Tabletext1"/>
              <w:ind w:left="0"/>
            </w:pPr>
            <w:r>
              <w:t xml:space="preserve">AE associated with chronic use (cumulative higher doses) of steroids (0.0030), </w:t>
            </w:r>
            <w:r>
              <w:fldChar w:fldCharType="begin"/>
            </w:r>
            <w:r>
              <w:instrText xml:space="preserve"> REF _Ref65252255 \h </w:instrText>
            </w:r>
            <w:r>
              <w:fldChar w:fldCharType="separate"/>
            </w:r>
            <w:r w:rsidR="004B3EA2">
              <w:t xml:space="preserve">Table </w:t>
            </w:r>
            <w:r w:rsidR="004B3EA2">
              <w:rPr>
                <w:noProof/>
              </w:rPr>
              <w:t>32</w:t>
            </w:r>
            <w:r>
              <w:fldChar w:fldCharType="end"/>
            </w:r>
            <w:r>
              <w:t xml:space="preserve"> : </w:t>
            </w:r>
            <w:r w:rsidR="00B727D6">
              <w:fldChar w:fldCharType="begin">
                <w:fldData xml:space="preserve">PEVuZE5vdGU+PENpdGU+PEF1dGhvcj5XaWxzb248L0F1dGhvcj48WWVhcj4yMDE3PC9ZZWFyPjxS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</w:fldData>
              </w:fldChar>
            </w:r>
            <w:r w:rsidR="00B727D6">
              <w:instrText xml:space="preserve"> ADDIN EN.CITE </w:instrText>
            </w:r>
            <w:r w:rsidR="00B727D6">
              <w:fldChar w:fldCharType="begin">
                <w:fldData xml:space="preserve">PEVuZE5vdGU+PENpdGU+PEF1dGhvcj5XaWxzb248L0F1dGhvcj48WWVhcj4yMDE3PC9ZZWFyPjxS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1" w:tooltip="Wilson, 2017 #1899" w:history="1">
              <w:r w:rsidR="00D726F6">
                <w:rPr>
                  <w:noProof/>
                </w:rPr>
                <w:t>Wilson, Jessica C. et al. 2017</w:t>
              </w:r>
            </w:hyperlink>
            <w:r w:rsidR="00B727D6">
              <w:rPr>
                <w:noProof/>
              </w:rPr>
              <w:t xml:space="preserve">; </w:t>
            </w:r>
            <w:hyperlink w:anchor="_ENREF_82" w:tooltip="Wilson, 2017 #3" w:history="1">
              <w:r w:rsidR="00D726F6">
                <w:rPr>
                  <w:noProof/>
                </w:rPr>
                <w:t>Wilson, J. C. et al. 2017b</w:t>
              </w:r>
            </w:hyperlink>
            <w:r w:rsidR="00B727D6">
              <w:rPr>
                <w:noProof/>
              </w:rPr>
              <w:t>)</w:t>
            </w:r>
            <w:r w:rsidR="00B727D6">
              <w:fldChar w:fldCharType="end"/>
            </w:r>
          </w:p>
          <w:p w14:paraId="6DD547D2" w14:textId="77777777" w:rsidR="008529AD" w:rsidRPr="004005B1" w:rsidRDefault="008529AD" w:rsidP="00CD16FE">
            <w:pPr>
              <w:pStyle w:val="Tabletext1"/>
              <w:ind w:left="0"/>
            </w:pPr>
            <w:r>
              <w:t xml:space="preserve">Estimated transition probability: 0.1022 + 0.00307 + 0.0030 </w:t>
            </w:r>
          </w:p>
        </w:tc>
      </w:tr>
      <w:tr w:rsidR="008529AD" w:rsidRPr="00012F4F" w14:paraId="4C12106A" w14:textId="77777777" w:rsidTr="00CD16FE">
        <w:tc>
          <w:tcPr>
            <w:tcW w:w="1696" w:type="dxa"/>
            <w:vMerge/>
          </w:tcPr>
          <w:p w14:paraId="3B53B46C" w14:textId="77777777" w:rsidR="008529AD" w:rsidRPr="00012F4F" w:rsidRDefault="008529AD" w:rsidP="00CD16FE">
            <w:pPr>
              <w:pStyle w:val="Tabletext1"/>
            </w:pPr>
          </w:p>
        </w:tc>
        <w:tc>
          <w:tcPr>
            <w:tcW w:w="3686" w:type="dxa"/>
            <w:vMerge/>
          </w:tcPr>
          <w:p w14:paraId="153D6C1A" w14:textId="77777777" w:rsidR="008529AD" w:rsidRDefault="008529AD" w:rsidP="00CD16FE">
            <w:pPr>
              <w:pStyle w:val="Tabletext1"/>
            </w:pPr>
          </w:p>
        </w:tc>
        <w:tc>
          <w:tcPr>
            <w:tcW w:w="1559" w:type="dxa"/>
          </w:tcPr>
          <w:p w14:paraId="7068E541" w14:textId="77777777" w:rsidR="008529AD" w:rsidRDefault="008529AD" w:rsidP="00CD16FE">
            <w:pPr>
              <w:pStyle w:val="Tabletext1"/>
              <w:ind w:left="0"/>
            </w:pPr>
            <w:r>
              <w:t>Sensitivity Analysis</w:t>
            </w:r>
          </w:p>
        </w:tc>
        <w:tc>
          <w:tcPr>
            <w:tcW w:w="1276" w:type="dxa"/>
          </w:tcPr>
          <w:p w14:paraId="032FD738" w14:textId="77777777" w:rsidR="008529AD" w:rsidDel="00D224B4" w:rsidRDefault="008529AD" w:rsidP="00CD16FE">
            <w:pPr>
              <w:pStyle w:val="Tabletext1"/>
              <w:ind w:left="0"/>
            </w:pPr>
            <w:r>
              <w:t>0.0497</w:t>
            </w:r>
          </w:p>
        </w:tc>
        <w:tc>
          <w:tcPr>
            <w:tcW w:w="5812" w:type="dxa"/>
          </w:tcPr>
          <w:p w14:paraId="5D602255" w14:textId="372E6330" w:rsidR="008529AD" w:rsidRPr="004005B1" w:rsidRDefault="008529AD" w:rsidP="00D726F6">
            <w:pPr>
              <w:pStyle w:val="Tabletext1"/>
              <w:ind w:left="0"/>
            </w:pPr>
            <w:r>
              <w:t xml:space="preserve">Assuming 81% response rate (upper limit of response rate reported in the literature, see Section C.3.1) over 20 weeks (0.0436) + AE (0.0031) + dose based AE (0.0030), </w:t>
            </w:r>
            <w:r>
              <w:fldChar w:fldCharType="begin"/>
            </w:r>
            <w:r>
              <w:instrText xml:space="preserve"> REF _Ref65252255 \h </w:instrText>
            </w:r>
            <w:r>
              <w:fldChar w:fldCharType="separate"/>
            </w:r>
            <w:r w:rsidR="004B3EA2">
              <w:t xml:space="preserve">Table </w:t>
            </w:r>
            <w:r w:rsidR="004B3EA2">
              <w:rPr>
                <w:noProof/>
              </w:rPr>
              <w:t>32</w:t>
            </w:r>
            <w:r>
              <w:fldChar w:fldCharType="end"/>
            </w:r>
            <w:r>
              <w:t xml:space="preserve"> : </w:t>
            </w:r>
            <w:r w:rsidR="00B727D6">
              <w:fldChar w:fldCharType="begin">
                <w:fldData xml:space="preserve">PEVuZE5vdGU+PENpdGU+PEF1dGhvcj5XaWxzb248L0F1dGhvcj48WWVhcj4yMDE3PC9ZZWFyPjxS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</w:fldData>
              </w:fldChar>
            </w:r>
            <w:r w:rsidR="00B727D6">
              <w:instrText xml:space="preserve"> ADDIN EN.CITE </w:instrText>
            </w:r>
            <w:r w:rsidR="00B727D6">
              <w:fldChar w:fldCharType="begin">
                <w:fldData xml:space="preserve">PEVuZE5vdGU+PENpdGU+PEF1dGhvcj5XaWxzb248L0F1dGhvcj48WWVhcj4yMDE3PC9ZZWFyPjxS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1" w:tooltip="Wilson, 2017 #1899" w:history="1">
              <w:r w:rsidR="00D726F6">
                <w:rPr>
                  <w:noProof/>
                </w:rPr>
                <w:t>Wilson, Jessica C. et al. 2017</w:t>
              </w:r>
            </w:hyperlink>
            <w:r w:rsidR="00B727D6">
              <w:rPr>
                <w:noProof/>
              </w:rPr>
              <w:t xml:space="preserve">; </w:t>
            </w:r>
            <w:hyperlink w:anchor="_ENREF_82" w:tooltip="Wilson, 2017 #3" w:history="1">
              <w:r w:rsidR="00D726F6">
                <w:rPr>
                  <w:noProof/>
                </w:rPr>
                <w:t>Wilson, J. C. et al. 2017b</w:t>
              </w:r>
            </w:hyperlink>
            <w:r w:rsidR="00B727D6">
              <w:rPr>
                <w:noProof/>
              </w:rPr>
              <w:t>)</w:t>
            </w:r>
            <w:r w:rsidR="00B727D6">
              <w:fldChar w:fldCharType="end"/>
            </w:r>
            <w:r>
              <w:t xml:space="preserve"> </w:t>
            </w:r>
          </w:p>
        </w:tc>
      </w:tr>
      <w:tr w:rsidR="008529AD" w:rsidRPr="00012F4F" w14:paraId="11F91808" w14:textId="77777777" w:rsidTr="00CD16FE">
        <w:tc>
          <w:tcPr>
            <w:tcW w:w="1696" w:type="dxa"/>
            <w:vMerge w:val="restart"/>
          </w:tcPr>
          <w:p w14:paraId="6C0C94D0" w14:textId="77777777" w:rsidR="008529AD" w:rsidRPr="00012F4F" w:rsidRDefault="008529AD" w:rsidP="00CD16FE">
            <w:pPr>
              <w:pStyle w:val="Tabletext1"/>
              <w:ind w:left="0"/>
            </w:pPr>
            <w:r>
              <w:t>‘Maintenance phase’ to ‘</w:t>
            </w:r>
            <w:r w:rsidRPr="00012F4F">
              <w:t xml:space="preserve">In </w:t>
            </w:r>
            <w:r w:rsidRPr="00446B7D">
              <w:t>remission (off-treatment)</w:t>
            </w:r>
            <w:r>
              <w:t xml:space="preserve"> (B→C)</w:t>
            </w:r>
          </w:p>
        </w:tc>
        <w:tc>
          <w:tcPr>
            <w:tcW w:w="3686" w:type="dxa"/>
            <w:vMerge w:val="restart"/>
          </w:tcPr>
          <w:p w14:paraId="39B5D564" w14:textId="77777777" w:rsidR="008529AD" w:rsidRDefault="008529AD" w:rsidP="00CD16FE">
            <w:pPr>
              <w:pStyle w:val="Tabletext1"/>
              <w:ind w:left="0"/>
            </w:pPr>
            <w:r>
              <w:t>Patients who respond to treatment then cease therapy due to lack of disease activity/clinical need.</w:t>
            </w:r>
          </w:p>
        </w:tc>
        <w:tc>
          <w:tcPr>
            <w:tcW w:w="1559" w:type="dxa"/>
          </w:tcPr>
          <w:p w14:paraId="0FC8317A" w14:textId="77777777" w:rsidR="008529AD" w:rsidRDefault="008529AD" w:rsidP="00CD16FE">
            <w:pPr>
              <w:pStyle w:val="Tabletext1"/>
              <w:ind w:left="0"/>
            </w:pPr>
            <w:r>
              <w:t>Trial-based</w:t>
            </w:r>
            <w:r w:rsidRPr="00012F4F">
              <w:t xml:space="preserve"> </w:t>
            </w:r>
          </w:p>
        </w:tc>
        <w:tc>
          <w:tcPr>
            <w:tcW w:w="1276" w:type="dxa"/>
          </w:tcPr>
          <w:p w14:paraId="0E1EC820" w14:textId="77777777" w:rsidR="008529AD" w:rsidRPr="00012F4F" w:rsidRDefault="008529AD" w:rsidP="00CD16FE">
            <w:pPr>
              <w:pStyle w:val="Tabletext1"/>
              <w:ind w:left="0"/>
            </w:pPr>
            <w:r>
              <w:t>All</w:t>
            </w:r>
          </w:p>
        </w:tc>
        <w:tc>
          <w:tcPr>
            <w:tcW w:w="5812" w:type="dxa"/>
          </w:tcPr>
          <w:p w14:paraId="4DF02CF2" w14:textId="099FFBB0" w:rsidR="008529AD" w:rsidRPr="00012F4F" w:rsidRDefault="00B727D6" w:rsidP="00D726F6">
            <w:pPr>
              <w:pStyle w:val="Tabletext1"/>
              <w:ind w:left="0"/>
            </w:pP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54" w:tooltip="Nobile-Orazio, 2012 #10" w:history="1">
              <w:r w:rsidR="00D726F6">
                <w:rPr>
                  <w:noProof/>
                </w:rPr>
                <w:t>Nobile-Orazio et al. 2012</w:t>
              </w:r>
            </w:hyperlink>
            <w:r>
              <w:rPr>
                <w:noProof/>
              </w:rPr>
              <w:t>)</w:t>
            </w:r>
            <w:r>
              <w:fldChar w:fldCharType="end"/>
            </w:r>
            <w:r w:rsidR="008529AD">
              <w:t xml:space="preserve">; </w:t>
            </w:r>
            <w:r w:rsidR="008529AD" w:rsidRPr="00134C6E">
              <w:t>all patients</w:t>
            </w:r>
            <w:r w:rsidR="008529AD">
              <w:t xml:space="preserve"> who responded to treatment were off treatment (</w:t>
            </w:r>
            <w:r w:rsidR="008529AD" w:rsidRPr="00134C6E">
              <w:t>in remission</w:t>
            </w:r>
            <w:r w:rsidR="008529AD">
              <w:t>)</w:t>
            </w:r>
            <w:r w:rsidR="008529AD" w:rsidRPr="00134C6E">
              <w:t xml:space="preserve"> at 24 weeks.</w:t>
            </w:r>
          </w:p>
        </w:tc>
      </w:tr>
      <w:tr w:rsidR="008529AD" w:rsidRPr="00012F4F" w14:paraId="5EC1826E" w14:textId="77777777" w:rsidTr="00CD16FE">
        <w:tc>
          <w:tcPr>
            <w:tcW w:w="1696" w:type="dxa"/>
            <w:vMerge/>
          </w:tcPr>
          <w:p w14:paraId="1C1BB5C3" w14:textId="77777777" w:rsidR="008529AD" w:rsidRDefault="008529AD" w:rsidP="00CD16FE">
            <w:pPr>
              <w:pStyle w:val="Tabletext1"/>
            </w:pPr>
          </w:p>
        </w:tc>
        <w:tc>
          <w:tcPr>
            <w:tcW w:w="3686" w:type="dxa"/>
            <w:vMerge/>
          </w:tcPr>
          <w:p w14:paraId="6E18BEEC" w14:textId="77777777" w:rsidR="008529AD" w:rsidRDefault="008529AD" w:rsidP="00CD16FE">
            <w:pPr>
              <w:pStyle w:val="Tabletext1"/>
            </w:pPr>
          </w:p>
        </w:tc>
        <w:tc>
          <w:tcPr>
            <w:tcW w:w="1559" w:type="dxa"/>
          </w:tcPr>
          <w:p w14:paraId="46614FB5" w14:textId="77777777" w:rsidR="008529AD" w:rsidRDefault="008529AD" w:rsidP="00CD16FE">
            <w:pPr>
              <w:pStyle w:val="Tabletext1"/>
              <w:ind w:left="0"/>
            </w:pPr>
            <w:r w:rsidRPr="00012F4F">
              <w:t xml:space="preserve">Modelled </w:t>
            </w:r>
          </w:p>
        </w:tc>
        <w:tc>
          <w:tcPr>
            <w:tcW w:w="1276" w:type="dxa"/>
          </w:tcPr>
          <w:p w14:paraId="1E3BA2DB" w14:textId="77777777" w:rsidR="008529AD" w:rsidRDefault="008529AD" w:rsidP="00CD16FE">
            <w:pPr>
              <w:pStyle w:val="Tabletext1"/>
              <w:ind w:left="0"/>
            </w:pPr>
            <w:r>
              <w:t>0.0385</w:t>
            </w:r>
          </w:p>
        </w:tc>
        <w:tc>
          <w:tcPr>
            <w:tcW w:w="5812" w:type="dxa"/>
          </w:tcPr>
          <w:p w14:paraId="70E365B3" w14:textId="39E0D513" w:rsidR="008529AD" w:rsidRPr="004005B1" w:rsidRDefault="008529AD" w:rsidP="00D726F6">
            <w:pPr>
              <w:pStyle w:val="Tabletext1"/>
              <w:ind w:left="0"/>
            </w:pPr>
            <w:r>
              <w:t xml:space="preserve">Remission rate in Van Schaik </w:t>
            </w:r>
            <w:r w:rsidR="00B727D6">
              <w:fldChar w:fldCharType="begin">
                <w:fldData xml:space="preserve">PEVuZE5vdGU+PENpdGUgRXhjbHVkZUF1dGg9IjEiPjxBdXRob3I+dmFuIFNjaGFpazwvQXV0aG9y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</w:fldData>
              </w:fldChar>
            </w:r>
            <w:r w:rsidR="00B727D6">
              <w:instrText xml:space="preserve"> ADDIN EN.CITE </w:instrText>
            </w:r>
            <w:r w:rsidR="00B727D6">
              <w:fldChar w:fldCharType="begin">
                <w:fldData xml:space="preserve">PEVuZE5vdGU+PENpdGUgRXhjbHVkZUF1dGg9IjEiPjxBdXRob3I+dmFuIFNjaGFpazwvQXV0aG9y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75" w:tooltip="van Schaik, 2010 #57" w:history="1">
              <w:r w:rsidR="00D726F6">
                <w:rPr>
                  <w:noProof/>
                </w:rPr>
                <w:t>2010</w:t>
              </w:r>
            </w:hyperlink>
            <w:r w:rsidR="00B727D6">
              <w:rPr>
                <w:noProof/>
              </w:rPr>
              <w:t>)</w:t>
            </w:r>
            <w:r w:rsidR="00B727D6">
              <w:fldChar w:fldCharType="end"/>
            </w:r>
            <w:r>
              <w:t xml:space="preserve">, see </w:t>
            </w:r>
            <w:r>
              <w:fldChar w:fldCharType="begin"/>
            </w:r>
            <w:r>
              <w:instrText xml:space="preserve"> REF _Ref65856839 \h  \* MERGEFORMAT </w:instrText>
            </w:r>
            <w:r>
              <w:fldChar w:fldCharType="separate"/>
            </w:r>
            <w:r w:rsidR="004B3EA2" w:rsidRPr="001977C9">
              <w:t xml:space="preserve">Table </w:t>
            </w:r>
            <w:r w:rsidR="004B3EA2">
              <w:rPr>
                <w:noProof/>
              </w:rPr>
              <w:t>31</w:t>
            </w:r>
            <w:r>
              <w:fldChar w:fldCharType="end"/>
            </w:r>
          </w:p>
        </w:tc>
      </w:tr>
      <w:tr w:rsidR="008529AD" w:rsidRPr="00012F4F" w14:paraId="1D442136" w14:textId="77777777" w:rsidTr="00CD16FE">
        <w:tc>
          <w:tcPr>
            <w:tcW w:w="1696" w:type="dxa"/>
            <w:vMerge/>
          </w:tcPr>
          <w:p w14:paraId="40B5A049" w14:textId="77777777" w:rsidR="008529AD" w:rsidRDefault="008529AD" w:rsidP="00CD16FE">
            <w:pPr>
              <w:pStyle w:val="Tabletext1"/>
            </w:pPr>
          </w:p>
        </w:tc>
        <w:tc>
          <w:tcPr>
            <w:tcW w:w="3686" w:type="dxa"/>
            <w:vMerge/>
          </w:tcPr>
          <w:p w14:paraId="12D2E0B2" w14:textId="77777777" w:rsidR="008529AD" w:rsidRDefault="008529AD" w:rsidP="00CD16FE">
            <w:pPr>
              <w:pStyle w:val="Tabletext1"/>
            </w:pPr>
          </w:p>
        </w:tc>
        <w:tc>
          <w:tcPr>
            <w:tcW w:w="1559" w:type="dxa"/>
          </w:tcPr>
          <w:p w14:paraId="3F02CDC7" w14:textId="77777777" w:rsidR="008529AD" w:rsidRDefault="008529AD" w:rsidP="00CD16FE">
            <w:pPr>
              <w:pStyle w:val="Tabletext1"/>
              <w:ind w:left="0"/>
            </w:pPr>
            <w:r>
              <w:t>Sensitivity Analysis</w:t>
            </w:r>
          </w:p>
        </w:tc>
        <w:tc>
          <w:tcPr>
            <w:tcW w:w="1276" w:type="dxa"/>
          </w:tcPr>
          <w:p w14:paraId="699D1F36" w14:textId="77777777" w:rsidR="008529AD" w:rsidRDefault="008529AD" w:rsidP="00CD16FE">
            <w:pPr>
              <w:pStyle w:val="Tabletext1"/>
              <w:ind w:left="0"/>
            </w:pPr>
            <w:r>
              <w:t>±50%</w:t>
            </w:r>
          </w:p>
        </w:tc>
        <w:tc>
          <w:tcPr>
            <w:tcW w:w="5812" w:type="dxa"/>
          </w:tcPr>
          <w:p w14:paraId="4BC3453D" w14:textId="77777777" w:rsidR="008529AD" w:rsidRPr="004005B1" w:rsidRDefault="008529AD" w:rsidP="00CD16FE">
            <w:pPr>
              <w:pStyle w:val="Tabletext1"/>
              <w:ind w:left="0"/>
            </w:pPr>
            <w:r>
              <w:t>Arbitrary estimate of plausible range.</w:t>
            </w:r>
          </w:p>
        </w:tc>
      </w:tr>
      <w:tr w:rsidR="008529AD" w:rsidRPr="00012F4F" w14:paraId="61A14EAB" w14:textId="77777777" w:rsidTr="00CD16FE">
        <w:tc>
          <w:tcPr>
            <w:tcW w:w="1696" w:type="dxa"/>
            <w:vMerge w:val="restart"/>
          </w:tcPr>
          <w:p w14:paraId="59BAC53F" w14:textId="77777777" w:rsidR="008529AD" w:rsidRPr="00012F4F" w:rsidRDefault="008529AD" w:rsidP="00CD16FE">
            <w:pPr>
              <w:pStyle w:val="Tabletext1"/>
              <w:ind w:left="0"/>
              <w:rPr>
                <w:vertAlign w:val="superscript"/>
              </w:rPr>
            </w:pPr>
            <w:r>
              <w:t xml:space="preserve">‘Maintenance phase’ to </w:t>
            </w:r>
            <w:r w:rsidRPr="00012F4F">
              <w:t>‘BSC’</w:t>
            </w:r>
            <w:r>
              <w:t xml:space="preserve"> (B→D)</w:t>
            </w:r>
          </w:p>
        </w:tc>
        <w:tc>
          <w:tcPr>
            <w:tcW w:w="3686" w:type="dxa"/>
            <w:vMerge w:val="restart"/>
          </w:tcPr>
          <w:p w14:paraId="6D2DD74D" w14:textId="77777777" w:rsidR="008529AD" w:rsidRDefault="008529AD" w:rsidP="00CD16FE">
            <w:pPr>
              <w:pStyle w:val="Tabletext1"/>
              <w:ind w:left="0"/>
            </w:pPr>
            <w:r>
              <w:t>Patients who are on treatment but stop therapy and move to BSC, due to adverse events (primarily) or loss of effect.</w:t>
            </w:r>
          </w:p>
        </w:tc>
        <w:tc>
          <w:tcPr>
            <w:tcW w:w="1559" w:type="dxa"/>
          </w:tcPr>
          <w:p w14:paraId="12A9A7E0" w14:textId="77777777" w:rsidR="008529AD" w:rsidRDefault="008529AD" w:rsidP="00CD16FE">
            <w:pPr>
              <w:pStyle w:val="Tabletext1"/>
              <w:ind w:left="0"/>
            </w:pPr>
            <w:r>
              <w:t>Trial-based</w:t>
            </w:r>
            <w:r w:rsidRPr="00012F4F">
              <w:t xml:space="preserve"> </w:t>
            </w:r>
          </w:p>
        </w:tc>
        <w:tc>
          <w:tcPr>
            <w:tcW w:w="1276" w:type="dxa"/>
          </w:tcPr>
          <w:p w14:paraId="1199FC71" w14:textId="77777777" w:rsidR="008529AD" w:rsidRPr="00012F4F" w:rsidRDefault="008529AD" w:rsidP="00CD16FE">
            <w:pPr>
              <w:pStyle w:val="Tabletext1"/>
              <w:ind w:left="0"/>
            </w:pPr>
            <w:r>
              <w:t>-</w:t>
            </w:r>
          </w:p>
        </w:tc>
        <w:tc>
          <w:tcPr>
            <w:tcW w:w="5812" w:type="dxa"/>
          </w:tcPr>
          <w:p w14:paraId="5B763A24" w14:textId="015AFCBE" w:rsidR="008529AD" w:rsidRPr="00012F4F" w:rsidRDefault="008529AD" w:rsidP="00D726F6">
            <w:pPr>
              <w:pStyle w:val="Tabletext1"/>
              <w:ind w:left="0"/>
            </w:pPr>
            <w:r>
              <w:t xml:space="preserve">No maintenance phase in clinical trial, </w: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Nobile-Orazio et al. 2012</w:t>
              </w:r>
            </w:hyperlink>
            <w:r w:rsidR="00B727D6">
              <w:rPr>
                <w:noProof/>
              </w:rPr>
              <w:t>)</w:t>
            </w:r>
            <w:r w:rsidR="00B727D6">
              <w:fldChar w:fldCharType="end"/>
            </w:r>
          </w:p>
        </w:tc>
      </w:tr>
      <w:tr w:rsidR="008529AD" w:rsidRPr="00012F4F" w14:paraId="27FB5A90" w14:textId="77777777" w:rsidTr="00CD16FE">
        <w:tc>
          <w:tcPr>
            <w:tcW w:w="1696" w:type="dxa"/>
            <w:vMerge/>
          </w:tcPr>
          <w:p w14:paraId="0453DCED" w14:textId="77777777" w:rsidR="008529AD" w:rsidRDefault="008529AD" w:rsidP="00CD16FE">
            <w:pPr>
              <w:pStyle w:val="Tabletext1"/>
            </w:pPr>
          </w:p>
        </w:tc>
        <w:tc>
          <w:tcPr>
            <w:tcW w:w="3686" w:type="dxa"/>
            <w:vMerge/>
          </w:tcPr>
          <w:p w14:paraId="204F2BAB" w14:textId="77777777" w:rsidR="008529AD" w:rsidRDefault="008529AD" w:rsidP="00CD16FE">
            <w:pPr>
              <w:pStyle w:val="Tabletext1"/>
            </w:pPr>
          </w:p>
        </w:tc>
        <w:tc>
          <w:tcPr>
            <w:tcW w:w="1559" w:type="dxa"/>
          </w:tcPr>
          <w:p w14:paraId="184B021C" w14:textId="77777777" w:rsidR="008529AD" w:rsidRDefault="008529AD" w:rsidP="00CD16FE">
            <w:pPr>
              <w:pStyle w:val="Tabletext1"/>
              <w:ind w:left="0"/>
            </w:pPr>
            <w:r w:rsidRPr="00012F4F">
              <w:t xml:space="preserve">Modelled </w:t>
            </w:r>
          </w:p>
        </w:tc>
        <w:tc>
          <w:tcPr>
            <w:tcW w:w="1276" w:type="dxa"/>
          </w:tcPr>
          <w:p w14:paraId="109CAE7D" w14:textId="77777777" w:rsidR="008529AD" w:rsidRDefault="008529AD" w:rsidP="00CD16FE">
            <w:pPr>
              <w:pStyle w:val="Tabletext1"/>
              <w:ind w:left="0"/>
            </w:pPr>
            <w:r>
              <w:t>0.0071</w:t>
            </w:r>
          </w:p>
        </w:tc>
        <w:tc>
          <w:tcPr>
            <w:tcW w:w="5812" w:type="dxa"/>
          </w:tcPr>
          <w:p w14:paraId="65DE9B5E" w14:textId="3548348C" w:rsidR="008529AD" w:rsidRDefault="008529AD" w:rsidP="00D726F6">
            <w:pPr>
              <w:pStyle w:val="Tabletext1"/>
              <w:ind w:left="0"/>
            </w:pPr>
            <w:r>
              <w:t xml:space="preserve">Sum of probabilities for experiencing treatment associated adverse event (0.00307) and adverse events due to chronic use of steroids (0.00407) (based on cumulative doses of steroids); </w:t>
            </w:r>
            <w:r>
              <w:fldChar w:fldCharType="begin"/>
            </w:r>
            <w:r>
              <w:instrText xml:space="preserve"> REF _Ref65252255 \h </w:instrText>
            </w:r>
            <w:r>
              <w:fldChar w:fldCharType="separate"/>
            </w:r>
            <w:r w:rsidR="004B3EA2">
              <w:t xml:space="preserve">Table </w:t>
            </w:r>
            <w:r w:rsidR="004B3EA2">
              <w:rPr>
                <w:noProof/>
              </w:rPr>
              <w:t>32</w:t>
            </w:r>
            <w:r>
              <w:fldChar w:fldCharType="end"/>
            </w:r>
            <w:r>
              <w:t xml:space="preserve"> : </w:t>
            </w:r>
            <w:r w:rsidR="00B727D6">
              <w:fldChar w:fldCharType="begin">
                <w:fldData xml:space="preserve">PEVuZE5vdGU+PENpdGU+PEF1dGhvcj5XaWxzb248L0F1dGhvcj48WWVhcj4yMDE3PC9ZZWFyPjxS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</w:fldData>
              </w:fldChar>
            </w:r>
            <w:r w:rsidR="00B727D6">
              <w:instrText xml:space="preserve"> ADDIN EN.CITE </w:instrText>
            </w:r>
            <w:r w:rsidR="00B727D6">
              <w:fldChar w:fldCharType="begin">
                <w:fldData xml:space="preserve">PEVuZE5vdGU+PENpdGU+PEF1dGhvcj5XaWxzb248L0F1dGhvcj48WWVhcj4yMDE3PC9ZZWFyPjxS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1" w:tooltip="Wilson, 2017 #1899" w:history="1">
              <w:r w:rsidR="00D726F6">
                <w:rPr>
                  <w:noProof/>
                </w:rPr>
                <w:t>Wilson, Jessica C. et al. 2017</w:t>
              </w:r>
            </w:hyperlink>
            <w:r w:rsidR="00B727D6">
              <w:rPr>
                <w:noProof/>
              </w:rPr>
              <w:t xml:space="preserve">; </w:t>
            </w:r>
            <w:hyperlink w:anchor="_ENREF_82" w:tooltip="Wilson, 2017 #3" w:history="1">
              <w:r w:rsidR="00D726F6">
                <w:rPr>
                  <w:noProof/>
                </w:rPr>
                <w:t>Wilson, J. C. et al. 2017b</w:t>
              </w:r>
            </w:hyperlink>
            <w:r w:rsidR="00B727D6">
              <w:rPr>
                <w:noProof/>
              </w:rPr>
              <w:t>)</w:t>
            </w:r>
            <w:r w:rsidR="00B727D6">
              <w:fldChar w:fldCharType="end"/>
            </w:r>
          </w:p>
        </w:tc>
      </w:tr>
      <w:tr w:rsidR="008529AD" w:rsidRPr="00012F4F" w14:paraId="7D1B4811" w14:textId="77777777" w:rsidTr="00CD16FE">
        <w:tc>
          <w:tcPr>
            <w:tcW w:w="1696" w:type="dxa"/>
            <w:vMerge/>
          </w:tcPr>
          <w:p w14:paraId="70CE11FD" w14:textId="77777777" w:rsidR="008529AD" w:rsidRDefault="008529AD" w:rsidP="00CD16FE">
            <w:pPr>
              <w:pStyle w:val="Tabletext1"/>
            </w:pPr>
          </w:p>
        </w:tc>
        <w:tc>
          <w:tcPr>
            <w:tcW w:w="3686" w:type="dxa"/>
            <w:vMerge/>
          </w:tcPr>
          <w:p w14:paraId="2C950249" w14:textId="77777777" w:rsidR="008529AD" w:rsidRDefault="008529AD" w:rsidP="00CD16FE">
            <w:pPr>
              <w:pStyle w:val="Tabletext1"/>
            </w:pPr>
          </w:p>
        </w:tc>
        <w:tc>
          <w:tcPr>
            <w:tcW w:w="1559" w:type="dxa"/>
          </w:tcPr>
          <w:p w14:paraId="6B85693B" w14:textId="77777777" w:rsidR="008529AD" w:rsidRDefault="008529AD" w:rsidP="00CD16FE">
            <w:pPr>
              <w:pStyle w:val="Tabletext1"/>
              <w:ind w:left="0"/>
            </w:pPr>
            <w:r>
              <w:t>Sensitivity Analysis</w:t>
            </w:r>
          </w:p>
        </w:tc>
        <w:tc>
          <w:tcPr>
            <w:tcW w:w="1276" w:type="dxa"/>
          </w:tcPr>
          <w:p w14:paraId="7822FDE8" w14:textId="77777777" w:rsidR="008529AD" w:rsidRDefault="008529AD" w:rsidP="00CD16FE">
            <w:pPr>
              <w:pStyle w:val="Tabletext1"/>
              <w:ind w:left="0"/>
            </w:pPr>
            <w:r>
              <w:t>0.0031</w:t>
            </w:r>
          </w:p>
        </w:tc>
        <w:tc>
          <w:tcPr>
            <w:tcW w:w="5812" w:type="dxa"/>
          </w:tcPr>
          <w:p w14:paraId="7173A8AF" w14:textId="77777777" w:rsidR="008529AD" w:rsidRDefault="008529AD" w:rsidP="00CD16FE">
            <w:pPr>
              <w:pStyle w:val="Tabletext1"/>
              <w:ind w:left="0"/>
            </w:pPr>
            <w:r>
              <w:t xml:space="preserve">No excess risk of AE based on higher cumulative doses of steroids. This adjustment will be made to transition A→D as well. </w:t>
            </w:r>
          </w:p>
        </w:tc>
      </w:tr>
      <w:tr w:rsidR="008529AD" w:rsidRPr="00012F4F" w14:paraId="7B274BED" w14:textId="77777777" w:rsidTr="00CD16FE">
        <w:tc>
          <w:tcPr>
            <w:tcW w:w="1696" w:type="dxa"/>
            <w:vMerge w:val="restart"/>
          </w:tcPr>
          <w:p w14:paraId="1AA8B62E" w14:textId="77777777" w:rsidR="008529AD" w:rsidRPr="00012F4F" w:rsidRDefault="008529AD" w:rsidP="00CD16FE">
            <w:pPr>
              <w:pStyle w:val="Tabletext1"/>
              <w:ind w:left="0"/>
            </w:pPr>
            <w:r w:rsidRPr="00012F4F">
              <w:t>‘</w:t>
            </w:r>
            <w:r>
              <w:t>In remission’</w:t>
            </w:r>
            <w:r w:rsidRPr="00012F4F">
              <w:t xml:space="preserve"> to ‘Initial</w:t>
            </w:r>
            <w:r>
              <w:t xml:space="preserve"> / maintenance</w:t>
            </w:r>
            <w:r w:rsidRPr="00012F4F">
              <w:t xml:space="preserve"> treatment’ due to relapse</w:t>
            </w:r>
            <w:r>
              <w:br/>
              <w:t>(C →A or B)</w:t>
            </w:r>
          </w:p>
        </w:tc>
        <w:tc>
          <w:tcPr>
            <w:tcW w:w="3686" w:type="dxa"/>
            <w:vMerge w:val="restart"/>
          </w:tcPr>
          <w:p w14:paraId="5561BBE1" w14:textId="13121296" w:rsidR="008529AD" w:rsidRDefault="008529AD" w:rsidP="00CD16FE">
            <w:pPr>
              <w:pStyle w:val="Tabletext1"/>
              <w:ind w:left="0"/>
            </w:pPr>
            <w:r>
              <w:t>Patients who have previously been successfully treated and stopped therapy, who then experience disease relapse and need to re-start treatment.</w:t>
            </w:r>
            <w:r w:rsidR="00033613">
              <w:t xml:space="preserve"> The allocation to state A or B is time-dependent; where remission is &lt;6 months patients restart treatment in B, where remission is &gt;6 months patients restart in A.</w:t>
            </w:r>
          </w:p>
        </w:tc>
        <w:tc>
          <w:tcPr>
            <w:tcW w:w="1559" w:type="dxa"/>
          </w:tcPr>
          <w:p w14:paraId="21719748" w14:textId="77777777" w:rsidR="008529AD" w:rsidRDefault="008529AD" w:rsidP="00CD16FE">
            <w:pPr>
              <w:pStyle w:val="Tabletext1"/>
              <w:ind w:left="0"/>
            </w:pPr>
            <w:r>
              <w:t>Trial-based</w:t>
            </w:r>
            <w:r w:rsidRPr="00012F4F">
              <w:t xml:space="preserve"> </w:t>
            </w:r>
          </w:p>
        </w:tc>
        <w:tc>
          <w:tcPr>
            <w:tcW w:w="1276" w:type="dxa"/>
          </w:tcPr>
          <w:p w14:paraId="1DC57841" w14:textId="7E8244F3" w:rsidR="008529AD" w:rsidRPr="00012F4F" w:rsidRDefault="008529AD" w:rsidP="00CD16FE">
            <w:pPr>
              <w:pStyle w:val="Tabletext1"/>
              <w:ind w:left="0"/>
            </w:pPr>
            <w:r>
              <w:t>0.000 (short-term) – 0.0310 (long-term)</w:t>
            </w:r>
          </w:p>
        </w:tc>
        <w:tc>
          <w:tcPr>
            <w:tcW w:w="5812" w:type="dxa"/>
          </w:tcPr>
          <w:p w14:paraId="3BA319F3" w14:textId="75463389" w:rsidR="008529AD" w:rsidRPr="00012F4F" w:rsidRDefault="00B727D6" w:rsidP="00D726F6">
            <w:pPr>
              <w:pStyle w:val="Tabletext1"/>
              <w:ind w:left="0"/>
            </w:pP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54" w:tooltip="Nobile-Orazio, 2012 #10" w:history="1">
              <w:r w:rsidR="00D726F6">
                <w:rPr>
                  <w:noProof/>
                </w:rPr>
                <w:t>Nobile-Orazio et al. 2012</w:t>
              </w:r>
            </w:hyperlink>
            <w:r>
              <w:rPr>
                <w:noProof/>
              </w:rPr>
              <w:t>)</w:t>
            </w:r>
            <w:r>
              <w:fldChar w:fldCharType="end"/>
            </w:r>
            <w:r w:rsidR="008529AD">
              <w:t xml:space="preserve"> and </w:t>
            </w:r>
            <w:r w:rsidR="008529AD" w:rsidRPr="004005B1">
              <w:t xml:space="preserve">Nobile-Orazio </w:t>
            </w:r>
            <w:r>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fldChar w:fldCharType="separate"/>
            </w:r>
            <w:r>
              <w:rPr>
                <w:noProof/>
              </w:rPr>
              <w:t>(</w:t>
            </w:r>
            <w:hyperlink w:anchor="_ENREF_55" w:tooltip="Nobile-Orazio, 2015 #1113" w:history="1">
              <w:r w:rsidR="00D726F6">
                <w:rPr>
                  <w:noProof/>
                </w:rPr>
                <w:t>2015</w:t>
              </w:r>
            </w:hyperlink>
            <w:r>
              <w:rPr>
                <w:noProof/>
              </w:rPr>
              <w:t>)</w:t>
            </w:r>
            <w:r>
              <w:fldChar w:fldCharType="end"/>
            </w:r>
            <w:r w:rsidR="008529AD">
              <w:t xml:space="preserve">; </w:t>
            </w:r>
            <w:r w:rsidR="008529AD">
              <w:fldChar w:fldCharType="begin"/>
            </w:r>
            <w:r w:rsidR="008529AD">
              <w:instrText xml:space="preserve"> REF _Ref65856839 \h  \* MERGEFORMAT </w:instrText>
            </w:r>
            <w:r w:rsidR="008529AD">
              <w:fldChar w:fldCharType="separate"/>
            </w:r>
            <w:r w:rsidR="004B3EA2" w:rsidRPr="001977C9">
              <w:t xml:space="preserve">Table </w:t>
            </w:r>
            <w:r w:rsidR="004B3EA2">
              <w:rPr>
                <w:noProof/>
              </w:rPr>
              <w:t>31</w:t>
            </w:r>
            <w:r w:rsidR="008529AD">
              <w:fldChar w:fldCharType="end"/>
            </w:r>
          </w:p>
        </w:tc>
      </w:tr>
      <w:tr w:rsidR="008529AD" w:rsidRPr="00012F4F" w14:paraId="4EA6AFBA" w14:textId="77777777" w:rsidTr="00CD16FE">
        <w:tc>
          <w:tcPr>
            <w:tcW w:w="1696" w:type="dxa"/>
            <w:vMerge/>
          </w:tcPr>
          <w:p w14:paraId="2D98BC55" w14:textId="77777777" w:rsidR="008529AD" w:rsidRPr="00012F4F" w:rsidRDefault="008529AD" w:rsidP="00CD16FE">
            <w:pPr>
              <w:pStyle w:val="Tabletext1"/>
            </w:pPr>
          </w:p>
        </w:tc>
        <w:tc>
          <w:tcPr>
            <w:tcW w:w="3686" w:type="dxa"/>
            <w:vMerge/>
          </w:tcPr>
          <w:p w14:paraId="577DDED2" w14:textId="77777777" w:rsidR="008529AD" w:rsidRDefault="008529AD" w:rsidP="00CD16FE">
            <w:pPr>
              <w:pStyle w:val="Tabletext1"/>
            </w:pPr>
          </w:p>
        </w:tc>
        <w:tc>
          <w:tcPr>
            <w:tcW w:w="1559" w:type="dxa"/>
          </w:tcPr>
          <w:p w14:paraId="12DA053E" w14:textId="77777777" w:rsidR="008529AD" w:rsidRDefault="008529AD" w:rsidP="00CD16FE">
            <w:pPr>
              <w:pStyle w:val="Tabletext1"/>
              <w:ind w:left="0"/>
            </w:pPr>
            <w:r w:rsidRPr="00012F4F">
              <w:t xml:space="preserve">Modelled </w:t>
            </w:r>
          </w:p>
        </w:tc>
        <w:tc>
          <w:tcPr>
            <w:tcW w:w="1276" w:type="dxa"/>
          </w:tcPr>
          <w:p w14:paraId="5107E507" w14:textId="77777777" w:rsidR="008529AD" w:rsidRDefault="008529AD" w:rsidP="00CD16FE">
            <w:pPr>
              <w:pStyle w:val="Tabletext1"/>
              <w:ind w:left="0"/>
            </w:pPr>
            <w:r>
              <w:t>0.0310</w:t>
            </w:r>
          </w:p>
        </w:tc>
        <w:tc>
          <w:tcPr>
            <w:tcW w:w="5812" w:type="dxa"/>
          </w:tcPr>
          <w:p w14:paraId="36EA1EA7" w14:textId="60E37909" w:rsidR="008529AD" w:rsidRDefault="008529AD" w:rsidP="00D726F6">
            <w:pPr>
              <w:pStyle w:val="Tabletext1"/>
              <w:ind w:left="0"/>
            </w:pPr>
            <w:r w:rsidRPr="004005B1">
              <w:t xml:space="preserve">Nobile-Orazio </w: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 </w:instrTex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2015</w:t>
              </w:r>
            </w:hyperlink>
            <w:r w:rsidR="00B727D6">
              <w:rPr>
                <w:noProof/>
              </w:rPr>
              <w:t>)</w:t>
            </w:r>
            <w:r w:rsidR="00B727D6">
              <w:fldChar w:fldCharType="end"/>
            </w:r>
            <w:r>
              <w:t xml:space="preserve">; </w:t>
            </w:r>
            <w:r>
              <w:fldChar w:fldCharType="begin"/>
            </w:r>
            <w:r>
              <w:instrText xml:space="preserve"> REF _Ref65856839 \h  \* MERGEFORMAT </w:instrText>
            </w:r>
            <w:r>
              <w:fldChar w:fldCharType="separate"/>
            </w:r>
            <w:r w:rsidR="004B3EA2" w:rsidRPr="001977C9">
              <w:t xml:space="preserve">Table </w:t>
            </w:r>
            <w:r w:rsidR="004B3EA2">
              <w:rPr>
                <w:noProof/>
              </w:rPr>
              <w:t>31</w:t>
            </w:r>
            <w:r>
              <w:fldChar w:fldCharType="end"/>
            </w:r>
          </w:p>
        </w:tc>
      </w:tr>
      <w:tr w:rsidR="008529AD" w:rsidRPr="00012F4F" w14:paraId="6F982C30" w14:textId="77777777" w:rsidTr="00CD16FE">
        <w:tc>
          <w:tcPr>
            <w:tcW w:w="1696" w:type="dxa"/>
            <w:vMerge/>
          </w:tcPr>
          <w:p w14:paraId="6BB06236" w14:textId="77777777" w:rsidR="008529AD" w:rsidRPr="00012F4F" w:rsidRDefault="008529AD" w:rsidP="00CD16FE">
            <w:pPr>
              <w:pStyle w:val="Tabletext1"/>
            </w:pPr>
          </w:p>
        </w:tc>
        <w:tc>
          <w:tcPr>
            <w:tcW w:w="3686" w:type="dxa"/>
            <w:vMerge/>
          </w:tcPr>
          <w:p w14:paraId="68B4A42E" w14:textId="77777777" w:rsidR="008529AD" w:rsidRDefault="008529AD" w:rsidP="00CD16FE">
            <w:pPr>
              <w:pStyle w:val="Tabletext1"/>
            </w:pPr>
          </w:p>
        </w:tc>
        <w:tc>
          <w:tcPr>
            <w:tcW w:w="1559" w:type="dxa"/>
          </w:tcPr>
          <w:p w14:paraId="750B6E92" w14:textId="77777777" w:rsidR="008529AD" w:rsidRDefault="008529AD" w:rsidP="00CD16FE">
            <w:pPr>
              <w:pStyle w:val="Tabletext1"/>
              <w:ind w:left="0"/>
            </w:pPr>
            <w:r>
              <w:t>Sensitivity Analysis</w:t>
            </w:r>
          </w:p>
        </w:tc>
        <w:tc>
          <w:tcPr>
            <w:tcW w:w="1276" w:type="dxa"/>
          </w:tcPr>
          <w:p w14:paraId="529DCC87" w14:textId="77777777" w:rsidR="008529AD" w:rsidRDefault="008529AD" w:rsidP="00CD16FE">
            <w:pPr>
              <w:pStyle w:val="Tabletext1"/>
              <w:ind w:left="0"/>
            </w:pPr>
            <w:r>
              <w:t>0.0310 –0.0493</w:t>
            </w:r>
          </w:p>
        </w:tc>
        <w:tc>
          <w:tcPr>
            <w:tcW w:w="5812" w:type="dxa"/>
          </w:tcPr>
          <w:p w14:paraId="0ABC29B1" w14:textId="55DFBEA7" w:rsidR="008529AD" w:rsidRDefault="008529AD" w:rsidP="00D726F6">
            <w:pPr>
              <w:pStyle w:val="Tabletext1"/>
              <w:ind w:left="0"/>
            </w:pPr>
            <w:r w:rsidRPr="00453026">
              <w:t xml:space="preserve">Upper and lower estimates </w:t>
            </w:r>
            <w:r>
              <w:t xml:space="preserve">of relapse rates </w:t>
            </w:r>
            <w:r w:rsidRPr="00453026">
              <w:t>from Table 31;</w:t>
            </w:r>
            <w:r w:rsidRPr="004005B1">
              <w:t xml:space="preserve"> Nobile-Orazio </w: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 </w:instrTex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2015</w:t>
              </w:r>
            </w:hyperlink>
            <w:r w:rsidR="00B727D6">
              <w:rPr>
                <w:noProof/>
              </w:rPr>
              <w:t>)</w:t>
            </w:r>
            <w:r w:rsidR="00B727D6">
              <w:fldChar w:fldCharType="end"/>
            </w:r>
            <w:r>
              <w:t xml:space="preserve">, Van Lieverloo </w:t>
            </w:r>
            <w:r w:rsidR="00B727D6">
              <w:fldChar w:fldCharType="begin">
                <w:fldData xml:space="preserve">PEVuZE5vdGU+PENpdGUgRXhjbHVkZUF1dGg9IjEiPjxBdXRob3I+dmFuIExpZXZlcmxvbzwvQXV0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</w:fldData>
              </w:fldChar>
            </w:r>
            <w:r w:rsidR="00B727D6">
              <w:instrText xml:space="preserve"> ADDIN EN.CITE </w:instrText>
            </w:r>
            <w:r w:rsidR="00B727D6">
              <w:fldChar w:fldCharType="begin">
                <w:fldData xml:space="preserve">PEVuZE5vdGU+PENpdGUgRXhjbHVkZUF1dGg9IjEiPjxBdXRob3I+dmFuIExpZXZlcmxvbzwvQXV0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</w:fldData>
              </w:fldChar>
            </w:r>
            <w:r w:rsidR="00B727D6">
              <w:instrText xml:space="preserve"> ADDIN EN.CITE.DATA </w:instrText>
            </w:r>
            <w:r w:rsidR="00B727D6">
              <w:fldChar w:fldCharType="end"/>
            </w:r>
            <w:r w:rsidR="00B727D6">
              <w:fldChar w:fldCharType="separate"/>
            </w:r>
            <w:r w:rsidR="00B727D6">
              <w:rPr>
                <w:noProof/>
              </w:rPr>
              <w:t>(</w:t>
            </w:r>
            <w:hyperlink w:anchor="_ENREF_73" w:tooltip="van Lieverloo, 2018 #13" w:history="1">
              <w:r w:rsidR="00D726F6">
                <w:rPr>
                  <w:noProof/>
                </w:rPr>
                <w:t>2018</w:t>
              </w:r>
            </w:hyperlink>
            <w:r w:rsidR="00B727D6">
              <w:rPr>
                <w:noProof/>
              </w:rPr>
              <w:t>)</w:t>
            </w:r>
            <w:r w:rsidR="00B727D6">
              <w:fldChar w:fldCharType="end"/>
            </w:r>
            <w:r>
              <w:t>.</w:t>
            </w:r>
          </w:p>
        </w:tc>
      </w:tr>
      <w:tr w:rsidR="008529AD" w:rsidRPr="00012F4F" w14:paraId="5235ECB2" w14:textId="77777777" w:rsidTr="00CD16FE">
        <w:tc>
          <w:tcPr>
            <w:tcW w:w="1696" w:type="dxa"/>
            <w:vMerge w:val="restart"/>
          </w:tcPr>
          <w:p w14:paraId="3BE412D1" w14:textId="77777777" w:rsidR="008529AD" w:rsidRPr="00012F4F" w:rsidRDefault="008529AD" w:rsidP="00CD16FE">
            <w:pPr>
              <w:pStyle w:val="Tabletext1"/>
              <w:ind w:left="0"/>
              <w:rPr>
                <w:vertAlign w:val="superscript"/>
              </w:rPr>
            </w:pPr>
            <w:r w:rsidRPr="00012F4F">
              <w:t xml:space="preserve">Death from all </w:t>
            </w:r>
            <w:r>
              <w:t xml:space="preserve">health </w:t>
            </w:r>
            <w:r w:rsidRPr="00012F4F">
              <w:t>states</w:t>
            </w:r>
            <w:r>
              <w:t xml:space="preserve"> (A/B/C/D→E)</w:t>
            </w:r>
          </w:p>
        </w:tc>
        <w:tc>
          <w:tcPr>
            <w:tcW w:w="3686" w:type="dxa"/>
            <w:vMerge w:val="restart"/>
          </w:tcPr>
          <w:p w14:paraId="37B2ACA0" w14:textId="77777777" w:rsidR="008529AD" w:rsidRDefault="008529AD" w:rsidP="00CD16FE">
            <w:pPr>
              <w:pStyle w:val="Tabletext1"/>
              <w:ind w:left="0"/>
            </w:pPr>
            <w:r>
              <w:t xml:space="preserve">All patients are at risk of background mortality at all times, with an increased risk associated with taking corticosteroids in the base case analysis. </w:t>
            </w:r>
          </w:p>
        </w:tc>
        <w:tc>
          <w:tcPr>
            <w:tcW w:w="1559" w:type="dxa"/>
          </w:tcPr>
          <w:p w14:paraId="5C9541A7" w14:textId="77777777" w:rsidR="008529AD" w:rsidRDefault="008529AD" w:rsidP="00CD16FE">
            <w:pPr>
              <w:pStyle w:val="Tabletext1"/>
              <w:ind w:left="0"/>
            </w:pPr>
            <w:r>
              <w:t>Trial-based</w:t>
            </w:r>
            <w:r w:rsidRPr="00012F4F">
              <w:t xml:space="preserve"> </w:t>
            </w:r>
          </w:p>
        </w:tc>
        <w:tc>
          <w:tcPr>
            <w:tcW w:w="1276" w:type="dxa"/>
          </w:tcPr>
          <w:p w14:paraId="6504811A" w14:textId="77777777" w:rsidR="008529AD" w:rsidRPr="00012F4F" w:rsidRDefault="008529AD" w:rsidP="00CD16FE">
            <w:pPr>
              <w:pStyle w:val="Tabletext1"/>
              <w:ind w:left="0"/>
            </w:pPr>
            <w:r>
              <w:t>NA</w:t>
            </w:r>
          </w:p>
        </w:tc>
        <w:tc>
          <w:tcPr>
            <w:tcW w:w="5812" w:type="dxa"/>
          </w:tcPr>
          <w:p w14:paraId="78D9AFB0" w14:textId="77777777" w:rsidR="008529AD" w:rsidRPr="00012F4F" w:rsidRDefault="008529AD" w:rsidP="00CD16FE">
            <w:pPr>
              <w:pStyle w:val="Tabletext1"/>
              <w:ind w:left="0"/>
            </w:pPr>
            <w:r>
              <w:t>Not reported</w:t>
            </w:r>
          </w:p>
        </w:tc>
      </w:tr>
      <w:tr w:rsidR="008529AD" w:rsidRPr="00012F4F" w14:paraId="59EF2046" w14:textId="77777777" w:rsidTr="00CD16FE">
        <w:tc>
          <w:tcPr>
            <w:tcW w:w="1696" w:type="dxa"/>
            <w:vMerge/>
          </w:tcPr>
          <w:p w14:paraId="79C648F2" w14:textId="77777777" w:rsidR="008529AD" w:rsidRPr="00012F4F" w:rsidRDefault="008529AD" w:rsidP="00CD16FE">
            <w:pPr>
              <w:pStyle w:val="Tabletext1"/>
            </w:pPr>
          </w:p>
        </w:tc>
        <w:tc>
          <w:tcPr>
            <w:tcW w:w="3686" w:type="dxa"/>
            <w:vMerge/>
          </w:tcPr>
          <w:p w14:paraId="46E9556A" w14:textId="77777777" w:rsidR="008529AD" w:rsidRDefault="008529AD" w:rsidP="00CD16FE">
            <w:pPr>
              <w:pStyle w:val="Tabletext1"/>
            </w:pPr>
          </w:p>
        </w:tc>
        <w:tc>
          <w:tcPr>
            <w:tcW w:w="1559" w:type="dxa"/>
          </w:tcPr>
          <w:p w14:paraId="007E93C3" w14:textId="77777777" w:rsidR="008529AD" w:rsidRDefault="008529AD" w:rsidP="00CD16FE">
            <w:pPr>
              <w:pStyle w:val="Tabletext1"/>
              <w:ind w:left="0"/>
            </w:pPr>
            <w:r w:rsidRPr="00012F4F">
              <w:t xml:space="preserve">Modelled </w:t>
            </w:r>
          </w:p>
        </w:tc>
        <w:tc>
          <w:tcPr>
            <w:tcW w:w="1276" w:type="dxa"/>
          </w:tcPr>
          <w:p w14:paraId="12F74190" w14:textId="77777777" w:rsidR="008529AD" w:rsidRPr="00012F4F" w:rsidRDefault="008529AD" w:rsidP="00CD16FE">
            <w:pPr>
              <w:pStyle w:val="Tabletext1"/>
              <w:ind w:left="0"/>
            </w:pPr>
            <w:r>
              <w:t>ASM × 1.2 (for patients taking steroids)</w:t>
            </w:r>
          </w:p>
        </w:tc>
        <w:tc>
          <w:tcPr>
            <w:tcW w:w="5812" w:type="dxa"/>
          </w:tcPr>
          <w:p w14:paraId="329ADAC0" w14:textId="03A1E7B6" w:rsidR="008529AD" w:rsidRDefault="008529AD" w:rsidP="00CD16FE">
            <w:pPr>
              <w:pStyle w:val="Tabletext1"/>
              <w:ind w:left="0"/>
            </w:pPr>
            <w:r>
              <w:t xml:space="preserve">Australian Life Tables </w:t>
            </w:r>
            <w:r w:rsidR="00B727D6">
              <w:fldChar w:fldCharType="begin"/>
            </w:r>
            <w:r w:rsidR="00B727D6">
              <w:instrText xml:space="preserve"> ADDIN EN.CITE &lt;EndNote&gt;&lt;Cite&gt;&lt;Author&gt;ABS&lt;/Author&gt;&lt;Year&gt;2020&lt;/Year&gt;&lt;RecNum&gt;1956&lt;/RecNum&gt;&lt;DisplayText&gt;(ABS 2020b)&lt;/DisplayText&gt;&lt;record&gt;&lt;rec-number&gt;1956&lt;/rec-number&gt;&lt;foreign-keys&gt;&lt;key app="EN" db-id="xtr5xfx2xf0wd7e0s2qvst2ietxxf0tpzr9v" timestamp="1614735097"&gt;1956&lt;/key&gt;&lt;/foreign-keys&gt;&lt;ref-type name="Catalog"&gt;8&lt;/ref-type&gt;&lt;contributors&gt;&lt;authors&gt;&lt;author&gt;ABS,&lt;/author&gt;&lt;/authors&gt;&lt;secondary-authors&gt;&lt;author&gt;Australian Bureau of Statistics,&lt;/author&gt;&lt;/secondary-authors&gt;&lt;/contributors&gt;&lt;titles&gt;&lt;title&gt;Table 1.9 Life Tables, Australia, 2017-2019&lt;/title&gt;&lt;/titles&gt;&lt;num-vols&gt;3302055001DO001_20172019&lt;/num-vols&gt;&lt;dates&gt;&lt;year&gt;2020&lt;/year&gt;&lt;/dates&gt;&lt;pub-location&gt;Canberra&lt;/pub-location&gt;&lt;urls&gt;&lt;related-urls&gt;&lt;url&gt;https://www.abs.gov.au/statistics/people/population/life-tables/2017-2019&lt;/url&gt;&lt;/related-urls&gt;&lt;/urls&gt;&lt;access-date&gt;20 January 2021&lt;/access-date&gt;&lt;/record&gt;&lt;/Cite&gt;&lt;/EndNote&gt;</w:instrText>
            </w:r>
            <w:r w:rsidR="00B727D6">
              <w:fldChar w:fldCharType="separate"/>
            </w:r>
            <w:r w:rsidR="00B727D6">
              <w:rPr>
                <w:noProof/>
              </w:rPr>
              <w:t>(</w:t>
            </w:r>
            <w:hyperlink w:anchor="_ENREF_3" w:tooltip="ABS, 2020 #1956" w:history="1">
              <w:r w:rsidR="00D726F6">
                <w:rPr>
                  <w:noProof/>
                </w:rPr>
                <w:t>ABS 2020b</w:t>
              </w:r>
            </w:hyperlink>
            <w:r w:rsidR="00B727D6">
              <w:rPr>
                <w:noProof/>
              </w:rPr>
              <w:t>)</w:t>
            </w:r>
            <w:r w:rsidR="00B727D6">
              <w:fldChar w:fldCharType="end"/>
            </w:r>
          </w:p>
          <w:p w14:paraId="79C6C7E2" w14:textId="7542D8D4" w:rsidR="008529AD" w:rsidRDefault="008529AD" w:rsidP="00D726F6">
            <w:pPr>
              <w:pStyle w:val="Tabletext1"/>
              <w:ind w:left="0"/>
            </w:pPr>
            <w:r>
              <w:t xml:space="preserve">Excess risk of death associated with steroids </w:t>
            </w:r>
            <w:r w:rsidR="00B727D6">
              <w:fldChar w:fldCharType="begin"/>
            </w:r>
            <w:r w:rsidR="00B727D6">
              <w:instrText xml:space="preserve"> ADDIN EN.CITE &lt;EndNote&gt;&lt;Cite&gt;&lt;Author&gt;Wilson&lt;/Author&gt;&lt;Year&gt;2017&lt;/Year&gt;&lt;RecNum&gt;1899&lt;/RecNum&gt;&lt;DisplayText&gt;(Wilson, Jessica C. et al. 2017)&lt;/DisplayText&gt;&lt;record&gt;&lt;rec-number&gt;1899&lt;/rec-number&gt;&lt;foreign-keys&gt;&lt;key app="EN" db-id="xtr5xfx2xf0wd7e0s2qvst2ietxxf0tpzr9v" timestamp="1604874061"&gt;1899&lt;/key&gt;&lt;/foreign-keys&gt;&lt;ref-type name="Journal Article"&gt;17&lt;/ref-type&gt;&lt;contributors&gt;&lt;authors&gt;&lt;author&gt;Wilson, Jessica C.&lt;/author&gt;&lt;author&gt;Sarsour, Khaled&lt;/author&gt;&lt;author&gt;Collinson, Neil&lt;/author&gt;&lt;author&gt;Tuckwell, Katie&lt;/author&gt;&lt;author&gt;Musselman, David&lt;/author&gt;&lt;author&gt;Klearman, Micki&lt;/author&gt;&lt;author&gt;Napalkov, Pavel&lt;/author&gt;&lt;author&gt;Jick, Susan S.&lt;/author&gt;&lt;author&gt;Stone, John H.&lt;/author&gt;&lt;author&gt;Meier, Christoph R.&lt;/author&gt;&lt;/authors&gt;&lt;/contributors&gt;&lt;titles&gt;&lt;title&gt;Incidence of outcomes potentially associated with corticosteroid therapy in patients with giant cell arteritis&lt;/title&gt;&lt;secondary-title&gt;Seminars in Arthritis and Rheumatism&lt;/secondary-title&gt;&lt;/titles&gt;&lt;periodical&gt;&lt;full-title&gt;Seminars in Arthritis and Rheumatism&lt;/full-title&gt;&lt;/periodical&gt;&lt;pages&gt;650-656&lt;/pages&gt;&lt;volume&gt;46&lt;/volume&gt;&lt;number&gt;5&lt;/number&gt;&lt;keywords&gt;&lt;keyword&gt;Corticosteroids&lt;/keyword&gt;&lt;keyword&gt;Giant cell arteritis&lt;/keyword&gt;&lt;keyword&gt;Health services research&lt;/keyword&gt;&lt;keyword&gt;Outcomes research&lt;/keyword&gt;&lt;keyword&gt;Serious adverse events&lt;/keyword&gt;&lt;/keywords&gt;&lt;dates&gt;&lt;year&gt;2017&lt;/year&gt;&lt;pub-dates&gt;&lt;date&gt;2017/04/01/&lt;/date&gt;&lt;/pub-dates&gt;&lt;/dates&gt;&lt;isbn&gt;0049-0172&lt;/isbn&gt;&lt;urls&gt;&lt;related-urls&gt;&lt;url&gt;http://www.sciencedirect.com/science/article/pii/S0049017216303420&lt;/url&gt;&lt;/related-urls&gt;&lt;/urls&gt;&lt;electronic-resource-num&gt;https://doi.org/10.1016/j.semarthrit.2016.10.001&lt;/electronic-resource-num&gt;&lt;/record&gt;&lt;/Cite&gt;&lt;/EndNote&gt;</w:instrText>
            </w:r>
            <w:r w:rsidR="00B727D6">
              <w:fldChar w:fldCharType="separate"/>
            </w:r>
            <w:r w:rsidR="00B727D6">
              <w:rPr>
                <w:noProof/>
              </w:rPr>
              <w:t>(</w:t>
            </w:r>
            <w:hyperlink w:anchor="_ENREF_81" w:tooltip="Wilson, 2017 #1899" w:history="1">
              <w:r w:rsidR="00D726F6">
                <w:rPr>
                  <w:noProof/>
                </w:rPr>
                <w:t>Wilson, Jessica C. et al. 2017</w:t>
              </w:r>
            </w:hyperlink>
            <w:r w:rsidR="00B727D6">
              <w:rPr>
                <w:noProof/>
              </w:rPr>
              <w:t>)</w:t>
            </w:r>
            <w:r w:rsidR="00B727D6">
              <w:fldChar w:fldCharType="end"/>
            </w:r>
          </w:p>
        </w:tc>
      </w:tr>
      <w:tr w:rsidR="008529AD" w:rsidRPr="00012F4F" w14:paraId="4EE1AC5F" w14:textId="77777777" w:rsidTr="00CD16FE">
        <w:tc>
          <w:tcPr>
            <w:tcW w:w="1696" w:type="dxa"/>
            <w:vMerge/>
          </w:tcPr>
          <w:p w14:paraId="45B606B4" w14:textId="77777777" w:rsidR="008529AD" w:rsidRPr="00012F4F" w:rsidRDefault="008529AD" w:rsidP="00CD16FE">
            <w:pPr>
              <w:pStyle w:val="Tabletext1"/>
            </w:pPr>
          </w:p>
        </w:tc>
        <w:tc>
          <w:tcPr>
            <w:tcW w:w="3686" w:type="dxa"/>
            <w:vMerge/>
          </w:tcPr>
          <w:p w14:paraId="732C0918" w14:textId="77777777" w:rsidR="008529AD" w:rsidRDefault="008529AD" w:rsidP="00CD16FE">
            <w:pPr>
              <w:pStyle w:val="Tabletext1"/>
            </w:pPr>
          </w:p>
        </w:tc>
        <w:tc>
          <w:tcPr>
            <w:tcW w:w="1559" w:type="dxa"/>
          </w:tcPr>
          <w:p w14:paraId="7B65D886" w14:textId="77777777" w:rsidR="008529AD" w:rsidRDefault="008529AD" w:rsidP="00CD16FE">
            <w:pPr>
              <w:pStyle w:val="Tabletext1"/>
              <w:ind w:left="0"/>
            </w:pPr>
            <w:r>
              <w:t>Sensitivity Analysis</w:t>
            </w:r>
          </w:p>
        </w:tc>
        <w:tc>
          <w:tcPr>
            <w:tcW w:w="1276" w:type="dxa"/>
          </w:tcPr>
          <w:p w14:paraId="0D3081CC" w14:textId="77777777" w:rsidR="008529AD" w:rsidRPr="00012F4F" w:rsidRDefault="008529AD" w:rsidP="00CD16FE">
            <w:pPr>
              <w:pStyle w:val="Tabletext1"/>
              <w:ind w:left="0"/>
            </w:pPr>
            <w:r>
              <w:t xml:space="preserve">ASM, </w:t>
            </w:r>
            <w:r w:rsidRPr="00DE1D19">
              <w:t>no excess death</w:t>
            </w:r>
            <w:r>
              <w:t xml:space="preserve"> </w:t>
            </w:r>
          </w:p>
        </w:tc>
        <w:tc>
          <w:tcPr>
            <w:tcW w:w="5812" w:type="dxa"/>
          </w:tcPr>
          <w:p w14:paraId="18F01EFE" w14:textId="77777777" w:rsidR="008529AD" w:rsidRDefault="008529AD" w:rsidP="00CD16FE">
            <w:pPr>
              <w:pStyle w:val="Tabletext1"/>
              <w:ind w:left="0"/>
            </w:pPr>
            <w:r>
              <w:t>Test of the effect of the applied excess death rate</w:t>
            </w:r>
          </w:p>
        </w:tc>
      </w:tr>
      <w:tr w:rsidR="008529AD" w:rsidRPr="000F18B2" w14:paraId="59360ECC" w14:textId="77777777" w:rsidTr="00CD16FE">
        <w:tc>
          <w:tcPr>
            <w:tcW w:w="14029" w:type="dxa"/>
            <w:gridSpan w:val="5"/>
            <w:shd w:val="clear" w:color="auto" w:fill="D9D9D9" w:themeFill="background1" w:themeFillShade="D9"/>
          </w:tcPr>
          <w:p w14:paraId="429E97E5" w14:textId="77777777" w:rsidR="008529AD" w:rsidRPr="000F18B2" w:rsidRDefault="008529AD" w:rsidP="00CD16FE">
            <w:pPr>
              <w:spacing w:before="40" w:after="40" w:line="240" w:lineRule="auto"/>
              <w:ind w:left="0"/>
              <w:rPr>
                <w:rFonts w:ascii="Arial Narrow" w:hAnsi="Arial Narrow"/>
                <w:i/>
                <w:sz w:val="20"/>
                <w:szCs w:val="20"/>
              </w:rPr>
            </w:pPr>
            <w:r w:rsidRPr="000F18B2">
              <w:rPr>
                <w:rFonts w:ascii="Arial Narrow" w:hAnsi="Arial Narrow"/>
                <w:b/>
                <w:i/>
                <w:sz w:val="20"/>
                <w:szCs w:val="20"/>
              </w:rPr>
              <w:t>Plasma Exchange arm (no trial based data inputs)</w:t>
            </w:r>
          </w:p>
        </w:tc>
      </w:tr>
      <w:tr w:rsidR="008529AD" w:rsidRPr="00012F4F" w14:paraId="71652C10" w14:textId="77777777" w:rsidTr="00CD16FE">
        <w:tc>
          <w:tcPr>
            <w:tcW w:w="1696" w:type="dxa"/>
            <w:vMerge w:val="restart"/>
          </w:tcPr>
          <w:p w14:paraId="09E28373" w14:textId="77777777" w:rsidR="008529AD" w:rsidRDefault="008529AD" w:rsidP="00CD16FE">
            <w:pPr>
              <w:pStyle w:val="Tabletext1"/>
              <w:ind w:left="0"/>
            </w:pPr>
            <w:r>
              <w:t>‘Initial treatment’ to ‘Maintenance phase’</w:t>
            </w:r>
          </w:p>
          <w:p w14:paraId="51D9965D" w14:textId="77777777" w:rsidR="008529AD" w:rsidRPr="00012F4F" w:rsidRDefault="008529AD" w:rsidP="00CD16FE">
            <w:pPr>
              <w:pStyle w:val="Tabletext1"/>
              <w:ind w:left="0"/>
            </w:pPr>
            <w:r>
              <w:t>(A → B)</w:t>
            </w:r>
          </w:p>
        </w:tc>
        <w:tc>
          <w:tcPr>
            <w:tcW w:w="3686" w:type="dxa"/>
            <w:vMerge w:val="restart"/>
          </w:tcPr>
          <w:p w14:paraId="236A417B" w14:textId="77777777" w:rsidR="008529AD" w:rsidRDefault="008529AD" w:rsidP="00CD16FE">
            <w:pPr>
              <w:pStyle w:val="Tabletext1"/>
              <w:ind w:left="0"/>
            </w:pPr>
            <w:r>
              <w:t>Patients who respond to and tolerate initial treatment who continue treatment after the first clinical review.</w:t>
            </w:r>
          </w:p>
        </w:tc>
        <w:tc>
          <w:tcPr>
            <w:tcW w:w="1559" w:type="dxa"/>
          </w:tcPr>
          <w:p w14:paraId="3E5EE167" w14:textId="77777777" w:rsidR="008529AD" w:rsidRDefault="008529AD" w:rsidP="00CD16FE">
            <w:pPr>
              <w:pStyle w:val="Tabletext1"/>
              <w:ind w:left="0"/>
            </w:pPr>
            <w:r w:rsidRPr="00012F4F">
              <w:t xml:space="preserve">Modelled </w:t>
            </w:r>
          </w:p>
        </w:tc>
        <w:tc>
          <w:tcPr>
            <w:tcW w:w="1276" w:type="dxa"/>
          </w:tcPr>
          <w:p w14:paraId="58F9FE77" w14:textId="77777777" w:rsidR="008529AD" w:rsidRPr="00012F4F" w:rsidRDefault="008529AD" w:rsidP="00CD16FE">
            <w:pPr>
              <w:pStyle w:val="Tabletext1"/>
              <w:ind w:left="0"/>
            </w:pPr>
            <w:r>
              <w:t>1.0</w:t>
            </w:r>
          </w:p>
        </w:tc>
        <w:tc>
          <w:tcPr>
            <w:tcW w:w="5812" w:type="dxa"/>
          </w:tcPr>
          <w:p w14:paraId="09A3F11A" w14:textId="77777777" w:rsidR="008529AD" w:rsidRPr="00012F4F" w:rsidRDefault="008529AD" w:rsidP="00CD16FE">
            <w:pPr>
              <w:pStyle w:val="Tabletext1"/>
              <w:ind w:left="0"/>
            </w:pPr>
            <w:r>
              <w:t>Structural assumption: all responders continuing treatment move to maintenance health state after 4 months.</w:t>
            </w:r>
          </w:p>
        </w:tc>
      </w:tr>
      <w:tr w:rsidR="008529AD" w:rsidRPr="00012F4F" w14:paraId="1DC7E8D5" w14:textId="77777777" w:rsidTr="00CD16FE">
        <w:tc>
          <w:tcPr>
            <w:tcW w:w="1696" w:type="dxa"/>
            <w:vMerge/>
          </w:tcPr>
          <w:p w14:paraId="515855CD" w14:textId="77777777" w:rsidR="008529AD" w:rsidRDefault="008529AD" w:rsidP="00CD16FE">
            <w:pPr>
              <w:pStyle w:val="Tabletext1"/>
            </w:pPr>
          </w:p>
        </w:tc>
        <w:tc>
          <w:tcPr>
            <w:tcW w:w="3686" w:type="dxa"/>
            <w:vMerge/>
          </w:tcPr>
          <w:p w14:paraId="44E07A35" w14:textId="77777777" w:rsidR="008529AD" w:rsidRDefault="008529AD" w:rsidP="00CD16FE">
            <w:pPr>
              <w:pStyle w:val="Tabletext1"/>
            </w:pPr>
          </w:p>
        </w:tc>
        <w:tc>
          <w:tcPr>
            <w:tcW w:w="1559" w:type="dxa"/>
          </w:tcPr>
          <w:p w14:paraId="72BD09D5" w14:textId="77777777" w:rsidR="008529AD" w:rsidRDefault="008529AD" w:rsidP="00CD16FE">
            <w:pPr>
              <w:pStyle w:val="Tabletext1"/>
              <w:ind w:left="0"/>
            </w:pPr>
            <w:r>
              <w:t>Sensitivity Analysis</w:t>
            </w:r>
          </w:p>
        </w:tc>
        <w:tc>
          <w:tcPr>
            <w:tcW w:w="1276" w:type="dxa"/>
          </w:tcPr>
          <w:p w14:paraId="592F34A0" w14:textId="77777777" w:rsidR="008529AD" w:rsidRDefault="008529AD" w:rsidP="00CD16FE">
            <w:pPr>
              <w:pStyle w:val="Tabletext1"/>
            </w:pPr>
            <w:r>
              <w:t>-</w:t>
            </w:r>
          </w:p>
        </w:tc>
        <w:tc>
          <w:tcPr>
            <w:tcW w:w="5812" w:type="dxa"/>
          </w:tcPr>
          <w:p w14:paraId="0302CEE5" w14:textId="77777777" w:rsidR="008529AD" w:rsidRDefault="008529AD" w:rsidP="00CD16FE">
            <w:pPr>
              <w:pStyle w:val="Tabletext1"/>
            </w:pPr>
          </w:p>
        </w:tc>
      </w:tr>
      <w:tr w:rsidR="008529AD" w:rsidRPr="00012F4F" w14:paraId="6D84C92D" w14:textId="77777777" w:rsidTr="00CD16FE">
        <w:tc>
          <w:tcPr>
            <w:tcW w:w="1696" w:type="dxa"/>
            <w:vMerge w:val="restart"/>
          </w:tcPr>
          <w:p w14:paraId="193BEB5B" w14:textId="77777777" w:rsidR="008529AD" w:rsidRDefault="008529AD" w:rsidP="00CD16FE">
            <w:pPr>
              <w:pStyle w:val="Tabletext1"/>
              <w:ind w:left="0"/>
            </w:pPr>
            <w:r w:rsidRPr="00012F4F">
              <w:t xml:space="preserve">‘Initial treatment’ to </w:t>
            </w:r>
            <w:r>
              <w:t>‘</w:t>
            </w:r>
            <w:r w:rsidRPr="00012F4F">
              <w:t xml:space="preserve">In </w:t>
            </w:r>
            <w:r w:rsidRPr="00446B7D">
              <w:t>remission (off-treatment)</w:t>
            </w:r>
          </w:p>
          <w:p w14:paraId="2AC0C07A" w14:textId="77777777" w:rsidR="008529AD" w:rsidRPr="00012F4F" w:rsidRDefault="008529AD" w:rsidP="00CD16FE">
            <w:pPr>
              <w:pStyle w:val="Tabletext1"/>
              <w:ind w:left="0"/>
            </w:pPr>
            <w:r>
              <w:t>(A → C)</w:t>
            </w:r>
          </w:p>
        </w:tc>
        <w:tc>
          <w:tcPr>
            <w:tcW w:w="3686" w:type="dxa"/>
            <w:vMerge w:val="restart"/>
          </w:tcPr>
          <w:p w14:paraId="3FA4C78F" w14:textId="77777777" w:rsidR="008529AD" w:rsidRDefault="008529AD" w:rsidP="00CD16FE">
            <w:pPr>
              <w:pStyle w:val="Tabletext1"/>
              <w:ind w:left="0"/>
            </w:pPr>
            <w:r>
              <w:t>Patients who respond to treatment then cease therapy due to lack of disease activity/clinical need.</w:t>
            </w:r>
          </w:p>
        </w:tc>
        <w:tc>
          <w:tcPr>
            <w:tcW w:w="1559" w:type="dxa"/>
          </w:tcPr>
          <w:p w14:paraId="2F889E7A" w14:textId="77777777" w:rsidR="008529AD" w:rsidRDefault="008529AD" w:rsidP="00CD16FE">
            <w:pPr>
              <w:pStyle w:val="Tabletext1"/>
              <w:ind w:left="0"/>
            </w:pPr>
            <w:r w:rsidRPr="00012F4F">
              <w:t xml:space="preserve">Modelled </w:t>
            </w:r>
          </w:p>
        </w:tc>
        <w:tc>
          <w:tcPr>
            <w:tcW w:w="1276" w:type="dxa"/>
          </w:tcPr>
          <w:p w14:paraId="27348CE2" w14:textId="77777777" w:rsidR="008529AD" w:rsidRPr="00012F4F" w:rsidRDefault="008529AD" w:rsidP="00CD16FE">
            <w:pPr>
              <w:pStyle w:val="Tabletext1"/>
              <w:ind w:left="0"/>
            </w:pPr>
            <w:r>
              <w:t>0.0209</w:t>
            </w:r>
          </w:p>
        </w:tc>
        <w:tc>
          <w:tcPr>
            <w:tcW w:w="5812" w:type="dxa"/>
          </w:tcPr>
          <w:p w14:paraId="260D766C" w14:textId="77777777" w:rsidR="008529AD" w:rsidRPr="00012F4F" w:rsidRDefault="008529AD" w:rsidP="00CD16FE">
            <w:pPr>
              <w:pStyle w:val="Tabletext1"/>
              <w:ind w:left="0"/>
            </w:pPr>
            <w:r>
              <w:t>Assumed equivalence with Ig response and remission rates, see Table 31</w:t>
            </w:r>
          </w:p>
        </w:tc>
      </w:tr>
      <w:tr w:rsidR="008529AD" w:rsidRPr="00012F4F" w14:paraId="3BB579D8" w14:textId="77777777" w:rsidTr="00CD16FE">
        <w:tc>
          <w:tcPr>
            <w:tcW w:w="1696" w:type="dxa"/>
            <w:vMerge/>
          </w:tcPr>
          <w:p w14:paraId="1A26A92E" w14:textId="77777777" w:rsidR="008529AD" w:rsidRPr="00012F4F" w:rsidRDefault="008529AD" w:rsidP="00CD16FE">
            <w:pPr>
              <w:pStyle w:val="Tabletext1"/>
            </w:pPr>
          </w:p>
        </w:tc>
        <w:tc>
          <w:tcPr>
            <w:tcW w:w="3686" w:type="dxa"/>
            <w:vMerge/>
          </w:tcPr>
          <w:p w14:paraId="5834F77E" w14:textId="77777777" w:rsidR="008529AD" w:rsidRDefault="008529AD" w:rsidP="00CD16FE">
            <w:pPr>
              <w:pStyle w:val="Tabletext1"/>
            </w:pPr>
          </w:p>
        </w:tc>
        <w:tc>
          <w:tcPr>
            <w:tcW w:w="1559" w:type="dxa"/>
          </w:tcPr>
          <w:p w14:paraId="030775F1" w14:textId="77777777" w:rsidR="008529AD" w:rsidRDefault="008529AD" w:rsidP="00CD16FE">
            <w:pPr>
              <w:pStyle w:val="Tabletext1"/>
              <w:ind w:left="0"/>
            </w:pPr>
            <w:r>
              <w:t>Sensitivity Analysis</w:t>
            </w:r>
          </w:p>
        </w:tc>
        <w:tc>
          <w:tcPr>
            <w:tcW w:w="1276" w:type="dxa"/>
          </w:tcPr>
          <w:p w14:paraId="504457DF" w14:textId="77777777" w:rsidR="008529AD" w:rsidRDefault="008529AD" w:rsidP="00CD16FE">
            <w:pPr>
              <w:pStyle w:val="Tabletext1"/>
              <w:ind w:left="0"/>
            </w:pPr>
            <w:r>
              <w:t>0.0057 – 0.0612</w:t>
            </w:r>
          </w:p>
        </w:tc>
        <w:tc>
          <w:tcPr>
            <w:tcW w:w="5812" w:type="dxa"/>
          </w:tcPr>
          <w:p w14:paraId="68EBDE21" w14:textId="77777777" w:rsidR="008529AD" w:rsidRDefault="008529AD" w:rsidP="00CD16FE">
            <w:pPr>
              <w:pStyle w:val="Tabletext1"/>
              <w:ind w:left="0"/>
            </w:pPr>
            <w:r w:rsidRPr="00571CD3">
              <w:t>Assumed equivalence with Ig response and remission rates, see Table 31</w:t>
            </w:r>
            <w:r>
              <w:t xml:space="preserve"> - upper and lower remission rates identified in Ig</w:t>
            </w:r>
          </w:p>
        </w:tc>
      </w:tr>
      <w:tr w:rsidR="008529AD" w:rsidRPr="00012F4F" w14:paraId="7B803691" w14:textId="77777777" w:rsidTr="00CD16FE">
        <w:tc>
          <w:tcPr>
            <w:tcW w:w="1696" w:type="dxa"/>
            <w:vMerge w:val="restart"/>
          </w:tcPr>
          <w:p w14:paraId="3C1035DA" w14:textId="77777777" w:rsidR="008529AD" w:rsidRDefault="008529AD" w:rsidP="00CD16FE">
            <w:pPr>
              <w:pStyle w:val="Tabletext1"/>
              <w:ind w:left="0"/>
            </w:pPr>
            <w:r w:rsidRPr="00012F4F">
              <w:t xml:space="preserve">‘Initial treatment’ </w:t>
            </w:r>
            <w:r>
              <w:t xml:space="preserve">to ‘BSC’ </w:t>
            </w:r>
          </w:p>
          <w:p w14:paraId="54EEB2A1" w14:textId="77777777" w:rsidR="008529AD" w:rsidRPr="00012F4F" w:rsidRDefault="008529AD" w:rsidP="00CD16FE">
            <w:pPr>
              <w:pStyle w:val="Tabletext1"/>
              <w:ind w:left="0"/>
            </w:pPr>
            <w:r>
              <w:t>(A → D)</w:t>
            </w:r>
          </w:p>
        </w:tc>
        <w:tc>
          <w:tcPr>
            <w:tcW w:w="3686" w:type="dxa"/>
            <w:vMerge w:val="restart"/>
          </w:tcPr>
          <w:p w14:paraId="64479A6F" w14:textId="77777777" w:rsidR="008529AD" w:rsidRDefault="008529AD" w:rsidP="00CD16FE">
            <w:pPr>
              <w:pStyle w:val="Tabletext1"/>
              <w:ind w:left="0"/>
            </w:pPr>
            <w:r>
              <w:t>Patients who discontinue after initial use of therapy, due to either adverse events or lack of response.</w:t>
            </w:r>
          </w:p>
        </w:tc>
        <w:tc>
          <w:tcPr>
            <w:tcW w:w="1559" w:type="dxa"/>
          </w:tcPr>
          <w:p w14:paraId="29FC8D43" w14:textId="77777777" w:rsidR="008529AD" w:rsidRDefault="008529AD" w:rsidP="00CD16FE">
            <w:pPr>
              <w:pStyle w:val="Tabletext1"/>
              <w:ind w:left="0"/>
            </w:pPr>
            <w:r w:rsidRPr="00012F4F">
              <w:t xml:space="preserve">Modelled </w:t>
            </w:r>
          </w:p>
        </w:tc>
        <w:tc>
          <w:tcPr>
            <w:tcW w:w="1276" w:type="dxa"/>
          </w:tcPr>
          <w:p w14:paraId="58C3FD42" w14:textId="31A827A1" w:rsidR="008529AD" w:rsidRPr="00012F4F" w:rsidRDefault="008529AD" w:rsidP="00CD16FE">
            <w:pPr>
              <w:pStyle w:val="Tabletext1"/>
              <w:ind w:left="0"/>
            </w:pPr>
            <w:r>
              <w:t>0.0377</w:t>
            </w:r>
          </w:p>
        </w:tc>
        <w:tc>
          <w:tcPr>
            <w:tcW w:w="5812" w:type="dxa"/>
          </w:tcPr>
          <w:p w14:paraId="71D7B679" w14:textId="20852132" w:rsidR="008529AD" w:rsidRPr="00012F4F" w:rsidRDefault="008529AD" w:rsidP="00D726F6">
            <w:pPr>
              <w:pStyle w:val="Tabletext1"/>
              <w:ind w:left="0"/>
            </w:pPr>
            <w:r>
              <w:t xml:space="preserve">Assumption of 10% non-response over 20 weeks as in Ig arm and 1.68% AE per PE procedure sourced from Mörtzell Henriksson </w:t>
            </w:r>
            <w:r w:rsidR="00B727D6">
              <w:fldChar w:fldCharType="begin">
                <w:fldData xml:space="preserve">PEVuZE5vdGU+PENpdGUgRXhjbHVkZUF1dGg9IjEiPjxBdXRob3I+TcO2cnR6ZWxsIEhlbnJpa3Nz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</w:fldData>
              </w:fldChar>
            </w:r>
            <w:r w:rsidR="00B727D6">
              <w:instrText xml:space="preserve"> ADDIN EN.CITE </w:instrText>
            </w:r>
            <w:r w:rsidR="00B727D6">
              <w:fldChar w:fldCharType="begin">
                <w:fldData xml:space="preserve">PEVuZE5vdGU+PENpdGUgRXhjbHVkZUF1dGg9IjEiPjxBdXRob3I+TcO2cnR6ZWxsIEhlbnJpa3Nz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46" w:tooltip="Mörtzell Henriksson, 2016 #8" w:history="1">
              <w:r w:rsidR="00D726F6">
                <w:rPr>
                  <w:noProof/>
                </w:rPr>
                <w:t>2016</w:t>
              </w:r>
            </w:hyperlink>
            <w:r w:rsidR="00B727D6">
              <w:rPr>
                <w:noProof/>
              </w:rPr>
              <w:t>)</w:t>
            </w:r>
            <w:r w:rsidR="00B727D6">
              <w:fldChar w:fldCharType="end"/>
            </w:r>
            <w:r>
              <w:t xml:space="preserve"> </w:t>
            </w:r>
          </w:p>
        </w:tc>
      </w:tr>
      <w:tr w:rsidR="008529AD" w:rsidRPr="00012F4F" w14:paraId="4DC2E85D" w14:textId="77777777" w:rsidTr="00CD16FE">
        <w:tc>
          <w:tcPr>
            <w:tcW w:w="1696" w:type="dxa"/>
            <w:vMerge/>
          </w:tcPr>
          <w:p w14:paraId="00BA4733" w14:textId="77777777" w:rsidR="008529AD" w:rsidRPr="00012F4F" w:rsidRDefault="008529AD" w:rsidP="00CD16FE">
            <w:pPr>
              <w:pStyle w:val="Tabletext1"/>
            </w:pPr>
          </w:p>
        </w:tc>
        <w:tc>
          <w:tcPr>
            <w:tcW w:w="3686" w:type="dxa"/>
            <w:vMerge/>
          </w:tcPr>
          <w:p w14:paraId="054A2003" w14:textId="77777777" w:rsidR="008529AD" w:rsidRDefault="008529AD" w:rsidP="00CD16FE">
            <w:pPr>
              <w:pStyle w:val="Tabletext1"/>
            </w:pPr>
          </w:p>
        </w:tc>
        <w:tc>
          <w:tcPr>
            <w:tcW w:w="1559" w:type="dxa"/>
          </w:tcPr>
          <w:p w14:paraId="07BAB437" w14:textId="77777777" w:rsidR="008529AD" w:rsidRDefault="008529AD" w:rsidP="00CD16FE">
            <w:pPr>
              <w:pStyle w:val="Tabletext1"/>
              <w:ind w:left="0"/>
            </w:pPr>
            <w:r>
              <w:t>Sensitivity Analysis</w:t>
            </w:r>
          </w:p>
        </w:tc>
        <w:tc>
          <w:tcPr>
            <w:tcW w:w="1276" w:type="dxa"/>
          </w:tcPr>
          <w:p w14:paraId="20A04588" w14:textId="77777777" w:rsidR="008529AD" w:rsidRDefault="008529AD" w:rsidP="00CD16FE">
            <w:pPr>
              <w:pStyle w:val="Tabletext1"/>
              <w:ind w:left="0"/>
            </w:pPr>
            <w:r>
              <w:t>±50%</w:t>
            </w:r>
          </w:p>
        </w:tc>
        <w:tc>
          <w:tcPr>
            <w:tcW w:w="5812" w:type="dxa"/>
          </w:tcPr>
          <w:p w14:paraId="3F9838AC" w14:textId="77777777" w:rsidR="008529AD" w:rsidRDefault="008529AD" w:rsidP="00CD16FE">
            <w:pPr>
              <w:pStyle w:val="Tabletext1"/>
              <w:ind w:left="0"/>
            </w:pPr>
            <w:r>
              <w:t>Assumed plausible range</w:t>
            </w:r>
          </w:p>
        </w:tc>
      </w:tr>
      <w:tr w:rsidR="008529AD" w:rsidRPr="00012F4F" w14:paraId="579802B0" w14:textId="77777777" w:rsidTr="00CD16FE">
        <w:tc>
          <w:tcPr>
            <w:tcW w:w="1696" w:type="dxa"/>
            <w:vMerge w:val="restart"/>
          </w:tcPr>
          <w:p w14:paraId="4959155F" w14:textId="77777777" w:rsidR="008529AD" w:rsidRDefault="008529AD" w:rsidP="00CD16FE">
            <w:pPr>
              <w:pStyle w:val="Tabletext1"/>
              <w:ind w:left="0"/>
            </w:pPr>
            <w:r>
              <w:t>‘Maintenance phase’ to ‘</w:t>
            </w:r>
            <w:r w:rsidRPr="00012F4F">
              <w:t xml:space="preserve">In </w:t>
            </w:r>
            <w:r w:rsidRPr="00446B7D">
              <w:t>remission (off-treatment)</w:t>
            </w:r>
          </w:p>
          <w:p w14:paraId="7995B254" w14:textId="77777777" w:rsidR="008529AD" w:rsidRPr="00012F4F" w:rsidRDefault="008529AD" w:rsidP="00CD16FE">
            <w:pPr>
              <w:pStyle w:val="Tabletext1"/>
              <w:ind w:left="0"/>
            </w:pPr>
            <w:r>
              <w:t>(B → C)</w:t>
            </w:r>
          </w:p>
        </w:tc>
        <w:tc>
          <w:tcPr>
            <w:tcW w:w="3686" w:type="dxa"/>
            <w:vMerge w:val="restart"/>
          </w:tcPr>
          <w:p w14:paraId="7EE73207" w14:textId="77777777" w:rsidR="008529AD" w:rsidRDefault="008529AD" w:rsidP="00CD16FE">
            <w:pPr>
              <w:pStyle w:val="Tabletext1"/>
              <w:ind w:left="0"/>
            </w:pPr>
            <w:r>
              <w:t>Patients who respond to treatment then cease therapy due to lack of disease activity/clinical need.</w:t>
            </w:r>
          </w:p>
        </w:tc>
        <w:tc>
          <w:tcPr>
            <w:tcW w:w="1559" w:type="dxa"/>
          </w:tcPr>
          <w:p w14:paraId="06773DF1" w14:textId="77777777" w:rsidR="008529AD" w:rsidRDefault="008529AD" w:rsidP="00CD16FE">
            <w:pPr>
              <w:pStyle w:val="Tabletext1"/>
              <w:ind w:left="0"/>
            </w:pPr>
            <w:r w:rsidRPr="00012F4F">
              <w:t xml:space="preserve">Modelled </w:t>
            </w:r>
          </w:p>
        </w:tc>
        <w:tc>
          <w:tcPr>
            <w:tcW w:w="1276" w:type="dxa"/>
          </w:tcPr>
          <w:p w14:paraId="279002B8" w14:textId="77777777" w:rsidR="008529AD" w:rsidRPr="00012F4F" w:rsidRDefault="008529AD" w:rsidP="00CD16FE">
            <w:pPr>
              <w:pStyle w:val="Tabletext1"/>
              <w:ind w:left="0"/>
            </w:pPr>
            <w:r>
              <w:t>0.0527</w:t>
            </w:r>
          </w:p>
        </w:tc>
        <w:tc>
          <w:tcPr>
            <w:tcW w:w="5812" w:type="dxa"/>
          </w:tcPr>
          <w:p w14:paraId="5AC52136" w14:textId="130D1952" w:rsidR="008529AD" w:rsidRPr="00012F4F" w:rsidRDefault="008529AD" w:rsidP="00CD16FE">
            <w:pPr>
              <w:pStyle w:val="Tabletext1"/>
              <w:ind w:left="0"/>
            </w:pPr>
            <w:r w:rsidRPr="00F60206">
              <w:t>Assumed equivalence with Ig response</w:t>
            </w:r>
            <w:r>
              <w:t xml:space="preserve"> and remission</w:t>
            </w:r>
            <w:r w:rsidRPr="00F60206">
              <w:t xml:space="preserve"> rate</w:t>
            </w:r>
          </w:p>
        </w:tc>
      </w:tr>
      <w:tr w:rsidR="008529AD" w:rsidRPr="00012F4F" w14:paraId="1D605B94" w14:textId="77777777" w:rsidTr="00CD16FE">
        <w:tc>
          <w:tcPr>
            <w:tcW w:w="1696" w:type="dxa"/>
            <w:vMerge/>
          </w:tcPr>
          <w:p w14:paraId="7DABED41" w14:textId="77777777" w:rsidR="008529AD" w:rsidRDefault="008529AD" w:rsidP="00CD16FE">
            <w:pPr>
              <w:pStyle w:val="Tabletext1"/>
            </w:pPr>
          </w:p>
        </w:tc>
        <w:tc>
          <w:tcPr>
            <w:tcW w:w="3686" w:type="dxa"/>
            <w:vMerge/>
          </w:tcPr>
          <w:p w14:paraId="47B9D637" w14:textId="77777777" w:rsidR="008529AD" w:rsidRDefault="008529AD" w:rsidP="00CD16FE">
            <w:pPr>
              <w:pStyle w:val="Tabletext1"/>
            </w:pPr>
          </w:p>
        </w:tc>
        <w:tc>
          <w:tcPr>
            <w:tcW w:w="1559" w:type="dxa"/>
          </w:tcPr>
          <w:p w14:paraId="3F5BE2B5" w14:textId="77777777" w:rsidR="008529AD" w:rsidRDefault="008529AD" w:rsidP="00CD16FE">
            <w:pPr>
              <w:pStyle w:val="Tabletext1"/>
              <w:ind w:left="0"/>
            </w:pPr>
            <w:r>
              <w:t>Sensitivity Analysis</w:t>
            </w:r>
          </w:p>
        </w:tc>
        <w:tc>
          <w:tcPr>
            <w:tcW w:w="1276" w:type="dxa"/>
          </w:tcPr>
          <w:p w14:paraId="431514B8" w14:textId="77777777" w:rsidR="008529AD" w:rsidRDefault="008529AD" w:rsidP="00CD16FE">
            <w:pPr>
              <w:pStyle w:val="Tabletext1"/>
              <w:ind w:left="0"/>
            </w:pPr>
            <w:r>
              <w:t>0.0057 – 0.0612</w:t>
            </w:r>
          </w:p>
        </w:tc>
        <w:tc>
          <w:tcPr>
            <w:tcW w:w="5812" w:type="dxa"/>
          </w:tcPr>
          <w:p w14:paraId="1AC89DF4" w14:textId="77777777" w:rsidR="008529AD" w:rsidRDefault="008529AD" w:rsidP="00CD16FE">
            <w:pPr>
              <w:pStyle w:val="Tabletext1"/>
              <w:ind w:left="0"/>
            </w:pPr>
            <w:r w:rsidRPr="00571CD3">
              <w:t>Assumed equivalence with Ig response and remission rates, see Table 31</w:t>
            </w:r>
            <w:r>
              <w:t xml:space="preserve"> - upper and lower remission rates identified in Ig.</w:t>
            </w:r>
          </w:p>
        </w:tc>
      </w:tr>
      <w:tr w:rsidR="008529AD" w:rsidRPr="00012F4F" w14:paraId="6E742106" w14:textId="77777777" w:rsidTr="00CD16FE">
        <w:tc>
          <w:tcPr>
            <w:tcW w:w="1696" w:type="dxa"/>
            <w:vMerge w:val="restart"/>
          </w:tcPr>
          <w:p w14:paraId="14A6109D" w14:textId="77777777" w:rsidR="008529AD" w:rsidRDefault="008529AD" w:rsidP="00CD16FE">
            <w:pPr>
              <w:pStyle w:val="Tabletext1"/>
              <w:ind w:left="0"/>
            </w:pPr>
            <w:r>
              <w:t xml:space="preserve">‘Maintenance phase’ to </w:t>
            </w:r>
            <w:r w:rsidRPr="00012F4F">
              <w:t>‘BSC’</w:t>
            </w:r>
          </w:p>
          <w:p w14:paraId="41D81454" w14:textId="77777777" w:rsidR="008529AD" w:rsidRDefault="008529AD" w:rsidP="00CD16FE">
            <w:pPr>
              <w:pStyle w:val="Tabletext1"/>
              <w:ind w:left="0"/>
            </w:pPr>
            <w:r>
              <w:t>(B → D)</w:t>
            </w:r>
          </w:p>
        </w:tc>
        <w:tc>
          <w:tcPr>
            <w:tcW w:w="3686" w:type="dxa"/>
            <w:vMerge w:val="restart"/>
          </w:tcPr>
          <w:p w14:paraId="1990A453" w14:textId="77777777" w:rsidR="008529AD" w:rsidRDefault="008529AD" w:rsidP="00CD16FE">
            <w:pPr>
              <w:pStyle w:val="Tabletext1"/>
              <w:ind w:left="0"/>
            </w:pPr>
            <w:r>
              <w:t>Patients who are on treatment but stop therapy and move to BSC, due to adverse events (primarily) or loss of effect.</w:t>
            </w:r>
          </w:p>
        </w:tc>
        <w:tc>
          <w:tcPr>
            <w:tcW w:w="1559" w:type="dxa"/>
          </w:tcPr>
          <w:p w14:paraId="5CFCB468" w14:textId="77777777" w:rsidR="008529AD" w:rsidRDefault="008529AD" w:rsidP="00CD16FE">
            <w:pPr>
              <w:pStyle w:val="Tabletext1"/>
              <w:ind w:left="0"/>
            </w:pPr>
            <w:r w:rsidRPr="00012F4F">
              <w:t xml:space="preserve">Modelled </w:t>
            </w:r>
          </w:p>
        </w:tc>
        <w:tc>
          <w:tcPr>
            <w:tcW w:w="1276" w:type="dxa"/>
          </w:tcPr>
          <w:p w14:paraId="65A1D2B8" w14:textId="77777777" w:rsidR="008529AD" w:rsidRDefault="008529AD" w:rsidP="00CD16FE">
            <w:pPr>
              <w:pStyle w:val="Tabletext1"/>
              <w:ind w:left="0"/>
            </w:pPr>
            <w:r>
              <w:t>0.0168</w:t>
            </w:r>
          </w:p>
        </w:tc>
        <w:tc>
          <w:tcPr>
            <w:tcW w:w="5812" w:type="dxa"/>
          </w:tcPr>
          <w:p w14:paraId="0C1DCDFD" w14:textId="2E574F76" w:rsidR="008529AD" w:rsidRDefault="008529AD" w:rsidP="00D726F6">
            <w:pPr>
              <w:pStyle w:val="Tabletext1"/>
              <w:ind w:left="0"/>
            </w:pPr>
            <w:r>
              <w:t xml:space="preserve">Mörtzell Henriksson </w:t>
            </w:r>
            <w:r w:rsidR="00B727D6">
              <w:fldChar w:fldCharType="begin">
                <w:fldData xml:space="preserve">PEVuZE5vdGU+PENpdGUgRXhjbHVkZUF1dGg9IjEiPjxBdXRob3I+TcO2cnR6ZWxsIEhlbnJpa3Nz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==
</w:fldData>
              </w:fldChar>
            </w:r>
            <w:r w:rsidR="00B727D6">
              <w:instrText xml:space="preserve"> ADDIN EN.CITE </w:instrText>
            </w:r>
            <w:r w:rsidR="00B727D6">
              <w:fldChar w:fldCharType="begin">
                <w:fldData xml:space="preserve">PEVuZE5vdGU+PENpdGUgRXhjbHVkZUF1dGg9IjEiPjxBdXRob3I+TcO2cnR6ZWxsIEhlbnJpa3Nz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==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46" w:tooltip="Mörtzell Henriksson, 2016 #8" w:history="1">
              <w:r w:rsidR="00D726F6">
                <w:rPr>
                  <w:noProof/>
                </w:rPr>
                <w:t>2016</w:t>
              </w:r>
            </w:hyperlink>
            <w:r w:rsidR="00B727D6">
              <w:rPr>
                <w:noProof/>
              </w:rPr>
              <w:t>)</w:t>
            </w:r>
            <w:r w:rsidR="00B727D6">
              <w:fldChar w:fldCharType="end"/>
            </w:r>
            <w:r>
              <w:t>, 1.68% severe AE reported per PE procedure</w:t>
            </w:r>
          </w:p>
        </w:tc>
      </w:tr>
      <w:tr w:rsidR="008529AD" w:rsidRPr="00012F4F" w14:paraId="15978E21" w14:textId="77777777" w:rsidTr="00CD16FE">
        <w:tc>
          <w:tcPr>
            <w:tcW w:w="1696" w:type="dxa"/>
            <w:vMerge/>
          </w:tcPr>
          <w:p w14:paraId="7823D345" w14:textId="77777777" w:rsidR="008529AD" w:rsidRDefault="008529AD" w:rsidP="00CD16FE">
            <w:pPr>
              <w:pStyle w:val="Tabletext1"/>
            </w:pPr>
          </w:p>
        </w:tc>
        <w:tc>
          <w:tcPr>
            <w:tcW w:w="3686" w:type="dxa"/>
            <w:vMerge/>
          </w:tcPr>
          <w:p w14:paraId="116CF415" w14:textId="77777777" w:rsidR="008529AD" w:rsidRDefault="008529AD" w:rsidP="00CD16FE">
            <w:pPr>
              <w:pStyle w:val="Tabletext1"/>
            </w:pPr>
          </w:p>
        </w:tc>
        <w:tc>
          <w:tcPr>
            <w:tcW w:w="1559" w:type="dxa"/>
          </w:tcPr>
          <w:p w14:paraId="1BDC8067" w14:textId="77777777" w:rsidR="008529AD" w:rsidRDefault="008529AD" w:rsidP="00CD16FE">
            <w:pPr>
              <w:pStyle w:val="Tabletext1"/>
              <w:ind w:left="0"/>
            </w:pPr>
            <w:r>
              <w:t>Sensitivity Analysis</w:t>
            </w:r>
          </w:p>
        </w:tc>
        <w:tc>
          <w:tcPr>
            <w:tcW w:w="1276" w:type="dxa"/>
          </w:tcPr>
          <w:p w14:paraId="7536C0CA" w14:textId="77777777" w:rsidR="008529AD" w:rsidRDefault="008529AD" w:rsidP="00CD16FE">
            <w:pPr>
              <w:pStyle w:val="Tabletext1"/>
              <w:ind w:left="0"/>
            </w:pPr>
            <w:r>
              <w:t>0.001</w:t>
            </w:r>
          </w:p>
        </w:tc>
        <w:tc>
          <w:tcPr>
            <w:tcW w:w="5812" w:type="dxa"/>
          </w:tcPr>
          <w:p w14:paraId="508EE943" w14:textId="08F099EB" w:rsidR="008529AD" w:rsidRDefault="008529AD" w:rsidP="00CD16FE">
            <w:pPr>
              <w:pStyle w:val="Tabletext1"/>
              <w:ind w:left="0"/>
            </w:pPr>
            <w:r>
              <w:t xml:space="preserve">Serious AE rate in PE, reported in </w:t>
            </w:r>
            <w:r>
              <w:fldChar w:fldCharType="begin"/>
            </w:r>
            <w:r>
              <w:instrText xml:space="preserve"> REF _Ref58238706 \h  \* MERGEFORMAT </w:instrText>
            </w:r>
            <w:r>
              <w:fldChar w:fldCharType="separate"/>
            </w:r>
            <w:r w:rsidR="004B3EA2" w:rsidRPr="00B6590E">
              <w:t xml:space="preserve">Table </w:t>
            </w:r>
            <w:r w:rsidR="004B3EA2">
              <w:rPr>
                <w:noProof/>
              </w:rPr>
              <w:t>25</w:t>
            </w:r>
            <w:r>
              <w:fldChar w:fldCharType="end"/>
            </w:r>
          </w:p>
        </w:tc>
      </w:tr>
      <w:tr w:rsidR="008529AD" w:rsidRPr="00012F4F" w14:paraId="3861EC58" w14:textId="77777777" w:rsidTr="00CD16FE">
        <w:tc>
          <w:tcPr>
            <w:tcW w:w="1696" w:type="dxa"/>
            <w:vMerge w:val="restart"/>
          </w:tcPr>
          <w:p w14:paraId="723432D8" w14:textId="77777777" w:rsidR="008529AD" w:rsidRDefault="008529AD" w:rsidP="00CD16FE">
            <w:pPr>
              <w:pStyle w:val="Tabletext1"/>
              <w:ind w:left="0"/>
            </w:pPr>
            <w:r w:rsidRPr="00012F4F">
              <w:t>‘</w:t>
            </w:r>
            <w:r>
              <w:t>In remission’</w:t>
            </w:r>
            <w:r w:rsidRPr="00012F4F">
              <w:t xml:space="preserve"> to ‘Initial</w:t>
            </w:r>
            <w:r>
              <w:t xml:space="preserve"> / maintenance</w:t>
            </w:r>
            <w:r w:rsidRPr="00012F4F">
              <w:t xml:space="preserve"> treatment’ due to relapse</w:t>
            </w:r>
          </w:p>
          <w:p w14:paraId="578F84C6" w14:textId="77777777" w:rsidR="008529AD" w:rsidRPr="00012F4F" w:rsidRDefault="008529AD" w:rsidP="00CD16FE">
            <w:pPr>
              <w:pStyle w:val="Tabletext1"/>
              <w:ind w:left="0"/>
            </w:pPr>
            <w:r>
              <w:t>(C → A or B)</w:t>
            </w:r>
          </w:p>
        </w:tc>
        <w:tc>
          <w:tcPr>
            <w:tcW w:w="3686" w:type="dxa"/>
            <w:vMerge w:val="restart"/>
          </w:tcPr>
          <w:p w14:paraId="37E586F5" w14:textId="6C4BB0CC" w:rsidR="008529AD" w:rsidRDefault="008529AD" w:rsidP="00CD16FE">
            <w:pPr>
              <w:pStyle w:val="Tabletext1"/>
              <w:ind w:left="0"/>
            </w:pPr>
            <w:r>
              <w:t>Patients who have previously been successfully treated and stopped therapy, who then experience disease relapse and need to re-start treatment.</w:t>
            </w:r>
            <w:r w:rsidR="00033613">
              <w:t xml:space="preserve"> The allocation to state A or B is time-dependent; where remission is &lt;6 months patients restart treatment in B, where remission is &gt;6 months patients restart in A.</w:t>
            </w:r>
          </w:p>
        </w:tc>
        <w:tc>
          <w:tcPr>
            <w:tcW w:w="1559" w:type="dxa"/>
          </w:tcPr>
          <w:p w14:paraId="7B773579" w14:textId="77777777" w:rsidR="008529AD" w:rsidRDefault="008529AD" w:rsidP="00CD16FE">
            <w:pPr>
              <w:pStyle w:val="Tabletext1"/>
              <w:ind w:left="0"/>
            </w:pPr>
            <w:r w:rsidRPr="00012F4F">
              <w:t xml:space="preserve">Modelled </w:t>
            </w:r>
          </w:p>
        </w:tc>
        <w:tc>
          <w:tcPr>
            <w:tcW w:w="1276" w:type="dxa"/>
          </w:tcPr>
          <w:p w14:paraId="274B664F" w14:textId="77777777" w:rsidR="008529AD" w:rsidRPr="00012F4F" w:rsidRDefault="008529AD" w:rsidP="00CD16FE">
            <w:pPr>
              <w:pStyle w:val="Tabletext1"/>
              <w:ind w:left="0"/>
            </w:pPr>
            <w:r>
              <w:t>0.0380</w:t>
            </w:r>
          </w:p>
        </w:tc>
        <w:tc>
          <w:tcPr>
            <w:tcW w:w="5812" w:type="dxa"/>
          </w:tcPr>
          <w:p w14:paraId="12A0A836" w14:textId="77777777" w:rsidR="008529AD" w:rsidRPr="00012F4F" w:rsidRDefault="008529AD" w:rsidP="00CD16FE">
            <w:pPr>
              <w:pStyle w:val="Tabletext1"/>
              <w:ind w:left="0"/>
            </w:pPr>
            <w:r>
              <w:t>Assumed equivalence with Ig relapse rates.</w:t>
            </w:r>
          </w:p>
        </w:tc>
      </w:tr>
      <w:tr w:rsidR="008529AD" w:rsidRPr="00012F4F" w14:paraId="68F38388" w14:textId="77777777" w:rsidTr="00CD16FE">
        <w:tc>
          <w:tcPr>
            <w:tcW w:w="1696" w:type="dxa"/>
            <w:vMerge/>
          </w:tcPr>
          <w:p w14:paraId="1FB4C5CF" w14:textId="77777777" w:rsidR="008529AD" w:rsidRPr="00012F4F" w:rsidRDefault="008529AD" w:rsidP="00CD16FE">
            <w:pPr>
              <w:pStyle w:val="Tabletext1"/>
            </w:pPr>
          </w:p>
        </w:tc>
        <w:tc>
          <w:tcPr>
            <w:tcW w:w="3686" w:type="dxa"/>
            <w:vMerge/>
          </w:tcPr>
          <w:p w14:paraId="751567DE" w14:textId="77777777" w:rsidR="008529AD" w:rsidRDefault="008529AD" w:rsidP="00CD16FE">
            <w:pPr>
              <w:pStyle w:val="Tabletext1"/>
            </w:pPr>
          </w:p>
        </w:tc>
        <w:tc>
          <w:tcPr>
            <w:tcW w:w="1559" w:type="dxa"/>
          </w:tcPr>
          <w:p w14:paraId="513EAF67" w14:textId="77777777" w:rsidR="008529AD" w:rsidRDefault="008529AD" w:rsidP="00CD16FE">
            <w:pPr>
              <w:pStyle w:val="Tabletext1"/>
              <w:ind w:left="0"/>
            </w:pPr>
            <w:r>
              <w:t>Sensitivity Analysis</w:t>
            </w:r>
          </w:p>
        </w:tc>
        <w:tc>
          <w:tcPr>
            <w:tcW w:w="1276" w:type="dxa"/>
          </w:tcPr>
          <w:p w14:paraId="6CDBD0B7" w14:textId="77777777" w:rsidR="008529AD" w:rsidRDefault="008529AD" w:rsidP="00CD16FE">
            <w:pPr>
              <w:pStyle w:val="Tabletext1"/>
              <w:ind w:left="0"/>
            </w:pPr>
            <w:r w:rsidRPr="00A40073">
              <w:t>0.015 – 0.0419</w:t>
            </w:r>
          </w:p>
        </w:tc>
        <w:tc>
          <w:tcPr>
            <w:tcW w:w="5812" w:type="dxa"/>
          </w:tcPr>
          <w:p w14:paraId="47E2F590" w14:textId="613D586B" w:rsidR="008529AD" w:rsidRDefault="008529AD" w:rsidP="00CD16FE">
            <w:pPr>
              <w:pStyle w:val="Tabletext1"/>
              <w:ind w:left="0"/>
            </w:pPr>
            <w:r>
              <w:t xml:space="preserve">Assumed equivalence with Ig relapse rates: BloodStar data post first review, relapse data, and </w:t>
            </w:r>
            <w:r w:rsidRPr="00A62C31">
              <w:t>Nobile-Orazio</w:t>
            </w:r>
            <w:r>
              <w:t xml:space="preserve">, see </w:t>
            </w:r>
            <w:r>
              <w:fldChar w:fldCharType="begin"/>
            </w:r>
            <w:r>
              <w:instrText xml:space="preserve"> REF _Ref65856839 \h  \* MERGEFORMAT </w:instrText>
            </w:r>
            <w:r>
              <w:fldChar w:fldCharType="separate"/>
            </w:r>
            <w:r w:rsidR="004B3EA2" w:rsidRPr="001977C9">
              <w:t xml:space="preserve">Table </w:t>
            </w:r>
            <w:r w:rsidR="004B3EA2">
              <w:rPr>
                <w:noProof/>
              </w:rPr>
              <w:t>31</w:t>
            </w:r>
            <w:r>
              <w:fldChar w:fldCharType="end"/>
            </w:r>
            <w:r>
              <w:t>.</w:t>
            </w:r>
          </w:p>
        </w:tc>
      </w:tr>
      <w:tr w:rsidR="008529AD" w:rsidRPr="00012F4F" w14:paraId="2862CF6F" w14:textId="77777777" w:rsidTr="00CD16FE">
        <w:tc>
          <w:tcPr>
            <w:tcW w:w="1696" w:type="dxa"/>
          </w:tcPr>
          <w:p w14:paraId="6109D9A9" w14:textId="77777777" w:rsidR="008529AD" w:rsidRDefault="008529AD" w:rsidP="00CD16FE">
            <w:pPr>
              <w:pStyle w:val="Tabletext1"/>
              <w:ind w:left="0"/>
            </w:pPr>
            <w:r w:rsidRPr="00012F4F">
              <w:t xml:space="preserve">Death from all </w:t>
            </w:r>
            <w:r>
              <w:t xml:space="preserve">health </w:t>
            </w:r>
            <w:r w:rsidRPr="00012F4F">
              <w:t>states</w:t>
            </w:r>
          </w:p>
          <w:p w14:paraId="51F01FC1" w14:textId="77777777" w:rsidR="008529AD" w:rsidRPr="00012F4F" w:rsidRDefault="008529AD" w:rsidP="00CD16FE">
            <w:pPr>
              <w:pStyle w:val="Tabletext1"/>
              <w:ind w:left="0"/>
            </w:pPr>
            <w:r>
              <w:t>(A/B/C/D →E)</w:t>
            </w:r>
          </w:p>
        </w:tc>
        <w:tc>
          <w:tcPr>
            <w:tcW w:w="3686" w:type="dxa"/>
          </w:tcPr>
          <w:p w14:paraId="03FF1685" w14:textId="77777777" w:rsidR="008529AD" w:rsidRDefault="008529AD" w:rsidP="00CD16FE">
            <w:pPr>
              <w:pStyle w:val="Tabletext1"/>
              <w:ind w:left="0"/>
            </w:pPr>
            <w:r>
              <w:t>All patients are at risk of all-cause (background) mortality at all times in the model.</w:t>
            </w:r>
          </w:p>
        </w:tc>
        <w:tc>
          <w:tcPr>
            <w:tcW w:w="1559" w:type="dxa"/>
          </w:tcPr>
          <w:p w14:paraId="6C0F92E7" w14:textId="77777777" w:rsidR="008529AD" w:rsidRDefault="008529AD" w:rsidP="00CD16FE">
            <w:pPr>
              <w:pStyle w:val="Tabletext1"/>
              <w:ind w:left="0"/>
            </w:pPr>
            <w:r w:rsidRPr="00012F4F">
              <w:t xml:space="preserve">Modelled </w:t>
            </w:r>
          </w:p>
        </w:tc>
        <w:tc>
          <w:tcPr>
            <w:tcW w:w="1276" w:type="dxa"/>
          </w:tcPr>
          <w:p w14:paraId="2C8396AA" w14:textId="77777777" w:rsidR="008529AD" w:rsidRPr="00012F4F" w:rsidRDefault="008529AD" w:rsidP="00CD16FE">
            <w:pPr>
              <w:pStyle w:val="Tabletext1"/>
              <w:ind w:left="0"/>
            </w:pPr>
            <w:r>
              <w:t>ASM</w:t>
            </w:r>
          </w:p>
        </w:tc>
        <w:tc>
          <w:tcPr>
            <w:tcW w:w="5812" w:type="dxa"/>
          </w:tcPr>
          <w:p w14:paraId="4F37BD37" w14:textId="0975FCBB" w:rsidR="008529AD" w:rsidRPr="00012F4F" w:rsidRDefault="008529AD" w:rsidP="00D726F6">
            <w:pPr>
              <w:pStyle w:val="Tabletext1"/>
              <w:ind w:left="0"/>
            </w:pPr>
            <w:r>
              <w:t xml:space="preserve">Australian Life Tables </w:t>
            </w:r>
            <w:r w:rsidR="00B727D6">
              <w:fldChar w:fldCharType="begin"/>
            </w:r>
            <w:r w:rsidR="00B727D6">
              <w:instrText xml:space="preserve"> ADDIN EN.CITE &lt;EndNote&gt;&lt;Cite&gt;&lt;Author&gt;ABS&lt;/Author&gt;&lt;Year&gt;2020&lt;/Year&gt;&lt;RecNum&gt;1956&lt;/RecNum&gt;&lt;DisplayText&gt;(ABS 2020b)&lt;/DisplayText&gt;&lt;record&gt;&lt;rec-number&gt;1956&lt;/rec-number&gt;&lt;foreign-keys&gt;&lt;key app="EN" db-id="xtr5xfx2xf0wd7e0s2qvst2ietxxf0tpzr9v" timestamp="1614735097"&gt;1956&lt;/key&gt;&lt;/foreign-keys&gt;&lt;ref-type name="Catalog"&gt;8&lt;/ref-type&gt;&lt;contributors&gt;&lt;authors&gt;&lt;author&gt;ABS,&lt;/author&gt;&lt;/authors&gt;&lt;secondary-authors&gt;&lt;author&gt;Australian Bureau of Statistics,&lt;/author&gt;&lt;/secondary-authors&gt;&lt;/contributors&gt;&lt;titles&gt;&lt;title&gt;Table 1.9 Life Tables, Australia, 2017-2019&lt;/title&gt;&lt;/titles&gt;&lt;num-vols&gt;3302055001DO001_20172019&lt;/num-vols&gt;&lt;dates&gt;&lt;year&gt;2020&lt;/year&gt;&lt;/dates&gt;&lt;pub-location&gt;Canberra&lt;/pub-location&gt;&lt;urls&gt;&lt;related-urls&gt;&lt;url&gt;https://www.abs.gov.au/statistics/people/population/life-tables/2017-2019&lt;/url&gt;&lt;/related-urls&gt;&lt;/urls&gt;&lt;access-date&gt;20 January 2021&lt;/access-date&gt;&lt;/record&gt;&lt;/Cite&gt;&lt;/EndNote&gt;</w:instrText>
            </w:r>
            <w:r w:rsidR="00B727D6">
              <w:fldChar w:fldCharType="separate"/>
            </w:r>
            <w:r w:rsidR="00B727D6">
              <w:rPr>
                <w:noProof/>
              </w:rPr>
              <w:t>(</w:t>
            </w:r>
            <w:hyperlink w:anchor="_ENREF_3" w:tooltip="ABS, 2020 #1956" w:history="1">
              <w:r w:rsidR="00D726F6">
                <w:rPr>
                  <w:noProof/>
                </w:rPr>
                <w:t>ABS 2020b</w:t>
              </w:r>
            </w:hyperlink>
            <w:r w:rsidR="00B727D6">
              <w:rPr>
                <w:noProof/>
              </w:rPr>
              <w:t>)</w:t>
            </w:r>
            <w:r w:rsidR="00B727D6">
              <w:fldChar w:fldCharType="end"/>
            </w:r>
          </w:p>
        </w:tc>
      </w:tr>
    </w:tbl>
    <w:p w14:paraId="71BC90BD" w14:textId="77777777" w:rsidR="008529AD" w:rsidRDefault="008529AD" w:rsidP="008529AD">
      <w:pPr>
        <w:spacing w:after="0" w:line="240" w:lineRule="auto"/>
        <w:rPr>
          <w:rFonts w:ascii="Arial Narrow" w:hAnsi="Arial Narrow"/>
          <w:sz w:val="18"/>
          <w:szCs w:val="18"/>
        </w:rPr>
      </w:pPr>
      <w:r w:rsidRPr="00DA3C6E">
        <w:rPr>
          <w:rFonts w:ascii="Arial Narrow" w:hAnsi="Arial Narrow"/>
          <w:sz w:val="18"/>
          <w:szCs w:val="18"/>
        </w:rPr>
        <w:t>ABS = Australian Bureau of Statistics;</w:t>
      </w:r>
      <w:r>
        <w:rPr>
          <w:rFonts w:ascii="Arial Narrow" w:hAnsi="Arial Narrow"/>
          <w:sz w:val="18"/>
          <w:szCs w:val="18"/>
        </w:rPr>
        <w:t xml:space="preserve"> AE = adverse event; ASM = age-specific mortality;</w:t>
      </w:r>
      <w:r w:rsidRPr="00DA3C6E">
        <w:rPr>
          <w:rFonts w:ascii="Arial Narrow" w:hAnsi="Arial Narrow"/>
          <w:sz w:val="18"/>
          <w:szCs w:val="18"/>
        </w:rPr>
        <w:t xml:space="preserve"> BSC = best supportive care; </w:t>
      </w:r>
      <w:r>
        <w:rPr>
          <w:rFonts w:ascii="Arial Narrow" w:hAnsi="Arial Narrow"/>
          <w:sz w:val="18"/>
          <w:szCs w:val="18"/>
        </w:rPr>
        <w:t xml:space="preserve">Ig = immunoglobulin; </w:t>
      </w:r>
      <w:r w:rsidRPr="00DA3C6E">
        <w:rPr>
          <w:rFonts w:ascii="Arial Narrow" w:hAnsi="Arial Narrow"/>
          <w:sz w:val="18"/>
          <w:szCs w:val="18"/>
        </w:rPr>
        <w:t xml:space="preserve">MSAC = Medical Services Advisory Committee; NA = not applicable; NBA = National Blood Authority; SA = sensitivity analysis </w:t>
      </w:r>
    </w:p>
    <w:p w14:paraId="2D5F0BA2" w14:textId="7C5DA5AE" w:rsidR="00C77F01" w:rsidRPr="00DA3C6E" w:rsidRDefault="008529AD" w:rsidP="008529AD">
      <w:pPr>
        <w:spacing w:after="0" w:line="240" w:lineRule="auto"/>
        <w:rPr>
          <w:rFonts w:ascii="Arial Narrow" w:hAnsi="Arial Narrow"/>
          <w:sz w:val="18"/>
          <w:szCs w:val="18"/>
        </w:rPr>
      </w:pPr>
      <w:r>
        <w:rPr>
          <w:rFonts w:ascii="Arial Narrow" w:hAnsi="Arial Narrow"/>
          <w:sz w:val="18"/>
          <w:szCs w:val="18"/>
        </w:rPr>
        <w:t xml:space="preserve">Note: </w:t>
      </w:r>
      <w:r w:rsidRPr="00C77F01">
        <w:rPr>
          <w:rFonts w:ascii="Arial Narrow" w:hAnsi="Arial Narrow"/>
          <w:sz w:val="18"/>
          <w:szCs w:val="18"/>
        </w:rPr>
        <w:t xml:space="preserve">the </w:t>
      </w:r>
      <w:r w:rsidR="00A00511">
        <w:rPr>
          <w:rFonts w:ascii="Arial Narrow" w:hAnsi="Arial Narrow"/>
          <w:sz w:val="18"/>
          <w:szCs w:val="18"/>
        </w:rPr>
        <w:t xml:space="preserve">modelled </w:t>
      </w:r>
      <w:r w:rsidRPr="00C77F01">
        <w:rPr>
          <w:rFonts w:ascii="Arial Narrow" w:hAnsi="Arial Narrow"/>
          <w:sz w:val="18"/>
          <w:szCs w:val="18"/>
        </w:rPr>
        <w:t xml:space="preserve">health state names are abbreviated in the </w:t>
      </w:r>
      <w:r>
        <w:rPr>
          <w:rFonts w:ascii="Arial Narrow" w:hAnsi="Arial Narrow"/>
          <w:sz w:val="18"/>
          <w:szCs w:val="18"/>
        </w:rPr>
        <w:t>table.</w:t>
      </w:r>
      <w:r w:rsidRPr="00C77F01">
        <w:rPr>
          <w:rFonts w:ascii="Arial Narrow" w:hAnsi="Arial Narrow"/>
          <w:sz w:val="18"/>
          <w:szCs w:val="18"/>
        </w:rPr>
        <w:t xml:space="preserve"> State A ‘</w:t>
      </w:r>
      <w:r w:rsidR="005066A6">
        <w:rPr>
          <w:rFonts w:ascii="Arial Narrow" w:hAnsi="Arial Narrow"/>
          <w:sz w:val="18"/>
          <w:szCs w:val="18"/>
        </w:rPr>
        <w:t>Active disease: t</w:t>
      </w:r>
      <w:r w:rsidRPr="00C77F01">
        <w:rPr>
          <w:rFonts w:ascii="Arial Narrow" w:hAnsi="Arial Narrow"/>
          <w:sz w:val="18"/>
          <w:szCs w:val="18"/>
        </w:rPr>
        <w:t>reatment induction or a relapse after more than 6 months off treatment’ is referred as 'Induction phase’; State B ‘</w:t>
      </w:r>
      <w:r w:rsidR="005066A6">
        <w:rPr>
          <w:rFonts w:ascii="Arial Narrow" w:hAnsi="Arial Narrow"/>
          <w:sz w:val="18"/>
          <w:szCs w:val="18"/>
        </w:rPr>
        <w:t>Active but stable disease: m</w:t>
      </w:r>
      <w:r w:rsidRPr="00C77F01">
        <w:rPr>
          <w:rFonts w:ascii="Arial Narrow" w:hAnsi="Arial Narrow"/>
          <w:sz w:val="18"/>
          <w:szCs w:val="18"/>
        </w:rPr>
        <w:t xml:space="preserve">aintenance phase (on treatment more than 4 months)’ as ‘Maintenance phase’; State C </w:t>
      </w:r>
      <w:r w:rsidR="005066A6">
        <w:rPr>
          <w:rFonts w:ascii="Arial Narrow" w:hAnsi="Arial Narrow"/>
          <w:sz w:val="18"/>
          <w:szCs w:val="18"/>
        </w:rPr>
        <w:t>‘</w:t>
      </w:r>
      <w:r w:rsidR="005066A6" w:rsidRPr="005066A6">
        <w:rPr>
          <w:rFonts w:ascii="Arial Narrow" w:hAnsi="Arial Narrow"/>
          <w:sz w:val="18"/>
          <w:szCs w:val="18"/>
        </w:rPr>
        <w:t xml:space="preserve">No active disease: </w:t>
      </w:r>
      <w:r w:rsidR="005066A6">
        <w:rPr>
          <w:rFonts w:ascii="Arial Narrow" w:hAnsi="Arial Narrow"/>
          <w:sz w:val="18"/>
          <w:szCs w:val="18"/>
        </w:rPr>
        <w:t>i</w:t>
      </w:r>
      <w:r w:rsidRPr="00C77F01">
        <w:rPr>
          <w:rFonts w:ascii="Arial Narrow" w:hAnsi="Arial Narrow"/>
          <w:sz w:val="18"/>
          <w:szCs w:val="18"/>
        </w:rPr>
        <w:t>n remission (off treatment)’ as ‘In remission’ and State D ‘</w:t>
      </w:r>
      <w:r w:rsidR="005066A6" w:rsidRPr="005066A6">
        <w:rPr>
          <w:rFonts w:ascii="Arial Narrow" w:hAnsi="Arial Narrow"/>
          <w:sz w:val="18"/>
          <w:szCs w:val="18"/>
        </w:rPr>
        <w:t>Treatment resistant/intolerant: best supportive care</w:t>
      </w:r>
      <w:r w:rsidRPr="00C77F01">
        <w:rPr>
          <w:rFonts w:ascii="Arial Narrow" w:hAnsi="Arial Narrow"/>
          <w:sz w:val="18"/>
          <w:szCs w:val="18"/>
        </w:rPr>
        <w:t>’ as ‘BSC’.</w:t>
      </w:r>
    </w:p>
    <w:p w14:paraId="174810D4" w14:textId="77777777" w:rsidR="00D91768" w:rsidRDefault="00D91768" w:rsidP="00837294">
      <w:pPr>
        <w:pStyle w:val="Heading3"/>
        <w:rPr>
          <w:snapToGrid w:val="0"/>
          <w:lang w:eastAsia="en-US"/>
        </w:rPr>
        <w:sectPr w:rsidR="00D91768" w:rsidSect="00D91768">
          <w:pgSz w:w="16838" w:h="11906" w:orient="landscape"/>
          <w:pgMar w:top="1440" w:right="1440" w:bottom="1440" w:left="1440" w:header="720" w:footer="720" w:gutter="0"/>
          <w:paperSrc w:first="262" w:other="262"/>
          <w:cols w:space="720"/>
          <w:docGrid w:linePitch="299"/>
        </w:sectPr>
      </w:pPr>
      <w:bookmarkStart w:id="316" w:name="_Toc23768054"/>
    </w:p>
    <w:p w14:paraId="324E1128" w14:textId="56766686" w:rsidR="00837294" w:rsidRPr="00E07567" w:rsidRDefault="00837294" w:rsidP="00837294">
      <w:pPr>
        <w:pStyle w:val="Heading3"/>
        <w:rPr>
          <w:snapToGrid w:val="0"/>
          <w:lang w:eastAsia="en-US"/>
        </w:rPr>
      </w:pPr>
      <w:bookmarkStart w:id="317" w:name="_Toc69305592"/>
      <w:r w:rsidRPr="00E07567">
        <w:rPr>
          <w:snapToGrid w:val="0"/>
          <w:lang w:eastAsia="en-US"/>
        </w:rPr>
        <w:t>Clinical management inputs</w:t>
      </w:r>
      <w:bookmarkEnd w:id="316"/>
      <w:bookmarkEnd w:id="317"/>
    </w:p>
    <w:p w14:paraId="77F4F40F" w14:textId="49640A24" w:rsidR="00837294" w:rsidRDefault="00837294" w:rsidP="00923348">
      <w:pPr>
        <w:pStyle w:val="BodyTextSTD"/>
      </w:pPr>
      <w:r w:rsidRPr="002F6AAD">
        <w:t xml:space="preserve">Inputs (including assumptions) relating to the clinical management of </w:t>
      </w:r>
      <w:r>
        <w:t>CIDP</w:t>
      </w:r>
      <w:r w:rsidRPr="002F6AAD">
        <w:t xml:space="preserve">, including the doses and administration patterns of therapies </w:t>
      </w:r>
      <w:r w:rsidR="002D5AD1">
        <w:t xml:space="preserve">were described in section C.2.2. </w:t>
      </w:r>
      <w:r w:rsidR="002D5AD1" w:rsidRPr="00697B72">
        <w:rPr>
          <w:rStyle w:val="Hyperlink"/>
          <w:color w:val="auto"/>
          <w:u w:val="none"/>
        </w:rPr>
        <w:t xml:space="preserve">The dosing regimen and amount of </w:t>
      </w:r>
      <w:r w:rsidR="002D5AD1">
        <w:rPr>
          <w:rStyle w:val="Hyperlink"/>
          <w:color w:val="auto"/>
          <w:u w:val="none"/>
        </w:rPr>
        <w:t>drugs</w:t>
      </w:r>
      <w:r w:rsidR="002D5AD1" w:rsidRPr="00697B72">
        <w:rPr>
          <w:rStyle w:val="Hyperlink"/>
          <w:color w:val="auto"/>
          <w:u w:val="none"/>
        </w:rPr>
        <w:t xml:space="preserve"> to be infused for initial</w:t>
      </w:r>
      <w:r w:rsidR="002D5AD1">
        <w:rPr>
          <w:rStyle w:val="Hyperlink"/>
          <w:color w:val="auto"/>
          <w:u w:val="none"/>
        </w:rPr>
        <w:t xml:space="preserve"> and maintenance</w:t>
      </w:r>
      <w:r w:rsidR="002D5AD1" w:rsidRPr="00697B72">
        <w:rPr>
          <w:rStyle w:val="Hyperlink"/>
          <w:color w:val="auto"/>
          <w:u w:val="none"/>
        </w:rPr>
        <w:t xml:space="preserve"> CIDP treatment</w:t>
      </w:r>
      <w:r w:rsidR="002D5AD1">
        <w:rPr>
          <w:rStyle w:val="Hyperlink"/>
          <w:color w:val="auto"/>
          <w:u w:val="none"/>
        </w:rPr>
        <w:t xml:space="preserve"> are summarised in </w:t>
      </w:r>
      <w:r w:rsidR="002D5AD1">
        <w:rPr>
          <w:rStyle w:val="Hyperlink"/>
          <w:color w:val="auto"/>
          <w:u w:val="none"/>
        </w:rPr>
        <w:fldChar w:fldCharType="begin"/>
      </w:r>
      <w:r w:rsidR="002D5AD1">
        <w:rPr>
          <w:rStyle w:val="Hyperlink"/>
          <w:color w:val="auto"/>
          <w:u w:val="none"/>
        </w:rPr>
        <w:instrText xml:space="preserve"> REF _Ref65086945 \h </w:instrText>
      </w:r>
      <w:r w:rsidR="002D5AD1">
        <w:rPr>
          <w:rStyle w:val="Hyperlink"/>
          <w:color w:val="auto"/>
          <w:u w:val="none"/>
        </w:rPr>
      </w:r>
      <w:r w:rsidR="002D5AD1">
        <w:rPr>
          <w:rStyle w:val="Hyperlink"/>
          <w:color w:val="auto"/>
          <w:u w:val="none"/>
        </w:rPr>
        <w:fldChar w:fldCharType="separate"/>
      </w:r>
      <w:r w:rsidR="004B3EA2">
        <w:t xml:space="preserve">Table </w:t>
      </w:r>
      <w:r w:rsidR="004B3EA2">
        <w:rPr>
          <w:noProof/>
        </w:rPr>
        <w:t>28</w:t>
      </w:r>
      <w:r w:rsidR="002D5AD1">
        <w:rPr>
          <w:rStyle w:val="Hyperlink"/>
          <w:color w:val="auto"/>
          <w:u w:val="none"/>
        </w:rPr>
        <w:fldChar w:fldCharType="end"/>
      </w:r>
      <w:r w:rsidR="002D5AD1">
        <w:rPr>
          <w:rStyle w:val="Hyperlink"/>
          <w:color w:val="auto"/>
          <w:u w:val="none"/>
        </w:rPr>
        <w:t>.</w:t>
      </w:r>
    </w:p>
    <w:p w14:paraId="0B43DD10" w14:textId="77777777" w:rsidR="00837294" w:rsidRPr="00E07567" w:rsidRDefault="00837294" w:rsidP="00837294">
      <w:pPr>
        <w:pStyle w:val="Heading3"/>
        <w:rPr>
          <w:snapToGrid w:val="0"/>
          <w:lang w:eastAsia="en-US"/>
        </w:rPr>
      </w:pPr>
      <w:bookmarkStart w:id="318" w:name="_Toc15561875"/>
      <w:bookmarkStart w:id="319" w:name="_Toc23768055"/>
      <w:bookmarkStart w:id="320" w:name="_Toc69305593"/>
      <w:r w:rsidRPr="00E07567">
        <w:rPr>
          <w:snapToGrid w:val="0"/>
          <w:lang w:eastAsia="en-US"/>
        </w:rPr>
        <w:t>Adverse event and clinical outcome inputs</w:t>
      </w:r>
      <w:bookmarkEnd w:id="318"/>
      <w:bookmarkEnd w:id="319"/>
      <w:bookmarkEnd w:id="320"/>
    </w:p>
    <w:p w14:paraId="45845ACC" w14:textId="0A24935D" w:rsidR="00837294" w:rsidRDefault="00837294" w:rsidP="00D614C2">
      <w:pPr>
        <w:pStyle w:val="BodyTextSTD"/>
      </w:pPr>
      <w:r>
        <w:t>Summary of d</w:t>
      </w:r>
      <w:r w:rsidRPr="00625348">
        <w:t>ifferences in safety consequences associated with IVIg</w:t>
      </w:r>
      <w:r>
        <w:t>, corticosteroids</w:t>
      </w:r>
      <w:r w:rsidRPr="00625348">
        <w:t xml:space="preserve"> and PE were </w:t>
      </w:r>
      <w:r>
        <w:t xml:space="preserve">summarised in </w:t>
      </w:r>
      <w:r>
        <w:fldChar w:fldCharType="begin"/>
      </w:r>
      <w:r>
        <w:instrText xml:space="preserve"> REF _Ref58238706 \h </w:instrText>
      </w:r>
      <w:r w:rsidR="00D614C2">
        <w:instrText xml:space="preserve"> \* MERGEFORMAT </w:instrText>
      </w:r>
      <w:r>
        <w:fldChar w:fldCharType="separate"/>
      </w:r>
      <w:r w:rsidR="004B3EA2" w:rsidRPr="00B6590E">
        <w:t xml:space="preserve">Table </w:t>
      </w:r>
      <w:r w:rsidR="004B3EA2">
        <w:rPr>
          <w:noProof/>
        </w:rPr>
        <w:t>25</w:t>
      </w:r>
      <w:r>
        <w:fldChar w:fldCharType="end"/>
      </w:r>
      <w:r w:rsidRPr="00625348">
        <w:t xml:space="preserve"> in</w:t>
      </w:r>
      <w:r>
        <w:t xml:space="preserve"> Section B.7. </w:t>
      </w:r>
      <w:r w:rsidR="003738E6">
        <w:t>The m</w:t>
      </w:r>
      <w:r w:rsidR="00D614C2">
        <w:t>odelling studies associated with translating these inputs for economic evaluation were described in section C.3.3 and C.4.1.</w:t>
      </w:r>
    </w:p>
    <w:p w14:paraId="019C0F7E" w14:textId="77777777" w:rsidR="00837294" w:rsidRDefault="00837294" w:rsidP="00837294">
      <w:pPr>
        <w:pStyle w:val="Heading3"/>
      </w:pPr>
      <w:bookmarkStart w:id="321" w:name="_Toc15561876"/>
      <w:bookmarkStart w:id="322" w:name="_Toc23768056"/>
      <w:bookmarkStart w:id="323" w:name="_Toc69305594"/>
      <w:r w:rsidRPr="00E07567">
        <w:t xml:space="preserve">Resource </w:t>
      </w:r>
      <w:r>
        <w:t xml:space="preserve">use and </w:t>
      </w:r>
      <w:r w:rsidRPr="00E07567">
        <w:t>costs</w:t>
      </w:r>
      <w:bookmarkEnd w:id="321"/>
      <w:bookmarkEnd w:id="322"/>
      <w:bookmarkEnd w:id="323"/>
    </w:p>
    <w:p w14:paraId="5B0AFDE8" w14:textId="38361580" w:rsidR="00837294" w:rsidRPr="00A5322E" w:rsidRDefault="00837294" w:rsidP="00A5322E">
      <w:pPr>
        <w:pStyle w:val="BodyTextSTD"/>
      </w:pPr>
      <w:r w:rsidRPr="00A5322E">
        <w:t>Resource use associated with the treatment of patients with CIDP was based on advice from the clinical expert on the Ig Review Reference group, clinical guidelines, published literature and previous MSAC reports. Several sources were used for the valuation of resources, mainly the MBS, PBS, NBA report and the Australian Refined Diagnosis Related Groups (AR-DRG) for hospitalisations</w:t>
      </w:r>
      <w:r w:rsidR="0035619B" w:rsidRPr="00A5322E">
        <w:t xml:space="preserve"> </w:t>
      </w:r>
      <w:r w:rsidR="00B727D6">
        <w:fldChar w:fldCharType="begin"/>
      </w:r>
      <w:r w:rsidR="00B727D6">
        <w:instrText xml:space="preserve"> ADDIN EN.CITE &lt;EndNote&gt;&lt;Cite&gt;&lt;Author&gt;IHPA&lt;/Author&gt;&lt;Year&gt;2021&lt;/Year&gt;&lt;RecNum&gt;1961&lt;/RecNum&gt;&lt;DisplayText&gt;(IHPA 2021)&lt;/DisplayText&gt;&lt;record&gt;&lt;rec-number&gt;1961&lt;/rec-number&gt;&lt;foreign-keys&gt;&lt;key app="EN" db-id="xtr5xfx2xf0wd7e0s2qvst2ietxxf0tpzr9v" timestamp="1615261212"&gt;1961&lt;/key&gt;&lt;/foreign-keys&gt;&lt;ref-type name="Report"&gt;27&lt;/ref-type&gt;&lt;contributors&gt;&lt;authors&gt;&lt;author&gt;IHPA,&lt;/author&gt;&lt;/authors&gt;&lt;tertiary-authors&gt;&lt;author&gt;The Independent Hospital Pricing Authority &lt;/author&gt;&lt;/tertiary-authors&gt;&lt;/contributors&gt;&lt;titles&gt;&lt;title&gt;NATIONAL HOSPITAL COST DATA COLLECTION, COST WEIGHTS FOR AR-DRG VERSION 10.0, Round 23 (2018-19), Public Sector&lt;/title&gt;&lt;/titles&gt;&lt;dates&gt;&lt;year&gt;2021&lt;/year&gt;&lt;/dates&gt;&lt;publisher&gt;The Independent Hospital Pricing Authority &lt;/publisher&gt;&lt;urls&gt;&lt;/urls&gt;&lt;/record&gt;&lt;/Cite&gt;&lt;/EndNote&gt;</w:instrText>
      </w:r>
      <w:r w:rsidR="00B727D6">
        <w:fldChar w:fldCharType="separate"/>
      </w:r>
      <w:r w:rsidR="00B727D6">
        <w:rPr>
          <w:noProof/>
        </w:rPr>
        <w:t>(</w:t>
      </w:r>
      <w:hyperlink w:anchor="_ENREF_30" w:tooltip="IHPA, 2021 #1961" w:history="1">
        <w:r w:rsidR="00D726F6">
          <w:rPr>
            <w:noProof/>
          </w:rPr>
          <w:t>IHPA 2021</w:t>
        </w:r>
      </w:hyperlink>
      <w:r w:rsidR="00B727D6">
        <w:rPr>
          <w:noProof/>
        </w:rPr>
        <w:t>)</w:t>
      </w:r>
      <w:r w:rsidR="00B727D6">
        <w:fldChar w:fldCharType="end"/>
      </w:r>
      <w:r w:rsidRPr="00A5322E">
        <w:t xml:space="preserve">. All costs were measured and valued in 2021 Australian dollars. The total cost per item was calculated as a product of the unit price per item, quantity needed and frequency (proportion of patients likely to use it). Cost per health state was calculated as a sum of all the total costs per item under the health state. Details of cost estimation are presented </w:t>
      </w:r>
      <w:r w:rsidR="00B00977">
        <w:t>below for each treatment.</w:t>
      </w:r>
    </w:p>
    <w:p w14:paraId="4FBBA2C5" w14:textId="63E5B38B" w:rsidR="00837294" w:rsidRDefault="00837294" w:rsidP="00837294">
      <w:pPr>
        <w:pStyle w:val="Heading4"/>
      </w:pPr>
      <w:r>
        <w:t>Ig</w:t>
      </w:r>
    </w:p>
    <w:p w14:paraId="6C603DAD" w14:textId="2004E724" w:rsidR="00837294" w:rsidRDefault="00837294" w:rsidP="00A7104D">
      <w:pPr>
        <w:pStyle w:val="BodyTextSTD"/>
      </w:pPr>
      <w:r>
        <w:t>The cost per gram of Ig used in the base case analysis is $60.41. This cost was provided by the Applicant to inform the economic and financial analyses and had been estimated retrospectively based on the reported total domestic product cost in 2017/18 ($195 million) minus domestic SCIg product costs ($4 million) in that same year, divided by the number of IVIg domestic grams issued (3,161,673) as published in the National Blood Authority (NBA) report on the Issues and Use of Ig in 2017/18</w:t>
      </w:r>
      <w:r w:rsidR="00AF2C4A">
        <w:t xml:space="preserve"> </w:t>
      </w:r>
      <w:r w:rsidR="00B727D6">
        <w:fldChar w:fldCharType="begin"/>
      </w:r>
      <w:r w:rsidR="00B727D6">
        <w:instrText xml:space="preserve"> ADDIN EN.CITE &lt;EndNote&gt;&lt;Cite&gt;&lt;Author&gt;NBA&lt;/Author&gt;&lt;Year&gt;2018&lt;/Year&gt;&lt;RecNum&gt;1948&lt;/RecNum&gt;&lt;DisplayText&gt;(NBA 2018)&lt;/DisplayText&gt;&lt;record&gt;&lt;rec-number&gt;1948&lt;/rec-number&gt;&lt;foreign-keys&gt;&lt;key app="EN" db-id="xtr5xfx2xf0wd7e0s2qvst2ietxxf0tpzr9v" timestamp="1614134979"&gt;1948&lt;/key&gt;&lt;/foreign-keys&gt;&lt;ref-type name="Report"&gt;27&lt;/ref-type&gt;&lt;contributors&gt;&lt;authors&gt;&lt;author&gt;NBA&lt;/author&gt;&lt;/authors&gt;&lt;tertiary-authors&gt;&lt;author&gt;Union Offset Printers&lt;/author&gt;&lt;/tertiary-authors&gt;&lt;/contributors&gt;&lt;titles&gt;&lt;title&gt;National Blood Authority Annual Report 2017-18&lt;/title&gt;&lt;/titles&gt;&lt;dates&gt;&lt;year&gt;2018&lt;/year&gt;&lt;pub-dates&gt;&lt;date&gt;2 October 2018&lt;/date&gt;&lt;/pub-dates&gt;&lt;/dates&gt;&lt;publisher&gt;National Blood Authority&lt;/publisher&gt;&lt;urls&gt;&lt;related-urls&gt;&lt;url&gt;www.blood.gov.au/about-nba&lt;/url&gt;&lt;/related-urls&gt;&lt;/urls&gt;&lt;access-date&gt;18 January 2021&lt;/access-date&gt;&lt;/record&gt;&lt;/Cite&gt;&lt;/EndNote&gt;</w:instrText>
      </w:r>
      <w:r w:rsidR="00B727D6">
        <w:fldChar w:fldCharType="separate"/>
      </w:r>
      <w:r w:rsidR="00B727D6">
        <w:rPr>
          <w:noProof/>
        </w:rPr>
        <w:t>(</w:t>
      </w:r>
      <w:hyperlink w:anchor="_ENREF_48" w:tooltip="NBA, 2018 #1948" w:history="1">
        <w:r w:rsidR="00D726F6">
          <w:rPr>
            <w:noProof/>
          </w:rPr>
          <w:t>NBA 2018</w:t>
        </w:r>
      </w:hyperlink>
      <w:r w:rsidR="00B727D6">
        <w:rPr>
          <w:noProof/>
        </w:rPr>
        <w:t>)</w:t>
      </w:r>
      <w:r w:rsidR="00B727D6">
        <w:fldChar w:fldCharType="end"/>
      </w:r>
      <w:r w:rsidR="00AF2C4A">
        <w:t xml:space="preserve"> (see also </w:t>
      </w:r>
      <w:r w:rsidR="00AF2C4A">
        <w:fldChar w:fldCharType="begin"/>
      </w:r>
      <w:r w:rsidR="00AF2C4A">
        <w:instrText xml:space="preserve"> REF _Ref13214532 \h </w:instrText>
      </w:r>
      <w:r w:rsidR="00AF2C4A">
        <w:fldChar w:fldCharType="separate"/>
      </w:r>
      <w:r w:rsidR="004B3EA2" w:rsidRPr="00E07567">
        <w:t xml:space="preserve">Table </w:t>
      </w:r>
      <w:r w:rsidR="004B3EA2">
        <w:rPr>
          <w:noProof/>
        </w:rPr>
        <w:t>80</w:t>
      </w:r>
      <w:r w:rsidR="00AF2C4A">
        <w:fldChar w:fldCharType="end"/>
      </w:r>
      <w:r w:rsidR="00AF2C4A">
        <w:t xml:space="preserve">, </w:t>
      </w:r>
      <w:r w:rsidR="00AF2C4A" w:rsidRPr="00E000C9">
        <w:rPr>
          <w:b/>
        </w:rPr>
        <w:t>Appendix G</w:t>
      </w:r>
      <w:r w:rsidR="00AF2C4A">
        <w:t>)</w:t>
      </w:r>
      <w:r>
        <w:t xml:space="preserve">. Additional </w:t>
      </w:r>
      <w:r w:rsidR="00AF2C4A">
        <w:t>analyses will be</w:t>
      </w:r>
      <w:r>
        <w:t xml:space="preserve"> presented assuming:</w:t>
      </w:r>
    </w:p>
    <w:p w14:paraId="432AF515" w14:textId="77777777" w:rsidR="00837294" w:rsidRDefault="00837294" w:rsidP="000B596E">
      <w:pPr>
        <w:pStyle w:val="BodyTextSTD"/>
        <w:numPr>
          <w:ilvl w:val="0"/>
          <w:numId w:val="33"/>
        </w:numPr>
      </w:pPr>
      <w:r>
        <w:t xml:space="preserve">The highest cost </w:t>
      </w:r>
      <w:r w:rsidR="00B43F61">
        <w:t>per g</w:t>
      </w:r>
      <w:r w:rsidR="00025C4D">
        <w:t>ram</w:t>
      </w:r>
      <w:r w:rsidR="00B43F61">
        <w:t xml:space="preserve"> </w:t>
      </w:r>
      <w:r>
        <w:t>of Ig (i.e. domestic IVIg, including the cost of plasma fractionation), $140.18</w:t>
      </w:r>
    </w:p>
    <w:p w14:paraId="6208FB5F" w14:textId="77777777" w:rsidR="00837294" w:rsidRDefault="00837294" w:rsidP="000B596E">
      <w:pPr>
        <w:pStyle w:val="BodyTextSTD"/>
        <w:numPr>
          <w:ilvl w:val="0"/>
          <w:numId w:val="33"/>
        </w:numPr>
      </w:pPr>
      <w:r>
        <w:t xml:space="preserve">The lowest cost </w:t>
      </w:r>
      <w:r w:rsidR="00B43F61">
        <w:t>per g</w:t>
      </w:r>
      <w:r w:rsidR="00025C4D">
        <w:t>ram</w:t>
      </w:r>
      <w:r w:rsidR="00B43F61">
        <w:t xml:space="preserve"> </w:t>
      </w:r>
      <w:r>
        <w:t>of Ig (i.e. imported IVIg), $44.94</w:t>
      </w:r>
    </w:p>
    <w:p w14:paraId="0DA05610" w14:textId="6C41C32C" w:rsidR="00837294" w:rsidRDefault="00837294" w:rsidP="000B596E">
      <w:pPr>
        <w:pStyle w:val="BodyTextSTD"/>
        <w:numPr>
          <w:ilvl w:val="0"/>
          <w:numId w:val="33"/>
        </w:numPr>
      </w:pPr>
      <w:r>
        <w:t xml:space="preserve">The weighted average cost </w:t>
      </w:r>
      <w:r w:rsidR="00B43F61">
        <w:t>per g</w:t>
      </w:r>
      <w:r w:rsidR="00025C4D">
        <w:t>ram</w:t>
      </w:r>
      <w:r w:rsidR="00B43F61">
        <w:t xml:space="preserve"> </w:t>
      </w:r>
      <w:r>
        <w:t>of Ig across all indications, $94.51</w:t>
      </w:r>
      <w:r w:rsidR="006B7D35">
        <w:t>.</w:t>
      </w:r>
    </w:p>
    <w:p w14:paraId="5B126287" w14:textId="0FEFE2C5" w:rsidR="00AF2C4A" w:rsidRDefault="00837294" w:rsidP="00AF2C4A">
      <w:pPr>
        <w:pStyle w:val="BodyTextSTD"/>
      </w:pPr>
      <w:r w:rsidRPr="00CD2507">
        <w:t>These costs were provided by the MSAC Ig Review Secretariat as agreed with the Applicant and the Ig Review Reference group to be consistent with other contracted assessments for Ig.</w:t>
      </w:r>
      <w:r>
        <w:t xml:space="preserve"> </w:t>
      </w:r>
      <w:r w:rsidR="00AF2C4A">
        <w:t xml:space="preserve">While there are slight variations between the prices per gram used in the model to that published on the NBA website (e.g. domestic IVIg has a current published price per gram of $58.20 as of </w:t>
      </w:r>
      <w:r w:rsidR="006B7D35">
        <w:t xml:space="preserve">1 </w:t>
      </w:r>
      <w:r w:rsidR="00AF2C4A">
        <w:t>July 2020), as all costs (including that of plasma fractionation) could be sourced from the same year, for consistency the prices retrospectively estimated from the NBA report are used. A sensitivity analysis will be presented using the current published price of domestic IVIg.</w:t>
      </w:r>
    </w:p>
    <w:p w14:paraId="6B5AB027" w14:textId="77777777" w:rsidR="00837294" w:rsidRPr="00E07567" w:rsidRDefault="00837294" w:rsidP="00AF2C4A">
      <w:pPr>
        <w:jc w:val="both"/>
      </w:pPr>
      <w:r w:rsidRPr="00E07567">
        <w:t>Resources and costs associated with IVIg administration such as infusion equipment, administrative and clinician time (e.g. resources associated with requesting, and authorising, access to Ig), nursing time (for initiation and monitoring) are implicitly captured in the hospitalisation or outpatient service episode costs, relevant to the setting under which IVIg is supplied.</w:t>
      </w:r>
      <w:r w:rsidR="00F07769">
        <w:t xml:space="preserve"> </w:t>
      </w:r>
    </w:p>
    <w:p w14:paraId="1124C394" w14:textId="77240340" w:rsidR="00837294" w:rsidRDefault="00837294" w:rsidP="00A7104D">
      <w:pPr>
        <w:pStyle w:val="BodyTextSTD"/>
        <w:rPr>
          <w:rStyle w:val="Hyperlink"/>
          <w:color w:val="auto"/>
          <w:u w:val="none"/>
        </w:rPr>
      </w:pPr>
      <w:r w:rsidRPr="00697B72">
        <w:rPr>
          <w:rStyle w:val="Hyperlink"/>
          <w:color w:val="auto"/>
          <w:u w:val="none"/>
        </w:rPr>
        <w:t xml:space="preserve">The frequency with which a patient must be reviewed whilst receiving IVIg is specified in Version 3 of ‘the Criteria’ (NBA 2018). Patients receiving IVIg as first-line treatment for CIDP or following a CIDP relapse within six months of commencing a trial off Ig therapy, must be reviewed by a neurologist after four months of Ig therapy to determine patient response. Those who have responded to IVIg must be reviewed by a neurologist or general physician every 12 months. </w:t>
      </w:r>
      <w:r>
        <w:rPr>
          <w:rStyle w:val="Hyperlink"/>
          <w:color w:val="auto"/>
          <w:u w:val="none"/>
        </w:rPr>
        <w:t xml:space="preserve">Specialist review may happen more frequently then suggested in the Criteria. Clinical expert advice </w:t>
      </w:r>
      <w:r w:rsidR="00B727D6">
        <w:rPr>
          <w:rStyle w:val="Hyperlink"/>
          <w:color w:val="auto"/>
          <w:u w:val="none"/>
        </w:rPr>
        <w:fldChar w:fldCharType="begin"/>
      </w:r>
      <w:r w:rsidR="00B727D6">
        <w:rPr>
          <w:rStyle w:val="Hyperlink"/>
          <w:color w:val="auto"/>
          <w:u w:val="none"/>
        </w:rPr>
        <w:instrText xml:space="preserve"> ADDIN EN.CITE &lt;EndNote&gt;&lt;Cite&gt;&lt;Author&gt;Department of Health&lt;/Author&gt;&lt;Year&gt;2021&lt;/Year&gt;&lt;RecNum&gt;1954&lt;/RecNum&gt;&lt;DisplayText&gt;(Department of Health 2021a)&lt;/DisplayText&gt;&lt;record&gt;&lt;rec-number&gt;1954&lt;/rec-number&gt;&lt;foreign-keys&gt;&lt;key app="EN" db-id="xtr5xfx2xf0wd7e0s2qvst2ietxxf0tpzr9v" timestamp="1614643814"&gt;1954&lt;/key&gt;&lt;/foreign-keys&gt;&lt;ref-type name="Personal Communication"&gt;26&lt;/ref-type&gt;&lt;contributors&gt;&lt;authors&gt;&lt;author&gt;Department of Health,&lt;/author&gt;&lt;/authors&gt;&lt;/contributors&gt;&lt;titles&gt;&lt;title&gt;Clinical expert advice provided as feedback to the draft MSAC 1564.1 report&lt;/title&gt;&lt;/titles&gt;&lt;dates&gt;&lt;year&gt;2021&lt;/year&gt;&lt;/dates&gt;&lt;urls&gt;&lt;/urls&gt;&lt;/record&gt;&lt;/Cite&gt;&lt;/EndNote&gt;</w:instrText>
      </w:r>
      <w:r w:rsidR="00B727D6">
        <w:rPr>
          <w:rStyle w:val="Hyperlink"/>
          <w:color w:val="auto"/>
          <w:u w:val="none"/>
        </w:rPr>
        <w:fldChar w:fldCharType="separate"/>
      </w:r>
      <w:r w:rsidR="00B727D6">
        <w:rPr>
          <w:rStyle w:val="Hyperlink"/>
          <w:noProof/>
          <w:color w:val="auto"/>
          <w:u w:val="none"/>
        </w:rPr>
        <w:t>(</w:t>
      </w:r>
      <w:hyperlink w:anchor="_ENREF_12" w:tooltip="Department of Health, 2021 #1954" w:history="1">
        <w:r w:rsidR="00D726F6" w:rsidRPr="00D726F6">
          <w:rPr>
            <w:rStyle w:val="Hyperlink"/>
            <w:noProof/>
            <w:color w:val="auto"/>
            <w:u w:val="none"/>
          </w:rPr>
          <w:t>Department of Health 2021a</w:t>
        </w:r>
      </w:hyperlink>
      <w:r w:rsidR="00B727D6">
        <w:rPr>
          <w:rStyle w:val="Hyperlink"/>
          <w:noProof/>
          <w:color w:val="auto"/>
          <w:u w:val="none"/>
        </w:rPr>
        <w:t>)</w:t>
      </w:r>
      <w:r w:rsidR="00B727D6">
        <w:rPr>
          <w:rStyle w:val="Hyperlink"/>
          <w:color w:val="auto"/>
          <w:u w:val="none"/>
        </w:rPr>
        <w:fldChar w:fldCharType="end"/>
      </w:r>
      <w:r>
        <w:rPr>
          <w:rStyle w:val="Hyperlink"/>
          <w:color w:val="auto"/>
          <w:u w:val="none"/>
        </w:rPr>
        <w:t xml:space="preserve"> was that for a treatment</w:t>
      </w:r>
      <w:r w:rsidR="00A13CF6">
        <w:rPr>
          <w:rStyle w:val="Hyperlink"/>
          <w:color w:val="auto"/>
          <w:u w:val="none"/>
        </w:rPr>
        <w:t>-</w:t>
      </w:r>
      <w:r>
        <w:rPr>
          <w:rStyle w:val="Hyperlink"/>
          <w:color w:val="auto"/>
          <w:u w:val="none"/>
        </w:rPr>
        <w:t>naïve patient clinical reviews may be performed as frequently as every three months and thereafter reduced to once – twice per year in order to assess the optimum dose and disease activity.</w:t>
      </w:r>
    </w:p>
    <w:p w14:paraId="4A6FBE89" w14:textId="5099F3DF" w:rsidR="00AF2C4A" w:rsidRDefault="00837294" w:rsidP="00A7104D">
      <w:pPr>
        <w:pStyle w:val="BodyTextSTD"/>
        <w:rPr>
          <w:rStyle w:val="Hyperlink"/>
          <w:color w:val="auto"/>
          <w:u w:val="none"/>
        </w:rPr>
      </w:pPr>
      <w:r>
        <w:rPr>
          <w:rStyle w:val="Hyperlink"/>
          <w:color w:val="auto"/>
          <w:u w:val="none"/>
        </w:rPr>
        <w:t xml:space="preserve">It is assumed that a patient on </w:t>
      </w:r>
      <w:r w:rsidR="00785268">
        <w:rPr>
          <w:rStyle w:val="Hyperlink"/>
          <w:color w:val="auto"/>
          <w:u w:val="none"/>
        </w:rPr>
        <w:t xml:space="preserve">IVIg treatment for </w:t>
      </w:r>
      <w:r>
        <w:rPr>
          <w:rStyle w:val="Hyperlink"/>
          <w:color w:val="auto"/>
          <w:u w:val="none"/>
        </w:rPr>
        <w:t xml:space="preserve">CIDP treatment will have two GP visits, four specialist consultations and four pathology tests (two to assess liver and renal function, and two whole blood examinations) annually as a part of disease management and treatment effect monitoring. Cost of Ig treatment per cycle is estimated based on the induction/maintenance dose as (base-case 2g/kg infused over </w:t>
      </w:r>
      <w:r w:rsidR="006B7D35">
        <w:rPr>
          <w:rStyle w:val="Hyperlink"/>
          <w:color w:val="auto"/>
          <w:u w:val="none"/>
        </w:rPr>
        <w:t>four </w:t>
      </w:r>
      <w:r>
        <w:rPr>
          <w:rStyle w:val="Hyperlink"/>
          <w:color w:val="auto"/>
          <w:u w:val="none"/>
        </w:rPr>
        <w:t xml:space="preserve">days and 1g/kg over </w:t>
      </w:r>
      <w:r w:rsidR="006B7D35">
        <w:rPr>
          <w:rStyle w:val="Hyperlink"/>
          <w:color w:val="auto"/>
          <w:u w:val="none"/>
        </w:rPr>
        <w:t xml:space="preserve">two </w:t>
      </w:r>
      <w:r>
        <w:rPr>
          <w:rStyle w:val="Hyperlink"/>
          <w:color w:val="auto"/>
          <w:u w:val="none"/>
        </w:rPr>
        <w:t xml:space="preserve">days, </w:t>
      </w:r>
      <w:r>
        <w:rPr>
          <w:rStyle w:val="Hyperlink"/>
          <w:color w:val="auto"/>
          <w:u w:val="none"/>
        </w:rPr>
        <w:fldChar w:fldCharType="begin"/>
      </w:r>
      <w:r>
        <w:rPr>
          <w:rStyle w:val="Hyperlink"/>
          <w:color w:val="auto"/>
          <w:u w:val="none"/>
        </w:rPr>
        <w:instrText xml:space="preserve"> REF _Ref65086945 \h </w:instrText>
      </w:r>
      <w:r w:rsidR="00A7104D">
        <w:rPr>
          <w:rStyle w:val="Hyperlink"/>
          <w:color w:val="auto"/>
          <w:u w:val="none"/>
        </w:rPr>
        <w:instrText xml:space="preserve"> \* MERGEFORMAT </w:instrText>
      </w:r>
      <w:r>
        <w:rPr>
          <w:rStyle w:val="Hyperlink"/>
          <w:color w:val="auto"/>
          <w:u w:val="none"/>
        </w:rPr>
      </w:r>
      <w:r>
        <w:rPr>
          <w:rStyle w:val="Hyperlink"/>
          <w:color w:val="auto"/>
          <w:u w:val="none"/>
        </w:rPr>
        <w:fldChar w:fldCharType="separate"/>
      </w:r>
      <w:r w:rsidR="004B3EA2">
        <w:t xml:space="preserve">Table </w:t>
      </w:r>
      <w:r w:rsidR="004B3EA2">
        <w:rPr>
          <w:noProof/>
        </w:rPr>
        <w:t>28</w:t>
      </w:r>
      <w:r>
        <w:rPr>
          <w:rStyle w:val="Hyperlink"/>
          <w:color w:val="auto"/>
          <w:u w:val="none"/>
        </w:rPr>
        <w:fldChar w:fldCharType="end"/>
      </w:r>
      <w:r>
        <w:rPr>
          <w:rStyle w:val="Hyperlink"/>
          <w:color w:val="auto"/>
          <w:u w:val="none"/>
        </w:rPr>
        <w:t xml:space="preserve">) and average patient weight (78 kg, </w:t>
      </w:r>
      <w:r>
        <w:rPr>
          <w:rStyle w:val="Hyperlink"/>
          <w:color w:val="auto"/>
          <w:u w:val="none"/>
        </w:rPr>
        <w:fldChar w:fldCharType="begin"/>
      </w:r>
      <w:r>
        <w:rPr>
          <w:rStyle w:val="Hyperlink"/>
          <w:color w:val="auto"/>
          <w:u w:val="none"/>
        </w:rPr>
        <w:instrText xml:space="preserve"> REF _Ref14361554 \h </w:instrText>
      </w:r>
      <w:r w:rsidR="00A7104D">
        <w:rPr>
          <w:rStyle w:val="Hyperlink"/>
          <w:color w:val="auto"/>
          <w:u w:val="none"/>
        </w:rPr>
        <w:instrText xml:space="preserve"> \* MERGEFORMAT </w:instrText>
      </w:r>
      <w:r>
        <w:rPr>
          <w:rStyle w:val="Hyperlink"/>
          <w:color w:val="auto"/>
          <w:u w:val="none"/>
        </w:rPr>
      </w:r>
      <w:r>
        <w:rPr>
          <w:rStyle w:val="Hyperlink"/>
          <w:color w:val="auto"/>
          <w:u w:val="none"/>
        </w:rPr>
        <w:fldChar w:fldCharType="separate"/>
      </w:r>
      <w:r w:rsidR="004B3EA2" w:rsidRPr="00E07567">
        <w:t xml:space="preserve">Table </w:t>
      </w:r>
      <w:r w:rsidR="004B3EA2">
        <w:rPr>
          <w:noProof/>
        </w:rPr>
        <w:t>38</w:t>
      </w:r>
      <w:r>
        <w:rPr>
          <w:rStyle w:val="Hyperlink"/>
          <w:color w:val="auto"/>
          <w:u w:val="none"/>
        </w:rPr>
        <w:fldChar w:fldCharType="end"/>
      </w:r>
      <w:r>
        <w:rPr>
          <w:rStyle w:val="Hyperlink"/>
          <w:color w:val="auto"/>
          <w:u w:val="none"/>
        </w:rPr>
        <w:t xml:space="preserve">). </w:t>
      </w:r>
    </w:p>
    <w:p w14:paraId="3BED6955" w14:textId="2D1D9E07" w:rsidR="00F30021" w:rsidRDefault="00F30021" w:rsidP="00A7104D">
      <w:pPr>
        <w:pStyle w:val="BodyTextSTD"/>
        <w:rPr>
          <w:rStyle w:val="Hyperlink"/>
          <w:color w:val="auto"/>
          <w:u w:val="none"/>
        </w:rPr>
      </w:pPr>
      <w:r>
        <w:rPr>
          <w:rStyle w:val="Hyperlink"/>
          <w:color w:val="auto"/>
          <w:u w:val="none"/>
        </w:rPr>
        <w:t>During long-term IVIg</w:t>
      </w:r>
      <w:r w:rsidRPr="00F30021">
        <w:rPr>
          <w:rStyle w:val="Hyperlink"/>
          <w:color w:val="auto"/>
          <w:u w:val="none"/>
        </w:rPr>
        <w:t xml:space="preserve"> therapy, intravenous access can become difficult due to obliteration of the veins and may necessitate catheterisation of the external jugular vein in some patients</w:t>
      </w:r>
      <w:r>
        <w:rPr>
          <w:rStyle w:val="Hyperlink"/>
          <w:color w:val="auto"/>
          <w:u w:val="none"/>
        </w:rPr>
        <w:t xml:space="preserve"> </w:t>
      </w:r>
      <w:r w:rsidR="00B727D6">
        <w:rPr>
          <w:rStyle w:val="Hyperlink"/>
          <w:color w:val="auto"/>
          <w:u w:val="none"/>
        </w:rPr>
        <w:fldChar w:fldCharType="begin">
          <w:fldData xml:space="preserve">PEVuZE5vdGU+PENpdGU+PEF1dGhvcj5NYXJrdmFyZHNlbjwvQXV0aG9yPjxZZWFyPjIwMTM8L1ll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</w:fldData>
        </w:fldChar>
      </w:r>
      <w:r w:rsidR="00B727D6">
        <w:rPr>
          <w:rStyle w:val="Hyperlink"/>
          <w:color w:val="auto"/>
          <w:u w:val="none"/>
        </w:rPr>
        <w:instrText xml:space="preserve"> ADDIN EN.CITE </w:instrText>
      </w:r>
      <w:r w:rsidR="00B727D6">
        <w:rPr>
          <w:rStyle w:val="Hyperlink"/>
          <w:color w:val="auto"/>
          <w:u w:val="none"/>
        </w:rPr>
        <w:fldChar w:fldCharType="begin">
          <w:fldData xml:space="preserve">PEVuZE5vdGU+PENpdGU+PEF1dGhvcj5NYXJrdmFyZHNlbjwvQXV0aG9yPjxZZWFyPjIwMTM8L1ll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</w:fldData>
        </w:fldChar>
      </w:r>
      <w:r w:rsidR="00B727D6">
        <w:rPr>
          <w:rStyle w:val="Hyperlink"/>
          <w:color w:val="auto"/>
          <w:u w:val="none"/>
        </w:rPr>
        <w:instrText xml:space="preserve"> ADDIN EN.CITE.DATA </w:instrText>
      </w:r>
      <w:r w:rsidR="00B727D6">
        <w:rPr>
          <w:rStyle w:val="Hyperlink"/>
          <w:color w:val="auto"/>
          <w:u w:val="none"/>
        </w:rPr>
      </w:r>
      <w:r w:rsidR="00B727D6">
        <w:rPr>
          <w:rStyle w:val="Hyperlink"/>
          <w:color w:val="auto"/>
          <w:u w:val="none"/>
        </w:rPr>
        <w:fldChar w:fldCharType="end"/>
      </w:r>
      <w:r w:rsidR="00B727D6">
        <w:rPr>
          <w:rStyle w:val="Hyperlink"/>
          <w:color w:val="auto"/>
          <w:u w:val="none"/>
        </w:rPr>
      </w:r>
      <w:r w:rsidR="00B727D6">
        <w:rPr>
          <w:rStyle w:val="Hyperlink"/>
          <w:color w:val="auto"/>
          <w:u w:val="none"/>
        </w:rPr>
        <w:fldChar w:fldCharType="separate"/>
      </w:r>
      <w:r w:rsidR="00B727D6">
        <w:rPr>
          <w:rStyle w:val="Hyperlink"/>
          <w:noProof/>
          <w:color w:val="auto"/>
          <w:u w:val="none"/>
        </w:rPr>
        <w:t>(</w:t>
      </w:r>
      <w:hyperlink w:anchor="_ENREF_42" w:tooltip="Markvardsen, 2013 #1200" w:history="1">
        <w:r w:rsidR="00D726F6" w:rsidRPr="00D726F6">
          <w:rPr>
            <w:rStyle w:val="Hyperlink"/>
            <w:noProof/>
            <w:color w:val="auto"/>
            <w:u w:val="none"/>
          </w:rPr>
          <w:t>Markvardsen et al. 2013</w:t>
        </w:r>
      </w:hyperlink>
      <w:r w:rsidR="00B727D6">
        <w:rPr>
          <w:rStyle w:val="Hyperlink"/>
          <w:noProof/>
          <w:color w:val="auto"/>
          <w:u w:val="none"/>
        </w:rPr>
        <w:t>)</w:t>
      </w:r>
      <w:r w:rsidR="00B727D6">
        <w:rPr>
          <w:rStyle w:val="Hyperlink"/>
          <w:color w:val="auto"/>
          <w:u w:val="none"/>
        </w:rPr>
        <w:fldChar w:fldCharType="end"/>
      </w:r>
      <w:r>
        <w:rPr>
          <w:rStyle w:val="Hyperlink"/>
          <w:color w:val="auto"/>
          <w:u w:val="none"/>
        </w:rPr>
        <w:t xml:space="preserve">. The clinical expert advice was that approximately 10% (1% </w:t>
      </w:r>
      <w:r w:rsidR="00C11F37">
        <w:t>peripherally inserted central catheter</w:t>
      </w:r>
      <w:r w:rsidR="00C11F37">
        <w:rPr>
          <w:rStyle w:val="Hyperlink"/>
          <w:color w:val="auto"/>
          <w:u w:val="none"/>
        </w:rPr>
        <w:t xml:space="preserve"> (</w:t>
      </w:r>
      <w:r>
        <w:rPr>
          <w:rStyle w:val="Hyperlink"/>
          <w:color w:val="auto"/>
          <w:u w:val="none"/>
        </w:rPr>
        <w:t>PICC</w:t>
      </w:r>
      <w:r w:rsidR="00C11F37">
        <w:rPr>
          <w:rStyle w:val="Hyperlink"/>
          <w:color w:val="auto"/>
          <w:u w:val="none"/>
        </w:rPr>
        <w:t>)</w:t>
      </w:r>
      <w:r>
        <w:rPr>
          <w:rStyle w:val="Hyperlink"/>
          <w:color w:val="auto"/>
          <w:u w:val="none"/>
        </w:rPr>
        <w:t xml:space="preserve"> line and 9% port-a-cath) of the patients may have placement of vascular access devices in first </w:t>
      </w:r>
      <w:r w:rsidR="006B7D35">
        <w:rPr>
          <w:rStyle w:val="Hyperlink"/>
          <w:color w:val="auto"/>
          <w:u w:val="none"/>
        </w:rPr>
        <w:t>four to six</w:t>
      </w:r>
      <w:r>
        <w:rPr>
          <w:rStyle w:val="Hyperlink"/>
          <w:color w:val="auto"/>
          <w:u w:val="none"/>
        </w:rPr>
        <w:t xml:space="preserve"> months</w:t>
      </w:r>
      <w:r w:rsidR="006B7D35">
        <w:rPr>
          <w:rStyle w:val="Hyperlink"/>
          <w:color w:val="auto"/>
          <w:u w:val="none"/>
        </w:rPr>
        <w:t>.</w:t>
      </w:r>
      <w:r>
        <w:rPr>
          <w:rStyle w:val="Hyperlink"/>
          <w:color w:val="auto"/>
          <w:u w:val="none"/>
        </w:rPr>
        <w:t xml:space="preserve"> </w:t>
      </w:r>
      <w:r w:rsidR="006B7D35">
        <w:rPr>
          <w:rStyle w:val="Hyperlink"/>
          <w:color w:val="auto"/>
          <w:u w:val="none"/>
        </w:rPr>
        <w:t>W</w:t>
      </w:r>
      <w:r>
        <w:rPr>
          <w:rStyle w:val="Hyperlink"/>
          <w:color w:val="auto"/>
          <w:u w:val="none"/>
        </w:rPr>
        <w:t>hereas, nearly 20% (1% PICC line and 19% port-a-cath)</w:t>
      </w:r>
      <w:r w:rsidR="00342356">
        <w:rPr>
          <w:rStyle w:val="Hyperlink"/>
          <w:color w:val="auto"/>
          <w:u w:val="none"/>
        </w:rPr>
        <w:t xml:space="preserve"> of the patients may</w:t>
      </w:r>
      <w:r>
        <w:rPr>
          <w:rStyle w:val="Hyperlink"/>
          <w:color w:val="auto"/>
          <w:u w:val="none"/>
        </w:rPr>
        <w:t xml:space="preserve"> have placement of vascular access devices </w:t>
      </w:r>
      <w:r w:rsidR="00342356">
        <w:rPr>
          <w:rStyle w:val="Hyperlink"/>
          <w:color w:val="auto"/>
          <w:u w:val="none"/>
        </w:rPr>
        <w:t>for</w:t>
      </w:r>
      <w:r>
        <w:rPr>
          <w:rStyle w:val="Hyperlink"/>
          <w:color w:val="auto"/>
          <w:u w:val="none"/>
        </w:rPr>
        <w:t xml:space="preserve"> more than </w:t>
      </w:r>
      <w:r w:rsidR="00342356">
        <w:rPr>
          <w:rStyle w:val="Hyperlink"/>
          <w:color w:val="auto"/>
          <w:u w:val="none"/>
        </w:rPr>
        <w:t>six months on</w:t>
      </w:r>
      <w:r w:rsidR="00AF2C4A">
        <w:rPr>
          <w:rStyle w:val="Hyperlink"/>
          <w:color w:val="auto"/>
          <w:u w:val="none"/>
        </w:rPr>
        <w:t xml:space="preserve"> IVIg</w:t>
      </w:r>
      <w:r w:rsidR="00342356">
        <w:rPr>
          <w:rStyle w:val="Hyperlink"/>
          <w:color w:val="auto"/>
          <w:u w:val="none"/>
        </w:rPr>
        <w:t xml:space="preserve"> treatment </w:t>
      </w:r>
      <w:r w:rsidR="00B727D6">
        <w:rPr>
          <w:rStyle w:val="Hyperlink"/>
          <w:color w:val="auto"/>
          <w:u w:val="none"/>
        </w:rPr>
        <w:fldChar w:fldCharType="begin"/>
      </w:r>
      <w:r w:rsidR="00B727D6">
        <w:rPr>
          <w:rStyle w:val="Hyperlink"/>
          <w:color w:val="auto"/>
          <w:u w:val="none"/>
        </w:rPr>
        <w:instrText xml:space="preserve"> ADDIN EN.CITE &lt;EndNote&gt;&lt;Cite&gt;&lt;Author&gt;Department of Health&lt;/Author&gt;&lt;Year&gt;2021&lt;/Year&gt;&lt;RecNum&gt;1954&lt;/RecNum&gt;&lt;DisplayText&gt;(Department of Health 2021a)&lt;/DisplayText&gt;&lt;record&gt;&lt;rec-number&gt;1954&lt;/rec-number&gt;&lt;foreign-keys&gt;&lt;key app="EN" db-id="xtr5xfx2xf0wd7e0s2qvst2ietxxf0tpzr9v" timestamp="1614643814"&gt;1954&lt;/key&gt;&lt;/foreign-keys&gt;&lt;ref-type name="Personal Communication"&gt;26&lt;/ref-type&gt;&lt;contributors&gt;&lt;authors&gt;&lt;author&gt;Department of Health,&lt;/author&gt;&lt;/authors&gt;&lt;/contributors&gt;&lt;titles&gt;&lt;title&gt;Clinical expert advice provided as feedback to the draft MSAC 1564.1 report&lt;/title&gt;&lt;/titles&gt;&lt;dates&gt;&lt;year&gt;2021&lt;/year&gt;&lt;/dates&gt;&lt;urls&gt;&lt;/urls&gt;&lt;/record&gt;&lt;/Cite&gt;&lt;/EndNote&gt;</w:instrText>
      </w:r>
      <w:r w:rsidR="00B727D6">
        <w:rPr>
          <w:rStyle w:val="Hyperlink"/>
          <w:color w:val="auto"/>
          <w:u w:val="none"/>
        </w:rPr>
        <w:fldChar w:fldCharType="separate"/>
      </w:r>
      <w:r w:rsidR="00B727D6">
        <w:rPr>
          <w:rStyle w:val="Hyperlink"/>
          <w:noProof/>
          <w:color w:val="auto"/>
          <w:u w:val="none"/>
        </w:rPr>
        <w:t>(</w:t>
      </w:r>
      <w:hyperlink w:anchor="_ENREF_12" w:tooltip="Department of Health, 2021 #1954" w:history="1">
        <w:r w:rsidR="00D726F6" w:rsidRPr="00D726F6">
          <w:rPr>
            <w:rStyle w:val="Hyperlink"/>
            <w:noProof/>
            <w:color w:val="auto"/>
            <w:u w:val="none"/>
          </w:rPr>
          <w:t>Department of Health 2021a</w:t>
        </w:r>
      </w:hyperlink>
      <w:r w:rsidR="00B727D6">
        <w:rPr>
          <w:rStyle w:val="Hyperlink"/>
          <w:noProof/>
          <w:color w:val="auto"/>
          <w:u w:val="none"/>
        </w:rPr>
        <w:t>)</w:t>
      </w:r>
      <w:r w:rsidR="00B727D6">
        <w:rPr>
          <w:rStyle w:val="Hyperlink"/>
          <w:color w:val="auto"/>
          <w:u w:val="none"/>
        </w:rPr>
        <w:fldChar w:fldCharType="end"/>
      </w:r>
      <w:r w:rsidR="00342356">
        <w:rPr>
          <w:rStyle w:val="Hyperlink"/>
          <w:color w:val="auto"/>
          <w:u w:val="none"/>
        </w:rPr>
        <w:t>.</w:t>
      </w:r>
      <w:r w:rsidR="004C6054">
        <w:rPr>
          <w:rStyle w:val="Hyperlink"/>
          <w:color w:val="auto"/>
          <w:u w:val="none"/>
        </w:rPr>
        <w:t xml:space="preserve"> The detailed cost estimation for long-term vascular access </w:t>
      </w:r>
      <w:r w:rsidR="00D24CBF">
        <w:rPr>
          <w:rStyle w:val="Hyperlink"/>
          <w:color w:val="auto"/>
          <w:u w:val="none"/>
        </w:rPr>
        <w:t>requirements by</w:t>
      </w:r>
      <w:r w:rsidR="004C6054">
        <w:rPr>
          <w:rStyle w:val="Hyperlink"/>
          <w:color w:val="auto"/>
          <w:u w:val="none"/>
        </w:rPr>
        <w:t xml:space="preserve"> delivery mode are provided in </w:t>
      </w:r>
      <w:r w:rsidR="004C6054">
        <w:rPr>
          <w:color w:val="000000"/>
          <w:szCs w:val="20"/>
        </w:rPr>
        <w:fldChar w:fldCharType="begin"/>
      </w:r>
      <w:r w:rsidR="004C6054">
        <w:rPr>
          <w:color w:val="000000"/>
          <w:szCs w:val="20"/>
        </w:rPr>
        <w:instrText xml:space="preserve"> REF _Ref66197044 \h </w:instrText>
      </w:r>
      <w:r w:rsidR="004C6054">
        <w:rPr>
          <w:color w:val="000000"/>
          <w:szCs w:val="20"/>
        </w:rPr>
      </w:r>
      <w:r w:rsidR="004C6054">
        <w:rPr>
          <w:color w:val="000000"/>
          <w:szCs w:val="20"/>
        </w:rPr>
        <w:fldChar w:fldCharType="separate"/>
      </w:r>
      <w:r w:rsidR="004B3EA2">
        <w:t xml:space="preserve">Table </w:t>
      </w:r>
      <w:r w:rsidR="004B3EA2">
        <w:rPr>
          <w:noProof/>
        </w:rPr>
        <w:t>81</w:t>
      </w:r>
      <w:r w:rsidR="004C6054">
        <w:rPr>
          <w:color w:val="000000"/>
          <w:szCs w:val="20"/>
        </w:rPr>
        <w:fldChar w:fldCharType="end"/>
      </w:r>
      <w:r w:rsidR="004C6054">
        <w:rPr>
          <w:color w:val="000000"/>
          <w:szCs w:val="20"/>
        </w:rPr>
        <w:t xml:space="preserve"> and </w:t>
      </w:r>
      <w:r w:rsidR="004C6054">
        <w:rPr>
          <w:color w:val="000000"/>
          <w:szCs w:val="20"/>
        </w:rPr>
        <w:fldChar w:fldCharType="begin"/>
      </w:r>
      <w:r w:rsidR="004C6054">
        <w:rPr>
          <w:color w:val="000000"/>
          <w:szCs w:val="20"/>
        </w:rPr>
        <w:instrText xml:space="preserve"> REF _Ref66197245 \h </w:instrText>
      </w:r>
      <w:r w:rsidR="004C6054">
        <w:rPr>
          <w:color w:val="000000"/>
          <w:szCs w:val="20"/>
        </w:rPr>
      </w:r>
      <w:r w:rsidR="004C6054">
        <w:rPr>
          <w:color w:val="000000"/>
          <w:szCs w:val="20"/>
        </w:rPr>
        <w:fldChar w:fldCharType="separate"/>
      </w:r>
      <w:r w:rsidR="004B3EA2">
        <w:t xml:space="preserve">Table </w:t>
      </w:r>
      <w:r w:rsidR="004B3EA2">
        <w:rPr>
          <w:noProof/>
        </w:rPr>
        <w:t>82</w:t>
      </w:r>
      <w:r w:rsidR="004C6054">
        <w:rPr>
          <w:color w:val="000000"/>
          <w:szCs w:val="20"/>
        </w:rPr>
        <w:fldChar w:fldCharType="end"/>
      </w:r>
      <w:r w:rsidR="00AF2C4A">
        <w:rPr>
          <w:color w:val="000000"/>
          <w:szCs w:val="20"/>
        </w:rPr>
        <w:t>,</w:t>
      </w:r>
      <w:r w:rsidR="004C6054">
        <w:rPr>
          <w:color w:val="000000"/>
          <w:szCs w:val="20"/>
        </w:rPr>
        <w:t xml:space="preserve"> </w:t>
      </w:r>
      <w:r w:rsidR="004C6054" w:rsidRPr="00E000C9">
        <w:rPr>
          <w:b/>
          <w:color w:val="000000"/>
          <w:szCs w:val="20"/>
        </w:rPr>
        <w:t>Appendix G</w:t>
      </w:r>
      <w:r w:rsidR="004C6054">
        <w:rPr>
          <w:color w:val="000000"/>
          <w:szCs w:val="20"/>
        </w:rPr>
        <w:t>.</w:t>
      </w:r>
    </w:p>
    <w:p w14:paraId="1DEEBA5F" w14:textId="423F3048" w:rsidR="00837294" w:rsidRDefault="00837294" w:rsidP="00A7104D">
      <w:pPr>
        <w:pStyle w:val="BodyTextSTD"/>
        <w:rPr>
          <w:rStyle w:val="Hyperlink"/>
          <w:color w:val="auto"/>
          <w:u w:val="none"/>
        </w:rPr>
      </w:pPr>
      <w:r>
        <w:rPr>
          <w:rStyle w:val="Hyperlink"/>
          <w:color w:val="auto"/>
          <w:u w:val="none"/>
        </w:rPr>
        <w:t xml:space="preserve">Resource use and costs associated with the IVIg treatment and disease monitoring included in the model are summarised in </w:t>
      </w:r>
      <w:r>
        <w:rPr>
          <w:rStyle w:val="Hyperlink"/>
          <w:color w:val="auto"/>
          <w:u w:val="none"/>
        </w:rPr>
        <w:fldChar w:fldCharType="begin"/>
      </w:r>
      <w:r>
        <w:rPr>
          <w:rStyle w:val="Hyperlink"/>
          <w:color w:val="auto"/>
          <w:u w:val="none"/>
        </w:rPr>
        <w:instrText xml:space="preserve"> REF _Ref65676759 \h </w:instrText>
      </w:r>
      <w:r w:rsidR="00A7104D">
        <w:rPr>
          <w:rStyle w:val="Hyperlink"/>
          <w:color w:val="auto"/>
          <w:u w:val="none"/>
        </w:rPr>
        <w:instrText xml:space="preserve"> \* MERGEFORMAT </w:instrText>
      </w:r>
      <w:r>
        <w:rPr>
          <w:rStyle w:val="Hyperlink"/>
          <w:color w:val="auto"/>
          <w:u w:val="none"/>
        </w:rPr>
      </w:r>
      <w:r>
        <w:rPr>
          <w:rStyle w:val="Hyperlink"/>
          <w:color w:val="auto"/>
          <w:u w:val="none"/>
        </w:rPr>
        <w:fldChar w:fldCharType="separate"/>
      </w:r>
      <w:r w:rsidR="004B3EA2">
        <w:t xml:space="preserve">Table </w:t>
      </w:r>
      <w:r w:rsidR="004B3EA2">
        <w:rPr>
          <w:noProof/>
        </w:rPr>
        <w:t>40</w:t>
      </w:r>
      <w:r>
        <w:rPr>
          <w:rStyle w:val="Hyperlink"/>
          <w:color w:val="auto"/>
          <w:u w:val="none"/>
        </w:rPr>
        <w:fldChar w:fldCharType="end"/>
      </w:r>
      <w:r>
        <w:rPr>
          <w:rStyle w:val="Hyperlink"/>
          <w:color w:val="auto"/>
          <w:u w:val="none"/>
        </w:rPr>
        <w:t xml:space="preserve">. </w:t>
      </w:r>
      <w:r w:rsidR="00576778">
        <w:rPr>
          <w:rStyle w:val="Hyperlink"/>
          <w:color w:val="auto"/>
          <w:u w:val="none"/>
        </w:rPr>
        <w:t>C</w:t>
      </w:r>
      <w:r>
        <w:rPr>
          <w:rStyle w:val="Hyperlink"/>
          <w:color w:val="auto"/>
          <w:u w:val="none"/>
        </w:rPr>
        <w:t>ost of Ig per cycle in the model is calculated based on the dose of Ig used per infusion</w:t>
      </w:r>
      <w:r w:rsidR="00576778">
        <w:rPr>
          <w:rStyle w:val="Hyperlink"/>
          <w:color w:val="auto"/>
          <w:u w:val="none"/>
        </w:rPr>
        <w:t>,</w:t>
      </w:r>
      <w:r w:rsidR="00AF2C4A">
        <w:rPr>
          <w:rStyle w:val="Hyperlink"/>
          <w:color w:val="auto"/>
          <w:u w:val="none"/>
        </w:rPr>
        <w:t xml:space="preserve"> cost per gram of Ig, </w:t>
      </w:r>
      <w:r w:rsidR="00576778">
        <w:rPr>
          <w:rStyle w:val="Hyperlink"/>
          <w:color w:val="auto"/>
          <w:u w:val="none"/>
        </w:rPr>
        <w:t>average patient weight</w:t>
      </w:r>
      <w:r w:rsidR="00AF2C4A">
        <w:rPr>
          <w:rStyle w:val="Hyperlink"/>
          <w:color w:val="auto"/>
          <w:u w:val="none"/>
        </w:rPr>
        <w:t xml:space="preserve"> and number of infusions needed</w:t>
      </w:r>
      <w:r>
        <w:rPr>
          <w:rStyle w:val="Hyperlink"/>
          <w:color w:val="auto"/>
          <w:u w:val="none"/>
        </w:rPr>
        <w:t xml:space="preserve">, therefore the </w:t>
      </w:r>
      <w:r w:rsidR="00DE65E8">
        <w:rPr>
          <w:rStyle w:val="Hyperlink"/>
          <w:color w:val="auto"/>
          <w:u w:val="none"/>
        </w:rPr>
        <w:t xml:space="preserve">Ig treatment </w:t>
      </w:r>
      <w:r>
        <w:rPr>
          <w:rStyle w:val="Hyperlink"/>
          <w:color w:val="auto"/>
          <w:u w:val="none"/>
        </w:rPr>
        <w:t xml:space="preserve">costs </w:t>
      </w:r>
      <w:r w:rsidR="00DE65E8">
        <w:rPr>
          <w:rStyle w:val="Hyperlink"/>
          <w:color w:val="auto"/>
          <w:u w:val="none"/>
        </w:rPr>
        <w:t>may</w:t>
      </w:r>
      <w:r>
        <w:rPr>
          <w:rStyle w:val="Hyperlink"/>
          <w:color w:val="auto"/>
          <w:u w:val="none"/>
        </w:rPr>
        <w:t xml:space="preserve"> vary across different cycles/analyses. </w:t>
      </w:r>
    </w:p>
    <w:p w14:paraId="6A7095D7" w14:textId="6704DDB2" w:rsidR="00837294" w:rsidRDefault="00837294" w:rsidP="00837294">
      <w:pPr>
        <w:pStyle w:val="Caption"/>
      </w:pPr>
      <w:bookmarkStart w:id="324" w:name="_Ref65676759"/>
      <w:bookmarkStart w:id="325" w:name="_Toc69305681"/>
      <w:r>
        <w:t xml:space="preserve">Table </w:t>
      </w:r>
      <w:r w:rsidR="00003BA5">
        <w:fldChar w:fldCharType="begin"/>
      </w:r>
      <w:r w:rsidR="00003BA5">
        <w:instrText xml:space="preserve"> SEQ Table \* ARABIC </w:instrText>
      </w:r>
      <w:r w:rsidR="00003BA5">
        <w:fldChar w:fldCharType="separate"/>
      </w:r>
      <w:r w:rsidR="004B3EA2">
        <w:rPr>
          <w:noProof/>
        </w:rPr>
        <w:t>40</w:t>
      </w:r>
      <w:r w:rsidR="00003BA5">
        <w:rPr>
          <w:noProof/>
        </w:rPr>
        <w:fldChar w:fldCharType="end"/>
      </w:r>
      <w:bookmarkEnd w:id="324"/>
      <w:r>
        <w:tab/>
        <w:t>Resource use and costs associated with IVIg treatment and monitoring</w:t>
      </w:r>
      <w:bookmarkEnd w:id="325"/>
    </w:p>
    <w:tbl>
      <w:tblPr>
        <w:tblStyle w:val="OPTUMTableNormal"/>
        <w:tblW w:w="9360" w:type="dxa"/>
        <w:tblLook w:val="04A0" w:firstRow="1" w:lastRow="0" w:firstColumn="1" w:lastColumn="0" w:noHBand="0" w:noVBand="1"/>
        <w:tblCaption w:val="Resource use and costs associated with IVIg treatment and monitoring"/>
        <w:tblDescription w:val="Resource use and costs associated with IVIg treatment and monitoring"/>
      </w:tblPr>
      <w:tblGrid>
        <w:gridCol w:w="3165"/>
        <w:gridCol w:w="1303"/>
        <w:gridCol w:w="4892"/>
      </w:tblGrid>
      <w:tr w:rsidR="00837294" w:rsidRPr="006F046A" w14:paraId="1D1FE9C7" w14:textId="77777777" w:rsidTr="00857754">
        <w:trPr>
          <w:cnfStyle w:val="100000000000" w:firstRow="1" w:lastRow="0" w:firstColumn="0" w:lastColumn="0" w:oddVBand="0" w:evenVBand="0" w:oddHBand="0" w:evenHBand="0" w:firstRowFirstColumn="0" w:firstRowLastColumn="0" w:lastRowFirstColumn="0" w:lastRowLastColumn="0"/>
          <w:trHeight w:val="315"/>
          <w:tblHeader/>
        </w:trPr>
        <w:tc>
          <w:tcPr>
            <w:tcW w:w="3165" w:type="dxa"/>
          </w:tcPr>
          <w:p w14:paraId="7C31564F" w14:textId="77777777" w:rsidR="00837294" w:rsidRPr="006F046A" w:rsidRDefault="00837294" w:rsidP="00857754">
            <w:pPr>
              <w:pStyle w:val="TableHeading"/>
              <w:keepNext w:val="0"/>
            </w:pPr>
            <w:r w:rsidRPr="006F046A">
              <w:t>Description</w:t>
            </w:r>
          </w:p>
        </w:tc>
        <w:tc>
          <w:tcPr>
            <w:tcW w:w="1303" w:type="dxa"/>
            <w:noWrap/>
          </w:tcPr>
          <w:p w14:paraId="0BC9028C" w14:textId="77777777" w:rsidR="00837294" w:rsidRPr="006F046A" w:rsidRDefault="00837294" w:rsidP="00857754">
            <w:pPr>
              <w:pStyle w:val="TableHeading"/>
              <w:keepNext w:val="0"/>
            </w:pPr>
            <w:r w:rsidRPr="006F046A">
              <w:t>Value</w:t>
            </w:r>
          </w:p>
        </w:tc>
        <w:tc>
          <w:tcPr>
            <w:tcW w:w="4892" w:type="dxa"/>
            <w:noWrap/>
          </w:tcPr>
          <w:p w14:paraId="3973736D" w14:textId="77777777" w:rsidR="00837294" w:rsidRPr="006F046A" w:rsidRDefault="00837294" w:rsidP="00857754">
            <w:pPr>
              <w:pStyle w:val="TableHeading"/>
              <w:keepNext w:val="0"/>
            </w:pPr>
            <w:r w:rsidRPr="006F046A">
              <w:t>Source</w:t>
            </w:r>
          </w:p>
        </w:tc>
      </w:tr>
      <w:tr w:rsidR="00837294" w:rsidRPr="006F046A" w14:paraId="696562C6" w14:textId="77777777" w:rsidTr="00857754">
        <w:trPr>
          <w:trHeight w:val="315"/>
        </w:trPr>
        <w:tc>
          <w:tcPr>
            <w:tcW w:w="3165" w:type="dxa"/>
            <w:tcBorders>
              <w:right w:val="nil"/>
            </w:tcBorders>
            <w:hideMark/>
          </w:tcPr>
          <w:p w14:paraId="6C582E37" w14:textId="77777777" w:rsidR="00837294" w:rsidRPr="001567BD" w:rsidRDefault="00837294" w:rsidP="00857754">
            <w:pPr>
              <w:pStyle w:val="TableText0"/>
              <w:keepNext w:val="0"/>
              <w:rPr>
                <w:b/>
                <w:szCs w:val="20"/>
              </w:rPr>
            </w:pPr>
            <w:r w:rsidRPr="001567BD">
              <w:rPr>
                <w:b/>
                <w:szCs w:val="20"/>
              </w:rPr>
              <w:t xml:space="preserve">Induction </w:t>
            </w:r>
            <w:r>
              <w:rPr>
                <w:b/>
                <w:szCs w:val="20"/>
              </w:rPr>
              <w:t>treatment</w:t>
            </w:r>
          </w:p>
        </w:tc>
        <w:tc>
          <w:tcPr>
            <w:tcW w:w="1303" w:type="dxa"/>
            <w:tcBorders>
              <w:left w:val="nil"/>
              <w:right w:val="nil"/>
            </w:tcBorders>
            <w:noWrap/>
            <w:hideMark/>
          </w:tcPr>
          <w:p w14:paraId="0DF1D34B" w14:textId="77777777" w:rsidR="00837294" w:rsidRPr="006F046A" w:rsidRDefault="00837294" w:rsidP="00857754">
            <w:pPr>
              <w:pStyle w:val="TableText0"/>
              <w:keepNext w:val="0"/>
              <w:rPr>
                <w:szCs w:val="20"/>
              </w:rPr>
            </w:pPr>
          </w:p>
        </w:tc>
        <w:tc>
          <w:tcPr>
            <w:tcW w:w="4892" w:type="dxa"/>
            <w:tcBorders>
              <w:left w:val="nil"/>
            </w:tcBorders>
            <w:noWrap/>
            <w:hideMark/>
          </w:tcPr>
          <w:p w14:paraId="11439986" w14:textId="77777777" w:rsidR="00837294" w:rsidRPr="006F046A" w:rsidRDefault="00837294" w:rsidP="00857754">
            <w:pPr>
              <w:pStyle w:val="TableText0"/>
              <w:keepNext w:val="0"/>
              <w:rPr>
                <w:szCs w:val="20"/>
              </w:rPr>
            </w:pPr>
          </w:p>
        </w:tc>
      </w:tr>
      <w:tr w:rsidR="00837294" w:rsidRPr="006F046A" w14:paraId="5EAF8D07" w14:textId="77777777" w:rsidTr="00857754">
        <w:trPr>
          <w:trHeight w:val="300"/>
        </w:trPr>
        <w:tc>
          <w:tcPr>
            <w:tcW w:w="3165" w:type="dxa"/>
            <w:noWrap/>
          </w:tcPr>
          <w:p w14:paraId="718B2F80" w14:textId="688AF6EB" w:rsidR="00837294" w:rsidRPr="006F046A" w:rsidRDefault="00837294" w:rsidP="00857754">
            <w:pPr>
              <w:pStyle w:val="TableText0"/>
              <w:keepNext w:val="0"/>
              <w:rPr>
                <w:color w:val="000000"/>
                <w:szCs w:val="20"/>
              </w:rPr>
            </w:pPr>
            <w:r w:rsidRPr="004251C7">
              <w:t>Cost per gram of Ig</w:t>
            </w:r>
          </w:p>
        </w:tc>
        <w:tc>
          <w:tcPr>
            <w:tcW w:w="1303" w:type="dxa"/>
            <w:noWrap/>
          </w:tcPr>
          <w:p w14:paraId="03AA3F15" w14:textId="77777777" w:rsidR="00837294" w:rsidRPr="006F046A" w:rsidRDefault="00837294" w:rsidP="00857754">
            <w:pPr>
              <w:pStyle w:val="TableText0"/>
              <w:keepNext w:val="0"/>
              <w:jc w:val="center"/>
              <w:rPr>
                <w:color w:val="000000"/>
                <w:szCs w:val="20"/>
              </w:rPr>
            </w:pPr>
            <w:r w:rsidRPr="004251C7">
              <w:t>$</w:t>
            </w:r>
            <w:r w:rsidRPr="00490944">
              <w:rPr>
                <w:color w:val="000000"/>
                <w:szCs w:val="20"/>
              </w:rPr>
              <w:t>60.41</w:t>
            </w:r>
          </w:p>
        </w:tc>
        <w:tc>
          <w:tcPr>
            <w:tcW w:w="4892" w:type="dxa"/>
            <w:noWrap/>
          </w:tcPr>
          <w:p w14:paraId="3542CC97" w14:textId="77777777" w:rsidR="00837294" w:rsidRDefault="00837294" w:rsidP="00857754">
            <w:pPr>
              <w:pStyle w:val="TableText0"/>
              <w:keepNext w:val="0"/>
              <w:rPr>
                <w:color w:val="000000"/>
                <w:szCs w:val="20"/>
              </w:rPr>
            </w:pPr>
            <w:r>
              <w:rPr>
                <w:color w:val="000000"/>
                <w:szCs w:val="20"/>
              </w:rPr>
              <w:t>Provided by the applicant; varied from $44.94 – $140.18 per gram in the sensitivity analysis</w:t>
            </w:r>
          </w:p>
        </w:tc>
      </w:tr>
      <w:tr w:rsidR="00837294" w:rsidRPr="006F046A" w14:paraId="1B836D6C" w14:textId="77777777" w:rsidTr="00857754">
        <w:trPr>
          <w:trHeight w:val="300"/>
        </w:trPr>
        <w:tc>
          <w:tcPr>
            <w:tcW w:w="3165" w:type="dxa"/>
            <w:tcBorders>
              <w:bottom w:val="single" w:sz="4" w:space="0" w:color="auto"/>
            </w:tcBorders>
            <w:noWrap/>
            <w:hideMark/>
          </w:tcPr>
          <w:p w14:paraId="0FC22D06" w14:textId="77777777" w:rsidR="00837294" w:rsidRPr="006F046A" w:rsidRDefault="00837294" w:rsidP="00857754">
            <w:pPr>
              <w:pStyle w:val="TableText0"/>
              <w:keepNext w:val="0"/>
              <w:rPr>
                <w:color w:val="000000"/>
                <w:szCs w:val="20"/>
              </w:rPr>
            </w:pPr>
            <w:r w:rsidRPr="006F046A">
              <w:rPr>
                <w:color w:val="000000"/>
                <w:szCs w:val="20"/>
              </w:rPr>
              <w:t>Administration</w:t>
            </w:r>
            <w:r>
              <w:rPr>
                <w:color w:val="000000"/>
                <w:szCs w:val="20"/>
              </w:rPr>
              <w:t xml:space="preserve"> cost per episode</w:t>
            </w:r>
            <w:r w:rsidRPr="006F046A">
              <w:rPr>
                <w:color w:val="000000"/>
                <w:szCs w:val="20"/>
              </w:rPr>
              <w:t>, outpatient hospital costs and consumables</w:t>
            </w:r>
          </w:p>
        </w:tc>
        <w:tc>
          <w:tcPr>
            <w:tcW w:w="1303" w:type="dxa"/>
            <w:tcBorders>
              <w:bottom w:val="single" w:sz="4" w:space="0" w:color="auto"/>
            </w:tcBorders>
            <w:noWrap/>
            <w:hideMark/>
          </w:tcPr>
          <w:p w14:paraId="2745ECBD" w14:textId="77777777" w:rsidR="00837294" w:rsidRPr="006F046A" w:rsidRDefault="00837294" w:rsidP="00857754">
            <w:pPr>
              <w:pStyle w:val="TableText0"/>
              <w:keepNext w:val="0"/>
              <w:jc w:val="center"/>
              <w:rPr>
                <w:color w:val="000000"/>
                <w:szCs w:val="20"/>
              </w:rPr>
            </w:pPr>
            <w:r w:rsidRPr="00B373B9">
              <w:t>$693</w:t>
            </w:r>
          </w:p>
        </w:tc>
        <w:tc>
          <w:tcPr>
            <w:tcW w:w="4892" w:type="dxa"/>
            <w:tcBorders>
              <w:bottom w:val="single" w:sz="4" w:space="0" w:color="auto"/>
            </w:tcBorders>
            <w:noWrap/>
            <w:hideMark/>
          </w:tcPr>
          <w:p w14:paraId="4097D2EC" w14:textId="77777777" w:rsidR="00837294" w:rsidRPr="006F046A" w:rsidRDefault="00837294" w:rsidP="00857754">
            <w:pPr>
              <w:pStyle w:val="TableText0"/>
              <w:keepNext w:val="0"/>
              <w:rPr>
                <w:color w:val="000000"/>
                <w:szCs w:val="20"/>
              </w:rPr>
            </w:pPr>
            <w:r w:rsidRPr="006F046A">
              <w:rPr>
                <w:color w:val="000000"/>
                <w:szCs w:val="20"/>
              </w:rPr>
              <w:t>NWAU calculator 2020-21 (IHPA)</w:t>
            </w:r>
            <w:r w:rsidRPr="00A129D2">
              <w:rPr>
                <w:color w:val="000000"/>
                <w:szCs w:val="20"/>
                <w:vertAlign w:val="superscript"/>
              </w:rPr>
              <w:t>a</w:t>
            </w:r>
            <w:r w:rsidRPr="006F046A">
              <w:rPr>
                <w:color w:val="000000"/>
                <w:szCs w:val="20"/>
              </w:rPr>
              <w:t>; non-admitted service 10.13 Minor medical procedures</w:t>
            </w:r>
          </w:p>
        </w:tc>
      </w:tr>
      <w:tr w:rsidR="00837294" w:rsidRPr="006F046A" w14:paraId="4CB0EE73" w14:textId="77777777" w:rsidTr="00857754">
        <w:trPr>
          <w:trHeight w:val="300"/>
        </w:trPr>
        <w:tc>
          <w:tcPr>
            <w:tcW w:w="3165" w:type="dxa"/>
            <w:tcBorders>
              <w:top w:val="single" w:sz="12" w:space="0" w:color="auto"/>
              <w:right w:val="nil"/>
            </w:tcBorders>
            <w:noWrap/>
            <w:hideMark/>
          </w:tcPr>
          <w:p w14:paraId="1C0978DE" w14:textId="77777777" w:rsidR="00837294" w:rsidRPr="001567BD" w:rsidRDefault="00837294" w:rsidP="00857754">
            <w:pPr>
              <w:pStyle w:val="TableText0"/>
              <w:keepNext w:val="0"/>
              <w:rPr>
                <w:b/>
                <w:color w:val="000000"/>
                <w:szCs w:val="20"/>
              </w:rPr>
            </w:pPr>
            <w:r w:rsidRPr="001567BD">
              <w:rPr>
                <w:b/>
                <w:color w:val="000000"/>
                <w:szCs w:val="20"/>
              </w:rPr>
              <w:t>Monitoring costs</w:t>
            </w:r>
          </w:p>
        </w:tc>
        <w:tc>
          <w:tcPr>
            <w:tcW w:w="1303" w:type="dxa"/>
            <w:tcBorders>
              <w:top w:val="single" w:sz="12" w:space="0" w:color="auto"/>
              <w:left w:val="nil"/>
              <w:right w:val="nil"/>
            </w:tcBorders>
            <w:noWrap/>
            <w:hideMark/>
          </w:tcPr>
          <w:p w14:paraId="326E8BB4" w14:textId="77777777" w:rsidR="00837294" w:rsidRPr="006F046A" w:rsidRDefault="00837294" w:rsidP="00857754">
            <w:pPr>
              <w:pStyle w:val="TableText0"/>
              <w:keepNext w:val="0"/>
              <w:jc w:val="center"/>
              <w:rPr>
                <w:color w:val="000000"/>
                <w:szCs w:val="20"/>
              </w:rPr>
            </w:pPr>
          </w:p>
        </w:tc>
        <w:tc>
          <w:tcPr>
            <w:tcW w:w="4892" w:type="dxa"/>
            <w:tcBorders>
              <w:top w:val="single" w:sz="12" w:space="0" w:color="auto"/>
              <w:left w:val="nil"/>
            </w:tcBorders>
            <w:noWrap/>
            <w:hideMark/>
          </w:tcPr>
          <w:p w14:paraId="55F254ED" w14:textId="77777777" w:rsidR="00837294" w:rsidRPr="006F046A" w:rsidRDefault="00837294" w:rsidP="00857754">
            <w:pPr>
              <w:pStyle w:val="TableText0"/>
              <w:keepNext w:val="0"/>
              <w:rPr>
                <w:szCs w:val="20"/>
              </w:rPr>
            </w:pPr>
          </w:p>
        </w:tc>
      </w:tr>
      <w:tr w:rsidR="00837294" w:rsidRPr="006F046A" w14:paraId="7090D241" w14:textId="77777777" w:rsidTr="00857754">
        <w:trPr>
          <w:trHeight w:val="300"/>
        </w:trPr>
        <w:tc>
          <w:tcPr>
            <w:tcW w:w="3165" w:type="dxa"/>
            <w:noWrap/>
            <w:hideMark/>
          </w:tcPr>
          <w:p w14:paraId="3AB89043" w14:textId="77777777" w:rsidR="00837294" w:rsidRPr="006F046A" w:rsidRDefault="00837294" w:rsidP="00857754">
            <w:pPr>
              <w:pStyle w:val="TableText0"/>
              <w:keepNext w:val="0"/>
              <w:rPr>
                <w:color w:val="000000"/>
                <w:szCs w:val="20"/>
              </w:rPr>
            </w:pPr>
            <w:r w:rsidRPr="006F046A">
              <w:rPr>
                <w:color w:val="000000"/>
                <w:szCs w:val="20"/>
              </w:rPr>
              <w:t>G</w:t>
            </w:r>
            <w:r>
              <w:rPr>
                <w:color w:val="000000"/>
                <w:szCs w:val="20"/>
              </w:rPr>
              <w:t xml:space="preserve">eneral </w:t>
            </w:r>
            <w:r w:rsidRPr="006F046A">
              <w:rPr>
                <w:color w:val="000000"/>
                <w:szCs w:val="20"/>
              </w:rPr>
              <w:t>P</w:t>
            </w:r>
            <w:r>
              <w:rPr>
                <w:color w:val="000000"/>
                <w:szCs w:val="20"/>
              </w:rPr>
              <w:t>ractitioner</w:t>
            </w:r>
            <w:r w:rsidRPr="006F046A">
              <w:rPr>
                <w:color w:val="000000"/>
                <w:szCs w:val="20"/>
              </w:rPr>
              <w:t xml:space="preserve"> </w:t>
            </w:r>
            <w:r>
              <w:rPr>
                <w:color w:val="000000"/>
                <w:szCs w:val="20"/>
              </w:rPr>
              <w:t>visitations</w:t>
            </w:r>
          </w:p>
        </w:tc>
        <w:tc>
          <w:tcPr>
            <w:tcW w:w="1303" w:type="dxa"/>
            <w:noWrap/>
            <w:hideMark/>
          </w:tcPr>
          <w:p w14:paraId="5583360D" w14:textId="77777777" w:rsidR="00837294" w:rsidRPr="006F046A" w:rsidRDefault="00837294" w:rsidP="00857754">
            <w:pPr>
              <w:pStyle w:val="TableText0"/>
              <w:keepNext w:val="0"/>
              <w:jc w:val="center"/>
              <w:rPr>
                <w:color w:val="000000"/>
                <w:szCs w:val="20"/>
              </w:rPr>
            </w:pPr>
            <w:r w:rsidRPr="006F046A">
              <w:rPr>
                <w:color w:val="000000"/>
                <w:szCs w:val="20"/>
              </w:rPr>
              <w:t>$39</w:t>
            </w:r>
          </w:p>
        </w:tc>
        <w:tc>
          <w:tcPr>
            <w:tcW w:w="4892" w:type="dxa"/>
            <w:noWrap/>
            <w:hideMark/>
          </w:tcPr>
          <w:p w14:paraId="25BD7727" w14:textId="77777777" w:rsidR="00837294" w:rsidRPr="006F046A" w:rsidRDefault="00837294" w:rsidP="00857754">
            <w:pPr>
              <w:pStyle w:val="TableText0"/>
              <w:keepNext w:val="0"/>
              <w:rPr>
                <w:color w:val="000000"/>
                <w:szCs w:val="20"/>
              </w:rPr>
            </w:pPr>
            <w:r>
              <w:rPr>
                <w:color w:val="000000"/>
                <w:szCs w:val="20"/>
              </w:rPr>
              <w:t xml:space="preserve">Scheduled fee for </w:t>
            </w:r>
            <w:r w:rsidRPr="006F046A">
              <w:rPr>
                <w:color w:val="000000"/>
                <w:szCs w:val="20"/>
              </w:rPr>
              <w:t>MBS 23</w:t>
            </w:r>
            <w:r>
              <w:rPr>
                <w:color w:val="000000"/>
                <w:szCs w:val="20"/>
              </w:rPr>
              <w:t xml:space="preserve"> (2 units annually)</w:t>
            </w:r>
          </w:p>
        </w:tc>
      </w:tr>
      <w:tr w:rsidR="00837294" w:rsidRPr="006F046A" w14:paraId="573E8E5C" w14:textId="77777777" w:rsidTr="00857754">
        <w:trPr>
          <w:trHeight w:val="300"/>
        </w:trPr>
        <w:tc>
          <w:tcPr>
            <w:tcW w:w="3165" w:type="dxa"/>
            <w:noWrap/>
            <w:hideMark/>
          </w:tcPr>
          <w:p w14:paraId="7EDF0590" w14:textId="77777777" w:rsidR="00837294" w:rsidRPr="00883730" w:rsidRDefault="00837294" w:rsidP="00857754">
            <w:pPr>
              <w:pStyle w:val="TableText0"/>
              <w:keepNext w:val="0"/>
              <w:rPr>
                <w:color w:val="000000"/>
                <w:szCs w:val="20"/>
                <w:vertAlign w:val="superscript"/>
              </w:rPr>
            </w:pPr>
            <w:r w:rsidRPr="006F046A">
              <w:rPr>
                <w:color w:val="000000"/>
                <w:szCs w:val="20"/>
              </w:rPr>
              <w:t>Neurologist consultation</w:t>
            </w:r>
            <w:r w:rsidR="008E718E">
              <w:rPr>
                <w:color w:val="000000"/>
                <w:szCs w:val="20"/>
              </w:rPr>
              <w:t xml:space="preserve"> </w:t>
            </w:r>
            <w:r w:rsidR="008E718E">
              <w:rPr>
                <w:color w:val="000000"/>
                <w:szCs w:val="20"/>
                <w:vertAlign w:val="superscript"/>
              </w:rPr>
              <w:t>b</w:t>
            </w:r>
          </w:p>
        </w:tc>
        <w:tc>
          <w:tcPr>
            <w:tcW w:w="1303" w:type="dxa"/>
            <w:noWrap/>
            <w:hideMark/>
          </w:tcPr>
          <w:p w14:paraId="4CE5728D" w14:textId="0F3306B4" w:rsidR="00837294" w:rsidRPr="006F046A" w:rsidRDefault="00837294" w:rsidP="001101C7">
            <w:pPr>
              <w:pStyle w:val="TableText0"/>
              <w:keepNext w:val="0"/>
              <w:tabs>
                <w:tab w:val="decimal" w:pos="502"/>
              </w:tabs>
              <w:jc w:val="center"/>
              <w:rPr>
                <w:color w:val="000000"/>
                <w:szCs w:val="20"/>
              </w:rPr>
            </w:pPr>
            <w:r w:rsidRPr="006F046A">
              <w:rPr>
                <w:color w:val="000000"/>
                <w:szCs w:val="20"/>
              </w:rPr>
              <w:t>$1</w:t>
            </w:r>
            <w:r w:rsidR="008E718E">
              <w:rPr>
                <w:color w:val="000000"/>
                <w:szCs w:val="20"/>
              </w:rPr>
              <w:t>91.68</w:t>
            </w:r>
          </w:p>
        </w:tc>
        <w:tc>
          <w:tcPr>
            <w:tcW w:w="4892" w:type="dxa"/>
            <w:noWrap/>
            <w:hideMark/>
          </w:tcPr>
          <w:p w14:paraId="19687433" w14:textId="3394F205" w:rsidR="00837294" w:rsidRPr="006F046A" w:rsidRDefault="008E718E" w:rsidP="008E718E">
            <w:pPr>
              <w:pStyle w:val="TableText0"/>
              <w:keepNext w:val="0"/>
              <w:rPr>
                <w:color w:val="000000"/>
                <w:szCs w:val="20"/>
              </w:rPr>
            </w:pPr>
            <w:r>
              <w:rPr>
                <w:color w:val="000000"/>
                <w:szCs w:val="20"/>
              </w:rPr>
              <w:t>Weighted s</w:t>
            </w:r>
            <w:r w:rsidR="00837294">
              <w:rPr>
                <w:color w:val="000000"/>
                <w:szCs w:val="20"/>
              </w:rPr>
              <w:t>cheduled fee</w:t>
            </w:r>
            <w:r w:rsidR="00F22DCA">
              <w:rPr>
                <w:color w:val="000000"/>
                <w:szCs w:val="20"/>
              </w:rPr>
              <w:t>s</w:t>
            </w:r>
            <w:r w:rsidR="00837294">
              <w:rPr>
                <w:color w:val="000000"/>
                <w:szCs w:val="20"/>
              </w:rPr>
              <w:t xml:space="preserve"> for </w:t>
            </w:r>
            <w:r w:rsidR="00837294" w:rsidRPr="006F046A">
              <w:rPr>
                <w:color w:val="000000"/>
                <w:szCs w:val="20"/>
              </w:rPr>
              <w:t xml:space="preserve">MBS </w:t>
            </w:r>
            <w:r>
              <w:rPr>
                <w:color w:val="000000"/>
                <w:szCs w:val="20"/>
              </w:rPr>
              <w:t xml:space="preserve">items </w:t>
            </w:r>
            <w:r w:rsidR="00837294" w:rsidRPr="006F046A">
              <w:rPr>
                <w:color w:val="000000"/>
                <w:szCs w:val="20"/>
              </w:rPr>
              <w:t>110</w:t>
            </w:r>
            <w:r>
              <w:rPr>
                <w:color w:val="000000"/>
                <w:szCs w:val="20"/>
              </w:rPr>
              <w:t xml:space="preserve"> and 132</w:t>
            </w:r>
            <w:r w:rsidR="00837294">
              <w:rPr>
                <w:color w:val="000000"/>
                <w:szCs w:val="20"/>
              </w:rPr>
              <w:t xml:space="preserve"> (1 unit annually)</w:t>
            </w:r>
          </w:p>
        </w:tc>
      </w:tr>
      <w:tr w:rsidR="00837294" w:rsidRPr="006F046A" w14:paraId="6ECA0FEA" w14:textId="77777777" w:rsidTr="00857754">
        <w:trPr>
          <w:trHeight w:val="300"/>
        </w:trPr>
        <w:tc>
          <w:tcPr>
            <w:tcW w:w="3165" w:type="dxa"/>
            <w:noWrap/>
            <w:hideMark/>
          </w:tcPr>
          <w:p w14:paraId="15E8445A" w14:textId="77777777" w:rsidR="00837294" w:rsidRPr="00883730" w:rsidRDefault="00837294" w:rsidP="00857754">
            <w:pPr>
              <w:pStyle w:val="TableText0"/>
              <w:keepNext w:val="0"/>
              <w:rPr>
                <w:color w:val="000000"/>
                <w:szCs w:val="20"/>
                <w:vertAlign w:val="superscript"/>
              </w:rPr>
            </w:pPr>
            <w:r w:rsidRPr="006F046A">
              <w:rPr>
                <w:color w:val="000000"/>
                <w:szCs w:val="20"/>
              </w:rPr>
              <w:t>Neurologist consultation - follow up</w:t>
            </w:r>
            <w:r w:rsidR="00883730">
              <w:rPr>
                <w:color w:val="000000"/>
                <w:szCs w:val="20"/>
              </w:rPr>
              <w:t xml:space="preserve"> </w:t>
            </w:r>
            <w:r w:rsidR="00883730">
              <w:rPr>
                <w:color w:val="000000"/>
                <w:szCs w:val="20"/>
                <w:vertAlign w:val="superscript"/>
              </w:rPr>
              <w:t>c</w:t>
            </w:r>
          </w:p>
        </w:tc>
        <w:tc>
          <w:tcPr>
            <w:tcW w:w="1303" w:type="dxa"/>
            <w:noWrap/>
            <w:hideMark/>
          </w:tcPr>
          <w:p w14:paraId="0A92FDE0" w14:textId="7415805B" w:rsidR="00837294" w:rsidRPr="006F046A" w:rsidRDefault="00837294" w:rsidP="008E718E">
            <w:pPr>
              <w:pStyle w:val="TableText0"/>
              <w:keepNext w:val="0"/>
              <w:tabs>
                <w:tab w:val="decimal" w:pos="502"/>
              </w:tabs>
              <w:jc w:val="center"/>
              <w:rPr>
                <w:color w:val="000000"/>
                <w:szCs w:val="20"/>
              </w:rPr>
            </w:pPr>
            <w:r w:rsidRPr="006F046A">
              <w:rPr>
                <w:color w:val="000000"/>
                <w:szCs w:val="20"/>
              </w:rPr>
              <w:t>$</w:t>
            </w:r>
            <w:r w:rsidR="008E718E">
              <w:rPr>
                <w:color w:val="000000"/>
                <w:szCs w:val="20"/>
              </w:rPr>
              <w:t>83.41</w:t>
            </w:r>
          </w:p>
        </w:tc>
        <w:tc>
          <w:tcPr>
            <w:tcW w:w="4892" w:type="dxa"/>
            <w:noWrap/>
            <w:hideMark/>
          </w:tcPr>
          <w:p w14:paraId="4422314C" w14:textId="77EA1B64" w:rsidR="00837294" w:rsidRPr="006F046A" w:rsidRDefault="008E718E" w:rsidP="00857754">
            <w:pPr>
              <w:pStyle w:val="TableText0"/>
              <w:keepNext w:val="0"/>
              <w:rPr>
                <w:color w:val="000000"/>
                <w:szCs w:val="20"/>
              </w:rPr>
            </w:pPr>
            <w:r>
              <w:rPr>
                <w:color w:val="000000"/>
                <w:szCs w:val="20"/>
              </w:rPr>
              <w:t>Weighted s</w:t>
            </w:r>
            <w:r w:rsidR="00837294">
              <w:rPr>
                <w:color w:val="000000"/>
                <w:szCs w:val="20"/>
              </w:rPr>
              <w:t>cheduled fee</w:t>
            </w:r>
            <w:r w:rsidR="00F22DCA">
              <w:rPr>
                <w:color w:val="000000"/>
                <w:szCs w:val="20"/>
              </w:rPr>
              <w:t>s</w:t>
            </w:r>
            <w:r w:rsidR="00837294">
              <w:rPr>
                <w:color w:val="000000"/>
                <w:szCs w:val="20"/>
              </w:rPr>
              <w:t xml:space="preserve"> for </w:t>
            </w:r>
            <w:r w:rsidR="00837294" w:rsidRPr="006F046A">
              <w:rPr>
                <w:color w:val="000000"/>
                <w:szCs w:val="20"/>
              </w:rPr>
              <w:t xml:space="preserve">MBS </w:t>
            </w:r>
            <w:r>
              <w:rPr>
                <w:color w:val="000000"/>
                <w:szCs w:val="20"/>
              </w:rPr>
              <w:t xml:space="preserve">items </w:t>
            </w:r>
            <w:r w:rsidR="00837294" w:rsidRPr="006F046A">
              <w:rPr>
                <w:color w:val="000000"/>
                <w:szCs w:val="20"/>
              </w:rPr>
              <w:t>116</w:t>
            </w:r>
            <w:r>
              <w:rPr>
                <w:color w:val="000000"/>
                <w:szCs w:val="20"/>
              </w:rPr>
              <w:t xml:space="preserve"> and 133</w:t>
            </w:r>
            <w:r w:rsidR="00837294">
              <w:rPr>
                <w:color w:val="000000"/>
                <w:szCs w:val="20"/>
              </w:rPr>
              <w:t xml:space="preserve"> (3 units annually)</w:t>
            </w:r>
          </w:p>
        </w:tc>
      </w:tr>
      <w:tr w:rsidR="00837294" w:rsidRPr="006F046A" w14:paraId="7F7EEF8F" w14:textId="77777777" w:rsidTr="00857754">
        <w:trPr>
          <w:trHeight w:val="300"/>
        </w:trPr>
        <w:tc>
          <w:tcPr>
            <w:tcW w:w="3165" w:type="dxa"/>
            <w:noWrap/>
            <w:hideMark/>
          </w:tcPr>
          <w:p w14:paraId="58D18602" w14:textId="77777777" w:rsidR="00837294" w:rsidRPr="006F046A" w:rsidRDefault="00837294" w:rsidP="00857754">
            <w:pPr>
              <w:pStyle w:val="TableText0"/>
              <w:keepNext w:val="0"/>
              <w:rPr>
                <w:color w:val="000000"/>
                <w:szCs w:val="20"/>
              </w:rPr>
            </w:pPr>
            <w:r w:rsidRPr="006F046A">
              <w:rPr>
                <w:color w:val="000000"/>
                <w:szCs w:val="20"/>
              </w:rPr>
              <w:t>Pathology tests - liver and renal function</w:t>
            </w:r>
          </w:p>
        </w:tc>
        <w:tc>
          <w:tcPr>
            <w:tcW w:w="1303" w:type="dxa"/>
            <w:noWrap/>
            <w:hideMark/>
          </w:tcPr>
          <w:p w14:paraId="790EDA42" w14:textId="77777777" w:rsidR="00837294" w:rsidRPr="006F046A" w:rsidRDefault="00837294" w:rsidP="00857754">
            <w:pPr>
              <w:pStyle w:val="TableText0"/>
              <w:keepNext w:val="0"/>
              <w:tabs>
                <w:tab w:val="decimal" w:pos="502"/>
              </w:tabs>
              <w:jc w:val="center"/>
              <w:rPr>
                <w:color w:val="000000"/>
                <w:szCs w:val="20"/>
              </w:rPr>
            </w:pPr>
            <w:r w:rsidRPr="006F046A">
              <w:rPr>
                <w:color w:val="000000"/>
                <w:szCs w:val="20"/>
              </w:rPr>
              <w:t>$17.70</w:t>
            </w:r>
          </w:p>
        </w:tc>
        <w:tc>
          <w:tcPr>
            <w:tcW w:w="4892" w:type="dxa"/>
            <w:noWrap/>
            <w:hideMark/>
          </w:tcPr>
          <w:p w14:paraId="49D80685" w14:textId="77777777" w:rsidR="00837294" w:rsidRPr="006F046A" w:rsidRDefault="00837294" w:rsidP="00857754">
            <w:pPr>
              <w:pStyle w:val="TableText0"/>
              <w:keepNext w:val="0"/>
              <w:rPr>
                <w:color w:val="000000"/>
                <w:szCs w:val="20"/>
              </w:rPr>
            </w:pPr>
            <w:r>
              <w:rPr>
                <w:color w:val="000000"/>
                <w:szCs w:val="20"/>
              </w:rPr>
              <w:t>Scheduled fee for MBS 66512 (2 units annually)</w:t>
            </w:r>
          </w:p>
        </w:tc>
      </w:tr>
      <w:tr w:rsidR="00837294" w:rsidRPr="006F046A" w14:paraId="7A4828A9" w14:textId="77777777" w:rsidTr="00857754">
        <w:trPr>
          <w:trHeight w:val="300"/>
        </w:trPr>
        <w:tc>
          <w:tcPr>
            <w:tcW w:w="3165" w:type="dxa"/>
            <w:noWrap/>
            <w:hideMark/>
          </w:tcPr>
          <w:p w14:paraId="43B93995" w14:textId="77777777" w:rsidR="00837294" w:rsidRPr="006F046A" w:rsidRDefault="00837294" w:rsidP="00857754">
            <w:pPr>
              <w:pStyle w:val="TableText0"/>
              <w:keepNext w:val="0"/>
              <w:rPr>
                <w:color w:val="000000"/>
                <w:szCs w:val="20"/>
              </w:rPr>
            </w:pPr>
            <w:r w:rsidRPr="006F046A">
              <w:rPr>
                <w:color w:val="000000"/>
                <w:szCs w:val="20"/>
              </w:rPr>
              <w:t>Pathology tests - Blood examination</w:t>
            </w:r>
          </w:p>
        </w:tc>
        <w:tc>
          <w:tcPr>
            <w:tcW w:w="1303" w:type="dxa"/>
            <w:noWrap/>
            <w:hideMark/>
          </w:tcPr>
          <w:p w14:paraId="33E2F40D" w14:textId="77777777" w:rsidR="00837294" w:rsidRPr="006F046A" w:rsidRDefault="00837294" w:rsidP="00857754">
            <w:pPr>
              <w:pStyle w:val="TableText0"/>
              <w:keepNext w:val="0"/>
              <w:tabs>
                <w:tab w:val="decimal" w:pos="502"/>
              </w:tabs>
              <w:jc w:val="center"/>
              <w:rPr>
                <w:color w:val="000000"/>
                <w:szCs w:val="20"/>
              </w:rPr>
            </w:pPr>
            <w:r w:rsidRPr="006F046A">
              <w:rPr>
                <w:color w:val="000000"/>
                <w:szCs w:val="20"/>
              </w:rPr>
              <w:t>$16.95</w:t>
            </w:r>
          </w:p>
        </w:tc>
        <w:tc>
          <w:tcPr>
            <w:tcW w:w="4892" w:type="dxa"/>
            <w:noWrap/>
            <w:hideMark/>
          </w:tcPr>
          <w:p w14:paraId="24B97848" w14:textId="77777777" w:rsidR="00837294" w:rsidRPr="006F046A" w:rsidRDefault="00837294" w:rsidP="00857754">
            <w:pPr>
              <w:pStyle w:val="TableText0"/>
              <w:keepNext w:val="0"/>
              <w:rPr>
                <w:color w:val="000000"/>
                <w:szCs w:val="20"/>
              </w:rPr>
            </w:pPr>
            <w:r>
              <w:rPr>
                <w:color w:val="000000"/>
                <w:szCs w:val="20"/>
              </w:rPr>
              <w:t>Scheduled fee for MBS 65070 (2 units annually)</w:t>
            </w:r>
          </w:p>
        </w:tc>
      </w:tr>
      <w:tr w:rsidR="00837294" w:rsidRPr="006F046A" w14:paraId="3EB7D5AE" w14:textId="77777777" w:rsidTr="007E51B0">
        <w:trPr>
          <w:trHeight w:val="300"/>
        </w:trPr>
        <w:tc>
          <w:tcPr>
            <w:tcW w:w="3165" w:type="dxa"/>
            <w:tcBorders>
              <w:bottom w:val="single" w:sz="4" w:space="0" w:color="auto"/>
            </w:tcBorders>
            <w:noWrap/>
            <w:hideMark/>
          </w:tcPr>
          <w:p w14:paraId="3D4CD8AD" w14:textId="77777777" w:rsidR="00837294" w:rsidRPr="006F046A" w:rsidRDefault="00837294" w:rsidP="00857754">
            <w:pPr>
              <w:pStyle w:val="TableText0"/>
              <w:keepNext w:val="0"/>
              <w:rPr>
                <w:color w:val="000000"/>
                <w:szCs w:val="20"/>
              </w:rPr>
            </w:pPr>
            <w:r w:rsidRPr="006F046A">
              <w:rPr>
                <w:color w:val="000000"/>
                <w:szCs w:val="20"/>
              </w:rPr>
              <w:t>Total</w:t>
            </w:r>
            <w:r>
              <w:rPr>
                <w:color w:val="000000"/>
                <w:szCs w:val="20"/>
              </w:rPr>
              <w:t xml:space="preserve"> monitoring costs per cycle</w:t>
            </w:r>
          </w:p>
        </w:tc>
        <w:tc>
          <w:tcPr>
            <w:tcW w:w="1303" w:type="dxa"/>
            <w:tcBorders>
              <w:bottom w:val="single" w:sz="4" w:space="0" w:color="auto"/>
            </w:tcBorders>
            <w:noWrap/>
            <w:hideMark/>
          </w:tcPr>
          <w:p w14:paraId="4821334C" w14:textId="6B29C0BD" w:rsidR="00837294" w:rsidRPr="006F046A" w:rsidRDefault="00837294" w:rsidP="001101C7">
            <w:pPr>
              <w:pStyle w:val="TableText0"/>
              <w:keepNext w:val="0"/>
              <w:tabs>
                <w:tab w:val="decimal" w:pos="502"/>
              </w:tabs>
              <w:jc w:val="center"/>
              <w:rPr>
                <w:color w:val="000000"/>
                <w:szCs w:val="20"/>
              </w:rPr>
            </w:pPr>
            <w:r>
              <w:rPr>
                <w:color w:val="000000"/>
                <w:szCs w:val="20"/>
              </w:rPr>
              <w:t>$4</w:t>
            </w:r>
            <w:r w:rsidR="001101C7">
              <w:rPr>
                <w:color w:val="000000"/>
                <w:szCs w:val="20"/>
              </w:rPr>
              <w:t>5.29</w:t>
            </w:r>
          </w:p>
        </w:tc>
        <w:tc>
          <w:tcPr>
            <w:tcW w:w="4892" w:type="dxa"/>
            <w:tcBorders>
              <w:bottom w:val="single" w:sz="4" w:space="0" w:color="auto"/>
            </w:tcBorders>
            <w:noWrap/>
            <w:hideMark/>
          </w:tcPr>
          <w:p w14:paraId="3CB9CB44" w14:textId="77777777" w:rsidR="00837294" w:rsidRPr="006F046A" w:rsidRDefault="00837294" w:rsidP="00857754">
            <w:pPr>
              <w:pStyle w:val="TableText0"/>
              <w:keepNext w:val="0"/>
              <w:rPr>
                <w:szCs w:val="20"/>
              </w:rPr>
            </w:pPr>
            <w:r>
              <w:rPr>
                <w:color w:val="000000"/>
                <w:szCs w:val="20"/>
              </w:rPr>
              <w:t>For a cycle length of 4 weeks</w:t>
            </w:r>
          </w:p>
        </w:tc>
      </w:tr>
      <w:tr w:rsidR="007E51B0" w:rsidRPr="006F046A" w14:paraId="771F0FF4" w14:textId="77777777" w:rsidTr="007E51B0">
        <w:trPr>
          <w:trHeight w:val="300"/>
        </w:trPr>
        <w:tc>
          <w:tcPr>
            <w:tcW w:w="3165" w:type="dxa"/>
            <w:tcBorders>
              <w:right w:val="nil"/>
            </w:tcBorders>
            <w:noWrap/>
          </w:tcPr>
          <w:p w14:paraId="2D8D5638" w14:textId="77777777" w:rsidR="007E51B0" w:rsidRPr="006F046A" w:rsidRDefault="007E51B0" w:rsidP="007E51B0">
            <w:pPr>
              <w:pStyle w:val="TableText0"/>
              <w:keepNext w:val="0"/>
              <w:rPr>
                <w:color w:val="000000"/>
                <w:szCs w:val="20"/>
              </w:rPr>
            </w:pPr>
            <w:r>
              <w:rPr>
                <w:b/>
              </w:rPr>
              <w:t>Severe adverse event</w:t>
            </w:r>
            <w:r w:rsidRPr="00E61E51">
              <w:rPr>
                <w:b/>
              </w:rPr>
              <w:t xml:space="preserve"> costs</w:t>
            </w:r>
          </w:p>
        </w:tc>
        <w:tc>
          <w:tcPr>
            <w:tcW w:w="1303" w:type="dxa"/>
            <w:tcBorders>
              <w:left w:val="nil"/>
              <w:right w:val="nil"/>
            </w:tcBorders>
            <w:noWrap/>
          </w:tcPr>
          <w:p w14:paraId="22316C4D" w14:textId="77777777" w:rsidR="007E51B0" w:rsidRDefault="007E51B0" w:rsidP="007E51B0">
            <w:pPr>
              <w:pStyle w:val="TableText0"/>
              <w:keepNext w:val="0"/>
              <w:tabs>
                <w:tab w:val="decimal" w:pos="502"/>
              </w:tabs>
              <w:jc w:val="center"/>
              <w:rPr>
                <w:color w:val="000000"/>
                <w:szCs w:val="20"/>
              </w:rPr>
            </w:pPr>
          </w:p>
        </w:tc>
        <w:tc>
          <w:tcPr>
            <w:tcW w:w="4892" w:type="dxa"/>
            <w:tcBorders>
              <w:left w:val="nil"/>
            </w:tcBorders>
            <w:noWrap/>
          </w:tcPr>
          <w:p w14:paraId="5D148429" w14:textId="77777777" w:rsidR="007E51B0" w:rsidRDefault="007E51B0" w:rsidP="007E51B0">
            <w:pPr>
              <w:pStyle w:val="TableText0"/>
              <w:keepNext w:val="0"/>
              <w:rPr>
                <w:color w:val="000000"/>
                <w:szCs w:val="20"/>
              </w:rPr>
            </w:pPr>
          </w:p>
        </w:tc>
      </w:tr>
      <w:tr w:rsidR="007E51B0" w:rsidRPr="006F046A" w14:paraId="42CD1809" w14:textId="77777777" w:rsidTr="007E51B0">
        <w:trPr>
          <w:trHeight w:val="300"/>
        </w:trPr>
        <w:tc>
          <w:tcPr>
            <w:tcW w:w="3165" w:type="dxa"/>
            <w:tcBorders>
              <w:bottom w:val="single" w:sz="4" w:space="0" w:color="auto"/>
            </w:tcBorders>
            <w:noWrap/>
          </w:tcPr>
          <w:p w14:paraId="7DB3F587" w14:textId="77777777" w:rsidR="007E51B0" w:rsidRPr="006F046A" w:rsidRDefault="007E51B0" w:rsidP="007E51B0">
            <w:pPr>
              <w:pStyle w:val="TableText0"/>
              <w:keepNext w:val="0"/>
              <w:rPr>
                <w:color w:val="000000"/>
                <w:szCs w:val="20"/>
              </w:rPr>
            </w:pPr>
            <w:r w:rsidRPr="00E61E51">
              <w:t>Acute aseptic meningitis</w:t>
            </w:r>
            <w:r>
              <w:t xml:space="preserve"> </w:t>
            </w:r>
          </w:p>
        </w:tc>
        <w:tc>
          <w:tcPr>
            <w:tcW w:w="1303" w:type="dxa"/>
            <w:tcBorders>
              <w:bottom w:val="single" w:sz="4" w:space="0" w:color="auto"/>
            </w:tcBorders>
            <w:noWrap/>
          </w:tcPr>
          <w:p w14:paraId="7BDF3FD7" w14:textId="77777777" w:rsidR="007E51B0" w:rsidRDefault="007E51B0" w:rsidP="007E51B0">
            <w:pPr>
              <w:pStyle w:val="TableText0"/>
              <w:keepNext w:val="0"/>
              <w:tabs>
                <w:tab w:val="decimal" w:pos="502"/>
              </w:tabs>
              <w:jc w:val="center"/>
              <w:rPr>
                <w:color w:val="000000"/>
                <w:szCs w:val="20"/>
              </w:rPr>
            </w:pPr>
            <w:r>
              <w:t>$4,796</w:t>
            </w:r>
          </w:p>
        </w:tc>
        <w:tc>
          <w:tcPr>
            <w:tcW w:w="4892" w:type="dxa"/>
            <w:tcBorders>
              <w:bottom w:val="single" w:sz="4" w:space="0" w:color="auto"/>
            </w:tcBorders>
            <w:noWrap/>
          </w:tcPr>
          <w:p w14:paraId="3EA1086D" w14:textId="77777777" w:rsidR="007E51B0" w:rsidRDefault="007E51B0" w:rsidP="007E51B0">
            <w:pPr>
              <w:pStyle w:val="TableText0"/>
              <w:keepNext w:val="0"/>
              <w:rPr>
                <w:color w:val="000000"/>
                <w:szCs w:val="20"/>
              </w:rPr>
            </w:pPr>
            <w:r w:rsidRPr="00E61E51">
              <w:t>Weighted cost of AR-DRG B73A and B73B</w:t>
            </w:r>
          </w:p>
        </w:tc>
      </w:tr>
      <w:tr w:rsidR="007E51B0" w:rsidRPr="006F046A" w14:paraId="09393C17" w14:textId="77777777" w:rsidTr="007E51B0">
        <w:trPr>
          <w:trHeight w:val="300"/>
        </w:trPr>
        <w:tc>
          <w:tcPr>
            <w:tcW w:w="3165" w:type="dxa"/>
            <w:tcBorders>
              <w:right w:val="nil"/>
            </w:tcBorders>
            <w:noWrap/>
          </w:tcPr>
          <w:p w14:paraId="511FF453" w14:textId="77777777" w:rsidR="007E51B0" w:rsidRPr="006F046A" w:rsidRDefault="007E51B0" w:rsidP="00C11F37">
            <w:pPr>
              <w:pStyle w:val="TableText0"/>
              <w:keepNext w:val="0"/>
              <w:rPr>
                <w:color w:val="000000"/>
                <w:szCs w:val="20"/>
              </w:rPr>
            </w:pPr>
            <w:r w:rsidRPr="00E61E51">
              <w:rPr>
                <w:b/>
              </w:rPr>
              <w:t>V</w:t>
            </w:r>
            <w:r w:rsidR="00C11F37">
              <w:rPr>
                <w:b/>
              </w:rPr>
              <w:t>ascular</w:t>
            </w:r>
            <w:r w:rsidRPr="00E61E51">
              <w:rPr>
                <w:b/>
              </w:rPr>
              <w:t xml:space="preserve"> access for Ig use</w:t>
            </w:r>
            <w:r>
              <w:rPr>
                <w:b/>
              </w:rPr>
              <w:t xml:space="preserve"> (per patient)</w:t>
            </w:r>
          </w:p>
        </w:tc>
        <w:tc>
          <w:tcPr>
            <w:tcW w:w="1303" w:type="dxa"/>
            <w:tcBorders>
              <w:left w:val="nil"/>
              <w:right w:val="nil"/>
            </w:tcBorders>
            <w:noWrap/>
          </w:tcPr>
          <w:p w14:paraId="51ECF2F0" w14:textId="77777777" w:rsidR="007E51B0" w:rsidRDefault="007E51B0" w:rsidP="007E51B0">
            <w:pPr>
              <w:pStyle w:val="TableText0"/>
              <w:keepNext w:val="0"/>
              <w:tabs>
                <w:tab w:val="decimal" w:pos="502"/>
              </w:tabs>
              <w:jc w:val="center"/>
              <w:rPr>
                <w:color w:val="000000"/>
                <w:szCs w:val="20"/>
              </w:rPr>
            </w:pPr>
          </w:p>
        </w:tc>
        <w:tc>
          <w:tcPr>
            <w:tcW w:w="4892" w:type="dxa"/>
            <w:tcBorders>
              <w:left w:val="nil"/>
            </w:tcBorders>
            <w:noWrap/>
          </w:tcPr>
          <w:p w14:paraId="0A30B26A" w14:textId="77777777" w:rsidR="007E51B0" w:rsidRDefault="007E51B0" w:rsidP="007E51B0">
            <w:pPr>
              <w:pStyle w:val="TableText0"/>
              <w:keepNext w:val="0"/>
              <w:rPr>
                <w:color w:val="000000"/>
                <w:szCs w:val="20"/>
              </w:rPr>
            </w:pPr>
          </w:p>
        </w:tc>
      </w:tr>
      <w:tr w:rsidR="007E51B0" w:rsidRPr="006F046A" w14:paraId="75A7101D" w14:textId="77777777" w:rsidTr="007E51B0">
        <w:trPr>
          <w:trHeight w:val="300"/>
        </w:trPr>
        <w:tc>
          <w:tcPr>
            <w:tcW w:w="3165" w:type="dxa"/>
            <w:noWrap/>
          </w:tcPr>
          <w:p w14:paraId="73C2FEF1" w14:textId="77777777" w:rsidR="007E51B0" w:rsidRPr="006F046A" w:rsidRDefault="007E51B0" w:rsidP="007E51B0">
            <w:pPr>
              <w:pStyle w:val="TableText0"/>
              <w:keepNext w:val="0"/>
              <w:rPr>
                <w:color w:val="000000"/>
                <w:szCs w:val="20"/>
              </w:rPr>
            </w:pPr>
            <w:r>
              <w:t>First 4–6 months</w:t>
            </w:r>
          </w:p>
        </w:tc>
        <w:tc>
          <w:tcPr>
            <w:tcW w:w="1303" w:type="dxa"/>
            <w:noWrap/>
          </w:tcPr>
          <w:p w14:paraId="1ABB536C" w14:textId="77777777" w:rsidR="007E51B0" w:rsidRDefault="007E51B0" w:rsidP="007E51B0">
            <w:pPr>
              <w:pStyle w:val="TableText0"/>
              <w:keepNext w:val="0"/>
              <w:tabs>
                <w:tab w:val="decimal" w:pos="502"/>
              </w:tabs>
              <w:jc w:val="center"/>
              <w:rPr>
                <w:color w:val="000000"/>
                <w:szCs w:val="20"/>
              </w:rPr>
            </w:pPr>
            <w:r>
              <w:t>$146.66</w:t>
            </w:r>
          </w:p>
        </w:tc>
        <w:tc>
          <w:tcPr>
            <w:tcW w:w="4892" w:type="dxa"/>
            <w:noWrap/>
          </w:tcPr>
          <w:p w14:paraId="1F7C110E" w14:textId="7836DF6B" w:rsidR="007E51B0" w:rsidRDefault="00E44FF2" w:rsidP="007E51B0">
            <w:pPr>
              <w:pStyle w:val="TableText0"/>
              <w:keepNext w:val="0"/>
              <w:rPr>
                <w:color w:val="000000"/>
                <w:szCs w:val="20"/>
              </w:rPr>
            </w:pPr>
            <w:r>
              <w:rPr>
                <w:color w:val="000000"/>
                <w:szCs w:val="20"/>
              </w:rPr>
              <w:fldChar w:fldCharType="begin"/>
            </w:r>
            <w:r>
              <w:rPr>
                <w:color w:val="000000"/>
                <w:szCs w:val="20"/>
              </w:rPr>
              <w:instrText xml:space="preserve"> REF _Ref66197044 \h </w:instrText>
            </w:r>
            <w:r>
              <w:rPr>
                <w:color w:val="000000"/>
                <w:szCs w:val="20"/>
              </w:rPr>
            </w:r>
            <w:r>
              <w:rPr>
                <w:color w:val="000000"/>
                <w:szCs w:val="20"/>
              </w:rPr>
              <w:fldChar w:fldCharType="separate"/>
            </w:r>
            <w:r w:rsidR="004B3EA2">
              <w:t xml:space="preserve">Table </w:t>
            </w:r>
            <w:r w:rsidR="004B3EA2">
              <w:rPr>
                <w:noProof/>
              </w:rPr>
              <w:t>81</w:t>
            </w:r>
            <w:r>
              <w:rPr>
                <w:color w:val="000000"/>
                <w:szCs w:val="20"/>
              </w:rPr>
              <w:fldChar w:fldCharType="end"/>
            </w:r>
            <w:r>
              <w:rPr>
                <w:color w:val="000000"/>
                <w:szCs w:val="20"/>
              </w:rPr>
              <w:t xml:space="preserve"> and </w:t>
            </w:r>
            <w:r>
              <w:rPr>
                <w:color w:val="000000"/>
                <w:szCs w:val="20"/>
              </w:rPr>
              <w:fldChar w:fldCharType="begin"/>
            </w:r>
            <w:r>
              <w:rPr>
                <w:color w:val="000000"/>
                <w:szCs w:val="20"/>
              </w:rPr>
              <w:instrText xml:space="preserve"> REF _Ref66197245 \h </w:instrText>
            </w:r>
            <w:r>
              <w:rPr>
                <w:color w:val="000000"/>
                <w:szCs w:val="20"/>
              </w:rPr>
            </w:r>
            <w:r>
              <w:rPr>
                <w:color w:val="000000"/>
                <w:szCs w:val="20"/>
              </w:rPr>
              <w:fldChar w:fldCharType="separate"/>
            </w:r>
            <w:r w:rsidR="004B3EA2">
              <w:t xml:space="preserve">Table </w:t>
            </w:r>
            <w:r w:rsidR="004B3EA2">
              <w:rPr>
                <w:noProof/>
              </w:rPr>
              <w:t>82</w:t>
            </w:r>
            <w:r>
              <w:rPr>
                <w:color w:val="000000"/>
                <w:szCs w:val="20"/>
              </w:rPr>
              <w:fldChar w:fldCharType="end"/>
            </w:r>
          </w:p>
        </w:tc>
      </w:tr>
      <w:tr w:rsidR="007E51B0" w:rsidRPr="006F046A" w14:paraId="0F72A139" w14:textId="77777777" w:rsidTr="00857754">
        <w:trPr>
          <w:trHeight w:val="300"/>
        </w:trPr>
        <w:tc>
          <w:tcPr>
            <w:tcW w:w="3165" w:type="dxa"/>
            <w:tcBorders>
              <w:bottom w:val="single" w:sz="12" w:space="0" w:color="auto"/>
            </w:tcBorders>
            <w:noWrap/>
          </w:tcPr>
          <w:p w14:paraId="2522140F" w14:textId="77777777" w:rsidR="007E51B0" w:rsidRPr="006F046A" w:rsidRDefault="007E51B0" w:rsidP="007E51B0">
            <w:pPr>
              <w:pStyle w:val="TableText0"/>
              <w:keepNext w:val="0"/>
              <w:rPr>
                <w:color w:val="000000"/>
                <w:szCs w:val="20"/>
              </w:rPr>
            </w:pPr>
            <w:r>
              <w:t>More than 6 months</w:t>
            </w:r>
          </w:p>
        </w:tc>
        <w:tc>
          <w:tcPr>
            <w:tcW w:w="1303" w:type="dxa"/>
            <w:tcBorders>
              <w:bottom w:val="single" w:sz="12" w:space="0" w:color="auto"/>
            </w:tcBorders>
            <w:noWrap/>
          </w:tcPr>
          <w:p w14:paraId="2768501A" w14:textId="77777777" w:rsidR="007E51B0" w:rsidRDefault="007E51B0" w:rsidP="007E51B0">
            <w:pPr>
              <w:pStyle w:val="TableText0"/>
              <w:keepNext w:val="0"/>
              <w:tabs>
                <w:tab w:val="decimal" w:pos="502"/>
              </w:tabs>
              <w:jc w:val="center"/>
              <w:rPr>
                <w:color w:val="000000"/>
                <w:szCs w:val="20"/>
              </w:rPr>
            </w:pPr>
            <w:r>
              <w:t>$294.16</w:t>
            </w:r>
          </w:p>
        </w:tc>
        <w:tc>
          <w:tcPr>
            <w:tcW w:w="4892" w:type="dxa"/>
            <w:tcBorders>
              <w:bottom w:val="single" w:sz="12" w:space="0" w:color="auto"/>
            </w:tcBorders>
            <w:noWrap/>
          </w:tcPr>
          <w:p w14:paraId="67D5C850" w14:textId="68541191" w:rsidR="007E51B0" w:rsidRDefault="00E44FF2" w:rsidP="007E51B0">
            <w:pPr>
              <w:pStyle w:val="TableText0"/>
              <w:keepNext w:val="0"/>
              <w:rPr>
                <w:color w:val="000000"/>
                <w:szCs w:val="20"/>
              </w:rPr>
            </w:pPr>
            <w:r>
              <w:rPr>
                <w:color w:val="000000"/>
                <w:szCs w:val="20"/>
              </w:rPr>
              <w:fldChar w:fldCharType="begin"/>
            </w:r>
            <w:r>
              <w:rPr>
                <w:color w:val="000000"/>
                <w:szCs w:val="20"/>
              </w:rPr>
              <w:instrText xml:space="preserve"> REF _Ref66197044 \h </w:instrText>
            </w:r>
            <w:r>
              <w:rPr>
                <w:color w:val="000000"/>
                <w:szCs w:val="20"/>
              </w:rPr>
            </w:r>
            <w:r>
              <w:rPr>
                <w:color w:val="000000"/>
                <w:szCs w:val="20"/>
              </w:rPr>
              <w:fldChar w:fldCharType="separate"/>
            </w:r>
            <w:r w:rsidR="004B3EA2">
              <w:t xml:space="preserve">Table </w:t>
            </w:r>
            <w:r w:rsidR="004B3EA2">
              <w:rPr>
                <w:noProof/>
              </w:rPr>
              <w:t>81</w:t>
            </w:r>
            <w:r>
              <w:rPr>
                <w:color w:val="000000"/>
                <w:szCs w:val="20"/>
              </w:rPr>
              <w:fldChar w:fldCharType="end"/>
            </w:r>
            <w:r>
              <w:rPr>
                <w:color w:val="000000"/>
                <w:szCs w:val="20"/>
              </w:rPr>
              <w:t xml:space="preserve"> and </w:t>
            </w:r>
            <w:r>
              <w:rPr>
                <w:color w:val="000000"/>
                <w:szCs w:val="20"/>
              </w:rPr>
              <w:fldChar w:fldCharType="begin"/>
            </w:r>
            <w:r>
              <w:rPr>
                <w:color w:val="000000"/>
                <w:szCs w:val="20"/>
              </w:rPr>
              <w:instrText xml:space="preserve"> REF _Ref66197245 \h </w:instrText>
            </w:r>
            <w:r>
              <w:rPr>
                <w:color w:val="000000"/>
                <w:szCs w:val="20"/>
              </w:rPr>
            </w:r>
            <w:r>
              <w:rPr>
                <w:color w:val="000000"/>
                <w:szCs w:val="20"/>
              </w:rPr>
              <w:fldChar w:fldCharType="separate"/>
            </w:r>
            <w:r w:rsidR="004B3EA2">
              <w:t xml:space="preserve">Table </w:t>
            </w:r>
            <w:r w:rsidR="004B3EA2">
              <w:rPr>
                <w:noProof/>
              </w:rPr>
              <w:t>82</w:t>
            </w:r>
            <w:r>
              <w:rPr>
                <w:color w:val="000000"/>
                <w:szCs w:val="20"/>
              </w:rPr>
              <w:fldChar w:fldCharType="end"/>
            </w:r>
          </w:p>
        </w:tc>
      </w:tr>
    </w:tbl>
    <w:p w14:paraId="3B9FBA5C" w14:textId="7C32D18C" w:rsidR="00837294" w:rsidRDefault="00837294" w:rsidP="00837294">
      <w:pPr>
        <w:pStyle w:val="Tablenote"/>
        <w:rPr>
          <w:rStyle w:val="Hyperlink"/>
          <w:color w:val="auto"/>
          <w:u w:val="none"/>
        </w:rPr>
      </w:pPr>
      <w:r>
        <w:rPr>
          <w:rStyle w:val="Hyperlink"/>
          <w:color w:val="auto"/>
          <w:u w:val="none"/>
        </w:rPr>
        <w:t>Source: Online schedule for MBS available at &lt;</w:t>
      </w:r>
      <w:hyperlink r:id="rId46" w:history="1">
        <w:r w:rsidRPr="004A4162">
          <w:rPr>
            <w:rStyle w:val="Hyperlink"/>
          </w:rPr>
          <w:t>http://www9.health.gov.au/mbs/search.cfm</w:t>
        </w:r>
      </w:hyperlink>
      <w:r w:rsidR="00E44FF2">
        <w:rPr>
          <w:rStyle w:val="Hyperlink"/>
          <w:color w:val="auto"/>
          <w:u w:val="none"/>
        </w:rPr>
        <w:t>&gt;</w:t>
      </w:r>
    </w:p>
    <w:p w14:paraId="79BD2D2A" w14:textId="449DDAF3" w:rsidR="00837294" w:rsidRDefault="00837294" w:rsidP="00837294">
      <w:pPr>
        <w:pStyle w:val="Tablenote"/>
        <w:rPr>
          <w:rStyle w:val="Hyperlink"/>
          <w:color w:val="auto"/>
          <w:u w:val="none"/>
        </w:rPr>
      </w:pPr>
      <w:r>
        <w:rPr>
          <w:rStyle w:val="Hyperlink"/>
          <w:color w:val="auto"/>
          <w:u w:val="none"/>
          <w:vertAlign w:val="superscript"/>
        </w:rPr>
        <w:t xml:space="preserve">a </w:t>
      </w:r>
      <w:r>
        <w:rPr>
          <w:rStyle w:val="Hyperlink"/>
          <w:color w:val="auto"/>
          <w:u w:val="none"/>
        </w:rPr>
        <w:t>N</w:t>
      </w:r>
      <w:r w:rsidRPr="00A32E3C">
        <w:rPr>
          <w:rStyle w:val="Hyperlink"/>
          <w:color w:val="auto"/>
          <w:u w:val="none"/>
        </w:rPr>
        <w:t>ational weighted activity unit (NWAU) calculators</w:t>
      </w:r>
      <w:r>
        <w:rPr>
          <w:rStyle w:val="Hyperlink"/>
          <w:color w:val="auto"/>
          <w:u w:val="none"/>
        </w:rPr>
        <w:t>, available at &lt;</w:t>
      </w:r>
      <w:r w:rsidRPr="00A32E3C">
        <w:t xml:space="preserve"> </w:t>
      </w:r>
      <w:hyperlink r:id="rId47" w:history="1">
        <w:r w:rsidRPr="004A4162">
          <w:rPr>
            <w:rStyle w:val="Hyperlink"/>
          </w:rPr>
          <w:t>https://www.ihpa.gov.au/what-we-do/pricing/national-weighted-activity-unit-nwau-calculators/nwau-calculators-2020-21</w:t>
        </w:r>
      </w:hyperlink>
      <w:r>
        <w:rPr>
          <w:rStyle w:val="Hyperlink"/>
          <w:color w:val="auto"/>
          <w:u w:val="none"/>
        </w:rPr>
        <w:t xml:space="preserve">&gt; </w:t>
      </w:r>
      <w:r w:rsidR="008E718E">
        <w:rPr>
          <w:rStyle w:val="Hyperlink"/>
          <w:color w:val="auto"/>
          <w:u w:val="none"/>
        </w:rPr>
        <w:t>.</w:t>
      </w:r>
    </w:p>
    <w:p w14:paraId="697AAAFA" w14:textId="77777777" w:rsidR="008E718E" w:rsidRDefault="008E718E" w:rsidP="00837294">
      <w:pPr>
        <w:pStyle w:val="Tablenote"/>
        <w:rPr>
          <w:rStyle w:val="Hyperlink"/>
          <w:color w:val="auto"/>
          <w:u w:val="none"/>
        </w:rPr>
      </w:pPr>
      <w:r>
        <w:rPr>
          <w:rStyle w:val="Hyperlink"/>
          <w:color w:val="auto"/>
          <w:u w:val="none"/>
          <w:vertAlign w:val="superscript"/>
        </w:rPr>
        <w:t>b</w:t>
      </w:r>
      <w:r>
        <w:rPr>
          <w:rStyle w:val="Hyperlink"/>
          <w:color w:val="auto"/>
          <w:u w:val="none"/>
        </w:rPr>
        <w:t xml:space="preserve"> Scheduled fee</w:t>
      </w:r>
      <w:r w:rsidR="004053D2">
        <w:rPr>
          <w:rStyle w:val="Hyperlink"/>
          <w:color w:val="auto"/>
          <w:u w:val="none"/>
        </w:rPr>
        <w:t>s</w:t>
      </w:r>
      <w:r>
        <w:rPr>
          <w:rStyle w:val="Hyperlink"/>
          <w:color w:val="auto"/>
          <w:u w:val="none"/>
        </w:rPr>
        <w:t xml:space="preserve"> for MBS items 110 ($157.95) and 132 ($276.25</w:t>
      </w:r>
      <w:r w:rsidR="00883730">
        <w:rPr>
          <w:rStyle w:val="Hyperlink"/>
          <w:color w:val="auto"/>
          <w:u w:val="none"/>
        </w:rPr>
        <w:t>) weighted based on the Medicare statistics for years 2018–20.</w:t>
      </w:r>
    </w:p>
    <w:p w14:paraId="21FE2971" w14:textId="77777777" w:rsidR="00883730" w:rsidRPr="00883730" w:rsidRDefault="00883730" w:rsidP="00837294">
      <w:pPr>
        <w:pStyle w:val="Tablenote"/>
        <w:rPr>
          <w:rStyle w:val="Hyperlink"/>
          <w:color w:val="auto"/>
          <w:u w:val="none"/>
        </w:rPr>
      </w:pPr>
      <w:r>
        <w:rPr>
          <w:rStyle w:val="Hyperlink"/>
          <w:color w:val="auto"/>
          <w:u w:val="none"/>
          <w:vertAlign w:val="superscript"/>
        </w:rPr>
        <w:t>c</w:t>
      </w:r>
      <w:r w:rsidRPr="00883730">
        <w:rPr>
          <w:rStyle w:val="Hyperlink"/>
          <w:color w:val="auto"/>
          <w:u w:val="none"/>
        </w:rPr>
        <w:t xml:space="preserve"> </w:t>
      </w:r>
      <w:r>
        <w:rPr>
          <w:rStyle w:val="Hyperlink"/>
          <w:color w:val="auto"/>
          <w:u w:val="none"/>
        </w:rPr>
        <w:t>Scheduled fee</w:t>
      </w:r>
      <w:r w:rsidR="004053D2">
        <w:rPr>
          <w:rStyle w:val="Hyperlink"/>
          <w:color w:val="auto"/>
          <w:u w:val="none"/>
        </w:rPr>
        <w:t>s</w:t>
      </w:r>
      <w:r>
        <w:rPr>
          <w:rStyle w:val="Hyperlink"/>
          <w:color w:val="auto"/>
          <w:u w:val="none"/>
        </w:rPr>
        <w:t xml:space="preserve"> for MBS items 116 ($79.05) and 132 ($138.30) weighted based on the Medicare statistics for years 2018–20.</w:t>
      </w:r>
    </w:p>
    <w:p w14:paraId="2E8887C1" w14:textId="77777777" w:rsidR="00837294" w:rsidRDefault="00F7550F" w:rsidP="00837294">
      <w:pPr>
        <w:pStyle w:val="Tablenote"/>
        <w:rPr>
          <w:rStyle w:val="Hyperlink"/>
          <w:color w:val="auto"/>
          <w:u w:val="none"/>
        </w:rPr>
      </w:pPr>
      <w:r>
        <w:t xml:space="preserve">AR-DRG = </w:t>
      </w:r>
      <w:r w:rsidRPr="00F7550F">
        <w:t>Australian Refined Diagnosis Related Groups</w:t>
      </w:r>
      <w:r>
        <w:t xml:space="preserve">; </w:t>
      </w:r>
      <w:r w:rsidR="00837294">
        <w:rPr>
          <w:rStyle w:val="Hyperlink"/>
          <w:color w:val="auto"/>
          <w:u w:val="none"/>
        </w:rPr>
        <w:t>Ig = immunoglobulin; IHPA =</w:t>
      </w:r>
      <w:r w:rsidR="00837294" w:rsidRPr="00A129D2">
        <w:t xml:space="preserve"> </w:t>
      </w:r>
      <w:r w:rsidR="00837294">
        <w:t>t</w:t>
      </w:r>
      <w:r w:rsidR="00837294" w:rsidRPr="00A129D2">
        <w:rPr>
          <w:rStyle w:val="Hyperlink"/>
          <w:color w:val="auto"/>
          <w:u w:val="none"/>
        </w:rPr>
        <w:t>he Independent Hospital Pricing Authority</w:t>
      </w:r>
      <w:r w:rsidR="00837294">
        <w:rPr>
          <w:rStyle w:val="Hyperlink"/>
          <w:color w:val="auto"/>
          <w:u w:val="none"/>
        </w:rPr>
        <w:t>; g = grams; kg = kilograms; MBS = Medicare Benefits Schedule; NBA = National Blood Authority; NWAU =</w:t>
      </w:r>
      <w:r w:rsidR="00837294" w:rsidRPr="00A32E3C">
        <w:t xml:space="preserve"> </w:t>
      </w:r>
      <w:r w:rsidR="00837294">
        <w:rPr>
          <w:rStyle w:val="Hyperlink"/>
          <w:color w:val="auto"/>
          <w:u w:val="none"/>
        </w:rPr>
        <w:t>national weighted activity unit</w:t>
      </w:r>
    </w:p>
    <w:p w14:paraId="46CCB754" w14:textId="77777777" w:rsidR="00837294" w:rsidRDefault="00837294" w:rsidP="00837294">
      <w:pPr>
        <w:pStyle w:val="Heading4"/>
        <w:rPr>
          <w:rStyle w:val="Hyperlink"/>
          <w:color w:val="auto"/>
          <w:u w:val="none"/>
        </w:rPr>
      </w:pPr>
      <w:r>
        <w:rPr>
          <w:rStyle w:val="Hyperlink"/>
          <w:color w:val="auto"/>
          <w:u w:val="none"/>
        </w:rPr>
        <w:t>Corticosteroids</w:t>
      </w:r>
    </w:p>
    <w:p w14:paraId="36A1DE8B" w14:textId="1DA1C697" w:rsidR="002C4FE0" w:rsidRDefault="00837294" w:rsidP="00C4479D">
      <w:pPr>
        <w:pStyle w:val="BodyTextSTD"/>
        <w:rPr>
          <w:rStyle w:val="Hyperlink"/>
          <w:color w:val="auto"/>
          <w:u w:val="none"/>
        </w:rPr>
      </w:pPr>
      <w:r w:rsidRPr="00C4479D">
        <w:rPr>
          <w:rStyle w:val="BodyTextSTDChar"/>
        </w:rPr>
        <w:fldChar w:fldCharType="begin"/>
      </w:r>
      <w:r w:rsidRPr="00C4479D">
        <w:rPr>
          <w:rStyle w:val="BodyTextSTDChar"/>
        </w:rPr>
        <w:instrText xml:space="preserve"> REF _Ref504130751 \h </w:instrText>
      </w:r>
      <w:r w:rsidR="00C4479D" w:rsidRPr="00C4479D">
        <w:rPr>
          <w:rStyle w:val="BodyTextSTDChar"/>
        </w:rPr>
        <w:instrText xml:space="preserve"> \* MERGEFORMAT </w:instrText>
      </w:r>
      <w:r w:rsidRPr="00C4479D">
        <w:rPr>
          <w:rStyle w:val="BodyTextSTDChar"/>
        </w:rPr>
      </w:r>
      <w:r w:rsidRPr="00C4479D">
        <w:rPr>
          <w:rStyle w:val="BodyTextSTDChar"/>
        </w:rPr>
        <w:fldChar w:fldCharType="separate"/>
      </w:r>
      <w:r w:rsidR="004B3EA2" w:rsidRPr="004B3EA2">
        <w:rPr>
          <w:rStyle w:val="BodyTextSTDChar"/>
        </w:rPr>
        <w:t>Table 26</w:t>
      </w:r>
      <w:r w:rsidRPr="00C4479D">
        <w:rPr>
          <w:rStyle w:val="BodyTextSTDChar"/>
        </w:rPr>
        <w:fldChar w:fldCharType="end"/>
      </w:r>
      <w:r w:rsidRPr="00C4479D">
        <w:rPr>
          <w:rStyle w:val="BodyTextSTDChar"/>
        </w:rPr>
        <w:t xml:space="preserve">, section C.2 summarised steroid doses used in the key trial. </w:t>
      </w:r>
      <w:r w:rsidRPr="00C4479D">
        <w:rPr>
          <w:rStyle w:val="BodyTextSTDChar"/>
        </w:rPr>
        <w:fldChar w:fldCharType="begin"/>
      </w:r>
      <w:r w:rsidRPr="00C4479D">
        <w:rPr>
          <w:rStyle w:val="BodyTextSTDChar"/>
        </w:rPr>
        <w:instrText xml:space="preserve"> REF _Ref65086945 \h </w:instrText>
      </w:r>
      <w:r w:rsidR="00C4479D" w:rsidRPr="00C4479D">
        <w:rPr>
          <w:rStyle w:val="BodyTextSTDChar"/>
        </w:rPr>
        <w:instrText xml:space="preserve"> \* MERGEFORMAT </w:instrText>
      </w:r>
      <w:r w:rsidRPr="00C4479D">
        <w:rPr>
          <w:rStyle w:val="BodyTextSTDChar"/>
        </w:rPr>
      </w:r>
      <w:r w:rsidRPr="00C4479D">
        <w:rPr>
          <w:rStyle w:val="BodyTextSTDChar"/>
        </w:rPr>
        <w:fldChar w:fldCharType="separate"/>
      </w:r>
      <w:r w:rsidR="004B3EA2" w:rsidRPr="004B3EA2">
        <w:rPr>
          <w:rStyle w:val="BodyTextSTDChar"/>
        </w:rPr>
        <w:t>Table 28</w:t>
      </w:r>
      <w:r w:rsidRPr="00C4479D">
        <w:rPr>
          <w:rStyle w:val="BodyTextSTDChar"/>
        </w:rPr>
        <w:fldChar w:fldCharType="end"/>
      </w:r>
      <w:r w:rsidRPr="00C4479D">
        <w:rPr>
          <w:rStyle w:val="BodyTextSTDChar"/>
        </w:rPr>
        <w:t xml:space="preserve"> summarised steroid doses used in the Australian practice. It is assumed that a patient on steroids treatment will have two GP visits, four specialist consultations and four pathology tests (two to assess liver and renal function, and two whole blood examinations) annually as a part of disease management and treatment effect monitoring. Chronic use of steroids is associated with serious side effects such as diabetes, glaucoma and osteoporosis </w:t>
      </w:r>
      <w:r w:rsidR="00B727D6">
        <w:rPr>
          <w:rStyle w:val="BodyTextSTDChar"/>
        </w:rPr>
        <w:fldChar w:fldCharType="begin">
          <w:fldData xml:space="preserve">PEVuZE5vdGU+PENpdGU+PEF1dGhvcj5DdXJ0aXM8L0F1dGhvcj48WWVhcj4yMDA2PC9ZZWFyPjxS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</w:fldData>
        </w:fldChar>
      </w:r>
      <w:r w:rsidR="00B727D6">
        <w:rPr>
          <w:rStyle w:val="BodyTextSTDChar"/>
        </w:rPr>
        <w:instrText xml:space="preserve"> ADDIN EN.CITE </w:instrText>
      </w:r>
      <w:r w:rsidR="00B727D6">
        <w:rPr>
          <w:rStyle w:val="BodyTextSTDChar"/>
        </w:rPr>
        <w:fldChar w:fldCharType="begin">
          <w:fldData xml:space="preserve">PEVuZE5vdGU+PENpdGU+PEF1dGhvcj5DdXJ0aXM8L0F1dGhvcj48WWVhcj4yMDA2PC9ZZWFyPjxS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</w:fldData>
        </w:fldChar>
      </w:r>
      <w:r w:rsidR="00B727D6">
        <w:rPr>
          <w:rStyle w:val="BodyTextSTDChar"/>
        </w:rPr>
        <w:instrText xml:space="preserve"> ADDIN EN.CITE.DATA </w:instrText>
      </w:r>
      <w:r w:rsidR="00B727D6">
        <w:rPr>
          <w:rStyle w:val="BodyTextSTDChar"/>
        </w:rPr>
      </w:r>
      <w:r w:rsidR="00B727D6">
        <w:rPr>
          <w:rStyle w:val="BodyTextSTDChar"/>
        </w:rPr>
        <w:fldChar w:fldCharType="end"/>
      </w:r>
      <w:r w:rsidR="00B727D6">
        <w:rPr>
          <w:rStyle w:val="BodyTextSTDChar"/>
        </w:rPr>
      </w:r>
      <w:r w:rsidR="00B727D6">
        <w:rPr>
          <w:rStyle w:val="BodyTextSTDChar"/>
        </w:rPr>
        <w:fldChar w:fldCharType="separate"/>
      </w:r>
      <w:r w:rsidR="00B727D6">
        <w:rPr>
          <w:rStyle w:val="BodyTextSTDChar"/>
          <w:noProof/>
        </w:rPr>
        <w:t>(</w:t>
      </w:r>
      <w:hyperlink w:anchor="_ENREF_10" w:tooltip="Curtis, 2006 #1892" w:history="1">
        <w:r w:rsidR="00D726F6">
          <w:rPr>
            <w:rStyle w:val="BodyTextSTDChar"/>
            <w:noProof/>
          </w:rPr>
          <w:t>Curtis et al. 2006</w:t>
        </w:r>
      </w:hyperlink>
      <w:r w:rsidR="00B727D6">
        <w:rPr>
          <w:rStyle w:val="BodyTextSTDChar"/>
          <w:noProof/>
        </w:rPr>
        <w:t xml:space="preserve">; </w:t>
      </w:r>
      <w:hyperlink w:anchor="_ENREF_29" w:tooltip="Huscher, 2009 #12" w:history="1">
        <w:r w:rsidR="00D726F6">
          <w:rPr>
            <w:rStyle w:val="BodyTextSTDChar"/>
            <w:noProof/>
          </w:rPr>
          <w:t>Huscher et al. 2009</w:t>
        </w:r>
      </w:hyperlink>
      <w:r w:rsidR="00B727D6">
        <w:rPr>
          <w:rStyle w:val="BodyTextSTDChar"/>
          <w:noProof/>
        </w:rPr>
        <w:t xml:space="preserve">; </w:t>
      </w:r>
      <w:hyperlink w:anchor="_ENREF_82" w:tooltip="Wilson, 2017 #3" w:history="1">
        <w:r w:rsidR="00D726F6">
          <w:rPr>
            <w:rStyle w:val="BodyTextSTDChar"/>
            <w:noProof/>
          </w:rPr>
          <w:t>Wilson, J. C. et al. 2017b</w:t>
        </w:r>
      </w:hyperlink>
      <w:r w:rsidR="00B727D6">
        <w:rPr>
          <w:rStyle w:val="BodyTextSTDChar"/>
          <w:noProof/>
        </w:rPr>
        <w:t>)</w:t>
      </w:r>
      <w:r w:rsidR="00B727D6">
        <w:rPr>
          <w:rStyle w:val="BodyTextSTDChar"/>
        </w:rPr>
        <w:fldChar w:fldCharType="end"/>
      </w:r>
      <w:r w:rsidRPr="00C4479D">
        <w:rPr>
          <w:rStyle w:val="BodyTextSTDChar"/>
        </w:rPr>
        <w:t>. Patient</w:t>
      </w:r>
      <w:r w:rsidR="00A13CF6">
        <w:rPr>
          <w:rStyle w:val="BodyTextSTDChar"/>
        </w:rPr>
        <w:t>s</w:t>
      </w:r>
      <w:r w:rsidRPr="00C4479D">
        <w:rPr>
          <w:rStyle w:val="BodyTextSTDChar"/>
        </w:rPr>
        <w:t xml:space="preserve"> on </w:t>
      </w:r>
      <w:r w:rsidR="0009097E">
        <w:rPr>
          <w:rStyle w:val="BodyTextSTDChar"/>
        </w:rPr>
        <w:t xml:space="preserve">long term </w:t>
      </w:r>
      <w:r w:rsidRPr="00C4479D">
        <w:rPr>
          <w:rStyle w:val="BodyTextSTDChar"/>
        </w:rPr>
        <w:t>steroid treatment are usually prescribed prevention treatment such as vitamin D, calcium and alendronate to prevent osteoporosis and incidence of fractures. Regular tests for diabetes mellitus, glaucoma and bone densitometry are performed to detect early signs of these</w:t>
      </w:r>
      <w:r>
        <w:rPr>
          <w:rStyle w:val="Hyperlink"/>
          <w:color w:val="auto"/>
          <w:u w:val="none"/>
        </w:rPr>
        <w:t xml:space="preserve"> diseases. </w:t>
      </w:r>
    </w:p>
    <w:p w14:paraId="7AE349D8" w14:textId="1A70C5B1" w:rsidR="00837294" w:rsidRDefault="00837294" w:rsidP="00C4479D">
      <w:pPr>
        <w:pStyle w:val="BodyTextSTD"/>
        <w:rPr>
          <w:rStyle w:val="Hyperlink"/>
          <w:color w:val="auto"/>
          <w:u w:val="none"/>
        </w:rPr>
      </w:pPr>
      <w:r>
        <w:rPr>
          <w:rStyle w:val="Hyperlink"/>
          <w:color w:val="auto"/>
          <w:u w:val="none"/>
        </w:rPr>
        <w:t xml:space="preserve">Patient on steroids treatment are assumed to have– two GP visits, four specialist consultations and four pathology tests (two to assess liver and renal function, and two whole blood examinations), one test each for vitamin D deficiency and open angle glaucoma, three tests for </w:t>
      </w:r>
      <w:r>
        <w:t>the diagnosis of diabetes</w:t>
      </w:r>
      <w:r>
        <w:rPr>
          <w:rStyle w:val="Hyperlink"/>
          <w:color w:val="auto"/>
          <w:u w:val="none"/>
        </w:rPr>
        <w:t xml:space="preserve">, 0.33 (once in three years) </w:t>
      </w:r>
      <w:r w:rsidRPr="00125D8C">
        <w:rPr>
          <w:rStyle w:val="Hyperlink"/>
          <w:color w:val="auto"/>
          <w:u w:val="none"/>
        </w:rPr>
        <w:t>dual-energy X-ray absorptiometry (D</w:t>
      </w:r>
      <w:r w:rsidR="00025C4D">
        <w:rPr>
          <w:rStyle w:val="Hyperlink"/>
          <w:color w:val="auto"/>
          <w:u w:val="none"/>
        </w:rPr>
        <w:t>E</w:t>
      </w:r>
      <w:r w:rsidRPr="00125D8C">
        <w:rPr>
          <w:rStyle w:val="Hyperlink"/>
          <w:color w:val="auto"/>
          <w:u w:val="none"/>
        </w:rPr>
        <w:t>XA)</w:t>
      </w:r>
      <w:r>
        <w:rPr>
          <w:rStyle w:val="Hyperlink"/>
          <w:color w:val="auto"/>
          <w:u w:val="none"/>
        </w:rPr>
        <w:t xml:space="preserve"> test, in a year as a part of disease management and treatment effect monitoring. In addition, these patients will have </w:t>
      </w:r>
      <w:r w:rsidR="008961D3">
        <w:rPr>
          <w:rStyle w:val="Hyperlink"/>
          <w:color w:val="auto"/>
          <w:u w:val="none"/>
        </w:rPr>
        <w:t>prophylactic treatment with</w:t>
      </w:r>
      <w:r>
        <w:rPr>
          <w:rStyle w:val="Hyperlink"/>
          <w:color w:val="auto"/>
          <w:u w:val="none"/>
        </w:rPr>
        <w:t xml:space="preserve"> alendronate, vitamin D and calcium supplements. </w:t>
      </w:r>
    </w:p>
    <w:p w14:paraId="7C94CB04" w14:textId="1A98C9F0" w:rsidR="00837294" w:rsidRDefault="00837294" w:rsidP="00C4479D">
      <w:pPr>
        <w:pStyle w:val="BodyTextSTD"/>
        <w:rPr>
          <w:rStyle w:val="Hyperlink"/>
          <w:color w:val="auto"/>
          <w:u w:val="none"/>
        </w:rPr>
      </w:pPr>
      <w:r>
        <w:rPr>
          <w:rStyle w:val="Hyperlink"/>
          <w:color w:val="auto"/>
          <w:u w:val="none"/>
        </w:rPr>
        <w:fldChar w:fldCharType="begin"/>
      </w:r>
      <w:r>
        <w:rPr>
          <w:rStyle w:val="Hyperlink"/>
          <w:color w:val="auto"/>
          <w:u w:val="none"/>
        </w:rPr>
        <w:instrText xml:space="preserve"> REF _Ref65692570 \h </w:instrText>
      </w:r>
      <w:r w:rsidR="00C4479D">
        <w:rPr>
          <w:rStyle w:val="Hyperlink"/>
          <w:color w:val="auto"/>
          <w:u w:val="none"/>
        </w:rPr>
        <w:instrText xml:space="preserve"> \* MERGEFORMAT </w:instrText>
      </w:r>
      <w:r>
        <w:rPr>
          <w:rStyle w:val="Hyperlink"/>
          <w:color w:val="auto"/>
          <w:u w:val="none"/>
        </w:rPr>
      </w:r>
      <w:r>
        <w:rPr>
          <w:rStyle w:val="Hyperlink"/>
          <w:color w:val="auto"/>
          <w:u w:val="none"/>
        </w:rPr>
        <w:fldChar w:fldCharType="separate"/>
      </w:r>
      <w:r w:rsidR="004B3EA2">
        <w:t xml:space="preserve">Table </w:t>
      </w:r>
      <w:r w:rsidR="004B3EA2">
        <w:rPr>
          <w:noProof/>
        </w:rPr>
        <w:t>41</w:t>
      </w:r>
      <w:r>
        <w:rPr>
          <w:rStyle w:val="Hyperlink"/>
          <w:color w:val="auto"/>
          <w:u w:val="none"/>
        </w:rPr>
        <w:fldChar w:fldCharType="end"/>
      </w:r>
      <w:r>
        <w:rPr>
          <w:rStyle w:val="Hyperlink"/>
          <w:color w:val="auto"/>
          <w:u w:val="none"/>
        </w:rPr>
        <w:t xml:space="preserve"> summarises resource use and costs associated with the steroid treatment and disease monitoring used in the model.</w:t>
      </w:r>
    </w:p>
    <w:p w14:paraId="733D59DA" w14:textId="0C729F23" w:rsidR="00837294" w:rsidRDefault="00837294" w:rsidP="00837294">
      <w:pPr>
        <w:pStyle w:val="Caption"/>
      </w:pPr>
      <w:bookmarkStart w:id="326" w:name="_Ref65692570"/>
      <w:bookmarkStart w:id="327" w:name="_Toc69305682"/>
      <w:r>
        <w:t xml:space="preserve">Table </w:t>
      </w:r>
      <w:r w:rsidR="00003BA5">
        <w:fldChar w:fldCharType="begin"/>
      </w:r>
      <w:r w:rsidR="00003BA5">
        <w:instrText xml:space="preserve"> SEQ Table \</w:instrText>
      </w:r>
      <w:r w:rsidR="00003BA5">
        <w:instrText xml:space="preserve">* ARABIC </w:instrText>
      </w:r>
      <w:r w:rsidR="00003BA5">
        <w:fldChar w:fldCharType="separate"/>
      </w:r>
      <w:r w:rsidR="004B3EA2">
        <w:rPr>
          <w:noProof/>
        </w:rPr>
        <w:t>41</w:t>
      </w:r>
      <w:r w:rsidR="00003BA5">
        <w:rPr>
          <w:noProof/>
        </w:rPr>
        <w:fldChar w:fldCharType="end"/>
      </w:r>
      <w:bookmarkEnd w:id="326"/>
      <w:r>
        <w:tab/>
        <w:t>Resource use and cost associated with corticosteroids treatment and monitoring</w:t>
      </w:r>
      <w:bookmarkEnd w:id="327"/>
    </w:p>
    <w:tbl>
      <w:tblPr>
        <w:tblStyle w:val="OPTUMTableNormal"/>
        <w:tblW w:w="5000" w:type="pct"/>
        <w:tblLayout w:type="fixed"/>
        <w:tblLook w:val="04A0" w:firstRow="1" w:lastRow="0" w:firstColumn="1" w:lastColumn="0" w:noHBand="0" w:noVBand="1"/>
        <w:tblCaption w:val="Resource use and cost associated with corticosteroids treatment and monitoring"/>
        <w:tblDescription w:val="Resource use and cost associated with corticosteroids treatment and monitoring"/>
      </w:tblPr>
      <w:tblGrid>
        <w:gridCol w:w="3256"/>
        <w:gridCol w:w="992"/>
        <w:gridCol w:w="2835"/>
        <w:gridCol w:w="992"/>
        <w:gridCol w:w="941"/>
      </w:tblGrid>
      <w:tr w:rsidR="00837294" w:rsidRPr="00BB7CE3" w14:paraId="1101212F" w14:textId="77777777" w:rsidTr="00BB43B6">
        <w:trPr>
          <w:cnfStyle w:val="100000000000" w:firstRow="1" w:lastRow="0" w:firstColumn="0" w:lastColumn="0" w:oddVBand="0" w:evenVBand="0" w:oddHBand="0" w:evenHBand="0" w:firstRowFirstColumn="0" w:firstRowLastColumn="0" w:lastRowFirstColumn="0" w:lastRowLastColumn="0"/>
          <w:trHeight w:val="300"/>
          <w:tblHeader/>
        </w:trPr>
        <w:tc>
          <w:tcPr>
            <w:tcW w:w="1806" w:type="pct"/>
            <w:tcBorders>
              <w:bottom w:val="single" w:sz="12" w:space="0" w:color="auto"/>
            </w:tcBorders>
            <w:noWrap/>
            <w:hideMark/>
          </w:tcPr>
          <w:p w14:paraId="13ACF4B6" w14:textId="77777777" w:rsidR="00837294" w:rsidRPr="00BB7CE3" w:rsidRDefault="00837294" w:rsidP="00E61E51">
            <w:pPr>
              <w:pStyle w:val="Tabletext1"/>
            </w:pPr>
            <w:r w:rsidRPr="00BB7CE3">
              <w:t>Description</w:t>
            </w:r>
          </w:p>
        </w:tc>
        <w:tc>
          <w:tcPr>
            <w:tcW w:w="550" w:type="pct"/>
            <w:tcBorders>
              <w:bottom w:val="single" w:sz="12" w:space="0" w:color="auto"/>
            </w:tcBorders>
            <w:noWrap/>
            <w:hideMark/>
          </w:tcPr>
          <w:p w14:paraId="6D34AEF9" w14:textId="77777777" w:rsidR="00837294" w:rsidRPr="00BB7CE3" w:rsidRDefault="00837294" w:rsidP="00E61E51">
            <w:pPr>
              <w:pStyle w:val="Tabletext1"/>
            </w:pPr>
            <w:r w:rsidRPr="00BB7CE3">
              <w:t>Cost per unit</w:t>
            </w:r>
          </w:p>
        </w:tc>
        <w:tc>
          <w:tcPr>
            <w:tcW w:w="1572" w:type="pct"/>
            <w:tcBorders>
              <w:bottom w:val="single" w:sz="12" w:space="0" w:color="auto"/>
            </w:tcBorders>
          </w:tcPr>
          <w:p w14:paraId="192983E4" w14:textId="77777777" w:rsidR="00837294" w:rsidRPr="00BB7CE3" w:rsidRDefault="00837294" w:rsidP="00E61E51">
            <w:pPr>
              <w:pStyle w:val="Tabletext1"/>
            </w:pPr>
            <w:r w:rsidRPr="00BB7CE3">
              <w:t>Source</w:t>
            </w:r>
          </w:p>
        </w:tc>
        <w:tc>
          <w:tcPr>
            <w:tcW w:w="550" w:type="pct"/>
            <w:tcBorders>
              <w:bottom w:val="single" w:sz="12" w:space="0" w:color="auto"/>
            </w:tcBorders>
            <w:noWrap/>
            <w:hideMark/>
          </w:tcPr>
          <w:p w14:paraId="68B57800" w14:textId="77777777" w:rsidR="00837294" w:rsidRPr="00BB7CE3" w:rsidRDefault="00837294" w:rsidP="00E61E51">
            <w:pPr>
              <w:pStyle w:val="Tabletext1"/>
            </w:pPr>
            <w:r w:rsidRPr="00BB7CE3">
              <w:t>Units per year</w:t>
            </w:r>
          </w:p>
        </w:tc>
        <w:tc>
          <w:tcPr>
            <w:tcW w:w="522" w:type="pct"/>
            <w:tcBorders>
              <w:bottom w:val="single" w:sz="12" w:space="0" w:color="auto"/>
            </w:tcBorders>
          </w:tcPr>
          <w:p w14:paraId="14C97E5B" w14:textId="77777777" w:rsidR="00837294" w:rsidRPr="00BB7CE3" w:rsidRDefault="00837294" w:rsidP="00E61E51">
            <w:pPr>
              <w:pStyle w:val="Tabletext1"/>
            </w:pPr>
            <w:r w:rsidRPr="00BB7CE3">
              <w:t>Cost per cycle</w:t>
            </w:r>
          </w:p>
        </w:tc>
      </w:tr>
      <w:tr w:rsidR="00837294" w:rsidRPr="00DA2A24" w14:paraId="0D9DFB68" w14:textId="77777777" w:rsidTr="00973B06">
        <w:trPr>
          <w:trHeight w:val="300"/>
        </w:trPr>
        <w:tc>
          <w:tcPr>
            <w:tcW w:w="1806" w:type="pct"/>
            <w:tcBorders>
              <w:top w:val="single" w:sz="12" w:space="0" w:color="auto"/>
              <w:right w:val="nil"/>
            </w:tcBorders>
            <w:noWrap/>
          </w:tcPr>
          <w:p w14:paraId="7362BD6C" w14:textId="77777777" w:rsidR="00837294" w:rsidRPr="00DA2A24" w:rsidRDefault="00837294" w:rsidP="00E61E51">
            <w:pPr>
              <w:pStyle w:val="Tabletext1"/>
              <w:rPr>
                <w:b/>
              </w:rPr>
            </w:pPr>
            <w:r w:rsidRPr="00DA2A24">
              <w:rPr>
                <w:b/>
              </w:rPr>
              <w:t>Treatment costs</w:t>
            </w:r>
          </w:p>
        </w:tc>
        <w:tc>
          <w:tcPr>
            <w:tcW w:w="550" w:type="pct"/>
            <w:tcBorders>
              <w:top w:val="single" w:sz="12" w:space="0" w:color="auto"/>
              <w:left w:val="nil"/>
              <w:right w:val="nil"/>
            </w:tcBorders>
            <w:noWrap/>
          </w:tcPr>
          <w:p w14:paraId="2E09BEAA" w14:textId="77777777" w:rsidR="00837294" w:rsidRPr="00DA2A24" w:rsidRDefault="00837294" w:rsidP="00E61E51">
            <w:pPr>
              <w:pStyle w:val="Tabletext1"/>
              <w:rPr>
                <w:b/>
              </w:rPr>
            </w:pPr>
          </w:p>
        </w:tc>
        <w:tc>
          <w:tcPr>
            <w:tcW w:w="1572" w:type="pct"/>
            <w:tcBorders>
              <w:top w:val="single" w:sz="12" w:space="0" w:color="auto"/>
              <w:left w:val="nil"/>
              <w:right w:val="nil"/>
            </w:tcBorders>
          </w:tcPr>
          <w:p w14:paraId="46E43EEC" w14:textId="77777777" w:rsidR="00837294" w:rsidRPr="00DA2A24" w:rsidRDefault="00837294" w:rsidP="00E61E51">
            <w:pPr>
              <w:pStyle w:val="Tabletext1"/>
              <w:rPr>
                <w:b/>
              </w:rPr>
            </w:pPr>
          </w:p>
        </w:tc>
        <w:tc>
          <w:tcPr>
            <w:tcW w:w="550" w:type="pct"/>
            <w:tcBorders>
              <w:top w:val="single" w:sz="12" w:space="0" w:color="auto"/>
              <w:left w:val="nil"/>
              <w:right w:val="nil"/>
            </w:tcBorders>
            <w:noWrap/>
          </w:tcPr>
          <w:p w14:paraId="3D4EC24B" w14:textId="77777777" w:rsidR="00837294" w:rsidRPr="00DA2A24" w:rsidRDefault="00837294" w:rsidP="00E61E51">
            <w:pPr>
              <w:pStyle w:val="Tabletext1"/>
              <w:rPr>
                <w:b/>
              </w:rPr>
            </w:pPr>
          </w:p>
        </w:tc>
        <w:tc>
          <w:tcPr>
            <w:tcW w:w="522" w:type="pct"/>
            <w:tcBorders>
              <w:top w:val="single" w:sz="12" w:space="0" w:color="auto"/>
              <w:left w:val="nil"/>
            </w:tcBorders>
          </w:tcPr>
          <w:p w14:paraId="118099EE" w14:textId="77777777" w:rsidR="00837294" w:rsidRPr="00DA2A24" w:rsidRDefault="00837294" w:rsidP="00E61E51">
            <w:pPr>
              <w:pStyle w:val="Tabletext1"/>
              <w:rPr>
                <w:b/>
              </w:rPr>
            </w:pPr>
          </w:p>
        </w:tc>
      </w:tr>
      <w:tr w:rsidR="00837294" w:rsidRPr="00C71B36" w14:paraId="0893BC48" w14:textId="77777777" w:rsidTr="00973B06">
        <w:trPr>
          <w:trHeight w:val="300"/>
        </w:trPr>
        <w:tc>
          <w:tcPr>
            <w:tcW w:w="1806" w:type="pct"/>
            <w:noWrap/>
          </w:tcPr>
          <w:p w14:paraId="00C28440" w14:textId="77777777" w:rsidR="00837294" w:rsidRPr="00C71B36" w:rsidRDefault="00837294" w:rsidP="00E61E51">
            <w:pPr>
              <w:pStyle w:val="Tabletext1"/>
            </w:pPr>
            <w:r>
              <w:t>Intravenous methylprednisolone</w:t>
            </w:r>
          </w:p>
        </w:tc>
        <w:tc>
          <w:tcPr>
            <w:tcW w:w="550" w:type="pct"/>
            <w:noWrap/>
          </w:tcPr>
          <w:p w14:paraId="415838F5" w14:textId="77777777" w:rsidR="00837294" w:rsidRDefault="00837294" w:rsidP="00E61E51">
            <w:pPr>
              <w:pStyle w:val="Tabletext1"/>
              <w:jc w:val="right"/>
            </w:pPr>
            <w:r>
              <w:t>$44.52</w:t>
            </w:r>
          </w:p>
        </w:tc>
        <w:tc>
          <w:tcPr>
            <w:tcW w:w="1572" w:type="pct"/>
          </w:tcPr>
          <w:p w14:paraId="708DE133" w14:textId="77777777" w:rsidR="00837294" w:rsidRDefault="00837294" w:rsidP="00E61E51">
            <w:pPr>
              <w:pStyle w:val="Tabletext1"/>
            </w:pPr>
            <w:r w:rsidRPr="00A129D2">
              <w:t>PBS 5264C, 1g</w:t>
            </w:r>
            <w:r>
              <w:t>ram</w:t>
            </w:r>
            <w:r w:rsidRPr="00A129D2">
              <w:t xml:space="preserve"> vial</w:t>
            </w:r>
          </w:p>
        </w:tc>
        <w:tc>
          <w:tcPr>
            <w:tcW w:w="550" w:type="pct"/>
            <w:noWrap/>
          </w:tcPr>
          <w:p w14:paraId="0E0550CD" w14:textId="77777777" w:rsidR="00837294" w:rsidRPr="00C71B36" w:rsidRDefault="00837294" w:rsidP="00973B06">
            <w:pPr>
              <w:pStyle w:val="Tabletext1"/>
              <w:jc w:val="left"/>
            </w:pPr>
            <w:r>
              <w:t>4 per induction course</w:t>
            </w:r>
          </w:p>
        </w:tc>
        <w:tc>
          <w:tcPr>
            <w:tcW w:w="522" w:type="pct"/>
          </w:tcPr>
          <w:p w14:paraId="7CF971E8" w14:textId="77777777" w:rsidR="00837294" w:rsidRDefault="00837294" w:rsidP="00E61E51">
            <w:pPr>
              <w:pStyle w:val="Tabletext1"/>
              <w:jc w:val="right"/>
            </w:pPr>
            <w:r>
              <w:t>$178</w:t>
            </w:r>
          </w:p>
        </w:tc>
      </w:tr>
      <w:tr w:rsidR="00837294" w:rsidRPr="00C71B36" w14:paraId="356549F1" w14:textId="77777777" w:rsidTr="00973B06">
        <w:trPr>
          <w:trHeight w:val="300"/>
        </w:trPr>
        <w:tc>
          <w:tcPr>
            <w:tcW w:w="1806" w:type="pct"/>
            <w:tcBorders>
              <w:bottom w:val="single" w:sz="4" w:space="0" w:color="auto"/>
            </w:tcBorders>
            <w:noWrap/>
          </w:tcPr>
          <w:p w14:paraId="26AAD852" w14:textId="77777777" w:rsidR="00837294" w:rsidRPr="00C71B36" w:rsidRDefault="00837294" w:rsidP="00E61E51">
            <w:pPr>
              <w:pStyle w:val="Tabletext1"/>
            </w:pPr>
            <w:r w:rsidRPr="006F046A">
              <w:rPr>
                <w:color w:val="000000"/>
              </w:rPr>
              <w:t>Administration</w:t>
            </w:r>
            <w:r>
              <w:rPr>
                <w:color w:val="000000"/>
              </w:rPr>
              <w:t xml:space="preserve"> cost per episode</w:t>
            </w:r>
            <w:r w:rsidRPr="006F046A">
              <w:rPr>
                <w:color w:val="000000"/>
              </w:rPr>
              <w:t>, outpatient hospital costs and consumables</w:t>
            </w:r>
          </w:p>
        </w:tc>
        <w:tc>
          <w:tcPr>
            <w:tcW w:w="550" w:type="pct"/>
            <w:tcBorders>
              <w:bottom w:val="single" w:sz="4" w:space="0" w:color="auto"/>
            </w:tcBorders>
            <w:noWrap/>
          </w:tcPr>
          <w:p w14:paraId="0339842E" w14:textId="77777777" w:rsidR="00837294" w:rsidRDefault="00837294" w:rsidP="00E61E51">
            <w:pPr>
              <w:pStyle w:val="Tabletext1"/>
              <w:jc w:val="right"/>
            </w:pPr>
            <w:r w:rsidRPr="00CF0AA5">
              <w:t>$693</w:t>
            </w:r>
          </w:p>
        </w:tc>
        <w:tc>
          <w:tcPr>
            <w:tcW w:w="1572" w:type="pct"/>
            <w:tcBorders>
              <w:bottom w:val="single" w:sz="4" w:space="0" w:color="auto"/>
            </w:tcBorders>
          </w:tcPr>
          <w:p w14:paraId="509089A3" w14:textId="77777777" w:rsidR="00837294" w:rsidRDefault="00837294" w:rsidP="00E61E51">
            <w:pPr>
              <w:pStyle w:val="Tabletext1"/>
            </w:pPr>
            <w:r w:rsidRPr="006F046A">
              <w:rPr>
                <w:color w:val="000000"/>
              </w:rPr>
              <w:t>NWAU calculator 2020-21 (IHPA)</w:t>
            </w:r>
            <w:r w:rsidRPr="00A129D2">
              <w:rPr>
                <w:color w:val="000000"/>
                <w:vertAlign w:val="superscript"/>
              </w:rPr>
              <w:t>a</w:t>
            </w:r>
            <w:r w:rsidRPr="006F046A">
              <w:rPr>
                <w:color w:val="000000"/>
              </w:rPr>
              <w:t>; non-admitted service 10.13 Minor medical procedures</w:t>
            </w:r>
          </w:p>
        </w:tc>
        <w:tc>
          <w:tcPr>
            <w:tcW w:w="550" w:type="pct"/>
            <w:tcBorders>
              <w:bottom w:val="single" w:sz="4" w:space="0" w:color="auto"/>
            </w:tcBorders>
            <w:noWrap/>
          </w:tcPr>
          <w:p w14:paraId="53FD2382" w14:textId="77777777" w:rsidR="00837294" w:rsidRPr="00C71B36" w:rsidRDefault="00837294" w:rsidP="00973B06">
            <w:pPr>
              <w:pStyle w:val="Tabletext1"/>
              <w:jc w:val="left"/>
            </w:pPr>
            <w:r>
              <w:t>4 per induction course</w:t>
            </w:r>
          </w:p>
        </w:tc>
        <w:tc>
          <w:tcPr>
            <w:tcW w:w="522" w:type="pct"/>
            <w:tcBorders>
              <w:bottom w:val="single" w:sz="4" w:space="0" w:color="auto"/>
            </w:tcBorders>
          </w:tcPr>
          <w:p w14:paraId="31481548" w14:textId="77777777" w:rsidR="00837294" w:rsidRDefault="00837294" w:rsidP="00E61E51">
            <w:pPr>
              <w:pStyle w:val="Tabletext1"/>
              <w:jc w:val="right"/>
            </w:pPr>
            <w:r>
              <w:t>$2,772</w:t>
            </w:r>
          </w:p>
        </w:tc>
      </w:tr>
      <w:tr w:rsidR="00973B06" w:rsidRPr="00C71B36" w14:paraId="729A7F57" w14:textId="77777777" w:rsidTr="00973B06">
        <w:trPr>
          <w:trHeight w:val="300"/>
        </w:trPr>
        <w:tc>
          <w:tcPr>
            <w:tcW w:w="3928" w:type="pct"/>
            <w:gridSpan w:val="3"/>
            <w:tcBorders>
              <w:bottom w:val="single" w:sz="12" w:space="0" w:color="auto"/>
              <w:right w:val="nil"/>
            </w:tcBorders>
            <w:noWrap/>
          </w:tcPr>
          <w:p w14:paraId="2AE879F7" w14:textId="32561D0F" w:rsidR="00973B06" w:rsidRDefault="00973B06" w:rsidP="00E61E51">
            <w:pPr>
              <w:pStyle w:val="Tabletext1"/>
            </w:pPr>
            <w:r>
              <w:t>Total cost per induction treatment (base-case)</w:t>
            </w:r>
          </w:p>
        </w:tc>
        <w:tc>
          <w:tcPr>
            <w:tcW w:w="550" w:type="pct"/>
            <w:tcBorders>
              <w:left w:val="nil"/>
              <w:bottom w:val="single" w:sz="12" w:space="0" w:color="auto"/>
              <w:right w:val="single" w:sz="8" w:space="0" w:color="auto"/>
            </w:tcBorders>
            <w:noWrap/>
          </w:tcPr>
          <w:p w14:paraId="339BC23C" w14:textId="77777777" w:rsidR="00973B06" w:rsidRPr="00C71B36" w:rsidRDefault="00973B06" w:rsidP="00973B06">
            <w:pPr>
              <w:pStyle w:val="Tabletext1"/>
              <w:jc w:val="left"/>
            </w:pPr>
          </w:p>
        </w:tc>
        <w:tc>
          <w:tcPr>
            <w:tcW w:w="522" w:type="pct"/>
            <w:tcBorders>
              <w:left w:val="single" w:sz="8" w:space="0" w:color="auto"/>
              <w:bottom w:val="single" w:sz="12" w:space="0" w:color="auto"/>
            </w:tcBorders>
          </w:tcPr>
          <w:p w14:paraId="797758E7" w14:textId="77777777" w:rsidR="00973B06" w:rsidRDefault="00973B06" w:rsidP="00E61E51">
            <w:pPr>
              <w:pStyle w:val="Tabletext1"/>
              <w:jc w:val="right"/>
            </w:pPr>
            <w:r>
              <w:t>$2,950</w:t>
            </w:r>
          </w:p>
        </w:tc>
      </w:tr>
      <w:tr w:rsidR="00E65C5B" w:rsidRPr="00C71B36" w14:paraId="4F62CC98" w14:textId="77777777" w:rsidTr="00973B06">
        <w:trPr>
          <w:trHeight w:val="300"/>
        </w:trPr>
        <w:tc>
          <w:tcPr>
            <w:tcW w:w="1806" w:type="pct"/>
            <w:tcBorders>
              <w:bottom w:val="single" w:sz="4" w:space="0" w:color="auto"/>
            </w:tcBorders>
            <w:noWrap/>
          </w:tcPr>
          <w:p w14:paraId="2C141C53" w14:textId="77777777" w:rsidR="00E65C5B" w:rsidRPr="006F046A" w:rsidRDefault="00E65C5B" w:rsidP="00E65C5B">
            <w:pPr>
              <w:pStyle w:val="Tabletext1"/>
              <w:rPr>
                <w:color w:val="000000"/>
              </w:rPr>
            </w:pPr>
            <w:r>
              <w:t>Intravenous methylprednisolone</w:t>
            </w:r>
          </w:p>
        </w:tc>
        <w:tc>
          <w:tcPr>
            <w:tcW w:w="550" w:type="pct"/>
            <w:tcBorders>
              <w:bottom w:val="single" w:sz="4" w:space="0" w:color="auto"/>
            </w:tcBorders>
            <w:noWrap/>
          </w:tcPr>
          <w:p w14:paraId="1A8F6F66" w14:textId="77777777" w:rsidR="00E65C5B" w:rsidRPr="00CF0AA5" w:rsidRDefault="00E65C5B" w:rsidP="00E65C5B">
            <w:pPr>
              <w:pStyle w:val="Tabletext1"/>
              <w:jc w:val="right"/>
            </w:pPr>
            <w:r>
              <w:t>$44.52</w:t>
            </w:r>
          </w:p>
        </w:tc>
        <w:tc>
          <w:tcPr>
            <w:tcW w:w="1572" w:type="pct"/>
            <w:tcBorders>
              <w:bottom w:val="single" w:sz="4" w:space="0" w:color="auto"/>
            </w:tcBorders>
          </w:tcPr>
          <w:p w14:paraId="0BB16E54" w14:textId="77777777" w:rsidR="00E65C5B" w:rsidRPr="006F046A" w:rsidRDefault="00E65C5B" w:rsidP="00E65C5B">
            <w:pPr>
              <w:pStyle w:val="Tabletext1"/>
              <w:rPr>
                <w:color w:val="000000"/>
              </w:rPr>
            </w:pPr>
            <w:r w:rsidRPr="00A129D2">
              <w:t>PBS 5264C, 1g</w:t>
            </w:r>
            <w:r>
              <w:t>ram</w:t>
            </w:r>
            <w:r w:rsidRPr="00A129D2">
              <w:t xml:space="preserve"> vial</w:t>
            </w:r>
          </w:p>
        </w:tc>
        <w:tc>
          <w:tcPr>
            <w:tcW w:w="550" w:type="pct"/>
            <w:tcBorders>
              <w:bottom w:val="single" w:sz="4" w:space="0" w:color="auto"/>
            </w:tcBorders>
            <w:noWrap/>
          </w:tcPr>
          <w:p w14:paraId="30E250ED" w14:textId="77777777" w:rsidR="00E65C5B" w:rsidRDefault="00E65C5B" w:rsidP="00973B06">
            <w:pPr>
              <w:pStyle w:val="Tabletext1"/>
              <w:jc w:val="left"/>
            </w:pPr>
            <w:r>
              <w:t>1 per maintenance course</w:t>
            </w:r>
          </w:p>
        </w:tc>
        <w:tc>
          <w:tcPr>
            <w:tcW w:w="522" w:type="pct"/>
            <w:tcBorders>
              <w:bottom w:val="single" w:sz="4" w:space="0" w:color="auto"/>
            </w:tcBorders>
          </w:tcPr>
          <w:p w14:paraId="754767B7" w14:textId="77777777" w:rsidR="00E65C5B" w:rsidRDefault="00E65C5B" w:rsidP="00E65C5B">
            <w:pPr>
              <w:pStyle w:val="Tabletext1"/>
              <w:jc w:val="right"/>
            </w:pPr>
            <w:r>
              <w:t>$44.52</w:t>
            </w:r>
          </w:p>
        </w:tc>
      </w:tr>
      <w:tr w:rsidR="00E65C5B" w:rsidRPr="00C71B36" w14:paraId="5E0A7461" w14:textId="77777777" w:rsidTr="00973B06">
        <w:trPr>
          <w:trHeight w:val="300"/>
        </w:trPr>
        <w:tc>
          <w:tcPr>
            <w:tcW w:w="1806" w:type="pct"/>
            <w:tcBorders>
              <w:bottom w:val="single" w:sz="4" w:space="0" w:color="auto"/>
            </w:tcBorders>
            <w:noWrap/>
          </w:tcPr>
          <w:p w14:paraId="1C4FB977" w14:textId="77777777" w:rsidR="00E65C5B" w:rsidRPr="006F046A" w:rsidRDefault="00E65C5B" w:rsidP="00E65C5B">
            <w:pPr>
              <w:pStyle w:val="Tabletext1"/>
              <w:rPr>
                <w:color w:val="000000"/>
              </w:rPr>
            </w:pPr>
            <w:r w:rsidRPr="006F046A">
              <w:rPr>
                <w:color w:val="000000"/>
              </w:rPr>
              <w:t>Administration</w:t>
            </w:r>
            <w:r>
              <w:rPr>
                <w:color w:val="000000"/>
              </w:rPr>
              <w:t xml:space="preserve"> cost per episode</w:t>
            </w:r>
            <w:r w:rsidRPr="006F046A">
              <w:rPr>
                <w:color w:val="000000"/>
              </w:rPr>
              <w:t>, outpatient hospital costs and consumables</w:t>
            </w:r>
          </w:p>
        </w:tc>
        <w:tc>
          <w:tcPr>
            <w:tcW w:w="550" w:type="pct"/>
            <w:tcBorders>
              <w:bottom w:val="single" w:sz="4" w:space="0" w:color="auto"/>
            </w:tcBorders>
            <w:noWrap/>
          </w:tcPr>
          <w:p w14:paraId="398AC054" w14:textId="77777777" w:rsidR="00E65C5B" w:rsidRPr="00CF0AA5" w:rsidRDefault="00E65C5B" w:rsidP="00E65C5B">
            <w:pPr>
              <w:pStyle w:val="Tabletext1"/>
              <w:jc w:val="right"/>
            </w:pPr>
            <w:r w:rsidRPr="00CF0AA5">
              <w:t>$693</w:t>
            </w:r>
          </w:p>
        </w:tc>
        <w:tc>
          <w:tcPr>
            <w:tcW w:w="1572" w:type="pct"/>
            <w:tcBorders>
              <w:bottom w:val="single" w:sz="4" w:space="0" w:color="auto"/>
            </w:tcBorders>
          </w:tcPr>
          <w:p w14:paraId="1B0135E7" w14:textId="77777777" w:rsidR="00E65C5B" w:rsidRPr="006F046A" w:rsidRDefault="00E65C5B" w:rsidP="00E65C5B">
            <w:pPr>
              <w:pStyle w:val="Tabletext1"/>
              <w:rPr>
                <w:color w:val="000000"/>
              </w:rPr>
            </w:pPr>
            <w:r w:rsidRPr="006F046A">
              <w:rPr>
                <w:color w:val="000000"/>
              </w:rPr>
              <w:t>NWAU calculator 2020-21 (IHPA)</w:t>
            </w:r>
            <w:r w:rsidRPr="00A129D2">
              <w:rPr>
                <w:color w:val="000000"/>
                <w:vertAlign w:val="superscript"/>
              </w:rPr>
              <w:t>a</w:t>
            </w:r>
            <w:r w:rsidRPr="006F046A">
              <w:rPr>
                <w:color w:val="000000"/>
              </w:rPr>
              <w:t>; non-admitted service 10.13 Minor medical procedures</w:t>
            </w:r>
          </w:p>
        </w:tc>
        <w:tc>
          <w:tcPr>
            <w:tcW w:w="550" w:type="pct"/>
            <w:tcBorders>
              <w:bottom w:val="single" w:sz="4" w:space="0" w:color="auto"/>
            </w:tcBorders>
            <w:noWrap/>
          </w:tcPr>
          <w:p w14:paraId="187D9B2A" w14:textId="77777777" w:rsidR="00E65C5B" w:rsidRDefault="00E65C5B" w:rsidP="00973B06">
            <w:pPr>
              <w:pStyle w:val="Tabletext1"/>
              <w:jc w:val="left"/>
            </w:pPr>
            <w:r>
              <w:t>1 per maintenance course</w:t>
            </w:r>
          </w:p>
        </w:tc>
        <w:tc>
          <w:tcPr>
            <w:tcW w:w="522" w:type="pct"/>
            <w:tcBorders>
              <w:bottom w:val="single" w:sz="4" w:space="0" w:color="auto"/>
            </w:tcBorders>
          </w:tcPr>
          <w:p w14:paraId="25B64F3C" w14:textId="77777777" w:rsidR="00E65C5B" w:rsidRDefault="00E65C5B" w:rsidP="00E65C5B">
            <w:pPr>
              <w:pStyle w:val="Tabletext1"/>
              <w:jc w:val="right"/>
            </w:pPr>
            <w:r>
              <w:t>$693</w:t>
            </w:r>
          </w:p>
        </w:tc>
      </w:tr>
      <w:tr w:rsidR="00E65C5B" w:rsidRPr="00C71B36" w14:paraId="0B20D409" w14:textId="77777777" w:rsidTr="00973B06">
        <w:trPr>
          <w:trHeight w:val="300"/>
        </w:trPr>
        <w:tc>
          <w:tcPr>
            <w:tcW w:w="1806" w:type="pct"/>
            <w:tcBorders>
              <w:bottom w:val="single" w:sz="12" w:space="0" w:color="auto"/>
              <w:right w:val="nil"/>
            </w:tcBorders>
            <w:noWrap/>
          </w:tcPr>
          <w:p w14:paraId="521FA74C" w14:textId="77777777" w:rsidR="00E65C5B" w:rsidRDefault="00E65C5B" w:rsidP="0042268D">
            <w:pPr>
              <w:pStyle w:val="Tabletext1"/>
            </w:pPr>
            <w:r>
              <w:t>Total cost per maintenance treatment</w:t>
            </w:r>
          </w:p>
        </w:tc>
        <w:tc>
          <w:tcPr>
            <w:tcW w:w="550" w:type="pct"/>
            <w:tcBorders>
              <w:left w:val="nil"/>
              <w:bottom w:val="single" w:sz="12" w:space="0" w:color="auto"/>
              <w:right w:val="nil"/>
            </w:tcBorders>
            <w:noWrap/>
          </w:tcPr>
          <w:p w14:paraId="2361E454" w14:textId="77777777" w:rsidR="00E65C5B" w:rsidRDefault="00E65C5B" w:rsidP="00E65C5B">
            <w:pPr>
              <w:pStyle w:val="Tabletext1"/>
              <w:jc w:val="right"/>
            </w:pPr>
          </w:p>
        </w:tc>
        <w:tc>
          <w:tcPr>
            <w:tcW w:w="1572" w:type="pct"/>
            <w:tcBorders>
              <w:left w:val="nil"/>
              <w:bottom w:val="single" w:sz="12" w:space="0" w:color="auto"/>
              <w:right w:val="nil"/>
            </w:tcBorders>
          </w:tcPr>
          <w:p w14:paraId="7D813C8F" w14:textId="77777777" w:rsidR="00E65C5B" w:rsidRDefault="00E65C5B" w:rsidP="00E65C5B">
            <w:pPr>
              <w:pStyle w:val="Tabletext1"/>
            </w:pPr>
          </w:p>
        </w:tc>
        <w:tc>
          <w:tcPr>
            <w:tcW w:w="550" w:type="pct"/>
            <w:tcBorders>
              <w:left w:val="nil"/>
              <w:bottom w:val="single" w:sz="12" w:space="0" w:color="auto"/>
              <w:right w:val="single" w:sz="8" w:space="0" w:color="auto"/>
            </w:tcBorders>
            <w:noWrap/>
          </w:tcPr>
          <w:p w14:paraId="61FD362E" w14:textId="77777777" w:rsidR="00E65C5B" w:rsidRPr="00C71B36" w:rsidRDefault="00E65C5B" w:rsidP="00E65C5B">
            <w:pPr>
              <w:pStyle w:val="Tabletext1"/>
            </w:pPr>
          </w:p>
        </w:tc>
        <w:tc>
          <w:tcPr>
            <w:tcW w:w="522" w:type="pct"/>
            <w:tcBorders>
              <w:left w:val="single" w:sz="8" w:space="0" w:color="auto"/>
              <w:bottom w:val="single" w:sz="12" w:space="0" w:color="auto"/>
            </w:tcBorders>
          </w:tcPr>
          <w:p w14:paraId="4A1462D8" w14:textId="77777777" w:rsidR="00E65C5B" w:rsidRDefault="00E65C5B" w:rsidP="00E65C5B">
            <w:pPr>
              <w:pStyle w:val="Tabletext1"/>
              <w:jc w:val="right"/>
            </w:pPr>
            <w:r>
              <w:t>$738</w:t>
            </w:r>
          </w:p>
        </w:tc>
      </w:tr>
      <w:tr w:rsidR="00E65C5B" w:rsidRPr="00C71B36" w14:paraId="32D00584" w14:textId="77777777" w:rsidTr="00973B06">
        <w:trPr>
          <w:trHeight w:val="300"/>
        </w:trPr>
        <w:tc>
          <w:tcPr>
            <w:tcW w:w="1806" w:type="pct"/>
            <w:tcBorders>
              <w:top w:val="single" w:sz="12" w:space="0" w:color="auto"/>
              <w:right w:val="nil"/>
            </w:tcBorders>
            <w:noWrap/>
          </w:tcPr>
          <w:p w14:paraId="05730F67" w14:textId="77777777" w:rsidR="00E65C5B" w:rsidRPr="00DA2A24" w:rsidRDefault="00E65C5B" w:rsidP="00E65C5B">
            <w:pPr>
              <w:pStyle w:val="Tabletext1"/>
              <w:rPr>
                <w:b/>
              </w:rPr>
            </w:pPr>
            <w:r w:rsidRPr="00DA2A24">
              <w:rPr>
                <w:b/>
              </w:rPr>
              <w:t>Monitoring costs</w:t>
            </w:r>
          </w:p>
        </w:tc>
        <w:tc>
          <w:tcPr>
            <w:tcW w:w="550" w:type="pct"/>
            <w:tcBorders>
              <w:top w:val="single" w:sz="12" w:space="0" w:color="auto"/>
              <w:left w:val="nil"/>
              <w:right w:val="nil"/>
            </w:tcBorders>
            <w:noWrap/>
          </w:tcPr>
          <w:p w14:paraId="2A228363" w14:textId="77777777" w:rsidR="00E65C5B" w:rsidRDefault="00E65C5B" w:rsidP="00E65C5B">
            <w:pPr>
              <w:pStyle w:val="Tabletext1"/>
              <w:jc w:val="right"/>
            </w:pPr>
          </w:p>
        </w:tc>
        <w:tc>
          <w:tcPr>
            <w:tcW w:w="1572" w:type="pct"/>
            <w:tcBorders>
              <w:top w:val="single" w:sz="12" w:space="0" w:color="auto"/>
              <w:left w:val="nil"/>
              <w:right w:val="nil"/>
            </w:tcBorders>
          </w:tcPr>
          <w:p w14:paraId="091743CF" w14:textId="77777777" w:rsidR="00E65C5B" w:rsidRDefault="00E65C5B" w:rsidP="00E65C5B">
            <w:pPr>
              <w:pStyle w:val="Tabletext1"/>
            </w:pPr>
          </w:p>
        </w:tc>
        <w:tc>
          <w:tcPr>
            <w:tcW w:w="550" w:type="pct"/>
            <w:tcBorders>
              <w:top w:val="single" w:sz="12" w:space="0" w:color="auto"/>
              <w:left w:val="nil"/>
              <w:right w:val="nil"/>
            </w:tcBorders>
            <w:noWrap/>
          </w:tcPr>
          <w:p w14:paraId="5C9123AE" w14:textId="77777777" w:rsidR="00E65C5B" w:rsidRPr="00C71B36" w:rsidRDefault="00E65C5B" w:rsidP="00E65C5B">
            <w:pPr>
              <w:pStyle w:val="Tabletext1"/>
            </w:pPr>
          </w:p>
        </w:tc>
        <w:tc>
          <w:tcPr>
            <w:tcW w:w="522" w:type="pct"/>
            <w:tcBorders>
              <w:top w:val="single" w:sz="12" w:space="0" w:color="auto"/>
              <w:left w:val="nil"/>
            </w:tcBorders>
          </w:tcPr>
          <w:p w14:paraId="4712AEFD" w14:textId="77777777" w:rsidR="00E65C5B" w:rsidRDefault="00E65C5B" w:rsidP="00E65C5B">
            <w:pPr>
              <w:pStyle w:val="Tabletext1"/>
              <w:jc w:val="right"/>
            </w:pPr>
          </w:p>
        </w:tc>
      </w:tr>
      <w:tr w:rsidR="00E65C5B" w:rsidRPr="00C71B36" w14:paraId="4E674EB1" w14:textId="77777777" w:rsidTr="00973B06">
        <w:trPr>
          <w:trHeight w:val="300"/>
        </w:trPr>
        <w:tc>
          <w:tcPr>
            <w:tcW w:w="1806" w:type="pct"/>
            <w:noWrap/>
            <w:hideMark/>
          </w:tcPr>
          <w:p w14:paraId="7170581D" w14:textId="77777777" w:rsidR="00E65C5B" w:rsidRPr="00C71B36" w:rsidRDefault="00E65C5B" w:rsidP="00E65C5B">
            <w:pPr>
              <w:pStyle w:val="Tabletext1"/>
            </w:pPr>
            <w:r w:rsidRPr="00C71B36">
              <w:t>GP visits</w:t>
            </w:r>
          </w:p>
        </w:tc>
        <w:tc>
          <w:tcPr>
            <w:tcW w:w="550" w:type="pct"/>
            <w:noWrap/>
            <w:hideMark/>
          </w:tcPr>
          <w:p w14:paraId="7DF15574" w14:textId="77777777" w:rsidR="00E65C5B" w:rsidRPr="00C71B36" w:rsidRDefault="00E65C5B" w:rsidP="00E65C5B">
            <w:pPr>
              <w:pStyle w:val="Tabletext1"/>
              <w:jc w:val="right"/>
            </w:pPr>
            <w:r w:rsidRPr="00C71B36">
              <w:t>$39</w:t>
            </w:r>
          </w:p>
        </w:tc>
        <w:tc>
          <w:tcPr>
            <w:tcW w:w="1572" w:type="pct"/>
            <w:noWrap/>
            <w:hideMark/>
          </w:tcPr>
          <w:p w14:paraId="2E684C56" w14:textId="77777777" w:rsidR="00E65C5B" w:rsidRPr="00C71B36" w:rsidRDefault="00E65C5B" w:rsidP="00E65C5B">
            <w:pPr>
              <w:pStyle w:val="Tabletext1"/>
            </w:pPr>
            <w:r w:rsidRPr="00C71B36">
              <w:t>MBS 23</w:t>
            </w:r>
          </w:p>
        </w:tc>
        <w:tc>
          <w:tcPr>
            <w:tcW w:w="550" w:type="pct"/>
            <w:noWrap/>
            <w:hideMark/>
          </w:tcPr>
          <w:p w14:paraId="72454932" w14:textId="77777777" w:rsidR="00E65C5B" w:rsidRPr="00C71B36" w:rsidRDefault="00E65C5B" w:rsidP="00E65C5B">
            <w:pPr>
              <w:pStyle w:val="Tabletext1"/>
              <w:jc w:val="right"/>
            </w:pPr>
            <w:r w:rsidRPr="00C71B36">
              <w:t>2</w:t>
            </w:r>
          </w:p>
        </w:tc>
        <w:tc>
          <w:tcPr>
            <w:tcW w:w="522" w:type="pct"/>
          </w:tcPr>
          <w:p w14:paraId="6715E7B7" w14:textId="77777777" w:rsidR="00E65C5B" w:rsidRPr="00C71B36" w:rsidRDefault="00E65C5B" w:rsidP="00E65C5B">
            <w:pPr>
              <w:pStyle w:val="Tabletext1"/>
              <w:jc w:val="right"/>
            </w:pPr>
            <w:r w:rsidRPr="00C71B36">
              <w:t>$5.96</w:t>
            </w:r>
          </w:p>
        </w:tc>
      </w:tr>
      <w:tr w:rsidR="00E65C5B" w:rsidRPr="00C71B36" w14:paraId="1EA60601" w14:textId="77777777" w:rsidTr="00973B06">
        <w:trPr>
          <w:trHeight w:val="300"/>
        </w:trPr>
        <w:tc>
          <w:tcPr>
            <w:tcW w:w="1806" w:type="pct"/>
            <w:noWrap/>
            <w:hideMark/>
          </w:tcPr>
          <w:p w14:paraId="6C42B5C3" w14:textId="77777777" w:rsidR="00E65C5B" w:rsidRPr="00EF2948" w:rsidRDefault="00E65C5B" w:rsidP="00E65C5B">
            <w:pPr>
              <w:pStyle w:val="Tabletext1"/>
              <w:rPr>
                <w:vertAlign w:val="superscript"/>
              </w:rPr>
            </w:pPr>
            <w:r w:rsidRPr="00C71B36">
              <w:t>Neurol</w:t>
            </w:r>
            <w:r>
              <w:t>o</w:t>
            </w:r>
            <w:r w:rsidRPr="00C71B36">
              <w:t>gist consultation</w:t>
            </w:r>
            <w:r>
              <w:t xml:space="preserve"> </w:t>
            </w:r>
            <w:r>
              <w:rPr>
                <w:vertAlign w:val="superscript"/>
              </w:rPr>
              <w:t>b</w:t>
            </w:r>
          </w:p>
        </w:tc>
        <w:tc>
          <w:tcPr>
            <w:tcW w:w="550" w:type="pct"/>
            <w:noWrap/>
            <w:hideMark/>
          </w:tcPr>
          <w:p w14:paraId="5643F565" w14:textId="0CEA0130" w:rsidR="00E65C5B" w:rsidRPr="00C71B36" w:rsidRDefault="00E65C5B" w:rsidP="00E65C5B">
            <w:pPr>
              <w:pStyle w:val="Tabletext1"/>
              <w:jc w:val="right"/>
            </w:pPr>
            <w:r w:rsidRPr="006F046A">
              <w:rPr>
                <w:color w:val="000000"/>
              </w:rPr>
              <w:t>$1</w:t>
            </w:r>
            <w:r>
              <w:rPr>
                <w:color w:val="000000"/>
              </w:rPr>
              <w:t>91.68</w:t>
            </w:r>
          </w:p>
        </w:tc>
        <w:tc>
          <w:tcPr>
            <w:tcW w:w="1572" w:type="pct"/>
            <w:noWrap/>
            <w:hideMark/>
          </w:tcPr>
          <w:p w14:paraId="082A11C4" w14:textId="083C4969" w:rsidR="00E65C5B" w:rsidRPr="00C71B36" w:rsidRDefault="00E65C5B" w:rsidP="00E65C5B">
            <w:pPr>
              <w:pStyle w:val="Tabletext1"/>
            </w:pPr>
            <w:r>
              <w:rPr>
                <w:color w:val="000000"/>
              </w:rPr>
              <w:t xml:space="preserve">Weighted scheduled fee for </w:t>
            </w:r>
            <w:r w:rsidRPr="006F046A">
              <w:rPr>
                <w:color w:val="000000"/>
              </w:rPr>
              <w:t xml:space="preserve">MBS </w:t>
            </w:r>
            <w:r>
              <w:rPr>
                <w:color w:val="000000"/>
              </w:rPr>
              <w:t xml:space="preserve">items </w:t>
            </w:r>
            <w:r w:rsidRPr="006F046A">
              <w:rPr>
                <w:color w:val="000000"/>
              </w:rPr>
              <w:t>110</w:t>
            </w:r>
            <w:r>
              <w:rPr>
                <w:color w:val="000000"/>
              </w:rPr>
              <w:t xml:space="preserve"> and 132 (1 unit annually)</w:t>
            </w:r>
          </w:p>
        </w:tc>
        <w:tc>
          <w:tcPr>
            <w:tcW w:w="550" w:type="pct"/>
            <w:noWrap/>
            <w:hideMark/>
          </w:tcPr>
          <w:p w14:paraId="50F83929" w14:textId="77777777" w:rsidR="00E65C5B" w:rsidRPr="00C71B36" w:rsidRDefault="00E65C5B" w:rsidP="00E65C5B">
            <w:pPr>
              <w:pStyle w:val="Tabletext1"/>
              <w:jc w:val="right"/>
            </w:pPr>
            <w:r w:rsidRPr="00C71B36">
              <w:t>1</w:t>
            </w:r>
          </w:p>
        </w:tc>
        <w:tc>
          <w:tcPr>
            <w:tcW w:w="522" w:type="pct"/>
          </w:tcPr>
          <w:p w14:paraId="5DB5B322" w14:textId="0BD8F2C0" w:rsidR="00E65C5B" w:rsidRPr="00C71B36" w:rsidRDefault="00E65C5B" w:rsidP="00E65C5B">
            <w:pPr>
              <w:pStyle w:val="Tabletext1"/>
              <w:jc w:val="right"/>
            </w:pPr>
            <w:r w:rsidRPr="00C71B36">
              <w:t>$</w:t>
            </w:r>
            <w:r>
              <w:t>14.74</w:t>
            </w:r>
          </w:p>
        </w:tc>
      </w:tr>
      <w:tr w:rsidR="00E65C5B" w:rsidRPr="00C71B36" w14:paraId="2C1AD235" w14:textId="77777777" w:rsidTr="00973B06">
        <w:trPr>
          <w:trHeight w:val="300"/>
        </w:trPr>
        <w:tc>
          <w:tcPr>
            <w:tcW w:w="1806" w:type="pct"/>
            <w:noWrap/>
            <w:hideMark/>
          </w:tcPr>
          <w:p w14:paraId="6241285B" w14:textId="77777777" w:rsidR="00E65C5B" w:rsidRPr="00EF2948" w:rsidRDefault="00E65C5B" w:rsidP="00E65C5B">
            <w:pPr>
              <w:pStyle w:val="Tabletext1"/>
              <w:rPr>
                <w:vertAlign w:val="superscript"/>
              </w:rPr>
            </w:pPr>
            <w:r w:rsidRPr="00C71B36">
              <w:t>Neurol</w:t>
            </w:r>
            <w:r>
              <w:t>o</w:t>
            </w:r>
            <w:r w:rsidRPr="00C71B36">
              <w:t>gist consultation - follow up</w:t>
            </w:r>
            <w:r>
              <w:t xml:space="preserve"> </w:t>
            </w:r>
            <w:r>
              <w:rPr>
                <w:vertAlign w:val="superscript"/>
              </w:rPr>
              <w:t>c</w:t>
            </w:r>
          </w:p>
        </w:tc>
        <w:tc>
          <w:tcPr>
            <w:tcW w:w="550" w:type="pct"/>
            <w:noWrap/>
            <w:hideMark/>
          </w:tcPr>
          <w:p w14:paraId="78B61CA6" w14:textId="1CE56CAB" w:rsidR="00E65C5B" w:rsidRPr="00C71B36" w:rsidRDefault="00E65C5B" w:rsidP="00E65C5B">
            <w:pPr>
              <w:pStyle w:val="Tabletext1"/>
              <w:jc w:val="right"/>
            </w:pPr>
            <w:r w:rsidRPr="006F046A">
              <w:rPr>
                <w:color w:val="000000"/>
              </w:rPr>
              <w:t>$</w:t>
            </w:r>
            <w:r>
              <w:rPr>
                <w:color w:val="000000"/>
              </w:rPr>
              <w:t>83.41</w:t>
            </w:r>
          </w:p>
        </w:tc>
        <w:tc>
          <w:tcPr>
            <w:tcW w:w="1572" w:type="pct"/>
            <w:noWrap/>
            <w:hideMark/>
          </w:tcPr>
          <w:p w14:paraId="7D75F43A" w14:textId="2886A973" w:rsidR="00E65C5B" w:rsidRPr="00C71B36" w:rsidRDefault="00E65C5B" w:rsidP="00E65C5B">
            <w:pPr>
              <w:pStyle w:val="Tabletext1"/>
            </w:pPr>
            <w:r>
              <w:rPr>
                <w:color w:val="000000"/>
              </w:rPr>
              <w:t xml:space="preserve">Weighted scheduled fee for </w:t>
            </w:r>
            <w:r w:rsidRPr="006F046A">
              <w:rPr>
                <w:color w:val="000000"/>
              </w:rPr>
              <w:t xml:space="preserve">MBS </w:t>
            </w:r>
            <w:r>
              <w:rPr>
                <w:color w:val="000000"/>
              </w:rPr>
              <w:t xml:space="preserve">items </w:t>
            </w:r>
            <w:r w:rsidRPr="006F046A">
              <w:rPr>
                <w:color w:val="000000"/>
              </w:rPr>
              <w:t>116</w:t>
            </w:r>
            <w:r>
              <w:rPr>
                <w:color w:val="000000"/>
              </w:rPr>
              <w:t xml:space="preserve"> and 133 (3 units annually)</w:t>
            </w:r>
          </w:p>
        </w:tc>
        <w:tc>
          <w:tcPr>
            <w:tcW w:w="550" w:type="pct"/>
            <w:noWrap/>
            <w:hideMark/>
          </w:tcPr>
          <w:p w14:paraId="312752E0" w14:textId="77777777" w:rsidR="00E65C5B" w:rsidRPr="00C71B36" w:rsidRDefault="00E65C5B" w:rsidP="00E65C5B">
            <w:pPr>
              <w:pStyle w:val="Tabletext1"/>
              <w:jc w:val="right"/>
            </w:pPr>
            <w:r w:rsidRPr="00C71B36">
              <w:t>3</w:t>
            </w:r>
          </w:p>
        </w:tc>
        <w:tc>
          <w:tcPr>
            <w:tcW w:w="522" w:type="pct"/>
          </w:tcPr>
          <w:p w14:paraId="4CA33450" w14:textId="39F0A78B" w:rsidR="00E65C5B" w:rsidRPr="00C71B36" w:rsidRDefault="00E65C5B" w:rsidP="00E65C5B">
            <w:pPr>
              <w:pStyle w:val="Tabletext1"/>
              <w:jc w:val="right"/>
            </w:pPr>
            <w:r w:rsidRPr="00C71B36">
              <w:t>$</w:t>
            </w:r>
            <w:r>
              <w:t>19.25</w:t>
            </w:r>
          </w:p>
        </w:tc>
      </w:tr>
      <w:tr w:rsidR="00E65C5B" w:rsidRPr="00C71B36" w14:paraId="66892894" w14:textId="77777777" w:rsidTr="00973B06">
        <w:trPr>
          <w:trHeight w:val="300"/>
        </w:trPr>
        <w:tc>
          <w:tcPr>
            <w:tcW w:w="1806" w:type="pct"/>
            <w:noWrap/>
            <w:hideMark/>
          </w:tcPr>
          <w:p w14:paraId="1BFEF95F" w14:textId="77777777" w:rsidR="00E65C5B" w:rsidRPr="00C71B36" w:rsidRDefault="00E65C5B" w:rsidP="00E65C5B">
            <w:pPr>
              <w:pStyle w:val="Tabletext1"/>
            </w:pPr>
            <w:r w:rsidRPr="00C71B36">
              <w:t>Pathology tests - liver and renal function</w:t>
            </w:r>
          </w:p>
        </w:tc>
        <w:tc>
          <w:tcPr>
            <w:tcW w:w="550" w:type="pct"/>
            <w:noWrap/>
            <w:hideMark/>
          </w:tcPr>
          <w:p w14:paraId="1FB17B3E" w14:textId="77777777" w:rsidR="00E65C5B" w:rsidRPr="00C71B36" w:rsidRDefault="00E65C5B" w:rsidP="00E65C5B">
            <w:pPr>
              <w:pStyle w:val="Tabletext1"/>
              <w:jc w:val="right"/>
            </w:pPr>
            <w:r w:rsidRPr="00C71B36">
              <w:t>$17.70</w:t>
            </w:r>
          </w:p>
        </w:tc>
        <w:tc>
          <w:tcPr>
            <w:tcW w:w="1572" w:type="pct"/>
            <w:noWrap/>
            <w:hideMark/>
          </w:tcPr>
          <w:p w14:paraId="76D1C92B" w14:textId="77777777" w:rsidR="00E65C5B" w:rsidRPr="00C71B36" w:rsidRDefault="00E65C5B" w:rsidP="00E65C5B">
            <w:pPr>
              <w:pStyle w:val="Tabletext1"/>
            </w:pPr>
            <w:r w:rsidRPr="00C71B36">
              <w:t>MBS 66512</w:t>
            </w:r>
          </w:p>
        </w:tc>
        <w:tc>
          <w:tcPr>
            <w:tcW w:w="550" w:type="pct"/>
            <w:noWrap/>
            <w:hideMark/>
          </w:tcPr>
          <w:p w14:paraId="691F7A0B" w14:textId="77777777" w:rsidR="00E65C5B" w:rsidRPr="00C71B36" w:rsidRDefault="00E65C5B" w:rsidP="00E65C5B">
            <w:pPr>
              <w:pStyle w:val="Tabletext1"/>
              <w:jc w:val="right"/>
            </w:pPr>
            <w:r w:rsidRPr="00C71B36">
              <w:t>2</w:t>
            </w:r>
          </w:p>
        </w:tc>
        <w:tc>
          <w:tcPr>
            <w:tcW w:w="522" w:type="pct"/>
          </w:tcPr>
          <w:p w14:paraId="7799E8E9" w14:textId="77777777" w:rsidR="00E65C5B" w:rsidRPr="00C71B36" w:rsidRDefault="00E65C5B" w:rsidP="00E65C5B">
            <w:pPr>
              <w:pStyle w:val="Tabletext1"/>
              <w:jc w:val="right"/>
            </w:pPr>
            <w:r w:rsidRPr="00C71B36">
              <w:t>$2.72</w:t>
            </w:r>
          </w:p>
        </w:tc>
      </w:tr>
      <w:tr w:rsidR="00E65C5B" w:rsidRPr="00C71B36" w14:paraId="31F80017" w14:textId="77777777" w:rsidTr="00973B06">
        <w:trPr>
          <w:trHeight w:val="300"/>
        </w:trPr>
        <w:tc>
          <w:tcPr>
            <w:tcW w:w="1806" w:type="pct"/>
            <w:noWrap/>
            <w:hideMark/>
          </w:tcPr>
          <w:p w14:paraId="36E6B25F" w14:textId="77777777" w:rsidR="00E65C5B" w:rsidRPr="00C71B36" w:rsidRDefault="00E65C5B" w:rsidP="00E65C5B">
            <w:pPr>
              <w:pStyle w:val="Tabletext1"/>
            </w:pPr>
            <w:r w:rsidRPr="00C71B36">
              <w:t>Pathology tests - Blood examination</w:t>
            </w:r>
          </w:p>
        </w:tc>
        <w:tc>
          <w:tcPr>
            <w:tcW w:w="550" w:type="pct"/>
            <w:noWrap/>
            <w:hideMark/>
          </w:tcPr>
          <w:p w14:paraId="4B55C2F9" w14:textId="77777777" w:rsidR="00E65C5B" w:rsidRPr="00C71B36" w:rsidRDefault="00E65C5B" w:rsidP="00E65C5B">
            <w:pPr>
              <w:pStyle w:val="Tabletext1"/>
              <w:jc w:val="right"/>
            </w:pPr>
            <w:r w:rsidRPr="00C71B36">
              <w:t>$16.95</w:t>
            </w:r>
          </w:p>
        </w:tc>
        <w:tc>
          <w:tcPr>
            <w:tcW w:w="1572" w:type="pct"/>
            <w:noWrap/>
            <w:hideMark/>
          </w:tcPr>
          <w:p w14:paraId="3425A9D7" w14:textId="77777777" w:rsidR="00E65C5B" w:rsidRPr="00C71B36" w:rsidRDefault="00E65C5B" w:rsidP="00E65C5B">
            <w:pPr>
              <w:pStyle w:val="Tabletext1"/>
            </w:pPr>
            <w:r w:rsidRPr="00C71B36">
              <w:t>MBS 65070</w:t>
            </w:r>
          </w:p>
        </w:tc>
        <w:tc>
          <w:tcPr>
            <w:tcW w:w="550" w:type="pct"/>
            <w:noWrap/>
            <w:hideMark/>
          </w:tcPr>
          <w:p w14:paraId="23F17FB7" w14:textId="77777777" w:rsidR="00E65C5B" w:rsidRPr="00C71B36" w:rsidRDefault="00E65C5B" w:rsidP="00E65C5B">
            <w:pPr>
              <w:pStyle w:val="Tabletext1"/>
              <w:jc w:val="right"/>
            </w:pPr>
            <w:r w:rsidRPr="00C71B36">
              <w:t>2</w:t>
            </w:r>
          </w:p>
        </w:tc>
        <w:tc>
          <w:tcPr>
            <w:tcW w:w="522" w:type="pct"/>
          </w:tcPr>
          <w:p w14:paraId="02BD4475" w14:textId="77777777" w:rsidR="00E65C5B" w:rsidRPr="00C71B36" w:rsidRDefault="00E65C5B" w:rsidP="00E65C5B">
            <w:pPr>
              <w:pStyle w:val="Tabletext1"/>
              <w:jc w:val="right"/>
            </w:pPr>
            <w:r w:rsidRPr="00C71B36">
              <w:t>$2.61</w:t>
            </w:r>
          </w:p>
        </w:tc>
      </w:tr>
      <w:tr w:rsidR="00E65C5B" w:rsidRPr="00C71B36" w14:paraId="02BC0F41" w14:textId="77777777" w:rsidTr="00973B06">
        <w:trPr>
          <w:trHeight w:val="300"/>
        </w:trPr>
        <w:tc>
          <w:tcPr>
            <w:tcW w:w="1806" w:type="pct"/>
            <w:noWrap/>
            <w:hideMark/>
          </w:tcPr>
          <w:p w14:paraId="1228460E" w14:textId="77777777" w:rsidR="00E65C5B" w:rsidRPr="00C71B36" w:rsidRDefault="00E65C5B" w:rsidP="00E65C5B">
            <w:pPr>
              <w:pStyle w:val="Tabletext1"/>
            </w:pPr>
            <w:r w:rsidRPr="00C71B36">
              <w:t>Test for open angle glaucoma</w:t>
            </w:r>
          </w:p>
        </w:tc>
        <w:tc>
          <w:tcPr>
            <w:tcW w:w="550" w:type="pct"/>
            <w:noWrap/>
            <w:hideMark/>
          </w:tcPr>
          <w:p w14:paraId="2E144D72" w14:textId="77777777" w:rsidR="00E65C5B" w:rsidRPr="00C71B36" w:rsidRDefault="00E65C5B" w:rsidP="00E65C5B">
            <w:pPr>
              <w:pStyle w:val="Tabletext1"/>
              <w:jc w:val="right"/>
            </w:pPr>
            <w:r w:rsidRPr="00C71B36">
              <w:t>$42.05</w:t>
            </w:r>
          </w:p>
        </w:tc>
        <w:tc>
          <w:tcPr>
            <w:tcW w:w="1572" w:type="pct"/>
            <w:noWrap/>
            <w:hideMark/>
          </w:tcPr>
          <w:p w14:paraId="5BEBD765" w14:textId="77777777" w:rsidR="00E65C5B" w:rsidRPr="00C71B36" w:rsidRDefault="00E65C5B" w:rsidP="00E65C5B">
            <w:pPr>
              <w:pStyle w:val="Tabletext1"/>
            </w:pPr>
            <w:r w:rsidRPr="00C71B36">
              <w:t>MBS 11200</w:t>
            </w:r>
          </w:p>
        </w:tc>
        <w:tc>
          <w:tcPr>
            <w:tcW w:w="550" w:type="pct"/>
            <w:noWrap/>
            <w:hideMark/>
          </w:tcPr>
          <w:p w14:paraId="01B31463" w14:textId="77777777" w:rsidR="00E65C5B" w:rsidRPr="00C71B36" w:rsidRDefault="00E65C5B" w:rsidP="00E65C5B">
            <w:pPr>
              <w:pStyle w:val="Tabletext1"/>
              <w:jc w:val="right"/>
            </w:pPr>
            <w:r w:rsidRPr="00C71B36">
              <w:t>1</w:t>
            </w:r>
          </w:p>
        </w:tc>
        <w:tc>
          <w:tcPr>
            <w:tcW w:w="522" w:type="pct"/>
          </w:tcPr>
          <w:p w14:paraId="4E21D382" w14:textId="77777777" w:rsidR="00E65C5B" w:rsidRPr="00C71B36" w:rsidRDefault="00E65C5B" w:rsidP="00E65C5B">
            <w:pPr>
              <w:pStyle w:val="Tabletext1"/>
              <w:jc w:val="right"/>
            </w:pPr>
            <w:r w:rsidRPr="00C71B36">
              <w:t>$3.23</w:t>
            </w:r>
          </w:p>
        </w:tc>
      </w:tr>
      <w:tr w:rsidR="00E65C5B" w:rsidRPr="00C71B36" w14:paraId="6C80EA05" w14:textId="77777777" w:rsidTr="00973B06">
        <w:trPr>
          <w:trHeight w:val="300"/>
        </w:trPr>
        <w:tc>
          <w:tcPr>
            <w:tcW w:w="1806" w:type="pct"/>
            <w:noWrap/>
            <w:hideMark/>
          </w:tcPr>
          <w:p w14:paraId="03A1DFBF" w14:textId="77777777" w:rsidR="00E65C5B" w:rsidRPr="00C71B36" w:rsidRDefault="00E65C5B" w:rsidP="00E65C5B">
            <w:pPr>
              <w:pStyle w:val="Tabletext1"/>
            </w:pPr>
            <w:r w:rsidRPr="00C71B36">
              <w:t>Test for diabetes</w:t>
            </w:r>
          </w:p>
        </w:tc>
        <w:tc>
          <w:tcPr>
            <w:tcW w:w="550" w:type="pct"/>
            <w:noWrap/>
            <w:hideMark/>
          </w:tcPr>
          <w:p w14:paraId="74115F87" w14:textId="77777777" w:rsidR="00E65C5B" w:rsidRPr="00C71B36" w:rsidRDefault="00E65C5B" w:rsidP="00E65C5B">
            <w:pPr>
              <w:pStyle w:val="Tabletext1"/>
              <w:jc w:val="right"/>
            </w:pPr>
            <w:r w:rsidRPr="00C71B36">
              <w:t>$16.80</w:t>
            </w:r>
          </w:p>
        </w:tc>
        <w:tc>
          <w:tcPr>
            <w:tcW w:w="1572" w:type="pct"/>
            <w:noWrap/>
            <w:hideMark/>
          </w:tcPr>
          <w:p w14:paraId="598AB744" w14:textId="77777777" w:rsidR="00E65C5B" w:rsidRPr="00C71B36" w:rsidRDefault="00E65C5B" w:rsidP="00E65C5B">
            <w:pPr>
              <w:pStyle w:val="Tabletext1"/>
            </w:pPr>
            <w:r w:rsidRPr="00C71B36">
              <w:t>MBS 66841</w:t>
            </w:r>
          </w:p>
        </w:tc>
        <w:tc>
          <w:tcPr>
            <w:tcW w:w="550" w:type="pct"/>
            <w:noWrap/>
            <w:hideMark/>
          </w:tcPr>
          <w:p w14:paraId="39A598B9" w14:textId="77777777" w:rsidR="00E65C5B" w:rsidRPr="00C71B36" w:rsidRDefault="00E65C5B" w:rsidP="00E65C5B">
            <w:pPr>
              <w:pStyle w:val="Tabletext1"/>
              <w:jc w:val="right"/>
            </w:pPr>
            <w:r w:rsidRPr="00C71B36">
              <w:t>3</w:t>
            </w:r>
          </w:p>
        </w:tc>
        <w:tc>
          <w:tcPr>
            <w:tcW w:w="522" w:type="pct"/>
          </w:tcPr>
          <w:p w14:paraId="20E0D610" w14:textId="77777777" w:rsidR="00E65C5B" w:rsidRPr="00C71B36" w:rsidRDefault="00E65C5B" w:rsidP="00E65C5B">
            <w:pPr>
              <w:pStyle w:val="Tabletext1"/>
              <w:jc w:val="right"/>
            </w:pPr>
            <w:r w:rsidRPr="00C71B36">
              <w:t>$3.88</w:t>
            </w:r>
          </w:p>
        </w:tc>
      </w:tr>
      <w:tr w:rsidR="00E65C5B" w:rsidRPr="00C71B36" w14:paraId="7709D515" w14:textId="77777777" w:rsidTr="00973B06">
        <w:trPr>
          <w:trHeight w:val="300"/>
        </w:trPr>
        <w:tc>
          <w:tcPr>
            <w:tcW w:w="1806" w:type="pct"/>
            <w:noWrap/>
            <w:hideMark/>
          </w:tcPr>
          <w:p w14:paraId="289EA33A" w14:textId="77777777" w:rsidR="00E65C5B" w:rsidRPr="00C71B36" w:rsidRDefault="00E65C5B" w:rsidP="00E65C5B">
            <w:pPr>
              <w:pStyle w:val="Tabletext1"/>
            </w:pPr>
            <w:r w:rsidRPr="00C71B36">
              <w:t>Vitamin D</w:t>
            </w:r>
          </w:p>
        </w:tc>
        <w:tc>
          <w:tcPr>
            <w:tcW w:w="550" w:type="pct"/>
            <w:noWrap/>
            <w:hideMark/>
          </w:tcPr>
          <w:p w14:paraId="68E8A0A4" w14:textId="77777777" w:rsidR="00E65C5B" w:rsidRPr="00C71B36" w:rsidRDefault="00E65C5B" w:rsidP="00E65C5B">
            <w:pPr>
              <w:pStyle w:val="Tabletext1"/>
              <w:jc w:val="right"/>
            </w:pPr>
            <w:r w:rsidRPr="00C71B36">
              <w:t>$30.05</w:t>
            </w:r>
          </w:p>
        </w:tc>
        <w:tc>
          <w:tcPr>
            <w:tcW w:w="1572" w:type="pct"/>
            <w:noWrap/>
            <w:hideMark/>
          </w:tcPr>
          <w:p w14:paraId="3F6792BD" w14:textId="77777777" w:rsidR="00E65C5B" w:rsidRPr="00C71B36" w:rsidRDefault="00E65C5B" w:rsidP="00E65C5B">
            <w:pPr>
              <w:pStyle w:val="Tabletext1"/>
            </w:pPr>
            <w:r w:rsidRPr="00C71B36">
              <w:t>MBS 66833</w:t>
            </w:r>
          </w:p>
        </w:tc>
        <w:tc>
          <w:tcPr>
            <w:tcW w:w="550" w:type="pct"/>
            <w:noWrap/>
            <w:hideMark/>
          </w:tcPr>
          <w:p w14:paraId="03752A5D" w14:textId="77777777" w:rsidR="00E65C5B" w:rsidRPr="00C71B36" w:rsidRDefault="00E65C5B" w:rsidP="00E65C5B">
            <w:pPr>
              <w:pStyle w:val="Tabletext1"/>
              <w:jc w:val="right"/>
            </w:pPr>
            <w:r w:rsidRPr="00C71B36">
              <w:t>1</w:t>
            </w:r>
          </w:p>
        </w:tc>
        <w:tc>
          <w:tcPr>
            <w:tcW w:w="522" w:type="pct"/>
          </w:tcPr>
          <w:p w14:paraId="40E6F31F" w14:textId="77777777" w:rsidR="00E65C5B" w:rsidRPr="00C71B36" w:rsidRDefault="00E65C5B" w:rsidP="00E65C5B">
            <w:pPr>
              <w:pStyle w:val="Tabletext1"/>
              <w:jc w:val="right"/>
            </w:pPr>
            <w:r w:rsidRPr="00C71B36">
              <w:t>$2.31</w:t>
            </w:r>
          </w:p>
        </w:tc>
      </w:tr>
      <w:tr w:rsidR="00E65C5B" w:rsidRPr="00C71B36" w14:paraId="72432231" w14:textId="77777777" w:rsidTr="00973B06">
        <w:trPr>
          <w:trHeight w:val="300"/>
        </w:trPr>
        <w:tc>
          <w:tcPr>
            <w:tcW w:w="1806" w:type="pct"/>
            <w:noWrap/>
            <w:hideMark/>
          </w:tcPr>
          <w:p w14:paraId="4F408B40" w14:textId="77777777" w:rsidR="00E65C5B" w:rsidRPr="00C71B36" w:rsidRDefault="00E65C5B" w:rsidP="00E65C5B">
            <w:pPr>
              <w:pStyle w:val="Tabletext1"/>
            </w:pPr>
            <w:r w:rsidRPr="00C71B36">
              <w:t>D</w:t>
            </w:r>
            <w:r>
              <w:t>E</w:t>
            </w:r>
            <w:r w:rsidRPr="00C71B36">
              <w:t>XA scan</w:t>
            </w:r>
          </w:p>
        </w:tc>
        <w:tc>
          <w:tcPr>
            <w:tcW w:w="550" w:type="pct"/>
            <w:noWrap/>
            <w:hideMark/>
          </w:tcPr>
          <w:p w14:paraId="7A2B0391" w14:textId="77777777" w:rsidR="00E65C5B" w:rsidRPr="00C71B36" w:rsidRDefault="00E65C5B" w:rsidP="00E65C5B">
            <w:pPr>
              <w:pStyle w:val="Tabletext1"/>
              <w:jc w:val="right"/>
            </w:pPr>
            <w:r w:rsidRPr="00C71B36">
              <w:t>$105.60</w:t>
            </w:r>
          </w:p>
        </w:tc>
        <w:tc>
          <w:tcPr>
            <w:tcW w:w="1572" w:type="pct"/>
            <w:noWrap/>
            <w:hideMark/>
          </w:tcPr>
          <w:p w14:paraId="5F34D267" w14:textId="77777777" w:rsidR="00E65C5B" w:rsidRPr="00C71B36" w:rsidRDefault="00E65C5B" w:rsidP="00E65C5B">
            <w:pPr>
              <w:pStyle w:val="Tabletext1"/>
            </w:pPr>
            <w:r w:rsidRPr="00C71B36">
              <w:t>MBS 12312</w:t>
            </w:r>
            <w:r>
              <w:t xml:space="preserve"> (once every three years)</w:t>
            </w:r>
          </w:p>
        </w:tc>
        <w:tc>
          <w:tcPr>
            <w:tcW w:w="550" w:type="pct"/>
            <w:noWrap/>
            <w:hideMark/>
          </w:tcPr>
          <w:p w14:paraId="087895A9" w14:textId="77777777" w:rsidR="00E65C5B" w:rsidRPr="00C71B36" w:rsidRDefault="00E65C5B" w:rsidP="00E65C5B">
            <w:pPr>
              <w:pStyle w:val="Tabletext1"/>
              <w:jc w:val="right"/>
            </w:pPr>
            <w:r w:rsidRPr="00C71B36">
              <w:t>0.33</w:t>
            </w:r>
          </w:p>
        </w:tc>
        <w:tc>
          <w:tcPr>
            <w:tcW w:w="522" w:type="pct"/>
          </w:tcPr>
          <w:p w14:paraId="15121883" w14:textId="77777777" w:rsidR="00E65C5B" w:rsidRPr="00C71B36" w:rsidRDefault="00E65C5B" w:rsidP="00E65C5B">
            <w:pPr>
              <w:pStyle w:val="Tabletext1"/>
              <w:jc w:val="right"/>
            </w:pPr>
            <w:r w:rsidRPr="00C71B36">
              <w:t>$2.68</w:t>
            </w:r>
          </w:p>
        </w:tc>
      </w:tr>
      <w:tr w:rsidR="00E65C5B" w:rsidRPr="00C71B36" w14:paraId="39ADCA77" w14:textId="77777777" w:rsidTr="00EF2948">
        <w:trPr>
          <w:trHeight w:val="300"/>
        </w:trPr>
        <w:tc>
          <w:tcPr>
            <w:tcW w:w="1806" w:type="pct"/>
            <w:tcBorders>
              <w:bottom w:val="single" w:sz="4" w:space="0" w:color="auto"/>
            </w:tcBorders>
            <w:noWrap/>
          </w:tcPr>
          <w:p w14:paraId="1483B261" w14:textId="19F83B14" w:rsidR="00E65C5B" w:rsidRPr="00C71B36" w:rsidRDefault="00E65C5B" w:rsidP="00E65C5B">
            <w:pPr>
              <w:pStyle w:val="Tabletext1"/>
            </w:pPr>
            <w:r w:rsidRPr="00C71B36">
              <w:t>Alendronate + c</w:t>
            </w:r>
            <w:r>
              <w:t>h</w:t>
            </w:r>
            <w:r w:rsidRPr="00C71B36">
              <w:t>olecalciferol (</w:t>
            </w:r>
            <w:r>
              <w:t>and</w:t>
            </w:r>
            <w:r w:rsidRPr="00C71B36">
              <w:t>) calcium carbonate</w:t>
            </w:r>
          </w:p>
        </w:tc>
        <w:tc>
          <w:tcPr>
            <w:tcW w:w="550" w:type="pct"/>
            <w:tcBorders>
              <w:bottom w:val="single" w:sz="4" w:space="0" w:color="auto"/>
            </w:tcBorders>
            <w:noWrap/>
          </w:tcPr>
          <w:p w14:paraId="1B5F0164" w14:textId="77777777" w:rsidR="00E65C5B" w:rsidRPr="00C71B36" w:rsidRDefault="00E65C5B" w:rsidP="00E65C5B">
            <w:pPr>
              <w:pStyle w:val="Tabletext1"/>
              <w:jc w:val="right"/>
            </w:pPr>
            <w:r w:rsidRPr="00C71B36">
              <w:t>$23.76</w:t>
            </w:r>
          </w:p>
        </w:tc>
        <w:tc>
          <w:tcPr>
            <w:tcW w:w="1572" w:type="pct"/>
            <w:tcBorders>
              <w:bottom w:val="single" w:sz="4" w:space="0" w:color="auto"/>
            </w:tcBorders>
            <w:noWrap/>
          </w:tcPr>
          <w:p w14:paraId="26C51E1D" w14:textId="77777777" w:rsidR="00E65C5B" w:rsidRPr="00C71B36" w:rsidRDefault="00E65C5B" w:rsidP="00E65C5B">
            <w:pPr>
              <w:pStyle w:val="Tabletext1"/>
            </w:pPr>
            <w:r w:rsidRPr="00C71B36">
              <w:t>PBS 9351E (28 days; 4 weeks)</w:t>
            </w:r>
          </w:p>
        </w:tc>
        <w:tc>
          <w:tcPr>
            <w:tcW w:w="550" w:type="pct"/>
            <w:tcBorders>
              <w:bottom w:val="single" w:sz="4" w:space="0" w:color="auto"/>
            </w:tcBorders>
            <w:noWrap/>
          </w:tcPr>
          <w:p w14:paraId="73210EA1" w14:textId="77777777" w:rsidR="00E65C5B" w:rsidRPr="00C71B36" w:rsidRDefault="00E65C5B" w:rsidP="00E65C5B">
            <w:pPr>
              <w:pStyle w:val="Tabletext1"/>
              <w:jc w:val="right"/>
            </w:pPr>
            <w:r w:rsidRPr="00C71B36">
              <w:t>13</w:t>
            </w:r>
          </w:p>
        </w:tc>
        <w:tc>
          <w:tcPr>
            <w:tcW w:w="522" w:type="pct"/>
            <w:tcBorders>
              <w:bottom w:val="single" w:sz="4" w:space="0" w:color="auto"/>
            </w:tcBorders>
          </w:tcPr>
          <w:p w14:paraId="563B3D5C" w14:textId="77777777" w:rsidR="00E65C5B" w:rsidRPr="00C71B36" w:rsidRDefault="00E65C5B" w:rsidP="00E65C5B">
            <w:pPr>
              <w:pStyle w:val="Tabletext1"/>
              <w:jc w:val="right"/>
            </w:pPr>
            <w:r w:rsidRPr="00C71B36">
              <w:t>$23.76</w:t>
            </w:r>
          </w:p>
        </w:tc>
      </w:tr>
      <w:tr w:rsidR="00E65C5B" w:rsidRPr="00E61E51" w14:paraId="7CA24706" w14:textId="77777777" w:rsidTr="00973B06">
        <w:trPr>
          <w:trHeight w:val="300"/>
        </w:trPr>
        <w:tc>
          <w:tcPr>
            <w:tcW w:w="1806" w:type="pct"/>
            <w:tcBorders>
              <w:bottom w:val="single" w:sz="12" w:space="0" w:color="auto"/>
              <w:right w:val="nil"/>
            </w:tcBorders>
            <w:noWrap/>
            <w:hideMark/>
          </w:tcPr>
          <w:p w14:paraId="5B3CFB1D" w14:textId="77777777" w:rsidR="00E65C5B" w:rsidRPr="00E61E51" w:rsidRDefault="00E65C5B" w:rsidP="00E65C5B">
            <w:pPr>
              <w:pStyle w:val="Tabletext1"/>
            </w:pPr>
            <w:r w:rsidRPr="00E61E51">
              <w:t xml:space="preserve">Total </w:t>
            </w:r>
            <w:r w:rsidRPr="00E61E51">
              <w:rPr>
                <w:szCs w:val="22"/>
              </w:rPr>
              <w:t>monitoring costs per cycle</w:t>
            </w:r>
          </w:p>
        </w:tc>
        <w:tc>
          <w:tcPr>
            <w:tcW w:w="550" w:type="pct"/>
            <w:tcBorders>
              <w:left w:val="nil"/>
              <w:bottom w:val="single" w:sz="12" w:space="0" w:color="auto"/>
              <w:right w:val="nil"/>
            </w:tcBorders>
            <w:noWrap/>
            <w:hideMark/>
          </w:tcPr>
          <w:p w14:paraId="4D7A771A" w14:textId="77777777" w:rsidR="00E65C5B" w:rsidRPr="00E61E51" w:rsidRDefault="00E65C5B" w:rsidP="00E65C5B">
            <w:pPr>
              <w:pStyle w:val="Tabletext1"/>
              <w:jc w:val="right"/>
            </w:pPr>
          </w:p>
        </w:tc>
        <w:tc>
          <w:tcPr>
            <w:tcW w:w="1572" w:type="pct"/>
            <w:tcBorders>
              <w:left w:val="nil"/>
              <w:bottom w:val="single" w:sz="12" w:space="0" w:color="auto"/>
              <w:right w:val="nil"/>
            </w:tcBorders>
            <w:noWrap/>
            <w:hideMark/>
          </w:tcPr>
          <w:p w14:paraId="6E380C0A" w14:textId="77777777" w:rsidR="00E65C5B" w:rsidRPr="00E61E51" w:rsidRDefault="00E65C5B" w:rsidP="00E65C5B">
            <w:pPr>
              <w:pStyle w:val="Tabletext1"/>
            </w:pPr>
          </w:p>
        </w:tc>
        <w:tc>
          <w:tcPr>
            <w:tcW w:w="550" w:type="pct"/>
            <w:tcBorders>
              <w:left w:val="nil"/>
              <w:bottom w:val="single" w:sz="12" w:space="0" w:color="auto"/>
            </w:tcBorders>
            <w:noWrap/>
            <w:hideMark/>
          </w:tcPr>
          <w:p w14:paraId="7732D58A" w14:textId="77777777" w:rsidR="00E65C5B" w:rsidRPr="00E61E51" w:rsidRDefault="00E65C5B" w:rsidP="00E65C5B">
            <w:pPr>
              <w:pStyle w:val="Tabletext1"/>
              <w:jc w:val="right"/>
            </w:pPr>
          </w:p>
        </w:tc>
        <w:tc>
          <w:tcPr>
            <w:tcW w:w="522" w:type="pct"/>
            <w:tcBorders>
              <w:bottom w:val="single" w:sz="12" w:space="0" w:color="auto"/>
            </w:tcBorders>
          </w:tcPr>
          <w:p w14:paraId="7436FD59" w14:textId="147619B5" w:rsidR="00E65C5B" w:rsidRPr="00E61E51" w:rsidRDefault="00E65C5B" w:rsidP="00E14798">
            <w:pPr>
              <w:pStyle w:val="Tabletext1"/>
              <w:jc w:val="right"/>
            </w:pPr>
            <w:r w:rsidRPr="00E61E51">
              <w:t>$</w:t>
            </w:r>
            <w:r w:rsidR="00E14798">
              <w:t>81.15</w:t>
            </w:r>
          </w:p>
        </w:tc>
      </w:tr>
    </w:tbl>
    <w:p w14:paraId="788BAF95" w14:textId="5B061772" w:rsidR="00837294" w:rsidRDefault="00837294" w:rsidP="00837294">
      <w:pPr>
        <w:pStyle w:val="Tablenote"/>
        <w:rPr>
          <w:rStyle w:val="Hyperlink"/>
          <w:color w:val="auto"/>
          <w:u w:val="none"/>
        </w:rPr>
      </w:pPr>
      <w:r>
        <w:rPr>
          <w:rStyle w:val="Hyperlink"/>
          <w:color w:val="auto"/>
          <w:u w:val="none"/>
        </w:rPr>
        <w:t>Source: Online schedule for MBS available at &lt;</w:t>
      </w:r>
      <w:hyperlink r:id="rId48" w:history="1">
        <w:r w:rsidRPr="004A4162">
          <w:rPr>
            <w:rStyle w:val="Hyperlink"/>
          </w:rPr>
          <w:t>http://www9.health.gov.au/mbs/search.cfm</w:t>
        </w:r>
      </w:hyperlink>
      <w:r>
        <w:rPr>
          <w:rStyle w:val="Hyperlink"/>
          <w:color w:val="auto"/>
          <w:u w:val="none"/>
        </w:rPr>
        <w:t xml:space="preserve">&gt;; PBS fee accessed </w:t>
      </w:r>
      <w:r w:rsidR="00BB7CE3">
        <w:rPr>
          <w:rStyle w:val="Hyperlink"/>
          <w:color w:val="auto"/>
          <w:u w:val="none"/>
        </w:rPr>
        <w:t>at &lt;</w:t>
      </w:r>
      <w:hyperlink r:id="rId49" w:history="1">
        <w:r w:rsidRPr="004A4162">
          <w:rPr>
            <w:rStyle w:val="Hyperlink"/>
          </w:rPr>
          <w:t>https://www.pbs.gov.au/pbs/home</w:t>
        </w:r>
      </w:hyperlink>
      <w:r w:rsidR="00D25635">
        <w:rPr>
          <w:rStyle w:val="Hyperlink"/>
          <w:color w:val="auto"/>
          <w:u w:val="none"/>
        </w:rPr>
        <w:t>&gt;</w:t>
      </w:r>
    </w:p>
    <w:p w14:paraId="21DBD174" w14:textId="13BE5173" w:rsidR="00E61E51" w:rsidRDefault="00837294" w:rsidP="00E61E51">
      <w:pPr>
        <w:pStyle w:val="Tablenote"/>
        <w:rPr>
          <w:rStyle w:val="Hyperlink"/>
          <w:color w:val="auto"/>
          <w:u w:val="none"/>
        </w:rPr>
      </w:pPr>
      <w:r>
        <w:rPr>
          <w:rStyle w:val="Hyperlink"/>
          <w:color w:val="auto"/>
          <w:u w:val="none"/>
          <w:vertAlign w:val="superscript"/>
        </w:rPr>
        <w:t xml:space="preserve">a </w:t>
      </w:r>
      <w:r>
        <w:rPr>
          <w:rStyle w:val="Hyperlink"/>
          <w:color w:val="auto"/>
          <w:u w:val="none"/>
        </w:rPr>
        <w:t>N</w:t>
      </w:r>
      <w:r w:rsidRPr="00A32E3C">
        <w:rPr>
          <w:rStyle w:val="Hyperlink"/>
          <w:color w:val="auto"/>
          <w:u w:val="none"/>
        </w:rPr>
        <w:t>ational weighted activity unit (NWAU) calculators</w:t>
      </w:r>
      <w:r>
        <w:rPr>
          <w:rStyle w:val="Hyperlink"/>
          <w:color w:val="auto"/>
          <w:u w:val="none"/>
        </w:rPr>
        <w:t>, available at &lt;</w:t>
      </w:r>
      <w:r w:rsidRPr="00A32E3C">
        <w:t xml:space="preserve"> </w:t>
      </w:r>
      <w:hyperlink r:id="rId50" w:history="1">
        <w:r w:rsidRPr="004A4162">
          <w:rPr>
            <w:rStyle w:val="Hyperlink"/>
          </w:rPr>
          <w:t>https://www.ihpa.gov.au/what-we-do/pricing/national-weighted-activity-unit-nwau-calculators/nwau-calculators-2020-21</w:t>
        </w:r>
      </w:hyperlink>
      <w:r>
        <w:rPr>
          <w:rStyle w:val="Hyperlink"/>
          <w:color w:val="auto"/>
          <w:u w:val="none"/>
        </w:rPr>
        <w:t>&gt;</w:t>
      </w:r>
    </w:p>
    <w:p w14:paraId="08FF1F64" w14:textId="77777777" w:rsidR="00883730" w:rsidRDefault="00883730" w:rsidP="00883730">
      <w:pPr>
        <w:pStyle w:val="Tablenote"/>
        <w:rPr>
          <w:rStyle w:val="Hyperlink"/>
          <w:color w:val="auto"/>
          <w:u w:val="none"/>
        </w:rPr>
      </w:pPr>
      <w:r>
        <w:rPr>
          <w:rStyle w:val="Hyperlink"/>
          <w:color w:val="auto"/>
          <w:u w:val="none"/>
          <w:vertAlign w:val="superscript"/>
        </w:rPr>
        <w:t>b</w:t>
      </w:r>
      <w:r>
        <w:rPr>
          <w:rStyle w:val="Hyperlink"/>
          <w:color w:val="auto"/>
          <w:u w:val="none"/>
        </w:rPr>
        <w:t xml:space="preserve"> Scheduled fee for MBS items 110 ($157.95) and 132 ($276.25) weighted based on the Medicare statistics for years 2018–20.</w:t>
      </w:r>
    </w:p>
    <w:p w14:paraId="3E640769" w14:textId="77777777" w:rsidR="00883730" w:rsidRDefault="00883730" w:rsidP="00883730">
      <w:pPr>
        <w:pStyle w:val="Tablenote"/>
        <w:rPr>
          <w:rStyle w:val="Hyperlink"/>
          <w:color w:val="auto"/>
          <w:u w:val="none"/>
        </w:rPr>
      </w:pPr>
      <w:r>
        <w:rPr>
          <w:rStyle w:val="Hyperlink"/>
          <w:color w:val="auto"/>
          <w:u w:val="none"/>
          <w:vertAlign w:val="superscript"/>
        </w:rPr>
        <w:t>c</w:t>
      </w:r>
      <w:r w:rsidRPr="00883730">
        <w:rPr>
          <w:rStyle w:val="Hyperlink"/>
          <w:color w:val="auto"/>
          <w:u w:val="none"/>
        </w:rPr>
        <w:t xml:space="preserve"> </w:t>
      </w:r>
      <w:r>
        <w:rPr>
          <w:rStyle w:val="Hyperlink"/>
          <w:color w:val="auto"/>
          <w:u w:val="none"/>
        </w:rPr>
        <w:t>Scheduled fee for MBS items 116 ($79.05) and 132 ($138.30) weighted based on the Medicare statistics for years 2018–20.</w:t>
      </w:r>
    </w:p>
    <w:p w14:paraId="1E7D16F2" w14:textId="77777777" w:rsidR="00837294" w:rsidRDefault="00025C4D" w:rsidP="00D761CF">
      <w:pPr>
        <w:pStyle w:val="Tablenote"/>
        <w:rPr>
          <w:rStyle w:val="Hyperlink"/>
          <w:color w:val="auto"/>
          <w:u w:val="none"/>
        </w:rPr>
      </w:pPr>
      <w:r>
        <w:rPr>
          <w:rStyle w:val="Hyperlink"/>
          <w:color w:val="auto"/>
          <w:u w:val="none"/>
        </w:rPr>
        <w:t xml:space="preserve">DEXA = </w:t>
      </w:r>
      <w:r w:rsidRPr="00125D8C">
        <w:rPr>
          <w:rStyle w:val="Hyperlink"/>
          <w:color w:val="auto"/>
          <w:u w:val="none"/>
        </w:rPr>
        <w:t>dual-energy X-ray absorptiometry</w:t>
      </w:r>
      <w:r>
        <w:rPr>
          <w:rStyle w:val="Hyperlink"/>
          <w:color w:val="auto"/>
          <w:u w:val="none"/>
        </w:rPr>
        <w:t>;</w:t>
      </w:r>
      <w:r w:rsidRPr="00125D8C">
        <w:rPr>
          <w:rStyle w:val="Hyperlink"/>
          <w:color w:val="auto"/>
          <w:u w:val="none"/>
        </w:rPr>
        <w:t xml:space="preserve"> </w:t>
      </w:r>
      <w:r w:rsidR="00837294">
        <w:rPr>
          <w:rStyle w:val="Hyperlink"/>
          <w:color w:val="auto"/>
          <w:u w:val="none"/>
        </w:rPr>
        <w:t>IHPA =</w:t>
      </w:r>
      <w:r w:rsidR="00837294" w:rsidRPr="00A129D2">
        <w:t xml:space="preserve"> </w:t>
      </w:r>
      <w:r w:rsidR="00837294">
        <w:t>t</w:t>
      </w:r>
      <w:r w:rsidR="00837294" w:rsidRPr="00A129D2">
        <w:rPr>
          <w:rStyle w:val="Hyperlink"/>
          <w:color w:val="auto"/>
          <w:u w:val="none"/>
        </w:rPr>
        <w:t>he Independent Hospital Pricing Authority</w:t>
      </w:r>
      <w:r w:rsidR="00837294">
        <w:rPr>
          <w:rStyle w:val="Hyperlink"/>
          <w:color w:val="auto"/>
          <w:u w:val="none"/>
        </w:rPr>
        <w:t>; MBS = Medicare Benefits Schedule; NBA = National Blood Authority; NWAU =</w:t>
      </w:r>
      <w:r w:rsidR="00837294" w:rsidRPr="00A32E3C">
        <w:t xml:space="preserve"> </w:t>
      </w:r>
      <w:r w:rsidR="00837294">
        <w:rPr>
          <w:rStyle w:val="Hyperlink"/>
          <w:color w:val="auto"/>
          <w:u w:val="none"/>
        </w:rPr>
        <w:t>national weighted activity unit; PBS = Pharmaceutical Benefits Schedule</w:t>
      </w:r>
    </w:p>
    <w:p w14:paraId="3FE6068C" w14:textId="08B43E51" w:rsidR="00BB7CE3" w:rsidRDefault="00BB7CE3" w:rsidP="004D7375">
      <w:pPr>
        <w:pStyle w:val="Heading5"/>
        <w:rPr>
          <w:rStyle w:val="Hyperlink"/>
          <w:color w:val="auto"/>
          <w:u w:val="none"/>
        </w:rPr>
      </w:pPr>
      <w:r>
        <w:rPr>
          <w:rStyle w:val="Hyperlink"/>
          <w:color w:val="auto"/>
          <w:u w:val="none"/>
        </w:rPr>
        <w:t xml:space="preserve">Costs associated with </w:t>
      </w:r>
      <w:r w:rsidR="001F5452">
        <w:rPr>
          <w:rStyle w:val="Hyperlink"/>
          <w:color w:val="auto"/>
          <w:u w:val="none"/>
        </w:rPr>
        <w:t xml:space="preserve">steroid associated </w:t>
      </w:r>
      <w:r>
        <w:rPr>
          <w:rStyle w:val="Hyperlink"/>
          <w:color w:val="auto"/>
          <w:u w:val="none"/>
        </w:rPr>
        <w:t>adverse event management</w:t>
      </w:r>
    </w:p>
    <w:p w14:paraId="76961162" w14:textId="1575CF86" w:rsidR="00450D23" w:rsidRPr="00450D23" w:rsidRDefault="00450D23" w:rsidP="00287691">
      <w:pPr>
        <w:pStyle w:val="BodyTextSTD"/>
      </w:pPr>
      <w:r>
        <w:t>Adverse events associated with chronic use of steroids were described in Section C.3.3. Costs associated with managing these events are described below. Cost of all</w:t>
      </w:r>
      <w:r w:rsidR="00064C5B">
        <w:t xml:space="preserve"> of</w:t>
      </w:r>
      <w:r>
        <w:t xml:space="preserve"> these events (diabetes, glaucoma, fractures, osteoporosis and severe infections) were weighted based on their </w:t>
      </w:r>
      <w:r w:rsidR="00FB1809">
        <w:t>relative frequency</w:t>
      </w:r>
      <w:r>
        <w:t xml:space="preserve"> to estimate cost per adverse event </w:t>
      </w:r>
      <w:r w:rsidR="00064C5B">
        <w:t>of $5,</w:t>
      </w:r>
      <w:r w:rsidR="002B78E3">
        <w:t xml:space="preserve">182 </w:t>
      </w:r>
      <w:r w:rsidR="00064C5B">
        <w:t>(</w:t>
      </w:r>
      <w:r w:rsidR="00064C5B">
        <w:fldChar w:fldCharType="begin"/>
      </w:r>
      <w:r w:rsidR="00064C5B">
        <w:instrText xml:space="preserve"> REF _Ref66267289 \h </w:instrText>
      </w:r>
      <w:r w:rsidR="00064C5B">
        <w:fldChar w:fldCharType="separate"/>
      </w:r>
      <w:r w:rsidR="004B3EA2">
        <w:t xml:space="preserve">Table </w:t>
      </w:r>
      <w:r w:rsidR="004B3EA2">
        <w:rPr>
          <w:noProof/>
        </w:rPr>
        <w:t>42</w:t>
      </w:r>
      <w:r w:rsidR="00064C5B">
        <w:fldChar w:fldCharType="end"/>
      </w:r>
      <w:r w:rsidR="00064C5B">
        <w:t xml:space="preserve">) </w:t>
      </w:r>
      <w:r>
        <w:t>in the model.</w:t>
      </w:r>
    </w:p>
    <w:p w14:paraId="7625C559" w14:textId="63A6FE73" w:rsidR="00837294" w:rsidRDefault="00837294" w:rsidP="00287691">
      <w:pPr>
        <w:pStyle w:val="BodyTextSTD"/>
        <w:rPr>
          <w:rStyle w:val="Hyperlink"/>
          <w:color w:val="auto"/>
          <w:u w:val="none"/>
        </w:rPr>
      </w:pPr>
      <w:r w:rsidRPr="00246818">
        <w:rPr>
          <w:rStyle w:val="Hyperlink"/>
          <w:color w:val="auto"/>
        </w:rPr>
        <w:t>Diabetes</w:t>
      </w:r>
      <w:r w:rsidR="00E51E85">
        <w:rPr>
          <w:rStyle w:val="Hyperlink"/>
          <w:color w:val="auto"/>
          <w:u w:val="none"/>
        </w:rPr>
        <w:t xml:space="preserve">: </w:t>
      </w:r>
      <w:r w:rsidR="00E51E85" w:rsidRPr="00E51E85">
        <w:rPr>
          <w:rStyle w:val="Hyperlink"/>
          <w:color w:val="auto"/>
          <w:u w:val="none"/>
        </w:rPr>
        <w:t>The Australian Diabetes, Obesity and Lifestyle study collected data on the use of health services and health related expenditure in 2004–05</w:t>
      </w:r>
      <w:r w:rsidR="00876F2E">
        <w:rPr>
          <w:rStyle w:val="Hyperlink"/>
          <w:color w:val="auto"/>
          <w:u w:val="none"/>
        </w:rPr>
        <w:t xml:space="preserve"> </w:t>
      </w:r>
      <w:r w:rsidR="00B727D6">
        <w:rPr>
          <w:rStyle w:val="Hyperlink"/>
          <w:color w:val="auto"/>
          <w:u w:val="none"/>
        </w:rPr>
        <w:fldChar w:fldCharType="begin">
          <w:fldData xml:space="preserve">PEVuZE5vdGU+PENpdGU+PEF1dGhvcj5MZWU8L0F1dGhvcj48WWVhcj4yMDEzPC9ZZWFyPjxSZWNO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</w:fldData>
        </w:fldChar>
      </w:r>
      <w:r w:rsidR="00B727D6">
        <w:rPr>
          <w:rStyle w:val="Hyperlink"/>
          <w:color w:val="auto"/>
          <w:u w:val="none"/>
        </w:rPr>
        <w:instrText xml:space="preserve"> ADDIN EN.CITE </w:instrText>
      </w:r>
      <w:r w:rsidR="00B727D6">
        <w:rPr>
          <w:rStyle w:val="Hyperlink"/>
          <w:color w:val="auto"/>
          <w:u w:val="none"/>
        </w:rPr>
        <w:fldChar w:fldCharType="begin">
          <w:fldData xml:space="preserve">PEVuZE5vdGU+PENpdGU+PEF1dGhvcj5MZWU8L0F1dGhvcj48WWVhcj4yMDEzPC9ZZWFyPjxSZWNO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</w:fldData>
        </w:fldChar>
      </w:r>
      <w:r w:rsidR="00B727D6">
        <w:rPr>
          <w:rStyle w:val="Hyperlink"/>
          <w:color w:val="auto"/>
          <w:u w:val="none"/>
        </w:rPr>
        <w:instrText xml:space="preserve"> ADDIN EN.CITE.DATA </w:instrText>
      </w:r>
      <w:r w:rsidR="00B727D6">
        <w:rPr>
          <w:rStyle w:val="Hyperlink"/>
          <w:color w:val="auto"/>
          <w:u w:val="none"/>
        </w:rPr>
      </w:r>
      <w:r w:rsidR="00B727D6">
        <w:rPr>
          <w:rStyle w:val="Hyperlink"/>
          <w:color w:val="auto"/>
          <w:u w:val="none"/>
        </w:rPr>
        <w:fldChar w:fldCharType="end"/>
      </w:r>
      <w:r w:rsidR="00B727D6">
        <w:rPr>
          <w:rStyle w:val="Hyperlink"/>
          <w:color w:val="auto"/>
          <w:u w:val="none"/>
        </w:rPr>
      </w:r>
      <w:r w:rsidR="00B727D6">
        <w:rPr>
          <w:rStyle w:val="Hyperlink"/>
          <w:color w:val="auto"/>
          <w:u w:val="none"/>
        </w:rPr>
        <w:fldChar w:fldCharType="separate"/>
      </w:r>
      <w:r w:rsidR="00B727D6">
        <w:rPr>
          <w:rStyle w:val="Hyperlink"/>
          <w:noProof/>
          <w:color w:val="auto"/>
          <w:u w:val="none"/>
        </w:rPr>
        <w:t>(</w:t>
      </w:r>
      <w:hyperlink w:anchor="_ENREF_36" w:tooltip="Lee, 2013 #1934" w:history="1">
        <w:r w:rsidR="00D726F6" w:rsidRPr="00D726F6">
          <w:rPr>
            <w:rStyle w:val="Hyperlink"/>
            <w:noProof/>
            <w:color w:val="auto"/>
            <w:u w:val="none"/>
          </w:rPr>
          <w:t>Lee et al. 2013</w:t>
        </w:r>
      </w:hyperlink>
      <w:r w:rsidR="00B727D6">
        <w:rPr>
          <w:rStyle w:val="Hyperlink"/>
          <w:noProof/>
          <w:color w:val="auto"/>
          <w:u w:val="none"/>
        </w:rPr>
        <w:t>)</w:t>
      </w:r>
      <w:r w:rsidR="00B727D6">
        <w:rPr>
          <w:rStyle w:val="Hyperlink"/>
          <w:color w:val="auto"/>
          <w:u w:val="none"/>
        </w:rPr>
        <w:fldChar w:fldCharType="end"/>
      </w:r>
      <w:r w:rsidR="00E51E85" w:rsidRPr="00E51E85">
        <w:rPr>
          <w:rStyle w:val="Hyperlink"/>
          <w:color w:val="auto"/>
          <w:u w:val="none"/>
        </w:rPr>
        <w:t>.</w:t>
      </w:r>
      <w:r w:rsidR="00E51E85">
        <w:rPr>
          <w:rStyle w:val="Hyperlink"/>
          <w:color w:val="auto"/>
          <w:u w:val="none"/>
        </w:rPr>
        <w:t xml:space="preserve"> </w:t>
      </w:r>
      <w:r w:rsidR="00E51E85" w:rsidRPr="00E51E85">
        <w:rPr>
          <w:rStyle w:val="Hyperlink"/>
          <w:color w:val="auto"/>
          <w:u w:val="none"/>
        </w:rPr>
        <w:t>Age- and sex-adjusted direct healthcare costs, direct non</w:t>
      </w:r>
      <w:r w:rsidR="00450D23">
        <w:rPr>
          <w:rStyle w:val="Hyperlink"/>
          <w:color w:val="auto"/>
          <w:u w:val="none"/>
        </w:rPr>
        <w:t>-</w:t>
      </w:r>
      <w:r w:rsidR="00E51E85" w:rsidRPr="00E51E85">
        <w:rPr>
          <w:rStyle w:val="Hyperlink"/>
          <w:color w:val="auto"/>
          <w:u w:val="none"/>
        </w:rPr>
        <w:t>healthcare costs and government subsidies were estimated according to glucose tolerance status</w:t>
      </w:r>
      <w:r w:rsidR="00876F2E">
        <w:rPr>
          <w:rStyle w:val="Hyperlink"/>
          <w:color w:val="auto"/>
          <w:u w:val="none"/>
        </w:rPr>
        <w:t xml:space="preserve"> for 6,101 participants</w:t>
      </w:r>
      <w:r w:rsidR="00E51E85" w:rsidRPr="00E51E85">
        <w:rPr>
          <w:rStyle w:val="Hyperlink"/>
          <w:color w:val="auto"/>
          <w:u w:val="none"/>
        </w:rPr>
        <w:t>.</w:t>
      </w:r>
      <w:r w:rsidR="00876F2E">
        <w:rPr>
          <w:rStyle w:val="Hyperlink"/>
          <w:color w:val="auto"/>
          <w:u w:val="none"/>
        </w:rPr>
        <w:t xml:space="preserve"> </w:t>
      </w:r>
      <w:r w:rsidR="00876F2E" w:rsidRPr="00876F2E">
        <w:rPr>
          <w:rStyle w:val="Hyperlink"/>
          <w:color w:val="auto"/>
          <w:u w:val="none"/>
        </w:rPr>
        <w:t>Annual direct per person costs w</w:t>
      </w:r>
      <w:r w:rsidR="00876F2E">
        <w:rPr>
          <w:rStyle w:val="Hyperlink"/>
          <w:color w:val="auto"/>
          <w:u w:val="none"/>
        </w:rPr>
        <w:t>as</w:t>
      </w:r>
      <w:r w:rsidR="00876F2E" w:rsidRPr="00876F2E">
        <w:rPr>
          <w:rStyle w:val="Hyperlink"/>
          <w:color w:val="auto"/>
          <w:u w:val="none"/>
        </w:rPr>
        <w:t xml:space="preserve"> </w:t>
      </w:r>
      <w:r w:rsidR="00876F2E">
        <w:rPr>
          <w:rStyle w:val="Hyperlink"/>
          <w:color w:val="auto"/>
          <w:u w:val="none"/>
        </w:rPr>
        <w:t>$4,763 ($2,081 in 2005$ indexed to 2020$).</w:t>
      </w:r>
    </w:p>
    <w:p w14:paraId="2210E524" w14:textId="7A4E7A77" w:rsidR="00837294" w:rsidRDefault="00837294" w:rsidP="00287691">
      <w:pPr>
        <w:pStyle w:val="BodyTextSTD"/>
        <w:rPr>
          <w:rStyle w:val="Hyperlink"/>
          <w:color w:val="auto"/>
          <w:u w:val="none"/>
        </w:rPr>
      </w:pPr>
      <w:r w:rsidRPr="00246818">
        <w:rPr>
          <w:rStyle w:val="Hyperlink"/>
          <w:color w:val="auto"/>
        </w:rPr>
        <w:t>Glaucoma</w:t>
      </w:r>
      <w:r w:rsidR="002C4FE0">
        <w:rPr>
          <w:rStyle w:val="Hyperlink"/>
          <w:color w:val="auto"/>
          <w:u w:val="none"/>
        </w:rPr>
        <w:t xml:space="preserve">: One study </w:t>
      </w:r>
      <w:r w:rsidR="00B727D6">
        <w:rPr>
          <w:rStyle w:val="Hyperlink"/>
          <w:color w:val="auto"/>
          <w:u w:val="none"/>
        </w:rPr>
        <w:fldChar w:fldCharType="begin">
          <w:fldData xml:space="preserve">PEVuZE5vdGU+PENpdGU+PEF1dGhvcj5EaXJhbmk8L0F1dGhvcj48WWVhcj4yMDExPC9ZZWFyPjxS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</w:fldData>
        </w:fldChar>
      </w:r>
      <w:r w:rsidR="00B727D6">
        <w:rPr>
          <w:rStyle w:val="Hyperlink"/>
          <w:color w:val="auto"/>
          <w:u w:val="none"/>
        </w:rPr>
        <w:instrText xml:space="preserve"> ADDIN EN.CITE </w:instrText>
      </w:r>
      <w:r w:rsidR="00B727D6">
        <w:rPr>
          <w:rStyle w:val="Hyperlink"/>
          <w:color w:val="auto"/>
          <w:u w:val="none"/>
        </w:rPr>
        <w:fldChar w:fldCharType="begin">
          <w:fldData xml:space="preserve">PEVuZE5vdGU+PENpdGU+PEF1dGhvcj5EaXJhbmk8L0F1dGhvcj48WWVhcj4yMDExPC9ZZWFyPjxS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</w:fldData>
        </w:fldChar>
      </w:r>
      <w:r w:rsidR="00B727D6">
        <w:rPr>
          <w:rStyle w:val="Hyperlink"/>
          <w:color w:val="auto"/>
          <w:u w:val="none"/>
        </w:rPr>
        <w:instrText xml:space="preserve"> ADDIN EN.CITE.DATA </w:instrText>
      </w:r>
      <w:r w:rsidR="00B727D6">
        <w:rPr>
          <w:rStyle w:val="Hyperlink"/>
          <w:color w:val="auto"/>
          <w:u w:val="none"/>
        </w:rPr>
      </w:r>
      <w:r w:rsidR="00B727D6">
        <w:rPr>
          <w:rStyle w:val="Hyperlink"/>
          <w:color w:val="auto"/>
          <w:u w:val="none"/>
        </w:rPr>
        <w:fldChar w:fldCharType="end"/>
      </w:r>
      <w:r w:rsidR="00B727D6">
        <w:rPr>
          <w:rStyle w:val="Hyperlink"/>
          <w:color w:val="auto"/>
          <w:u w:val="none"/>
        </w:rPr>
      </w:r>
      <w:r w:rsidR="00B727D6">
        <w:rPr>
          <w:rStyle w:val="Hyperlink"/>
          <w:color w:val="auto"/>
          <w:u w:val="none"/>
        </w:rPr>
        <w:fldChar w:fldCharType="separate"/>
      </w:r>
      <w:r w:rsidR="00B727D6">
        <w:rPr>
          <w:rStyle w:val="Hyperlink"/>
          <w:noProof/>
          <w:color w:val="auto"/>
          <w:u w:val="none"/>
        </w:rPr>
        <w:t>(</w:t>
      </w:r>
      <w:hyperlink w:anchor="_ENREF_15" w:tooltip="Dirani, 2011 #1935" w:history="1">
        <w:r w:rsidR="00D726F6" w:rsidRPr="00D726F6">
          <w:rPr>
            <w:rStyle w:val="Hyperlink"/>
            <w:noProof/>
            <w:color w:val="auto"/>
            <w:u w:val="none"/>
          </w:rPr>
          <w:t>Dirani et al. 2011</w:t>
        </w:r>
      </w:hyperlink>
      <w:r w:rsidR="00B727D6">
        <w:rPr>
          <w:rStyle w:val="Hyperlink"/>
          <w:noProof/>
          <w:color w:val="auto"/>
          <w:u w:val="none"/>
        </w:rPr>
        <w:t>)</w:t>
      </w:r>
      <w:r w:rsidR="00B727D6">
        <w:rPr>
          <w:rStyle w:val="Hyperlink"/>
          <w:color w:val="auto"/>
          <w:u w:val="none"/>
        </w:rPr>
        <w:fldChar w:fldCharType="end"/>
      </w:r>
      <w:r w:rsidR="002C4FE0">
        <w:rPr>
          <w:rStyle w:val="Hyperlink"/>
          <w:color w:val="auto"/>
          <w:u w:val="none"/>
        </w:rPr>
        <w:t xml:space="preserve"> reported </w:t>
      </w:r>
      <w:r w:rsidR="002C4FE0" w:rsidRPr="002C4FE0">
        <w:rPr>
          <w:rStyle w:val="Hyperlink"/>
          <w:color w:val="auto"/>
          <w:u w:val="none"/>
        </w:rPr>
        <w:t>the economic impact of primary open-angle glaucoma</w:t>
      </w:r>
      <w:r w:rsidR="002C4FE0">
        <w:rPr>
          <w:rStyle w:val="Hyperlink"/>
          <w:color w:val="auto"/>
          <w:u w:val="none"/>
        </w:rPr>
        <w:t xml:space="preserve"> </w:t>
      </w:r>
      <w:r w:rsidR="00F411F3">
        <w:rPr>
          <w:rStyle w:val="Hyperlink"/>
          <w:color w:val="auto"/>
          <w:u w:val="none"/>
        </w:rPr>
        <w:t xml:space="preserve">(POAG) </w:t>
      </w:r>
      <w:r w:rsidR="002C4FE0">
        <w:rPr>
          <w:rStyle w:val="Hyperlink"/>
          <w:color w:val="auto"/>
          <w:u w:val="none"/>
        </w:rPr>
        <w:t xml:space="preserve">in Australia. </w:t>
      </w:r>
      <w:r w:rsidR="00F411F3">
        <w:rPr>
          <w:rStyle w:val="Hyperlink"/>
          <w:color w:val="auto"/>
          <w:u w:val="none"/>
        </w:rPr>
        <w:t>The medication costs associated with POAG for 65–74 year old person was estimated to be $1,271 in 2005$</w:t>
      </w:r>
      <w:r w:rsidR="005E7DDA">
        <w:rPr>
          <w:rStyle w:val="Hyperlink"/>
          <w:color w:val="auto"/>
          <w:u w:val="none"/>
        </w:rPr>
        <w:t>, that is $2,908 in 2020 Australian dollars (</w:t>
      </w:r>
      <w:r w:rsidR="00F411F3">
        <w:rPr>
          <w:rStyle w:val="Hyperlink"/>
          <w:color w:val="auto"/>
          <w:u w:val="none"/>
        </w:rPr>
        <w:t xml:space="preserve">indexed to current year using Health Price Index for Australia </w:t>
      </w:r>
      <w:r w:rsidR="00B727D6">
        <w:rPr>
          <w:rStyle w:val="Hyperlink"/>
          <w:color w:val="auto"/>
          <w:u w:val="none"/>
        </w:rPr>
        <w:fldChar w:fldCharType="begin"/>
      </w:r>
      <w:r w:rsidR="00B727D6">
        <w:rPr>
          <w:rStyle w:val="Hyperlink"/>
          <w:color w:val="auto"/>
          <w:u w:val="none"/>
        </w:rPr>
        <w:instrText xml:space="preserve"> ADDIN EN.CITE &lt;EndNote&gt;&lt;Cite&gt;&lt;Author&gt;ABS&lt;/Author&gt;&lt;Year&gt;2020&lt;/Year&gt;&lt;RecNum&gt;1963&lt;/RecNum&gt;&lt;DisplayText&gt;(ABS 2020a)&lt;/DisplayText&gt;&lt;record&gt;&lt;rec-number&gt;1963&lt;/rec-number&gt;&lt;foreign-keys&gt;&lt;key app="EN" db-id="xtr5xfx2xf0wd7e0s2qvst2ietxxf0tpzr9v" timestamp="1615284093"&gt;1963&lt;/key&gt;&lt;/foreign-keys&gt;&lt;ref-type name="Catalog"&gt;8&lt;/ref-type&gt;&lt;contributors&gt;&lt;authors&gt;&lt;author&gt;ABS,&lt;/author&gt;&lt;/authors&gt;&lt;secondary-authors&gt;&lt;author&gt;Australian Bureau of Statistics,&lt;/author&gt;&lt;/secondary-authors&gt;&lt;/contributors&gt;&lt;titles&gt;&lt;title&gt;6401.0 - Consumer Price Index, Australia, Jun 2020&lt;/title&gt;&lt;/titles&gt;&lt;dates&gt;&lt;year&gt;2020&lt;/year&gt;&lt;/dates&gt;&lt;pub-location&gt;Canberra&lt;/pub-location&gt;&lt;urls&gt;&lt;related-urls&gt;&lt;url&gt;https://www.abs.gov.au/statistics/people/population/life-tables/2017-2019&lt;/url&gt;&lt;/related-urls&gt;&lt;/urls&gt;&lt;access-date&gt;20 January 2021&lt;/access-date&gt;&lt;/record&gt;&lt;/Cite&gt;&lt;/EndNote&gt;</w:instrText>
      </w:r>
      <w:r w:rsidR="00B727D6">
        <w:rPr>
          <w:rStyle w:val="Hyperlink"/>
          <w:color w:val="auto"/>
          <w:u w:val="none"/>
        </w:rPr>
        <w:fldChar w:fldCharType="separate"/>
      </w:r>
      <w:r w:rsidR="00B727D6">
        <w:rPr>
          <w:rStyle w:val="Hyperlink"/>
          <w:noProof/>
          <w:color w:val="auto"/>
          <w:u w:val="none"/>
        </w:rPr>
        <w:t>(</w:t>
      </w:r>
      <w:hyperlink w:anchor="_ENREF_2" w:tooltip="ABS, 2020 #1963" w:history="1">
        <w:r w:rsidR="00D726F6" w:rsidRPr="00D726F6">
          <w:rPr>
            <w:rStyle w:val="Hyperlink"/>
            <w:noProof/>
            <w:color w:val="auto"/>
            <w:u w:val="none"/>
          </w:rPr>
          <w:t>ABS 2020a</w:t>
        </w:r>
      </w:hyperlink>
      <w:r w:rsidR="00B727D6">
        <w:rPr>
          <w:rStyle w:val="Hyperlink"/>
          <w:noProof/>
          <w:color w:val="auto"/>
          <w:u w:val="none"/>
        </w:rPr>
        <w:t>)</w:t>
      </w:r>
      <w:r w:rsidR="00B727D6">
        <w:rPr>
          <w:rStyle w:val="Hyperlink"/>
          <w:color w:val="auto"/>
          <w:u w:val="none"/>
        </w:rPr>
        <w:fldChar w:fldCharType="end"/>
      </w:r>
      <w:r w:rsidR="005E7DDA">
        <w:rPr>
          <w:rStyle w:val="Hyperlink"/>
          <w:color w:val="auto"/>
          <w:u w:val="none"/>
        </w:rPr>
        <w:t>).</w:t>
      </w:r>
    </w:p>
    <w:p w14:paraId="7D3348A7" w14:textId="2FBD2C4E" w:rsidR="003A0CA5" w:rsidRDefault="003A0CA5" w:rsidP="00287691">
      <w:pPr>
        <w:pStyle w:val="BodyTextSTD"/>
        <w:rPr>
          <w:rStyle w:val="Hyperlink"/>
          <w:color w:val="auto"/>
          <w:u w:val="none"/>
        </w:rPr>
      </w:pPr>
      <w:r w:rsidRPr="00246818">
        <w:rPr>
          <w:rStyle w:val="Hyperlink"/>
          <w:color w:val="auto"/>
        </w:rPr>
        <w:t>Fractures</w:t>
      </w:r>
      <w:r>
        <w:rPr>
          <w:rStyle w:val="Hyperlink"/>
          <w:color w:val="auto"/>
          <w:u w:val="none"/>
        </w:rPr>
        <w:t xml:space="preserve">: Watts et al </w:t>
      </w:r>
      <w:r w:rsidR="00B727D6">
        <w:rPr>
          <w:rStyle w:val="Hyperlink"/>
          <w:color w:val="auto"/>
          <w:u w:val="none"/>
        </w:rPr>
        <w:fldChar w:fldCharType="begin"/>
      </w:r>
      <w:r w:rsidR="00B727D6">
        <w:rPr>
          <w:rStyle w:val="Hyperlink"/>
          <w:color w:val="auto"/>
          <w:u w:val="none"/>
        </w:rPr>
        <w:instrText xml:space="preserve"> ADDIN EN.CITE &lt;EndNote&gt;&lt;Cite ExcludeAuth="1"&gt;&lt;Author&gt;Watts&lt;/Author&gt;&lt;Year&gt;2013&lt;/Year&gt;&lt;RecNum&gt;1933&lt;/RecNum&gt;&lt;DisplayText&gt;(2013)&lt;/DisplayText&gt;&lt;record&gt;&lt;rec-number&gt;1933&lt;/rec-number&gt;&lt;foreign-keys&gt;&lt;key app="EN" db-id="xtr5xfx2xf0wd7e0s2qvst2ietxxf0tpzr9v" timestamp="1613102811"&gt;1933&lt;/key&gt;&lt;/foreign-keys&gt;&lt;ref-type name="Report"&gt;27&lt;/ref-type&gt;&lt;contributors&gt;&lt;authors&gt;&lt;author&gt;Watts, Jennifer J.&lt;/author&gt;&lt;author&gt;Abimanyi-Ochom, Julie&lt;/author&gt;&lt;author&gt;Sanders, Kerrie M.&lt;/author&gt;&lt;/authors&gt;&lt;tertiary-authors&gt;&lt;author&gt;Osteoporosis Australia&lt;/author&gt;&lt;/tertiary-authors&gt;&lt;/contributors&gt;&lt;titles&gt;&lt;title&gt;Osteoporosis costing all Australian : a new burden of disease analysis - 2012 to 2022&lt;/title&gt;&lt;/titles&gt;&lt;pages&gt;75&lt;/pages&gt;&lt;dates&gt;&lt;year&gt;2013&lt;/year&gt;&lt;/dates&gt;&lt;pub-location&gt;Melbourne, Victoria&lt;/pub-location&gt;&lt;publisher&gt;Osteoporosis Australia&lt;/publisher&gt;&lt;urls&gt;&lt;related-urls&gt;&lt;url&gt;http://hdl.handle.net/10536/DRO/DU:30060270&lt;/url&gt;&lt;/related-urls&gt;&lt;/urls&gt;&lt;/record&gt;&lt;/Cite&gt;&lt;/EndNote&gt;</w:instrText>
      </w:r>
      <w:r w:rsidR="00B727D6">
        <w:rPr>
          <w:rStyle w:val="Hyperlink"/>
          <w:color w:val="auto"/>
          <w:u w:val="none"/>
        </w:rPr>
        <w:fldChar w:fldCharType="separate"/>
      </w:r>
      <w:r w:rsidR="00B727D6">
        <w:rPr>
          <w:rStyle w:val="Hyperlink"/>
          <w:noProof/>
          <w:color w:val="auto"/>
          <w:u w:val="none"/>
        </w:rPr>
        <w:t>(</w:t>
      </w:r>
      <w:hyperlink w:anchor="_ENREF_78" w:tooltip="Watts, 2013 #1933" w:history="1">
        <w:r w:rsidR="00D726F6" w:rsidRPr="00D726F6">
          <w:rPr>
            <w:rStyle w:val="Hyperlink"/>
            <w:noProof/>
            <w:color w:val="auto"/>
            <w:u w:val="none"/>
          </w:rPr>
          <w:t>2013</w:t>
        </w:r>
      </w:hyperlink>
      <w:r w:rsidR="00B727D6">
        <w:rPr>
          <w:rStyle w:val="Hyperlink"/>
          <w:noProof/>
          <w:color w:val="auto"/>
          <w:u w:val="none"/>
        </w:rPr>
        <w:t>)</w:t>
      </w:r>
      <w:r w:rsidR="00B727D6">
        <w:rPr>
          <w:rStyle w:val="Hyperlink"/>
          <w:color w:val="auto"/>
          <w:u w:val="none"/>
        </w:rPr>
        <w:fldChar w:fldCharType="end"/>
      </w:r>
      <w:r w:rsidR="00E51E85">
        <w:rPr>
          <w:rStyle w:val="Hyperlink"/>
          <w:color w:val="auto"/>
          <w:u w:val="none"/>
        </w:rPr>
        <w:t xml:space="preserve"> </w:t>
      </w:r>
      <w:r>
        <w:rPr>
          <w:rStyle w:val="Hyperlink"/>
          <w:color w:val="auto"/>
          <w:u w:val="none"/>
        </w:rPr>
        <w:t xml:space="preserve">used a </w:t>
      </w:r>
      <w:r w:rsidRPr="003A0CA5">
        <w:rPr>
          <w:rStyle w:val="Hyperlink"/>
          <w:color w:val="auto"/>
          <w:u w:val="none"/>
        </w:rPr>
        <w:t>bottom-up costing approach to determine the total burden attributable to fractures based on service utilisation data reported to the AusICUROS study.</w:t>
      </w:r>
      <w:r>
        <w:rPr>
          <w:rStyle w:val="Hyperlink"/>
          <w:color w:val="auto"/>
          <w:u w:val="none"/>
        </w:rPr>
        <w:t xml:space="preserve"> </w:t>
      </w:r>
      <w:r w:rsidRPr="003A0CA5">
        <w:rPr>
          <w:rStyle w:val="Hyperlink"/>
          <w:color w:val="auto"/>
          <w:u w:val="none"/>
        </w:rPr>
        <w:t>Fractures included hip, wrist, vertebral and ‘other’.</w:t>
      </w:r>
      <w:r>
        <w:rPr>
          <w:rStyle w:val="Hyperlink"/>
          <w:color w:val="auto"/>
          <w:u w:val="none"/>
        </w:rPr>
        <w:t xml:space="preserve"> The study predicted annual total cost of all fractures (direct and indirect costs) for years 2013–2022. The projected total direct cost of all fractures for year 2021 was $12,892.</w:t>
      </w:r>
    </w:p>
    <w:p w14:paraId="33771FD0" w14:textId="1F1DFBED" w:rsidR="00837294" w:rsidRDefault="00135D3A" w:rsidP="002905B3">
      <w:pPr>
        <w:pStyle w:val="BodyTextSTD"/>
        <w:rPr>
          <w:rStyle w:val="Hyperlink"/>
          <w:color w:val="auto"/>
          <w:u w:val="none"/>
        </w:rPr>
      </w:pPr>
      <w:r w:rsidRPr="00246818">
        <w:rPr>
          <w:rStyle w:val="Hyperlink"/>
          <w:color w:val="auto"/>
        </w:rPr>
        <w:t>Osteoporosis</w:t>
      </w:r>
      <w:r>
        <w:rPr>
          <w:rStyle w:val="Hyperlink"/>
          <w:color w:val="auto"/>
          <w:u w:val="none"/>
        </w:rPr>
        <w:t xml:space="preserve">: </w:t>
      </w:r>
      <w:r w:rsidR="002905B3">
        <w:t xml:space="preserve">Tatangelo et al determined the direct economic cost of osteoporosis, osteopenia, and fractures among Australians aged 50 years and older in 2017 </w:t>
      </w:r>
      <w:r w:rsidR="00B727D6">
        <w:rPr>
          <w:rStyle w:val="Hyperlink"/>
          <w:color w:val="auto"/>
          <w:u w:val="none"/>
        </w:rPr>
        <w:fldChar w:fldCharType="begin">
          <w:fldData xml:space="preserve">PEVuZE5vdGU+PENpdGU+PEF1dGhvcj5UYXRhbmdlbG88L0F1dGhvcj48WWVhcj4yMDE5PC9ZZWFy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PC9hbHQtcGVyaW9kaWNhbD48cGFnZXM+NjE2LTYyNTwvcGFnZXM+PHZvbHVtZT4zNDwvdm9sdW1l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==
</w:fldData>
        </w:fldChar>
      </w:r>
      <w:r w:rsidR="00B727D6">
        <w:rPr>
          <w:rStyle w:val="Hyperlink"/>
          <w:color w:val="auto"/>
          <w:u w:val="none"/>
        </w:rPr>
        <w:instrText xml:space="preserve"> ADDIN EN.CITE </w:instrText>
      </w:r>
      <w:r w:rsidR="00B727D6">
        <w:rPr>
          <w:rStyle w:val="Hyperlink"/>
          <w:color w:val="auto"/>
          <w:u w:val="none"/>
        </w:rPr>
        <w:fldChar w:fldCharType="begin">
          <w:fldData xml:space="preserve">PEVuZE5vdGU+PENpdGU+PEF1dGhvcj5UYXRhbmdlbG88L0F1dGhvcj48WWVhcj4yMDE5PC9ZZWFy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bmQgTWluZXJhbCBSZXNlYXJjaDwvYWJici0xPjwvcGVyaW9kaWNhbD48YWx0LXBlcmlvZGljYWw+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==
</w:fldData>
        </w:fldChar>
      </w:r>
      <w:r w:rsidR="00B727D6">
        <w:rPr>
          <w:rStyle w:val="Hyperlink"/>
          <w:color w:val="auto"/>
          <w:u w:val="none"/>
        </w:rPr>
        <w:instrText xml:space="preserve"> ADDIN EN.CITE.DATA </w:instrText>
      </w:r>
      <w:r w:rsidR="00B727D6">
        <w:rPr>
          <w:rStyle w:val="Hyperlink"/>
          <w:color w:val="auto"/>
          <w:u w:val="none"/>
        </w:rPr>
      </w:r>
      <w:r w:rsidR="00B727D6">
        <w:rPr>
          <w:rStyle w:val="Hyperlink"/>
          <w:color w:val="auto"/>
          <w:u w:val="none"/>
        </w:rPr>
        <w:fldChar w:fldCharType="end"/>
      </w:r>
      <w:r w:rsidR="00B727D6">
        <w:rPr>
          <w:rStyle w:val="Hyperlink"/>
          <w:color w:val="auto"/>
          <w:u w:val="none"/>
        </w:rPr>
      </w:r>
      <w:r w:rsidR="00B727D6">
        <w:rPr>
          <w:rStyle w:val="Hyperlink"/>
          <w:color w:val="auto"/>
          <w:u w:val="none"/>
        </w:rPr>
        <w:fldChar w:fldCharType="separate"/>
      </w:r>
      <w:r w:rsidR="00B727D6">
        <w:rPr>
          <w:rStyle w:val="Hyperlink"/>
          <w:noProof/>
          <w:color w:val="auto"/>
          <w:u w:val="none"/>
        </w:rPr>
        <w:t>(</w:t>
      </w:r>
      <w:hyperlink w:anchor="_ENREF_70" w:tooltip="Tatangelo, 2019 #1932" w:history="1">
        <w:r w:rsidR="00D726F6" w:rsidRPr="00D726F6">
          <w:rPr>
            <w:rStyle w:val="Hyperlink"/>
            <w:noProof/>
            <w:color w:val="auto"/>
            <w:u w:val="none"/>
          </w:rPr>
          <w:t>Tatangelo et al. 2019</w:t>
        </w:r>
      </w:hyperlink>
      <w:r w:rsidR="00B727D6">
        <w:rPr>
          <w:rStyle w:val="Hyperlink"/>
          <w:noProof/>
          <w:color w:val="auto"/>
          <w:u w:val="none"/>
        </w:rPr>
        <w:t>)</w:t>
      </w:r>
      <w:r w:rsidR="00B727D6">
        <w:rPr>
          <w:rStyle w:val="Hyperlink"/>
          <w:color w:val="auto"/>
          <w:u w:val="none"/>
        </w:rPr>
        <w:fldChar w:fldCharType="end"/>
      </w:r>
      <w:r w:rsidR="002905B3">
        <w:t>. The study reported that the direct health-care c</w:t>
      </w:r>
      <w:r w:rsidR="002905B3" w:rsidRPr="00125D8C">
        <w:rPr>
          <w:rStyle w:val="Hyperlink"/>
          <w:color w:val="auto"/>
          <w:u w:val="none"/>
        </w:rPr>
        <w:t xml:space="preserve">osts associated with the ongoing management of osteoporosis (excluding any fracture treatment) </w:t>
      </w:r>
      <w:r w:rsidR="002905B3">
        <w:rPr>
          <w:rStyle w:val="Hyperlink"/>
          <w:color w:val="auto"/>
          <w:u w:val="none"/>
        </w:rPr>
        <w:t xml:space="preserve">include </w:t>
      </w:r>
      <w:r w:rsidR="002905B3" w:rsidRPr="002905B3">
        <w:rPr>
          <w:rStyle w:val="Hyperlink"/>
          <w:color w:val="auto"/>
          <w:u w:val="none"/>
        </w:rPr>
        <w:t xml:space="preserve">the use of anti-osteoporosis medications </w:t>
      </w:r>
      <w:r w:rsidR="008961D3">
        <w:rPr>
          <w:rStyle w:val="Hyperlink"/>
          <w:color w:val="auto"/>
          <w:u w:val="none"/>
        </w:rPr>
        <w:t>(denosumab)</w:t>
      </w:r>
      <w:r w:rsidR="00323429">
        <w:rPr>
          <w:rStyle w:val="FootnoteReference"/>
        </w:rPr>
        <w:footnoteReference w:id="9"/>
      </w:r>
      <w:r w:rsidR="008961D3">
        <w:rPr>
          <w:rStyle w:val="Hyperlink"/>
          <w:color w:val="auto"/>
          <w:u w:val="none"/>
        </w:rPr>
        <w:t xml:space="preserve"> </w:t>
      </w:r>
      <w:r w:rsidR="002905B3" w:rsidRPr="002905B3">
        <w:rPr>
          <w:rStyle w:val="Hyperlink"/>
          <w:color w:val="auto"/>
          <w:u w:val="none"/>
        </w:rPr>
        <w:t xml:space="preserve">and </w:t>
      </w:r>
      <w:r w:rsidR="00033613">
        <w:rPr>
          <w:rStyle w:val="Hyperlink"/>
          <w:color w:val="auto"/>
          <w:u w:val="none"/>
        </w:rPr>
        <w:t>v</w:t>
      </w:r>
      <w:r w:rsidR="00323429">
        <w:rPr>
          <w:rStyle w:val="Hyperlink"/>
          <w:color w:val="auto"/>
          <w:u w:val="none"/>
        </w:rPr>
        <w:t xml:space="preserve">itamin D and calcium </w:t>
      </w:r>
      <w:r w:rsidR="002905B3" w:rsidRPr="002905B3">
        <w:rPr>
          <w:rStyle w:val="Hyperlink"/>
          <w:color w:val="auto"/>
          <w:u w:val="none"/>
        </w:rPr>
        <w:t>supplements, 2.</w:t>
      </w:r>
      <w:r w:rsidR="002905B3">
        <w:rPr>
          <w:rStyle w:val="Hyperlink"/>
          <w:color w:val="auto"/>
          <w:u w:val="none"/>
        </w:rPr>
        <w:t>5</w:t>
      </w:r>
      <w:r w:rsidR="002905B3" w:rsidRPr="002905B3">
        <w:rPr>
          <w:rStyle w:val="Hyperlink"/>
          <w:color w:val="auto"/>
          <w:u w:val="none"/>
        </w:rPr>
        <w:t xml:space="preserve"> medical visits per year, a general blood test for renal function</w:t>
      </w:r>
      <w:r w:rsidR="002905B3">
        <w:rPr>
          <w:rStyle w:val="Hyperlink"/>
          <w:color w:val="auto"/>
          <w:u w:val="none"/>
        </w:rPr>
        <w:t xml:space="preserve"> and serum calcium twice a year, </w:t>
      </w:r>
      <w:r w:rsidR="002905B3" w:rsidRPr="002905B3">
        <w:rPr>
          <w:rStyle w:val="Hyperlink"/>
          <w:color w:val="auto"/>
          <w:u w:val="none"/>
        </w:rPr>
        <w:t>serum 25-hydroxyvitamin D test once every two years</w:t>
      </w:r>
      <w:r w:rsidR="002905B3">
        <w:rPr>
          <w:rStyle w:val="Hyperlink"/>
          <w:color w:val="auto"/>
          <w:u w:val="none"/>
        </w:rPr>
        <w:t xml:space="preserve">, </w:t>
      </w:r>
      <w:r w:rsidR="00186534" w:rsidRPr="00125D8C">
        <w:rPr>
          <w:rStyle w:val="Hyperlink"/>
          <w:color w:val="auto"/>
          <w:u w:val="none"/>
        </w:rPr>
        <w:t xml:space="preserve">dual-energy X-ray absorptiometry </w:t>
      </w:r>
      <w:r w:rsidR="002905B3" w:rsidRPr="00125D8C">
        <w:rPr>
          <w:rStyle w:val="Hyperlink"/>
          <w:color w:val="auto"/>
          <w:u w:val="none"/>
        </w:rPr>
        <w:t>(D</w:t>
      </w:r>
      <w:r w:rsidR="00643D1A">
        <w:rPr>
          <w:rStyle w:val="Hyperlink"/>
          <w:color w:val="auto"/>
          <w:u w:val="none"/>
        </w:rPr>
        <w:t>E</w:t>
      </w:r>
      <w:r w:rsidR="002905B3" w:rsidRPr="00125D8C">
        <w:rPr>
          <w:rStyle w:val="Hyperlink"/>
          <w:color w:val="auto"/>
          <w:u w:val="none"/>
        </w:rPr>
        <w:t>XA)</w:t>
      </w:r>
      <w:r w:rsidR="002905B3">
        <w:rPr>
          <w:rStyle w:val="Hyperlink"/>
          <w:color w:val="auto"/>
          <w:u w:val="none"/>
        </w:rPr>
        <w:t xml:space="preserve"> once every three years</w:t>
      </w:r>
      <w:r w:rsidR="002905B3" w:rsidRPr="00125D8C">
        <w:rPr>
          <w:rStyle w:val="Hyperlink"/>
          <w:color w:val="auto"/>
          <w:u w:val="none"/>
        </w:rPr>
        <w:t>, and p</w:t>
      </w:r>
      <w:r w:rsidR="002905B3">
        <w:rPr>
          <w:rStyle w:val="Hyperlink"/>
          <w:color w:val="auto"/>
          <w:u w:val="none"/>
        </w:rPr>
        <w:t>harmaceuticals for bone health.</w:t>
      </w:r>
      <w:r w:rsidR="00186534">
        <w:rPr>
          <w:rStyle w:val="Hyperlink"/>
          <w:color w:val="auto"/>
          <w:u w:val="none"/>
        </w:rPr>
        <w:t xml:space="preserve"> These resources were costed according to their use </w:t>
      </w:r>
      <w:r w:rsidR="002905B3">
        <w:rPr>
          <w:rStyle w:val="Hyperlink"/>
          <w:color w:val="auto"/>
          <w:u w:val="none"/>
        </w:rPr>
        <w:t xml:space="preserve">to </w:t>
      </w:r>
      <w:r w:rsidR="00186534">
        <w:rPr>
          <w:rStyle w:val="Hyperlink"/>
          <w:color w:val="auto"/>
          <w:u w:val="none"/>
        </w:rPr>
        <w:t>estimate the annual cost of $</w:t>
      </w:r>
      <w:r w:rsidR="008911E9">
        <w:rPr>
          <w:rStyle w:val="Hyperlink"/>
          <w:color w:val="auto"/>
          <w:u w:val="none"/>
        </w:rPr>
        <w:t xml:space="preserve">872.87 </w:t>
      </w:r>
      <w:r w:rsidR="00186534">
        <w:rPr>
          <w:rStyle w:val="Hyperlink"/>
          <w:color w:val="auto"/>
          <w:u w:val="none"/>
        </w:rPr>
        <w:t xml:space="preserve">per person </w:t>
      </w:r>
      <w:r w:rsidR="002905B3">
        <w:rPr>
          <w:rStyle w:val="Hyperlink"/>
          <w:color w:val="auto"/>
          <w:u w:val="none"/>
        </w:rPr>
        <w:t>for the management of osteoporosis.</w:t>
      </w:r>
      <w:r w:rsidR="000F680A">
        <w:rPr>
          <w:rStyle w:val="Hyperlink"/>
          <w:color w:val="auto"/>
          <w:u w:val="none"/>
        </w:rPr>
        <w:t xml:space="preserve"> </w:t>
      </w:r>
      <w:r w:rsidR="000F680A">
        <w:rPr>
          <w:rStyle w:val="Hyperlink"/>
          <w:color w:val="auto"/>
          <w:u w:val="none"/>
        </w:rPr>
        <w:fldChar w:fldCharType="begin"/>
      </w:r>
      <w:r w:rsidR="000F680A">
        <w:rPr>
          <w:rStyle w:val="Hyperlink"/>
          <w:color w:val="auto"/>
          <w:u w:val="none"/>
        </w:rPr>
        <w:instrText xml:space="preserve"> REF _Ref66211548 \h </w:instrText>
      </w:r>
      <w:r w:rsidR="000F680A">
        <w:rPr>
          <w:rStyle w:val="Hyperlink"/>
          <w:color w:val="auto"/>
          <w:u w:val="none"/>
        </w:rPr>
      </w:r>
      <w:r w:rsidR="000F680A">
        <w:rPr>
          <w:rStyle w:val="Hyperlink"/>
          <w:color w:val="auto"/>
          <w:u w:val="none"/>
        </w:rPr>
        <w:fldChar w:fldCharType="separate"/>
      </w:r>
      <w:r w:rsidR="004B3EA2">
        <w:t xml:space="preserve">Table </w:t>
      </w:r>
      <w:r w:rsidR="004B3EA2">
        <w:rPr>
          <w:noProof/>
        </w:rPr>
        <w:t>83</w:t>
      </w:r>
      <w:r w:rsidR="000F680A">
        <w:rPr>
          <w:rStyle w:val="Hyperlink"/>
          <w:color w:val="auto"/>
          <w:u w:val="none"/>
        </w:rPr>
        <w:fldChar w:fldCharType="end"/>
      </w:r>
      <w:r w:rsidR="000F680A">
        <w:rPr>
          <w:rStyle w:val="Hyperlink"/>
          <w:color w:val="auto"/>
          <w:u w:val="none"/>
        </w:rPr>
        <w:t>, in Appendix G presents the derivation of this cost.</w:t>
      </w:r>
    </w:p>
    <w:p w14:paraId="7C0C2CD3" w14:textId="29B2237F" w:rsidR="002C4FE0" w:rsidRDefault="002C4FE0" w:rsidP="002C4FE0">
      <w:pPr>
        <w:pStyle w:val="BodyTextSTD"/>
        <w:rPr>
          <w:rStyle w:val="Hyperlink"/>
          <w:color w:val="auto"/>
          <w:u w:val="none"/>
        </w:rPr>
      </w:pPr>
      <w:r w:rsidRPr="00815896">
        <w:rPr>
          <w:rStyle w:val="Hyperlink"/>
          <w:color w:val="auto"/>
        </w:rPr>
        <w:t>Severe infection</w:t>
      </w:r>
      <w:r>
        <w:rPr>
          <w:rStyle w:val="Hyperlink"/>
          <w:color w:val="auto"/>
          <w:u w:val="none"/>
        </w:rPr>
        <w:t>: Cost associated with managing severe infection was estimated to be $8,378 from the AR-DRG data. Cost of AR-DRGs B72 (nervous system infection), T60 (septicaemia), I64 (osteomyelitis) and E62 (respiratory infections) were weighted based on the number of separations to estimate cost for managing severe infection (</w:t>
      </w:r>
      <w:r>
        <w:rPr>
          <w:rStyle w:val="Hyperlink"/>
          <w:color w:val="auto"/>
          <w:u w:val="none"/>
        </w:rPr>
        <w:fldChar w:fldCharType="begin"/>
      </w:r>
      <w:r>
        <w:rPr>
          <w:rStyle w:val="Hyperlink"/>
          <w:color w:val="auto"/>
          <w:u w:val="none"/>
        </w:rPr>
        <w:instrText xml:space="preserve"> REF _Ref66212832 \h </w:instrText>
      </w:r>
      <w:r>
        <w:rPr>
          <w:rStyle w:val="Hyperlink"/>
          <w:color w:val="auto"/>
          <w:u w:val="none"/>
        </w:rPr>
      </w:r>
      <w:r>
        <w:rPr>
          <w:rStyle w:val="Hyperlink"/>
          <w:color w:val="auto"/>
          <w:u w:val="none"/>
        </w:rPr>
        <w:fldChar w:fldCharType="separate"/>
      </w:r>
      <w:r w:rsidR="004B3EA2">
        <w:t xml:space="preserve">Table </w:t>
      </w:r>
      <w:r w:rsidR="004B3EA2">
        <w:rPr>
          <w:noProof/>
        </w:rPr>
        <w:t>84</w:t>
      </w:r>
      <w:r>
        <w:rPr>
          <w:rStyle w:val="Hyperlink"/>
          <w:color w:val="auto"/>
          <w:u w:val="none"/>
        </w:rPr>
        <w:fldChar w:fldCharType="end"/>
      </w:r>
      <w:r>
        <w:rPr>
          <w:rStyle w:val="Hyperlink"/>
          <w:color w:val="auto"/>
          <w:u w:val="none"/>
        </w:rPr>
        <w:t xml:space="preserve">, in </w:t>
      </w:r>
      <w:r w:rsidRPr="009667AB">
        <w:rPr>
          <w:rStyle w:val="Hyperlink"/>
          <w:b/>
          <w:color w:val="auto"/>
          <w:u w:val="none"/>
        </w:rPr>
        <w:t>Appendix G</w:t>
      </w:r>
      <w:r>
        <w:rPr>
          <w:rStyle w:val="Hyperlink"/>
          <w:color w:val="auto"/>
          <w:u w:val="none"/>
        </w:rPr>
        <w:t>).</w:t>
      </w:r>
    </w:p>
    <w:p w14:paraId="7A2098AE" w14:textId="4B7FD830" w:rsidR="007E49A8" w:rsidRDefault="007E49A8" w:rsidP="007E49A8">
      <w:pPr>
        <w:pStyle w:val="Caption"/>
      </w:pPr>
      <w:bookmarkStart w:id="328" w:name="_Ref66267289"/>
      <w:bookmarkStart w:id="329" w:name="_Toc69305683"/>
      <w:r>
        <w:t xml:space="preserve">Table </w:t>
      </w:r>
      <w:r w:rsidR="00003BA5">
        <w:fldChar w:fldCharType="begin"/>
      </w:r>
      <w:r w:rsidR="00003BA5">
        <w:instrText xml:space="preserve"> SEQ Table \* ARABIC </w:instrText>
      </w:r>
      <w:r w:rsidR="00003BA5">
        <w:fldChar w:fldCharType="separate"/>
      </w:r>
      <w:r w:rsidR="004B3EA2">
        <w:rPr>
          <w:noProof/>
        </w:rPr>
        <w:t>42</w:t>
      </w:r>
      <w:r w:rsidR="00003BA5">
        <w:rPr>
          <w:noProof/>
        </w:rPr>
        <w:fldChar w:fldCharType="end"/>
      </w:r>
      <w:bookmarkEnd w:id="328"/>
      <w:r>
        <w:tab/>
      </w:r>
      <w:r w:rsidRPr="007E49A8">
        <w:t xml:space="preserve">Cost </w:t>
      </w:r>
      <w:r>
        <w:t>associated with moderate</w:t>
      </w:r>
      <w:r w:rsidRPr="007E49A8">
        <w:t xml:space="preserve"> AE</w:t>
      </w:r>
      <w:r>
        <w:t>s observed with chronic use of steroids</w:t>
      </w:r>
      <w:bookmarkEnd w:id="329"/>
    </w:p>
    <w:tbl>
      <w:tblPr>
        <w:tblStyle w:val="TableGrid"/>
        <w:tblW w:w="5000" w:type="pct"/>
        <w:tblLook w:val="04A0" w:firstRow="1" w:lastRow="0" w:firstColumn="1" w:lastColumn="0" w:noHBand="0" w:noVBand="1"/>
        <w:tblCaption w:val="Cost associated with moderate AEs observed with chronic use of steroids"/>
        <w:tblDescription w:val="Cost associated with moderate AEs observed with chronic use of steroids"/>
      </w:tblPr>
      <w:tblGrid>
        <w:gridCol w:w="2225"/>
        <w:gridCol w:w="1931"/>
        <w:gridCol w:w="1060"/>
        <w:gridCol w:w="3800"/>
      </w:tblGrid>
      <w:tr w:rsidR="005F119B" w:rsidRPr="007E49A8" w14:paraId="18169068" w14:textId="77777777" w:rsidTr="00BB43B6">
        <w:trPr>
          <w:trHeight w:val="300"/>
          <w:tblHeader/>
        </w:trPr>
        <w:tc>
          <w:tcPr>
            <w:tcW w:w="1299" w:type="pct"/>
            <w:noWrap/>
            <w:hideMark/>
          </w:tcPr>
          <w:p w14:paraId="4F8E3921" w14:textId="77777777" w:rsidR="007E49A8" w:rsidRPr="007E49A8" w:rsidRDefault="007E49A8" w:rsidP="007E49A8">
            <w:pPr>
              <w:pStyle w:val="TableHeading"/>
              <w:ind w:left="0"/>
            </w:pPr>
            <w:r w:rsidRPr="007E49A8">
              <w:t xml:space="preserve">Cost of </w:t>
            </w:r>
            <w:r>
              <w:t>moderate</w:t>
            </w:r>
            <w:r w:rsidRPr="007E49A8">
              <w:t xml:space="preserve"> AE</w:t>
            </w:r>
          </w:p>
        </w:tc>
        <w:tc>
          <w:tcPr>
            <w:tcW w:w="1136" w:type="pct"/>
            <w:noWrap/>
            <w:hideMark/>
          </w:tcPr>
          <w:p w14:paraId="1E3292D0" w14:textId="77777777" w:rsidR="007E49A8" w:rsidRPr="007E49A8" w:rsidRDefault="005F119B" w:rsidP="007E49A8">
            <w:pPr>
              <w:pStyle w:val="TableHeading"/>
              <w:ind w:left="0"/>
            </w:pPr>
            <w:r>
              <w:t>A</w:t>
            </w:r>
            <w:r w:rsidR="007E49A8">
              <w:t xml:space="preserve">nnual </w:t>
            </w:r>
            <w:r>
              <w:t>cost</w:t>
            </w:r>
          </w:p>
        </w:tc>
        <w:tc>
          <w:tcPr>
            <w:tcW w:w="653" w:type="pct"/>
          </w:tcPr>
          <w:p w14:paraId="1536F7A7" w14:textId="77777777" w:rsidR="007E49A8" w:rsidRPr="007E49A8" w:rsidRDefault="007E49A8" w:rsidP="007E49A8">
            <w:pPr>
              <w:pStyle w:val="TableHeading"/>
              <w:ind w:left="0"/>
            </w:pPr>
            <w:r>
              <w:t>Relative weight</w:t>
            </w:r>
            <w:r w:rsidR="00D217E1">
              <w:t>*</w:t>
            </w:r>
          </w:p>
        </w:tc>
        <w:tc>
          <w:tcPr>
            <w:tcW w:w="1912" w:type="pct"/>
            <w:noWrap/>
            <w:hideMark/>
          </w:tcPr>
          <w:p w14:paraId="78C77D15" w14:textId="77777777" w:rsidR="007E49A8" w:rsidRPr="007E49A8" w:rsidRDefault="007E49A8" w:rsidP="007E49A8">
            <w:pPr>
              <w:pStyle w:val="TableHeading"/>
              <w:ind w:left="0"/>
            </w:pPr>
            <w:r>
              <w:t>Source</w:t>
            </w:r>
          </w:p>
        </w:tc>
      </w:tr>
      <w:tr w:rsidR="005C0776" w:rsidRPr="007E49A8" w14:paraId="554C193B" w14:textId="77777777" w:rsidTr="007E49A8">
        <w:trPr>
          <w:trHeight w:val="300"/>
        </w:trPr>
        <w:tc>
          <w:tcPr>
            <w:tcW w:w="1299" w:type="pct"/>
            <w:noWrap/>
            <w:hideMark/>
          </w:tcPr>
          <w:p w14:paraId="34AEB056" w14:textId="77777777" w:rsidR="007E49A8" w:rsidRPr="007E49A8" w:rsidRDefault="007E49A8" w:rsidP="007E49A8">
            <w:pPr>
              <w:pStyle w:val="Tabletext1"/>
              <w:ind w:left="0"/>
            </w:pPr>
            <w:r w:rsidRPr="007E49A8">
              <w:t>Diabetes</w:t>
            </w:r>
          </w:p>
        </w:tc>
        <w:tc>
          <w:tcPr>
            <w:tcW w:w="1136" w:type="pct"/>
            <w:noWrap/>
            <w:hideMark/>
          </w:tcPr>
          <w:p w14:paraId="2CAFA2D1" w14:textId="77777777" w:rsidR="007E49A8" w:rsidRPr="007E49A8" w:rsidRDefault="007E49A8" w:rsidP="007E49A8">
            <w:pPr>
              <w:pStyle w:val="Tabletext1"/>
              <w:ind w:left="0"/>
              <w:jc w:val="right"/>
            </w:pPr>
            <w:r w:rsidRPr="007E49A8">
              <w:t>$4,763</w:t>
            </w:r>
          </w:p>
        </w:tc>
        <w:tc>
          <w:tcPr>
            <w:tcW w:w="653" w:type="pct"/>
            <w:noWrap/>
            <w:hideMark/>
          </w:tcPr>
          <w:p w14:paraId="69060204" w14:textId="77777777" w:rsidR="007E49A8" w:rsidRPr="007E49A8" w:rsidRDefault="007E49A8" w:rsidP="007E49A8">
            <w:pPr>
              <w:pStyle w:val="Tabletext1"/>
              <w:ind w:left="0"/>
              <w:jc w:val="right"/>
            </w:pPr>
            <w:r w:rsidRPr="00D45828">
              <w:t>0.106</w:t>
            </w:r>
          </w:p>
        </w:tc>
        <w:tc>
          <w:tcPr>
            <w:tcW w:w="1912" w:type="pct"/>
            <w:noWrap/>
            <w:hideMark/>
          </w:tcPr>
          <w:p w14:paraId="26884858" w14:textId="32087995" w:rsidR="007E49A8" w:rsidRPr="007E49A8" w:rsidRDefault="007E49A8" w:rsidP="00D726F6">
            <w:pPr>
              <w:pStyle w:val="Tabletext1"/>
              <w:ind w:left="0"/>
            </w:pPr>
            <w:r>
              <w:t xml:space="preserve">Lee </w:t>
            </w:r>
            <w:r w:rsidR="00B727D6">
              <w:rPr>
                <w:rStyle w:val="Hyperlink"/>
                <w:color w:val="auto"/>
                <w:u w:val="none"/>
              </w:rPr>
              <w:fldChar w:fldCharType="begin">
                <w:fldData xml:space="preserve">PEVuZE5vdGU+PENpdGUgRXhjbHVkZUF1dGg9IjEiPjxBdXRob3I+TGVlPC9BdXRob3I+PFllYXI+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</w:fldData>
              </w:fldChar>
            </w:r>
            <w:r w:rsidR="00B727D6">
              <w:rPr>
                <w:rStyle w:val="Hyperlink"/>
                <w:color w:val="auto"/>
                <w:u w:val="none"/>
              </w:rPr>
              <w:instrText xml:space="preserve"> ADDIN EN.CITE </w:instrText>
            </w:r>
            <w:r w:rsidR="00B727D6">
              <w:rPr>
                <w:rStyle w:val="Hyperlink"/>
                <w:color w:val="auto"/>
                <w:u w:val="none"/>
              </w:rPr>
              <w:fldChar w:fldCharType="begin">
                <w:fldData xml:space="preserve">PEVuZE5vdGU+PENpdGUgRXhjbHVkZUF1dGg9IjEiPjxBdXRob3I+TGVlPC9BdXRob3I+PFllYXI+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</w:fldData>
              </w:fldChar>
            </w:r>
            <w:r w:rsidR="00B727D6">
              <w:rPr>
                <w:rStyle w:val="Hyperlink"/>
                <w:color w:val="auto"/>
                <w:u w:val="none"/>
              </w:rPr>
              <w:instrText xml:space="preserve"> ADDIN EN.CITE.DATA </w:instrText>
            </w:r>
            <w:r w:rsidR="00B727D6">
              <w:rPr>
                <w:rStyle w:val="Hyperlink"/>
                <w:color w:val="auto"/>
                <w:u w:val="none"/>
              </w:rPr>
            </w:r>
            <w:r w:rsidR="00B727D6">
              <w:rPr>
                <w:rStyle w:val="Hyperlink"/>
                <w:color w:val="auto"/>
                <w:u w:val="none"/>
              </w:rPr>
              <w:fldChar w:fldCharType="end"/>
            </w:r>
            <w:r w:rsidR="00B727D6">
              <w:rPr>
                <w:rStyle w:val="Hyperlink"/>
                <w:color w:val="auto"/>
                <w:u w:val="none"/>
              </w:rPr>
            </w:r>
            <w:r w:rsidR="00B727D6">
              <w:rPr>
                <w:rStyle w:val="Hyperlink"/>
                <w:color w:val="auto"/>
                <w:u w:val="none"/>
              </w:rPr>
              <w:fldChar w:fldCharType="separate"/>
            </w:r>
            <w:r w:rsidR="00B727D6">
              <w:rPr>
                <w:rStyle w:val="Hyperlink"/>
                <w:noProof/>
                <w:color w:val="auto"/>
                <w:u w:val="none"/>
              </w:rPr>
              <w:t>(</w:t>
            </w:r>
            <w:hyperlink w:anchor="_ENREF_36" w:tooltip="Lee, 2013 #1934" w:history="1">
              <w:r w:rsidR="00D726F6" w:rsidRPr="00D726F6">
                <w:rPr>
                  <w:rStyle w:val="Hyperlink"/>
                  <w:noProof/>
                  <w:color w:val="auto"/>
                  <w:u w:val="none"/>
                </w:rPr>
                <w:t>2013</w:t>
              </w:r>
            </w:hyperlink>
            <w:r w:rsidR="00B727D6">
              <w:rPr>
                <w:rStyle w:val="Hyperlink"/>
                <w:noProof/>
                <w:color w:val="auto"/>
                <w:u w:val="none"/>
              </w:rPr>
              <w:t>)</w:t>
            </w:r>
            <w:r w:rsidR="00B727D6">
              <w:rPr>
                <w:rStyle w:val="Hyperlink"/>
                <w:color w:val="auto"/>
                <w:u w:val="none"/>
              </w:rPr>
              <w:fldChar w:fldCharType="end"/>
            </w:r>
            <w:r w:rsidRPr="00E51E85">
              <w:rPr>
                <w:rStyle w:val="Hyperlink"/>
                <w:color w:val="auto"/>
                <w:u w:val="none"/>
              </w:rPr>
              <w:t>.</w:t>
            </w:r>
          </w:p>
        </w:tc>
      </w:tr>
      <w:tr w:rsidR="005C0776" w:rsidRPr="007E49A8" w14:paraId="70265C54" w14:textId="77777777" w:rsidTr="005C0776">
        <w:trPr>
          <w:trHeight w:val="300"/>
        </w:trPr>
        <w:tc>
          <w:tcPr>
            <w:tcW w:w="1299" w:type="pct"/>
            <w:noWrap/>
            <w:hideMark/>
          </w:tcPr>
          <w:p w14:paraId="6370CE4A" w14:textId="77777777" w:rsidR="007E49A8" w:rsidRPr="007E49A8" w:rsidRDefault="007E49A8" w:rsidP="007E49A8">
            <w:pPr>
              <w:pStyle w:val="Tabletext1"/>
              <w:ind w:left="0"/>
            </w:pPr>
            <w:r w:rsidRPr="007E49A8">
              <w:t>Osteoporosis</w:t>
            </w:r>
          </w:p>
        </w:tc>
        <w:tc>
          <w:tcPr>
            <w:tcW w:w="1136" w:type="pct"/>
            <w:noWrap/>
            <w:hideMark/>
          </w:tcPr>
          <w:p w14:paraId="79A6CF43" w14:textId="4B7820CF" w:rsidR="007E49A8" w:rsidRPr="007E49A8" w:rsidRDefault="007E49A8" w:rsidP="008911E9">
            <w:pPr>
              <w:pStyle w:val="Tabletext1"/>
              <w:ind w:left="0"/>
              <w:jc w:val="right"/>
            </w:pPr>
            <w:r w:rsidRPr="007E49A8">
              <w:t>$</w:t>
            </w:r>
            <w:r w:rsidR="008911E9">
              <w:t>872.87</w:t>
            </w:r>
          </w:p>
        </w:tc>
        <w:tc>
          <w:tcPr>
            <w:tcW w:w="653" w:type="pct"/>
            <w:noWrap/>
            <w:hideMark/>
          </w:tcPr>
          <w:p w14:paraId="0F6A2A24" w14:textId="77777777" w:rsidR="007E49A8" w:rsidRPr="007E49A8" w:rsidRDefault="007E49A8" w:rsidP="007E49A8">
            <w:pPr>
              <w:pStyle w:val="Tabletext1"/>
              <w:ind w:left="0"/>
              <w:jc w:val="right"/>
            </w:pPr>
            <w:r w:rsidRPr="00D45828">
              <w:t>0.345</w:t>
            </w:r>
          </w:p>
        </w:tc>
        <w:tc>
          <w:tcPr>
            <w:tcW w:w="1912" w:type="pct"/>
            <w:noWrap/>
          </w:tcPr>
          <w:p w14:paraId="76DF50A9" w14:textId="39C4933A" w:rsidR="007E49A8" w:rsidRPr="007E49A8" w:rsidRDefault="005C0776" w:rsidP="00D726F6">
            <w:pPr>
              <w:pStyle w:val="Tabletext1"/>
              <w:ind w:left="0"/>
            </w:pPr>
            <w:r>
              <w:rPr>
                <w:rStyle w:val="Hyperlink"/>
                <w:color w:val="auto"/>
                <w:u w:val="none"/>
              </w:rPr>
              <w:t xml:space="preserve">Tatangelo </w:t>
            </w:r>
            <w:r w:rsidR="00B727D6">
              <w:rPr>
                <w:rStyle w:val="Hyperlink"/>
                <w:color w:val="auto"/>
                <w:u w:val="none"/>
              </w:rPr>
              <w:fldChar w:fldCharType="begin">
                <w:fldData xml:space="preserve">PEVuZE5vdGU+PENpdGUgRXhjbHVkZUF1dGg9IjEiPjxBdXRob3I+VGF0YW5nZWxvPC9BdXRob3I+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ZnVsbC10aXRsZT48YWJici0xPkpvdXJuYWwgb2YgYm9uZSBhbmQgbWluZXJhbCByZXNlYXJjaCA6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==
</w:fldData>
              </w:fldChar>
            </w:r>
            <w:r w:rsidR="00B727D6">
              <w:rPr>
                <w:rStyle w:val="Hyperlink"/>
                <w:color w:val="auto"/>
                <w:u w:val="none"/>
              </w:rPr>
              <w:instrText xml:space="preserve"> ADDIN EN.CITE </w:instrText>
            </w:r>
            <w:r w:rsidR="00B727D6">
              <w:rPr>
                <w:rStyle w:val="Hyperlink"/>
                <w:color w:val="auto"/>
                <w:u w:val="none"/>
              </w:rPr>
              <w:fldChar w:fldCharType="begin">
                <w:fldData xml:space="preserve">PEVuZE5vdGU+PENpdGUgRXhjbHVkZUF1dGg9IjEiPjxBdXRob3I+VGF0YW5nZWxvPC9BdXRob3I+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==
</w:fldData>
              </w:fldChar>
            </w:r>
            <w:r w:rsidR="00B727D6">
              <w:rPr>
                <w:rStyle w:val="Hyperlink"/>
                <w:color w:val="auto"/>
                <w:u w:val="none"/>
              </w:rPr>
              <w:instrText xml:space="preserve"> ADDIN EN.CITE.DATA </w:instrText>
            </w:r>
            <w:r w:rsidR="00B727D6">
              <w:rPr>
                <w:rStyle w:val="Hyperlink"/>
                <w:color w:val="auto"/>
                <w:u w:val="none"/>
              </w:rPr>
            </w:r>
            <w:r w:rsidR="00B727D6">
              <w:rPr>
                <w:rStyle w:val="Hyperlink"/>
                <w:color w:val="auto"/>
                <w:u w:val="none"/>
              </w:rPr>
              <w:fldChar w:fldCharType="end"/>
            </w:r>
            <w:r w:rsidR="00B727D6">
              <w:rPr>
                <w:rStyle w:val="Hyperlink"/>
                <w:color w:val="auto"/>
                <w:u w:val="none"/>
              </w:rPr>
            </w:r>
            <w:r w:rsidR="00B727D6">
              <w:rPr>
                <w:rStyle w:val="Hyperlink"/>
                <w:color w:val="auto"/>
                <w:u w:val="none"/>
              </w:rPr>
              <w:fldChar w:fldCharType="separate"/>
            </w:r>
            <w:r w:rsidR="00B727D6">
              <w:rPr>
                <w:rStyle w:val="Hyperlink"/>
                <w:noProof/>
                <w:color w:val="auto"/>
                <w:u w:val="none"/>
              </w:rPr>
              <w:t>(</w:t>
            </w:r>
            <w:hyperlink w:anchor="_ENREF_70" w:tooltip="Tatangelo, 2019 #1932" w:history="1">
              <w:r w:rsidR="00D726F6" w:rsidRPr="00D726F6">
                <w:rPr>
                  <w:rStyle w:val="Hyperlink"/>
                  <w:noProof/>
                  <w:color w:val="auto"/>
                  <w:u w:val="none"/>
                </w:rPr>
                <w:t>2019</w:t>
              </w:r>
            </w:hyperlink>
            <w:r w:rsidR="00B727D6">
              <w:rPr>
                <w:rStyle w:val="Hyperlink"/>
                <w:noProof/>
                <w:color w:val="auto"/>
                <w:u w:val="none"/>
              </w:rPr>
              <w:t>)</w:t>
            </w:r>
            <w:r w:rsidR="00B727D6">
              <w:rPr>
                <w:rStyle w:val="Hyperlink"/>
                <w:color w:val="auto"/>
                <w:u w:val="none"/>
              </w:rPr>
              <w:fldChar w:fldCharType="end"/>
            </w:r>
            <w:r w:rsidR="008911E9">
              <w:rPr>
                <w:rStyle w:val="Hyperlink"/>
                <w:color w:val="auto"/>
                <w:u w:val="none"/>
              </w:rPr>
              <w:t xml:space="preserve">, </w:t>
            </w:r>
            <w:r w:rsidR="008911E9">
              <w:rPr>
                <w:rStyle w:val="Hyperlink"/>
                <w:color w:val="auto"/>
                <w:u w:val="none"/>
              </w:rPr>
              <w:fldChar w:fldCharType="begin"/>
            </w:r>
            <w:r w:rsidR="008911E9">
              <w:rPr>
                <w:rStyle w:val="Hyperlink"/>
                <w:color w:val="auto"/>
                <w:u w:val="none"/>
              </w:rPr>
              <w:instrText xml:space="preserve"> REF _Ref66211548 \h </w:instrText>
            </w:r>
            <w:r w:rsidR="008911E9">
              <w:rPr>
                <w:rStyle w:val="Hyperlink"/>
                <w:color w:val="auto"/>
                <w:u w:val="none"/>
              </w:rPr>
            </w:r>
            <w:r w:rsidR="008911E9">
              <w:rPr>
                <w:rStyle w:val="Hyperlink"/>
                <w:color w:val="auto"/>
                <w:u w:val="none"/>
              </w:rPr>
              <w:fldChar w:fldCharType="separate"/>
            </w:r>
            <w:r w:rsidR="004B3EA2">
              <w:t xml:space="preserve">Table </w:t>
            </w:r>
            <w:r w:rsidR="004B3EA2">
              <w:rPr>
                <w:noProof/>
              </w:rPr>
              <w:t>83</w:t>
            </w:r>
            <w:r w:rsidR="008911E9">
              <w:rPr>
                <w:rStyle w:val="Hyperlink"/>
                <w:color w:val="auto"/>
                <w:u w:val="none"/>
              </w:rPr>
              <w:fldChar w:fldCharType="end"/>
            </w:r>
          </w:p>
        </w:tc>
      </w:tr>
      <w:tr w:rsidR="005C0776" w:rsidRPr="007E49A8" w14:paraId="0ED72AAB" w14:textId="77777777" w:rsidTr="007E49A8">
        <w:trPr>
          <w:trHeight w:val="300"/>
        </w:trPr>
        <w:tc>
          <w:tcPr>
            <w:tcW w:w="1299" w:type="pct"/>
            <w:noWrap/>
            <w:hideMark/>
          </w:tcPr>
          <w:p w14:paraId="0AB0E2F4" w14:textId="77777777" w:rsidR="007E49A8" w:rsidRPr="007E49A8" w:rsidRDefault="007E49A8" w:rsidP="007E49A8">
            <w:pPr>
              <w:pStyle w:val="Tabletext1"/>
              <w:ind w:left="0"/>
            </w:pPr>
            <w:r w:rsidRPr="007E49A8">
              <w:t>Fractures</w:t>
            </w:r>
          </w:p>
        </w:tc>
        <w:tc>
          <w:tcPr>
            <w:tcW w:w="1136" w:type="pct"/>
            <w:noWrap/>
            <w:hideMark/>
          </w:tcPr>
          <w:p w14:paraId="3EFF556D" w14:textId="77777777" w:rsidR="007E49A8" w:rsidRPr="007E49A8" w:rsidRDefault="007E49A8" w:rsidP="007E49A8">
            <w:pPr>
              <w:pStyle w:val="Tabletext1"/>
              <w:ind w:left="0"/>
              <w:jc w:val="right"/>
            </w:pPr>
            <w:r w:rsidRPr="007E49A8">
              <w:t>$12,892</w:t>
            </w:r>
          </w:p>
        </w:tc>
        <w:tc>
          <w:tcPr>
            <w:tcW w:w="653" w:type="pct"/>
            <w:noWrap/>
            <w:hideMark/>
          </w:tcPr>
          <w:p w14:paraId="647D0592" w14:textId="77777777" w:rsidR="007E49A8" w:rsidRPr="007E49A8" w:rsidRDefault="007E49A8" w:rsidP="007E49A8">
            <w:pPr>
              <w:pStyle w:val="Tabletext1"/>
              <w:ind w:left="0"/>
              <w:jc w:val="right"/>
            </w:pPr>
            <w:r w:rsidRPr="00D45828">
              <w:t>0.108</w:t>
            </w:r>
          </w:p>
        </w:tc>
        <w:tc>
          <w:tcPr>
            <w:tcW w:w="1912" w:type="pct"/>
            <w:noWrap/>
            <w:hideMark/>
          </w:tcPr>
          <w:p w14:paraId="2B4B9D1D" w14:textId="4550F3EF" w:rsidR="007E49A8" w:rsidRPr="007E49A8" w:rsidRDefault="005C0776" w:rsidP="00D726F6">
            <w:pPr>
              <w:pStyle w:val="Tabletext1"/>
              <w:ind w:left="0"/>
            </w:pPr>
            <w:r>
              <w:rPr>
                <w:rStyle w:val="Hyperlink"/>
                <w:color w:val="auto"/>
                <w:u w:val="none"/>
              </w:rPr>
              <w:t xml:space="preserve">Watts </w:t>
            </w:r>
            <w:r w:rsidR="00B727D6">
              <w:rPr>
                <w:rStyle w:val="Hyperlink"/>
                <w:color w:val="auto"/>
                <w:u w:val="none"/>
              </w:rPr>
              <w:fldChar w:fldCharType="begin"/>
            </w:r>
            <w:r w:rsidR="00B727D6">
              <w:rPr>
                <w:rStyle w:val="Hyperlink"/>
                <w:color w:val="auto"/>
                <w:u w:val="none"/>
              </w:rPr>
              <w:instrText xml:space="preserve"> ADDIN EN.CITE &lt;EndNote&gt;&lt;Cite ExcludeAuth="1"&gt;&lt;Author&gt;Watts&lt;/Author&gt;&lt;Year&gt;2013&lt;/Year&gt;&lt;RecNum&gt;1933&lt;/RecNum&gt;&lt;DisplayText&gt;(2013)&lt;/DisplayText&gt;&lt;record&gt;&lt;rec-number&gt;1933&lt;/rec-number&gt;&lt;foreign-keys&gt;&lt;key app="EN" db-id="xtr5xfx2xf0wd7e0s2qvst2ietxxf0tpzr9v" timestamp="1613102811"&gt;1933&lt;/key&gt;&lt;/foreign-keys&gt;&lt;ref-type name="Report"&gt;27&lt;/ref-type&gt;&lt;contributors&gt;&lt;authors&gt;&lt;author&gt;Watts, Jennifer J.&lt;/author&gt;&lt;author&gt;Abimanyi-Ochom, Julie&lt;/author&gt;&lt;author&gt;Sanders, Kerrie M.&lt;/author&gt;&lt;/authors&gt;&lt;tertiary-authors&gt;&lt;author&gt;Osteoporosis Australia&lt;/author&gt;&lt;/tertiary-authors&gt;&lt;/contributors&gt;&lt;titles&gt;&lt;title&gt;Osteoporosis costing all Australian : a new burden of disease analysis - 2012 to 2022&lt;/title&gt;&lt;/titles&gt;&lt;pages&gt;75&lt;/pages&gt;&lt;dates&gt;&lt;year&gt;2013&lt;/year&gt;&lt;/dates&gt;&lt;pub-location&gt;Melbourne, Victoria&lt;/pub-location&gt;&lt;publisher&gt;Osteoporosis Australia&lt;/publisher&gt;&lt;urls&gt;&lt;related-urls&gt;&lt;url&gt;http://hdl.handle.net/10536/DRO/DU:30060270&lt;/url&gt;&lt;/related-urls&gt;&lt;/urls&gt;&lt;/record&gt;&lt;/Cite&gt;&lt;/EndNote&gt;</w:instrText>
            </w:r>
            <w:r w:rsidR="00B727D6">
              <w:rPr>
                <w:rStyle w:val="Hyperlink"/>
                <w:color w:val="auto"/>
                <w:u w:val="none"/>
              </w:rPr>
              <w:fldChar w:fldCharType="separate"/>
            </w:r>
            <w:r w:rsidR="00B727D6">
              <w:rPr>
                <w:rStyle w:val="Hyperlink"/>
                <w:noProof/>
                <w:color w:val="auto"/>
                <w:u w:val="none"/>
              </w:rPr>
              <w:t>(</w:t>
            </w:r>
            <w:hyperlink w:anchor="_ENREF_78" w:tooltip="Watts, 2013 #1933" w:history="1">
              <w:r w:rsidR="00D726F6" w:rsidRPr="00D726F6">
                <w:rPr>
                  <w:rStyle w:val="Hyperlink"/>
                  <w:noProof/>
                  <w:color w:val="auto"/>
                  <w:u w:val="none"/>
                </w:rPr>
                <w:t>2013</w:t>
              </w:r>
            </w:hyperlink>
            <w:r w:rsidR="00B727D6">
              <w:rPr>
                <w:rStyle w:val="Hyperlink"/>
                <w:noProof/>
                <w:color w:val="auto"/>
                <w:u w:val="none"/>
              </w:rPr>
              <w:t>)</w:t>
            </w:r>
            <w:r w:rsidR="00B727D6">
              <w:rPr>
                <w:rStyle w:val="Hyperlink"/>
                <w:color w:val="auto"/>
                <w:u w:val="none"/>
              </w:rPr>
              <w:fldChar w:fldCharType="end"/>
            </w:r>
          </w:p>
        </w:tc>
      </w:tr>
      <w:tr w:rsidR="005C0776" w:rsidRPr="007E49A8" w14:paraId="30F103FD" w14:textId="77777777" w:rsidTr="007E49A8">
        <w:trPr>
          <w:trHeight w:val="300"/>
        </w:trPr>
        <w:tc>
          <w:tcPr>
            <w:tcW w:w="1299" w:type="pct"/>
            <w:noWrap/>
            <w:hideMark/>
          </w:tcPr>
          <w:p w14:paraId="6F8CA062" w14:textId="77777777" w:rsidR="005C0776" w:rsidRPr="007E49A8" w:rsidRDefault="005C0776" w:rsidP="005C0776">
            <w:pPr>
              <w:pStyle w:val="Tabletext1"/>
              <w:ind w:left="0"/>
            </w:pPr>
            <w:r w:rsidRPr="007E49A8">
              <w:t>Glaucoma</w:t>
            </w:r>
          </w:p>
        </w:tc>
        <w:tc>
          <w:tcPr>
            <w:tcW w:w="1136" w:type="pct"/>
            <w:noWrap/>
            <w:hideMark/>
          </w:tcPr>
          <w:p w14:paraId="00F1CDA3" w14:textId="77777777" w:rsidR="005C0776" w:rsidRPr="007E49A8" w:rsidRDefault="005C0776" w:rsidP="005C0776">
            <w:pPr>
              <w:pStyle w:val="Tabletext1"/>
              <w:ind w:left="0"/>
              <w:jc w:val="right"/>
            </w:pPr>
            <w:r w:rsidRPr="007E49A8">
              <w:t>$2,908</w:t>
            </w:r>
          </w:p>
        </w:tc>
        <w:tc>
          <w:tcPr>
            <w:tcW w:w="653" w:type="pct"/>
            <w:noWrap/>
            <w:hideMark/>
          </w:tcPr>
          <w:p w14:paraId="576A8768" w14:textId="77777777" w:rsidR="005C0776" w:rsidRPr="007E49A8" w:rsidRDefault="005C0776" w:rsidP="005C0776">
            <w:pPr>
              <w:pStyle w:val="Tabletext1"/>
              <w:ind w:left="0"/>
              <w:jc w:val="right"/>
            </w:pPr>
            <w:r w:rsidRPr="00D45828">
              <w:t>0.131</w:t>
            </w:r>
          </w:p>
        </w:tc>
        <w:tc>
          <w:tcPr>
            <w:tcW w:w="1912" w:type="pct"/>
            <w:noWrap/>
            <w:hideMark/>
          </w:tcPr>
          <w:p w14:paraId="2CD98C88" w14:textId="4DAAE5D3" w:rsidR="005C0776" w:rsidRPr="007E49A8" w:rsidRDefault="005C0776" w:rsidP="00D726F6">
            <w:pPr>
              <w:pStyle w:val="Tabletext1"/>
              <w:ind w:left="0"/>
            </w:pPr>
            <w:r>
              <w:t xml:space="preserve">Dirani </w:t>
            </w:r>
            <w:r w:rsidR="00B727D6">
              <w:rPr>
                <w:rStyle w:val="Hyperlink"/>
                <w:color w:val="auto"/>
                <w:u w:val="none"/>
              </w:rPr>
              <w:fldChar w:fldCharType="begin">
                <w:fldData xml:space="preserve">PEVuZE5vdGU+PENpdGUgRXhjbHVkZUF1dGg9IjEiPjxBdXRob3I+RGlyYW5pPC9BdXRob3I+PFll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</w:fldData>
              </w:fldChar>
            </w:r>
            <w:r w:rsidR="00B727D6">
              <w:rPr>
                <w:rStyle w:val="Hyperlink"/>
                <w:color w:val="auto"/>
                <w:u w:val="none"/>
              </w:rPr>
              <w:instrText xml:space="preserve"> ADDIN EN.CITE </w:instrText>
            </w:r>
            <w:r w:rsidR="00B727D6">
              <w:rPr>
                <w:rStyle w:val="Hyperlink"/>
                <w:color w:val="auto"/>
                <w:u w:val="none"/>
              </w:rPr>
              <w:fldChar w:fldCharType="begin">
                <w:fldData xml:space="preserve">PEVuZE5vdGU+PENpdGUgRXhjbHVkZUF1dGg9IjEiPjxBdXRob3I+RGlyYW5pPC9BdXRob3I+PFll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</w:fldData>
              </w:fldChar>
            </w:r>
            <w:r w:rsidR="00B727D6">
              <w:rPr>
                <w:rStyle w:val="Hyperlink"/>
                <w:color w:val="auto"/>
                <w:u w:val="none"/>
              </w:rPr>
              <w:instrText xml:space="preserve"> ADDIN EN.CITE.DATA </w:instrText>
            </w:r>
            <w:r w:rsidR="00B727D6">
              <w:rPr>
                <w:rStyle w:val="Hyperlink"/>
                <w:color w:val="auto"/>
                <w:u w:val="none"/>
              </w:rPr>
            </w:r>
            <w:r w:rsidR="00B727D6">
              <w:rPr>
                <w:rStyle w:val="Hyperlink"/>
                <w:color w:val="auto"/>
                <w:u w:val="none"/>
              </w:rPr>
              <w:fldChar w:fldCharType="end"/>
            </w:r>
            <w:r w:rsidR="00B727D6">
              <w:rPr>
                <w:rStyle w:val="Hyperlink"/>
                <w:color w:val="auto"/>
                <w:u w:val="none"/>
              </w:rPr>
            </w:r>
            <w:r w:rsidR="00B727D6">
              <w:rPr>
                <w:rStyle w:val="Hyperlink"/>
                <w:color w:val="auto"/>
                <w:u w:val="none"/>
              </w:rPr>
              <w:fldChar w:fldCharType="separate"/>
            </w:r>
            <w:r w:rsidR="00B727D6">
              <w:rPr>
                <w:rStyle w:val="Hyperlink"/>
                <w:noProof/>
                <w:color w:val="auto"/>
                <w:u w:val="none"/>
              </w:rPr>
              <w:t>(</w:t>
            </w:r>
            <w:hyperlink w:anchor="_ENREF_15" w:tooltip="Dirani, 2011 #1935" w:history="1">
              <w:r w:rsidR="00D726F6" w:rsidRPr="00D726F6">
                <w:rPr>
                  <w:rStyle w:val="Hyperlink"/>
                  <w:noProof/>
                  <w:color w:val="auto"/>
                  <w:u w:val="none"/>
                </w:rPr>
                <w:t>2011</w:t>
              </w:r>
            </w:hyperlink>
            <w:r w:rsidR="00B727D6">
              <w:rPr>
                <w:rStyle w:val="Hyperlink"/>
                <w:noProof/>
                <w:color w:val="auto"/>
                <w:u w:val="none"/>
              </w:rPr>
              <w:t>)</w:t>
            </w:r>
            <w:r w:rsidR="00B727D6">
              <w:rPr>
                <w:rStyle w:val="Hyperlink"/>
                <w:color w:val="auto"/>
                <w:u w:val="none"/>
              </w:rPr>
              <w:fldChar w:fldCharType="end"/>
            </w:r>
          </w:p>
        </w:tc>
      </w:tr>
      <w:tr w:rsidR="005C0776" w:rsidRPr="007E49A8" w14:paraId="56C99386" w14:textId="77777777" w:rsidTr="007E49A8">
        <w:trPr>
          <w:trHeight w:val="300"/>
        </w:trPr>
        <w:tc>
          <w:tcPr>
            <w:tcW w:w="1299" w:type="pct"/>
            <w:noWrap/>
            <w:hideMark/>
          </w:tcPr>
          <w:p w14:paraId="2932DECC" w14:textId="77777777" w:rsidR="005C0776" w:rsidRPr="007E49A8" w:rsidRDefault="005C0776" w:rsidP="005C0776">
            <w:pPr>
              <w:pStyle w:val="Tabletext1"/>
              <w:ind w:left="0"/>
            </w:pPr>
            <w:r w:rsidRPr="007E49A8">
              <w:t>Serious infection</w:t>
            </w:r>
          </w:p>
        </w:tc>
        <w:tc>
          <w:tcPr>
            <w:tcW w:w="1136" w:type="pct"/>
            <w:noWrap/>
            <w:hideMark/>
          </w:tcPr>
          <w:p w14:paraId="1F9A0271" w14:textId="77777777" w:rsidR="005C0776" w:rsidRPr="007E49A8" w:rsidRDefault="005C0776" w:rsidP="005C0776">
            <w:pPr>
              <w:pStyle w:val="Tabletext1"/>
              <w:ind w:left="0"/>
              <w:jc w:val="right"/>
            </w:pPr>
            <w:r w:rsidRPr="007E49A8">
              <w:t>$8,378</w:t>
            </w:r>
          </w:p>
        </w:tc>
        <w:tc>
          <w:tcPr>
            <w:tcW w:w="653" w:type="pct"/>
            <w:noWrap/>
            <w:hideMark/>
          </w:tcPr>
          <w:p w14:paraId="725C63B8" w14:textId="77777777" w:rsidR="005C0776" w:rsidRPr="007E49A8" w:rsidRDefault="005C0776" w:rsidP="005C0776">
            <w:pPr>
              <w:pStyle w:val="Tabletext1"/>
              <w:ind w:left="0"/>
              <w:jc w:val="right"/>
            </w:pPr>
            <w:r w:rsidRPr="00D45828">
              <w:t>0.311</w:t>
            </w:r>
          </w:p>
        </w:tc>
        <w:tc>
          <w:tcPr>
            <w:tcW w:w="1912" w:type="pct"/>
            <w:noWrap/>
            <w:hideMark/>
          </w:tcPr>
          <w:p w14:paraId="5D6A6C4C" w14:textId="77777777" w:rsidR="005C0776" w:rsidRPr="007E49A8" w:rsidRDefault="005C0776" w:rsidP="005C0776">
            <w:pPr>
              <w:pStyle w:val="Tabletext1"/>
              <w:ind w:left="0"/>
            </w:pPr>
            <w:r>
              <w:rPr>
                <w:rStyle w:val="Hyperlink"/>
                <w:color w:val="auto"/>
                <w:u w:val="none"/>
              </w:rPr>
              <w:t>AR-DRGs B72, T60, I64 and E62</w:t>
            </w:r>
          </w:p>
        </w:tc>
      </w:tr>
      <w:tr w:rsidR="005C0776" w:rsidRPr="007E49A8" w14:paraId="553ECBE9" w14:textId="77777777" w:rsidTr="007E49A8">
        <w:trPr>
          <w:trHeight w:val="300"/>
        </w:trPr>
        <w:tc>
          <w:tcPr>
            <w:tcW w:w="1299" w:type="pct"/>
            <w:noWrap/>
            <w:hideMark/>
          </w:tcPr>
          <w:p w14:paraId="0E2D5572" w14:textId="77777777" w:rsidR="005C0776" w:rsidRPr="007E49A8" w:rsidRDefault="005F119B" w:rsidP="005F119B">
            <w:pPr>
              <w:pStyle w:val="Tabletext1"/>
              <w:ind w:left="0"/>
              <w:rPr>
                <w:b/>
              </w:rPr>
            </w:pPr>
            <w:r>
              <w:rPr>
                <w:b/>
              </w:rPr>
              <w:t>Estimated c</w:t>
            </w:r>
            <w:r w:rsidR="005C0776" w:rsidRPr="007E49A8">
              <w:rPr>
                <w:b/>
              </w:rPr>
              <w:t>ost per AE</w:t>
            </w:r>
          </w:p>
        </w:tc>
        <w:tc>
          <w:tcPr>
            <w:tcW w:w="1136" w:type="pct"/>
            <w:noWrap/>
            <w:hideMark/>
          </w:tcPr>
          <w:p w14:paraId="7C33C11D" w14:textId="5A8F906C" w:rsidR="005C0776" w:rsidRPr="007E49A8" w:rsidRDefault="005C0776" w:rsidP="008911E9">
            <w:pPr>
              <w:pStyle w:val="Tabletext1"/>
              <w:ind w:left="0"/>
              <w:jc w:val="right"/>
              <w:rPr>
                <w:b/>
              </w:rPr>
            </w:pPr>
            <w:r w:rsidRPr="007E49A8">
              <w:rPr>
                <w:b/>
              </w:rPr>
              <w:t>$5,</w:t>
            </w:r>
            <w:r w:rsidR="008911E9">
              <w:rPr>
                <w:b/>
              </w:rPr>
              <w:t>182</w:t>
            </w:r>
          </w:p>
        </w:tc>
        <w:tc>
          <w:tcPr>
            <w:tcW w:w="653" w:type="pct"/>
            <w:noWrap/>
            <w:hideMark/>
          </w:tcPr>
          <w:p w14:paraId="68847968" w14:textId="77777777" w:rsidR="005C0776" w:rsidRPr="007E49A8" w:rsidRDefault="005C0776" w:rsidP="005C0776">
            <w:pPr>
              <w:pStyle w:val="Tabletext1"/>
              <w:ind w:left="0"/>
              <w:jc w:val="right"/>
              <w:rPr>
                <w:b/>
              </w:rPr>
            </w:pPr>
          </w:p>
        </w:tc>
        <w:tc>
          <w:tcPr>
            <w:tcW w:w="1912" w:type="pct"/>
            <w:noWrap/>
            <w:hideMark/>
          </w:tcPr>
          <w:p w14:paraId="3D327EFF" w14:textId="77777777" w:rsidR="005C0776" w:rsidRPr="005F119B" w:rsidRDefault="005F119B" w:rsidP="005C0776">
            <w:pPr>
              <w:pStyle w:val="Tabletext1"/>
              <w:ind w:left="0"/>
            </w:pPr>
            <w:r w:rsidRPr="005F119B">
              <w:t>Sum</w:t>
            </w:r>
            <w:r>
              <w:t>-</w:t>
            </w:r>
            <w:r w:rsidRPr="005F119B">
              <w:t>product of annual costs and relative weights</w:t>
            </w:r>
          </w:p>
        </w:tc>
      </w:tr>
    </w:tbl>
    <w:p w14:paraId="65218A3A" w14:textId="34622972" w:rsidR="00D217E1" w:rsidRDefault="00D217E1" w:rsidP="007E49A8">
      <w:pPr>
        <w:pStyle w:val="Tablenote"/>
        <w:rPr>
          <w:rStyle w:val="Hyperlink"/>
          <w:color w:val="auto"/>
          <w:u w:val="none"/>
        </w:rPr>
      </w:pPr>
      <w:r>
        <w:rPr>
          <w:rStyle w:val="Hyperlink"/>
          <w:color w:val="auto"/>
          <w:u w:val="none"/>
        </w:rPr>
        <w:t xml:space="preserve">*Relative weights estimated from incidence of events reported in </w:t>
      </w:r>
      <w:r>
        <w:rPr>
          <w:rStyle w:val="Hyperlink"/>
          <w:color w:val="auto"/>
          <w:u w:val="none"/>
        </w:rPr>
        <w:fldChar w:fldCharType="begin"/>
      </w:r>
      <w:r>
        <w:rPr>
          <w:rStyle w:val="Hyperlink"/>
          <w:color w:val="auto"/>
          <w:u w:val="none"/>
        </w:rPr>
        <w:instrText xml:space="preserve"> REF _Ref65252255 \h </w:instrText>
      </w:r>
      <w:r>
        <w:rPr>
          <w:rStyle w:val="Hyperlink"/>
          <w:color w:val="auto"/>
          <w:u w:val="none"/>
        </w:rPr>
      </w:r>
      <w:r>
        <w:rPr>
          <w:rStyle w:val="Hyperlink"/>
          <w:color w:val="auto"/>
          <w:u w:val="none"/>
        </w:rPr>
        <w:fldChar w:fldCharType="separate"/>
      </w:r>
      <w:r w:rsidR="004B3EA2">
        <w:t xml:space="preserve">Table </w:t>
      </w:r>
      <w:r w:rsidR="004B3EA2">
        <w:rPr>
          <w:noProof/>
        </w:rPr>
        <w:t>32</w:t>
      </w:r>
      <w:r>
        <w:rPr>
          <w:rStyle w:val="Hyperlink"/>
          <w:color w:val="auto"/>
          <w:u w:val="none"/>
        </w:rPr>
        <w:fldChar w:fldCharType="end"/>
      </w:r>
      <w:r>
        <w:rPr>
          <w:rStyle w:val="Hyperlink"/>
          <w:color w:val="auto"/>
          <w:u w:val="none"/>
        </w:rPr>
        <w:t>.</w:t>
      </w:r>
    </w:p>
    <w:p w14:paraId="52C0B214" w14:textId="77777777" w:rsidR="007E49A8" w:rsidRDefault="007E49A8" w:rsidP="007E49A8">
      <w:pPr>
        <w:pStyle w:val="Tablenote"/>
        <w:rPr>
          <w:rStyle w:val="Hyperlink"/>
          <w:color w:val="auto"/>
          <w:u w:val="none"/>
        </w:rPr>
      </w:pPr>
      <w:r>
        <w:rPr>
          <w:rStyle w:val="Hyperlink"/>
          <w:color w:val="auto"/>
          <w:u w:val="none"/>
        </w:rPr>
        <w:t>AE = adverse event</w:t>
      </w:r>
      <w:r w:rsidR="007D7EDD">
        <w:rPr>
          <w:rStyle w:val="Hyperlink"/>
          <w:color w:val="auto"/>
          <w:u w:val="none"/>
        </w:rPr>
        <w:t xml:space="preserve">; </w:t>
      </w:r>
      <w:r w:rsidR="007D7EDD">
        <w:t xml:space="preserve">AR-DRG = </w:t>
      </w:r>
      <w:r w:rsidR="007D7EDD" w:rsidRPr="00F7550F">
        <w:t>Australian Refined Diagnosis Related Groups</w:t>
      </w:r>
    </w:p>
    <w:p w14:paraId="457C8F65" w14:textId="34DCBC80" w:rsidR="002C4FE0" w:rsidRDefault="00450D23" w:rsidP="002905B3">
      <w:pPr>
        <w:pStyle w:val="BodyTextSTD"/>
        <w:rPr>
          <w:rStyle w:val="Hyperlink"/>
          <w:color w:val="auto"/>
          <w:u w:val="none"/>
        </w:rPr>
      </w:pPr>
      <w:r w:rsidRPr="00450D23">
        <w:rPr>
          <w:rStyle w:val="Hyperlink"/>
          <w:color w:val="auto"/>
        </w:rPr>
        <w:t>Severe adverse events:</w:t>
      </w:r>
      <w:r>
        <w:rPr>
          <w:rStyle w:val="Hyperlink"/>
          <w:color w:val="auto"/>
          <w:u w:val="none"/>
        </w:rPr>
        <w:t xml:space="preserve"> </w:t>
      </w:r>
      <w:r w:rsidR="00397467">
        <w:rPr>
          <w:rStyle w:val="Hyperlink"/>
          <w:color w:val="auto"/>
          <w:u w:val="none"/>
        </w:rPr>
        <w:t>Costs</w:t>
      </w:r>
      <w:r>
        <w:rPr>
          <w:rStyle w:val="Hyperlink"/>
          <w:color w:val="auto"/>
          <w:u w:val="none"/>
        </w:rPr>
        <w:t xml:space="preserve"> of AR-DRGs F67A, F65A, F65B, G61A and G61B </w:t>
      </w:r>
      <w:r w:rsidR="00B727D6">
        <w:rPr>
          <w:rStyle w:val="Hyperlink"/>
          <w:color w:val="auto"/>
          <w:u w:val="none"/>
        </w:rPr>
        <w:fldChar w:fldCharType="begin"/>
      </w:r>
      <w:r w:rsidR="00B727D6">
        <w:rPr>
          <w:rStyle w:val="Hyperlink"/>
          <w:color w:val="auto"/>
          <w:u w:val="none"/>
        </w:rPr>
        <w:instrText xml:space="preserve"> ADDIN EN.CITE &lt;EndNote&gt;&lt;Cite&gt;&lt;Author&gt;IHPA&lt;/Author&gt;&lt;Year&gt;2021&lt;/Year&gt;&lt;RecNum&gt;1961&lt;/RecNum&gt;&lt;DisplayText&gt;(IHPA 2021)&lt;/DisplayText&gt;&lt;record&gt;&lt;rec-number&gt;1961&lt;/rec-number&gt;&lt;foreign-keys&gt;&lt;key app="EN" db-id="xtr5xfx2xf0wd7e0s2qvst2ietxxf0tpzr9v" timestamp="1615261212"&gt;1961&lt;/key&gt;&lt;/foreign-keys&gt;&lt;ref-type name="Report"&gt;27&lt;/ref-type&gt;&lt;contributors&gt;&lt;authors&gt;&lt;author&gt;IHPA,&lt;/author&gt;&lt;/authors&gt;&lt;tertiary-authors&gt;&lt;author&gt;The Independent Hospital Pricing Authority &lt;/author&gt;&lt;/tertiary-authors&gt;&lt;/contributors&gt;&lt;titles&gt;&lt;title&gt;NATIONAL HOSPITAL COST DATA COLLECTION, COST WEIGHTS FOR AR-DRG VERSION 10.0, Round 23 (2018-19), Public Sector&lt;/title&gt;&lt;/titles&gt;&lt;dates&gt;&lt;year&gt;2021&lt;/year&gt;&lt;/dates&gt;&lt;publisher&gt;The Independent Hospital Pricing Authority &lt;/publisher&gt;&lt;urls&gt;&lt;/urls&gt;&lt;/record&gt;&lt;/Cite&gt;&lt;/EndNote&gt;</w:instrText>
      </w:r>
      <w:r w:rsidR="00B727D6">
        <w:rPr>
          <w:rStyle w:val="Hyperlink"/>
          <w:color w:val="auto"/>
          <w:u w:val="none"/>
        </w:rPr>
        <w:fldChar w:fldCharType="separate"/>
      </w:r>
      <w:r w:rsidR="00B727D6">
        <w:rPr>
          <w:rStyle w:val="Hyperlink"/>
          <w:noProof/>
          <w:color w:val="auto"/>
          <w:u w:val="none"/>
        </w:rPr>
        <w:t>(</w:t>
      </w:r>
      <w:hyperlink w:anchor="_ENREF_30" w:tooltip="IHPA, 2021 #1961" w:history="1">
        <w:r w:rsidR="00D726F6" w:rsidRPr="00D726F6">
          <w:rPr>
            <w:rStyle w:val="Hyperlink"/>
            <w:noProof/>
            <w:color w:val="auto"/>
            <w:u w:val="none"/>
          </w:rPr>
          <w:t>IHPA 2021</w:t>
        </w:r>
      </w:hyperlink>
      <w:r w:rsidR="00B727D6">
        <w:rPr>
          <w:rStyle w:val="Hyperlink"/>
          <w:noProof/>
          <w:color w:val="auto"/>
          <w:u w:val="none"/>
        </w:rPr>
        <w:t>)</w:t>
      </w:r>
      <w:r w:rsidR="00B727D6">
        <w:rPr>
          <w:rStyle w:val="Hyperlink"/>
          <w:color w:val="auto"/>
          <w:u w:val="none"/>
        </w:rPr>
        <w:fldChar w:fldCharType="end"/>
      </w:r>
      <w:r>
        <w:rPr>
          <w:rStyle w:val="Hyperlink"/>
          <w:color w:val="auto"/>
          <w:u w:val="none"/>
        </w:rPr>
        <w:t xml:space="preserve"> were used for</w:t>
      </w:r>
      <w:r w:rsidR="00397467">
        <w:rPr>
          <w:rStyle w:val="Hyperlink"/>
          <w:color w:val="auto"/>
          <w:u w:val="none"/>
        </w:rPr>
        <w:t xml:space="preserve"> managing severe adverse events </w:t>
      </w:r>
      <w:r>
        <w:rPr>
          <w:rStyle w:val="Hyperlink"/>
          <w:color w:val="auto"/>
          <w:u w:val="none"/>
        </w:rPr>
        <w:t xml:space="preserve">(severe hypertension, myocardial infarction and gastritis) </w:t>
      </w:r>
      <w:r w:rsidR="00397467">
        <w:rPr>
          <w:rStyle w:val="Hyperlink"/>
          <w:color w:val="auto"/>
          <w:u w:val="none"/>
        </w:rPr>
        <w:t>reported in the l</w:t>
      </w:r>
      <w:r>
        <w:rPr>
          <w:rStyle w:val="Hyperlink"/>
          <w:color w:val="auto"/>
          <w:u w:val="none"/>
        </w:rPr>
        <w:t>iterature.</w:t>
      </w:r>
    </w:p>
    <w:p w14:paraId="5695DF45" w14:textId="77777777" w:rsidR="00837294" w:rsidRDefault="00837294" w:rsidP="00837294">
      <w:pPr>
        <w:pStyle w:val="Heading4"/>
      </w:pPr>
      <w:r>
        <w:t>Plasma exchange</w:t>
      </w:r>
    </w:p>
    <w:p w14:paraId="4EA34224" w14:textId="78E1AFB6" w:rsidR="00745AA4" w:rsidRDefault="00745AA4" w:rsidP="00745AA4">
      <w:pPr>
        <w:jc w:val="both"/>
      </w:pPr>
      <w:r>
        <w:rPr>
          <w:rStyle w:val="Hyperlink"/>
          <w:color w:val="auto"/>
          <w:u w:val="none"/>
        </w:rPr>
        <w:t xml:space="preserve">PE </w:t>
      </w:r>
      <w:r w:rsidR="008170ED">
        <w:rPr>
          <w:rStyle w:val="Hyperlink"/>
          <w:color w:val="auto"/>
          <w:u w:val="none"/>
        </w:rPr>
        <w:t>is generally</w:t>
      </w:r>
      <w:r>
        <w:rPr>
          <w:rStyle w:val="Hyperlink"/>
          <w:color w:val="auto"/>
          <w:u w:val="none"/>
        </w:rPr>
        <w:t xml:space="preserve"> administered as a day therapy </w:t>
      </w:r>
      <w:r w:rsidRPr="002D5B22">
        <w:rPr>
          <w:rStyle w:val="Hyperlink"/>
          <w:color w:val="auto"/>
          <w:u w:val="none"/>
        </w:rPr>
        <w:t>in the</w:t>
      </w:r>
      <w:r>
        <w:rPr>
          <w:rStyle w:val="Hyperlink"/>
          <w:color w:val="auto"/>
          <w:u w:val="none"/>
        </w:rPr>
        <w:t xml:space="preserve"> o</w:t>
      </w:r>
      <w:r w:rsidRPr="002D5B22">
        <w:rPr>
          <w:rStyle w:val="Hyperlink"/>
          <w:color w:val="auto"/>
          <w:u w:val="none"/>
        </w:rPr>
        <w:t>utpatients</w:t>
      </w:r>
      <w:r>
        <w:rPr>
          <w:rStyle w:val="Hyperlink"/>
          <w:color w:val="auto"/>
          <w:u w:val="none"/>
        </w:rPr>
        <w:t xml:space="preserve"> d</w:t>
      </w:r>
      <w:r w:rsidRPr="002D5B22">
        <w:rPr>
          <w:rStyle w:val="Hyperlink"/>
          <w:color w:val="auto"/>
          <w:u w:val="none"/>
        </w:rPr>
        <w:t>epartment.</w:t>
      </w:r>
      <w:r>
        <w:rPr>
          <w:rStyle w:val="Hyperlink"/>
          <w:color w:val="auto"/>
          <w:u w:val="none"/>
        </w:rPr>
        <w:t xml:space="preserve"> </w:t>
      </w:r>
      <w:r w:rsidRPr="00A81176">
        <w:rPr>
          <w:noProof/>
        </w:rPr>
        <w:t xml:space="preserve">Five to </w:t>
      </w:r>
      <w:r w:rsidR="003F3E29">
        <w:rPr>
          <w:noProof/>
        </w:rPr>
        <w:t>10</w:t>
      </w:r>
      <w:r w:rsidR="003F3E29" w:rsidRPr="00A81176">
        <w:rPr>
          <w:noProof/>
        </w:rPr>
        <w:t xml:space="preserve"> </w:t>
      </w:r>
      <w:r w:rsidRPr="00A81176">
        <w:rPr>
          <w:noProof/>
        </w:rPr>
        <w:t xml:space="preserve">exchanges of </w:t>
      </w:r>
      <w:r>
        <w:rPr>
          <w:noProof/>
        </w:rPr>
        <w:t>40–</w:t>
      </w:r>
      <w:r w:rsidRPr="00A81176">
        <w:rPr>
          <w:noProof/>
        </w:rPr>
        <w:t xml:space="preserve">50 mL/kg plasma volume on alternate days are initiated within </w:t>
      </w:r>
      <w:r w:rsidR="003F3E29">
        <w:rPr>
          <w:noProof/>
        </w:rPr>
        <w:t>two to four</w:t>
      </w:r>
      <w:r w:rsidRPr="00A81176">
        <w:rPr>
          <w:noProof/>
        </w:rPr>
        <w:t xml:space="preserve"> weeks as induction therapy, followed by one to two sessions every </w:t>
      </w:r>
      <w:r w:rsidR="003F3E29">
        <w:rPr>
          <w:noProof/>
        </w:rPr>
        <w:t xml:space="preserve">three to four </w:t>
      </w:r>
      <w:r w:rsidRPr="00A81176">
        <w:rPr>
          <w:noProof/>
        </w:rPr>
        <w:t>weeks as maintenance therapy</w:t>
      </w:r>
      <w:r>
        <w:rPr>
          <w:noProof/>
        </w:rPr>
        <w:t xml:space="preserve"> </w:t>
      </w:r>
      <w:r w:rsidR="00B727D6">
        <w:rPr>
          <w:noProof/>
        </w:rPr>
        <w:fldChar w:fldCharType="begin"/>
      </w:r>
      <w:r w:rsidR="00B727D6">
        <w:rPr>
          <w:noProof/>
        </w:rPr>
        <w:instrText xml:space="preserve"> ADDIN EN.CITE &lt;EndNote&gt;&lt;Cite&gt;&lt;Author&gt;Gwathmey&lt;/Author&gt;&lt;Year&gt;2020&lt;/Year&gt;&lt;RecNum&gt;489&lt;/RecNum&gt;&lt;DisplayText&gt;(Gwathmey 2020)&lt;/DisplayText&gt;&lt;record&gt;&lt;rec-number&gt;489&lt;/rec-number&gt;&lt;foreign-keys&gt;&lt;key app="EN" db-id="xtr5xfx2xf0wd7e0s2qvst2ietxxf0tpzr9v" timestamp="1602225824"&gt;489&lt;/key&gt;&lt;/foreign-keys&gt;&lt;ref-type name="Journal Article"&gt;17&lt;/ref-type&gt;&lt;contributors&gt;&lt;authors&gt;&lt;author&gt;Gwathmey, K.&lt;/author&gt;&lt;/authors&gt;&lt;/contributors&gt;&lt;titles&gt;&lt;title&gt;Chronic Inflammatory Demyelinating Polyradiculoneuropathy and Its Variants&lt;/title&gt;&lt;secondary-title&gt;Continuum (Minneap Minn)&lt;/secondary-title&gt;&lt;/titles&gt;&lt;periodical&gt;&lt;full-title&gt;Continuum (Minneap Minn)&lt;/full-title&gt;&lt;/periodical&gt;&lt;pages&gt;1205-1223&lt;/pages&gt;&lt;volume&gt;26&lt;/volume&gt;&lt;number&gt;5&lt;/number&gt;&lt;edition&gt;2020/10/02&lt;/edition&gt;&lt;dates&gt;&lt;year&gt;2020&lt;/year&gt;&lt;pub-dates&gt;&lt;date&gt;Oct&lt;/date&gt;&lt;/pub-dates&gt;&lt;/dates&gt;&lt;isbn&gt;1538-6899 (Electronic)&amp;#xD;1080-2371 (Linking)&lt;/isbn&gt;&lt;accession-num&gt;33002999&lt;/accession-num&gt;&lt;urls&gt;&lt;/urls&gt;&lt;electronic-resource-num&gt;10.1212/con.0000000000000907&lt;/electronic-resource-num&gt;&lt;remote-database-provider&gt;NLM&lt;/remote-database-provider&gt;&lt;language&gt;eng&lt;/language&gt;&lt;/record&gt;&lt;/Cite&gt;&lt;/EndNote&gt;</w:instrText>
      </w:r>
      <w:r w:rsidR="00B727D6">
        <w:rPr>
          <w:noProof/>
        </w:rPr>
        <w:fldChar w:fldCharType="separate"/>
      </w:r>
      <w:r w:rsidR="00B727D6">
        <w:rPr>
          <w:noProof/>
        </w:rPr>
        <w:t>(</w:t>
      </w:r>
      <w:hyperlink w:anchor="_ENREF_22" w:tooltip="Gwathmey, 2020 #489" w:history="1">
        <w:r w:rsidR="00D726F6">
          <w:rPr>
            <w:noProof/>
          </w:rPr>
          <w:t>Gwathmey 2020</w:t>
        </w:r>
      </w:hyperlink>
      <w:r w:rsidR="00B727D6">
        <w:rPr>
          <w:noProof/>
        </w:rPr>
        <w:t>)</w:t>
      </w:r>
      <w:r w:rsidR="00B727D6">
        <w:rPr>
          <w:noProof/>
        </w:rPr>
        <w:fldChar w:fldCharType="end"/>
      </w:r>
      <w:r w:rsidRPr="00A81176">
        <w:rPr>
          <w:noProof/>
        </w:rPr>
        <w:t>.</w:t>
      </w:r>
      <w:r>
        <w:rPr>
          <w:noProof/>
        </w:rPr>
        <w:t xml:space="preserve"> </w:t>
      </w:r>
      <w:r w:rsidR="008170ED">
        <w:rPr>
          <w:noProof/>
        </w:rPr>
        <w:t>The d</w:t>
      </w:r>
      <w:r>
        <w:rPr>
          <w:noProof/>
        </w:rPr>
        <w:t xml:space="preserve">ose and </w:t>
      </w:r>
      <w:r w:rsidR="008170ED">
        <w:rPr>
          <w:noProof/>
        </w:rPr>
        <w:t>schedule</w:t>
      </w:r>
      <w:r>
        <w:rPr>
          <w:noProof/>
        </w:rPr>
        <w:t xml:space="preserve"> </w:t>
      </w:r>
      <w:r w:rsidR="008170ED">
        <w:rPr>
          <w:noProof/>
        </w:rPr>
        <w:t xml:space="preserve">applied </w:t>
      </w:r>
      <w:r>
        <w:rPr>
          <w:noProof/>
        </w:rPr>
        <w:t xml:space="preserve">in the economic </w:t>
      </w:r>
      <w:r w:rsidR="008170ED">
        <w:rPr>
          <w:noProof/>
        </w:rPr>
        <w:t xml:space="preserve">model are described </w:t>
      </w:r>
      <w:r>
        <w:rPr>
          <w:noProof/>
        </w:rPr>
        <w:t xml:space="preserve">in </w:t>
      </w:r>
      <w:r>
        <w:rPr>
          <w:noProof/>
        </w:rPr>
        <w:fldChar w:fldCharType="begin"/>
      </w:r>
      <w:r>
        <w:rPr>
          <w:noProof/>
        </w:rPr>
        <w:instrText xml:space="preserve"> REF _Ref65086945 \h </w:instrText>
      </w:r>
      <w:r>
        <w:rPr>
          <w:noProof/>
        </w:rPr>
      </w:r>
      <w:r>
        <w:rPr>
          <w:noProof/>
        </w:rPr>
        <w:fldChar w:fldCharType="separate"/>
      </w:r>
      <w:r w:rsidR="004B3EA2">
        <w:t xml:space="preserve">Table </w:t>
      </w:r>
      <w:r w:rsidR="004B3EA2">
        <w:rPr>
          <w:noProof/>
        </w:rPr>
        <w:t>28</w:t>
      </w:r>
      <w:r>
        <w:rPr>
          <w:noProof/>
        </w:rPr>
        <w:fldChar w:fldCharType="end"/>
      </w:r>
      <w:r>
        <w:rPr>
          <w:noProof/>
        </w:rPr>
        <w:t xml:space="preserve">, section C.2.2. </w:t>
      </w:r>
      <w:r w:rsidR="00997B0B">
        <w:t xml:space="preserve">Plasma exchange requires volume replacement, most commonly with albumin, which </w:t>
      </w:r>
      <w:r w:rsidR="00997B0B" w:rsidRPr="009B159C">
        <w:rPr>
          <w:noProof/>
        </w:rPr>
        <w:t>is provided</w:t>
      </w:r>
      <w:r w:rsidR="00997B0B">
        <w:t xml:space="preserve"> and paid for by the NBA (PICO 1564). </w:t>
      </w:r>
      <w:r>
        <w:t xml:space="preserve">Expert opinion suggested that </w:t>
      </w:r>
      <w:r w:rsidRPr="009B159C">
        <w:rPr>
          <w:noProof/>
        </w:rPr>
        <w:t>whil</w:t>
      </w:r>
      <w:r>
        <w:rPr>
          <w:noProof/>
        </w:rPr>
        <w:t>e</w:t>
      </w:r>
      <w:r>
        <w:t xml:space="preserve"> some patients may receive long-term plasma exchange</w:t>
      </w:r>
      <w:r w:rsidR="00B43F61">
        <w:rPr>
          <w:noProof/>
        </w:rPr>
        <w:t>,</w:t>
      </w:r>
      <w:r w:rsidRPr="009B159C">
        <w:rPr>
          <w:noProof/>
        </w:rPr>
        <w:t xml:space="preserve"> this</w:t>
      </w:r>
      <w:r>
        <w:t xml:space="preserve"> would most commonly </w:t>
      </w:r>
      <w:r w:rsidRPr="009B159C">
        <w:rPr>
          <w:noProof/>
        </w:rPr>
        <w:t>b</w:t>
      </w:r>
      <w:r>
        <w:rPr>
          <w:noProof/>
        </w:rPr>
        <w:t>e</w:t>
      </w:r>
      <w:r>
        <w:t xml:space="preserve"> provided in combination with an immunosuppressant </w:t>
      </w:r>
      <w:r>
        <w:rPr>
          <w:noProof/>
        </w:rPr>
        <w:t>(</w:t>
      </w:r>
      <w:r w:rsidRPr="00730006">
        <w:rPr>
          <w:noProof/>
        </w:rPr>
        <w:t>PICO 1564</w:t>
      </w:r>
      <w:r>
        <w:rPr>
          <w:noProof/>
        </w:rPr>
        <w:t>)</w:t>
      </w:r>
      <w:r>
        <w:t xml:space="preserve">. </w:t>
      </w:r>
      <w:r w:rsidR="008170ED">
        <w:t>The c</w:t>
      </w:r>
      <w:r>
        <w:t>ost of azathioprine tablets is included in the maintenance treatment costs.</w:t>
      </w:r>
      <w:r w:rsidR="00850863">
        <w:t xml:space="preserve"> </w:t>
      </w:r>
      <w:r w:rsidR="008170ED">
        <w:t>The c</w:t>
      </w:r>
      <w:r w:rsidR="00850863">
        <w:t>ost associated with disease and treatment monitoring is considered similar to Ig</w:t>
      </w:r>
      <w:r w:rsidR="008170ED">
        <w:t>,</w:t>
      </w:r>
      <w:r w:rsidR="00850863">
        <w:t xml:space="preserve"> as estimated in </w:t>
      </w:r>
      <w:r w:rsidR="00850863">
        <w:fldChar w:fldCharType="begin"/>
      </w:r>
      <w:r w:rsidR="00850863">
        <w:instrText xml:space="preserve"> REF _Ref65676759 \h </w:instrText>
      </w:r>
      <w:r w:rsidR="00850863">
        <w:fldChar w:fldCharType="separate"/>
      </w:r>
      <w:r w:rsidR="004B3EA2">
        <w:t xml:space="preserve">Table </w:t>
      </w:r>
      <w:r w:rsidR="004B3EA2">
        <w:rPr>
          <w:noProof/>
        </w:rPr>
        <w:t>40</w:t>
      </w:r>
      <w:r w:rsidR="00850863">
        <w:fldChar w:fldCharType="end"/>
      </w:r>
      <w:r w:rsidR="00850863">
        <w:t>.</w:t>
      </w:r>
    </w:p>
    <w:p w14:paraId="682D4461" w14:textId="2A523F37" w:rsidR="001C7A0A" w:rsidRDefault="008170ED" w:rsidP="001C7A0A">
      <w:pPr>
        <w:pStyle w:val="BodyTextSTD"/>
      </w:pPr>
      <w:r>
        <w:t>The n</w:t>
      </w:r>
      <w:r w:rsidR="001C7A0A">
        <w:t xml:space="preserve">umber of severe </w:t>
      </w:r>
      <w:r w:rsidR="003F3E29">
        <w:t>AEs</w:t>
      </w:r>
      <w:r w:rsidR="001C7A0A">
        <w:t xml:space="preserve"> per PE procedure were reported in </w:t>
      </w:r>
      <w:r w:rsidR="001C7A0A">
        <w:fldChar w:fldCharType="begin"/>
      </w:r>
      <w:r w:rsidR="001C7A0A">
        <w:instrText xml:space="preserve"> REF _Ref57051518 \h </w:instrText>
      </w:r>
      <w:r w:rsidR="001C7A0A">
        <w:fldChar w:fldCharType="separate"/>
      </w:r>
      <w:r w:rsidR="004B3EA2">
        <w:t xml:space="preserve">Table </w:t>
      </w:r>
      <w:r w:rsidR="004B3EA2">
        <w:rPr>
          <w:noProof/>
        </w:rPr>
        <w:t>18</w:t>
      </w:r>
      <w:r w:rsidR="001C7A0A">
        <w:fldChar w:fldCharType="end"/>
      </w:r>
      <w:r w:rsidR="001C7A0A">
        <w:t xml:space="preserve">. </w:t>
      </w:r>
      <w:r>
        <w:t>The c</w:t>
      </w:r>
      <w:r w:rsidR="001C7A0A">
        <w:t xml:space="preserve">ost associated with treatment of these </w:t>
      </w:r>
      <w:r w:rsidR="003F3E29">
        <w:t>AEs</w:t>
      </w:r>
      <w:r w:rsidR="001C7A0A">
        <w:t xml:space="preserve"> were sourced from IHPA cost report </w:t>
      </w:r>
      <w:r w:rsidR="00B727D6">
        <w:fldChar w:fldCharType="begin"/>
      </w:r>
      <w:r w:rsidR="00B727D6">
        <w:instrText xml:space="preserve"> ADDIN EN.CITE &lt;EndNote&gt;&lt;Cite&gt;&lt;Author&gt;IHPA&lt;/Author&gt;&lt;Year&gt;2021&lt;/Year&gt;&lt;RecNum&gt;1961&lt;/RecNum&gt;&lt;DisplayText&gt;(IHPA 2021)&lt;/DisplayText&gt;&lt;record&gt;&lt;rec-number&gt;1961&lt;/rec-number&gt;&lt;foreign-keys&gt;&lt;key app="EN" db-id="xtr5xfx2xf0wd7e0s2qvst2ietxxf0tpzr9v" timestamp="1615261212"&gt;1961&lt;/key&gt;&lt;/foreign-keys&gt;&lt;ref-type name="Report"&gt;27&lt;/ref-type&gt;&lt;contributors&gt;&lt;authors&gt;&lt;author&gt;IHPA,&lt;/author&gt;&lt;/authors&gt;&lt;tertiary-authors&gt;&lt;author&gt;The Independent Hospital Pricing Authority &lt;/author&gt;&lt;/tertiary-authors&gt;&lt;/contributors&gt;&lt;titles&gt;&lt;title&gt;NATIONAL HOSPITAL COST DATA COLLECTION, COST WEIGHTS FOR AR-DRG VERSION 10.0, Round 23 (2018-19), Public Sector&lt;/title&gt;&lt;/titles&gt;&lt;dates&gt;&lt;year&gt;2021&lt;/year&gt;&lt;/dates&gt;&lt;publisher&gt;The Independent Hospital Pricing Authority &lt;/publisher&gt;&lt;urls&gt;&lt;/urls&gt;&lt;/record&gt;&lt;/Cite&gt;&lt;/EndNote&gt;</w:instrText>
      </w:r>
      <w:r w:rsidR="00B727D6">
        <w:fldChar w:fldCharType="separate"/>
      </w:r>
      <w:r w:rsidR="00B727D6">
        <w:rPr>
          <w:noProof/>
        </w:rPr>
        <w:t>(</w:t>
      </w:r>
      <w:hyperlink w:anchor="_ENREF_30" w:tooltip="IHPA, 2021 #1961" w:history="1">
        <w:r w:rsidR="00D726F6">
          <w:rPr>
            <w:noProof/>
          </w:rPr>
          <w:t>IHPA 2021</w:t>
        </w:r>
      </w:hyperlink>
      <w:r w:rsidR="00B727D6">
        <w:rPr>
          <w:noProof/>
        </w:rPr>
        <w:t>)</w:t>
      </w:r>
      <w:r w:rsidR="00B727D6">
        <w:fldChar w:fldCharType="end"/>
      </w:r>
      <w:r w:rsidR="001C7A0A">
        <w:t xml:space="preserve">. </w:t>
      </w:r>
      <w:r>
        <w:t>The c</w:t>
      </w:r>
      <w:r w:rsidR="001C7A0A">
        <w:t xml:space="preserve">ost of treating each </w:t>
      </w:r>
      <w:r w:rsidR="003F3E29">
        <w:t>AE</w:t>
      </w:r>
      <w:r w:rsidR="001C7A0A">
        <w:t xml:space="preserve">, </w:t>
      </w:r>
      <w:r w:rsidR="00B43F61">
        <w:t xml:space="preserve">the </w:t>
      </w:r>
      <w:r w:rsidR="001C7A0A">
        <w:t>AR-DRG code</w:t>
      </w:r>
      <w:r w:rsidR="00B1324C">
        <w:t xml:space="preserve"> used</w:t>
      </w:r>
      <w:r w:rsidR="001C7A0A">
        <w:t xml:space="preserve"> and </w:t>
      </w:r>
      <w:r w:rsidR="00B43F61">
        <w:t xml:space="preserve">the </w:t>
      </w:r>
      <w:r w:rsidR="001C7A0A">
        <w:t xml:space="preserve">estimated total cost associated with </w:t>
      </w:r>
      <w:r w:rsidR="003F3E29">
        <w:t>AEs</w:t>
      </w:r>
      <w:r w:rsidR="001C7A0A">
        <w:t xml:space="preserve"> per </w:t>
      </w:r>
      <w:r w:rsidR="00B43F61">
        <w:t xml:space="preserve">PE </w:t>
      </w:r>
      <w:r w:rsidR="001C7A0A">
        <w:t xml:space="preserve">procedure are described in </w:t>
      </w:r>
      <w:r w:rsidR="001C7A0A">
        <w:fldChar w:fldCharType="begin"/>
      </w:r>
      <w:r w:rsidR="001C7A0A">
        <w:instrText xml:space="preserve"> REF _Ref66273020 \h </w:instrText>
      </w:r>
      <w:r w:rsidR="001C7A0A">
        <w:fldChar w:fldCharType="separate"/>
      </w:r>
      <w:r w:rsidR="004B3EA2">
        <w:t xml:space="preserve">Table </w:t>
      </w:r>
      <w:r w:rsidR="004B3EA2">
        <w:rPr>
          <w:noProof/>
        </w:rPr>
        <w:t>85</w:t>
      </w:r>
      <w:r w:rsidR="001C7A0A">
        <w:fldChar w:fldCharType="end"/>
      </w:r>
      <w:r w:rsidR="001C7A0A">
        <w:t>, Appendix G.</w:t>
      </w:r>
      <w:r>
        <w:t xml:space="preserve"> The average cost of </w:t>
      </w:r>
      <w:r w:rsidR="003F3E29">
        <w:t>AEs</w:t>
      </w:r>
      <w:r>
        <w:t xml:space="preserve"> per </w:t>
      </w:r>
      <w:r w:rsidR="00B43F61">
        <w:t xml:space="preserve">PE </w:t>
      </w:r>
      <w:r>
        <w:t xml:space="preserve">procedure was estimated to be </w:t>
      </w:r>
      <w:r w:rsidRPr="008170ED">
        <w:t>$8.28</w:t>
      </w:r>
      <w:r>
        <w:t>.</w:t>
      </w:r>
    </w:p>
    <w:p w14:paraId="2BA52D42" w14:textId="3BD59407" w:rsidR="00D24CBF" w:rsidRDefault="003F3E29" w:rsidP="00D24CBF">
      <w:pPr>
        <w:pStyle w:val="BodyTextSTD"/>
        <w:rPr>
          <w:rStyle w:val="Hyperlink"/>
          <w:color w:val="auto"/>
          <w:u w:val="none"/>
        </w:rPr>
      </w:pPr>
      <w:r>
        <w:t>PE</w:t>
      </w:r>
      <w:r w:rsidR="00837294">
        <w:t xml:space="preserve"> requires adequate venous access for the collection and return of fluids; inadequate blood flow may result in longer procedure times </w:t>
      </w:r>
      <w:r w:rsidR="00837294" w:rsidRPr="009B159C">
        <w:rPr>
          <w:noProof/>
        </w:rPr>
        <w:t>and</w:t>
      </w:r>
      <w:r w:rsidR="00837294">
        <w:t xml:space="preserve"> procedure cessation before the target PE volume has been reached. To achieve adequate venous access, patients may have large-bore peripheral cannulation or insertion of a central venous catheter. For </w:t>
      </w:r>
      <w:r w:rsidR="00837294" w:rsidRPr="009B159C">
        <w:rPr>
          <w:noProof/>
        </w:rPr>
        <w:t>longer</w:t>
      </w:r>
      <w:r w:rsidR="00837294">
        <w:rPr>
          <w:noProof/>
        </w:rPr>
        <w:t>-</w:t>
      </w:r>
      <w:r w:rsidR="00837294" w:rsidRPr="009B159C">
        <w:rPr>
          <w:noProof/>
        </w:rPr>
        <w:t>term</w:t>
      </w:r>
      <w:r w:rsidR="00837294">
        <w:t xml:space="preserve"> treatment, such as required for </w:t>
      </w:r>
      <w:r w:rsidR="00643D1A">
        <w:t xml:space="preserve">patients with </w:t>
      </w:r>
      <w:r w:rsidR="00837294">
        <w:t xml:space="preserve">CIDP, implantation of </w:t>
      </w:r>
      <w:r w:rsidR="00837294" w:rsidRPr="009B159C">
        <w:rPr>
          <w:noProof/>
        </w:rPr>
        <w:t xml:space="preserve">an </w:t>
      </w:r>
      <w:r w:rsidR="0043730A">
        <w:rPr>
          <w:noProof/>
        </w:rPr>
        <w:t xml:space="preserve">AV fistulae </w:t>
      </w:r>
      <w:r w:rsidR="00837294">
        <w:t>(surgically created connection between an artery and a vein) may be the most appropriate option for some patients.</w:t>
      </w:r>
      <w:r w:rsidR="00745AA4">
        <w:t xml:space="preserve"> </w:t>
      </w:r>
      <w:r w:rsidR="00837294" w:rsidRPr="00702233">
        <w:t>Resource use associated with the</w:t>
      </w:r>
      <w:r w:rsidR="00745AA4">
        <w:t xml:space="preserve"> placement of venous access devices </w:t>
      </w:r>
      <w:r w:rsidR="00837294" w:rsidRPr="00702233">
        <w:t xml:space="preserve">was sourced from </w:t>
      </w:r>
      <w:r w:rsidR="00837294">
        <w:t xml:space="preserve">the </w:t>
      </w:r>
      <w:r w:rsidR="00837294" w:rsidRPr="00702233">
        <w:t xml:space="preserve">MSAC 1566 </w:t>
      </w:r>
      <w:r w:rsidR="00745AA4">
        <w:t xml:space="preserve">report </w:t>
      </w:r>
      <w:r w:rsidR="00B727D6">
        <w:fldChar w:fldCharType="begin"/>
      </w:r>
      <w:r w:rsidR="00B727D6">
        <w:instrText xml:space="preserve"> ADDIN EN.CITE &lt;EndNote&gt;&lt;Cite&gt;&lt;Author&gt;Milverton&lt;/Author&gt;&lt;Year&gt;2019&lt;/Year&gt;&lt;RecNum&gt;1962&lt;/RecNum&gt;&lt;DisplayText&gt;(Milverton et al. 2019)&lt;/DisplayText&gt;&lt;record&gt;&lt;rec-number&gt;1962&lt;/rec-number&gt;&lt;foreign-keys&gt;&lt;key app="EN" db-id="xtr5xfx2xf0wd7e0s2qvst2ietxxf0tpzr9v" timestamp="1615264848"&gt;1962&lt;/key&gt;&lt;/foreign-keys&gt;&lt;ref-type name="Report"&gt;27&lt;/ref-type&gt;&lt;contributors&gt;&lt;authors&gt;&lt;author&gt;Milverton, J&lt;/author&gt;&lt;author&gt;Schubert, C &lt;/author&gt;&lt;author&gt;Ellery, B&lt;/author&gt;&lt;author&gt;Morona, J &lt;/author&gt;&lt;author&gt;Parsons, J &lt;/author&gt;&lt;/authors&gt;&lt;/contributors&gt;&lt;titles&gt;&lt;title&gt;Immunoglobulin for myasthenia gravis. MSAC Application 1566, Assessment Report&lt;/title&gt;&lt;/titles&gt;&lt;dates&gt;&lt;year&gt;2019&lt;/year&gt;&lt;/dates&gt;&lt;publisher&gt;Commonwealth of Australia, Canberra, ACT&lt;/publisher&gt;&lt;urls&gt;&lt;/urls&gt;&lt;/record&gt;&lt;/Cite&gt;&lt;/EndNote&gt;</w:instrText>
      </w:r>
      <w:r w:rsidR="00B727D6">
        <w:fldChar w:fldCharType="separate"/>
      </w:r>
      <w:r w:rsidR="00B727D6">
        <w:rPr>
          <w:noProof/>
        </w:rPr>
        <w:t>(</w:t>
      </w:r>
      <w:hyperlink w:anchor="_ENREF_45" w:tooltip="Milverton, 2019 #1962" w:history="1">
        <w:r w:rsidR="00D726F6">
          <w:rPr>
            <w:noProof/>
          </w:rPr>
          <w:t>Milverton et al. 2019</w:t>
        </w:r>
      </w:hyperlink>
      <w:r w:rsidR="00B727D6">
        <w:rPr>
          <w:noProof/>
        </w:rPr>
        <w:t>)</w:t>
      </w:r>
      <w:r w:rsidR="00B727D6">
        <w:fldChar w:fldCharType="end"/>
      </w:r>
      <w:r w:rsidR="00745AA4">
        <w:t xml:space="preserve"> and is summarised in </w:t>
      </w:r>
      <w:r w:rsidR="00745AA4">
        <w:fldChar w:fldCharType="begin"/>
      </w:r>
      <w:r w:rsidR="00745AA4">
        <w:instrText xml:space="preserve"> REF _Ref66197044 \h </w:instrText>
      </w:r>
      <w:r w:rsidR="00745AA4">
        <w:fldChar w:fldCharType="separate"/>
      </w:r>
      <w:r w:rsidR="004B3EA2">
        <w:t xml:space="preserve">Table </w:t>
      </w:r>
      <w:r w:rsidR="004B3EA2">
        <w:rPr>
          <w:noProof/>
        </w:rPr>
        <w:t>81</w:t>
      </w:r>
      <w:r w:rsidR="00745AA4">
        <w:fldChar w:fldCharType="end"/>
      </w:r>
      <w:r w:rsidR="00745AA4">
        <w:t xml:space="preserve">, </w:t>
      </w:r>
      <w:r w:rsidR="00745AA4" w:rsidRPr="009667AB">
        <w:rPr>
          <w:b/>
        </w:rPr>
        <w:t>Appendix G</w:t>
      </w:r>
      <w:r w:rsidR="00837294">
        <w:t xml:space="preserve">. </w:t>
      </w:r>
      <w:r w:rsidR="00D24CBF">
        <w:rPr>
          <w:rStyle w:val="Hyperlink"/>
          <w:color w:val="auto"/>
          <w:u w:val="none"/>
        </w:rPr>
        <w:t xml:space="preserve">The clinical expert advice was that approximately 50% of the patients may have placement of tunnelled large bore catheters in </w:t>
      </w:r>
      <w:r w:rsidR="009667AB">
        <w:rPr>
          <w:rStyle w:val="Hyperlink"/>
          <w:color w:val="auto"/>
          <w:u w:val="none"/>
        </w:rPr>
        <w:t xml:space="preserve">the </w:t>
      </w:r>
      <w:r w:rsidR="00D24CBF">
        <w:rPr>
          <w:rStyle w:val="Hyperlink"/>
          <w:color w:val="auto"/>
          <w:u w:val="none"/>
        </w:rPr>
        <w:t xml:space="preserve">first </w:t>
      </w:r>
      <w:r w:rsidR="0043730A">
        <w:rPr>
          <w:rStyle w:val="Hyperlink"/>
          <w:color w:val="auto"/>
          <w:u w:val="none"/>
        </w:rPr>
        <w:t>four to six</w:t>
      </w:r>
      <w:r w:rsidR="00D24CBF">
        <w:rPr>
          <w:rStyle w:val="Hyperlink"/>
          <w:color w:val="auto"/>
          <w:u w:val="none"/>
        </w:rPr>
        <w:t xml:space="preserve"> months.</w:t>
      </w:r>
      <w:r w:rsidR="00997B0B">
        <w:rPr>
          <w:rStyle w:val="Hyperlink"/>
          <w:color w:val="auto"/>
          <w:u w:val="none"/>
        </w:rPr>
        <w:t xml:space="preserve"> For p</w:t>
      </w:r>
      <w:r w:rsidR="00D24CBF">
        <w:rPr>
          <w:rStyle w:val="Hyperlink"/>
          <w:color w:val="auto"/>
          <w:u w:val="none"/>
        </w:rPr>
        <w:t>atients who need chronic vascular access for more than six months on treatment</w:t>
      </w:r>
      <w:r w:rsidR="00997B0B">
        <w:rPr>
          <w:rStyle w:val="Hyperlink"/>
          <w:color w:val="auto"/>
          <w:u w:val="none"/>
        </w:rPr>
        <w:t>,</w:t>
      </w:r>
      <w:r w:rsidR="00D24CBF">
        <w:rPr>
          <w:rStyle w:val="Hyperlink"/>
          <w:color w:val="auto"/>
          <w:u w:val="none"/>
        </w:rPr>
        <w:t xml:space="preserve"> nearly 20% may have placement of tunnelled large bore catheters and 10% may have </w:t>
      </w:r>
      <w:r w:rsidR="00D24CBF">
        <w:t xml:space="preserve">implantation of </w:t>
      </w:r>
      <w:r w:rsidR="00D24CBF" w:rsidRPr="009B159C">
        <w:rPr>
          <w:noProof/>
        </w:rPr>
        <w:t xml:space="preserve">an </w:t>
      </w:r>
      <w:r w:rsidR="0043730A">
        <w:rPr>
          <w:noProof/>
        </w:rPr>
        <w:t>AV</w:t>
      </w:r>
      <w:r w:rsidR="0043730A" w:rsidRPr="009B159C">
        <w:rPr>
          <w:noProof/>
        </w:rPr>
        <w:t xml:space="preserve"> </w:t>
      </w:r>
      <w:r w:rsidR="00D24CBF" w:rsidRPr="009B159C">
        <w:rPr>
          <w:noProof/>
        </w:rPr>
        <w:t>fistulae</w:t>
      </w:r>
      <w:r w:rsidR="00D24CBF">
        <w:t xml:space="preserve"> </w:t>
      </w:r>
      <w:r w:rsidR="00B727D6">
        <w:rPr>
          <w:rStyle w:val="Hyperlink"/>
          <w:color w:val="auto"/>
          <w:u w:val="none"/>
        </w:rPr>
        <w:fldChar w:fldCharType="begin"/>
      </w:r>
      <w:r w:rsidR="00B727D6">
        <w:rPr>
          <w:rStyle w:val="Hyperlink"/>
          <w:color w:val="auto"/>
          <w:u w:val="none"/>
        </w:rPr>
        <w:instrText xml:space="preserve"> ADDIN EN.CITE &lt;EndNote&gt;&lt;Cite&gt;&lt;Author&gt;Department of Health&lt;/Author&gt;&lt;Year&gt;2021&lt;/Year&gt;&lt;RecNum&gt;1954&lt;/RecNum&gt;&lt;DisplayText&gt;(Department of Health 2021a)&lt;/DisplayText&gt;&lt;record&gt;&lt;rec-number&gt;1954&lt;/rec-number&gt;&lt;foreign-keys&gt;&lt;key app="EN" db-id="xtr5xfx2xf0wd7e0s2qvst2ietxxf0tpzr9v" timestamp="1614643814"&gt;1954&lt;/key&gt;&lt;/foreign-keys&gt;&lt;ref-type name="Personal Communication"&gt;26&lt;/ref-type&gt;&lt;contributors&gt;&lt;authors&gt;&lt;author&gt;Department of Health,&lt;/author&gt;&lt;/authors&gt;&lt;/contributors&gt;&lt;titles&gt;&lt;title&gt;Clinical expert advice provided as feedback to the draft MSAC 1564.1 report&lt;/title&gt;&lt;/titles&gt;&lt;dates&gt;&lt;year&gt;2021&lt;/year&gt;&lt;/dates&gt;&lt;urls&gt;&lt;/urls&gt;&lt;/record&gt;&lt;/Cite&gt;&lt;/EndNote&gt;</w:instrText>
      </w:r>
      <w:r w:rsidR="00B727D6">
        <w:rPr>
          <w:rStyle w:val="Hyperlink"/>
          <w:color w:val="auto"/>
          <w:u w:val="none"/>
        </w:rPr>
        <w:fldChar w:fldCharType="separate"/>
      </w:r>
      <w:r w:rsidR="00B727D6">
        <w:rPr>
          <w:rStyle w:val="Hyperlink"/>
          <w:noProof/>
          <w:color w:val="auto"/>
          <w:u w:val="none"/>
        </w:rPr>
        <w:t>(</w:t>
      </w:r>
      <w:hyperlink w:anchor="_ENREF_12" w:tooltip="Department of Health, 2021 #1954" w:history="1">
        <w:r w:rsidR="00D726F6" w:rsidRPr="00D726F6">
          <w:rPr>
            <w:rStyle w:val="Hyperlink"/>
            <w:noProof/>
            <w:color w:val="auto"/>
            <w:u w:val="none"/>
          </w:rPr>
          <w:t>Department of Health 2021a</w:t>
        </w:r>
      </w:hyperlink>
      <w:r w:rsidR="00B727D6">
        <w:rPr>
          <w:rStyle w:val="Hyperlink"/>
          <w:noProof/>
          <w:color w:val="auto"/>
          <w:u w:val="none"/>
        </w:rPr>
        <w:t>)</w:t>
      </w:r>
      <w:r w:rsidR="00B727D6">
        <w:rPr>
          <w:rStyle w:val="Hyperlink"/>
          <w:color w:val="auto"/>
          <w:u w:val="none"/>
        </w:rPr>
        <w:fldChar w:fldCharType="end"/>
      </w:r>
      <w:r w:rsidR="00D24CBF">
        <w:rPr>
          <w:rStyle w:val="Hyperlink"/>
          <w:color w:val="auto"/>
          <w:u w:val="none"/>
        </w:rPr>
        <w:t xml:space="preserve">. The detailed cost estimation for long-term vascular access requirements by delivery mode </w:t>
      </w:r>
      <w:r w:rsidR="00997B0B">
        <w:rPr>
          <w:rStyle w:val="Hyperlink"/>
          <w:color w:val="auto"/>
          <w:u w:val="none"/>
        </w:rPr>
        <w:t xml:space="preserve">for PE </w:t>
      </w:r>
      <w:r w:rsidR="00850863">
        <w:rPr>
          <w:rStyle w:val="Hyperlink"/>
          <w:color w:val="auto"/>
          <w:u w:val="none"/>
        </w:rPr>
        <w:t>is</w:t>
      </w:r>
      <w:r w:rsidR="00D24CBF">
        <w:rPr>
          <w:rStyle w:val="Hyperlink"/>
          <w:color w:val="auto"/>
          <w:u w:val="none"/>
        </w:rPr>
        <w:t xml:space="preserve"> provided in </w:t>
      </w:r>
      <w:r w:rsidR="00D24CBF">
        <w:rPr>
          <w:color w:val="000000"/>
          <w:szCs w:val="20"/>
        </w:rPr>
        <w:fldChar w:fldCharType="begin"/>
      </w:r>
      <w:r w:rsidR="00D24CBF">
        <w:rPr>
          <w:color w:val="000000"/>
          <w:szCs w:val="20"/>
        </w:rPr>
        <w:instrText xml:space="preserve"> REF _Ref66197245 \h </w:instrText>
      </w:r>
      <w:r w:rsidR="00D24CBF">
        <w:rPr>
          <w:color w:val="000000"/>
          <w:szCs w:val="20"/>
        </w:rPr>
      </w:r>
      <w:r w:rsidR="00D24CBF">
        <w:rPr>
          <w:color w:val="000000"/>
          <w:szCs w:val="20"/>
        </w:rPr>
        <w:fldChar w:fldCharType="separate"/>
      </w:r>
      <w:r w:rsidR="004B3EA2">
        <w:t xml:space="preserve">Table </w:t>
      </w:r>
      <w:r w:rsidR="004B3EA2">
        <w:rPr>
          <w:noProof/>
        </w:rPr>
        <w:t>82</w:t>
      </w:r>
      <w:r w:rsidR="00D24CBF">
        <w:rPr>
          <w:color w:val="000000"/>
          <w:szCs w:val="20"/>
        </w:rPr>
        <w:fldChar w:fldCharType="end"/>
      </w:r>
      <w:r w:rsidR="00D24CBF">
        <w:rPr>
          <w:color w:val="000000"/>
          <w:szCs w:val="20"/>
        </w:rPr>
        <w:t xml:space="preserve">, </w:t>
      </w:r>
      <w:r w:rsidR="00D24CBF" w:rsidRPr="009667AB">
        <w:rPr>
          <w:b/>
          <w:color w:val="000000"/>
          <w:szCs w:val="20"/>
        </w:rPr>
        <w:t>Appendix G</w:t>
      </w:r>
      <w:r w:rsidR="00D24CBF">
        <w:rPr>
          <w:color w:val="000000"/>
          <w:szCs w:val="20"/>
        </w:rPr>
        <w:t>.</w:t>
      </w:r>
    </w:p>
    <w:p w14:paraId="7AC605A7" w14:textId="0BF71F9D" w:rsidR="00932E35" w:rsidRDefault="00932E35" w:rsidP="00815896">
      <w:pPr>
        <w:pStyle w:val="BodyTextSTD"/>
      </w:pPr>
      <w:r>
        <w:fldChar w:fldCharType="begin"/>
      </w:r>
      <w:r>
        <w:instrText xml:space="preserve"> REF _Ref14429570 \h </w:instrText>
      </w:r>
      <w:r>
        <w:fldChar w:fldCharType="separate"/>
      </w:r>
      <w:r w:rsidR="004B3EA2" w:rsidRPr="00E07567">
        <w:t xml:space="preserve">Table </w:t>
      </w:r>
      <w:r w:rsidR="004B3EA2">
        <w:rPr>
          <w:noProof/>
        </w:rPr>
        <w:t>43</w:t>
      </w:r>
      <w:r>
        <w:fldChar w:fldCharType="end"/>
      </w:r>
      <w:r>
        <w:t xml:space="preserve"> presents a summary of resource costs associated with plasma exchange procedure.</w:t>
      </w:r>
    </w:p>
    <w:p w14:paraId="19D3DF37" w14:textId="58A31DDB" w:rsidR="00E54059" w:rsidRPr="00E07567" w:rsidRDefault="00E54059" w:rsidP="00E54059">
      <w:pPr>
        <w:pStyle w:val="Caption"/>
      </w:pPr>
      <w:bookmarkStart w:id="330" w:name="_Ref14429570"/>
      <w:bookmarkStart w:id="331" w:name="_Toc15561977"/>
      <w:bookmarkStart w:id="332" w:name="_Toc23768921"/>
      <w:bookmarkStart w:id="333" w:name="_Toc69305684"/>
      <w:r w:rsidRPr="00E07567">
        <w:t xml:space="preserve">Table </w:t>
      </w:r>
      <w:r w:rsidRPr="00E07567">
        <w:rPr>
          <w:noProof/>
        </w:rPr>
        <w:fldChar w:fldCharType="begin"/>
      </w:r>
      <w:r w:rsidRPr="00E07567">
        <w:rPr>
          <w:noProof/>
        </w:rPr>
        <w:instrText xml:space="preserve"> SEQ Table \* ARABIC </w:instrText>
      </w:r>
      <w:r w:rsidRPr="00E07567">
        <w:rPr>
          <w:noProof/>
        </w:rPr>
        <w:fldChar w:fldCharType="separate"/>
      </w:r>
      <w:r w:rsidR="004B3EA2">
        <w:rPr>
          <w:noProof/>
        </w:rPr>
        <w:t>43</w:t>
      </w:r>
      <w:r w:rsidRPr="00E07567">
        <w:rPr>
          <w:noProof/>
        </w:rPr>
        <w:fldChar w:fldCharType="end"/>
      </w:r>
      <w:bookmarkEnd w:id="330"/>
      <w:r w:rsidRPr="00E07567">
        <w:t>: Resource prices associated with P</w:t>
      </w:r>
      <w:bookmarkEnd w:id="331"/>
      <w:bookmarkEnd w:id="332"/>
      <w:r>
        <w:t>lasma exchange</w:t>
      </w:r>
      <w:bookmarkEnd w:id="333"/>
    </w:p>
    <w:tbl>
      <w:tblPr>
        <w:tblStyle w:val="TableGrid"/>
        <w:tblW w:w="5000" w:type="pct"/>
        <w:tblLook w:val="04A0" w:firstRow="1" w:lastRow="0" w:firstColumn="1" w:lastColumn="0" w:noHBand="0" w:noVBand="1"/>
        <w:tblCaption w:val="Resource prices associated with Plasma exchange"/>
        <w:tblDescription w:val="Resource prices associated with Plasma exchange"/>
      </w:tblPr>
      <w:tblGrid>
        <w:gridCol w:w="3159"/>
        <w:gridCol w:w="1583"/>
        <w:gridCol w:w="4274"/>
      </w:tblGrid>
      <w:tr w:rsidR="006C29B6" w:rsidRPr="00E07567" w14:paraId="5261071F" w14:textId="77777777" w:rsidTr="007423B6">
        <w:trPr>
          <w:tblHeader/>
        </w:trPr>
        <w:tc>
          <w:tcPr>
            <w:tcW w:w="1752" w:type="pct"/>
            <w:tcBorders>
              <w:bottom w:val="single" w:sz="4" w:space="0" w:color="auto"/>
            </w:tcBorders>
          </w:tcPr>
          <w:p w14:paraId="70270B15" w14:textId="77777777" w:rsidR="006C29B6" w:rsidRPr="00E07567" w:rsidRDefault="006C29B6" w:rsidP="007D7EDD">
            <w:pPr>
              <w:pStyle w:val="TableHeading"/>
              <w:ind w:left="0"/>
            </w:pPr>
            <w:r w:rsidRPr="00E07567">
              <w:t>Resource</w:t>
            </w:r>
          </w:p>
        </w:tc>
        <w:tc>
          <w:tcPr>
            <w:tcW w:w="878" w:type="pct"/>
            <w:tcBorders>
              <w:bottom w:val="single" w:sz="4" w:space="0" w:color="auto"/>
            </w:tcBorders>
          </w:tcPr>
          <w:p w14:paraId="24E1171F" w14:textId="77777777" w:rsidR="006C29B6" w:rsidRPr="00E07567" w:rsidRDefault="006C29B6" w:rsidP="007D7EDD">
            <w:pPr>
              <w:pStyle w:val="TableHeading"/>
              <w:ind w:left="0"/>
            </w:pPr>
            <w:r w:rsidRPr="00E07567">
              <w:t>Cost</w:t>
            </w:r>
          </w:p>
        </w:tc>
        <w:tc>
          <w:tcPr>
            <w:tcW w:w="2370" w:type="pct"/>
            <w:tcBorders>
              <w:bottom w:val="single" w:sz="4" w:space="0" w:color="auto"/>
            </w:tcBorders>
          </w:tcPr>
          <w:p w14:paraId="6A40C8B7" w14:textId="77777777" w:rsidR="006C29B6" w:rsidRPr="00E07567" w:rsidRDefault="006C29B6" w:rsidP="007D7EDD">
            <w:pPr>
              <w:pStyle w:val="TableHeading"/>
              <w:ind w:left="0"/>
            </w:pPr>
            <w:r w:rsidRPr="00E07567">
              <w:t>Source</w:t>
            </w:r>
          </w:p>
        </w:tc>
      </w:tr>
      <w:tr w:rsidR="006C29B6" w:rsidRPr="006C29B6" w14:paraId="169054C9" w14:textId="77777777" w:rsidTr="007423B6">
        <w:tc>
          <w:tcPr>
            <w:tcW w:w="1752" w:type="pct"/>
            <w:tcBorders>
              <w:right w:val="nil"/>
            </w:tcBorders>
          </w:tcPr>
          <w:p w14:paraId="6F5B06A7" w14:textId="77777777" w:rsidR="006C29B6" w:rsidRPr="006C29B6" w:rsidRDefault="006C29B6" w:rsidP="006C29B6">
            <w:pPr>
              <w:pStyle w:val="Tabletext1"/>
              <w:ind w:left="0"/>
              <w:rPr>
                <w:b/>
              </w:rPr>
            </w:pPr>
            <w:r w:rsidRPr="006C29B6">
              <w:rPr>
                <w:b/>
              </w:rPr>
              <w:t>Treatment costs</w:t>
            </w:r>
          </w:p>
        </w:tc>
        <w:tc>
          <w:tcPr>
            <w:tcW w:w="878" w:type="pct"/>
            <w:tcBorders>
              <w:left w:val="nil"/>
              <w:right w:val="nil"/>
            </w:tcBorders>
          </w:tcPr>
          <w:p w14:paraId="121B1F12" w14:textId="77777777" w:rsidR="006C29B6" w:rsidRPr="006C29B6" w:rsidRDefault="006C29B6" w:rsidP="006C29B6">
            <w:pPr>
              <w:pStyle w:val="Tabletext1"/>
              <w:ind w:left="0"/>
              <w:rPr>
                <w:b/>
              </w:rPr>
            </w:pPr>
          </w:p>
        </w:tc>
        <w:tc>
          <w:tcPr>
            <w:tcW w:w="2370" w:type="pct"/>
            <w:tcBorders>
              <w:left w:val="nil"/>
            </w:tcBorders>
          </w:tcPr>
          <w:p w14:paraId="3583A651" w14:textId="77777777" w:rsidR="006C29B6" w:rsidRPr="006C29B6" w:rsidRDefault="006C29B6" w:rsidP="006C29B6">
            <w:pPr>
              <w:pStyle w:val="Tabletext1"/>
              <w:ind w:left="0"/>
              <w:rPr>
                <w:b/>
              </w:rPr>
            </w:pPr>
          </w:p>
        </w:tc>
      </w:tr>
      <w:tr w:rsidR="006C29B6" w:rsidRPr="00E07567" w14:paraId="0F2AC414" w14:textId="77777777" w:rsidTr="006C29B6">
        <w:tc>
          <w:tcPr>
            <w:tcW w:w="1752" w:type="pct"/>
          </w:tcPr>
          <w:p w14:paraId="3A1150F4" w14:textId="77777777" w:rsidR="006C29B6" w:rsidRPr="00E07567" w:rsidRDefault="006C29B6" w:rsidP="007D7EDD">
            <w:pPr>
              <w:pStyle w:val="Tabletext1"/>
              <w:ind w:left="0"/>
            </w:pPr>
            <w:r w:rsidRPr="00E07567">
              <w:t>Albumin (Albumex 4)</w:t>
            </w:r>
          </w:p>
        </w:tc>
        <w:tc>
          <w:tcPr>
            <w:tcW w:w="878" w:type="pct"/>
          </w:tcPr>
          <w:p w14:paraId="455B6161" w14:textId="77777777" w:rsidR="006C29B6" w:rsidRDefault="006C29B6" w:rsidP="006C29B6">
            <w:pPr>
              <w:pStyle w:val="Tabletext1"/>
              <w:ind w:left="0"/>
              <w:jc w:val="center"/>
            </w:pPr>
            <w:r w:rsidRPr="00E07567">
              <w:t>$</w:t>
            </w:r>
            <w:r>
              <w:t>70.01</w:t>
            </w:r>
            <w:r w:rsidRPr="00E07567">
              <w:t xml:space="preserve"> / 500mL</w:t>
            </w:r>
          </w:p>
          <w:p w14:paraId="5DB39DAE" w14:textId="77777777" w:rsidR="006C29B6" w:rsidRPr="00E07567" w:rsidRDefault="006C29B6" w:rsidP="006C29B6">
            <w:pPr>
              <w:pStyle w:val="Tabletext1"/>
              <w:ind w:left="0"/>
              <w:jc w:val="center"/>
            </w:pPr>
            <w:r>
              <w:t xml:space="preserve">or </w:t>
            </w:r>
            <w:r w:rsidRPr="00E07567">
              <w:t>$</w:t>
            </w:r>
            <w:r>
              <w:t xml:space="preserve">0.14 </w:t>
            </w:r>
            <w:r w:rsidRPr="00E07567">
              <w:t>/</w:t>
            </w:r>
            <w:r>
              <w:t>m</w:t>
            </w:r>
            <w:r w:rsidRPr="00E07567">
              <w:t>L</w:t>
            </w:r>
          </w:p>
        </w:tc>
        <w:tc>
          <w:tcPr>
            <w:tcW w:w="2370" w:type="pct"/>
          </w:tcPr>
          <w:p w14:paraId="4EB4F513" w14:textId="77777777" w:rsidR="006C29B6" w:rsidRPr="00E07567" w:rsidRDefault="006C29B6" w:rsidP="007D7EDD">
            <w:pPr>
              <w:pStyle w:val="Tabletext1"/>
              <w:ind w:left="0"/>
            </w:pPr>
            <w:r w:rsidRPr="00E07567">
              <w:t>NBA product list</w:t>
            </w:r>
            <w:r w:rsidRPr="00E07567">
              <w:rPr>
                <w:vertAlign w:val="superscript"/>
              </w:rPr>
              <w:t>1</w:t>
            </w:r>
          </w:p>
        </w:tc>
      </w:tr>
      <w:tr w:rsidR="006C29B6" w:rsidRPr="00E07567" w14:paraId="7C3CC533" w14:textId="77777777" w:rsidTr="006C29B6">
        <w:tc>
          <w:tcPr>
            <w:tcW w:w="1752" w:type="pct"/>
          </w:tcPr>
          <w:p w14:paraId="76B0F580" w14:textId="77777777" w:rsidR="006C29B6" w:rsidRPr="00E07567" w:rsidRDefault="006C29B6" w:rsidP="007D7EDD">
            <w:pPr>
              <w:spacing w:after="0" w:line="240" w:lineRule="auto"/>
              <w:ind w:left="0"/>
            </w:pPr>
            <w:r>
              <w:rPr>
                <w:rFonts w:ascii="Arial Narrow" w:hAnsi="Arial Narrow" w:cs="Calibri"/>
                <w:color w:val="000000"/>
                <w:sz w:val="20"/>
                <w:szCs w:val="20"/>
              </w:rPr>
              <w:t>Plasma volume exchanged (mL/kg)</w:t>
            </w:r>
          </w:p>
        </w:tc>
        <w:tc>
          <w:tcPr>
            <w:tcW w:w="878" w:type="pct"/>
          </w:tcPr>
          <w:p w14:paraId="7DC71F37" w14:textId="77777777" w:rsidR="006C29B6" w:rsidRPr="00E07567" w:rsidRDefault="006C29B6" w:rsidP="003E333B">
            <w:pPr>
              <w:pStyle w:val="Tabletext1"/>
              <w:ind w:left="0"/>
              <w:jc w:val="right"/>
            </w:pPr>
            <w:r>
              <w:t>45</w:t>
            </w:r>
          </w:p>
        </w:tc>
        <w:tc>
          <w:tcPr>
            <w:tcW w:w="2370" w:type="pct"/>
          </w:tcPr>
          <w:p w14:paraId="5B057A96" w14:textId="083D2128" w:rsidR="006C29B6" w:rsidRPr="00E07567" w:rsidRDefault="006C29B6" w:rsidP="006C29B6">
            <w:pPr>
              <w:pStyle w:val="Tabletext1"/>
              <w:ind w:left="0"/>
            </w:pPr>
            <w:r>
              <w:fldChar w:fldCharType="begin"/>
            </w:r>
            <w:r>
              <w:instrText xml:space="preserve"> REF _Ref65086945 \h </w:instrText>
            </w:r>
            <w:r w:rsidR="003E333B">
              <w:instrText xml:space="preserve"> \* MERGEFORMAT </w:instrText>
            </w:r>
            <w:r>
              <w:fldChar w:fldCharType="separate"/>
            </w:r>
            <w:r w:rsidR="004B3EA2">
              <w:t xml:space="preserve">Table </w:t>
            </w:r>
            <w:r w:rsidR="004B3EA2">
              <w:rPr>
                <w:noProof/>
              </w:rPr>
              <w:t>28</w:t>
            </w:r>
            <w:r>
              <w:fldChar w:fldCharType="end"/>
            </w:r>
          </w:p>
        </w:tc>
      </w:tr>
      <w:tr w:rsidR="006C29B6" w:rsidRPr="00E07567" w14:paraId="694BBCE6" w14:textId="77777777" w:rsidTr="006C29B6">
        <w:tc>
          <w:tcPr>
            <w:tcW w:w="1752" w:type="pct"/>
          </w:tcPr>
          <w:p w14:paraId="42662745" w14:textId="77777777" w:rsidR="006C29B6" w:rsidRPr="00E07567" w:rsidRDefault="006C29B6" w:rsidP="007D7EDD">
            <w:pPr>
              <w:pStyle w:val="Tabletext1"/>
              <w:ind w:left="0"/>
            </w:pPr>
            <w:r w:rsidRPr="007D7EDD">
              <w:t>Total volume exchanged (mL)</w:t>
            </w:r>
          </w:p>
        </w:tc>
        <w:tc>
          <w:tcPr>
            <w:tcW w:w="878" w:type="pct"/>
          </w:tcPr>
          <w:p w14:paraId="63FD51B7" w14:textId="77777777" w:rsidR="006C29B6" w:rsidRPr="00E07567" w:rsidRDefault="006C29B6" w:rsidP="003E333B">
            <w:pPr>
              <w:pStyle w:val="Tabletext1"/>
              <w:ind w:left="0"/>
              <w:jc w:val="right"/>
            </w:pPr>
            <w:r>
              <w:t>3,510</w:t>
            </w:r>
          </w:p>
        </w:tc>
        <w:tc>
          <w:tcPr>
            <w:tcW w:w="2370" w:type="pct"/>
          </w:tcPr>
          <w:p w14:paraId="0834B68C" w14:textId="77777777" w:rsidR="006C29B6" w:rsidRPr="00E07567" w:rsidRDefault="006C29B6" w:rsidP="007D7EDD">
            <w:pPr>
              <w:pStyle w:val="Tabletext1"/>
              <w:ind w:left="0"/>
            </w:pPr>
            <w:r>
              <w:t>Product of average patient weight (78kgs) and plasma volume exchanged per kg of body weight</w:t>
            </w:r>
          </w:p>
        </w:tc>
      </w:tr>
      <w:tr w:rsidR="006C29B6" w:rsidRPr="00E07567" w14:paraId="06BF6CE6" w14:textId="77777777" w:rsidTr="006C29B6">
        <w:tc>
          <w:tcPr>
            <w:tcW w:w="1752" w:type="pct"/>
            <w:tcBorders>
              <w:bottom w:val="single" w:sz="4" w:space="0" w:color="auto"/>
            </w:tcBorders>
          </w:tcPr>
          <w:p w14:paraId="199AAB8F" w14:textId="77777777" w:rsidR="006C29B6" w:rsidRPr="00E07567" w:rsidRDefault="006C29B6" w:rsidP="007D7EDD">
            <w:pPr>
              <w:pStyle w:val="Tabletext1"/>
              <w:ind w:left="0"/>
            </w:pPr>
            <w:r>
              <w:t>Administration, in</w:t>
            </w:r>
            <w:r w:rsidRPr="007D7EDD">
              <w:t>patient hospital costs and consumables</w:t>
            </w:r>
          </w:p>
        </w:tc>
        <w:tc>
          <w:tcPr>
            <w:tcW w:w="878" w:type="pct"/>
            <w:tcBorders>
              <w:bottom w:val="single" w:sz="4" w:space="0" w:color="auto"/>
            </w:tcBorders>
          </w:tcPr>
          <w:p w14:paraId="5DB444EB" w14:textId="77777777" w:rsidR="006C29B6" w:rsidRPr="00E07567" w:rsidRDefault="006C29B6" w:rsidP="003E333B">
            <w:pPr>
              <w:pStyle w:val="Tabletext1"/>
              <w:ind w:left="0"/>
              <w:jc w:val="right"/>
            </w:pPr>
            <w:r>
              <w:t>$1,477</w:t>
            </w:r>
          </w:p>
        </w:tc>
        <w:tc>
          <w:tcPr>
            <w:tcW w:w="2370" w:type="pct"/>
            <w:tcBorders>
              <w:bottom w:val="single" w:sz="4" w:space="0" w:color="auto"/>
            </w:tcBorders>
          </w:tcPr>
          <w:p w14:paraId="67C4DF82" w14:textId="2C2DB6F3" w:rsidR="006C29B6" w:rsidRPr="00E07567" w:rsidRDefault="006C29B6" w:rsidP="00D726F6">
            <w:pPr>
              <w:pStyle w:val="Tabletext1"/>
              <w:ind w:left="0"/>
            </w:pPr>
            <w:r>
              <w:t xml:space="preserve">AR-DRG B40Z, Plasmapheresis </w:t>
            </w:r>
            <w:r w:rsidR="00B727D6">
              <w:fldChar w:fldCharType="begin"/>
            </w:r>
            <w:r w:rsidR="00B727D6">
              <w:instrText xml:space="preserve"> ADDIN EN.CITE &lt;EndNote&gt;&lt;Cite&gt;&lt;Author&gt;IHPA&lt;/Author&gt;&lt;Year&gt;2021&lt;/Year&gt;&lt;RecNum&gt;1961&lt;/RecNum&gt;&lt;DisplayText&gt;(IHPA 2021)&lt;/DisplayText&gt;&lt;record&gt;&lt;rec-number&gt;1961&lt;/rec-number&gt;&lt;foreign-keys&gt;&lt;key app="EN" db-id="xtr5xfx2xf0wd7e0s2qvst2ietxxf0tpzr9v" timestamp="1615261212"&gt;1961&lt;/key&gt;&lt;/foreign-keys&gt;&lt;ref-type name="Report"&gt;27&lt;/ref-type&gt;&lt;contributors&gt;&lt;authors&gt;&lt;author&gt;IHPA,&lt;/author&gt;&lt;/authors&gt;&lt;tertiary-authors&gt;&lt;author&gt;The Independent Hospital Pricing Authority &lt;/author&gt;&lt;/tertiary-authors&gt;&lt;/contributors&gt;&lt;titles&gt;&lt;title&gt;NATIONAL HOSPITAL COST DATA COLLECTION, COST WEIGHTS FOR AR-DRG VERSION 10.0, Round 23 (2018-19), Public Sector&lt;/title&gt;&lt;/titles&gt;&lt;dates&gt;&lt;year&gt;2021&lt;/year&gt;&lt;/dates&gt;&lt;publisher&gt;The Independent Hospital Pricing Authority &lt;/publisher&gt;&lt;urls&gt;&lt;/urls&gt;&lt;/record&gt;&lt;/Cite&gt;&lt;/EndNote&gt;</w:instrText>
            </w:r>
            <w:r w:rsidR="00B727D6">
              <w:fldChar w:fldCharType="separate"/>
            </w:r>
            <w:r w:rsidR="00B727D6">
              <w:rPr>
                <w:noProof/>
              </w:rPr>
              <w:t>(</w:t>
            </w:r>
            <w:hyperlink w:anchor="_ENREF_30" w:tooltip="IHPA, 2021 #1961" w:history="1">
              <w:r w:rsidR="00D726F6">
                <w:rPr>
                  <w:noProof/>
                </w:rPr>
                <w:t>IHPA 2021</w:t>
              </w:r>
            </w:hyperlink>
            <w:r w:rsidR="00B727D6">
              <w:rPr>
                <w:noProof/>
              </w:rPr>
              <w:t>)</w:t>
            </w:r>
            <w:r w:rsidR="00B727D6">
              <w:fldChar w:fldCharType="end"/>
            </w:r>
          </w:p>
        </w:tc>
      </w:tr>
      <w:tr w:rsidR="006C29B6" w:rsidRPr="006C29B6" w14:paraId="7446CC06" w14:textId="77777777" w:rsidTr="006C29B6">
        <w:tc>
          <w:tcPr>
            <w:tcW w:w="1752" w:type="pct"/>
            <w:tcBorders>
              <w:right w:val="nil"/>
            </w:tcBorders>
          </w:tcPr>
          <w:p w14:paraId="78C171E4" w14:textId="77777777" w:rsidR="006C29B6" w:rsidRPr="006C29B6" w:rsidRDefault="006C29B6" w:rsidP="007D7EDD">
            <w:pPr>
              <w:pStyle w:val="Tabletext1"/>
              <w:ind w:left="0"/>
              <w:rPr>
                <w:b/>
              </w:rPr>
            </w:pPr>
            <w:r w:rsidRPr="006C29B6">
              <w:rPr>
                <w:b/>
              </w:rPr>
              <w:t>Disease and treatment monitoring costs</w:t>
            </w:r>
          </w:p>
        </w:tc>
        <w:tc>
          <w:tcPr>
            <w:tcW w:w="878" w:type="pct"/>
            <w:tcBorders>
              <w:left w:val="nil"/>
              <w:right w:val="nil"/>
            </w:tcBorders>
          </w:tcPr>
          <w:p w14:paraId="303B3CD4" w14:textId="77777777" w:rsidR="006C29B6" w:rsidRPr="006C29B6" w:rsidRDefault="006C29B6" w:rsidP="003E333B">
            <w:pPr>
              <w:pStyle w:val="Tabletext1"/>
              <w:ind w:left="0"/>
              <w:jc w:val="right"/>
              <w:rPr>
                <w:b/>
              </w:rPr>
            </w:pPr>
          </w:p>
        </w:tc>
        <w:tc>
          <w:tcPr>
            <w:tcW w:w="2370" w:type="pct"/>
            <w:tcBorders>
              <w:left w:val="nil"/>
            </w:tcBorders>
          </w:tcPr>
          <w:p w14:paraId="6B995460" w14:textId="77777777" w:rsidR="006C29B6" w:rsidRPr="006C29B6" w:rsidRDefault="006C29B6" w:rsidP="007D7EDD">
            <w:pPr>
              <w:pStyle w:val="Tabletext1"/>
              <w:ind w:left="0"/>
              <w:rPr>
                <w:b/>
              </w:rPr>
            </w:pPr>
          </w:p>
        </w:tc>
      </w:tr>
      <w:tr w:rsidR="006C29B6" w:rsidRPr="00E07567" w14:paraId="7DBF581C" w14:textId="77777777" w:rsidTr="001444A4">
        <w:tc>
          <w:tcPr>
            <w:tcW w:w="1752" w:type="pct"/>
            <w:tcBorders>
              <w:bottom w:val="single" w:sz="4" w:space="0" w:color="auto"/>
            </w:tcBorders>
          </w:tcPr>
          <w:p w14:paraId="5B0E0AC6" w14:textId="77777777" w:rsidR="006C29B6" w:rsidRDefault="006C29B6" w:rsidP="006C29B6">
            <w:pPr>
              <w:pStyle w:val="Tabletext1"/>
              <w:ind w:left="0"/>
            </w:pPr>
            <w:r w:rsidRPr="00F52434">
              <w:t>Total monitoring costs per cycle</w:t>
            </w:r>
          </w:p>
        </w:tc>
        <w:tc>
          <w:tcPr>
            <w:tcW w:w="878" w:type="pct"/>
            <w:tcBorders>
              <w:bottom w:val="single" w:sz="4" w:space="0" w:color="auto"/>
            </w:tcBorders>
          </w:tcPr>
          <w:p w14:paraId="44C02CDD" w14:textId="56DE1BF2" w:rsidR="006C29B6" w:rsidRPr="00E07567" w:rsidRDefault="006C29B6" w:rsidP="002B78E3">
            <w:pPr>
              <w:pStyle w:val="Tabletext1"/>
              <w:ind w:left="0"/>
              <w:jc w:val="right"/>
            </w:pPr>
            <w:r w:rsidRPr="00F52434">
              <w:t>$4</w:t>
            </w:r>
            <w:r w:rsidR="002B78E3">
              <w:t>5.29</w:t>
            </w:r>
          </w:p>
        </w:tc>
        <w:tc>
          <w:tcPr>
            <w:tcW w:w="2370" w:type="pct"/>
            <w:tcBorders>
              <w:bottom w:val="single" w:sz="4" w:space="0" w:color="auto"/>
            </w:tcBorders>
          </w:tcPr>
          <w:p w14:paraId="1B85F972" w14:textId="1868A005" w:rsidR="006C29B6" w:rsidRPr="00E07567" w:rsidRDefault="006C29B6" w:rsidP="006C29B6">
            <w:pPr>
              <w:pStyle w:val="Tabletext1"/>
              <w:ind w:left="0"/>
            </w:pPr>
            <w:r w:rsidRPr="00F52434">
              <w:t>For a cycle length of 4 weeks</w:t>
            </w:r>
            <w:r>
              <w:t>, same as Ig (</w:t>
            </w:r>
            <w:r>
              <w:fldChar w:fldCharType="begin"/>
            </w:r>
            <w:r>
              <w:instrText xml:space="preserve"> REF _Ref65676759 \h </w:instrText>
            </w:r>
            <w:r w:rsidR="003E333B">
              <w:instrText xml:space="preserve"> \* MERGEFORMAT </w:instrText>
            </w:r>
            <w:r>
              <w:fldChar w:fldCharType="separate"/>
            </w:r>
            <w:r w:rsidR="004B3EA2">
              <w:t xml:space="preserve">Table </w:t>
            </w:r>
            <w:r w:rsidR="004B3EA2">
              <w:rPr>
                <w:noProof/>
              </w:rPr>
              <w:t>40</w:t>
            </w:r>
            <w:r>
              <w:fldChar w:fldCharType="end"/>
            </w:r>
            <w:r>
              <w:t>)</w:t>
            </w:r>
          </w:p>
        </w:tc>
      </w:tr>
      <w:tr w:rsidR="0010007A" w:rsidRPr="00E07567" w14:paraId="59C304FC" w14:textId="77777777" w:rsidTr="001444A4">
        <w:tc>
          <w:tcPr>
            <w:tcW w:w="1752" w:type="pct"/>
            <w:tcBorders>
              <w:right w:val="nil"/>
            </w:tcBorders>
          </w:tcPr>
          <w:p w14:paraId="30A4383D" w14:textId="77777777" w:rsidR="0010007A" w:rsidRPr="00F52434" w:rsidRDefault="0010007A" w:rsidP="0010007A">
            <w:pPr>
              <w:pStyle w:val="Tabletext1"/>
              <w:ind w:left="0"/>
            </w:pPr>
            <w:r>
              <w:rPr>
                <w:b/>
              </w:rPr>
              <w:t>Severe adverse event</w:t>
            </w:r>
            <w:r w:rsidRPr="00E61E51">
              <w:rPr>
                <w:b/>
              </w:rPr>
              <w:t xml:space="preserve"> costs</w:t>
            </w:r>
          </w:p>
        </w:tc>
        <w:tc>
          <w:tcPr>
            <w:tcW w:w="878" w:type="pct"/>
            <w:tcBorders>
              <w:left w:val="nil"/>
              <w:right w:val="nil"/>
            </w:tcBorders>
          </w:tcPr>
          <w:p w14:paraId="270E3EA0" w14:textId="77777777" w:rsidR="0010007A" w:rsidRPr="00F52434" w:rsidRDefault="0010007A" w:rsidP="003E333B">
            <w:pPr>
              <w:pStyle w:val="Tabletext1"/>
              <w:ind w:left="0"/>
              <w:jc w:val="right"/>
            </w:pPr>
          </w:p>
        </w:tc>
        <w:tc>
          <w:tcPr>
            <w:tcW w:w="2370" w:type="pct"/>
            <w:tcBorders>
              <w:left w:val="nil"/>
            </w:tcBorders>
          </w:tcPr>
          <w:p w14:paraId="68853805" w14:textId="77777777" w:rsidR="0010007A" w:rsidRPr="00F52434" w:rsidRDefault="0010007A" w:rsidP="0010007A">
            <w:pPr>
              <w:pStyle w:val="Tabletext1"/>
              <w:ind w:left="0"/>
            </w:pPr>
          </w:p>
        </w:tc>
      </w:tr>
      <w:tr w:rsidR="0010007A" w:rsidRPr="00E07567" w14:paraId="4ECF3E34" w14:textId="77777777" w:rsidTr="001444A4">
        <w:tc>
          <w:tcPr>
            <w:tcW w:w="1752" w:type="pct"/>
            <w:tcBorders>
              <w:bottom w:val="single" w:sz="4" w:space="0" w:color="auto"/>
            </w:tcBorders>
          </w:tcPr>
          <w:p w14:paraId="29A32A57" w14:textId="77777777" w:rsidR="0010007A" w:rsidRPr="00F52434" w:rsidRDefault="001444A4" w:rsidP="0010007A">
            <w:pPr>
              <w:pStyle w:val="Tabletext1"/>
              <w:ind w:left="0"/>
            </w:pPr>
            <w:r>
              <w:t>Cost of adverse event per procedure</w:t>
            </w:r>
            <w:r w:rsidR="0010007A">
              <w:t xml:space="preserve"> </w:t>
            </w:r>
          </w:p>
        </w:tc>
        <w:tc>
          <w:tcPr>
            <w:tcW w:w="878" w:type="pct"/>
            <w:tcBorders>
              <w:bottom w:val="single" w:sz="4" w:space="0" w:color="auto"/>
            </w:tcBorders>
          </w:tcPr>
          <w:p w14:paraId="739C0991" w14:textId="77777777" w:rsidR="0010007A" w:rsidRPr="00F52434" w:rsidRDefault="001444A4" w:rsidP="003E333B">
            <w:pPr>
              <w:pStyle w:val="Tabletext1"/>
              <w:ind w:left="0"/>
              <w:jc w:val="right"/>
            </w:pPr>
            <w:r>
              <w:t>$8.28</w:t>
            </w:r>
          </w:p>
        </w:tc>
        <w:tc>
          <w:tcPr>
            <w:tcW w:w="2370" w:type="pct"/>
            <w:tcBorders>
              <w:bottom w:val="single" w:sz="4" w:space="0" w:color="auto"/>
            </w:tcBorders>
          </w:tcPr>
          <w:p w14:paraId="44280832" w14:textId="15BC3CF8" w:rsidR="0010007A" w:rsidRPr="00F52434" w:rsidRDefault="001444A4" w:rsidP="0010007A">
            <w:pPr>
              <w:pStyle w:val="Tabletext1"/>
              <w:ind w:left="0"/>
            </w:pPr>
            <w:r>
              <w:fldChar w:fldCharType="begin"/>
            </w:r>
            <w:r>
              <w:instrText xml:space="preserve"> REF _Ref66273020 \h </w:instrText>
            </w:r>
            <w:r>
              <w:fldChar w:fldCharType="separate"/>
            </w:r>
            <w:r w:rsidR="004B3EA2">
              <w:t xml:space="preserve">Table </w:t>
            </w:r>
            <w:r w:rsidR="004B3EA2">
              <w:rPr>
                <w:noProof/>
              </w:rPr>
              <w:t>85</w:t>
            </w:r>
            <w:r>
              <w:fldChar w:fldCharType="end"/>
            </w:r>
            <w:r>
              <w:t>, Appendix G</w:t>
            </w:r>
          </w:p>
        </w:tc>
      </w:tr>
      <w:tr w:rsidR="0010007A" w:rsidRPr="00E07567" w14:paraId="53D6A587" w14:textId="77777777" w:rsidTr="001444A4">
        <w:tc>
          <w:tcPr>
            <w:tcW w:w="1752" w:type="pct"/>
            <w:tcBorders>
              <w:right w:val="nil"/>
            </w:tcBorders>
          </w:tcPr>
          <w:p w14:paraId="7F923B23" w14:textId="77777777" w:rsidR="0010007A" w:rsidRPr="00F52434" w:rsidRDefault="0010007A" w:rsidP="0010007A">
            <w:pPr>
              <w:pStyle w:val="Tabletext1"/>
              <w:ind w:left="0"/>
            </w:pPr>
            <w:r w:rsidRPr="00E61E51">
              <w:rPr>
                <w:b/>
              </w:rPr>
              <w:t>V</w:t>
            </w:r>
            <w:r>
              <w:rPr>
                <w:b/>
              </w:rPr>
              <w:t>ascular</w:t>
            </w:r>
            <w:r w:rsidRPr="00E61E51">
              <w:rPr>
                <w:b/>
              </w:rPr>
              <w:t xml:space="preserve"> access for Ig use</w:t>
            </w:r>
            <w:r>
              <w:rPr>
                <w:b/>
              </w:rPr>
              <w:t xml:space="preserve"> (per patient)</w:t>
            </w:r>
          </w:p>
        </w:tc>
        <w:tc>
          <w:tcPr>
            <w:tcW w:w="878" w:type="pct"/>
            <w:tcBorders>
              <w:left w:val="nil"/>
              <w:right w:val="nil"/>
            </w:tcBorders>
          </w:tcPr>
          <w:p w14:paraId="27F39D49" w14:textId="77777777" w:rsidR="0010007A" w:rsidRPr="00F52434" w:rsidRDefault="0010007A" w:rsidP="003E333B">
            <w:pPr>
              <w:pStyle w:val="Tabletext1"/>
              <w:ind w:left="0"/>
              <w:jc w:val="right"/>
            </w:pPr>
          </w:p>
        </w:tc>
        <w:tc>
          <w:tcPr>
            <w:tcW w:w="2370" w:type="pct"/>
            <w:tcBorders>
              <w:left w:val="nil"/>
            </w:tcBorders>
          </w:tcPr>
          <w:p w14:paraId="47E5BED4" w14:textId="77777777" w:rsidR="0010007A" w:rsidRPr="00F52434" w:rsidRDefault="0010007A" w:rsidP="0010007A">
            <w:pPr>
              <w:pStyle w:val="Tabletext1"/>
              <w:ind w:left="0"/>
            </w:pPr>
          </w:p>
        </w:tc>
      </w:tr>
      <w:tr w:rsidR="009651FF" w:rsidRPr="00E07567" w14:paraId="3B72548E" w14:textId="77777777" w:rsidTr="006C29B6">
        <w:tc>
          <w:tcPr>
            <w:tcW w:w="1752" w:type="pct"/>
          </w:tcPr>
          <w:p w14:paraId="6C991610" w14:textId="77777777" w:rsidR="009651FF" w:rsidRPr="00F52434" w:rsidRDefault="009651FF" w:rsidP="009651FF">
            <w:pPr>
              <w:pStyle w:val="Tabletext1"/>
              <w:ind w:left="0"/>
            </w:pPr>
            <w:r>
              <w:t>First 4–6 months</w:t>
            </w:r>
          </w:p>
        </w:tc>
        <w:tc>
          <w:tcPr>
            <w:tcW w:w="878" w:type="pct"/>
          </w:tcPr>
          <w:p w14:paraId="47F064D7" w14:textId="77777777" w:rsidR="009651FF" w:rsidRPr="00F52434" w:rsidRDefault="009651FF" w:rsidP="009651FF">
            <w:pPr>
              <w:pStyle w:val="Tabletext1"/>
              <w:ind w:left="0"/>
              <w:jc w:val="right"/>
            </w:pPr>
            <w:r w:rsidRPr="00811A5C">
              <w:t>$737.50</w:t>
            </w:r>
          </w:p>
        </w:tc>
        <w:tc>
          <w:tcPr>
            <w:tcW w:w="2370" w:type="pct"/>
          </w:tcPr>
          <w:p w14:paraId="6C595DDA" w14:textId="18C4CCFF" w:rsidR="009651FF" w:rsidRPr="00F52434" w:rsidRDefault="009651FF" w:rsidP="009651FF">
            <w:pPr>
              <w:pStyle w:val="Tabletext1"/>
              <w:ind w:left="0"/>
            </w:pPr>
            <w:r>
              <w:rPr>
                <w:color w:val="000000"/>
              </w:rPr>
              <w:fldChar w:fldCharType="begin"/>
            </w:r>
            <w:r>
              <w:rPr>
                <w:color w:val="000000"/>
              </w:rPr>
              <w:instrText xml:space="preserve"> REF _Ref66197044 \h  \* MERGEFORMAT </w:instrText>
            </w:r>
            <w:r>
              <w:rPr>
                <w:color w:val="000000"/>
              </w:rPr>
            </w:r>
            <w:r>
              <w:rPr>
                <w:color w:val="000000"/>
              </w:rPr>
              <w:fldChar w:fldCharType="separate"/>
            </w:r>
            <w:r w:rsidR="004B3EA2">
              <w:t xml:space="preserve">Table </w:t>
            </w:r>
            <w:r w:rsidR="004B3EA2">
              <w:rPr>
                <w:noProof/>
              </w:rPr>
              <w:t>81</w:t>
            </w:r>
            <w:r>
              <w:rPr>
                <w:color w:val="000000"/>
              </w:rPr>
              <w:fldChar w:fldCharType="end"/>
            </w:r>
            <w:r>
              <w:rPr>
                <w:color w:val="000000"/>
              </w:rPr>
              <w:t xml:space="preserve"> and </w:t>
            </w:r>
            <w:r>
              <w:rPr>
                <w:color w:val="000000"/>
              </w:rPr>
              <w:fldChar w:fldCharType="begin"/>
            </w:r>
            <w:r>
              <w:rPr>
                <w:color w:val="000000"/>
              </w:rPr>
              <w:instrText xml:space="preserve"> REF _Ref66197245 \h  \* MERGEFORMAT </w:instrText>
            </w:r>
            <w:r>
              <w:rPr>
                <w:color w:val="000000"/>
              </w:rPr>
            </w:r>
            <w:r>
              <w:rPr>
                <w:color w:val="000000"/>
              </w:rPr>
              <w:fldChar w:fldCharType="separate"/>
            </w:r>
            <w:r w:rsidR="004B3EA2">
              <w:t xml:space="preserve">Table </w:t>
            </w:r>
            <w:r w:rsidR="004B3EA2">
              <w:rPr>
                <w:noProof/>
              </w:rPr>
              <w:t>82</w:t>
            </w:r>
            <w:r>
              <w:rPr>
                <w:color w:val="000000"/>
              </w:rPr>
              <w:fldChar w:fldCharType="end"/>
            </w:r>
            <w:r>
              <w:rPr>
                <w:color w:val="000000"/>
              </w:rPr>
              <w:t>, Appendix G</w:t>
            </w:r>
          </w:p>
        </w:tc>
      </w:tr>
      <w:tr w:rsidR="009651FF" w:rsidRPr="00E07567" w14:paraId="0AED748F" w14:textId="77777777" w:rsidTr="006C29B6">
        <w:tc>
          <w:tcPr>
            <w:tcW w:w="1752" w:type="pct"/>
          </w:tcPr>
          <w:p w14:paraId="2C2295D7" w14:textId="77777777" w:rsidR="009651FF" w:rsidRDefault="009651FF" w:rsidP="009651FF">
            <w:pPr>
              <w:pStyle w:val="Tabletext1"/>
              <w:ind w:left="0"/>
            </w:pPr>
            <w:r>
              <w:t>More than 6 months</w:t>
            </w:r>
          </w:p>
        </w:tc>
        <w:tc>
          <w:tcPr>
            <w:tcW w:w="878" w:type="pct"/>
          </w:tcPr>
          <w:p w14:paraId="45DB332B" w14:textId="77777777" w:rsidR="009651FF" w:rsidRPr="00E07567" w:rsidRDefault="009651FF" w:rsidP="009651FF">
            <w:pPr>
              <w:pStyle w:val="Tabletext1"/>
              <w:ind w:left="0"/>
              <w:jc w:val="right"/>
            </w:pPr>
            <w:r w:rsidRPr="00811A5C">
              <w:t>$1,345.84</w:t>
            </w:r>
          </w:p>
        </w:tc>
        <w:tc>
          <w:tcPr>
            <w:tcW w:w="2370" w:type="pct"/>
          </w:tcPr>
          <w:p w14:paraId="0546DF34" w14:textId="219E9F57" w:rsidR="009651FF" w:rsidRPr="00E07567" w:rsidRDefault="009651FF" w:rsidP="009651FF">
            <w:pPr>
              <w:pStyle w:val="Tabletext1"/>
              <w:ind w:left="0"/>
            </w:pPr>
            <w:r>
              <w:rPr>
                <w:color w:val="000000"/>
              </w:rPr>
              <w:fldChar w:fldCharType="begin"/>
            </w:r>
            <w:r>
              <w:rPr>
                <w:color w:val="000000"/>
              </w:rPr>
              <w:instrText xml:space="preserve"> REF _Ref66197044 \h  \* MERGEFORMAT </w:instrText>
            </w:r>
            <w:r>
              <w:rPr>
                <w:color w:val="000000"/>
              </w:rPr>
            </w:r>
            <w:r>
              <w:rPr>
                <w:color w:val="000000"/>
              </w:rPr>
              <w:fldChar w:fldCharType="separate"/>
            </w:r>
            <w:r w:rsidR="004B3EA2">
              <w:t xml:space="preserve">Table </w:t>
            </w:r>
            <w:r w:rsidR="004B3EA2">
              <w:rPr>
                <w:noProof/>
              </w:rPr>
              <w:t>81</w:t>
            </w:r>
            <w:r>
              <w:rPr>
                <w:color w:val="000000"/>
              </w:rPr>
              <w:fldChar w:fldCharType="end"/>
            </w:r>
            <w:r>
              <w:rPr>
                <w:color w:val="000000"/>
              </w:rPr>
              <w:t xml:space="preserve"> and </w:t>
            </w:r>
            <w:r>
              <w:rPr>
                <w:color w:val="000000"/>
              </w:rPr>
              <w:fldChar w:fldCharType="begin"/>
            </w:r>
            <w:r>
              <w:rPr>
                <w:color w:val="000000"/>
              </w:rPr>
              <w:instrText xml:space="preserve"> REF _Ref66197245 \h  \* MERGEFORMAT </w:instrText>
            </w:r>
            <w:r>
              <w:rPr>
                <w:color w:val="000000"/>
              </w:rPr>
            </w:r>
            <w:r>
              <w:rPr>
                <w:color w:val="000000"/>
              </w:rPr>
              <w:fldChar w:fldCharType="separate"/>
            </w:r>
            <w:r w:rsidR="004B3EA2">
              <w:t xml:space="preserve">Table </w:t>
            </w:r>
            <w:r w:rsidR="004B3EA2">
              <w:rPr>
                <w:noProof/>
              </w:rPr>
              <w:t>82</w:t>
            </w:r>
            <w:r>
              <w:rPr>
                <w:color w:val="000000"/>
              </w:rPr>
              <w:fldChar w:fldCharType="end"/>
            </w:r>
            <w:r>
              <w:rPr>
                <w:color w:val="000000"/>
              </w:rPr>
              <w:t>, Appendix G</w:t>
            </w:r>
          </w:p>
        </w:tc>
      </w:tr>
    </w:tbl>
    <w:p w14:paraId="529D3AEF" w14:textId="5D538C98" w:rsidR="00093ACF" w:rsidRDefault="00093ACF" w:rsidP="007D7EDD">
      <w:pPr>
        <w:pStyle w:val="Tablenote"/>
      </w:pPr>
      <w:r w:rsidRPr="00093ACF">
        <w:rPr>
          <w:vertAlign w:val="superscript"/>
        </w:rPr>
        <w:t>1</w:t>
      </w:r>
      <w:r w:rsidRPr="00093ACF">
        <w:t xml:space="preserve"> Source: </w:t>
      </w:r>
      <w:r>
        <w:t>NBA product list accessed on 10 March 2021; &lt;</w:t>
      </w:r>
      <w:hyperlink r:id="rId51" w:anchor="note-1" w:history="1">
        <w:r w:rsidRPr="00EA7493">
          <w:rPr>
            <w:rStyle w:val="Hyperlink"/>
          </w:rPr>
          <w:t>https://www.blood.gov.au/national-product-price-list#note-1</w:t>
        </w:r>
      </w:hyperlink>
      <w:r>
        <w:t xml:space="preserve">&gt; </w:t>
      </w:r>
    </w:p>
    <w:p w14:paraId="74EACA5F" w14:textId="77777777" w:rsidR="00E54059" w:rsidRDefault="007D7EDD" w:rsidP="007D7EDD">
      <w:pPr>
        <w:pStyle w:val="Tablenote"/>
      </w:pPr>
      <w:r>
        <w:t xml:space="preserve">AR-DRG = </w:t>
      </w:r>
      <w:r w:rsidRPr="00F7550F">
        <w:t>Australian Refined Diagnosis Related Groups</w:t>
      </w:r>
      <w:r>
        <w:t xml:space="preserve">; </w:t>
      </w:r>
      <w:r>
        <w:rPr>
          <w:rStyle w:val="Hyperlink"/>
          <w:color w:val="auto"/>
          <w:u w:val="none"/>
        </w:rPr>
        <w:t>IHPA =</w:t>
      </w:r>
      <w:r w:rsidRPr="00A129D2">
        <w:t xml:space="preserve"> </w:t>
      </w:r>
      <w:r>
        <w:t>t</w:t>
      </w:r>
      <w:r w:rsidRPr="00A129D2">
        <w:rPr>
          <w:rStyle w:val="Hyperlink"/>
          <w:color w:val="auto"/>
          <w:u w:val="none"/>
        </w:rPr>
        <w:t>he Independent Hospital Pricing Authority</w:t>
      </w:r>
      <w:r>
        <w:rPr>
          <w:rStyle w:val="Hyperlink"/>
          <w:color w:val="auto"/>
          <w:u w:val="none"/>
        </w:rPr>
        <w:t xml:space="preserve">; </w:t>
      </w:r>
      <w:r w:rsidR="00C81BF3">
        <w:rPr>
          <w:rStyle w:val="Hyperlink"/>
          <w:color w:val="auto"/>
          <w:u w:val="none"/>
        </w:rPr>
        <w:t xml:space="preserve">Ig = immunoglobulin; </w:t>
      </w:r>
      <w:r>
        <w:rPr>
          <w:rStyle w:val="Hyperlink"/>
          <w:color w:val="auto"/>
          <w:u w:val="none"/>
        </w:rPr>
        <w:t>kg = kilograms; MBS = Medicare Benefits Schedule;</w:t>
      </w:r>
      <w:r w:rsidR="00093ACF">
        <w:rPr>
          <w:rStyle w:val="Hyperlink"/>
          <w:color w:val="auto"/>
          <w:u w:val="none"/>
        </w:rPr>
        <w:t xml:space="preserve"> mL = millilitres;</w:t>
      </w:r>
      <w:r>
        <w:rPr>
          <w:rStyle w:val="Hyperlink"/>
          <w:color w:val="auto"/>
          <w:u w:val="none"/>
        </w:rPr>
        <w:t xml:space="preserve"> NBA = National Blood Authority;</w:t>
      </w:r>
    </w:p>
    <w:p w14:paraId="6E629FC3" w14:textId="14F88B8F" w:rsidR="00B00977" w:rsidRPr="00B00977" w:rsidRDefault="000B2D70" w:rsidP="00B00977">
      <w:pPr>
        <w:pStyle w:val="Heading4"/>
        <w:rPr>
          <w:rStyle w:val="Hyperlink"/>
          <w:color w:val="auto"/>
          <w:u w:val="none"/>
        </w:rPr>
      </w:pPr>
      <w:r>
        <w:rPr>
          <w:rStyle w:val="Hyperlink"/>
          <w:color w:val="auto"/>
          <w:u w:val="none"/>
        </w:rPr>
        <w:t>Best supportive care</w:t>
      </w:r>
      <w:r w:rsidR="00B00977" w:rsidRPr="00B00977">
        <w:rPr>
          <w:rStyle w:val="Hyperlink"/>
          <w:color w:val="auto"/>
          <w:u w:val="none"/>
        </w:rPr>
        <w:t xml:space="preserve"> </w:t>
      </w:r>
    </w:p>
    <w:p w14:paraId="5897E26A" w14:textId="7F6E0A8E" w:rsidR="00B00977" w:rsidRPr="00DA3C6E" w:rsidRDefault="00B00977" w:rsidP="00B00977">
      <w:pPr>
        <w:pStyle w:val="BodyTextSTD"/>
      </w:pPr>
      <w:r w:rsidRPr="00DA3C6E">
        <w:t>The cost of the ‘</w:t>
      </w:r>
      <w:r w:rsidR="000B2D70">
        <w:t>Best supportive care’</w:t>
      </w:r>
      <w:r w:rsidRPr="00DA3C6E">
        <w:t xml:space="preserve"> </w:t>
      </w:r>
      <w:r w:rsidR="005F63DE">
        <w:t xml:space="preserve">in </w:t>
      </w:r>
      <w:r w:rsidRPr="00DA3C6E">
        <w:t xml:space="preserve">health state </w:t>
      </w:r>
      <w:r w:rsidR="005F63DE">
        <w:t xml:space="preserve">D </w:t>
      </w:r>
      <w:r w:rsidR="00B43F61">
        <w:t xml:space="preserve">is </w:t>
      </w:r>
      <w:r w:rsidRPr="00DA3C6E">
        <w:t xml:space="preserve">comprised of </w:t>
      </w:r>
      <w:r>
        <w:t xml:space="preserve">disease monitoring </w:t>
      </w:r>
      <w:r w:rsidRPr="00DA3C6E">
        <w:t xml:space="preserve">and applies to both treatment arms. </w:t>
      </w:r>
      <w:r>
        <w:t>Of note,</w:t>
      </w:r>
      <w:r w:rsidRPr="00991CC7">
        <w:t xml:space="preserve"> as disease progresses to more severe stages, it is expected that some patients may require additional health resources given they would be at a higher risk of physical disabilities due to muscle weakness. Such resources may include </w:t>
      </w:r>
      <w:r>
        <w:t xml:space="preserve">allied health services, </w:t>
      </w:r>
      <w:r w:rsidRPr="00991CC7">
        <w:t>use of walking aids such as electric wheelchairs and walking frames, additional rehabilitation and physiotherapy sessions, social work services, residential admissions, etc. The costs of these additional resources were not accounted for in the model as there is insufficient evidence to determine when these would be required and by what proportion of the patients.</w:t>
      </w:r>
      <w:r w:rsidRPr="00DA3C6E">
        <w:t xml:space="preserve"> </w:t>
      </w:r>
      <w:r>
        <w:t xml:space="preserve">However, </w:t>
      </w:r>
      <w:r w:rsidR="00B43F61">
        <w:t xml:space="preserve">the negative </w:t>
      </w:r>
      <w:r>
        <w:t xml:space="preserve">health impact of disease progression is accumulated </w:t>
      </w:r>
      <w:r w:rsidR="00B43F61">
        <w:t xml:space="preserve">in the model </w:t>
      </w:r>
      <w:r>
        <w:t>by applying utility</w:t>
      </w:r>
      <w:r w:rsidR="00B43F61">
        <w:t xml:space="preserve"> decrements</w:t>
      </w:r>
      <w:r>
        <w:t xml:space="preserve"> in each cycle.</w:t>
      </w:r>
    </w:p>
    <w:p w14:paraId="55D5EFF9" w14:textId="77777777" w:rsidR="00837294" w:rsidRDefault="00837294" w:rsidP="00837294">
      <w:pPr>
        <w:pStyle w:val="Heading3"/>
      </w:pPr>
      <w:bookmarkStart w:id="334" w:name="_Toc69305595"/>
      <w:r>
        <w:t>Health outcomes</w:t>
      </w:r>
      <w:bookmarkEnd w:id="334"/>
    </w:p>
    <w:p w14:paraId="0B63F9C7" w14:textId="59D87A9A" w:rsidR="00837294" w:rsidRPr="00C62D2E" w:rsidRDefault="00837294" w:rsidP="003D498D">
      <w:pPr>
        <w:pStyle w:val="BodyTextSTD"/>
      </w:pPr>
      <w:r w:rsidRPr="00C62D2E">
        <w:t xml:space="preserve">The utility values applied in the model are described in Section C.4.1. </w:t>
      </w:r>
      <w:r w:rsidR="00C62D2E" w:rsidRPr="00C62D2E">
        <w:t>A baseline utility value of 0.6</w:t>
      </w:r>
      <w:r w:rsidR="00C62D2E">
        <w:t>2 is assumed for all patients entering the model</w:t>
      </w:r>
      <w:r w:rsidR="00C62D2E" w:rsidRPr="00C62D2E">
        <w:t>.</w:t>
      </w:r>
      <w:r w:rsidR="00C62D2E">
        <w:t xml:space="preserve"> </w:t>
      </w:r>
      <w:r w:rsidR="00B633D3">
        <w:t>P</w:t>
      </w:r>
      <w:r w:rsidRPr="00C62D2E">
        <w:t xml:space="preserve">atients who respond to intravenous Ig </w:t>
      </w:r>
      <w:r w:rsidR="00B633D3">
        <w:t xml:space="preserve">or PE </w:t>
      </w:r>
      <w:r w:rsidRPr="00C62D2E">
        <w:t>either in the ‘</w:t>
      </w:r>
      <w:r w:rsidR="00C62D2E" w:rsidRPr="00C62D2E">
        <w:t>Induction phase</w:t>
      </w:r>
      <w:r w:rsidRPr="00C62D2E">
        <w:t>’</w:t>
      </w:r>
      <w:r w:rsidR="005F63DE">
        <w:t>(A)</w:t>
      </w:r>
      <w:r w:rsidR="00785268">
        <w:t xml:space="preserve"> </w:t>
      </w:r>
      <w:r w:rsidRPr="00C62D2E">
        <w:t xml:space="preserve">or </w:t>
      </w:r>
      <w:r w:rsidR="00C62D2E" w:rsidRPr="00C62D2E">
        <w:t>Maintenance phase’</w:t>
      </w:r>
      <w:r w:rsidR="005F63DE">
        <w:t>(B)</w:t>
      </w:r>
      <w:r w:rsidR="00C62D2E" w:rsidRPr="00C62D2E">
        <w:t xml:space="preserve"> </w:t>
      </w:r>
      <w:r w:rsidR="00C62D2E">
        <w:t>have a utility gain of 0.12</w:t>
      </w:r>
      <w:r w:rsidR="0071673E">
        <w:t xml:space="preserve"> (0.0092 per cycle)</w:t>
      </w:r>
      <w:r w:rsidR="00C62D2E">
        <w:t xml:space="preserve">. Patients in </w:t>
      </w:r>
      <w:r w:rsidRPr="00C62D2E">
        <w:t>‘</w:t>
      </w:r>
      <w:r w:rsidR="00785268">
        <w:t>In remission</w:t>
      </w:r>
      <w:r w:rsidR="00785268" w:rsidRPr="00C62D2E">
        <w:t xml:space="preserve"> </w:t>
      </w:r>
      <w:r w:rsidR="00785268">
        <w:t>(</w:t>
      </w:r>
      <w:r w:rsidRPr="00C62D2E">
        <w:t>off-treatment</w:t>
      </w:r>
      <w:r w:rsidR="00785268">
        <w:t>)</w:t>
      </w:r>
      <w:r w:rsidRPr="00C62D2E">
        <w:t xml:space="preserve">’ health states, </w:t>
      </w:r>
      <w:r w:rsidR="00C62D2E">
        <w:t xml:space="preserve">revert back to age-specific utility for the general population </w:t>
      </w:r>
      <w:r w:rsidRPr="00C62D2E">
        <w:t>for their time in those states.</w:t>
      </w:r>
      <w:r w:rsidR="0071673E">
        <w:t xml:space="preserve"> A </w:t>
      </w:r>
      <w:r w:rsidR="00B633D3">
        <w:t xml:space="preserve">utility </w:t>
      </w:r>
      <w:r w:rsidR="00A87B8D">
        <w:t xml:space="preserve">decrement </w:t>
      </w:r>
      <w:r w:rsidR="00B633D3">
        <w:t>of –</w:t>
      </w:r>
      <w:r w:rsidR="00B633D3" w:rsidRPr="002A6C6D">
        <w:t>0.</w:t>
      </w:r>
      <w:r w:rsidR="0071673E">
        <w:t>0036</w:t>
      </w:r>
      <w:r w:rsidR="00B633D3">
        <w:t xml:space="preserve"> is applied to patients who are on steroids</w:t>
      </w:r>
      <w:r w:rsidR="0071673E">
        <w:t xml:space="preserve"> per cycle</w:t>
      </w:r>
      <w:r w:rsidR="00B633D3">
        <w:t xml:space="preserve">. </w:t>
      </w:r>
      <w:r w:rsidR="0071673E">
        <w:t>Utility values are adjusted for aging (a decrement of –</w:t>
      </w:r>
      <w:r w:rsidR="0071673E" w:rsidRPr="0071673E">
        <w:t>0.0002</w:t>
      </w:r>
      <w:r w:rsidR="0071673E">
        <w:t xml:space="preserve"> in the model). </w:t>
      </w:r>
      <w:r w:rsidR="0066701A">
        <w:t xml:space="preserve">Utility values for adverse events were calculated as a product of </w:t>
      </w:r>
      <w:r w:rsidR="002D4919">
        <w:t xml:space="preserve">the </w:t>
      </w:r>
      <w:r w:rsidR="0066701A">
        <w:t xml:space="preserve">incidence of </w:t>
      </w:r>
      <w:r w:rsidR="002D4919">
        <w:t xml:space="preserve">specific </w:t>
      </w:r>
      <w:r w:rsidR="0066701A">
        <w:t>AE</w:t>
      </w:r>
      <w:r w:rsidR="002D4919">
        <w:t>s</w:t>
      </w:r>
      <w:r w:rsidR="0066701A">
        <w:t xml:space="preserve"> and the associated disutilities described in </w:t>
      </w:r>
      <w:r w:rsidR="0066701A">
        <w:fldChar w:fldCharType="begin"/>
      </w:r>
      <w:r w:rsidR="0066701A">
        <w:instrText xml:space="preserve"> REF _Ref65237150 \h </w:instrText>
      </w:r>
      <w:r w:rsidR="0066701A">
        <w:fldChar w:fldCharType="separate"/>
      </w:r>
      <w:r w:rsidR="004B3EA2">
        <w:t xml:space="preserve">Table </w:t>
      </w:r>
      <w:r w:rsidR="004B3EA2">
        <w:rPr>
          <w:noProof/>
        </w:rPr>
        <w:t>34</w:t>
      </w:r>
      <w:r w:rsidR="0066701A">
        <w:fldChar w:fldCharType="end"/>
      </w:r>
      <w:r w:rsidR="0066701A">
        <w:t>.</w:t>
      </w:r>
      <w:r w:rsidR="00E112A9">
        <w:t xml:space="preserve"> </w:t>
      </w:r>
      <w:r w:rsidR="00E112A9">
        <w:fldChar w:fldCharType="begin"/>
      </w:r>
      <w:r w:rsidR="00E112A9">
        <w:instrText xml:space="preserve"> REF _Ref68094128 \h </w:instrText>
      </w:r>
      <w:r w:rsidR="00E112A9">
        <w:fldChar w:fldCharType="separate"/>
      </w:r>
      <w:r w:rsidR="004B3EA2">
        <w:t xml:space="preserve">Table </w:t>
      </w:r>
      <w:r w:rsidR="004B3EA2">
        <w:rPr>
          <w:noProof/>
        </w:rPr>
        <w:t>44</w:t>
      </w:r>
      <w:r w:rsidR="00E112A9">
        <w:fldChar w:fldCharType="end"/>
      </w:r>
      <w:r w:rsidR="00E112A9">
        <w:t xml:space="preserve"> presents a summary of utility weights used in the modelled base-case economic evaluations.</w:t>
      </w:r>
    </w:p>
    <w:p w14:paraId="1572045D" w14:textId="086DD27B" w:rsidR="008D3C0C" w:rsidRDefault="008D3C0C" w:rsidP="008D3C0C">
      <w:pPr>
        <w:pStyle w:val="Caption"/>
      </w:pPr>
      <w:bookmarkStart w:id="335" w:name="_Ref68094128"/>
      <w:bookmarkStart w:id="336" w:name="_Toc69305685"/>
      <w:r>
        <w:t xml:space="preserve">Table </w:t>
      </w:r>
      <w:r w:rsidR="00003BA5">
        <w:fldChar w:fldCharType="begin"/>
      </w:r>
      <w:r w:rsidR="00003BA5">
        <w:instrText xml:space="preserve"> SEQ Table \* ARABIC </w:instrText>
      </w:r>
      <w:r w:rsidR="00003BA5">
        <w:fldChar w:fldCharType="separate"/>
      </w:r>
      <w:r w:rsidR="004B3EA2">
        <w:rPr>
          <w:noProof/>
        </w:rPr>
        <w:t>44</w:t>
      </w:r>
      <w:r w:rsidR="00003BA5">
        <w:rPr>
          <w:noProof/>
        </w:rPr>
        <w:fldChar w:fldCharType="end"/>
      </w:r>
      <w:bookmarkEnd w:id="335"/>
      <w:r>
        <w:tab/>
        <w:t>Utility weights</w:t>
      </w:r>
      <w:r w:rsidR="00C06429">
        <w:rPr>
          <w:vertAlign w:val="superscript"/>
        </w:rPr>
        <w:t>a</w:t>
      </w:r>
      <w:r>
        <w:t xml:space="preserve"> used in the </w:t>
      </w:r>
      <w:r w:rsidR="00B633D3">
        <w:t xml:space="preserve">modelled base-case </w:t>
      </w:r>
      <w:r>
        <w:t>economic evaluation</w:t>
      </w:r>
      <w:bookmarkEnd w:id="336"/>
    </w:p>
    <w:tbl>
      <w:tblPr>
        <w:tblStyle w:val="TableGrid"/>
        <w:tblW w:w="5000" w:type="pct"/>
        <w:tblLook w:val="04A0" w:firstRow="1" w:lastRow="0" w:firstColumn="1" w:lastColumn="0" w:noHBand="0" w:noVBand="1"/>
        <w:tblCaption w:val="Utility weightsa used in the modelled base-case economic evaluation"/>
        <w:tblDescription w:val="Utility weightsa used in the modelled base-case economic evaluation"/>
      </w:tblPr>
      <w:tblGrid>
        <w:gridCol w:w="2406"/>
        <w:gridCol w:w="1700"/>
        <w:gridCol w:w="1560"/>
        <w:gridCol w:w="1700"/>
        <w:gridCol w:w="1650"/>
      </w:tblGrid>
      <w:tr w:rsidR="005D10D5" w14:paraId="16113D69" w14:textId="77777777" w:rsidTr="00BB43B6">
        <w:trPr>
          <w:tblHeader/>
        </w:trPr>
        <w:tc>
          <w:tcPr>
            <w:tcW w:w="1334" w:type="pct"/>
          </w:tcPr>
          <w:p w14:paraId="521E18AF" w14:textId="77777777" w:rsidR="005F63DE" w:rsidRDefault="005F63DE" w:rsidP="008D3C0C">
            <w:pPr>
              <w:pStyle w:val="TableHeading"/>
              <w:ind w:left="0"/>
            </w:pPr>
            <w:r>
              <w:t>Description</w:t>
            </w:r>
          </w:p>
        </w:tc>
        <w:tc>
          <w:tcPr>
            <w:tcW w:w="943" w:type="pct"/>
          </w:tcPr>
          <w:p w14:paraId="6AF361E2" w14:textId="0084D9EB" w:rsidR="005F63DE" w:rsidRDefault="005F63DE" w:rsidP="00455432">
            <w:pPr>
              <w:pStyle w:val="TableHeading"/>
              <w:ind w:left="0"/>
            </w:pPr>
            <w:r>
              <w:t>Health States</w:t>
            </w:r>
          </w:p>
        </w:tc>
        <w:tc>
          <w:tcPr>
            <w:tcW w:w="865" w:type="pct"/>
          </w:tcPr>
          <w:p w14:paraId="67A5D48D" w14:textId="1C1BA0C5" w:rsidR="005F63DE" w:rsidRDefault="005F63DE" w:rsidP="008D3C0C">
            <w:pPr>
              <w:pStyle w:val="TableHeading"/>
              <w:ind w:left="0"/>
            </w:pPr>
            <w:r>
              <w:t>Ig</w:t>
            </w:r>
          </w:p>
        </w:tc>
        <w:tc>
          <w:tcPr>
            <w:tcW w:w="943" w:type="pct"/>
          </w:tcPr>
          <w:p w14:paraId="5FD82366" w14:textId="77777777" w:rsidR="005F63DE" w:rsidRDefault="005F63DE" w:rsidP="008D3C0C">
            <w:pPr>
              <w:pStyle w:val="TableHeading"/>
              <w:ind w:left="0"/>
            </w:pPr>
            <w:r>
              <w:t>Corticosteroids</w:t>
            </w:r>
          </w:p>
        </w:tc>
        <w:tc>
          <w:tcPr>
            <w:tcW w:w="915" w:type="pct"/>
          </w:tcPr>
          <w:p w14:paraId="01D2FBC4" w14:textId="77777777" w:rsidR="005F63DE" w:rsidRDefault="005F63DE" w:rsidP="008D3C0C">
            <w:pPr>
              <w:pStyle w:val="TableHeading"/>
              <w:ind w:left="0"/>
            </w:pPr>
            <w:r>
              <w:t>PE</w:t>
            </w:r>
          </w:p>
        </w:tc>
      </w:tr>
      <w:tr w:rsidR="005D10D5" w14:paraId="1F94D3AD" w14:textId="77777777" w:rsidTr="005D10D5">
        <w:tc>
          <w:tcPr>
            <w:tcW w:w="1334" w:type="pct"/>
          </w:tcPr>
          <w:p w14:paraId="2E6DA942" w14:textId="7DB190AA" w:rsidR="005F63DE" w:rsidRDefault="005F63DE" w:rsidP="000C0FF8">
            <w:pPr>
              <w:pStyle w:val="Tabletext1"/>
              <w:ind w:left="0"/>
            </w:pPr>
            <w:r>
              <w:t>Baseline utility with disease</w:t>
            </w:r>
          </w:p>
        </w:tc>
        <w:tc>
          <w:tcPr>
            <w:tcW w:w="943" w:type="pct"/>
          </w:tcPr>
          <w:p w14:paraId="724C649B" w14:textId="4251C9C6" w:rsidR="005F63DE" w:rsidRPr="009127E3" w:rsidRDefault="005F63DE" w:rsidP="00455432">
            <w:pPr>
              <w:pStyle w:val="Tabletext1"/>
              <w:ind w:left="0"/>
            </w:pPr>
            <w:r>
              <w:t>Applies in A/B/C/D</w:t>
            </w:r>
          </w:p>
        </w:tc>
        <w:tc>
          <w:tcPr>
            <w:tcW w:w="865" w:type="pct"/>
          </w:tcPr>
          <w:p w14:paraId="400317BA" w14:textId="15FEFD69" w:rsidR="005F63DE" w:rsidRDefault="005F63DE" w:rsidP="000C0FF8">
            <w:pPr>
              <w:pStyle w:val="Tabletext1"/>
              <w:ind w:left="0"/>
              <w:jc w:val="right"/>
            </w:pPr>
            <w:r w:rsidRPr="009127E3">
              <w:t>0.0477</w:t>
            </w:r>
          </w:p>
        </w:tc>
        <w:tc>
          <w:tcPr>
            <w:tcW w:w="943" w:type="pct"/>
          </w:tcPr>
          <w:p w14:paraId="51B210BD" w14:textId="77777777" w:rsidR="005F63DE" w:rsidRDefault="005F63DE" w:rsidP="000C0FF8">
            <w:pPr>
              <w:pStyle w:val="Tabletext1"/>
              <w:ind w:left="0"/>
              <w:jc w:val="right"/>
            </w:pPr>
            <w:r w:rsidRPr="00BD3242">
              <w:t>0.0477</w:t>
            </w:r>
          </w:p>
        </w:tc>
        <w:tc>
          <w:tcPr>
            <w:tcW w:w="915" w:type="pct"/>
          </w:tcPr>
          <w:p w14:paraId="3738F827" w14:textId="77777777" w:rsidR="005F63DE" w:rsidRDefault="005F63DE" w:rsidP="000C0FF8">
            <w:pPr>
              <w:pStyle w:val="Tabletext1"/>
              <w:ind w:left="0"/>
              <w:jc w:val="right"/>
            </w:pPr>
            <w:r w:rsidRPr="00BD3242">
              <w:t>0.0477</w:t>
            </w:r>
          </w:p>
        </w:tc>
      </w:tr>
      <w:tr w:rsidR="005D10D5" w14:paraId="1793C0B1" w14:textId="77777777" w:rsidTr="00455432">
        <w:tc>
          <w:tcPr>
            <w:tcW w:w="1334" w:type="pct"/>
          </w:tcPr>
          <w:p w14:paraId="74D5A479" w14:textId="77777777" w:rsidR="005F63DE" w:rsidRDefault="005F63DE" w:rsidP="00CD16FE">
            <w:pPr>
              <w:pStyle w:val="Tabletext1"/>
              <w:ind w:left="0"/>
            </w:pPr>
            <w:r>
              <w:t>In remission</w:t>
            </w:r>
          </w:p>
        </w:tc>
        <w:tc>
          <w:tcPr>
            <w:tcW w:w="943" w:type="pct"/>
          </w:tcPr>
          <w:p w14:paraId="4313AF1E" w14:textId="0B855AE8" w:rsidR="005F63DE" w:rsidRDefault="005D10D5" w:rsidP="00455432">
            <w:pPr>
              <w:pStyle w:val="Tabletext1"/>
              <w:ind w:left="0"/>
            </w:pPr>
            <w:r>
              <w:t>C</w:t>
            </w:r>
          </w:p>
        </w:tc>
        <w:tc>
          <w:tcPr>
            <w:tcW w:w="865" w:type="pct"/>
          </w:tcPr>
          <w:p w14:paraId="6531E0CC" w14:textId="77777777" w:rsidR="005F63DE" w:rsidRDefault="005F63DE" w:rsidP="00CD16FE">
            <w:pPr>
              <w:pStyle w:val="Tabletext1"/>
              <w:ind w:left="0"/>
            </w:pPr>
            <w:r>
              <w:t>Age-specific utility weights</w:t>
            </w:r>
          </w:p>
        </w:tc>
        <w:tc>
          <w:tcPr>
            <w:tcW w:w="943" w:type="pct"/>
          </w:tcPr>
          <w:p w14:paraId="4589D637" w14:textId="77777777" w:rsidR="005F63DE" w:rsidRPr="00C06429" w:rsidRDefault="005F63DE" w:rsidP="00CD16FE">
            <w:pPr>
              <w:pStyle w:val="Tabletext1"/>
              <w:ind w:left="0"/>
              <w:rPr>
                <w:vertAlign w:val="superscript"/>
              </w:rPr>
            </w:pPr>
            <w:r>
              <w:t xml:space="preserve">Age-specific utility weights </w:t>
            </w:r>
            <w:r>
              <w:rPr>
                <w:vertAlign w:val="superscript"/>
              </w:rPr>
              <w:t>b</w:t>
            </w:r>
          </w:p>
        </w:tc>
        <w:tc>
          <w:tcPr>
            <w:tcW w:w="915" w:type="pct"/>
          </w:tcPr>
          <w:p w14:paraId="53EBC93B" w14:textId="77777777" w:rsidR="005F63DE" w:rsidRDefault="005F63DE" w:rsidP="00CD16FE">
            <w:pPr>
              <w:pStyle w:val="Tabletext1"/>
              <w:ind w:left="0"/>
            </w:pPr>
            <w:r>
              <w:t>Age-specific utility weights</w:t>
            </w:r>
          </w:p>
        </w:tc>
      </w:tr>
      <w:tr w:rsidR="005F63DE" w14:paraId="44D1AD34" w14:textId="77777777" w:rsidTr="005F63DE">
        <w:tc>
          <w:tcPr>
            <w:tcW w:w="5000" w:type="pct"/>
            <w:gridSpan w:val="5"/>
          </w:tcPr>
          <w:p w14:paraId="582955E9" w14:textId="0A22A520" w:rsidR="005F63DE" w:rsidRPr="00455432" w:rsidRDefault="005F63DE" w:rsidP="00455432">
            <w:pPr>
              <w:pStyle w:val="Tabletext1"/>
              <w:ind w:left="0"/>
              <w:rPr>
                <w:b/>
              </w:rPr>
            </w:pPr>
            <w:r w:rsidRPr="00455432">
              <w:rPr>
                <w:b/>
              </w:rPr>
              <w:t>Utility adjustments</w:t>
            </w:r>
          </w:p>
        </w:tc>
      </w:tr>
      <w:tr w:rsidR="005D10D5" w14:paraId="295827CA" w14:textId="77777777" w:rsidTr="005D10D5">
        <w:tc>
          <w:tcPr>
            <w:tcW w:w="1334" w:type="pct"/>
          </w:tcPr>
          <w:p w14:paraId="2B894FB8" w14:textId="77777777" w:rsidR="005F63DE" w:rsidRDefault="005F63DE" w:rsidP="000C0FF8">
            <w:pPr>
              <w:pStyle w:val="Tabletext1"/>
              <w:ind w:left="0"/>
            </w:pPr>
            <w:r>
              <w:t>Utility gain/loss with treatment</w:t>
            </w:r>
          </w:p>
        </w:tc>
        <w:tc>
          <w:tcPr>
            <w:tcW w:w="943" w:type="pct"/>
          </w:tcPr>
          <w:p w14:paraId="16D6B35F" w14:textId="5FAB0138" w:rsidR="005F63DE" w:rsidRPr="009127E3" w:rsidRDefault="005F63DE" w:rsidP="00455432">
            <w:pPr>
              <w:pStyle w:val="Tabletext1"/>
              <w:ind w:left="0"/>
            </w:pPr>
            <w:r>
              <w:t>A and B</w:t>
            </w:r>
          </w:p>
        </w:tc>
        <w:tc>
          <w:tcPr>
            <w:tcW w:w="865" w:type="pct"/>
          </w:tcPr>
          <w:p w14:paraId="4DC3FE57" w14:textId="77BC88BD" w:rsidR="005F63DE" w:rsidRDefault="005F63DE" w:rsidP="000C0FF8">
            <w:pPr>
              <w:pStyle w:val="Tabletext1"/>
              <w:ind w:left="0"/>
              <w:jc w:val="right"/>
            </w:pPr>
            <w:r w:rsidRPr="009127E3">
              <w:t>0.0092</w:t>
            </w:r>
          </w:p>
        </w:tc>
        <w:tc>
          <w:tcPr>
            <w:tcW w:w="943" w:type="pct"/>
          </w:tcPr>
          <w:p w14:paraId="730127CB" w14:textId="77777777" w:rsidR="005F63DE" w:rsidRDefault="005F63DE" w:rsidP="000C0FF8">
            <w:pPr>
              <w:pStyle w:val="Tabletext1"/>
              <w:ind w:left="0"/>
              <w:jc w:val="right"/>
            </w:pPr>
            <w:r>
              <w:t>–</w:t>
            </w:r>
            <w:r w:rsidRPr="00BD3242">
              <w:t>0.0036</w:t>
            </w:r>
          </w:p>
        </w:tc>
        <w:tc>
          <w:tcPr>
            <w:tcW w:w="915" w:type="pct"/>
          </w:tcPr>
          <w:p w14:paraId="0E608EEF" w14:textId="77777777" w:rsidR="005F63DE" w:rsidRDefault="005F63DE" w:rsidP="000C0FF8">
            <w:pPr>
              <w:pStyle w:val="Tabletext1"/>
              <w:ind w:left="0"/>
              <w:jc w:val="right"/>
            </w:pPr>
            <w:r w:rsidRPr="00BD3242">
              <w:t>0.0092</w:t>
            </w:r>
          </w:p>
        </w:tc>
      </w:tr>
      <w:tr w:rsidR="005D10D5" w14:paraId="2C79F0F4" w14:textId="77777777" w:rsidTr="005D10D5">
        <w:tc>
          <w:tcPr>
            <w:tcW w:w="1334" w:type="pct"/>
          </w:tcPr>
          <w:p w14:paraId="35FB365E" w14:textId="77777777" w:rsidR="005F63DE" w:rsidRDefault="005F63DE" w:rsidP="000C0FF8">
            <w:pPr>
              <w:pStyle w:val="Tabletext1"/>
              <w:ind w:left="0"/>
            </w:pPr>
            <w:r>
              <w:t>Severe AE</w:t>
            </w:r>
          </w:p>
        </w:tc>
        <w:tc>
          <w:tcPr>
            <w:tcW w:w="943" w:type="pct"/>
          </w:tcPr>
          <w:p w14:paraId="74C6F032" w14:textId="6B514BA5" w:rsidR="005F63DE" w:rsidRDefault="005F63DE" w:rsidP="00455432">
            <w:pPr>
              <w:pStyle w:val="Tabletext1"/>
              <w:ind w:left="0"/>
            </w:pPr>
            <w:r>
              <w:t>Applied on transition to D</w:t>
            </w:r>
          </w:p>
        </w:tc>
        <w:tc>
          <w:tcPr>
            <w:tcW w:w="865" w:type="pct"/>
          </w:tcPr>
          <w:p w14:paraId="016180A8" w14:textId="45AC0EF7" w:rsidR="005F63DE" w:rsidRDefault="005F63DE" w:rsidP="000C0FF8">
            <w:pPr>
              <w:pStyle w:val="Tabletext1"/>
              <w:ind w:left="0"/>
              <w:jc w:val="right"/>
            </w:pPr>
            <w:r>
              <w:t>–</w:t>
            </w:r>
            <w:r w:rsidRPr="009127E3">
              <w:t>0.0108</w:t>
            </w:r>
          </w:p>
        </w:tc>
        <w:tc>
          <w:tcPr>
            <w:tcW w:w="943" w:type="pct"/>
          </w:tcPr>
          <w:p w14:paraId="14914B9B" w14:textId="77777777" w:rsidR="005F63DE" w:rsidRDefault="005F63DE" w:rsidP="000C0FF8">
            <w:pPr>
              <w:pStyle w:val="Tabletext1"/>
              <w:ind w:left="0"/>
              <w:jc w:val="right"/>
            </w:pPr>
            <w:r>
              <w:t>–</w:t>
            </w:r>
            <w:r w:rsidRPr="00BD3242">
              <w:t>0.0466</w:t>
            </w:r>
          </w:p>
        </w:tc>
        <w:tc>
          <w:tcPr>
            <w:tcW w:w="915" w:type="pct"/>
          </w:tcPr>
          <w:p w14:paraId="250E30FC" w14:textId="77777777" w:rsidR="005F63DE" w:rsidRDefault="005F63DE" w:rsidP="000C0FF8">
            <w:pPr>
              <w:pStyle w:val="Tabletext1"/>
              <w:ind w:left="0"/>
              <w:jc w:val="right"/>
            </w:pPr>
            <w:r w:rsidRPr="00BD3242">
              <w:t>-0.0108</w:t>
            </w:r>
          </w:p>
        </w:tc>
      </w:tr>
      <w:tr w:rsidR="005D10D5" w14:paraId="5DBDA9B7" w14:textId="77777777" w:rsidTr="005D10D5">
        <w:tc>
          <w:tcPr>
            <w:tcW w:w="1334" w:type="pct"/>
          </w:tcPr>
          <w:p w14:paraId="5D1D81B7" w14:textId="77777777" w:rsidR="005F63DE" w:rsidRDefault="005F63DE" w:rsidP="005F63DE">
            <w:pPr>
              <w:pStyle w:val="Tabletext1"/>
              <w:ind w:left="0"/>
            </w:pPr>
            <w:r>
              <w:t>Chronic AE</w:t>
            </w:r>
          </w:p>
        </w:tc>
        <w:tc>
          <w:tcPr>
            <w:tcW w:w="943" w:type="pct"/>
          </w:tcPr>
          <w:p w14:paraId="1969F781" w14:textId="73C892CD" w:rsidR="005F63DE" w:rsidRPr="009127E3" w:rsidRDefault="005F63DE" w:rsidP="00455432">
            <w:pPr>
              <w:pStyle w:val="Tabletext1"/>
              <w:ind w:left="0"/>
            </w:pPr>
            <w:r>
              <w:t>Applied on transition to D</w:t>
            </w:r>
          </w:p>
        </w:tc>
        <w:tc>
          <w:tcPr>
            <w:tcW w:w="865" w:type="pct"/>
          </w:tcPr>
          <w:p w14:paraId="50062D19" w14:textId="0EF99F89" w:rsidR="005F63DE" w:rsidRDefault="005F63DE" w:rsidP="005F63DE">
            <w:pPr>
              <w:pStyle w:val="Tabletext1"/>
              <w:ind w:left="0"/>
              <w:jc w:val="right"/>
            </w:pPr>
            <w:r w:rsidRPr="009127E3">
              <w:t>0.0000</w:t>
            </w:r>
          </w:p>
        </w:tc>
        <w:tc>
          <w:tcPr>
            <w:tcW w:w="943" w:type="pct"/>
          </w:tcPr>
          <w:p w14:paraId="17FCF18D" w14:textId="77777777" w:rsidR="005F63DE" w:rsidRDefault="005F63DE" w:rsidP="005F63DE">
            <w:pPr>
              <w:pStyle w:val="Tabletext1"/>
              <w:ind w:left="0"/>
              <w:jc w:val="right"/>
            </w:pPr>
            <w:r>
              <w:t>–</w:t>
            </w:r>
            <w:r w:rsidRPr="00BD3242">
              <w:t>0.1690</w:t>
            </w:r>
          </w:p>
        </w:tc>
        <w:tc>
          <w:tcPr>
            <w:tcW w:w="915" w:type="pct"/>
          </w:tcPr>
          <w:p w14:paraId="5DCB5D0D" w14:textId="77777777" w:rsidR="005F63DE" w:rsidRDefault="005F63DE" w:rsidP="005F63DE">
            <w:pPr>
              <w:pStyle w:val="Tabletext1"/>
              <w:ind w:left="0"/>
              <w:jc w:val="right"/>
            </w:pPr>
            <w:r w:rsidRPr="00BD3242">
              <w:t>0.0000</w:t>
            </w:r>
          </w:p>
        </w:tc>
      </w:tr>
      <w:tr w:rsidR="005D10D5" w14:paraId="2B097927" w14:textId="77777777" w:rsidTr="005D10D5">
        <w:tc>
          <w:tcPr>
            <w:tcW w:w="1334" w:type="pct"/>
          </w:tcPr>
          <w:p w14:paraId="5024C432" w14:textId="627E2D48" w:rsidR="005F63DE" w:rsidRDefault="005D10D5" w:rsidP="005D10D5">
            <w:pPr>
              <w:pStyle w:val="Tabletext1"/>
              <w:ind w:left="0"/>
            </w:pPr>
            <w:r w:rsidRPr="005D10D5">
              <w:t>Treatment resistant</w:t>
            </w:r>
            <w:r>
              <w:t xml:space="preserve"> or </w:t>
            </w:r>
            <w:r w:rsidRPr="005D10D5">
              <w:t xml:space="preserve">intolerant </w:t>
            </w:r>
            <w:r w:rsidR="005F63DE">
              <w:t>disease</w:t>
            </w:r>
            <w:r>
              <w:t xml:space="preserve"> / P</w:t>
            </w:r>
            <w:r w:rsidR="005F63DE">
              <w:t>rogression</w:t>
            </w:r>
          </w:p>
        </w:tc>
        <w:tc>
          <w:tcPr>
            <w:tcW w:w="943" w:type="pct"/>
          </w:tcPr>
          <w:p w14:paraId="3201752E" w14:textId="03DEE1FA" w:rsidR="005F63DE" w:rsidRDefault="005D10D5" w:rsidP="00455432">
            <w:pPr>
              <w:pStyle w:val="Tabletext1"/>
              <w:ind w:left="0"/>
            </w:pPr>
            <w:r>
              <w:t>D</w:t>
            </w:r>
          </w:p>
        </w:tc>
        <w:tc>
          <w:tcPr>
            <w:tcW w:w="865" w:type="pct"/>
          </w:tcPr>
          <w:p w14:paraId="2D878F87" w14:textId="1148D433" w:rsidR="005F63DE" w:rsidRDefault="005F63DE" w:rsidP="005F63DE">
            <w:pPr>
              <w:pStyle w:val="Tabletext1"/>
              <w:ind w:left="0"/>
              <w:jc w:val="right"/>
            </w:pPr>
            <w:r>
              <w:t>–</w:t>
            </w:r>
            <w:r w:rsidRPr="00BD3242">
              <w:t>0.0108</w:t>
            </w:r>
          </w:p>
        </w:tc>
        <w:tc>
          <w:tcPr>
            <w:tcW w:w="943" w:type="pct"/>
          </w:tcPr>
          <w:p w14:paraId="4499EDF5" w14:textId="77777777" w:rsidR="005F63DE" w:rsidRDefault="005F63DE" w:rsidP="005F63DE">
            <w:pPr>
              <w:pStyle w:val="Tabletext1"/>
              <w:ind w:left="0"/>
              <w:jc w:val="right"/>
            </w:pPr>
            <w:r>
              <w:t>–</w:t>
            </w:r>
            <w:r w:rsidRPr="00BD3242">
              <w:t>0.0108</w:t>
            </w:r>
          </w:p>
        </w:tc>
        <w:tc>
          <w:tcPr>
            <w:tcW w:w="915" w:type="pct"/>
          </w:tcPr>
          <w:p w14:paraId="604AA785" w14:textId="77777777" w:rsidR="005F63DE" w:rsidRDefault="005F63DE" w:rsidP="005F63DE">
            <w:pPr>
              <w:pStyle w:val="Tabletext1"/>
              <w:ind w:left="0"/>
              <w:jc w:val="right"/>
            </w:pPr>
            <w:r>
              <w:t>–</w:t>
            </w:r>
            <w:r w:rsidRPr="00BD3242">
              <w:t>0.0108</w:t>
            </w:r>
          </w:p>
        </w:tc>
      </w:tr>
      <w:tr w:rsidR="005D10D5" w14:paraId="339E4EE3" w14:textId="77777777" w:rsidTr="005D10D5">
        <w:tc>
          <w:tcPr>
            <w:tcW w:w="1334" w:type="pct"/>
          </w:tcPr>
          <w:p w14:paraId="3793D382" w14:textId="77777777" w:rsidR="005F63DE" w:rsidRDefault="005F63DE" w:rsidP="005F63DE">
            <w:pPr>
              <w:pStyle w:val="Tabletext1"/>
              <w:ind w:left="0"/>
            </w:pPr>
            <w:r>
              <w:t>IV infusion (per procedure)</w:t>
            </w:r>
          </w:p>
        </w:tc>
        <w:tc>
          <w:tcPr>
            <w:tcW w:w="943" w:type="pct"/>
          </w:tcPr>
          <w:p w14:paraId="4B325E71" w14:textId="174EA2A5" w:rsidR="005F63DE" w:rsidRPr="0071673E" w:rsidRDefault="005D10D5" w:rsidP="00455432">
            <w:pPr>
              <w:pStyle w:val="Tabletext1"/>
              <w:ind w:left="0"/>
            </w:pPr>
            <w:r>
              <w:t>A and B</w:t>
            </w:r>
          </w:p>
        </w:tc>
        <w:tc>
          <w:tcPr>
            <w:tcW w:w="865" w:type="pct"/>
          </w:tcPr>
          <w:p w14:paraId="3D260189" w14:textId="151113D4" w:rsidR="005F63DE" w:rsidRDefault="005F63DE" w:rsidP="005F63DE">
            <w:pPr>
              <w:pStyle w:val="Tabletext1"/>
              <w:ind w:left="0"/>
              <w:jc w:val="right"/>
            </w:pPr>
            <w:r w:rsidRPr="0071673E">
              <w:t>-0.0006</w:t>
            </w:r>
          </w:p>
        </w:tc>
        <w:tc>
          <w:tcPr>
            <w:tcW w:w="943" w:type="pct"/>
          </w:tcPr>
          <w:p w14:paraId="7615C067" w14:textId="77777777" w:rsidR="005F63DE" w:rsidRDefault="005F63DE" w:rsidP="005F63DE">
            <w:pPr>
              <w:pStyle w:val="Tabletext1"/>
              <w:ind w:left="0"/>
              <w:jc w:val="right"/>
            </w:pPr>
            <w:r w:rsidRPr="0071673E">
              <w:t>-0.0006</w:t>
            </w:r>
          </w:p>
        </w:tc>
        <w:tc>
          <w:tcPr>
            <w:tcW w:w="915" w:type="pct"/>
          </w:tcPr>
          <w:p w14:paraId="3B83353E" w14:textId="77777777" w:rsidR="005F63DE" w:rsidRPr="0071673E" w:rsidRDefault="005F63DE" w:rsidP="005F63DE">
            <w:pPr>
              <w:pStyle w:val="Tabletext1"/>
              <w:ind w:left="0"/>
              <w:jc w:val="right"/>
              <w:rPr>
                <w:vertAlign w:val="superscript"/>
              </w:rPr>
            </w:pPr>
            <w:r w:rsidRPr="0071673E">
              <w:t>-0.0007</w:t>
            </w:r>
            <w:r>
              <w:t xml:space="preserve"> </w:t>
            </w:r>
            <w:r>
              <w:rPr>
                <w:vertAlign w:val="superscript"/>
              </w:rPr>
              <w:t>c</w:t>
            </w:r>
          </w:p>
        </w:tc>
      </w:tr>
    </w:tbl>
    <w:p w14:paraId="5B451941" w14:textId="77777777" w:rsidR="00C06429" w:rsidRDefault="00C06429" w:rsidP="009550E8">
      <w:pPr>
        <w:pStyle w:val="Tablenote"/>
      </w:pPr>
      <w:r>
        <w:rPr>
          <w:vertAlign w:val="superscript"/>
        </w:rPr>
        <w:t xml:space="preserve">a </w:t>
      </w:r>
      <w:r>
        <w:t>Utility weights are adjusted for cycle length or time period applied for in the model.</w:t>
      </w:r>
    </w:p>
    <w:p w14:paraId="04E6B4B3" w14:textId="77777777" w:rsidR="00C06429" w:rsidRDefault="00C06429" w:rsidP="009550E8">
      <w:pPr>
        <w:pStyle w:val="Tablenote"/>
      </w:pPr>
      <w:r>
        <w:rPr>
          <w:vertAlign w:val="superscript"/>
        </w:rPr>
        <w:t xml:space="preserve">b </w:t>
      </w:r>
      <w:r>
        <w:t>Disutility associated with steroid use is applied for one year after stopping treatment when in remission (see section C.4.1 for details).</w:t>
      </w:r>
    </w:p>
    <w:p w14:paraId="21AEE197" w14:textId="77777777" w:rsidR="0071673E" w:rsidRDefault="0071673E" w:rsidP="009550E8">
      <w:pPr>
        <w:pStyle w:val="Tablenote"/>
      </w:pPr>
      <w:r>
        <w:rPr>
          <w:vertAlign w:val="superscript"/>
        </w:rPr>
        <w:t xml:space="preserve">c </w:t>
      </w:r>
      <w:r>
        <w:t>Disutility associated with adverse events per procedure of plasma exchange are added to the disutility per infusion in the model.</w:t>
      </w:r>
    </w:p>
    <w:p w14:paraId="4D1117ED" w14:textId="68C37543" w:rsidR="004E4A2E" w:rsidRDefault="004E4A2E" w:rsidP="009550E8">
      <w:pPr>
        <w:pStyle w:val="Tablenote"/>
      </w:pPr>
      <w:r>
        <w:t xml:space="preserve">Source: Section C.4.1 and </w:t>
      </w:r>
      <w:r>
        <w:fldChar w:fldCharType="begin"/>
      </w:r>
      <w:r>
        <w:instrText xml:space="preserve"> REF _Ref65237150 \h </w:instrText>
      </w:r>
      <w:r>
        <w:fldChar w:fldCharType="separate"/>
      </w:r>
      <w:r w:rsidR="004B3EA2">
        <w:t xml:space="preserve">Table </w:t>
      </w:r>
      <w:r w:rsidR="004B3EA2">
        <w:rPr>
          <w:noProof/>
        </w:rPr>
        <w:t>34</w:t>
      </w:r>
      <w:r>
        <w:fldChar w:fldCharType="end"/>
      </w:r>
      <w:r>
        <w:t>.</w:t>
      </w:r>
    </w:p>
    <w:p w14:paraId="23CFB02C" w14:textId="77777777" w:rsidR="00E15194" w:rsidRPr="00854A28" w:rsidRDefault="004E4A2E" w:rsidP="009550E8">
      <w:pPr>
        <w:pStyle w:val="Tablenote"/>
      </w:pPr>
      <w:r>
        <w:t xml:space="preserve">Abbreviations: </w:t>
      </w:r>
      <w:r w:rsidR="009550E8">
        <w:t xml:space="preserve">AE = Adverse events; Ig = immunoglobulin; </w:t>
      </w:r>
      <w:r w:rsidR="0071673E">
        <w:t xml:space="preserve">IV = intravenous; </w:t>
      </w:r>
      <w:r w:rsidR="009550E8">
        <w:t>PE = plasma exchange</w:t>
      </w:r>
    </w:p>
    <w:p w14:paraId="71A64FFD" w14:textId="77777777" w:rsidR="00920414" w:rsidRDefault="00920414" w:rsidP="00920414">
      <w:pPr>
        <w:pStyle w:val="Heading2"/>
        <w:numPr>
          <w:ilvl w:val="3"/>
          <w:numId w:val="10"/>
        </w:numPr>
        <w:jc w:val="both"/>
      </w:pPr>
      <w:bookmarkStart w:id="337" w:name="_Toc381796480"/>
      <w:bookmarkStart w:id="338" w:name="_Toc9515615"/>
      <w:bookmarkStart w:id="339" w:name="_Toc14431168"/>
      <w:bookmarkStart w:id="340" w:name="_Toc69305596"/>
      <w:r>
        <w:t>Results of</w:t>
      </w:r>
      <w:r w:rsidRPr="00183E4D">
        <w:t xml:space="preserve"> the </w:t>
      </w:r>
      <w:r>
        <w:t>economic e</w:t>
      </w:r>
      <w:r w:rsidRPr="00183E4D">
        <w:t>valuation</w:t>
      </w:r>
      <w:bookmarkEnd w:id="337"/>
      <w:bookmarkEnd w:id="338"/>
      <w:bookmarkEnd w:id="339"/>
      <w:bookmarkEnd w:id="340"/>
    </w:p>
    <w:p w14:paraId="14578C1B" w14:textId="77777777" w:rsidR="00EF530F" w:rsidRPr="00EF530F" w:rsidRDefault="006055B5" w:rsidP="00D62906">
      <w:pPr>
        <w:pStyle w:val="Heading3"/>
      </w:pPr>
      <w:bookmarkStart w:id="341" w:name="_Toc69305597"/>
      <w:r>
        <w:t>D.5A.</w:t>
      </w:r>
      <w:r>
        <w:tab/>
      </w:r>
      <w:r w:rsidR="00EF530F" w:rsidRPr="00EF530F">
        <w:t>Ig compared with corticosteroids</w:t>
      </w:r>
      <w:bookmarkEnd w:id="341"/>
    </w:p>
    <w:p w14:paraId="7DA6B08F" w14:textId="77777777" w:rsidR="00EF530F" w:rsidRPr="00EF530F" w:rsidRDefault="00EF530F" w:rsidP="00D62906">
      <w:pPr>
        <w:pStyle w:val="Heading4"/>
      </w:pPr>
      <w:bookmarkStart w:id="342" w:name="_Toc14431169"/>
      <w:r w:rsidRPr="00EF530F">
        <w:t>D.5</w:t>
      </w:r>
      <w:r w:rsidR="006055B5">
        <w:t>A.1.</w:t>
      </w:r>
      <w:r w:rsidR="006055B5">
        <w:tab/>
      </w:r>
      <w:r w:rsidRPr="00EF530F">
        <w:t>Stepped economic evaluation</w:t>
      </w:r>
      <w:bookmarkEnd w:id="342"/>
    </w:p>
    <w:p w14:paraId="7ED06C76" w14:textId="77777777" w:rsidR="00EF530F" w:rsidRPr="00EF530F" w:rsidRDefault="00EF530F" w:rsidP="00D62906">
      <w:pPr>
        <w:pStyle w:val="BodyTextSTD"/>
      </w:pPr>
      <w:r w:rsidRPr="00EF530F">
        <w:t xml:space="preserve">A summary the steps </w:t>
      </w:r>
      <w:r>
        <w:t xml:space="preserve">in the </w:t>
      </w:r>
      <w:r w:rsidRPr="00EF530F">
        <w:t>stepped economic evaluation is presented below:</w:t>
      </w:r>
    </w:p>
    <w:p w14:paraId="1CDDD74A" w14:textId="2D7680FB" w:rsidR="00EF530F" w:rsidRPr="00EF530F" w:rsidRDefault="00EF530F" w:rsidP="00EF530F">
      <w:pPr>
        <w:numPr>
          <w:ilvl w:val="0"/>
          <w:numId w:val="36"/>
        </w:numPr>
        <w:jc w:val="both"/>
      </w:pPr>
      <w:r w:rsidRPr="00EF530F">
        <w:t xml:space="preserve">Step 1: Trial-based analysis. This step will apply the dose, dose frequency, relative adverse events, trial time horizon and Ig treatment duration from the Nobile-Orazio et al </w:t>
      </w:r>
      <w:r w:rsidR="00B727D6">
        <w:fldChar w:fldCharType="begin">
          <w:fldData xml:space="preserve">PEVuZE5vdGU+PENpdGUgRXhjbHVkZUF1dGg9IjEiPjxBdXRob3I+Tm9iaWxlLU9yYXppbzwvQXV0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==
</w:fldData>
        </w:fldChar>
      </w:r>
      <w:r w:rsidR="00B727D6">
        <w:instrText xml:space="preserve"> ADDIN EN.CITE </w:instrText>
      </w:r>
      <w:r w:rsidR="00B727D6">
        <w:fldChar w:fldCharType="begin">
          <w:fldData xml:space="preserve">PEVuZE5vdGU+PENpdGUgRXhjbHVkZUF1dGg9IjEiPjxBdXRob3I+Tm9iaWxlLU9yYXppbzwvQXV0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==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2012</w:t>
        </w:r>
      </w:hyperlink>
      <w:r w:rsidR="00B727D6">
        <w:rPr>
          <w:noProof/>
        </w:rPr>
        <w:t>)</w:t>
      </w:r>
      <w:r w:rsidR="00B727D6">
        <w:fldChar w:fldCharType="end"/>
      </w:r>
      <w:r w:rsidRPr="00EF530F">
        <w:t xml:space="preserve"> trial.</w:t>
      </w:r>
    </w:p>
    <w:p w14:paraId="0599056F" w14:textId="23DA696E" w:rsidR="00EF530F" w:rsidRPr="00EF530F" w:rsidRDefault="00EF530F" w:rsidP="00EF530F">
      <w:pPr>
        <w:numPr>
          <w:ilvl w:val="0"/>
          <w:numId w:val="36"/>
        </w:numPr>
        <w:jc w:val="both"/>
      </w:pPr>
      <w:r w:rsidRPr="00EF530F">
        <w:t xml:space="preserve">Step 2: Trial-based analysis, extrapolated. The second step of the model will continue to apply the trial doses, dose frequency and treatment duration as mentioned in the Nobile-Orazio et al </w:t>
      </w:r>
      <w:r w:rsidR="00B727D6">
        <w:fldChar w:fldCharType="begin">
          <w:fldData xml:space="preserve">PEVuZE5vdGU+PENpdGUgRXhjbHVkZUF1dGg9IjEiPjxBdXRob3I+Tm9iaWxlLU9yYXppbzwvQXV0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==
</w:fldData>
        </w:fldChar>
      </w:r>
      <w:r w:rsidR="00B727D6">
        <w:instrText xml:space="preserve"> ADDIN EN.CITE </w:instrText>
      </w:r>
      <w:r w:rsidR="00B727D6">
        <w:fldChar w:fldCharType="begin">
          <w:fldData xml:space="preserve">PEVuZE5vdGU+PENpdGUgRXhjbHVkZUF1dGg9IjEiPjxBdXRob3I+Tm9iaWxlLU9yYXppbzwvQXV0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==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2012</w:t>
        </w:r>
      </w:hyperlink>
      <w:r w:rsidR="00B727D6">
        <w:rPr>
          <w:noProof/>
        </w:rPr>
        <w:t>)</w:t>
      </w:r>
      <w:r w:rsidR="00B727D6">
        <w:fldChar w:fldCharType="end"/>
      </w:r>
      <w:r w:rsidRPr="00EF530F">
        <w:t xml:space="preserve">. However, relapse rates as reported in the extension study to the above trial </w: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 </w:instrTex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Nobile-Orazio et al. 2015</w:t>
        </w:r>
      </w:hyperlink>
      <w:r w:rsidR="00B727D6">
        <w:rPr>
          <w:noProof/>
        </w:rPr>
        <w:t>)</w:t>
      </w:r>
      <w:r w:rsidR="00B727D6">
        <w:fldChar w:fldCharType="end"/>
      </w:r>
      <w:r w:rsidRPr="00EF530F">
        <w:t xml:space="preserve"> are applied in the model assuming relapse rates stay constant over the modelled time horizon. All patients in the trial stopped treatment after 24 weeks and were considered in remission. The extension study only studied for relapses in these patients for the median follow-up of 3.5 years. The time horizon is 10 years and the model allows for the patients to relapse, be retreated or have remission.</w:t>
      </w:r>
    </w:p>
    <w:p w14:paraId="5A7214BE" w14:textId="0D0B60BA" w:rsidR="00EF530F" w:rsidRPr="00EF530F" w:rsidRDefault="00EF530F" w:rsidP="00EF530F">
      <w:pPr>
        <w:numPr>
          <w:ilvl w:val="0"/>
          <w:numId w:val="36"/>
        </w:numPr>
        <w:jc w:val="both"/>
      </w:pPr>
      <w:r w:rsidRPr="00EF530F">
        <w:t xml:space="preserve">Step 3: Modelled base case analysis. The final step of the analysis models the benefit of Ig relative to corticosteroids based on the pooled response, remission, relapse and adverse event rates estimated in Section C.3.1, The dose and frequency of Ig modelled is that described in the version 3 of the Criteria. This is compared with the average dose estimated from the BloodSTAR data </w:t>
      </w:r>
      <w:r w:rsidR="00B727D6">
        <w:fldChar w:fldCharType="begin"/>
      </w:r>
      <w:r w:rsidR="00B727D6">
        <w:instrText xml:space="preserve"> ADDIN EN.CITE &lt;EndNote&gt;&lt;Cite&gt;&lt;Author&gt;Department of Health&lt;/Author&gt;&lt;Year&gt;2021&lt;/Year&gt;&lt;RecNum&gt;1953&lt;/RecNum&gt;&lt;DisplayText&gt;(Department of Health 2021c)&lt;/DisplayText&gt;&lt;record&gt;&lt;rec-number&gt;1953&lt;/rec-number&gt;&lt;foreign-keys&gt;&lt;key app="EN" db-id="xtr5xfx2xf0wd7e0s2qvst2ietxxf0tpzr9v" timestamp="1614643318"&gt;1953&lt;/key&gt;&lt;/foreign-keys&gt;&lt;ref-type name="Personal Communication"&gt;26&lt;/ref-type&gt;&lt;contributors&gt;&lt;authors&gt;&lt;author&gt;Department of Health,&lt;/author&gt;&lt;/authors&gt;&lt;/contributors&gt;&lt;titles&gt;&lt;title&gt;Utilisation Analysis of BloodSTAR Data Provided by National Blood Authority (NBA) and Collected under Criteria V3 for MSAC Application 1564.1 performed by the DUSC and PMR Section of TAAD&lt;/title&gt;&lt;/titles&gt;&lt;edition&gt;0De-identified,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2020&lt;/edition&gt;&lt;dates&gt;&lt;year&gt;2021&lt;/year&gt;&lt;pub-dates&gt;&lt;date&gt;1 March 2021&lt;/date&gt;&lt;/pub-dates&gt;&lt;/dates&gt;&lt;work-type&gt;Data analysis&lt;/work-type&gt;&lt;urls&gt;&lt;/urls&gt;&lt;/record&gt;&lt;/Cite&gt;&lt;/EndNote&gt;</w:instrText>
      </w:r>
      <w:r w:rsidR="00B727D6">
        <w:fldChar w:fldCharType="separate"/>
      </w:r>
      <w:r w:rsidR="00B727D6">
        <w:rPr>
          <w:noProof/>
        </w:rPr>
        <w:t>(</w:t>
      </w:r>
      <w:hyperlink w:anchor="_ENREF_14" w:tooltip="Department of Health, 2021 #1953" w:history="1">
        <w:r w:rsidR="00D726F6">
          <w:rPr>
            <w:noProof/>
          </w:rPr>
          <w:t>Department of Health 2021c</w:t>
        </w:r>
      </w:hyperlink>
      <w:r w:rsidR="00B727D6">
        <w:rPr>
          <w:noProof/>
        </w:rPr>
        <w:t>)</w:t>
      </w:r>
      <w:r w:rsidR="00B727D6">
        <w:fldChar w:fldCharType="end"/>
      </w:r>
      <w:r w:rsidRPr="00EF530F">
        <w:t>.</w:t>
      </w:r>
    </w:p>
    <w:p w14:paraId="6592974F" w14:textId="4A2091FC" w:rsidR="00EF530F" w:rsidRPr="00EF530F" w:rsidRDefault="00EF530F" w:rsidP="00D62906">
      <w:pPr>
        <w:pStyle w:val="BodyTextSTD"/>
      </w:pPr>
      <w:r w:rsidRPr="00EF530F">
        <w:fldChar w:fldCharType="begin"/>
      </w:r>
      <w:r w:rsidRPr="00EF530F">
        <w:instrText xml:space="preserve"> REF _Ref13227870 \h  \* MERGEFORMAT </w:instrText>
      </w:r>
      <w:r w:rsidRPr="00EF530F">
        <w:fldChar w:fldCharType="separate"/>
      </w:r>
      <w:r w:rsidR="004B3EA2" w:rsidRPr="00EF530F">
        <w:t xml:space="preserve">Table </w:t>
      </w:r>
      <w:r w:rsidR="004B3EA2">
        <w:rPr>
          <w:noProof/>
        </w:rPr>
        <w:t>45</w:t>
      </w:r>
      <w:r w:rsidRPr="00EF530F">
        <w:fldChar w:fldCharType="end"/>
      </w:r>
      <w:r w:rsidRPr="00EF530F">
        <w:t xml:space="preserve"> presents the results of the stepped analysis.</w:t>
      </w:r>
    </w:p>
    <w:p w14:paraId="43C3AD2E" w14:textId="5A9746A6" w:rsidR="00EF530F" w:rsidRPr="00EF530F" w:rsidRDefault="00EF530F" w:rsidP="001F2C96">
      <w:pPr>
        <w:pStyle w:val="Caption"/>
      </w:pPr>
      <w:bookmarkStart w:id="343" w:name="_Ref13227870"/>
      <w:bookmarkStart w:id="344" w:name="_Toc14429596"/>
      <w:bookmarkStart w:id="345" w:name="_Toc14348890"/>
      <w:bookmarkStart w:id="346" w:name="_Toc69305686"/>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45</w:t>
      </w:r>
      <w:r w:rsidRPr="00EF530F">
        <w:fldChar w:fldCharType="end"/>
      </w:r>
      <w:bookmarkEnd w:id="343"/>
      <w:r w:rsidRPr="00EF530F">
        <w:tab/>
        <w:t>Results of the stepped economic analysis</w:t>
      </w:r>
      <w:bookmarkEnd w:id="344"/>
      <w:bookmarkEnd w:id="345"/>
      <w:r>
        <w:t>: IVIg vs corticosteroids</w:t>
      </w:r>
      <w:bookmarkEnd w:id="346"/>
    </w:p>
    <w:tbl>
      <w:tblPr>
        <w:tblStyle w:val="TableGrid11"/>
        <w:tblW w:w="5000" w:type="pct"/>
        <w:tblInd w:w="0" w:type="dxa"/>
        <w:tblLayout w:type="fixed"/>
        <w:tblLook w:val="04A0" w:firstRow="1" w:lastRow="0" w:firstColumn="1" w:lastColumn="0" w:noHBand="0" w:noVBand="1"/>
        <w:tblCaption w:val="Results of the stepped economic analysis: IVIg vs corticosteroids"/>
        <w:tblDescription w:val="Results of the stepped economic analysis: IVIg vs corticosteroids"/>
      </w:tblPr>
      <w:tblGrid>
        <w:gridCol w:w="4957"/>
        <w:gridCol w:w="1275"/>
        <w:gridCol w:w="1417"/>
        <w:gridCol w:w="1367"/>
      </w:tblGrid>
      <w:tr w:rsidR="00EF530F" w:rsidRPr="00EF530F" w14:paraId="1104D4C2" w14:textId="77777777" w:rsidTr="00EF530F">
        <w:trPr>
          <w:cnfStyle w:val="100000000000" w:firstRow="1" w:lastRow="0" w:firstColumn="0" w:lastColumn="0" w:oddVBand="0" w:evenVBand="0" w:oddHBand="0" w:evenHBand="0" w:firstRowFirstColumn="0" w:firstRowLastColumn="0" w:lastRowFirstColumn="0" w:lastRowLastColumn="0"/>
          <w:cantSplit/>
          <w:trHeight w:val="116"/>
          <w:tblHeader/>
        </w:trPr>
        <w:tc>
          <w:tcPr>
            <w:tcW w:w="2749" w:type="pct"/>
            <w:tcBorders>
              <w:top w:val="single" w:sz="4" w:space="0" w:color="auto"/>
              <w:left w:val="single" w:sz="4" w:space="0" w:color="auto"/>
              <w:bottom w:val="single" w:sz="4" w:space="0" w:color="auto"/>
              <w:right w:val="single" w:sz="4" w:space="0" w:color="auto"/>
            </w:tcBorders>
            <w:noWrap/>
            <w:hideMark/>
          </w:tcPr>
          <w:p w14:paraId="44D7A4BD" w14:textId="77777777" w:rsidR="00EF530F" w:rsidRPr="00EF530F" w:rsidRDefault="00EF530F" w:rsidP="00D62906">
            <w:pPr>
              <w:pStyle w:val="TableHeading"/>
            </w:pPr>
          </w:p>
        </w:tc>
        <w:tc>
          <w:tcPr>
            <w:tcW w:w="707" w:type="pct"/>
            <w:tcBorders>
              <w:top w:val="single" w:sz="4" w:space="0" w:color="auto"/>
              <w:left w:val="single" w:sz="4" w:space="0" w:color="auto"/>
              <w:bottom w:val="single" w:sz="4" w:space="0" w:color="auto"/>
              <w:right w:val="single" w:sz="4" w:space="0" w:color="auto"/>
            </w:tcBorders>
            <w:noWrap/>
            <w:hideMark/>
          </w:tcPr>
          <w:p w14:paraId="1FD7B723" w14:textId="77777777" w:rsidR="00EF530F" w:rsidRPr="00EF530F" w:rsidRDefault="00EF530F" w:rsidP="00D62906">
            <w:pPr>
              <w:pStyle w:val="TableHeading"/>
            </w:pPr>
            <w:r w:rsidRPr="00EF530F">
              <w:t>Inc. cost</w:t>
            </w:r>
          </w:p>
        </w:tc>
        <w:tc>
          <w:tcPr>
            <w:tcW w:w="786" w:type="pct"/>
            <w:tcBorders>
              <w:top w:val="single" w:sz="4" w:space="0" w:color="auto"/>
              <w:left w:val="single" w:sz="4" w:space="0" w:color="auto"/>
              <w:bottom w:val="single" w:sz="4" w:space="0" w:color="auto"/>
              <w:right w:val="single" w:sz="4" w:space="0" w:color="auto"/>
            </w:tcBorders>
            <w:noWrap/>
            <w:hideMark/>
          </w:tcPr>
          <w:p w14:paraId="31997057" w14:textId="77777777" w:rsidR="00EF530F" w:rsidRPr="00EF530F" w:rsidRDefault="00EF530F" w:rsidP="00D62906">
            <w:pPr>
              <w:pStyle w:val="TableHeading"/>
            </w:pPr>
            <w:r w:rsidRPr="00EF530F">
              <w:t>Inc. QALYs</w:t>
            </w:r>
          </w:p>
        </w:tc>
        <w:tc>
          <w:tcPr>
            <w:tcW w:w="758" w:type="pct"/>
            <w:tcBorders>
              <w:top w:val="single" w:sz="4" w:space="0" w:color="auto"/>
              <w:left w:val="single" w:sz="4" w:space="0" w:color="auto"/>
              <w:bottom w:val="single" w:sz="4" w:space="0" w:color="auto"/>
              <w:right w:val="single" w:sz="4" w:space="0" w:color="auto"/>
            </w:tcBorders>
            <w:noWrap/>
            <w:hideMark/>
          </w:tcPr>
          <w:p w14:paraId="66777D0A" w14:textId="77777777" w:rsidR="00EF530F" w:rsidRPr="00EF530F" w:rsidRDefault="00EF530F" w:rsidP="00D62906">
            <w:pPr>
              <w:pStyle w:val="TableHeading"/>
            </w:pPr>
            <w:r w:rsidRPr="00EF530F">
              <w:t>ICER</w:t>
            </w:r>
          </w:p>
        </w:tc>
      </w:tr>
      <w:tr w:rsidR="00D62906" w:rsidRPr="00EF530F" w14:paraId="6005C505" w14:textId="77777777" w:rsidTr="00EF530F">
        <w:trPr>
          <w:cantSplit/>
          <w:trHeight w:val="300"/>
        </w:trPr>
        <w:tc>
          <w:tcPr>
            <w:tcW w:w="2749" w:type="pct"/>
            <w:tcBorders>
              <w:top w:val="single" w:sz="4" w:space="0" w:color="auto"/>
              <w:left w:val="single" w:sz="4" w:space="0" w:color="auto"/>
              <w:bottom w:val="single" w:sz="4" w:space="0" w:color="auto"/>
              <w:right w:val="single" w:sz="4" w:space="0" w:color="auto"/>
            </w:tcBorders>
            <w:noWrap/>
            <w:hideMark/>
          </w:tcPr>
          <w:p w14:paraId="0162CE14" w14:textId="77777777" w:rsidR="00D62906" w:rsidRPr="00EF530F" w:rsidRDefault="00D62906" w:rsidP="00D62906">
            <w:pPr>
              <w:pStyle w:val="Tabletext1"/>
            </w:pPr>
            <w:r w:rsidRPr="00EF530F">
              <w:t>Step 1 – Trial-based analysis.</w:t>
            </w:r>
          </w:p>
          <w:p w14:paraId="46888033" w14:textId="5E8D46F0" w:rsidR="00D62906" w:rsidRPr="00EF530F" w:rsidRDefault="00D62906" w:rsidP="00D726F6">
            <w:pPr>
              <w:pStyle w:val="Tabletext1"/>
            </w:pPr>
            <w:r w:rsidRPr="00EF530F">
              <w:t xml:space="preserve">Applies the dose (2. g/kg), dose frequency (q4w), non-responder rates, adverse event rates, time horizon (48 weeks) and treatment duration (24 weeks) as per the Nobile-Orazio et al </w:t>
            </w:r>
            <w:r w:rsidR="00B727D6">
              <w:fldChar w:fldCharType="begin">
                <w:fldData xml:space="preserve">PEVuZE5vdGU+PENpdGUgRXhjbHVkZUF1dGg9IjEiPjxBdXRob3I+Tm9iaWxlLU9yYXppbzwvQXV0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==
</w:fldData>
              </w:fldChar>
            </w:r>
            <w:r w:rsidR="00B727D6">
              <w:instrText xml:space="preserve"> ADDIN EN.CITE </w:instrText>
            </w:r>
            <w:r w:rsidR="00B727D6">
              <w:fldChar w:fldCharType="begin">
                <w:fldData xml:space="preserve">PEVuZE5vdGU+PENpdGUgRXhjbHVkZUF1dGg9IjEiPjxBdXRob3I+Tm9iaWxlLU9yYXppbzwvQXV0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==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2012</w:t>
              </w:r>
            </w:hyperlink>
            <w:r w:rsidR="00B727D6">
              <w:rPr>
                <w:noProof/>
              </w:rPr>
              <w:t>)</w:t>
            </w:r>
            <w:r w:rsidR="00B727D6">
              <w:fldChar w:fldCharType="end"/>
            </w:r>
            <w:r w:rsidRPr="00EF530F">
              <w:t xml:space="preserve"> study.</w:t>
            </w:r>
          </w:p>
        </w:tc>
        <w:tc>
          <w:tcPr>
            <w:tcW w:w="707" w:type="pct"/>
            <w:tcBorders>
              <w:top w:val="single" w:sz="4" w:space="0" w:color="auto"/>
              <w:left w:val="single" w:sz="4" w:space="0" w:color="auto"/>
              <w:bottom w:val="single" w:sz="4" w:space="0" w:color="auto"/>
              <w:right w:val="single" w:sz="4" w:space="0" w:color="auto"/>
            </w:tcBorders>
            <w:noWrap/>
            <w:hideMark/>
          </w:tcPr>
          <w:p w14:paraId="7DAB0170" w14:textId="77777777" w:rsidR="00D62906" w:rsidRPr="00EF530F" w:rsidRDefault="00D62906" w:rsidP="00D62906">
            <w:pPr>
              <w:pStyle w:val="Tabletext1"/>
              <w:jc w:val="right"/>
            </w:pPr>
            <w:r w:rsidRPr="007234BE">
              <w:t>$63,315</w:t>
            </w:r>
          </w:p>
        </w:tc>
        <w:tc>
          <w:tcPr>
            <w:tcW w:w="786" w:type="pct"/>
            <w:tcBorders>
              <w:top w:val="single" w:sz="4" w:space="0" w:color="auto"/>
              <w:left w:val="single" w:sz="4" w:space="0" w:color="auto"/>
              <w:bottom w:val="single" w:sz="4" w:space="0" w:color="auto"/>
              <w:right w:val="single" w:sz="4" w:space="0" w:color="auto"/>
            </w:tcBorders>
            <w:noWrap/>
            <w:hideMark/>
          </w:tcPr>
          <w:p w14:paraId="246313FC" w14:textId="77777777" w:rsidR="00D62906" w:rsidRPr="00EF530F" w:rsidRDefault="00D62906" w:rsidP="00D62906">
            <w:pPr>
              <w:pStyle w:val="Tabletext1"/>
              <w:jc w:val="right"/>
            </w:pPr>
            <w:r w:rsidRPr="007234BE">
              <w:t>0.1320</w:t>
            </w:r>
          </w:p>
        </w:tc>
        <w:tc>
          <w:tcPr>
            <w:tcW w:w="758" w:type="pct"/>
            <w:tcBorders>
              <w:top w:val="single" w:sz="4" w:space="0" w:color="auto"/>
              <w:left w:val="single" w:sz="4" w:space="0" w:color="auto"/>
              <w:bottom w:val="single" w:sz="4" w:space="0" w:color="auto"/>
              <w:right w:val="single" w:sz="4" w:space="0" w:color="auto"/>
            </w:tcBorders>
            <w:noWrap/>
            <w:hideMark/>
          </w:tcPr>
          <w:p w14:paraId="08026C6A" w14:textId="77777777" w:rsidR="00D62906" w:rsidRPr="00EF530F" w:rsidRDefault="00D62906" w:rsidP="00D62906">
            <w:pPr>
              <w:pStyle w:val="Tabletext1"/>
              <w:jc w:val="right"/>
            </w:pPr>
            <w:r w:rsidRPr="007234BE">
              <w:t>$479,635</w:t>
            </w:r>
          </w:p>
        </w:tc>
      </w:tr>
      <w:tr w:rsidR="00D62906" w:rsidRPr="00EF530F" w14:paraId="01E76F23" w14:textId="77777777" w:rsidTr="00EF530F">
        <w:trPr>
          <w:cantSplit/>
          <w:trHeight w:val="300"/>
        </w:trPr>
        <w:tc>
          <w:tcPr>
            <w:tcW w:w="2749" w:type="pct"/>
            <w:tcBorders>
              <w:top w:val="single" w:sz="4" w:space="0" w:color="auto"/>
              <w:left w:val="single" w:sz="4" w:space="0" w:color="auto"/>
              <w:bottom w:val="single" w:sz="4" w:space="0" w:color="auto"/>
              <w:right w:val="single" w:sz="4" w:space="0" w:color="auto"/>
            </w:tcBorders>
            <w:noWrap/>
            <w:hideMark/>
          </w:tcPr>
          <w:p w14:paraId="58643897" w14:textId="77777777" w:rsidR="00D62906" w:rsidRPr="00EF530F" w:rsidRDefault="00D62906" w:rsidP="00D62906">
            <w:pPr>
              <w:pStyle w:val="Tabletext1"/>
            </w:pPr>
            <w:r w:rsidRPr="00EF530F">
              <w:t>Step 2 – Trial-based</w:t>
            </w:r>
            <w:r>
              <w:t xml:space="preserve"> dosing</w:t>
            </w:r>
            <w:r w:rsidRPr="00EF530F">
              <w:t xml:space="preserve">, extrapolated </w:t>
            </w:r>
            <w:r>
              <w:t xml:space="preserve">outcomes </w:t>
            </w:r>
            <w:r w:rsidRPr="00EF530F">
              <w:t>analysis</w:t>
            </w:r>
          </w:p>
          <w:p w14:paraId="17DBE8A7" w14:textId="6CE74F95" w:rsidR="00D62906" w:rsidRPr="00EF530F" w:rsidRDefault="00D62906" w:rsidP="00D726F6">
            <w:pPr>
              <w:pStyle w:val="Tabletext1"/>
            </w:pPr>
            <w:r w:rsidRPr="00EF530F">
              <w:t xml:space="preserve">Applies the dose, dose frequency, response rate, adverse event rates from step 1. Relapse rates, and re-remission rates are estimated from the Nobile-Orazio </w: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 </w:instrText>
            </w:r>
            <w:r w:rsidR="00B727D6">
              <w:fldChar w:fldCharType="begin">
                <w:fldData xml:space="preserve">PEVuZE5vdGU+PENpdGUgRXhjbHVkZUF1dGg9IjEiPjxBdXRob3I+Tm9iaWxlLU9yYXppbzwvQXV0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2015</w:t>
              </w:r>
            </w:hyperlink>
            <w:r w:rsidR="00B727D6">
              <w:rPr>
                <w:noProof/>
              </w:rPr>
              <w:t>)</w:t>
            </w:r>
            <w:r w:rsidR="00B727D6">
              <w:fldChar w:fldCharType="end"/>
            </w:r>
            <w:r w:rsidRPr="00EF530F">
              <w:t xml:space="preserve"> study, with the model time horizon extrapolated to 10 years.</w:t>
            </w:r>
          </w:p>
        </w:tc>
        <w:tc>
          <w:tcPr>
            <w:tcW w:w="707" w:type="pct"/>
            <w:tcBorders>
              <w:top w:val="single" w:sz="4" w:space="0" w:color="auto"/>
              <w:left w:val="single" w:sz="4" w:space="0" w:color="auto"/>
              <w:bottom w:val="single" w:sz="4" w:space="0" w:color="auto"/>
              <w:right w:val="single" w:sz="4" w:space="0" w:color="auto"/>
            </w:tcBorders>
            <w:noWrap/>
            <w:hideMark/>
          </w:tcPr>
          <w:p w14:paraId="6A790271" w14:textId="13C5B665" w:rsidR="00D62906" w:rsidRPr="00EF530F" w:rsidRDefault="00D62906" w:rsidP="00D62906">
            <w:pPr>
              <w:pStyle w:val="Tabletext1"/>
              <w:jc w:val="right"/>
            </w:pPr>
            <w:r w:rsidRPr="007234BE">
              <w:t>$702,57</w:t>
            </w:r>
            <w:r w:rsidR="000C13E8">
              <w:t>6</w:t>
            </w:r>
          </w:p>
        </w:tc>
        <w:tc>
          <w:tcPr>
            <w:tcW w:w="786" w:type="pct"/>
            <w:tcBorders>
              <w:top w:val="single" w:sz="4" w:space="0" w:color="auto"/>
              <w:left w:val="single" w:sz="4" w:space="0" w:color="auto"/>
              <w:bottom w:val="single" w:sz="4" w:space="0" w:color="auto"/>
              <w:right w:val="single" w:sz="4" w:space="0" w:color="auto"/>
            </w:tcBorders>
            <w:noWrap/>
            <w:hideMark/>
          </w:tcPr>
          <w:p w14:paraId="3F5F9699" w14:textId="77777777" w:rsidR="00D62906" w:rsidRPr="00EF530F" w:rsidRDefault="00D62906" w:rsidP="00D62906">
            <w:pPr>
              <w:pStyle w:val="Tabletext1"/>
              <w:jc w:val="right"/>
            </w:pPr>
            <w:r w:rsidRPr="007234BE">
              <w:t>0.9982</w:t>
            </w:r>
          </w:p>
        </w:tc>
        <w:tc>
          <w:tcPr>
            <w:tcW w:w="758" w:type="pct"/>
            <w:tcBorders>
              <w:top w:val="single" w:sz="4" w:space="0" w:color="auto"/>
              <w:left w:val="single" w:sz="4" w:space="0" w:color="auto"/>
              <w:bottom w:val="single" w:sz="4" w:space="0" w:color="auto"/>
              <w:right w:val="single" w:sz="4" w:space="0" w:color="auto"/>
            </w:tcBorders>
            <w:noWrap/>
            <w:hideMark/>
          </w:tcPr>
          <w:p w14:paraId="5121347D" w14:textId="22F2EA47" w:rsidR="00D62906" w:rsidRPr="00EF530F" w:rsidRDefault="00D62906" w:rsidP="000C13E8">
            <w:pPr>
              <w:pStyle w:val="Tabletext1"/>
              <w:jc w:val="right"/>
            </w:pPr>
            <w:r w:rsidRPr="007234BE">
              <w:t>$703,</w:t>
            </w:r>
            <w:r w:rsidR="000C13E8" w:rsidRPr="007234BE">
              <w:t>8</w:t>
            </w:r>
            <w:r w:rsidR="000C13E8">
              <w:t>39</w:t>
            </w:r>
          </w:p>
        </w:tc>
      </w:tr>
      <w:tr w:rsidR="00D62906" w:rsidRPr="00EF530F" w14:paraId="78C4B8E4" w14:textId="77777777" w:rsidTr="00EF530F">
        <w:trPr>
          <w:cantSplit/>
          <w:trHeight w:val="300"/>
        </w:trPr>
        <w:tc>
          <w:tcPr>
            <w:tcW w:w="2749" w:type="pct"/>
            <w:tcBorders>
              <w:top w:val="single" w:sz="4" w:space="0" w:color="auto"/>
              <w:left w:val="single" w:sz="4" w:space="0" w:color="auto"/>
              <w:bottom w:val="single" w:sz="4" w:space="0" w:color="auto"/>
              <w:right w:val="single" w:sz="4" w:space="0" w:color="auto"/>
            </w:tcBorders>
            <w:noWrap/>
            <w:hideMark/>
          </w:tcPr>
          <w:p w14:paraId="269F4F62" w14:textId="77777777" w:rsidR="00D62906" w:rsidRPr="00EF530F" w:rsidRDefault="00D62906" w:rsidP="00D62906">
            <w:pPr>
              <w:pStyle w:val="Tabletext1"/>
            </w:pPr>
            <w:r w:rsidRPr="00EF530F">
              <w:t>Step 3 – Modelled economic evaluation</w:t>
            </w:r>
          </w:p>
          <w:p w14:paraId="48B528E3" w14:textId="22274C99" w:rsidR="00D62906" w:rsidRPr="00EF530F" w:rsidRDefault="00D62906" w:rsidP="00AA07C7">
            <w:pPr>
              <w:pStyle w:val="Tabletext1"/>
            </w:pPr>
            <w:r w:rsidRPr="00EF530F">
              <w:t>Applies the dose and frequency based on the Criteria version 3 (2g/kg loading dose and 0.7g/kg maintenance dose for Ig), the best estimates of transitions for remission, relapse and adverse events as described in section C.3.</w:t>
            </w:r>
            <w:r w:rsidR="00A00511">
              <w:t>2 and</w:t>
            </w:r>
            <w:r w:rsidR="00AA07C7">
              <w:t xml:space="preserve"> </w:t>
            </w:r>
            <w:r w:rsidR="00AA07C7">
              <w:fldChar w:fldCharType="begin"/>
            </w:r>
            <w:r w:rsidR="00AA07C7">
              <w:instrText xml:space="preserve"> REF _Ref68178130 \h </w:instrText>
            </w:r>
            <w:r w:rsidR="00AA07C7">
              <w:fldChar w:fldCharType="separate"/>
            </w:r>
            <w:r w:rsidR="004B3EA2" w:rsidRPr="00DA3C6E">
              <w:t xml:space="preserve">Table </w:t>
            </w:r>
            <w:r w:rsidR="004B3EA2">
              <w:rPr>
                <w:noProof/>
              </w:rPr>
              <w:t>39</w:t>
            </w:r>
            <w:r w:rsidR="00AA07C7">
              <w:fldChar w:fldCharType="end"/>
            </w:r>
            <w:r w:rsidRPr="00EF530F">
              <w:t>, with the model time horizon of 10 years.</w:t>
            </w:r>
          </w:p>
        </w:tc>
        <w:tc>
          <w:tcPr>
            <w:tcW w:w="707" w:type="pct"/>
            <w:tcBorders>
              <w:top w:val="single" w:sz="4" w:space="0" w:color="auto"/>
              <w:left w:val="single" w:sz="4" w:space="0" w:color="auto"/>
              <w:bottom w:val="single" w:sz="4" w:space="0" w:color="auto"/>
              <w:right w:val="single" w:sz="4" w:space="0" w:color="auto"/>
            </w:tcBorders>
            <w:noWrap/>
            <w:hideMark/>
          </w:tcPr>
          <w:p w14:paraId="68EE657A" w14:textId="4BA06811" w:rsidR="00D62906" w:rsidRPr="00EF530F" w:rsidRDefault="00D62906" w:rsidP="00D62906">
            <w:pPr>
              <w:pStyle w:val="Tabletext1"/>
              <w:jc w:val="right"/>
            </w:pPr>
            <w:r w:rsidRPr="007234BE">
              <w:t>$137,44</w:t>
            </w:r>
            <w:r w:rsidR="00F6541C">
              <w:t>3</w:t>
            </w:r>
          </w:p>
        </w:tc>
        <w:tc>
          <w:tcPr>
            <w:tcW w:w="786" w:type="pct"/>
            <w:tcBorders>
              <w:top w:val="single" w:sz="4" w:space="0" w:color="auto"/>
              <w:left w:val="single" w:sz="4" w:space="0" w:color="auto"/>
              <w:bottom w:val="single" w:sz="4" w:space="0" w:color="auto"/>
              <w:right w:val="single" w:sz="4" w:space="0" w:color="auto"/>
            </w:tcBorders>
            <w:noWrap/>
            <w:hideMark/>
          </w:tcPr>
          <w:p w14:paraId="1CB7F16F" w14:textId="63C53DAC" w:rsidR="00D62906" w:rsidRPr="00EF530F" w:rsidRDefault="00D62906">
            <w:pPr>
              <w:pStyle w:val="Tabletext1"/>
              <w:jc w:val="right"/>
            </w:pPr>
            <w:r w:rsidRPr="007234BE">
              <w:t>1.18</w:t>
            </w:r>
            <w:r w:rsidR="00F6541C">
              <w:t>40</w:t>
            </w:r>
          </w:p>
        </w:tc>
        <w:tc>
          <w:tcPr>
            <w:tcW w:w="758" w:type="pct"/>
            <w:tcBorders>
              <w:top w:val="single" w:sz="4" w:space="0" w:color="auto"/>
              <w:left w:val="single" w:sz="4" w:space="0" w:color="auto"/>
              <w:bottom w:val="single" w:sz="4" w:space="0" w:color="auto"/>
              <w:right w:val="single" w:sz="4" w:space="0" w:color="auto"/>
            </w:tcBorders>
            <w:noWrap/>
            <w:hideMark/>
          </w:tcPr>
          <w:p w14:paraId="57B5E951" w14:textId="2F17152A" w:rsidR="00D62906" w:rsidRPr="00EF530F" w:rsidRDefault="00D62906">
            <w:pPr>
              <w:pStyle w:val="Tabletext1"/>
              <w:jc w:val="right"/>
            </w:pPr>
            <w:r w:rsidRPr="007234BE">
              <w:t>$</w:t>
            </w:r>
            <w:r w:rsidR="00F6541C">
              <w:t>116,088</w:t>
            </w:r>
          </w:p>
        </w:tc>
      </w:tr>
    </w:tbl>
    <w:p w14:paraId="2DF5F552" w14:textId="77777777" w:rsidR="00EF530F" w:rsidRDefault="00EF530F" w:rsidP="00EF530F">
      <w:pPr>
        <w:spacing w:after="200" w:line="240" w:lineRule="auto"/>
        <w:ind w:left="57" w:right="57"/>
        <w:contextualSpacing/>
        <w:rPr>
          <w:rFonts w:ascii="Arial Narrow" w:eastAsia="Calibri" w:hAnsi="Arial Narrow" w:cs="Times New Roman"/>
          <w:sz w:val="18"/>
          <w:szCs w:val="18"/>
          <w:lang w:eastAsia="en-US"/>
        </w:rPr>
      </w:pPr>
      <w:r w:rsidRPr="00EF530F">
        <w:rPr>
          <w:rFonts w:ascii="Arial Narrow" w:eastAsia="Calibri" w:hAnsi="Arial Narrow" w:cs="Times New Roman"/>
          <w:sz w:val="18"/>
          <w:szCs w:val="18"/>
          <w:lang w:eastAsia="en-US"/>
        </w:rPr>
        <w:t>ICER = incremental cost-effectiveness ratio; Ig = immunoglobulin; Inc = Incremental; QALY = quality-adjusted life years.</w:t>
      </w:r>
    </w:p>
    <w:p w14:paraId="4FD1133E" w14:textId="58B24C1E" w:rsidR="00EF530F" w:rsidRPr="00EF530F" w:rsidRDefault="00EF530F" w:rsidP="00D62906">
      <w:pPr>
        <w:pStyle w:val="BodyTextSTD"/>
      </w:pPr>
      <w:r w:rsidRPr="00EF530F">
        <w:t>In Step 1 of the analysis the ICER of Ig is $479,</w:t>
      </w:r>
      <w:r w:rsidR="00D62906">
        <w:t>635</w:t>
      </w:r>
      <w:r w:rsidRPr="00EF530F">
        <w:t xml:space="preserve"> due to the higher doses of Ig used compared with the Criteria and no treatment stopping rules applied. In Step 2, the time horizon is extrapolated to 10 years. All responders are off treatment (in remission) after the 24 weeks treatment period as per the Nobile-Orazio et al </w:t>
      </w:r>
      <w:r w:rsidR="00B727D6">
        <w:fldChar w:fldCharType="begin">
          <w:fldData xml:space="preserve">PEVuZE5vdGU+PENpdGUgRXhjbHVkZUF1dGg9IjEiPjxBdXRob3I+Tm9iaWxlLU9yYXppbzwvQXV0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==
</w:fldData>
        </w:fldChar>
      </w:r>
      <w:r w:rsidR="00B727D6">
        <w:instrText xml:space="preserve"> ADDIN EN.CITE </w:instrText>
      </w:r>
      <w:r w:rsidR="00B727D6">
        <w:fldChar w:fldCharType="begin">
          <w:fldData xml:space="preserve">PEVuZE5vdGU+PENpdGUgRXhjbHVkZUF1dGg9IjEiPjxBdXRob3I+Tm9iaWxlLU9yYXppbzwvQXV0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==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54" w:tooltip="Nobile-Orazio, 2012 #10" w:history="1">
        <w:r w:rsidR="00D726F6">
          <w:rPr>
            <w:noProof/>
          </w:rPr>
          <w:t>2012</w:t>
        </w:r>
      </w:hyperlink>
      <w:r w:rsidR="00B727D6">
        <w:rPr>
          <w:noProof/>
        </w:rPr>
        <w:t>)</w:t>
      </w:r>
      <w:r w:rsidR="00B727D6">
        <w:fldChar w:fldCharType="end"/>
      </w:r>
      <w:r w:rsidRPr="00EF530F">
        <w:t xml:space="preserve"> study. However, model allows for the retreatment, relapse and re-remission in this step. Severe adverse events as well as the chronic adverse event rates (specific to corticosteroid treatment) are applied in this analysis. The ICERs substantially increase due to the increased use of Ig based on trial doses. Further improvements in the ICER are observed when the treatment doses used are based on clinical practice (the Criteria for Ig) and the best estimates of baseline adverse event rates and treatment effect are included in the modelling.</w:t>
      </w:r>
    </w:p>
    <w:p w14:paraId="22DC242A" w14:textId="77777777" w:rsidR="00EF530F" w:rsidRPr="00EF530F" w:rsidRDefault="00EF530F" w:rsidP="00D62906">
      <w:pPr>
        <w:pStyle w:val="Heading4"/>
      </w:pPr>
      <w:bookmarkStart w:id="347" w:name="_Toc14431170"/>
      <w:r w:rsidRPr="00EF530F">
        <w:t>D.5</w:t>
      </w:r>
      <w:r w:rsidR="006055B5">
        <w:t>A</w:t>
      </w:r>
      <w:r w:rsidRPr="00EF530F">
        <w:t>.2</w:t>
      </w:r>
      <w:r w:rsidR="006055B5">
        <w:t>.</w:t>
      </w:r>
      <w:r w:rsidRPr="00EF530F">
        <w:rPr>
          <w:sz w:val="24"/>
        </w:rPr>
        <w:tab/>
      </w:r>
      <w:r w:rsidRPr="00EF530F">
        <w:t>Modelled base case analysis</w:t>
      </w:r>
      <w:bookmarkEnd w:id="347"/>
    </w:p>
    <w:p w14:paraId="726435A6" w14:textId="77777777" w:rsidR="00EF530F" w:rsidRPr="00EF530F" w:rsidRDefault="00EF530F" w:rsidP="00D62906">
      <w:pPr>
        <w:pStyle w:val="Heading5"/>
      </w:pPr>
      <w:r w:rsidRPr="00EF530F">
        <w:t>Disaggregated costs and outcomes</w:t>
      </w:r>
    </w:p>
    <w:p w14:paraId="096B0BB5" w14:textId="623F2AFB" w:rsidR="00EF530F" w:rsidRPr="00EF530F" w:rsidRDefault="00EF530F" w:rsidP="001F2C96">
      <w:pPr>
        <w:pStyle w:val="BodyTextSTD"/>
      </w:pPr>
      <w:r w:rsidRPr="00EF530F">
        <w:t xml:space="preserve">The costs and outcomes disaggregated for the base case analysis are presented in </w:t>
      </w:r>
      <w:r w:rsidRPr="00EF530F">
        <w:fldChar w:fldCharType="begin"/>
      </w:r>
      <w:r w:rsidRPr="00EF530F">
        <w:instrText xml:space="preserve"> REF _Ref13228370 \h </w:instrText>
      </w:r>
      <w:r w:rsidR="001F2C96">
        <w:instrText xml:space="preserve"> \* MERGEFORMAT </w:instrText>
      </w:r>
      <w:r w:rsidRPr="00EF530F">
        <w:fldChar w:fldCharType="separate"/>
      </w:r>
      <w:r w:rsidR="004B3EA2" w:rsidRPr="00EF530F">
        <w:t xml:space="preserve">Table </w:t>
      </w:r>
      <w:r w:rsidR="004B3EA2">
        <w:rPr>
          <w:noProof/>
        </w:rPr>
        <w:t>46</w:t>
      </w:r>
      <w:r w:rsidRPr="00EF530F">
        <w:fldChar w:fldCharType="end"/>
      </w:r>
      <w:r w:rsidRPr="00EF530F">
        <w:t xml:space="preserve"> and </w:t>
      </w:r>
      <w:r w:rsidRPr="00EF530F">
        <w:fldChar w:fldCharType="begin"/>
      </w:r>
      <w:r w:rsidRPr="00EF530F">
        <w:instrText xml:space="preserve"> REF _Ref13228376 \h </w:instrText>
      </w:r>
      <w:r w:rsidR="001F2C96">
        <w:instrText xml:space="preserve"> \* MERGEFORMAT </w:instrText>
      </w:r>
      <w:r w:rsidRPr="00EF530F">
        <w:fldChar w:fldCharType="separate"/>
      </w:r>
      <w:r w:rsidR="004B3EA2" w:rsidRPr="00EF530F">
        <w:t xml:space="preserve">Table </w:t>
      </w:r>
      <w:r w:rsidR="004B3EA2">
        <w:rPr>
          <w:noProof/>
        </w:rPr>
        <w:t>47</w:t>
      </w:r>
      <w:r w:rsidRPr="00EF530F">
        <w:fldChar w:fldCharType="end"/>
      </w:r>
      <w:r w:rsidRPr="00EF530F">
        <w:t xml:space="preserve">. </w:t>
      </w:r>
    </w:p>
    <w:p w14:paraId="6AACCF88" w14:textId="06124A31" w:rsidR="00EF530F" w:rsidRPr="00EF530F" w:rsidRDefault="00EF530F" w:rsidP="001F2C96">
      <w:pPr>
        <w:pStyle w:val="Caption"/>
      </w:pPr>
      <w:bookmarkStart w:id="348" w:name="_Ref13228370"/>
      <w:bookmarkStart w:id="349" w:name="_Toc14429597"/>
      <w:bookmarkStart w:id="350" w:name="_Toc14348891"/>
      <w:bookmarkStart w:id="351" w:name="_Toc69305687"/>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46</w:t>
      </w:r>
      <w:r w:rsidRPr="00EF530F">
        <w:fldChar w:fldCharType="end"/>
      </w:r>
      <w:bookmarkEnd w:id="348"/>
      <w:r w:rsidRPr="00EF530F">
        <w:tab/>
        <w:t>Disaggregated costs</w:t>
      </w:r>
      <w:bookmarkEnd w:id="349"/>
      <w:bookmarkEnd w:id="350"/>
      <w:r w:rsidR="00A00511">
        <w:t>, Ig versus corticosteroids</w:t>
      </w:r>
      <w:bookmarkEnd w:id="351"/>
    </w:p>
    <w:tbl>
      <w:tblPr>
        <w:tblStyle w:val="TableGrid11"/>
        <w:tblW w:w="5000" w:type="pct"/>
        <w:tblInd w:w="0" w:type="dxa"/>
        <w:tblLook w:val="04A0" w:firstRow="1" w:lastRow="0" w:firstColumn="1" w:lastColumn="0" w:noHBand="0" w:noVBand="1"/>
        <w:tblCaption w:val="Disaggregated costs"/>
        <w:tblDescription w:val="Disaggregated costs"/>
      </w:tblPr>
      <w:tblGrid>
        <w:gridCol w:w="4074"/>
        <w:gridCol w:w="1648"/>
        <w:gridCol w:w="1648"/>
        <w:gridCol w:w="1646"/>
      </w:tblGrid>
      <w:tr w:rsidR="00EF530F" w:rsidRPr="00EF530F" w14:paraId="3DE8F94B" w14:textId="77777777" w:rsidTr="00EF530F">
        <w:trPr>
          <w:cnfStyle w:val="100000000000" w:firstRow="1" w:lastRow="0" w:firstColumn="0" w:lastColumn="0" w:oddVBand="0" w:evenVBand="0" w:oddHBand="0" w:evenHBand="0" w:firstRowFirstColumn="0" w:firstRowLastColumn="0" w:lastRowFirstColumn="0" w:lastRowLastColumn="0"/>
          <w:cantSplit/>
          <w:trHeight w:val="300"/>
          <w:tblHeader/>
        </w:trPr>
        <w:tc>
          <w:tcPr>
            <w:tcW w:w="2259" w:type="pct"/>
            <w:tcBorders>
              <w:top w:val="single" w:sz="4" w:space="0" w:color="auto"/>
              <w:left w:val="single" w:sz="4" w:space="0" w:color="auto"/>
              <w:bottom w:val="single" w:sz="4" w:space="0" w:color="auto"/>
              <w:right w:val="single" w:sz="4" w:space="0" w:color="auto"/>
            </w:tcBorders>
            <w:noWrap/>
            <w:hideMark/>
          </w:tcPr>
          <w:p w14:paraId="02A277C4" w14:textId="77777777" w:rsidR="00EF530F" w:rsidRPr="00EF530F" w:rsidRDefault="00EF530F" w:rsidP="001F2C96">
            <w:pPr>
              <w:pStyle w:val="TableHeading"/>
            </w:pPr>
          </w:p>
        </w:tc>
        <w:tc>
          <w:tcPr>
            <w:tcW w:w="914" w:type="pct"/>
            <w:tcBorders>
              <w:top w:val="single" w:sz="4" w:space="0" w:color="auto"/>
              <w:left w:val="single" w:sz="4" w:space="0" w:color="auto"/>
              <w:bottom w:val="single" w:sz="4" w:space="0" w:color="auto"/>
              <w:right w:val="single" w:sz="4" w:space="0" w:color="auto"/>
            </w:tcBorders>
            <w:noWrap/>
            <w:hideMark/>
          </w:tcPr>
          <w:p w14:paraId="2DD94823" w14:textId="77777777" w:rsidR="00EF530F" w:rsidRPr="00EF530F" w:rsidRDefault="00EF530F" w:rsidP="001F2C96">
            <w:pPr>
              <w:pStyle w:val="TableHeading"/>
            </w:pPr>
            <w:r w:rsidRPr="00EF530F">
              <w:t>Ig</w:t>
            </w:r>
          </w:p>
        </w:tc>
        <w:tc>
          <w:tcPr>
            <w:tcW w:w="914" w:type="pct"/>
            <w:tcBorders>
              <w:top w:val="single" w:sz="4" w:space="0" w:color="auto"/>
              <w:left w:val="single" w:sz="4" w:space="0" w:color="auto"/>
              <w:bottom w:val="single" w:sz="4" w:space="0" w:color="auto"/>
              <w:right w:val="single" w:sz="4" w:space="0" w:color="auto"/>
            </w:tcBorders>
            <w:noWrap/>
            <w:hideMark/>
          </w:tcPr>
          <w:p w14:paraId="03B12776" w14:textId="77777777" w:rsidR="00EF530F" w:rsidRPr="00EF530F" w:rsidRDefault="00EF530F" w:rsidP="001F2C96">
            <w:pPr>
              <w:pStyle w:val="TableHeading"/>
            </w:pPr>
            <w:r w:rsidRPr="00EF530F">
              <w:t>Corticosteroids</w:t>
            </w:r>
          </w:p>
        </w:tc>
        <w:tc>
          <w:tcPr>
            <w:tcW w:w="913" w:type="pct"/>
            <w:tcBorders>
              <w:top w:val="single" w:sz="4" w:space="0" w:color="auto"/>
              <w:left w:val="single" w:sz="4" w:space="0" w:color="auto"/>
              <w:bottom w:val="single" w:sz="4" w:space="0" w:color="auto"/>
              <w:right w:val="single" w:sz="4" w:space="0" w:color="auto"/>
            </w:tcBorders>
            <w:noWrap/>
            <w:hideMark/>
          </w:tcPr>
          <w:p w14:paraId="3E437B96" w14:textId="77777777" w:rsidR="00EF530F" w:rsidRPr="00EF530F" w:rsidRDefault="00EF530F" w:rsidP="001F2C96">
            <w:pPr>
              <w:pStyle w:val="TableHeading"/>
            </w:pPr>
            <w:r w:rsidRPr="00EF530F">
              <w:t>Increment</w:t>
            </w:r>
          </w:p>
        </w:tc>
      </w:tr>
      <w:tr w:rsidR="00411882" w:rsidRPr="00EF530F" w14:paraId="3FC5713C" w14:textId="77777777" w:rsidTr="00411882">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2DB076E2" w14:textId="77777777" w:rsidR="00411882" w:rsidRPr="00EF530F" w:rsidRDefault="00411882" w:rsidP="00411882">
            <w:pPr>
              <w:pStyle w:val="Tabletext1"/>
            </w:pPr>
            <w:r w:rsidRPr="00EF530F">
              <w:t>Drug costs</w:t>
            </w:r>
          </w:p>
        </w:tc>
        <w:tc>
          <w:tcPr>
            <w:tcW w:w="914" w:type="pct"/>
            <w:tcBorders>
              <w:top w:val="single" w:sz="4" w:space="0" w:color="auto"/>
              <w:left w:val="single" w:sz="4" w:space="0" w:color="auto"/>
              <w:bottom w:val="single" w:sz="4" w:space="0" w:color="auto"/>
              <w:right w:val="single" w:sz="4" w:space="0" w:color="auto"/>
            </w:tcBorders>
            <w:noWrap/>
          </w:tcPr>
          <w:p w14:paraId="65CD7E43" w14:textId="6B07742B" w:rsidR="00411882" w:rsidRPr="00EF530F" w:rsidRDefault="00411882" w:rsidP="00411882">
            <w:pPr>
              <w:pStyle w:val="Tabletext1"/>
              <w:jc w:val="right"/>
            </w:pPr>
            <w:r w:rsidRPr="00A7344D">
              <w:t>$131,280</w:t>
            </w:r>
          </w:p>
        </w:tc>
        <w:tc>
          <w:tcPr>
            <w:tcW w:w="914" w:type="pct"/>
            <w:tcBorders>
              <w:top w:val="single" w:sz="4" w:space="0" w:color="auto"/>
              <w:left w:val="single" w:sz="4" w:space="0" w:color="auto"/>
              <w:bottom w:val="single" w:sz="4" w:space="0" w:color="auto"/>
              <w:right w:val="single" w:sz="4" w:space="0" w:color="auto"/>
            </w:tcBorders>
            <w:noWrap/>
          </w:tcPr>
          <w:p w14:paraId="1771B918" w14:textId="18007981" w:rsidR="00411882" w:rsidRPr="00EF530F" w:rsidRDefault="00411882" w:rsidP="00411882">
            <w:pPr>
              <w:pStyle w:val="Tabletext1"/>
              <w:jc w:val="right"/>
            </w:pPr>
            <w:r w:rsidRPr="00A7344D">
              <w:t>$1,080</w:t>
            </w:r>
          </w:p>
        </w:tc>
        <w:tc>
          <w:tcPr>
            <w:tcW w:w="913" w:type="pct"/>
            <w:tcBorders>
              <w:top w:val="single" w:sz="4" w:space="0" w:color="auto"/>
              <w:left w:val="single" w:sz="4" w:space="0" w:color="auto"/>
              <w:bottom w:val="single" w:sz="4" w:space="0" w:color="auto"/>
              <w:right w:val="single" w:sz="4" w:space="0" w:color="auto"/>
            </w:tcBorders>
            <w:noWrap/>
          </w:tcPr>
          <w:p w14:paraId="00D67EA7" w14:textId="65420248" w:rsidR="00411882" w:rsidRPr="00EF530F" w:rsidRDefault="00411882" w:rsidP="00411882">
            <w:pPr>
              <w:pStyle w:val="Tabletext1"/>
              <w:jc w:val="right"/>
            </w:pPr>
            <w:r w:rsidRPr="00A7344D">
              <w:t>$130,200</w:t>
            </w:r>
          </w:p>
        </w:tc>
      </w:tr>
      <w:tr w:rsidR="00411882" w:rsidRPr="00EF530F" w14:paraId="2092AFE7" w14:textId="77777777" w:rsidTr="00411882">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1495D6DA" w14:textId="77777777" w:rsidR="00411882" w:rsidRPr="00EF530F" w:rsidRDefault="00411882" w:rsidP="00411882">
            <w:pPr>
              <w:pStyle w:val="Tabletext1"/>
            </w:pPr>
            <w:r w:rsidRPr="00EF530F">
              <w:t>Monitoring costs</w:t>
            </w:r>
          </w:p>
        </w:tc>
        <w:tc>
          <w:tcPr>
            <w:tcW w:w="914" w:type="pct"/>
            <w:tcBorders>
              <w:top w:val="single" w:sz="4" w:space="0" w:color="auto"/>
              <w:left w:val="single" w:sz="4" w:space="0" w:color="auto"/>
              <w:bottom w:val="single" w:sz="4" w:space="0" w:color="auto"/>
              <w:right w:val="single" w:sz="4" w:space="0" w:color="auto"/>
            </w:tcBorders>
            <w:noWrap/>
          </w:tcPr>
          <w:p w14:paraId="53603625" w14:textId="305E7BBE" w:rsidR="00411882" w:rsidRPr="00EF530F" w:rsidRDefault="00411882" w:rsidP="00411882">
            <w:pPr>
              <w:pStyle w:val="Tabletext1"/>
              <w:jc w:val="right"/>
            </w:pPr>
            <w:r w:rsidRPr="00A7344D">
              <w:t>$4,</w:t>
            </w:r>
            <w:r>
              <w:t>454</w:t>
            </w:r>
          </w:p>
        </w:tc>
        <w:tc>
          <w:tcPr>
            <w:tcW w:w="914" w:type="pct"/>
            <w:tcBorders>
              <w:top w:val="single" w:sz="4" w:space="0" w:color="auto"/>
              <w:left w:val="single" w:sz="4" w:space="0" w:color="auto"/>
              <w:bottom w:val="single" w:sz="4" w:space="0" w:color="auto"/>
              <w:right w:val="single" w:sz="4" w:space="0" w:color="auto"/>
            </w:tcBorders>
            <w:noWrap/>
          </w:tcPr>
          <w:p w14:paraId="2D0A1830" w14:textId="33BDFDF8" w:rsidR="00411882" w:rsidRPr="00EF530F" w:rsidRDefault="00411882" w:rsidP="00411882">
            <w:pPr>
              <w:pStyle w:val="Tabletext1"/>
              <w:jc w:val="right"/>
            </w:pPr>
            <w:r w:rsidRPr="00A7344D">
              <w:t>$7,</w:t>
            </w:r>
            <w:r>
              <w:t>912</w:t>
            </w:r>
          </w:p>
        </w:tc>
        <w:tc>
          <w:tcPr>
            <w:tcW w:w="913" w:type="pct"/>
            <w:tcBorders>
              <w:top w:val="single" w:sz="4" w:space="0" w:color="auto"/>
              <w:left w:val="single" w:sz="4" w:space="0" w:color="auto"/>
              <w:bottom w:val="single" w:sz="4" w:space="0" w:color="auto"/>
              <w:right w:val="single" w:sz="4" w:space="0" w:color="auto"/>
            </w:tcBorders>
            <w:noWrap/>
          </w:tcPr>
          <w:p w14:paraId="774EAEBE" w14:textId="1AC4D3AF" w:rsidR="00411882" w:rsidRPr="00EF530F" w:rsidRDefault="00411882" w:rsidP="00411882">
            <w:pPr>
              <w:pStyle w:val="Tabletext1"/>
              <w:jc w:val="right"/>
            </w:pPr>
            <w:r>
              <w:t>–</w:t>
            </w:r>
            <w:r w:rsidRPr="00A7344D">
              <w:t>$3,4</w:t>
            </w:r>
            <w:r>
              <w:t>57</w:t>
            </w:r>
          </w:p>
        </w:tc>
      </w:tr>
      <w:tr w:rsidR="00411882" w:rsidRPr="00EF530F" w14:paraId="1CDDFFBB" w14:textId="77777777" w:rsidTr="00411882">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3672F494" w14:textId="77777777" w:rsidR="00411882" w:rsidRPr="00EF530F" w:rsidRDefault="00411882" w:rsidP="00411882">
            <w:pPr>
              <w:pStyle w:val="Tabletext1"/>
            </w:pPr>
            <w:r w:rsidRPr="00EF530F">
              <w:t>Administration costs</w:t>
            </w:r>
          </w:p>
        </w:tc>
        <w:tc>
          <w:tcPr>
            <w:tcW w:w="914" w:type="pct"/>
            <w:tcBorders>
              <w:top w:val="single" w:sz="4" w:space="0" w:color="auto"/>
              <w:left w:val="single" w:sz="4" w:space="0" w:color="auto"/>
              <w:bottom w:val="single" w:sz="4" w:space="0" w:color="auto"/>
              <w:right w:val="single" w:sz="4" w:space="0" w:color="auto"/>
            </w:tcBorders>
            <w:noWrap/>
          </w:tcPr>
          <w:p w14:paraId="731DAC6D" w14:textId="0BF9AA15" w:rsidR="00411882" w:rsidRPr="00EF530F" w:rsidRDefault="00411882" w:rsidP="00411882">
            <w:pPr>
              <w:pStyle w:val="Tabletext1"/>
              <w:jc w:val="right"/>
            </w:pPr>
            <w:r w:rsidRPr="00A7344D">
              <w:t>$28,293</w:t>
            </w:r>
          </w:p>
        </w:tc>
        <w:tc>
          <w:tcPr>
            <w:tcW w:w="914" w:type="pct"/>
            <w:tcBorders>
              <w:top w:val="single" w:sz="4" w:space="0" w:color="auto"/>
              <w:left w:val="single" w:sz="4" w:space="0" w:color="auto"/>
              <w:bottom w:val="single" w:sz="4" w:space="0" w:color="auto"/>
              <w:right w:val="single" w:sz="4" w:space="0" w:color="auto"/>
            </w:tcBorders>
            <w:noWrap/>
          </w:tcPr>
          <w:p w14:paraId="546CC98F" w14:textId="03FEA260" w:rsidR="00411882" w:rsidRPr="00EF530F" w:rsidRDefault="00411882" w:rsidP="00411882">
            <w:pPr>
              <w:pStyle w:val="Tabletext1"/>
              <w:jc w:val="right"/>
            </w:pPr>
            <w:r w:rsidRPr="00A7344D">
              <w:t>$16,805</w:t>
            </w:r>
          </w:p>
        </w:tc>
        <w:tc>
          <w:tcPr>
            <w:tcW w:w="913" w:type="pct"/>
            <w:tcBorders>
              <w:top w:val="single" w:sz="4" w:space="0" w:color="auto"/>
              <w:left w:val="single" w:sz="4" w:space="0" w:color="auto"/>
              <w:bottom w:val="single" w:sz="4" w:space="0" w:color="auto"/>
              <w:right w:val="single" w:sz="4" w:space="0" w:color="auto"/>
            </w:tcBorders>
            <w:noWrap/>
          </w:tcPr>
          <w:p w14:paraId="6C7D4571" w14:textId="5AA7FFEF" w:rsidR="00411882" w:rsidRPr="00EF530F" w:rsidRDefault="00411882" w:rsidP="00411882">
            <w:pPr>
              <w:pStyle w:val="Tabletext1"/>
              <w:jc w:val="right"/>
            </w:pPr>
            <w:r w:rsidRPr="00A7344D">
              <w:t>$11,488</w:t>
            </w:r>
          </w:p>
        </w:tc>
      </w:tr>
      <w:tr w:rsidR="00411882" w:rsidRPr="00EF530F" w14:paraId="517418D6" w14:textId="77777777" w:rsidTr="00411882">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0BA87032" w14:textId="49768D53" w:rsidR="00411882" w:rsidRPr="00EF530F" w:rsidRDefault="00411882" w:rsidP="00411882">
            <w:pPr>
              <w:pStyle w:val="Tabletext1"/>
            </w:pPr>
            <w:r w:rsidRPr="00EF530F">
              <w:t>A</w:t>
            </w:r>
            <w:r>
              <w:t>dverse event</w:t>
            </w:r>
            <w:r w:rsidRPr="00EF530F">
              <w:t xml:space="preserve"> costs</w:t>
            </w:r>
          </w:p>
        </w:tc>
        <w:tc>
          <w:tcPr>
            <w:tcW w:w="914" w:type="pct"/>
            <w:tcBorders>
              <w:top w:val="single" w:sz="4" w:space="0" w:color="auto"/>
              <w:left w:val="single" w:sz="4" w:space="0" w:color="auto"/>
              <w:bottom w:val="single" w:sz="4" w:space="0" w:color="auto"/>
              <w:right w:val="single" w:sz="4" w:space="0" w:color="auto"/>
            </w:tcBorders>
            <w:noWrap/>
          </w:tcPr>
          <w:p w14:paraId="57E4D7AC" w14:textId="7A126377" w:rsidR="00411882" w:rsidRPr="00EF530F" w:rsidRDefault="00411882" w:rsidP="00411882">
            <w:pPr>
              <w:pStyle w:val="Tabletext1"/>
              <w:jc w:val="right"/>
            </w:pPr>
            <w:r w:rsidRPr="00A7344D">
              <w:t>$0</w:t>
            </w:r>
          </w:p>
        </w:tc>
        <w:tc>
          <w:tcPr>
            <w:tcW w:w="914" w:type="pct"/>
            <w:tcBorders>
              <w:top w:val="single" w:sz="4" w:space="0" w:color="auto"/>
              <w:left w:val="single" w:sz="4" w:space="0" w:color="auto"/>
              <w:bottom w:val="single" w:sz="4" w:space="0" w:color="auto"/>
              <w:right w:val="single" w:sz="4" w:space="0" w:color="auto"/>
            </w:tcBorders>
            <w:noWrap/>
          </w:tcPr>
          <w:p w14:paraId="0132D374" w14:textId="2E7EBECC" w:rsidR="00411882" w:rsidRPr="00EF530F" w:rsidRDefault="00411882" w:rsidP="00411882">
            <w:pPr>
              <w:pStyle w:val="Tabletext1"/>
              <w:jc w:val="right"/>
            </w:pPr>
            <w:r w:rsidRPr="00A7344D">
              <w:t>$7</w:t>
            </w:r>
            <w:r>
              <w:t>88</w:t>
            </w:r>
          </w:p>
        </w:tc>
        <w:tc>
          <w:tcPr>
            <w:tcW w:w="913" w:type="pct"/>
            <w:tcBorders>
              <w:top w:val="single" w:sz="4" w:space="0" w:color="auto"/>
              <w:left w:val="single" w:sz="4" w:space="0" w:color="auto"/>
              <w:bottom w:val="single" w:sz="4" w:space="0" w:color="auto"/>
              <w:right w:val="single" w:sz="4" w:space="0" w:color="auto"/>
            </w:tcBorders>
            <w:noWrap/>
          </w:tcPr>
          <w:p w14:paraId="15E6C72F" w14:textId="4F6A679C" w:rsidR="00411882" w:rsidRPr="00EF530F" w:rsidRDefault="00411882" w:rsidP="00411882">
            <w:pPr>
              <w:pStyle w:val="Tabletext1"/>
              <w:jc w:val="right"/>
            </w:pPr>
            <w:r>
              <w:t>–</w:t>
            </w:r>
            <w:r w:rsidRPr="00A7344D">
              <w:t>$7</w:t>
            </w:r>
            <w:r>
              <w:t>88</w:t>
            </w:r>
          </w:p>
        </w:tc>
      </w:tr>
      <w:tr w:rsidR="00411882" w:rsidRPr="001F2C96" w14:paraId="30EAA47F" w14:textId="77777777" w:rsidTr="00411882">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6DE9A903" w14:textId="77777777" w:rsidR="00411882" w:rsidRPr="001F2C96" w:rsidRDefault="00411882" w:rsidP="00411882">
            <w:pPr>
              <w:pStyle w:val="Tabletext1"/>
              <w:rPr>
                <w:b/>
              </w:rPr>
            </w:pPr>
            <w:r w:rsidRPr="001F2C96">
              <w:rPr>
                <w:b/>
              </w:rPr>
              <w:t>Total costs</w:t>
            </w:r>
          </w:p>
        </w:tc>
        <w:tc>
          <w:tcPr>
            <w:tcW w:w="914" w:type="pct"/>
            <w:tcBorders>
              <w:top w:val="single" w:sz="4" w:space="0" w:color="auto"/>
              <w:left w:val="single" w:sz="4" w:space="0" w:color="auto"/>
              <w:bottom w:val="single" w:sz="4" w:space="0" w:color="auto"/>
              <w:right w:val="single" w:sz="4" w:space="0" w:color="auto"/>
            </w:tcBorders>
            <w:noWrap/>
          </w:tcPr>
          <w:p w14:paraId="3805C363" w14:textId="40159ACC" w:rsidR="00411882" w:rsidRPr="001F2C96" w:rsidRDefault="00411882" w:rsidP="00411882">
            <w:pPr>
              <w:pStyle w:val="Tabletext1"/>
              <w:jc w:val="right"/>
              <w:rPr>
                <w:b/>
              </w:rPr>
            </w:pPr>
            <w:r w:rsidRPr="001F2C96">
              <w:rPr>
                <w:b/>
              </w:rPr>
              <w:t>$16</w:t>
            </w:r>
            <w:r>
              <w:rPr>
                <w:b/>
              </w:rPr>
              <w:t>4,027</w:t>
            </w:r>
          </w:p>
        </w:tc>
        <w:tc>
          <w:tcPr>
            <w:tcW w:w="914" w:type="pct"/>
            <w:tcBorders>
              <w:top w:val="single" w:sz="4" w:space="0" w:color="auto"/>
              <w:left w:val="single" w:sz="4" w:space="0" w:color="auto"/>
              <w:bottom w:val="single" w:sz="4" w:space="0" w:color="auto"/>
              <w:right w:val="single" w:sz="4" w:space="0" w:color="auto"/>
            </w:tcBorders>
            <w:noWrap/>
          </w:tcPr>
          <w:p w14:paraId="50258B00" w14:textId="17E056C2" w:rsidR="00411882" w:rsidRPr="001F2C96" w:rsidRDefault="00411882" w:rsidP="00411882">
            <w:pPr>
              <w:pStyle w:val="Tabletext1"/>
              <w:jc w:val="right"/>
              <w:rPr>
                <w:b/>
              </w:rPr>
            </w:pPr>
            <w:r w:rsidRPr="001F2C96">
              <w:rPr>
                <w:b/>
              </w:rPr>
              <w:t>$26,</w:t>
            </w:r>
            <w:r>
              <w:rPr>
                <w:b/>
              </w:rPr>
              <w:t>584</w:t>
            </w:r>
          </w:p>
        </w:tc>
        <w:tc>
          <w:tcPr>
            <w:tcW w:w="913" w:type="pct"/>
            <w:tcBorders>
              <w:top w:val="single" w:sz="4" w:space="0" w:color="auto"/>
              <w:left w:val="single" w:sz="4" w:space="0" w:color="auto"/>
              <w:bottom w:val="single" w:sz="4" w:space="0" w:color="auto"/>
              <w:right w:val="single" w:sz="4" w:space="0" w:color="auto"/>
            </w:tcBorders>
            <w:noWrap/>
          </w:tcPr>
          <w:p w14:paraId="4B525744" w14:textId="146D115E" w:rsidR="00411882" w:rsidRPr="001F2C96" w:rsidRDefault="00411882" w:rsidP="00411882">
            <w:pPr>
              <w:pStyle w:val="Tabletext1"/>
              <w:jc w:val="right"/>
              <w:rPr>
                <w:b/>
              </w:rPr>
            </w:pPr>
            <w:r w:rsidRPr="001F2C96">
              <w:rPr>
                <w:b/>
              </w:rPr>
              <w:t>$137,44</w:t>
            </w:r>
            <w:r>
              <w:rPr>
                <w:b/>
              </w:rPr>
              <w:t>3</w:t>
            </w:r>
          </w:p>
        </w:tc>
      </w:tr>
    </w:tbl>
    <w:p w14:paraId="34B558FB" w14:textId="77777777" w:rsidR="00EF530F" w:rsidRPr="00EF530F" w:rsidRDefault="00EF530F" w:rsidP="00EF530F">
      <w:pPr>
        <w:spacing w:after="200" w:line="240" w:lineRule="auto"/>
        <w:ind w:left="57" w:right="57"/>
        <w:contextualSpacing/>
        <w:rPr>
          <w:rFonts w:ascii="Arial Narrow" w:eastAsia="Calibri" w:hAnsi="Arial Narrow" w:cs="Times New Roman"/>
          <w:sz w:val="18"/>
          <w:szCs w:val="18"/>
          <w:lang w:eastAsia="en-US"/>
        </w:rPr>
      </w:pPr>
      <w:r w:rsidRPr="00EF530F">
        <w:rPr>
          <w:rFonts w:ascii="Arial Narrow" w:eastAsia="Calibri" w:hAnsi="Arial Narrow" w:cs="Times New Roman"/>
          <w:sz w:val="18"/>
          <w:szCs w:val="18"/>
          <w:lang w:eastAsia="en-US"/>
        </w:rPr>
        <w:t>Ig = immunoglobulin.</w:t>
      </w:r>
    </w:p>
    <w:p w14:paraId="2C235B8B" w14:textId="77777777" w:rsidR="00EF530F" w:rsidRPr="00EF530F" w:rsidRDefault="00EF530F" w:rsidP="001F2C96">
      <w:pPr>
        <w:pStyle w:val="BodyTextSTD"/>
      </w:pPr>
      <w:r w:rsidRPr="00EF530F">
        <w:t xml:space="preserve">The cost of Ig was the main driver of the incremental cost, with offsets related to a reduction in the number of adverse events and costs associated with it. </w:t>
      </w:r>
    </w:p>
    <w:p w14:paraId="637BAC79" w14:textId="089E5EC6" w:rsidR="00EF530F" w:rsidRPr="00EF530F" w:rsidRDefault="00EF530F" w:rsidP="001F2C96">
      <w:pPr>
        <w:pStyle w:val="Caption"/>
      </w:pPr>
      <w:bookmarkStart w:id="352" w:name="_Ref13228376"/>
      <w:bookmarkStart w:id="353" w:name="_Toc14429598"/>
      <w:bookmarkStart w:id="354" w:name="_Toc14348892"/>
      <w:bookmarkStart w:id="355" w:name="_Toc69305688"/>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47</w:t>
      </w:r>
      <w:r w:rsidRPr="00EF530F">
        <w:fldChar w:fldCharType="end"/>
      </w:r>
      <w:bookmarkEnd w:id="352"/>
      <w:r w:rsidRPr="00EF530F">
        <w:tab/>
        <w:t>Disaggregated QALYs</w:t>
      </w:r>
      <w:bookmarkEnd w:id="353"/>
      <w:bookmarkEnd w:id="354"/>
      <w:r w:rsidR="00A00511">
        <w:t>, Ig versus corticosteroids</w:t>
      </w:r>
      <w:bookmarkEnd w:id="355"/>
    </w:p>
    <w:tbl>
      <w:tblPr>
        <w:tblStyle w:val="TableGrid11"/>
        <w:tblW w:w="5000" w:type="pct"/>
        <w:tblInd w:w="0" w:type="dxa"/>
        <w:tblLook w:val="04A0" w:firstRow="1" w:lastRow="0" w:firstColumn="1" w:lastColumn="0" w:noHBand="0" w:noVBand="1"/>
        <w:tblCaption w:val="Disaggregated QALYs"/>
        <w:tblDescription w:val="Disaggregated QALYs"/>
      </w:tblPr>
      <w:tblGrid>
        <w:gridCol w:w="4074"/>
        <w:gridCol w:w="1648"/>
        <w:gridCol w:w="1648"/>
        <w:gridCol w:w="1646"/>
      </w:tblGrid>
      <w:tr w:rsidR="00EF530F" w:rsidRPr="00EF530F" w14:paraId="3A8897AC" w14:textId="77777777" w:rsidTr="00EF530F">
        <w:trPr>
          <w:cnfStyle w:val="100000000000" w:firstRow="1" w:lastRow="0" w:firstColumn="0" w:lastColumn="0" w:oddVBand="0" w:evenVBand="0" w:oddHBand="0" w:evenHBand="0" w:firstRowFirstColumn="0" w:firstRowLastColumn="0" w:lastRowFirstColumn="0" w:lastRowLastColumn="0"/>
          <w:cantSplit/>
          <w:trHeight w:val="300"/>
          <w:tblHeader/>
        </w:trPr>
        <w:tc>
          <w:tcPr>
            <w:tcW w:w="2259" w:type="pct"/>
            <w:tcBorders>
              <w:top w:val="single" w:sz="4" w:space="0" w:color="auto"/>
              <w:left w:val="single" w:sz="4" w:space="0" w:color="auto"/>
              <w:bottom w:val="single" w:sz="4" w:space="0" w:color="auto"/>
              <w:right w:val="single" w:sz="4" w:space="0" w:color="auto"/>
            </w:tcBorders>
            <w:noWrap/>
            <w:hideMark/>
          </w:tcPr>
          <w:p w14:paraId="1A949B04" w14:textId="77777777" w:rsidR="00EF530F" w:rsidRPr="00EF530F" w:rsidRDefault="00EF530F" w:rsidP="001F2C96">
            <w:pPr>
              <w:pStyle w:val="TableHeading"/>
            </w:pPr>
          </w:p>
        </w:tc>
        <w:tc>
          <w:tcPr>
            <w:tcW w:w="914" w:type="pct"/>
            <w:tcBorders>
              <w:top w:val="single" w:sz="4" w:space="0" w:color="auto"/>
              <w:left w:val="single" w:sz="4" w:space="0" w:color="auto"/>
              <w:bottom w:val="single" w:sz="4" w:space="0" w:color="auto"/>
              <w:right w:val="single" w:sz="4" w:space="0" w:color="auto"/>
            </w:tcBorders>
            <w:noWrap/>
            <w:hideMark/>
          </w:tcPr>
          <w:p w14:paraId="520BA1FF" w14:textId="77777777" w:rsidR="00EF530F" w:rsidRPr="00EF530F" w:rsidRDefault="00EF530F" w:rsidP="001F2C96">
            <w:pPr>
              <w:pStyle w:val="TableHeading"/>
            </w:pPr>
            <w:r w:rsidRPr="00EF530F">
              <w:t>Ig</w:t>
            </w:r>
          </w:p>
        </w:tc>
        <w:tc>
          <w:tcPr>
            <w:tcW w:w="914" w:type="pct"/>
            <w:tcBorders>
              <w:top w:val="single" w:sz="4" w:space="0" w:color="auto"/>
              <w:left w:val="single" w:sz="4" w:space="0" w:color="auto"/>
              <w:bottom w:val="single" w:sz="4" w:space="0" w:color="auto"/>
              <w:right w:val="single" w:sz="4" w:space="0" w:color="auto"/>
            </w:tcBorders>
            <w:noWrap/>
            <w:hideMark/>
          </w:tcPr>
          <w:p w14:paraId="2352A0A9" w14:textId="77777777" w:rsidR="00EF530F" w:rsidRPr="00EF530F" w:rsidRDefault="00EF530F" w:rsidP="001F2C96">
            <w:pPr>
              <w:pStyle w:val="TableHeading"/>
            </w:pPr>
            <w:r w:rsidRPr="00EF530F">
              <w:t>Corticosteroids</w:t>
            </w:r>
          </w:p>
        </w:tc>
        <w:tc>
          <w:tcPr>
            <w:tcW w:w="913" w:type="pct"/>
            <w:tcBorders>
              <w:top w:val="single" w:sz="4" w:space="0" w:color="auto"/>
              <w:left w:val="single" w:sz="4" w:space="0" w:color="auto"/>
              <w:bottom w:val="single" w:sz="4" w:space="0" w:color="auto"/>
              <w:right w:val="single" w:sz="4" w:space="0" w:color="auto"/>
            </w:tcBorders>
            <w:noWrap/>
            <w:hideMark/>
          </w:tcPr>
          <w:p w14:paraId="33EA31E3" w14:textId="77777777" w:rsidR="00EF530F" w:rsidRPr="00EF530F" w:rsidRDefault="00EF530F" w:rsidP="001F2C96">
            <w:pPr>
              <w:pStyle w:val="TableHeading"/>
            </w:pPr>
            <w:r w:rsidRPr="00EF530F">
              <w:t>Increment</w:t>
            </w:r>
          </w:p>
        </w:tc>
      </w:tr>
      <w:tr w:rsidR="00411882" w:rsidRPr="00EF530F" w14:paraId="100B5ABB" w14:textId="77777777" w:rsidTr="00411882">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252F82E5" w14:textId="77777777" w:rsidR="00411882" w:rsidRPr="00EF530F" w:rsidRDefault="00411882" w:rsidP="00411882">
            <w:pPr>
              <w:pStyle w:val="Tabletext1"/>
            </w:pPr>
            <w:r w:rsidRPr="00EF530F">
              <w:t>On treatment</w:t>
            </w:r>
            <w:r>
              <w:t xml:space="preserve"> (induction /maintenance phase)</w:t>
            </w:r>
            <w:r w:rsidRPr="00EF530F">
              <w:t xml:space="preserve"> QALYs</w:t>
            </w:r>
          </w:p>
        </w:tc>
        <w:tc>
          <w:tcPr>
            <w:tcW w:w="914" w:type="pct"/>
            <w:tcBorders>
              <w:top w:val="single" w:sz="4" w:space="0" w:color="auto"/>
              <w:left w:val="single" w:sz="4" w:space="0" w:color="auto"/>
              <w:bottom w:val="single" w:sz="4" w:space="0" w:color="auto"/>
              <w:right w:val="single" w:sz="4" w:space="0" w:color="auto"/>
            </w:tcBorders>
            <w:noWrap/>
          </w:tcPr>
          <w:p w14:paraId="2ABD43C4" w14:textId="4C0448EC" w:rsidR="00411882" w:rsidRPr="00EF530F" w:rsidRDefault="00411882" w:rsidP="00411882">
            <w:pPr>
              <w:pStyle w:val="Tabletext1"/>
              <w:jc w:val="right"/>
            </w:pPr>
            <w:r w:rsidRPr="00A62131">
              <w:t>2.0</w:t>
            </w:r>
            <w:r>
              <w:t>66</w:t>
            </w:r>
          </w:p>
        </w:tc>
        <w:tc>
          <w:tcPr>
            <w:tcW w:w="914" w:type="pct"/>
            <w:tcBorders>
              <w:top w:val="single" w:sz="4" w:space="0" w:color="auto"/>
              <w:left w:val="single" w:sz="4" w:space="0" w:color="auto"/>
              <w:bottom w:val="single" w:sz="4" w:space="0" w:color="auto"/>
              <w:right w:val="single" w:sz="4" w:space="0" w:color="auto"/>
            </w:tcBorders>
            <w:noWrap/>
          </w:tcPr>
          <w:p w14:paraId="39DD6F00" w14:textId="5B6E7022" w:rsidR="00411882" w:rsidRPr="00EF530F" w:rsidRDefault="00411882" w:rsidP="00411882">
            <w:pPr>
              <w:pStyle w:val="Tabletext1"/>
              <w:jc w:val="right"/>
            </w:pPr>
            <w:r w:rsidRPr="00A62131">
              <w:t>0.8</w:t>
            </w:r>
            <w:r>
              <w:t>79</w:t>
            </w:r>
          </w:p>
        </w:tc>
        <w:tc>
          <w:tcPr>
            <w:tcW w:w="913" w:type="pct"/>
            <w:tcBorders>
              <w:top w:val="single" w:sz="4" w:space="0" w:color="auto"/>
              <w:left w:val="single" w:sz="4" w:space="0" w:color="auto"/>
              <w:bottom w:val="single" w:sz="4" w:space="0" w:color="auto"/>
              <w:right w:val="single" w:sz="4" w:space="0" w:color="auto"/>
            </w:tcBorders>
            <w:noWrap/>
          </w:tcPr>
          <w:p w14:paraId="7EF820B2" w14:textId="36D09F7E" w:rsidR="00411882" w:rsidRPr="00EF530F" w:rsidRDefault="00411882" w:rsidP="00411882">
            <w:pPr>
              <w:pStyle w:val="Tabletext1"/>
              <w:jc w:val="right"/>
            </w:pPr>
            <w:r w:rsidRPr="00A62131">
              <w:t>1.1</w:t>
            </w:r>
            <w:r>
              <w:t>88</w:t>
            </w:r>
          </w:p>
        </w:tc>
      </w:tr>
      <w:tr w:rsidR="00411882" w:rsidRPr="00EF530F" w14:paraId="730F8038" w14:textId="77777777" w:rsidTr="00411882">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1EA47A66" w14:textId="77777777" w:rsidR="00411882" w:rsidRPr="00EF530F" w:rsidRDefault="00411882" w:rsidP="00411882">
            <w:pPr>
              <w:pStyle w:val="Tabletext1"/>
            </w:pPr>
            <w:r>
              <w:t>‘</w:t>
            </w:r>
            <w:r w:rsidRPr="00EF530F">
              <w:t>In remission</w:t>
            </w:r>
            <w:r>
              <w:t>’</w:t>
            </w:r>
            <w:r w:rsidRPr="00EF530F">
              <w:t xml:space="preserve"> QALYs</w:t>
            </w:r>
          </w:p>
        </w:tc>
        <w:tc>
          <w:tcPr>
            <w:tcW w:w="914" w:type="pct"/>
            <w:tcBorders>
              <w:top w:val="single" w:sz="4" w:space="0" w:color="auto"/>
              <w:left w:val="single" w:sz="4" w:space="0" w:color="auto"/>
              <w:bottom w:val="single" w:sz="4" w:space="0" w:color="auto"/>
              <w:right w:val="single" w:sz="4" w:space="0" w:color="auto"/>
            </w:tcBorders>
            <w:noWrap/>
          </w:tcPr>
          <w:p w14:paraId="26F852F4" w14:textId="7C838820" w:rsidR="00411882" w:rsidRPr="00EF530F" w:rsidRDefault="00411882" w:rsidP="00411882">
            <w:pPr>
              <w:pStyle w:val="Tabletext1"/>
              <w:jc w:val="right"/>
            </w:pPr>
            <w:r w:rsidRPr="00A62131">
              <w:t>2.560</w:t>
            </w:r>
          </w:p>
        </w:tc>
        <w:tc>
          <w:tcPr>
            <w:tcW w:w="914" w:type="pct"/>
            <w:tcBorders>
              <w:top w:val="single" w:sz="4" w:space="0" w:color="auto"/>
              <w:left w:val="single" w:sz="4" w:space="0" w:color="auto"/>
              <w:bottom w:val="single" w:sz="4" w:space="0" w:color="auto"/>
              <w:right w:val="single" w:sz="4" w:space="0" w:color="auto"/>
            </w:tcBorders>
            <w:noWrap/>
          </w:tcPr>
          <w:p w14:paraId="1F932173" w14:textId="5D0A2E48" w:rsidR="00411882" w:rsidRPr="00EF530F" w:rsidRDefault="00411882" w:rsidP="00411882">
            <w:pPr>
              <w:pStyle w:val="Tabletext1"/>
              <w:jc w:val="right"/>
            </w:pPr>
            <w:r w:rsidRPr="00A62131">
              <w:t>1.253</w:t>
            </w:r>
          </w:p>
        </w:tc>
        <w:tc>
          <w:tcPr>
            <w:tcW w:w="913" w:type="pct"/>
            <w:tcBorders>
              <w:top w:val="single" w:sz="4" w:space="0" w:color="auto"/>
              <w:left w:val="single" w:sz="4" w:space="0" w:color="auto"/>
              <w:bottom w:val="single" w:sz="4" w:space="0" w:color="auto"/>
              <w:right w:val="single" w:sz="4" w:space="0" w:color="auto"/>
            </w:tcBorders>
            <w:noWrap/>
          </w:tcPr>
          <w:p w14:paraId="6A770534" w14:textId="6A9E6755" w:rsidR="00411882" w:rsidRPr="00EF530F" w:rsidRDefault="00411882" w:rsidP="00411882">
            <w:pPr>
              <w:pStyle w:val="Tabletext1"/>
              <w:jc w:val="right"/>
            </w:pPr>
            <w:r w:rsidRPr="00A62131">
              <w:t>1.307</w:t>
            </w:r>
          </w:p>
        </w:tc>
      </w:tr>
      <w:tr w:rsidR="00411882" w:rsidRPr="00EF530F" w14:paraId="5BC07E6E" w14:textId="77777777" w:rsidTr="00411882">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34B6C680" w14:textId="5D930D06" w:rsidR="00411882" w:rsidRPr="00EF530F" w:rsidRDefault="00411882" w:rsidP="00411882">
            <w:pPr>
              <w:pStyle w:val="Tabletext1"/>
            </w:pPr>
            <w:r>
              <w:t>‘BSC’</w:t>
            </w:r>
            <w:r w:rsidRPr="00EF530F">
              <w:t xml:space="preserve"> QALYs</w:t>
            </w:r>
          </w:p>
        </w:tc>
        <w:tc>
          <w:tcPr>
            <w:tcW w:w="914" w:type="pct"/>
            <w:tcBorders>
              <w:top w:val="single" w:sz="4" w:space="0" w:color="auto"/>
              <w:left w:val="single" w:sz="4" w:space="0" w:color="auto"/>
              <w:bottom w:val="single" w:sz="4" w:space="0" w:color="auto"/>
              <w:right w:val="single" w:sz="4" w:space="0" w:color="auto"/>
            </w:tcBorders>
            <w:noWrap/>
          </w:tcPr>
          <w:p w14:paraId="62E9F48A" w14:textId="59EF064A" w:rsidR="00411882" w:rsidRPr="00EF530F" w:rsidRDefault="00411882" w:rsidP="00411882">
            <w:pPr>
              <w:pStyle w:val="Tabletext1"/>
              <w:jc w:val="right"/>
            </w:pPr>
            <w:r w:rsidRPr="00A62131">
              <w:t>0.753</w:t>
            </w:r>
          </w:p>
        </w:tc>
        <w:tc>
          <w:tcPr>
            <w:tcW w:w="914" w:type="pct"/>
            <w:tcBorders>
              <w:top w:val="single" w:sz="4" w:space="0" w:color="auto"/>
              <w:left w:val="single" w:sz="4" w:space="0" w:color="auto"/>
              <w:bottom w:val="single" w:sz="4" w:space="0" w:color="auto"/>
              <w:right w:val="single" w:sz="4" w:space="0" w:color="auto"/>
            </w:tcBorders>
            <w:noWrap/>
          </w:tcPr>
          <w:p w14:paraId="44573C62" w14:textId="41D119A0" w:rsidR="00411882" w:rsidRPr="00EF530F" w:rsidRDefault="00411882" w:rsidP="00411882">
            <w:pPr>
              <w:pStyle w:val="Tabletext1"/>
              <w:jc w:val="right"/>
            </w:pPr>
            <w:r w:rsidRPr="00A62131">
              <w:t>2.080</w:t>
            </w:r>
          </w:p>
        </w:tc>
        <w:tc>
          <w:tcPr>
            <w:tcW w:w="913" w:type="pct"/>
            <w:tcBorders>
              <w:top w:val="single" w:sz="4" w:space="0" w:color="auto"/>
              <w:left w:val="single" w:sz="4" w:space="0" w:color="auto"/>
              <w:bottom w:val="single" w:sz="4" w:space="0" w:color="auto"/>
              <w:right w:val="single" w:sz="4" w:space="0" w:color="auto"/>
            </w:tcBorders>
            <w:noWrap/>
          </w:tcPr>
          <w:p w14:paraId="61B444CE" w14:textId="0DD0F9AD" w:rsidR="00411882" w:rsidRPr="00EF530F" w:rsidRDefault="00411882" w:rsidP="00411882">
            <w:pPr>
              <w:pStyle w:val="Tabletext1"/>
              <w:jc w:val="right"/>
            </w:pPr>
            <w:r>
              <w:t>–</w:t>
            </w:r>
            <w:r w:rsidRPr="00A62131">
              <w:t>1.327</w:t>
            </w:r>
          </w:p>
        </w:tc>
      </w:tr>
      <w:tr w:rsidR="00411882" w:rsidRPr="00EF530F" w14:paraId="73040649" w14:textId="77777777" w:rsidTr="00411882">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02BF3BE0" w14:textId="77777777" w:rsidR="00411882" w:rsidRPr="00EF530F" w:rsidRDefault="00411882" w:rsidP="00411882">
            <w:pPr>
              <w:pStyle w:val="Tabletext1"/>
            </w:pPr>
            <w:r w:rsidRPr="00EF530F">
              <w:t>Adverse event QALYs</w:t>
            </w:r>
          </w:p>
        </w:tc>
        <w:tc>
          <w:tcPr>
            <w:tcW w:w="914" w:type="pct"/>
            <w:tcBorders>
              <w:top w:val="single" w:sz="4" w:space="0" w:color="auto"/>
              <w:left w:val="single" w:sz="4" w:space="0" w:color="auto"/>
              <w:bottom w:val="single" w:sz="4" w:space="0" w:color="auto"/>
              <w:right w:val="single" w:sz="4" w:space="0" w:color="auto"/>
            </w:tcBorders>
            <w:noWrap/>
          </w:tcPr>
          <w:p w14:paraId="7D68A1CA" w14:textId="25072091" w:rsidR="00411882" w:rsidRPr="00EF530F" w:rsidRDefault="00411882" w:rsidP="00411882">
            <w:pPr>
              <w:pStyle w:val="Tabletext1"/>
              <w:jc w:val="right"/>
            </w:pPr>
            <w:r w:rsidRPr="00A62131">
              <w:t>0.000</w:t>
            </w:r>
          </w:p>
        </w:tc>
        <w:tc>
          <w:tcPr>
            <w:tcW w:w="914" w:type="pct"/>
            <w:tcBorders>
              <w:top w:val="single" w:sz="4" w:space="0" w:color="auto"/>
              <w:left w:val="single" w:sz="4" w:space="0" w:color="auto"/>
              <w:bottom w:val="single" w:sz="4" w:space="0" w:color="auto"/>
              <w:right w:val="single" w:sz="4" w:space="0" w:color="auto"/>
            </w:tcBorders>
            <w:noWrap/>
          </w:tcPr>
          <w:p w14:paraId="3213C30A" w14:textId="1D790F6E" w:rsidR="00411882" w:rsidRPr="00EF530F" w:rsidRDefault="00411882" w:rsidP="00411882">
            <w:pPr>
              <w:pStyle w:val="Tabletext1"/>
              <w:jc w:val="right"/>
            </w:pPr>
            <w:r>
              <w:t>–</w:t>
            </w:r>
            <w:r w:rsidRPr="00A62131">
              <w:t>0.016</w:t>
            </w:r>
          </w:p>
        </w:tc>
        <w:tc>
          <w:tcPr>
            <w:tcW w:w="913" w:type="pct"/>
            <w:tcBorders>
              <w:top w:val="single" w:sz="4" w:space="0" w:color="auto"/>
              <w:left w:val="single" w:sz="4" w:space="0" w:color="auto"/>
              <w:bottom w:val="single" w:sz="4" w:space="0" w:color="auto"/>
              <w:right w:val="single" w:sz="4" w:space="0" w:color="auto"/>
            </w:tcBorders>
            <w:noWrap/>
          </w:tcPr>
          <w:p w14:paraId="3B2E1C64" w14:textId="48519DA4" w:rsidR="00411882" w:rsidRPr="00EF530F" w:rsidRDefault="00411882" w:rsidP="00411882">
            <w:pPr>
              <w:pStyle w:val="Tabletext1"/>
              <w:jc w:val="right"/>
            </w:pPr>
            <w:r w:rsidRPr="00A62131">
              <w:t>0.016</w:t>
            </w:r>
          </w:p>
        </w:tc>
      </w:tr>
      <w:tr w:rsidR="00411882" w:rsidRPr="001F2C96" w14:paraId="2D6EA4C3" w14:textId="77777777" w:rsidTr="00411882">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7C72162D" w14:textId="77777777" w:rsidR="00411882" w:rsidRPr="001F2C96" w:rsidRDefault="00411882" w:rsidP="00411882">
            <w:pPr>
              <w:pStyle w:val="Tabletext1"/>
              <w:rPr>
                <w:b/>
              </w:rPr>
            </w:pPr>
            <w:r w:rsidRPr="001F2C96">
              <w:rPr>
                <w:b/>
              </w:rPr>
              <w:t>Total QALYs</w:t>
            </w:r>
          </w:p>
        </w:tc>
        <w:tc>
          <w:tcPr>
            <w:tcW w:w="914" w:type="pct"/>
            <w:tcBorders>
              <w:top w:val="single" w:sz="4" w:space="0" w:color="auto"/>
              <w:left w:val="single" w:sz="4" w:space="0" w:color="auto"/>
              <w:bottom w:val="single" w:sz="4" w:space="0" w:color="auto"/>
              <w:right w:val="single" w:sz="4" w:space="0" w:color="auto"/>
            </w:tcBorders>
            <w:noWrap/>
          </w:tcPr>
          <w:p w14:paraId="3FC9BFB3" w14:textId="7E197CA2" w:rsidR="00411882" w:rsidRPr="001F2C96" w:rsidRDefault="00411882" w:rsidP="00411882">
            <w:pPr>
              <w:pStyle w:val="Tabletext1"/>
              <w:jc w:val="right"/>
              <w:rPr>
                <w:b/>
              </w:rPr>
            </w:pPr>
            <w:r w:rsidRPr="001F2C96">
              <w:rPr>
                <w:b/>
              </w:rPr>
              <w:t>5.3</w:t>
            </w:r>
            <w:r>
              <w:rPr>
                <w:b/>
              </w:rPr>
              <w:t>79</w:t>
            </w:r>
          </w:p>
        </w:tc>
        <w:tc>
          <w:tcPr>
            <w:tcW w:w="914" w:type="pct"/>
            <w:tcBorders>
              <w:top w:val="single" w:sz="4" w:space="0" w:color="auto"/>
              <w:left w:val="single" w:sz="4" w:space="0" w:color="auto"/>
              <w:bottom w:val="single" w:sz="4" w:space="0" w:color="auto"/>
              <w:right w:val="single" w:sz="4" w:space="0" w:color="auto"/>
            </w:tcBorders>
            <w:noWrap/>
          </w:tcPr>
          <w:p w14:paraId="39CBF98A" w14:textId="32CF4DCF" w:rsidR="00411882" w:rsidRPr="001F2C96" w:rsidRDefault="00411882" w:rsidP="00411882">
            <w:pPr>
              <w:pStyle w:val="Tabletext1"/>
              <w:jc w:val="right"/>
              <w:rPr>
                <w:b/>
              </w:rPr>
            </w:pPr>
            <w:r w:rsidRPr="001F2C96">
              <w:rPr>
                <w:b/>
              </w:rPr>
              <w:t>4.1</w:t>
            </w:r>
            <w:r>
              <w:rPr>
                <w:b/>
              </w:rPr>
              <w:t>95</w:t>
            </w:r>
          </w:p>
        </w:tc>
        <w:tc>
          <w:tcPr>
            <w:tcW w:w="913" w:type="pct"/>
            <w:tcBorders>
              <w:top w:val="single" w:sz="4" w:space="0" w:color="auto"/>
              <w:left w:val="single" w:sz="4" w:space="0" w:color="auto"/>
              <w:bottom w:val="single" w:sz="4" w:space="0" w:color="auto"/>
              <w:right w:val="single" w:sz="4" w:space="0" w:color="auto"/>
            </w:tcBorders>
            <w:noWrap/>
          </w:tcPr>
          <w:p w14:paraId="6130EFDC" w14:textId="55E8DAE2" w:rsidR="00411882" w:rsidRPr="001F2C96" w:rsidRDefault="00411882" w:rsidP="00411882">
            <w:pPr>
              <w:pStyle w:val="Tabletext1"/>
              <w:jc w:val="right"/>
              <w:rPr>
                <w:b/>
              </w:rPr>
            </w:pPr>
            <w:r w:rsidRPr="001F2C96">
              <w:rPr>
                <w:b/>
              </w:rPr>
              <w:t>1.18</w:t>
            </w:r>
            <w:r>
              <w:rPr>
                <w:b/>
              </w:rPr>
              <w:t>4</w:t>
            </w:r>
          </w:p>
        </w:tc>
      </w:tr>
    </w:tbl>
    <w:p w14:paraId="08B39E84" w14:textId="77777777" w:rsidR="00EF530F" w:rsidRPr="00EF530F" w:rsidRDefault="00DB0A4D" w:rsidP="00EF530F">
      <w:pPr>
        <w:spacing w:after="200" w:line="240" w:lineRule="auto"/>
        <w:ind w:left="57" w:right="57"/>
        <w:contextualSpacing/>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BSC = best supportive care</w:t>
      </w:r>
      <w:r w:rsidR="00237F7A">
        <w:rPr>
          <w:rFonts w:ascii="Arial Narrow" w:eastAsia="Calibri" w:hAnsi="Arial Narrow" w:cs="Times New Roman"/>
          <w:sz w:val="18"/>
          <w:szCs w:val="18"/>
          <w:lang w:eastAsia="en-US"/>
        </w:rPr>
        <w:t xml:space="preserve"> (this represents health state with treatment failure/withdrawal due to adverse events or non-efficacy);</w:t>
      </w:r>
      <w:r>
        <w:rPr>
          <w:rFonts w:ascii="Arial Narrow" w:eastAsia="Calibri" w:hAnsi="Arial Narrow" w:cs="Times New Roman"/>
          <w:sz w:val="18"/>
          <w:szCs w:val="18"/>
          <w:lang w:eastAsia="en-US"/>
        </w:rPr>
        <w:t xml:space="preserve"> </w:t>
      </w:r>
      <w:r w:rsidR="00EF530F" w:rsidRPr="00EF530F">
        <w:rPr>
          <w:rFonts w:ascii="Arial Narrow" w:eastAsia="Calibri" w:hAnsi="Arial Narrow" w:cs="Times New Roman"/>
          <w:sz w:val="18"/>
          <w:szCs w:val="18"/>
          <w:lang w:eastAsia="en-US"/>
        </w:rPr>
        <w:t>Ig = immunoglobulin; QALY = quality-adjusted life years.</w:t>
      </w:r>
    </w:p>
    <w:p w14:paraId="6DD4E0FA" w14:textId="0BA0348D" w:rsidR="00EF530F" w:rsidRPr="00EF530F" w:rsidRDefault="00EF530F" w:rsidP="001F2C96">
      <w:pPr>
        <w:pStyle w:val="BodyTextSTD"/>
      </w:pPr>
      <w:r w:rsidRPr="00EF530F">
        <w:t>The incremental QALYs were primarily accrued in the on treatment</w:t>
      </w:r>
      <w:r w:rsidR="00DB0A4D">
        <w:t xml:space="preserve"> (induction/maintenance phase)</w:t>
      </w:r>
      <w:r w:rsidRPr="00EF530F">
        <w:t xml:space="preserve"> health state</w:t>
      </w:r>
      <w:r w:rsidR="00DB0A4D">
        <w:t>s</w:t>
      </w:r>
      <w:r w:rsidRPr="00EF530F">
        <w:t xml:space="preserve"> due to improved QALYs with Ig treatment. As Ig was associated with higher response rate and fewer adverse events, less time was spent in the </w:t>
      </w:r>
      <w:r w:rsidR="00DB0A4D">
        <w:t>‘BSC (</w:t>
      </w:r>
      <w:r w:rsidRPr="00EF530F">
        <w:t xml:space="preserve">treatment </w:t>
      </w:r>
      <w:r w:rsidR="00DB0A4D">
        <w:t>failure/</w:t>
      </w:r>
      <w:r w:rsidRPr="00EF530F">
        <w:t xml:space="preserve">withdrawal due to </w:t>
      </w:r>
      <w:r w:rsidR="00502406">
        <w:t>AE or non-efficacy</w:t>
      </w:r>
      <w:r w:rsidRPr="00EF530F">
        <w:t>)</w:t>
      </w:r>
      <w:r w:rsidR="00DB0A4D">
        <w:t>’</w:t>
      </w:r>
      <w:r w:rsidRPr="00EF530F">
        <w:t xml:space="preserve"> health state with Ig. </w:t>
      </w:r>
    </w:p>
    <w:p w14:paraId="1AC7CB69" w14:textId="77777777" w:rsidR="00EF530F" w:rsidRPr="00EF530F" w:rsidRDefault="00EF530F" w:rsidP="001F2C96">
      <w:pPr>
        <w:pStyle w:val="Heading5"/>
      </w:pPr>
      <w:r w:rsidRPr="00EF530F">
        <w:t>Incremental cost-effectiveness</w:t>
      </w:r>
    </w:p>
    <w:p w14:paraId="7DD346E5" w14:textId="1329FC1A" w:rsidR="00EF530F" w:rsidRPr="00EF530F" w:rsidRDefault="00EF530F" w:rsidP="001F2C96">
      <w:pPr>
        <w:pStyle w:val="BodyTextSTD"/>
      </w:pPr>
      <w:r w:rsidRPr="00EF530F">
        <w:t xml:space="preserve">The ICER per additional QALYs gained is presented in </w:t>
      </w:r>
      <w:r w:rsidRPr="00EF530F">
        <w:fldChar w:fldCharType="begin"/>
      </w:r>
      <w:r w:rsidRPr="00EF530F">
        <w:instrText xml:space="preserve"> REF _Ref13229107 \h </w:instrText>
      </w:r>
      <w:r w:rsidR="001F2C96">
        <w:instrText xml:space="preserve"> \* MERGEFORMAT </w:instrText>
      </w:r>
      <w:r w:rsidRPr="00EF530F">
        <w:fldChar w:fldCharType="separate"/>
      </w:r>
      <w:r w:rsidR="004B3EA2" w:rsidRPr="00EF530F">
        <w:t xml:space="preserve">Table </w:t>
      </w:r>
      <w:r w:rsidR="004B3EA2">
        <w:rPr>
          <w:noProof/>
        </w:rPr>
        <w:t>48</w:t>
      </w:r>
      <w:r w:rsidRPr="00EF530F">
        <w:fldChar w:fldCharType="end"/>
      </w:r>
      <w:r w:rsidRPr="00EF530F">
        <w:t>.</w:t>
      </w:r>
    </w:p>
    <w:p w14:paraId="2D53B189" w14:textId="13C86109" w:rsidR="00EF530F" w:rsidRPr="00EF530F" w:rsidRDefault="00EF530F" w:rsidP="001F2C96">
      <w:pPr>
        <w:pStyle w:val="Caption"/>
      </w:pPr>
      <w:bookmarkStart w:id="356" w:name="_Ref13229107"/>
      <w:bookmarkStart w:id="357" w:name="_Toc14429599"/>
      <w:bookmarkStart w:id="358" w:name="_Toc14348893"/>
      <w:bookmarkStart w:id="359" w:name="_Toc69305689"/>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48</w:t>
      </w:r>
      <w:r w:rsidRPr="00EF530F">
        <w:fldChar w:fldCharType="end"/>
      </w:r>
      <w:bookmarkEnd w:id="356"/>
      <w:r w:rsidRPr="00EF530F">
        <w:tab/>
        <w:t>Incremental cost-effectiveness ratios</w:t>
      </w:r>
      <w:bookmarkEnd w:id="357"/>
      <w:bookmarkEnd w:id="358"/>
      <w:r w:rsidR="00A00511">
        <w:t>, Ig versus corticosteroids</w:t>
      </w:r>
      <w:bookmarkEnd w:id="359"/>
    </w:p>
    <w:tbl>
      <w:tblPr>
        <w:tblStyle w:val="TableGrid21"/>
        <w:tblW w:w="5000" w:type="pct"/>
        <w:tblInd w:w="0" w:type="dxa"/>
        <w:tblLook w:val="04A0" w:firstRow="1" w:lastRow="0" w:firstColumn="1" w:lastColumn="0" w:noHBand="0" w:noVBand="1"/>
        <w:tblCaption w:val="Incremental cost-effectiveness ratios"/>
        <w:tblDescription w:val="Incremental cost-effectiveness ratios"/>
      </w:tblPr>
      <w:tblGrid>
        <w:gridCol w:w="4083"/>
        <w:gridCol w:w="1645"/>
        <w:gridCol w:w="1645"/>
        <w:gridCol w:w="1643"/>
      </w:tblGrid>
      <w:tr w:rsidR="00EF530F" w:rsidRPr="00EF530F" w14:paraId="28007A57" w14:textId="77777777" w:rsidTr="00EF530F">
        <w:trPr>
          <w:cnfStyle w:val="100000000000" w:firstRow="1" w:lastRow="0" w:firstColumn="0" w:lastColumn="0" w:oddVBand="0" w:evenVBand="0" w:oddHBand="0" w:evenHBand="0" w:firstRowFirstColumn="0" w:firstRowLastColumn="0" w:lastRowFirstColumn="0" w:lastRowLastColumn="0"/>
          <w:cantSplit/>
          <w:trHeight w:val="300"/>
          <w:tblHeader/>
        </w:trPr>
        <w:tc>
          <w:tcPr>
            <w:tcW w:w="2264" w:type="pct"/>
            <w:tcBorders>
              <w:top w:val="single" w:sz="4" w:space="0" w:color="auto"/>
              <w:left w:val="single" w:sz="4" w:space="0" w:color="auto"/>
              <w:bottom w:val="single" w:sz="4" w:space="0" w:color="auto"/>
              <w:right w:val="single" w:sz="4" w:space="0" w:color="auto"/>
            </w:tcBorders>
            <w:noWrap/>
          </w:tcPr>
          <w:p w14:paraId="7ECE8F6F" w14:textId="77777777" w:rsidR="00EF530F" w:rsidRPr="00EF530F" w:rsidRDefault="00EF530F" w:rsidP="001F2C96">
            <w:pPr>
              <w:pStyle w:val="TableHeading"/>
            </w:pPr>
          </w:p>
        </w:tc>
        <w:tc>
          <w:tcPr>
            <w:tcW w:w="912" w:type="pct"/>
            <w:tcBorders>
              <w:top w:val="single" w:sz="4" w:space="0" w:color="auto"/>
              <w:left w:val="single" w:sz="4" w:space="0" w:color="auto"/>
              <w:bottom w:val="single" w:sz="4" w:space="0" w:color="auto"/>
              <w:right w:val="single" w:sz="4" w:space="0" w:color="auto"/>
            </w:tcBorders>
            <w:noWrap/>
            <w:hideMark/>
          </w:tcPr>
          <w:p w14:paraId="55619E24" w14:textId="77777777" w:rsidR="00EF530F" w:rsidRPr="00EF530F" w:rsidRDefault="00EF530F" w:rsidP="001F2C96">
            <w:pPr>
              <w:pStyle w:val="TableHeading"/>
            </w:pPr>
            <w:r w:rsidRPr="00EF530F">
              <w:t>Ig</w:t>
            </w:r>
          </w:p>
        </w:tc>
        <w:tc>
          <w:tcPr>
            <w:tcW w:w="912" w:type="pct"/>
            <w:tcBorders>
              <w:top w:val="single" w:sz="4" w:space="0" w:color="auto"/>
              <w:left w:val="single" w:sz="4" w:space="0" w:color="auto"/>
              <w:bottom w:val="single" w:sz="4" w:space="0" w:color="auto"/>
              <w:right w:val="single" w:sz="4" w:space="0" w:color="auto"/>
            </w:tcBorders>
            <w:noWrap/>
            <w:hideMark/>
          </w:tcPr>
          <w:p w14:paraId="1CFCBEFF" w14:textId="77777777" w:rsidR="00EF530F" w:rsidRPr="00EF530F" w:rsidRDefault="007624A0" w:rsidP="001F2C96">
            <w:pPr>
              <w:pStyle w:val="TableHeading"/>
            </w:pPr>
            <w:r w:rsidRPr="00EF530F">
              <w:t>Corticosteroids</w:t>
            </w:r>
          </w:p>
        </w:tc>
        <w:tc>
          <w:tcPr>
            <w:tcW w:w="911" w:type="pct"/>
            <w:tcBorders>
              <w:top w:val="single" w:sz="4" w:space="0" w:color="auto"/>
              <w:left w:val="single" w:sz="4" w:space="0" w:color="auto"/>
              <w:bottom w:val="single" w:sz="4" w:space="0" w:color="auto"/>
              <w:right w:val="single" w:sz="4" w:space="0" w:color="auto"/>
            </w:tcBorders>
            <w:noWrap/>
            <w:hideMark/>
          </w:tcPr>
          <w:p w14:paraId="2737F00A" w14:textId="77777777" w:rsidR="00EF530F" w:rsidRPr="00EF530F" w:rsidRDefault="00EF530F" w:rsidP="001F2C96">
            <w:pPr>
              <w:pStyle w:val="TableHeading"/>
            </w:pPr>
            <w:r w:rsidRPr="00EF530F">
              <w:t>Increment</w:t>
            </w:r>
          </w:p>
        </w:tc>
      </w:tr>
      <w:tr w:rsidR="001F2C96" w:rsidRPr="00EF530F" w14:paraId="535D4AEC" w14:textId="77777777" w:rsidTr="00EF530F">
        <w:trPr>
          <w:cantSplit/>
          <w:trHeight w:val="300"/>
        </w:trPr>
        <w:tc>
          <w:tcPr>
            <w:tcW w:w="2264" w:type="pct"/>
            <w:tcBorders>
              <w:top w:val="single" w:sz="4" w:space="0" w:color="auto"/>
              <w:left w:val="single" w:sz="4" w:space="0" w:color="auto"/>
              <w:bottom w:val="single" w:sz="4" w:space="0" w:color="auto"/>
              <w:right w:val="single" w:sz="4" w:space="0" w:color="auto"/>
            </w:tcBorders>
            <w:noWrap/>
            <w:hideMark/>
          </w:tcPr>
          <w:p w14:paraId="356212C1" w14:textId="77777777" w:rsidR="001F2C96" w:rsidRPr="00EF530F" w:rsidRDefault="001F2C96" w:rsidP="001F2C96">
            <w:pPr>
              <w:pStyle w:val="Tabletext1"/>
            </w:pPr>
            <w:r w:rsidRPr="00EF530F">
              <w:t>Total cost</w:t>
            </w:r>
          </w:p>
        </w:tc>
        <w:tc>
          <w:tcPr>
            <w:tcW w:w="912" w:type="pct"/>
            <w:tcBorders>
              <w:top w:val="single" w:sz="4" w:space="0" w:color="auto"/>
              <w:left w:val="single" w:sz="4" w:space="0" w:color="auto"/>
              <w:bottom w:val="single" w:sz="4" w:space="0" w:color="auto"/>
              <w:right w:val="single" w:sz="4" w:space="0" w:color="auto"/>
            </w:tcBorders>
            <w:noWrap/>
            <w:hideMark/>
          </w:tcPr>
          <w:p w14:paraId="0E7643F8" w14:textId="6BCA942A" w:rsidR="001F2C96" w:rsidRPr="00EF530F" w:rsidRDefault="001F2C96" w:rsidP="00D07FDF">
            <w:pPr>
              <w:pStyle w:val="Tabletext1"/>
              <w:jc w:val="center"/>
            </w:pPr>
            <w:r w:rsidRPr="00595E89">
              <w:t>$16</w:t>
            </w:r>
            <w:r w:rsidR="00502406">
              <w:t>4,027</w:t>
            </w:r>
          </w:p>
        </w:tc>
        <w:tc>
          <w:tcPr>
            <w:tcW w:w="912" w:type="pct"/>
            <w:tcBorders>
              <w:top w:val="single" w:sz="4" w:space="0" w:color="auto"/>
              <w:left w:val="single" w:sz="4" w:space="0" w:color="auto"/>
              <w:bottom w:val="single" w:sz="4" w:space="0" w:color="auto"/>
              <w:right w:val="single" w:sz="4" w:space="0" w:color="auto"/>
            </w:tcBorders>
            <w:noWrap/>
            <w:hideMark/>
          </w:tcPr>
          <w:p w14:paraId="6A1A2A01" w14:textId="55A3087E" w:rsidR="001F2C96" w:rsidRPr="00EF530F" w:rsidRDefault="001F2C96">
            <w:pPr>
              <w:pStyle w:val="Tabletext1"/>
              <w:jc w:val="center"/>
            </w:pPr>
            <w:r w:rsidRPr="00595E89">
              <w:t>$26,</w:t>
            </w:r>
            <w:r w:rsidR="00502406">
              <w:t>584</w:t>
            </w:r>
          </w:p>
        </w:tc>
        <w:tc>
          <w:tcPr>
            <w:tcW w:w="911" w:type="pct"/>
            <w:tcBorders>
              <w:top w:val="single" w:sz="4" w:space="0" w:color="auto"/>
              <w:left w:val="single" w:sz="4" w:space="0" w:color="auto"/>
              <w:bottom w:val="single" w:sz="4" w:space="0" w:color="auto"/>
              <w:right w:val="single" w:sz="4" w:space="0" w:color="auto"/>
            </w:tcBorders>
            <w:noWrap/>
            <w:hideMark/>
          </w:tcPr>
          <w:p w14:paraId="08CA48F3" w14:textId="6A899FB7" w:rsidR="001F2C96" w:rsidRPr="00EF530F" w:rsidRDefault="001F2C96" w:rsidP="001F2C96">
            <w:pPr>
              <w:pStyle w:val="Tabletext1"/>
              <w:jc w:val="center"/>
            </w:pPr>
            <w:r w:rsidRPr="00595E89">
              <w:t>$137,44</w:t>
            </w:r>
            <w:r w:rsidR="00502406">
              <w:t>3</w:t>
            </w:r>
          </w:p>
        </w:tc>
      </w:tr>
      <w:tr w:rsidR="001F2C96" w:rsidRPr="00EF530F" w14:paraId="77AD4D39" w14:textId="77777777" w:rsidTr="00EF530F">
        <w:trPr>
          <w:cantSplit/>
          <w:trHeight w:val="300"/>
        </w:trPr>
        <w:tc>
          <w:tcPr>
            <w:tcW w:w="2264" w:type="pct"/>
            <w:tcBorders>
              <w:top w:val="single" w:sz="4" w:space="0" w:color="auto"/>
              <w:left w:val="single" w:sz="4" w:space="0" w:color="auto"/>
              <w:bottom w:val="single" w:sz="4" w:space="0" w:color="auto"/>
              <w:right w:val="single" w:sz="4" w:space="0" w:color="auto"/>
            </w:tcBorders>
            <w:noWrap/>
            <w:hideMark/>
          </w:tcPr>
          <w:p w14:paraId="3D1025DD" w14:textId="77777777" w:rsidR="001F2C96" w:rsidRPr="00EF530F" w:rsidRDefault="001F2C96" w:rsidP="001F2C96">
            <w:pPr>
              <w:pStyle w:val="Tabletext1"/>
            </w:pPr>
            <w:r w:rsidRPr="00EF530F">
              <w:t>Total QALYs</w:t>
            </w:r>
          </w:p>
        </w:tc>
        <w:tc>
          <w:tcPr>
            <w:tcW w:w="912" w:type="pct"/>
            <w:tcBorders>
              <w:top w:val="single" w:sz="4" w:space="0" w:color="auto"/>
              <w:left w:val="single" w:sz="4" w:space="0" w:color="auto"/>
              <w:bottom w:val="single" w:sz="4" w:space="0" w:color="auto"/>
              <w:right w:val="single" w:sz="4" w:space="0" w:color="auto"/>
            </w:tcBorders>
            <w:noWrap/>
            <w:hideMark/>
          </w:tcPr>
          <w:p w14:paraId="2F8958DE" w14:textId="3CC1166F" w:rsidR="001F2C96" w:rsidRPr="00EF530F" w:rsidRDefault="001F2C96" w:rsidP="001F2C96">
            <w:pPr>
              <w:pStyle w:val="Tabletext1"/>
              <w:jc w:val="center"/>
            </w:pPr>
            <w:r w:rsidRPr="00595E89">
              <w:t>5.3</w:t>
            </w:r>
            <w:r w:rsidR="00F64DB9">
              <w:t>79</w:t>
            </w:r>
          </w:p>
        </w:tc>
        <w:tc>
          <w:tcPr>
            <w:tcW w:w="912" w:type="pct"/>
            <w:tcBorders>
              <w:top w:val="single" w:sz="4" w:space="0" w:color="auto"/>
              <w:left w:val="single" w:sz="4" w:space="0" w:color="auto"/>
              <w:bottom w:val="single" w:sz="4" w:space="0" w:color="auto"/>
              <w:right w:val="single" w:sz="4" w:space="0" w:color="auto"/>
            </w:tcBorders>
            <w:noWrap/>
            <w:hideMark/>
          </w:tcPr>
          <w:p w14:paraId="4322FE5C" w14:textId="568669D4" w:rsidR="001F2C96" w:rsidRPr="00EF530F" w:rsidRDefault="001F2C96" w:rsidP="001F2C96">
            <w:pPr>
              <w:pStyle w:val="Tabletext1"/>
              <w:jc w:val="center"/>
            </w:pPr>
            <w:r w:rsidRPr="00595E89">
              <w:t>4.1</w:t>
            </w:r>
            <w:r w:rsidR="00F64DB9">
              <w:t>95</w:t>
            </w:r>
          </w:p>
        </w:tc>
        <w:tc>
          <w:tcPr>
            <w:tcW w:w="911" w:type="pct"/>
            <w:tcBorders>
              <w:top w:val="single" w:sz="4" w:space="0" w:color="auto"/>
              <w:left w:val="single" w:sz="4" w:space="0" w:color="auto"/>
              <w:bottom w:val="single" w:sz="4" w:space="0" w:color="auto"/>
              <w:right w:val="single" w:sz="4" w:space="0" w:color="auto"/>
            </w:tcBorders>
            <w:noWrap/>
            <w:hideMark/>
          </w:tcPr>
          <w:p w14:paraId="3084F4BA" w14:textId="7D96CB1F" w:rsidR="001F2C96" w:rsidRPr="00EF530F" w:rsidRDefault="001F2C96" w:rsidP="001F2C96">
            <w:pPr>
              <w:pStyle w:val="Tabletext1"/>
              <w:jc w:val="center"/>
            </w:pPr>
            <w:r w:rsidRPr="00595E89">
              <w:t>1.18</w:t>
            </w:r>
            <w:r w:rsidR="00F64DB9">
              <w:t>4</w:t>
            </w:r>
          </w:p>
        </w:tc>
      </w:tr>
      <w:tr w:rsidR="001F2C96" w:rsidRPr="001F2C96" w14:paraId="10287792" w14:textId="77777777" w:rsidTr="006452AF">
        <w:trPr>
          <w:cantSplit/>
          <w:trHeight w:val="101"/>
        </w:trPr>
        <w:tc>
          <w:tcPr>
            <w:tcW w:w="2264" w:type="pct"/>
            <w:tcBorders>
              <w:top w:val="single" w:sz="4" w:space="0" w:color="auto"/>
              <w:left w:val="single" w:sz="4" w:space="0" w:color="auto"/>
              <w:bottom w:val="single" w:sz="4" w:space="0" w:color="auto"/>
              <w:right w:val="nil"/>
            </w:tcBorders>
            <w:noWrap/>
            <w:hideMark/>
          </w:tcPr>
          <w:p w14:paraId="4E7872C0" w14:textId="77777777" w:rsidR="001F2C96" w:rsidRPr="001F2C96" w:rsidRDefault="001F2C96" w:rsidP="001F2C96">
            <w:pPr>
              <w:pStyle w:val="Tabletext1"/>
              <w:rPr>
                <w:b/>
              </w:rPr>
            </w:pPr>
            <w:r w:rsidRPr="001F2C96">
              <w:rPr>
                <w:b/>
              </w:rPr>
              <w:t>ICER per additional QALY gained</w:t>
            </w:r>
          </w:p>
        </w:tc>
        <w:tc>
          <w:tcPr>
            <w:tcW w:w="912" w:type="pct"/>
            <w:tcBorders>
              <w:top w:val="single" w:sz="4" w:space="0" w:color="auto"/>
              <w:left w:val="nil"/>
              <w:bottom w:val="single" w:sz="4" w:space="0" w:color="auto"/>
              <w:right w:val="nil"/>
            </w:tcBorders>
            <w:noWrap/>
            <w:hideMark/>
          </w:tcPr>
          <w:p w14:paraId="7DD71114" w14:textId="77777777" w:rsidR="001F2C96" w:rsidRPr="001F2C96" w:rsidRDefault="001F2C96" w:rsidP="001F2C96">
            <w:pPr>
              <w:pStyle w:val="Tabletext1"/>
              <w:jc w:val="center"/>
              <w:rPr>
                <w:b/>
              </w:rPr>
            </w:pPr>
          </w:p>
        </w:tc>
        <w:tc>
          <w:tcPr>
            <w:tcW w:w="912" w:type="pct"/>
            <w:tcBorders>
              <w:top w:val="single" w:sz="4" w:space="0" w:color="auto"/>
              <w:left w:val="nil"/>
              <w:bottom w:val="single" w:sz="4" w:space="0" w:color="auto"/>
              <w:right w:val="single" w:sz="4" w:space="0" w:color="auto"/>
            </w:tcBorders>
            <w:noWrap/>
            <w:hideMark/>
          </w:tcPr>
          <w:p w14:paraId="3EB72A98" w14:textId="77777777" w:rsidR="001F2C96" w:rsidRPr="001F2C96" w:rsidRDefault="001F2C96" w:rsidP="001F2C96">
            <w:pPr>
              <w:pStyle w:val="Tabletext1"/>
              <w:jc w:val="center"/>
              <w:rPr>
                <w:rFonts w:ascii="Times New Roman" w:hAnsi="Times New Roman" w:cs="Times New Roman"/>
                <w:b/>
              </w:rPr>
            </w:pPr>
          </w:p>
        </w:tc>
        <w:tc>
          <w:tcPr>
            <w:tcW w:w="911" w:type="pct"/>
            <w:tcBorders>
              <w:top w:val="single" w:sz="4" w:space="0" w:color="auto"/>
              <w:left w:val="single" w:sz="4" w:space="0" w:color="auto"/>
              <w:bottom w:val="single" w:sz="4" w:space="0" w:color="auto"/>
              <w:right w:val="single" w:sz="4" w:space="0" w:color="auto"/>
            </w:tcBorders>
            <w:noWrap/>
            <w:hideMark/>
          </w:tcPr>
          <w:p w14:paraId="13E9ECA7" w14:textId="6FE0224A" w:rsidR="001F2C96" w:rsidRPr="001F2C96" w:rsidRDefault="001F2C96">
            <w:pPr>
              <w:pStyle w:val="Tabletext1"/>
              <w:jc w:val="center"/>
              <w:rPr>
                <w:b/>
              </w:rPr>
            </w:pPr>
            <w:r w:rsidRPr="001F2C96">
              <w:rPr>
                <w:b/>
              </w:rPr>
              <w:t>$11</w:t>
            </w:r>
            <w:r w:rsidR="00F64DB9">
              <w:rPr>
                <w:b/>
              </w:rPr>
              <w:t>6,088</w:t>
            </w:r>
          </w:p>
        </w:tc>
      </w:tr>
    </w:tbl>
    <w:p w14:paraId="7B7FD8A7" w14:textId="77777777" w:rsidR="00EF530F" w:rsidRPr="00EF530F" w:rsidRDefault="00EF530F" w:rsidP="00EF530F">
      <w:pPr>
        <w:spacing w:after="200" w:line="240" w:lineRule="auto"/>
        <w:ind w:left="57" w:right="57"/>
        <w:contextualSpacing/>
        <w:rPr>
          <w:rFonts w:ascii="Arial Narrow" w:eastAsia="Calibri" w:hAnsi="Arial Narrow" w:cs="Times New Roman"/>
          <w:sz w:val="18"/>
          <w:szCs w:val="18"/>
          <w:lang w:eastAsia="en-US"/>
        </w:rPr>
      </w:pPr>
      <w:r w:rsidRPr="00EF530F">
        <w:rPr>
          <w:rFonts w:ascii="Arial Narrow" w:eastAsia="Calibri" w:hAnsi="Arial Narrow" w:cs="Times New Roman"/>
          <w:sz w:val="18"/>
          <w:szCs w:val="18"/>
          <w:lang w:eastAsia="en-US"/>
        </w:rPr>
        <w:t>ICER = incremental cost-effectiveness ratio; Ig = immunoglobulin; QALY = quality-adjusted life years.</w:t>
      </w:r>
    </w:p>
    <w:p w14:paraId="72A77CD8" w14:textId="17F28A85" w:rsidR="000B2D70" w:rsidRDefault="000B2D70" w:rsidP="000B2D70">
      <w:pPr>
        <w:pStyle w:val="BodyTextSTD"/>
      </w:pPr>
      <w:r>
        <w:t xml:space="preserve">Markov traces depicting health state membership over time for Ig and steroid treatment arms are presented in </w:t>
      </w:r>
      <w:r>
        <w:fldChar w:fldCharType="begin"/>
      </w:r>
      <w:r>
        <w:instrText xml:space="preserve"> REF _Ref67402848 \h </w:instrText>
      </w:r>
      <w:r>
        <w:fldChar w:fldCharType="separate"/>
      </w:r>
      <w:r w:rsidR="004B3EA2">
        <w:t xml:space="preserve">Figure </w:t>
      </w:r>
      <w:r w:rsidR="004B3EA2">
        <w:rPr>
          <w:noProof/>
        </w:rPr>
        <w:t>13</w:t>
      </w:r>
      <w:r>
        <w:fldChar w:fldCharType="end"/>
      </w:r>
      <w:r>
        <w:t xml:space="preserve">. </w:t>
      </w:r>
    </w:p>
    <w:p w14:paraId="1E6D662E" w14:textId="4FB0A3C1" w:rsidR="000B2D70" w:rsidRDefault="008C6D90" w:rsidP="000B2D70">
      <w:pPr>
        <w:pStyle w:val="BodyTextSTD"/>
        <w:keepNext/>
      </w:pPr>
      <w:r>
        <w:rPr>
          <w:noProof/>
        </w:rPr>
        <w:drawing>
          <wp:inline distT="0" distB="0" distL="0" distR="0" wp14:anchorId="763B063A" wp14:editId="1F29342F">
            <wp:extent cx="5736210" cy="5593976"/>
            <wp:effectExtent l="0" t="0" r="0" b="6985"/>
            <wp:docPr id="27" name="Picture 27" descr="Markov model traces, Ig versus corticosteroids" title="Markov model traces, Ig versus corticoster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2270" cy="5599885"/>
                    </a:xfrm>
                    <a:prstGeom prst="rect">
                      <a:avLst/>
                    </a:prstGeom>
                    <a:noFill/>
                  </pic:spPr>
                </pic:pic>
              </a:graphicData>
            </a:graphic>
          </wp:inline>
        </w:drawing>
      </w:r>
    </w:p>
    <w:p w14:paraId="65F5A1FD" w14:textId="64BD3B15" w:rsidR="000B2D70" w:rsidRDefault="000B2D70" w:rsidP="000B2D70">
      <w:pPr>
        <w:pStyle w:val="Caption"/>
        <w:jc w:val="both"/>
      </w:pPr>
      <w:bookmarkStart w:id="360" w:name="_Ref67402848"/>
      <w:bookmarkStart w:id="361" w:name="_Toc69305745"/>
      <w:r>
        <w:t xml:space="preserve">Figure </w:t>
      </w:r>
      <w:r w:rsidR="00003BA5">
        <w:fldChar w:fldCharType="begin"/>
      </w:r>
      <w:r w:rsidR="00003BA5">
        <w:instrText xml:space="preserve"> SEQ Figure \* ARABIC </w:instrText>
      </w:r>
      <w:r w:rsidR="00003BA5">
        <w:fldChar w:fldCharType="separate"/>
      </w:r>
      <w:r w:rsidR="004B3EA2">
        <w:rPr>
          <w:noProof/>
        </w:rPr>
        <w:t>13</w:t>
      </w:r>
      <w:r w:rsidR="00003BA5">
        <w:rPr>
          <w:noProof/>
        </w:rPr>
        <w:fldChar w:fldCharType="end"/>
      </w:r>
      <w:bookmarkEnd w:id="360"/>
      <w:r>
        <w:tab/>
        <w:t>Markov model traces</w:t>
      </w:r>
      <w:r w:rsidR="00A95E0E">
        <w:t>, Ig versus corticosteroids</w:t>
      </w:r>
      <w:bookmarkEnd w:id="361"/>
    </w:p>
    <w:p w14:paraId="1B54585B" w14:textId="0FF96DCE" w:rsidR="000B2D70" w:rsidRDefault="00592532" w:rsidP="000F3CBC">
      <w:pPr>
        <w:pStyle w:val="Tablenotes1"/>
      </w:pPr>
      <w:r>
        <w:t>Abbreviation: AE= adverse event</w:t>
      </w:r>
      <w:r w:rsidR="00A95E0E">
        <w:t>;</w:t>
      </w:r>
      <w:r w:rsidR="00A95E0E" w:rsidRPr="00A95E0E">
        <w:t xml:space="preserve"> </w:t>
      </w:r>
      <w:r w:rsidR="00A95E0E">
        <w:t>BSC = best supportive care; Ig = immunoglobulin</w:t>
      </w:r>
    </w:p>
    <w:p w14:paraId="64CEBE31" w14:textId="5419245B" w:rsidR="003572B4" w:rsidRDefault="003572B4" w:rsidP="003572B4">
      <w:pPr>
        <w:pStyle w:val="Heading5"/>
      </w:pPr>
      <w:r>
        <w:t>Scenario analyses</w:t>
      </w:r>
    </w:p>
    <w:p w14:paraId="0DCE4EB0" w14:textId="642BE99C" w:rsidR="00EF530F" w:rsidRPr="00EF530F" w:rsidRDefault="00EF530F" w:rsidP="000B2D70">
      <w:pPr>
        <w:pStyle w:val="BodyTextSTD"/>
      </w:pPr>
      <w:r w:rsidRPr="00EF530F">
        <w:t xml:space="preserve">Scenario analysis for the modelled base-case </w:t>
      </w:r>
      <w:r w:rsidR="00177B7E">
        <w:t xml:space="preserve">varying </w:t>
      </w:r>
      <w:r w:rsidR="001236DF">
        <w:t xml:space="preserve">the </w:t>
      </w:r>
      <w:r w:rsidR="00F65F82" w:rsidRPr="00EF530F">
        <w:t xml:space="preserve">maintenance dose </w:t>
      </w:r>
      <w:r w:rsidR="00177B7E">
        <w:t>for Ig</w:t>
      </w:r>
      <w:r w:rsidR="00177B7E" w:rsidRPr="00EF530F">
        <w:t xml:space="preserve"> </w:t>
      </w:r>
      <w:r w:rsidR="00177B7E">
        <w:t xml:space="preserve">and </w:t>
      </w:r>
      <w:r w:rsidR="00D646C3">
        <w:t xml:space="preserve">using </w:t>
      </w:r>
      <w:r w:rsidR="00177B7E">
        <w:t>alternative</w:t>
      </w:r>
      <w:r w:rsidR="00177B7E" w:rsidRPr="00EF530F">
        <w:t xml:space="preserve"> </w:t>
      </w:r>
      <w:r w:rsidR="00177B7E">
        <w:t xml:space="preserve">cost per gram of Ig </w:t>
      </w:r>
      <w:r w:rsidRPr="00EF530F">
        <w:t xml:space="preserve">are presented </w:t>
      </w:r>
      <w:r w:rsidR="00F65F82">
        <w:t xml:space="preserve">in </w:t>
      </w:r>
      <w:r w:rsidR="00F65F82">
        <w:fldChar w:fldCharType="begin"/>
      </w:r>
      <w:r w:rsidR="00F65F82">
        <w:instrText xml:space="preserve"> REF _Ref66460057 \h </w:instrText>
      </w:r>
      <w:r w:rsidR="00F65F82">
        <w:fldChar w:fldCharType="separate"/>
      </w:r>
      <w:r w:rsidR="004B3EA2" w:rsidRPr="00EF530F">
        <w:t xml:space="preserve">Table </w:t>
      </w:r>
      <w:r w:rsidR="004B3EA2">
        <w:rPr>
          <w:noProof/>
        </w:rPr>
        <w:t>49</w:t>
      </w:r>
      <w:r w:rsidR="00F65F82">
        <w:fldChar w:fldCharType="end"/>
      </w:r>
      <w:r w:rsidR="00F65F82">
        <w:t>.</w:t>
      </w:r>
      <w:r w:rsidR="00D646C3">
        <w:t xml:space="preserve"> </w:t>
      </w:r>
    </w:p>
    <w:p w14:paraId="3EAD6F2F" w14:textId="6E18D327" w:rsidR="00EF530F" w:rsidRPr="00EF530F" w:rsidRDefault="00EF530F" w:rsidP="001F2C96">
      <w:pPr>
        <w:pStyle w:val="Caption"/>
      </w:pPr>
      <w:bookmarkStart w:id="362" w:name="_Ref66460057"/>
      <w:bookmarkStart w:id="363" w:name="_Toc69305690"/>
      <w:r w:rsidRPr="00EF530F">
        <w:t xml:space="preserve">Table </w:t>
      </w:r>
      <w:r w:rsidR="00003BA5">
        <w:fldChar w:fldCharType="begin"/>
      </w:r>
      <w:r w:rsidR="00003BA5">
        <w:instrText xml:space="preserve"> SEQ Table \* ARABIC </w:instrText>
      </w:r>
      <w:r w:rsidR="00003BA5">
        <w:fldChar w:fldCharType="separate"/>
      </w:r>
      <w:r w:rsidR="004B3EA2">
        <w:rPr>
          <w:noProof/>
        </w:rPr>
        <w:t>49</w:t>
      </w:r>
      <w:r w:rsidR="00003BA5">
        <w:rPr>
          <w:noProof/>
        </w:rPr>
        <w:fldChar w:fldCharType="end"/>
      </w:r>
      <w:bookmarkEnd w:id="362"/>
      <w:r w:rsidRPr="00EF530F">
        <w:tab/>
        <w:t>Scenario analyses</w:t>
      </w:r>
      <w:r w:rsidR="00A00511">
        <w:t>, Ig versus corticosteroids</w:t>
      </w:r>
      <w:r w:rsidR="001236DF">
        <w:t xml:space="preserve">, </w:t>
      </w:r>
      <w:r w:rsidR="00177B7E">
        <w:t xml:space="preserve">alternative cost per g of Ig and alternative </w:t>
      </w:r>
      <w:r w:rsidR="00177B7E" w:rsidRPr="00EF530F">
        <w:t>maintenance dose</w:t>
      </w:r>
      <w:bookmarkEnd w:id="363"/>
      <w:r w:rsidR="00177B7E" w:rsidRPr="00EF530F" w:rsidDel="00177B7E">
        <w:t xml:space="preserve"> </w:t>
      </w:r>
    </w:p>
    <w:tbl>
      <w:tblPr>
        <w:tblStyle w:val="TableGrid11"/>
        <w:tblW w:w="5000" w:type="pct"/>
        <w:tblInd w:w="0" w:type="dxa"/>
        <w:tblLayout w:type="fixed"/>
        <w:tblLook w:val="04A0" w:firstRow="1" w:lastRow="0" w:firstColumn="1" w:lastColumn="0" w:noHBand="0" w:noVBand="1"/>
        <w:tblCaption w:val="Scenario analyses, alternative cost per g of Ig and alternative maintenance dose "/>
        <w:tblDescription w:val="Scenario analyses, alternative cost per g of Ig and alternative maintenance dose "/>
      </w:tblPr>
      <w:tblGrid>
        <w:gridCol w:w="5098"/>
        <w:gridCol w:w="1352"/>
        <w:gridCol w:w="1048"/>
        <w:gridCol w:w="1518"/>
      </w:tblGrid>
      <w:tr w:rsidR="00EF530F" w:rsidRPr="00EF530F" w14:paraId="142163CF" w14:textId="77777777" w:rsidTr="000F3CBC">
        <w:trPr>
          <w:cnfStyle w:val="100000000000" w:firstRow="1" w:lastRow="0" w:firstColumn="0" w:lastColumn="0" w:oddVBand="0" w:evenVBand="0" w:oddHBand="0" w:evenHBand="0" w:firstRowFirstColumn="0" w:firstRowLastColumn="0" w:lastRowFirstColumn="0" w:lastRowLastColumn="0"/>
          <w:cantSplit/>
          <w:trHeight w:val="300"/>
          <w:tblHeader/>
        </w:trPr>
        <w:tc>
          <w:tcPr>
            <w:tcW w:w="2827" w:type="pct"/>
            <w:tcBorders>
              <w:top w:val="single" w:sz="4" w:space="0" w:color="auto"/>
              <w:left w:val="single" w:sz="4" w:space="0" w:color="auto"/>
              <w:bottom w:val="single" w:sz="4" w:space="0" w:color="auto"/>
              <w:right w:val="single" w:sz="4" w:space="0" w:color="auto"/>
            </w:tcBorders>
            <w:noWrap/>
            <w:hideMark/>
          </w:tcPr>
          <w:p w14:paraId="1E8F2F39" w14:textId="77777777" w:rsidR="00EF530F" w:rsidRPr="00EF530F" w:rsidRDefault="00EF530F" w:rsidP="00813E77">
            <w:pPr>
              <w:pStyle w:val="TableHeading"/>
            </w:pPr>
            <w:r w:rsidRPr="00EF530F">
              <w:t>Step 3 – Modelled economic evaluation</w:t>
            </w:r>
          </w:p>
        </w:tc>
        <w:tc>
          <w:tcPr>
            <w:tcW w:w="750" w:type="pct"/>
            <w:tcBorders>
              <w:top w:val="single" w:sz="4" w:space="0" w:color="auto"/>
              <w:left w:val="single" w:sz="4" w:space="0" w:color="auto"/>
              <w:bottom w:val="single" w:sz="4" w:space="0" w:color="auto"/>
              <w:right w:val="single" w:sz="4" w:space="0" w:color="auto"/>
            </w:tcBorders>
            <w:noWrap/>
            <w:hideMark/>
          </w:tcPr>
          <w:p w14:paraId="76136CAE" w14:textId="77777777" w:rsidR="00EF530F" w:rsidRPr="00EF530F" w:rsidRDefault="00EF530F" w:rsidP="00813E77">
            <w:pPr>
              <w:pStyle w:val="TableHeading"/>
            </w:pPr>
            <w:r w:rsidRPr="00EF530F">
              <w:t>Inc. cost</w:t>
            </w:r>
          </w:p>
        </w:tc>
        <w:tc>
          <w:tcPr>
            <w:tcW w:w="581" w:type="pct"/>
            <w:tcBorders>
              <w:top w:val="single" w:sz="4" w:space="0" w:color="auto"/>
              <w:left w:val="single" w:sz="4" w:space="0" w:color="auto"/>
              <w:bottom w:val="single" w:sz="4" w:space="0" w:color="auto"/>
              <w:right w:val="single" w:sz="4" w:space="0" w:color="auto"/>
            </w:tcBorders>
            <w:noWrap/>
            <w:hideMark/>
          </w:tcPr>
          <w:p w14:paraId="623D3A48" w14:textId="77777777" w:rsidR="00EF530F" w:rsidRPr="00EF530F" w:rsidRDefault="00EF530F" w:rsidP="00813E77">
            <w:pPr>
              <w:pStyle w:val="TableHeading"/>
            </w:pPr>
            <w:r w:rsidRPr="00EF530F">
              <w:t>Inc. QALYs</w:t>
            </w:r>
          </w:p>
        </w:tc>
        <w:tc>
          <w:tcPr>
            <w:tcW w:w="842" w:type="pct"/>
            <w:tcBorders>
              <w:top w:val="single" w:sz="4" w:space="0" w:color="auto"/>
              <w:left w:val="single" w:sz="4" w:space="0" w:color="auto"/>
              <w:bottom w:val="single" w:sz="4" w:space="0" w:color="auto"/>
              <w:right w:val="single" w:sz="4" w:space="0" w:color="auto"/>
            </w:tcBorders>
            <w:noWrap/>
            <w:hideMark/>
          </w:tcPr>
          <w:p w14:paraId="61F1CBB9" w14:textId="77777777" w:rsidR="00EF530F" w:rsidRPr="00EF530F" w:rsidRDefault="00EF530F" w:rsidP="00813E77">
            <w:pPr>
              <w:pStyle w:val="TableHeading"/>
            </w:pPr>
            <w:r w:rsidRPr="00EF530F">
              <w:t>ICER</w:t>
            </w:r>
          </w:p>
        </w:tc>
      </w:tr>
      <w:tr w:rsidR="00177B7E" w:rsidRPr="00EF530F" w14:paraId="4F49AAF1" w14:textId="77777777" w:rsidTr="000F3CBC">
        <w:trPr>
          <w:cantSplit/>
          <w:trHeight w:val="300"/>
        </w:trPr>
        <w:tc>
          <w:tcPr>
            <w:tcW w:w="2827" w:type="pct"/>
            <w:tcBorders>
              <w:top w:val="single" w:sz="4" w:space="0" w:color="auto"/>
              <w:left w:val="single" w:sz="4" w:space="0" w:color="auto"/>
              <w:bottom w:val="single" w:sz="4" w:space="0" w:color="auto"/>
              <w:right w:val="single" w:sz="4" w:space="0" w:color="auto"/>
            </w:tcBorders>
            <w:noWrap/>
            <w:hideMark/>
          </w:tcPr>
          <w:p w14:paraId="5FFEA961" w14:textId="4FECB773" w:rsidR="00177B7E" w:rsidRPr="00EF530F" w:rsidRDefault="00177B7E" w:rsidP="001236DF">
            <w:pPr>
              <w:pStyle w:val="Tabletext1"/>
            </w:pPr>
            <w:r w:rsidRPr="00EF530F">
              <w:t>Base-case, maintenance dose for Ig: 0.7g/kg/infusion every 4 weeks</w:t>
            </w:r>
            <w:r>
              <w:t xml:space="preserve">, cost $60.41 per gram of Ig </w:t>
            </w:r>
          </w:p>
        </w:tc>
        <w:tc>
          <w:tcPr>
            <w:tcW w:w="750" w:type="pct"/>
            <w:tcBorders>
              <w:top w:val="single" w:sz="4" w:space="0" w:color="auto"/>
              <w:left w:val="single" w:sz="4" w:space="0" w:color="auto"/>
              <w:bottom w:val="single" w:sz="4" w:space="0" w:color="auto"/>
              <w:right w:val="single" w:sz="4" w:space="0" w:color="auto"/>
            </w:tcBorders>
            <w:noWrap/>
            <w:hideMark/>
          </w:tcPr>
          <w:p w14:paraId="47B4DC62" w14:textId="77F194AC" w:rsidR="00177B7E" w:rsidRPr="00EF530F" w:rsidRDefault="00177B7E" w:rsidP="00177B7E">
            <w:pPr>
              <w:pStyle w:val="Tabletext1"/>
              <w:jc w:val="center"/>
            </w:pPr>
            <w:r w:rsidRPr="00214A42">
              <w:t>$137,443</w:t>
            </w:r>
          </w:p>
        </w:tc>
        <w:tc>
          <w:tcPr>
            <w:tcW w:w="581" w:type="pct"/>
            <w:tcBorders>
              <w:top w:val="single" w:sz="4" w:space="0" w:color="auto"/>
              <w:left w:val="single" w:sz="4" w:space="0" w:color="auto"/>
              <w:bottom w:val="single" w:sz="4" w:space="0" w:color="auto"/>
              <w:right w:val="single" w:sz="4" w:space="0" w:color="auto"/>
            </w:tcBorders>
            <w:noWrap/>
            <w:hideMark/>
          </w:tcPr>
          <w:p w14:paraId="007775E5" w14:textId="09E17E8D" w:rsidR="00177B7E" w:rsidRPr="00EF530F" w:rsidRDefault="00177B7E">
            <w:pPr>
              <w:pStyle w:val="Tabletext1"/>
              <w:jc w:val="center"/>
            </w:pPr>
            <w:r w:rsidRPr="009F2146">
              <w:t>1.</w:t>
            </w:r>
            <w:r w:rsidR="002A1D74" w:rsidRPr="009F2146">
              <w:t>18</w:t>
            </w:r>
            <w:r w:rsidR="002A1D74">
              <w:t>40</w:t>
            </w:r>
          </w:p>
        </w:tc>
        <w:tc>
          <w:tcPr>
            <w:tcW w:w="842" w:type="pct"/>
            <w:tcBorders>
              <w:top w:val="single" w:sz="4" w:space="0" w:color="auto"/>
              <w:left w:val="single" w:sz="4" w:space="0" w:color="auto"/>
              <w:bottom w:val="single" w:sz="4" w:space="0" w:color="auto"/>
              <w:right w:val="single" w:sz="4" w:space="0" w:color="auto"/>
            </w:tcBorders>
            <w:noWrap/>
            <w:hideMark/>
          </w:tcPr>
          <w:p w14:paraId="01F280F3" w14:textId="2AC0A8A3" w:rsidR="00177B7E" w:rsidRPr="00EF530F" w:rsidRDefault="002A1D74">
            <w:pPr>
              <w:pStyle w:val="Tabletext1"/>
              <w:jc w:val="center"/>
            </w:pPr>
            <w:r>
              <w:t>$116,088</w:t>
            </w:r>
          </w:p>
        </w:tc>
      </w:tr>
      <w:tr w:rsidR="005E564B" w:rsidRPr="00EF530F" w14:paraId="1B6BD936" w14:textId="77777777" w:rsidTr="000F3CBC">
        <w:trPr>
          <w:cantSplit/>
          <w:trHeight w:val="300"/>
        </w:trPr>
        <w:tc>
          <w:tcPr>
            <w:tcW w:w="2827" w:type="pct"/>
            <w:tcBorders>
              <w:top w:val="single" w:sz="4" w:space="0" w:color="auto"/>
              <w:left w:val="single" w:sz="4" w:space="0" w:color="auto"/>
              <w:bottom w:val="single" w:sz="4" w:space="0" w:color="auto"/>
              <w:right w:val="single" w:sz="4" w:space="0" w:color="auto"/>
            </w:tcBorders>
            <w:noWrap/>
            <w:hideMark/>
          </w:tcPr>
          <w:p w14:paraId="582FBB86" w14:textId="45B1D81E" w:rsidR="005E564B" w:rsidRPr="00EF530F" w:rsidRDefault="005E564B" w:rsidP="005E564B">
            <w:pPr>
              <w:pStyle w:val="Tabletext1"/>
            </w:pPr>
            <w:r w:rsidRPr="00EF530F">
              <w:t>Maintenance dose for Ig: 0.4g/kg/infusion every 4 weeks</w:t>
            </w:r>
          </w:p>
        </w:tc>
        <w:tc>
          <w:tcPr>
            <w:tcW w:w="750" w:type="pct"/>
            <w:tcBorders>
              <w:top w:val="single" w:sz="4" w:space="0" w:color="auto"/>
              <w:left w:val="single" w:sz="4" w:space="0" w:color="auto"/>
              <w:bottom w:val="single" w:sz="4" w:space="0" w:color="auto"/>
              <w:right w:val="single" w:sz="4" w:space="0" w:color="auto"/>
            </w:tcBorders>
            <w:noWrap/>
            <w:hideMark/>
          </w:tcPr>
          <w:p w14:paraId="3A39D859" w14:textId="3C123EA5" w:rsidR="005E564B" w:rsidRPr="00EF530F" w:rsidRDefault="005E564B" w:rsidP="005E564B">
            <w:pPr>
              <w:pStyle w:val="Tabletext1"/>
              <w:jc w:val="center"/>
            </w:pPr>
            <w:r w:rsidRPr="00214A42">
              <w:t>$87,628</w:t>
            </w:r>
          </w:p>
        </w:tc>
        <w:tc>
          <w:tcPr>
            <w:tcW w:w="581" w:type="pct"/>
            <w:tcBorders>
              <w:top w:val="single" w:sz="4" w:space="0" w:color="auto"/>
              <w:left w:val="single" w:sz="4" w:space="0" w:color="auto"/>
              <w:bottom w:val="single" w:sz="4" w:space="0" w:color="auto"/>
              <w:right w:val="single" w:sz="4" w:space="0" w:color="auto"/>
            </w:tcBorders>
            <w:noWrap/>
            <w:hideMark/>
          </w:tcPr>
          <w:p w14:paraId="582DB1E9" w14:textId="22FA1A15" w:rsidR="005E564B" w:rsidRPr="00EF530F" w:rsidRDefault="005E564B" w:rsidP="005E564B">
            <w:pPr>
              <w:pStyle w:val="Tabletext1"/>
              <w:jc w:val="center"/>
            </w:pPr>
            <w:r w:rsidRPr="00E55A14">
              <w:t>1.1840</w:t>
            </w:r>
          </w:p>
        </w:tc>
        <w:tc>
          <w:tcPr>
            <w:tcW w:w="842" w:type="pct"/>
            <w:tcBorders>
              <w:top w:val="single" w:sz="4" w:space="0" w:color="auto"/>
              <w:left w:val="single" w:sz="4" w:space="0" w:color="auto"/>
              <w:bottom w:val="single" w:sz="4" w:space="0" w:color="auto"/>
              <w:right w:val="single" w:sz="4" w:space="0" w:color="auto"/>
            </w:tcBorders>
            <w:noWrap/>
            <w:hideMark/>
          </w:tcPr>
          <w:p w14:paraId="6C0F20D7" w14:textId="6FC75ECF" w:rsidR="005E564B" w:rsidRPr="00EF530F" w:rsidRDefault="005E564B" w:rsidP="005E564B">
            <w:pPr>
              <w:pStyle w:val="Tabletext1"/>
              <w:jc w:val="center"/>
            </w:pPr>
            <w:r w:rsidRPr="00E55A14">
              <w:t>$74,013</w:t>
            </w:r>
          </w:p>
        </w:tc>
      </w:tr>
      <w:tr w:rsidR="005E564B" w:rsidRPr="00EF530F" w14:paraId="732B3463" w14:textId="77777777" w:rsidTr="000F3CBC">
        <w:trPr>
          <w:cantSplit/>
          <w:trHeight w:val="300"/>
        </w:trPr>
        <w:tc>
          <w:tcPr>
            <w:tcW w:w="2827" w:type="pct"/>
            <w:tcBorders>
              <w:top w:val="single" w:sz="4" w:space="0" w:color="auto"/>
              <w:left w:val="single" w:sz="4" w:space="0" w:color="auto"/>
              <w:bottom w:val="single" w:sz="4" w:space="0" w:color="auto"/>
              <w:right w:val="single" w:sz="4" w:space="0" w:color="auto"/>
            </w:tcBorders>
            <w:noWrap/>
            <w:hideMark/>
          </w:tcPr>
          <w:p w14:paraId="13789EE6" w14:textId="12CDDB1E" w:rsidR="005E564B" w:rsidRPr="00EF530F" w:rsidRDefault="005E564B" w:rsidP="005E564B">
            <w:pPr>
              <w:pStyle w:val="Tabletext1"/>
            </w:pPr>
            <w:r w:rsidRPr="00EF530F">
              <w:t>Maintenance dose for Ig: 1.0g/kg/infusion every 4 weeks</w:t>
            </w:r>
          </w:p>
        </w:tc>
        <w:tc>
          <w:tcPr>
            <w:tcW w:w="750" w:type="pct"/>
            <w:tcBorders>
              <w:top w:val="single" w:sz="4" w:space="0" w:color="auto"/>
              <w:left w:val="single" w:sz="4" w:space="0" w:color="auto"/>
              <w:bottom w:val="single" w:sz="4" w:space="0" w:color="auto"/>
              <w:right w:val="single" w:sz="4" w:space="0" w:color="auto"/>
            </w:tcBorders>
            <w:noWrap/>
            <w:hideMark/>
          </w:tcPr>
          <w:p w14:paraId="15748C76" w14:textId="4E8D1A78" w:rsidR="005E564B" w:rsidRPr="00EF530F" w:rsidRDefault="005E564B" w:rsidP="005E564B">
            <w:pPr>
              <w:pStyle w:val="Tabletext1"/>
              <w:jc w:val="center"/>
            </w:pPr>
            <w:r w:rsidRPr="00214A42">
              <w:t>$187,259</w:t>
            </w:r>
          </w:p>
        </w:tc>
        <w:tc>
          <w:tcPr>
            <w:tcW w:w="581" w:type="pct"/>
            <w:tcBorders>
              <w:top w:val="single" w:sz="4" w:space="0" w:color="auto"/>
              <w:left w:val="single" w:sz="4" w:space="0" w:color="auto"/>
              <w:bottom w:val="single" w:sz="4" w:space="0" w:color="auto"/>
              <w:right w:val="single" w:sz="4" w:space="0" w:color="auto"/>
            </w:tcBorders>
            <w:noWrap/>
            <w:hideMark/>
          </w:tcPr>
          <w:p w14:paraId="333D5978" w14:textId="163D3D65" w:rsidR="005E564B" w:rsidRPr="00EF530F" w:rsidRDefault="005E564B" w:rsidP="005E564B">
            <w:pPr>
              <w:pStyle w:val="Tabletext1"/>
              <w:jc w:val="center"/>
            </w:pPr>
            <w:r w:rsidRPr="00E55A14">
              <w:t>1.1840</w:t>
            </w:r>
          </w:p>
        </w:tc>
        <w:tc>
          <w:tcPr>
            <w:tcW w:w="842" w:type="pct"/>
            <w:tcBorders>
              <w:top w:val="single" w:sz="4" w:space="0" w:color="auto"/>
              <w:left w:val="single" w:sz="4" w:space="0" w:color="auto"/>
              <w:bottom w:val="single" w:sz="4" w:space="0" w:color="auto"/>
              <w:right w:val="single" w:sz="4" w:space="0" w:color="auto"/>
            </w:tcBorders>
            <w:noWrap/>
            <w:hideMark/>
          </w:tcPr>
          <w:p w14:paraId="539E18D3" w14:textId="46691053" w:rsidR="005E564B" w:rsidRPr="00EF530F" w:rsidRDefault="005E564B" w:rsidP="005E564B">
            <w:pPr>
              <w:pStyle w:val="Tabletext1"/>
              <w:jc w:val="center"/>
            </w:pPr>
            <w:r w:rsidRPr="00E55A14">
              <w:t>$158,163</w:t>
            </w:r>
          </w:p>
        </w:tc>
      </w:tr>
      <w:tr w:rsidR="005E564B" w:rsidRPr="00EF530F" w14:paraId="62F69931" w14:textId="77777777" w:rsidTr="00177B7E">
        <w:trPr>
          <w:cantSplit/>
          <w:trHeight w:val="300"/>
        </w:trPr>
        <w:tc>
          <w:tcPr>
            <w:tcW w:w="2827" w:type="pct"/>
            <w:tcBorders>
              <w:top w:val="single" w:sz="4" w:space="0" w:color="auto"/>
              <w:left w:val="single" w:sz="4" w:space="0" w:color="auto"/>
              <w:bottom w:val="single" w:sz="4" w:space="0" w:color="auto"/>
              <w:right w:val="single" w:sz="4" w:space="0" w:color="auto"/>
            </w:tcBorders>
            <w:noWrap/>
          </w:tcPr>
          <w:p w14:paraId="5B859CB8" w14:textId="77777777" w:rsidR="005E564B" w:rsidRPr="00EF530F" w:rsidRDefault="005E564B" w:rsidP="005E564B">
            <w:pPr>
              <w:pStyle w:val="Tabletext1"/>
            </w:pPr>
            <w:r w:rsidRPr="00021A77">
              <w:t>High cost (domestic IVIg, including cost of plasma), $140.18 per gram of Ig</w:t>
            </w:r>
          </w:p>
        </w:tc>
        <w:tc>
          <w:tcPr>
            <w:tcW w:w="750" w:type="pct"/>
            <w:tcBorders>
              <w:top w:val="single" w:sz="4" w:space="0" w:color="auto"/>
              <w:left w:val="single" w:sz="4" w:space="0" w:color="auto"/>
              <w:bottom w:val="single" w:sz="4" w:space="0" w:color="auto"/>
              <w:right w:val="single" w:sz="4" w:space="0" w:color="auto"/>
            </w:tcBorders>
            <w:noWrap/>
          </w:tcPr>
          <w:p w14:paraId="2FDA2845" w14:textId="77777777" w:rsidR="005E564B" w:rsidRPr="00214A42" w:rsidRDefault="005E564B" w:rsidP="005E564B">
            <w:pPr>
              <w:pStyle w:val="Tabletext1"/>
              <w:jc w:val="center"/>
            </w:pPr>
            <w:r w:rsidRPr="00021A77">
              <w:t>$310,795</w:t>
            </w:r>
          </w:p>
        </w:tc>
        <w:tc>
          <w:tcPr>
            <w:tcW w:w="581" w:type="pct"/>
            <w:tcBorders>
              <w:top w:val="single" w:sz="4" w:space="0" w:color="auto"/>
              <w:left w:val="single" w:sz="4" w:space="0" w:color="auto"/>
              <w:bottom w:val="single" w:sz="4" w:space="0" w:color="auto"/>
              <w:right w:val="single" w:sz="4" w:space="0" w:color="auto"/>
            </w:tcBorders>
            <w:noWrap/>
          </w:tcPr>
          <w:p w14:paraId="5F47A858" w14:textId="2A604076" w:rsidR="005E564B" w:rsidRPr="009F2146" w:rsidRDefault="005E564B" w:rsidP="005E564B">
            <w:pPr>
              <w:pStyle w:val="Tabletext1"/>
              <w:jc w:val="center"/>
            </w:pPr>
            <w:r w:rsidRPr="00597C70">
              <w:t>1.1840</w:t>
            </w:r>
          </w:p>
        </w:tc>
        <w:tc>
          <w:tcPr>
            <w:tcW w:w="842" w:type="pct"/>
            <w:tcBorders>
              <w:top w:val="single" w:sz="4" w:space="0" w:color="auto"/>
              <w:left w:val="single" w:sz="4" w:space="0" w:color="auto"/>
              <w:bottom w:val="single" w:sz="4" w:space="0" w:color="auto"/>
              <w:right w:val="single" w:sz="4" w:space="0" w:color="auto"/>
            </w:tcBorders>
            <w:noWrap/>
          </w:tcPr>
          <w:p w14:paraId="5B122A88" w14:textId="0EC68185" w:rsidR="005E564B" w:rsidRPr="00A176A6" w:rsidRDefault="005E564B" w:rsidP="005E564B">
            <w:pPr>
              <w:pStyle w:val="Tabletext1"/>
              <w:jc w:val="center"/>
            </w:pPr>
            <w:r w:rsidRPr="00597C70">
              <w:t>$262,505</w:t>
            </w:r>
          </w:p>
        </w:tc>
      </w:tr>
      <w:tr w:rsidR="005E564B" w:rsidRPr="00EF530F" w14:paraId="1C59A86F" w14:textId="77777777" w:rsidTr="00177B7E">
        <w:trPr>
          <w:cantSplit/>
          <w:trHeight w:val="300"/>
        </w:trPr>
        <w:tc>
          <w:tcPr>
            <w:tcW w:w="2827" w:type="pct"/>
            <w:tcBorders>
              <w:top w:val="single" w:sz="4" w:space="0" w:color="auto"/>
              <w:left w:val="single" w:sz="4" w:space="0" w:color="auto"/>
              <w:bottom w:val="single" w:sz="4" w:space="0" w:color="auto"/>
              <w:right w:val="single" w:sz="4" w:space="0" w:color="auto"/>
            </w:tcBorders>
            <w:noWrap/>
          </w:tcPr>
          <w:p w14:paraId="295FDB52" w14:textId="77777777" w:rsidR="005E564B" w:rsidRPr="00EF530F" w:rsidRDefault="005E564B" w:rsidP="005E564B">
            <w:pPr>
              <w:pStyle w:val="Tabletext1"/>
            </w:pPr>
            <w:r w:rsidRPr="00021A77">
              <w:t>Low cost (imported IVIg), $44.94 per gram of Ig</w:t>
            </w:r>
          </w:p>
        </w:tc>
        <w:tc>
          <w:tcPr>
            <w:tcW w:w="750" w:type="pct"/>
            <w:tcBorders>
              <w:top w:val="single" w:sz="4" w:space="0" w:color="auto"/>
              <w:left w:val="single" w:sz="4" w:space="0" w:color="auto"/>
              <w:bottom w:val="single" w:sz="4" w:space="0" w:color="auto"/>
              <w:right w:val="single" w:sz="4" w:space="0" w:color="auto"/>
            </w:tcBorders>
            <w:noWrap/>
          </w:tcPr>
          <w:p w14:paraId="5D6DAF8E" w14:textId="77777777" w:rsidR="005E564B" w:rsidRPr="00214A42" w:rsidRDefault="005E564B" w:rsidP="005E564B">
            <w:pPr>
              <w:pStyle w:val="Tabletext1"/>
              <w:jc w:val="center"/>
            </w:pPr>
            <w:r w:rsidRPr="00021A77">
              <w:t>$103,825</w:t>
            </w:r>
          </w:p>
        </w:tc>
        <w:tc>
          <w:tcPr>
            <w:tcW w:w="581" w:type="pct"/>
            <w:tcBorders>
              <w:top w:val="single" w:sz="4" w:space="0" w:color="auto"/>
              <w:left w:val="single" w:sz="4" w:space="0" w:color="auto"/>
              <w:bottom w:val="single" w:sz="4" w:space="0" w:color="auto"/>
              <w:right w:val="single" w:sz="4" w:space="0" w:color="auto"/>
            </w:tcBorders>
            <w:noWrap/>
          </w:tcPr>
          <w:p w14:paraId="53F4C176" w14:textId="35AD7047" w:rsidR="005E564B" w:rsidRPr="009F2146" w:rsidRDefault="005E564B" w:rsidP="005E564B">
            <w:pPr>
              <w:pStyle w:val="Tabletext1"/>
              <w:jc w:val="center"/>
            </w:pPr>
            <w:r w:rsidRPr="00597C70">
              <w:t>1.1840</w:t>
            </w:r>
          </w:p>
        </w:tc>
        <w:tc>
          <w:tcPr>
            <w:tcW w:w="842" w:type="pct"/>
            <w:tcBorders>
              <w:top w:val="single" w:sz="4" w:space="0" w:color="auto"/>
              <w:left w:val="single" w:sz="4" w:space="0" w:color="auto"/>
              <w:bottom w:val="single" w:sz="4" w:space="0" w:color="auto"/>
              <w:right w:val="single" w:sz="4" w:space="0" w:color="auto"/>
            </w:tcBorders>
            <w:noWrap/>
          </w:tcPr>
          <w:p w14:paraId="6FAEB4C4" w14:textId="30A26B51" w:rsidR="005E564B" w:rsidRPr="00A176A6" w:rsidRDefault="005E564B" w:rsidP="005E564B">
            <w:pPr>
              <w:pStyle w:val="Tabletext1"/>
              <w:jc w:val="center"/>
            </w:pPr>
            <w:r w:rsidRPr="00597C70">
              <w:t>$87,693</w:t>
            </w:r>
          </w:p>
        </w:tc>
      </w:tr>
      <w:tr w:rsidR="005E564B" w:rsidRPr="00EF530F" w14:paraId="7778FD55" w14:textId="77777777" w:rsidTr="00177B7E">
        <w:trPr>
          <w:cantSplit/>
          <w:trHeight w:val="300"/>
        </w:trPr>
        <w:tc>
          <w:tcPr>
            <w:tcW w:w="2827" w:type="pct"/>
            <w:tcBorders>
              <w:top w:val="single" w:sz="4" w:space="0" w:color="auto"/>
              <w:left w:val="single" w:sz="4" w:space="0" w:color="auto"/>
              <w:bottom w:val="single" w:sz="4" w:space="0" w:color="auto"/>
              <w:right w:val="single" w:sz="4" w:space="0" w:color="auto"/>
            </w:tcBorders>
            <w:noWrap/>
          </w:tcPr>
          <w:p w14:paraId="369F6D16" w14:textId="77777777" w:rsidR="005E564B" w:rsidRPr="00EF530F" w:rsidRDefault="005E564B" w:rsidP="005E564B">
            <w:pPr>
              <w:pStyle w:val="Tabletext1"/>
            </w:pPr>
            <w:r w:rsidRPr="00021A77">
              <w:t>weighted average across all indications, $94.51 per gram of Ig</w:t>
            </w:r>
          </w:p>
        </w:tc>
        <w:tc>
          <w:tcPr>
            <w:tcW w:w="750" w:type="pct"/>
            <w:tcBorders>
              <w:top w:val="single" w:sz="4" w:space="0" w:color="auto"/>
              <w:left w:val="single" w:sz="4" w:space="0" w:color="auto"/>
              <w:bottom w:val="single" w:sz="4" w:space="0" w:color="auto"/>
              <w:right w:val="single" w:sz="4" w:space="0" w:color="auto"/>
            </w:tcBorders>
            <w:noWrap/>
          </w:tcPr>
          <w:p w14:paraId="1D28B8C4" w14:textId="77777777" w:rsidR="005E564B" w:rsidRPr="00214A42" w:rsidRDefault="005E564B" w:rsidP="005E564B">
            <w:pPr>
              <w:pStyle w:val="Tabletext1"/>
              <w:jc w:val="center"/>
            </w:pPr>
            <w:r w:rsidRPr="00021A77">
              <w:t>$211,540</w:t>
            </w:r>
          </w:p>
        </w:tc>
        <w:tc>
          <w:tcPr>
            <w:tcW w:w="581" w:type="pct"/>
            <w:tcBorders>
              <w:top w:val="single" w:sz="4" w:space="0" w:color="auto"/>
              <w:left w:val="single" w:sz="4" w:space="0" w:color="auto"/>
              <w:bottom w:val="single" w:sz="4" w:space="0" w:color="auto"/>
              <w:right w:val="single" w:sz="4" w:space="0" w:color="auto"/>
            </w:tcBorders>
            <w:noWrap/>
          </w:tcPr>
          <w:p w14:paraId="3E44ED87" w14:textId="1546B980" w:rsidR="005E564B" w:rsidRPr="009F2146" w:rsidRDefault="005E564B" w:rsidP="005E564B">
            <w:pPr>
              <w:pStyle w:val="Tabletext1"/>
              <w:jc w:val="center"/>
            </w:pPr>
            <w:r w:rsidRPr="00597C70">
              <w:t>1.1840</w:t>
            </w:r>
          </w:p>
        </w:tc>
        <w:tc>
          <w:tcPr>
            <w:tcW w:w="842" w:type="pct"/>
            <w:tcBorders>
              <w:top w:val="single" w:sz="4" w:space="0" w:color="auto"/>
              <w:left w:val="single" w:sz="4" w:space="0" w:color="auto"/>
              <w:bottom w:val="single" w:sz="4" w:space="0" w:color="auto"/>
              <w:right w:val="single" w:sz="4" w:space="0" w:color="auto"/>
            </w:tcBorders>
            <w:noWrap/>
          </w:tcPr>
          <w:p w14:paraId="755921F7" w14:textId="2496B77E" w:rsidR="005E564B" w:rsidRPr="00A176A6" w:rsidRDefault="005E564B" w:rsidP="005E564B">
            <w:pPr>
              <w:pStyle w:val="Tabletext1"/>
              <w:jc w:val="center"/>
            </w:pPr>
            <w:r w:rsidRPr="00597C70">
              <w:t>$178,672</w:t>
            </w:r>
          </w:p>
        </w:tc>
      </w:tr>
    </w:tbl>
    <w:p w14:paraId="779BA8C7" w14:textId="77777777" w:rsidR="00EF530F" w:rsidRDefault="00EF530F" w:rsidP="00EF530F">
      <w:pPr>
        <w:spacing w:after="200" w:line="240" w:lineRule="auto"/>
        <w:ind w:left="57" w:right="57"/>
        <w:contextualSpacing/>
        <w:rPr>
          <w:rFonts w:ascii="Arial Narrow" w:eastAsia="Calibri" w:hAnsi="Arial Narrow" w:cs="Times New Roman"/>
          <w:sz w:val="18"/>
          <w:szCs w:val="18"/>
          <w:lang w:eastAsia="en-US"/>
        </w:rPr>
      </w:pPr>
      <w:r w:rsidRPr="00EF530F">
        <w:rPr>
          <w:rFonts w:ascii="Arial Narrow" w:eastAsia="Calibri" w:hAnsi="Arial Narrow" w:cs="Times New Roman"/>
          <w:sz w:val="18"/>
          <w:szCs w:val="18"/>
          <w:lang w:eastAsia="en-US"/>
        </w:rPr>
        <w:t xml:space="preserve">g = grams; ICER = incremental cost-effectiveness ratio; Ig = immunoglobulin; Inc = Incremental; </w:t>
      </w:r>
      <w:r w:rsidR="00177B7E">
        <w:rPr>
          <w:rFonts w:ascii="Arial Narrow" w:eastAsia="Calibri" w:hAnsi="Arial Narrow" w:cs="Times New Roman"/>
          <w:sz w:val="18"/>
          <w:szCs w:val="18"/>
          <w:lang w:eastAsia="en-US"/>
        </w:rPr>
        <w:t xml:space="preserve">IV = intravenous; </w:t>
      </w:r>
      <w:r w:rsidRPr="00EF530F">
        <w:rPr>
          <w:rFonts w:ascii="Arial Narrow" w:eastAsia="Calibri" w:hAnsi="Arial Narrow" w:cs="Times New Roman"/>
          <w:sz w:val="18"/>
          <w:szCs w:val="18"/>
          <w:lang w:eastAsia="en-US"/>
        </w:rPr>
        <w:t>kg = kilograms; QALY = quality-adjusted life years</w:t>
      </w:r>
    </w:p>
    <w:p w14:paraId="29A6C0B9" w14:textId="1D25ECA9" w:rsidR="00583D34" w:rsidRPr="00813E77" w:rsidRDefault="00641CF9" w:rsidP="00813E77">
      <w:pPr>
        <w:pStyle w:val="BodyTextSTD"/>
      </w:pPr>
      <w:r>
        <w:t>The ICERs vary substantially in the range of $7</w:t>
      </w:r>
      <w:r w:rsidR="00524109">
        <w:t>4,013</w:t>
      </w:r>
      <w:r>
        <w:t>–</w:t>
      </w:r>
      <w:r w:rsidR="005A774C">
        <w:t xml:space="preserve"> </w:t>
      </w:r>
      <w:r>
        <w:t>$15</w:t>
      </w:r>
      <w:r w:rsidR="00524109">
        <w:t xml:space="preserve">8,163 </w:t>
      </w:r>
      <w:r>
        <w:t>per QALY gained when maintenance dose for Ig infusion is varied from 0.4–1.0 g/kg.</w:t>
      </w:r>
      <w:r w:rsidR="00D646C3">
        <w:t xml:space="preserve"> ICERs are highly sensitive to the cost per gram of Ig used (range $87,</w:t>
      </w:r>
      <w:r w:rsidR="00524109">
        <w:t>693</w:t>
      </w:r>
      <w:r w:rsidR="00D646C3">
        <w:t xml:space="preserve"> – $26</w:t>
      </w:r>
      <w:r w:rsidR="00524109">
        <w:t>2,505</w:t>
      </w:r>
      <w:r w:rsidR="00D646C3">
        <w:t>).</w:t>
      </w:r>
    </w:p>
    <w:p w14:paraId="7D3C385E" w14:textId="0D5C5588" w:rsidR="00641CF9" w:rsidRDefault="006055B5" w:rsidP="00641CF9">
      <w:pPr>
        <w:pStyle w:val="Heading3"/>
      </w:pPr>
      <w:bookmarkStart w:id="364" w:name="_Toc69305598"/>
      <w:r>
        <w:t>D.5B.</w:t>
      </w:r>
      <w:r>
        <w:tab/>
      </w:r>
      <w:r w:rsidR="00C71B42">
        <w:tab/>
      </w:r>
      <w:r w:rsidR="00641CF9" w:rsidRPr="00EF530F">
        <w:t xml:space="preserve">Ig compared with </w:t>
      </w:r>
      <w:r w:rsidR="00641CF9">
        <w:t>Plasma exchange</w:t>
      </w:r>
      <w:bookmarkEnd w:id="364"/>
    </w:p>
    <w:p w14:paraId="0A4B7313" w14:textId="62AE666E" w:rsidR="00641CF9" w:rsidRDefault="00641CF9" w:rsidP="00641CF9">
      <w:pPr>
        <w:pStyle w:val="BodyTextSTD"/>
      </w:pPr>
      <w:r w:rsidRPr="00813E77">
        <w:t xml:space="preserve">There was insufficient evidence on the comparison of Ig and </w:t>
      </w:r>
      <w:r w:rsidR="004019DA">
        <w:t>PE</w:t>
      </w:r>
      <w:r w:rsidRPr="00813E77">
        <w:t xml:space="preserve"> to support a finding of non-inferiority. The long-term effectiveness of PE treatment for CIDP is uncertain as the evidence was limited and of mixed quality.</w:t>
      </w:r>
      <w:r w:rsidR="00C42C3A">
        <w:t xml:space="preserve"> As such, only exploratory analyses could be conducted for this comparison.</w:t>
      </w:r>
    </w:p>
    <w:p w14:paraId="0B8A5C5F" w14:textId="77777777" w:rsidR="00641CF9" w:rsidRPr="00EF530F" w:rsidRDefault="00641CF9" w:rsidP="00641CF9">
      <w:pPr>
        <w:pStyle w:val="Heading4"/>
      </w:pPr>
      <w:r w:rsidRPr="00EF530F">
        <w:t>D.5</w:t>
      </w:r>
      <w:r w:rsidR="006055B5">
        <w:t>B</w:t>
      </w:r>
      <w:r w:rsidRPr="00EF530F">
        <w:t>.1.</w:t>
      </w:r>
      <w:r>
        <w:tab/>
      </w:r>
      <w:r w:rsidRPr="00EF530F">
        <w:t>Stepped economic evaluation</w:t>
      </w:r>
    </w:p>
    <w:p w14:paraId="56067264" w14:textId="77777777" w:rsidR="00641CF9" w:rsidRPr="00EF530F" w:rsidRDefault="00641CF9" w:rsidP="00641CF9">
      <w:pPr>
        <w:pStyle w:val="BodyTextSTD"/>
      </w:pPr>
      <w:r w:rsidRPr="00EF530F">
        <w:t xml:space="preserve">A summary the steps </w:t>
      </w:r>
      <w:r>
        <w:t xml:space="preserve">in the </w:t>
      </w:r>
      <w:r w:rsidRPr="00EF530F">
        <w:t>stepped economic evaluation is presented below:</w:t>
      </w:r>
    </w:p>
    <w:p w14:paraId="505F43EA" w14:textId="7DB445CA" w:rsidR="00641CF9" w:rsidRPr="00EF530F" w:rsidRDefault="00641CF9" w:rsidP="00D8108B">
      <w:pPr>
        <w:pStyle w:val="BodyTextSTD"/>
        <w:numPr>
          <w:ilvl w:val="0"/>
          <w:numId w:val="38"/>
        </w:numPr>
      </w:pPr>
      <w:r w:rsidRPr="00EF530F">
        <w:t xml:space="preserve">Step 1: Trial-based analysis. This step will apply the dose, dose frequency, </w:t>
      </w:r>
      <w:r w:rsidR="00C42C3A">
        <w:t xml:space="preserve">time horizon </w:t>
      </w:r>
      <w:r w:rsidRPr="00EF530F">
        <w:t xml:space="preserve">from the </w:t>
      </w:r>
      <w:r w:rsidR="00C42C3A">
        <w:t xml:space="preserve">Dyck et al </w:t>
      </w:r>
      <w:r w:rsidR="00B727D6">
        <w:fldChar w:fldCharType="begin"/>
      </w:r>
      <w:r w:rsidR="00B727D6">
        <w:instrText xml:space="preserve"> ADDIN EN.CITE &lt;EndNote&gt;&lt;Cite ExcludeAuth="1"&gt;&lt;Author&gt;Dyck&lt;/Author&gt;&lt;Year&gt;1994&lt;/Year&gt;&lt;RecNum&gt;6&lt;/RecNum&gt;&lt;DisplayText&gt;(1994)&lt;/DisplayText&gt;&lt;record&gt;&lt;rec-number&gt;6&lt;/rec-number&gt;&lt;foreign-keys&gt;&lt;key app="EN" db-id="xtr5xfx2xf0wd7e0s2qvst2ietxxf0tpzr9v" timestamp="1601273176"&gt;6&lt;/key&gt;&lt;/foreign-keys&gt;&lt;ref-type name="Journal Article"&gt;17&lt;/ref-type&gt;&lt;contributors&gt;&lt;authors&gt;&lt;author&gt;Dyck, P. J.&lt;/author&gt;&lt;author&gt;Litchy, W. J.&lt;/author&gt;&lt;author&gt;Kratz, K. M.&lt;/author&gt;&lt;author&gt;Suarez, G. A.&lt;/author&gt;&lt;author&gt;Low, P. A.&lt;/author&gt;&lt;author&gt;Pineda, A. A.&lt;/author&gt;&lt;author&gt;Windebank, A. J.&lt;/author&gt;&lt;author&gt;Karnes, J. L.&lt;/author&gt;&lt;author&gt;O&amp;apos;Brien, P. C.&lt;/author&gt;&lt;/authors&gt;&lt;/contributors&gt;&lt;auth-address&gt;Department of Neurology, Mayo Clinic, Rochester, MN 55905.&lt;/auth-address&gt;&lt;titles&gt;&lt;title&gt;A plasma exchange versus immune globulin infusion trial in chronic inflammatory demyelinating polyradiculoneuropathy&lt;/title&gt;&lt;secondary-title&gt;Ann Neurol&lt;/secondary-title&gt;&lt;/titles&gt;&lt;periodical&gt;&lt;full-title&gt;Ann Neurol&lt;/full-title&gt;&lt;/periodical&gt;&lt;pages&gt;838-45&lt;/pages&gt;&lt;volume&gt;36&lt;/volume&gt;&lt;number&gt;6&lt;/number&gt;&lt;edition&gt;1994/12/01&lt;/edition&gt;&lt;keywords&gt;&lt;keyword&gt;Adult&lt;/keyword&gt;&lt;keyword&gt;Aged&lt;/keyword&gt;&lt;keyword&gt;Chronic Disease&lt;/keyword&gt;&lt;keyword&gt;Demyelinating Diseases/ therapy&lt;/keyword&gt;&lt;keyword&gt;Female&lt;/keyword&gt;&lt;keyword&gt;Humans&lt;/keyword&gt;&lt;keyword&gt;Immunoglobulins, Intravenous/ therapeutic use&lt;/keyword&gt;&lt;keyword&gt;Male&lt;/keyword&gt;&lt;keyword&gt;Middle Aged&lt;/keyword&gt;&lt;keyword&gt;Plasma Exchange&lt;/keyword&gt;&lt;keyword&gt;Polyradiculoneuropathy/ therapy&lt;/keyword&gt;&lt;/keywords&gt;&lt;dates&gt;&lt;year&gt;1994&lt;/year&gt;&lt;pub-dates&gt;&lt;date&gt;Dec&lt;/date&gt;&lt;/pub-dates&gt;&lt;/dates&gt;&lt;isbn&gt;0364-5134 (Print)&amp;#xD;0364-5134 (Linking)&lt;/isbn&gt;&lt;accession-num&gt;7998769&lt;/accession-num&gt;&lt;urls&gt;&lt;related-urls&gt;&lt;url&gt;https://onlinelibrary.wiley.com/doi/pdfdirect/10.1002/ana.410360607?download=true&lt;/url&gt;&lt;/related-urls&gt;&lt;/urls&gt;&lt;electronic-resource-num&gt;10.1002/ana.410360607&lt;/electronic-resource-num&gt;&lt;remote-database-provider&gt;NLM&lt;/remote-database-provider&gt;&lt;language&gt;eng&lt;/language&gt;&lt;/record&gt;&lt;/Cite&gt;&lt;/EndNote&gt;</w:instrText>
      </w:r>
      <w:r w:rsidR="00B727D6">
        <w:fldChar w:fldCharType="separate"/>
      </w:r>
      <w:r w:rsidR="00B727D6">
        <w:rPr>
          <w:noProof/>
        </w:rPr>
        <w:t>(</w:t>
      </w:r>
      <w:hyperlink w:anchor="_ENREF_17" w:tooltip="Dyck, 1994 #6" w:history="1">
        <w:r w:rsidR="00D726F6">
          <w:rPr>
            <w:noProof/>
          </w:rPr>
          <w:t>1994</w:t>
        </w:r>
      </w:hyperlink>
      <w:r w:rsidR="00B727D6">
        <w:rPr>
          <w:noProof/>
        </w:rPr>
        <w:t>)</w:t>
      </w:r>
      <w:r w:rsidR="00B727D6">
        <w:fldChar w:fldCharType="end"/>
      </w:r>
      <w:r w:rsidR="00C42C3A">
        <w:t xml:space="preserve"> </w:t>
      </w:r>
      <w:r w:rsidRPr="00EF530F">
        <w:t>trial</w:t>
      </w:r>
      <w:r w:rsidR="00D8108B">
        <w:t xml:space="preserve"> (</w:t>
      </w:r>
      <w:r w:rsidR="00D8108B" w:rsidRPr="00D8108B">
        <w:rPr>
          <w:rStyle w:val="BodyTextSTDChar"/>
        </w:rPr>
        <w:t xml:space="preserve">see </w:t>
      </w:r>
      <w:r w:rsidR="00D8108B" w:rsidRPr="00D8108B">
        <w:rPr>
          <w:rStyle w:val="BodyTextSTDChar"/>
        </w:rPr>
        <w:fldChar w:fldCharType="begin"/>
      </w:r>
      <w:r w:rsidR="00D8108B" w:rsidRPr="00D8108B">
        <w:rPr>
          <w:rStyle w:val="BodyTextSTDChar"/>
        </w:rPr>
        <w:instrText xml:space="preserve"> REF _Ref66377479 \h </w:instrText>
      </w:r>
      <w:r w:rsidR="00D8108B">
        <w:rPr>
          <w:rStyle w:val="BodyTextSTDChar"/>
        </w:rPr>
        <w:instrText xml:space="preserve"> \* MERGEFORMAT </w:instrText>
      </w:r>
      <w:r w:rsidR="00D8108B" w:rsidRPr="00D8108B">
        <w:rPr>
          <w:rStyle w:val="BodyTextSTDChar"/>
        </w:rPr>
      </w:r>
      <w:r w:rsidR="00D8108B" w:rsidRPr="00D8108B">
        <w:rPr>
          <w:rStyle w:val="BodyTextSTDChar"/>
        </w:rPr>
        <w:fldChar w:fldCharType="separate"/>
      </w:r>
      <w:r w:rsidR="004B3EA2" w:rsidRPr="004B3EA2">
        <w:rPr>
          <w:rStyle w:val="BodyTextSTDChar"/>
        </w:rPr>
        <w:t>Table 27</w:t>
      </w:r>
      <w:r w:rsidR="00D8108B" w:rsidRPr="00D8108B">
        <w:rPr>
          <w:rStyle w:val="BodyTextSTDChar"/>
        </w:rPr>
        <w:fldChar w:fldCharType="end"/>
      </w:r>
      <w:r w:rsidR="00D8108B">
        <w:t>)</w:t>
      </w:r>
      <w:r w:rsidRPr="00EF530F">
        <w:t>.</w:t>
      </w:r>
      <w:r w:rsidR="00C42C3A">
        <w:t xml:space="preserve"> This study was conducted over six weeks with 20 patients. This study claimed equivalent effectiveness for Ig and PE. As there were no differences in the health outcomes, only a cost analysis is presented in Step 1.</w:t>
      </w:r>
    </w:p>
    <w:p w14:paraId="71BD3CD3" w14:textId="214538DA" w:rsidR="00641CF9" w:rsidRDefault="00641CF9" w:rsidP="00D8108B">
      <w:pPr>
        <w:pStyle w:val="BodyTextSTD"/>
        <w:numPr>
          <w:ilvl w:val="0"/>
          <w:numId w:val="38"/>
        </w:numPr>
      </w:pPr>
      <w:r w:rsidRPr="00EF530F">
        <w:t xml:space="preserve">Step 2: Modelled base case analysis. The final step of the analysis models the benefit of Ig relative to </w:t>
      </w:r>
      <w:r w:rsidR="00C42C3A">
        <w:t>PE</w:t>
      </w:r>
      <w:r w:rsidRPr="00EF530F">
        <w:t xml:space="preserve"> based on the </w:t>
      </w:r>
      <w:r w:rsidR="00C42C3A">
        <w:t xml:space="preserve">exploratory data analyses and </w:t>
      </w:r>
      <w:r w:rsidRPr="00EF530F">
        <w:t xml:space="preserve">pooled adverse event rates </w:t>
      </w:r>
      <w:r w:rsidR="00C42C3A">
        <w:t xml:space="preserve">as summarised </w:t>
      </w:r>
      <w:r w:rsidRPr="00EF530F">
        <w:t xml:space="preserve">in Section </w:t>
      </w:r>
      <w:r w:rsidR="00C42C3A">
        <w:t>D.4.</w:t>
      </w:r>
      <w:r w:rsidRPr="00EF530F">
        <w:t xml:space="preserve"> The dose and frequency of Ig modelled is that described in the version 3 of</w:t>
      </w:r>
      <w:r w:rsidR="00C42C3A">
        <w:t xml:space="preserve"> the Criteria and PE as described in </w:t>
      </w:r>
      <w:r w:rsidR="00B727D6">
        <w:fldChar w:fldCharType="begin"/>
      </w:r>
      <w:r w:rsidR="00B727D6">
        <w:instrText xml:space="preserve"> ADDIN EN.CITE &lt;EndNote&gt;&lt;Cite&gt;&lt;Author&gt;Gwathmey&lt;/Author&gt;&lt;Year&gt;2020&lt;/Year&gt;&lt;RecNum&gt;489&lt;/RecNum&gt;&lt;DisplayText&gt;(Gwathmey 2020)&lt;/DisplayText&gt;&lt;record&gt;&lt;rec-number&gt;489&lt;/rec-number&gt;&lt;foreign-keys&gt;&lt;key app="EN" db-id="xtr5xfx2xf0wd7e0s2qvst2ietxxf0tpzr9v" timestamp="1602225824"&gt;489&lt;/key&gt;&lt;/foreign-keys&gt;&lt;ref-type name="Journal Article"&gt;17&lt;/ref-type&gt;&lt;contributors&gt;&lt;authors&gt;&lt;author&gt;Gwathmey, K.&lt;/author&gt;&lt;/authors&gt;&lt;/contributors&gt;&lt;titles&gt;&lt;title&gt;Chronic Inflammatory Demyelinating Polyradiculoneuropathy and Its Variants&lt;/title&gt;&lt;secondary-title&gt;Continuum (Minneap Minn)&lt;/secondary-title&gt;&lt;/titles&gt;&lt;periodical&gt;&lt;full-title&gt;Continuum (Minneap Minn)&lt;/full-title&gt;&lt;/periodical&gt;&lt;pages&gt;1205-1223&lt;/pages&gt;&lt;volume&gt;26&lt;/volume&gt;&lt;number&gt;5&lt;/number&gt;&lt;edition&gt;2020/10/02&lt;/edition&gt;&lt;dates&gt;&lt;year&gt;2020&lt;/year&gt;&lt;pub-dates&gt;&lt;date&gt;Oct&lt;/date&gt;&lt;/pub-dates&gt;&lt;/dates&gt;&lt;isbn&gt;1538-6899 (Electronic)&amp;#xD;1080-2371 (Linking)&lt;/isbn&gt;&lt;accession-num&gt;33002999&lt;/accession-num&gt;&lt;urls&gt;&lt;/urls&gt;&lt;electronic-resource-num&gt;10.1212/con.0000000000000907&lt;/electronic-resource-num&gt;&lt;remote-database-provider&gt;NLM&lt;/remote-database-provider&gt;&lt;language&gt;eng&lt;/language&gt;&lt;/record&gt;&lt;/Cite&gt;&lt;/EndNote&gt;</w:instrText>
      </w:r>
      <w:r w:rsidR="00B727D6">
        <w:fldChar w:fldCharType="separate"/>
      </w:r>
      <w:r w:rsidR="00B727D6">
        <w:rPr>
          <w:noProof/>
        </w:rPr>
        <w:t>(</w:t>
      </w:r>
      <w:hyperlink w:anchor="_ENREF_22" w:tooltip="Gwathmey, 2020 #489" w:history="1">
        <w:r w:rsidR="00D726F6">
          <w:rPr>
            <w:noProof/>
          </w:rPr>
          <w:t>Gwathmey 2020</w:t>
        </w:r>
      </w:hyperlink>
      <w:r w:rsidR="00B727D6">
        <w:rPr>
          <w:noProof/>
        </w:rPr>
        <w:t>)</w:t>
      </w:r>
      <w:r w:rsidR="00B727D6">
        <w:fldChar w:fldCharType="end"/>
      </w:r>
      <w:r w:rsidR="00C42C3A">
        <w:t xml:space="preserve">, see </w:t>
      </w:r>
      <w:r w:rsidR="00C42C3A">
        <w:fldChar w:fldCharType="begin"/>
      </w:r>
      <w:r w:rsidR="00C42C3A">
        <w:instrText xml:space="preserve"> REF _Ref65086945 \h </w:instrText>
      </w:r>
      <w:r w:rsidR="00D8108B">
        <w:instrText xml:space="preserve"> \* MERGEFORMAT </w:instrText>
      </w:r>
      <w:r w:rsidR="00C42C3A">
        <w:fldChar w:fldCharType="separate"/>
      </w:r>
      <w:r w:rsidR="004B3EA2">
        <w:t xml:space="preserve">Table </w:t>
      </w:r>
      <w:r w:rsidR="004B3EA2">
        <w:rPr>
          <w:noProof/>
        </w:rPr>
        <w:t>28</w:t>
      </w:r>
      <w:r w:rsidR="00C42C3A">
        <w:fldChar w:fldCharType="end"/>
      </w:r>
      <w:r w:rsidRPr="00EF530F">
        <w:t>.</w:t>
      </w:r>
    </w:p>
    <w:p w14:paraId="03D35C2C" w14:textId="0869B093" w:rsidR="008817FE" w:rsidRDefault="008817FE" w:rsidP="008817FE">
      <w:pPr>
        <w:pStyle w:val="BodyTextSTD"/>
      </w:pPr>
      <w:r>
        <w:fldChar w:fldCharType="begin"/>
      </w:r>
      <w:r>
        <w:instrText xml:space="preserve"> REF _Ref66457824 \h </w:instrText>
      </w:r>
      <w:r>
        <w:fldChar w:fldCharType="separate"/>
      </w:r>
      <w:r w:rsidR="004B3EA2">
        <w:t xml:space="preserve">Table </w:t>
      </w:r>
      <w:r w:rsidR="004B3EA2">
        <w:rPr>
          <w:noProof/>
        </w:rPr>
        <w:t>50</w:t>
      </w:r>
      <w:r>
        <w:fldChar w:fldCharType="end"/>
      </w:r>
      <w:r>
        <w:t xml:space="preserve"> presents results for step 1: Trial-based analysis.</w:t>
      </w:r>
    </w:p>
    <w:p w14:paraId="5E83BEA7" w14:textId="1F497E9F" w:rsidR="008817FE" w:rsidRDefault="008817FE" w:rsidP="008817FE">
      <w:pPr>
        <w:pStyle w:val="Caption"/>
      </w:pPr>
      <w:bookmarkStart w:id="365" w:name="_Ref66457824"/>
      <w:bookmarkStart w:id="366" w:name="_Toc69305691"/>
      <w:r>
        <w:t xml:space="preserve">Table </w:t>
      </w:r>
      <w:r w:rsidR="00003BA5">
        <w:fldChar w:fldCharType="begin"/>
      </w:r>
      <w:r w:rsidR="00003BA5">
        <w:instrText xml:space="preserve"> SEQ Table \* ARABIC </w:instrText>
      </w:r>
      <w:r w:rsidR="00003BA5">
        <w:fldChar w:fldCharType="separate"/>
      </w:r>
      <w:r w:rsidR="004B3EA2">
        <w:rPr>
          <w:noProof/>
        </w:rPr>
        <w:t>50</w:t>
      </w:r>
      <w:r w:rsidR="00003BA5">
        <w:rPr>
          <w:noProof/>
        </w:rPr>
        <w:fldChar w:fldCharType="end"/>
      </w:r>
      <w:bookmarkEnd w:id="365"/>
      <w:r>
        <w:tab/>
        <w:t>Results for step 1 of the analysis, immunoglobulin versus plasma exchange</w:t>
      </w:r>
      <w:bookmarkEnd w:id="366"/>
    </w:p>
    <w:tbl>
      <w:tblPr>
        <w:tblW w:w="5000" w:type="pct"/>
        <w:tblLook w:val="04A0" w:firstRow="1" w:lastRow="0" w:firstColumn="1" w:lastColumn="0" w:noHBand="0" w:noVBand="1"/>
        <w:tblCaption w:val="Results for step 1 of the analysis, immunoglobulin versus plasma exchange"/>
        <w:tblDescription w:val="Results for step 1 of the analysis, immunoglobulin versus plasma exchange"/>
      </w:tblPr>
      <w:tblGrid>
        <w:gridCol w:w="2337"/>
        <w:gridCol w:w="1187"/>
        <w:gridCol w:w="1187"/>
        <w:gridCol w:w="1187"/>
        <w:gridCol w:w="1756"/>
        <w:gridCol w:w="1362"/>
      </w:tblGrid>
      <w:tr w:rsidR="008817FE" w:rsidRPr="005F57EB" w14:paraId="0DE033F2" w14:textId="77777777" w:rsidTr="0083397F">
        <w:trPr>
          <w:trHeight w:val="300"/>
          <w:tblHeader/>
        </w:trPr>
        <w:tc>
          <w:tcPr>
            <w:tcW w:w="1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5EF1F" w14:textId="77777777" w:rsidR="008817FE" w:rsidRPr="005F57EB" w:rsidRDefault="008817FE" w:rsidP="00865238">
            <w:pPr>
              <w:pStyle w:val="TableHeading"/>
            </w:pP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53236C06" w14:textId="77777777" w:rsidR="008817FE" w:rsidRPr="005F57EB" w:rsidRDefault="008817FE" w:rsidP="00865238">
            <w:pPr>
              <w:pStyle w:val="TableHeading"/>
            </w:pPr>
            <w:r>
              <w:t>NTE</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10F41473" w14:textId="77777777" w:rsidR="008817FE" w:rsidRPr="005F57EB" w:rsidRDefault="008817FE" w:rsidP="00865238">
            <w:pPr>
              <w:pStyle w:val="TableHeading"/>
            </w:pPr>
            <w:r w:rsidRPr="005F57EB">
              <w:t>Dose (g)</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7EC13353" w14:textId="77777777" w:rsidR="008817FE" w:rsidRPr="005F57EB" w:rsidRDefault="008817FE" w:rsidP="00865238">
            <w:pPr>
              <w:pStyle w:val="TableHeading"/>
            </w:pPr>
            <w:r>
              <w:t>Drug cost</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14:paraId="54DAF628" w14:textId="77777777" w:rsidR="008817FE" w:rsidRPr="005F57EB" w:rsidRDefault="008817FE" w:rsidP="00865238">
            <w:pPr>
              <w:pStyle w:val="TableHeading"/>
            </w:pPr>
            <w:r>
              <w:t>Administration cost</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14:paraId="6F2231DF" w14:textId="77777777" w:rsidR="008817FE" w:rsidRPr="005F57EB" w:rsidRDefault="008817FE" w:rsidP="00865238">
            <w:pPr>
              <w:pStyle w:val="TableHeading"/>
            </w:pPr>
            <w:r w:rsidRPr="005F57EB">
              <w:t>Total</w:t>
            </w:r>
            <w:r>
              <w:t xml:space="preserve"> cost</w:t>
            </w:r>
          </w:p>
        </w:tc>
      </w:tr>
      <w:tr w:rsidR="008817FE" w:rsidRPr="005F57EB" w14:paraId="661B8859" w14:textId="77777777" w:rsidTr="00865238">
        <w:trPr>
          <w:trHeight w:val="300"/>
        </w:trPr>
        <w:tc>
          <w:tcPr>
            <w:tcW w:w="1317" w:type="pct"/>
            <w:tcBorders>
              <w:top w:val="single" w:sz="4" w:space="0" w:color="auto"/>
              <w:left w:val="single" w:sz="4" w:space="0" w:color="auto"/>
              <w:bottom w:val="single" w:sz="4" w:space="0" w:color="auto"/>
            </w:tcBorders>
            <w:shd w:val="clear" w:color="auto" w:fill="auto"/>
            <w:noWrap/>
            <w:vAlign w:val="bottom"/>
          </w:tcPr>
          <w:p w14:paraId="6D358F2C" w14:textId="77777777" w:rsidR="008817FE" w:rsidRPr="005F57EB" w:rsidRDefault="008817FE" w:rsidP="00865238">
            <w:pPr>
              <w:pStyle w:val="Tabletext1"/>
              <w:rPr>
                <w:i/>
              </w:rPr>
            </w:pPr>
            <w:r w:rsidRPr="005F57EB">
              <w:rPr>
                <w:i/>
              </w:rPr>
              <w:t>Immunoglobulin</w:t>
            </w:r>
          </w:p>
        </w:tc>
        <w:tc>
          <w:tcPr>
            <w:tcW w:w="679" w:type="pct"/>
            <w:tcBorders>
              <w:top w:val="single" w:sz="4" w:space="0" w:color="auto"/>
              <w:bottom w:val="single" w:sz="4" w:space="0" w:color="auto"/>
            </w:tcBorders>
            <w:shd w:val="clear" w:color="auto" w:fill="auto"/>
            <w:noWrap/>
            <w:vAlign w:val="bottom"/>
          </w:tcPr>
          <w:p w14:paraId="3AC27708" w14:textId="77777777" w:rsidR="008817FE" w:rsidRPr="005F57EB" w:rsidRDefault="008817FE" w:rsidP="00865238">
            <w:pPr>
              <w:pStyle w:val="Tabletext1"/>
              <w:rPr>
                <w:i/>
              </w:rPr>
            </w:pPr>
          </w:p>
        </w:tc>
        <w:tc>
          <w:tcPr>
            <w:tcW w:w="679" w:type="pct"/>
            <w:tcBorders>
              <w:top w:val="single" w:sz="4" w:space="0" w:color="auto"/>
              <w:bottom w:val="single" w:sz="4" w:space="0" w:color="auto"/>
            </w:tcBorders>
            <w:shd w:val="clear" w:color="auto" w:fill="auto"/>
            <w:noWrap/>
            <w:vAlign w:val="bottom"/>
          </w:tcPr>
          <w:p w14:paraId="515D450C" w14:textId="77777777" w:rsidR="008817FE" w:rsidRPr="005F57EB" w:rsidRDefault="008817FE" w:rsidP="00865238">
            <w:pPr>
              <w:pStyle w:val="Tabletext1"/>
              <w:rPr>
                <w:i/>
              </w:rPr>
            </w:pPr>
          </w:p>
        </w:tc>
        <w:tc>
          <w:tcPr>
            <w:tcW w:w="679" w:type="pct"/>
            <w:tcBorders>
              <w:top w:val="single" w:sz="4" w:space="0" w:color="auto"/>
              <w:bottom w:val="single" w:sz="4" w:space="0" w:color="auto"/>
            </w:tcBorders>
            <w:shd w:val="clear" w:color="auto" w:fill="auto"/>
            <w:noWrap/>
            <w:vAlign w:val="bottom"/>
          </w:tcPr>
          <w:p w14:paraId="022EC0B8" w14:textId="77777777" w:rsidR="008817FE" w:rsidRPr="005F57EB" w:rsidRDefault="008817FE" w:rsidP="00865238">
            <w:pPr>
              <w:pStyle w:val="Tabletext1"/>
              <w:rPr>
                <w:i/>
              </w:rPr>
            </w:pPr>
          </w:p>
        </w:tc>
        <w:tc>
          <w:tcPr>
            <w:tcW w:w="870" w:type="pct"/>
            <w:tcBorders>
              <w:top w:val="single" w:sz="4" w:space="0" w:color="auto"/>
              <w:bottom w:val="single" w:sz="4" w:space="0" w:color="auto"/>
            </w:tcBorders>
            <w:shd w:val="clear" w:color="auto" w:fill="auto"/>
            <w:noWrap/>
            <w:vAlign w:val="bottom"/>
          </w:tcPr>
          <w:p w14:paraId="56A400C6" w14:textId="77777777" w:rsidR="008817FE" w:rsidRPr="005F57EB" w:rsidRDefault="008817FE" w:rsidP="00865238">
            <w:pPr>
              <w:pStyle w:val="Tabletext1"/>
              <w:rPr>
                <w:i/>
              </w:rPr>
            </w:pPr>
          </w:p>
        </w:tc>
        <w:tc>
          <w:tcPr>
            <w:tcW w:w="776" w:type="pct"/>
            <w:tcBorders>
              <w:top w:val="single" w:sz="4" w:space="0" w:color="auto"/>
              <w:bottom w:val="single" w:sz="4" w:space="0" w:color="auto"/>
              <w:right w:val="single" w:sz="4" w:space="0" w:color="auto"/>
            </w:tcBorders>
            <w:shd w:val="clear" w:color="auto" w:fill="auto"/>
            <w:noWrap/>
            <w:vAlign w:val="bottom"/>
          </w:tcPr>
          <w:p w14:paraId="6CBE9308" w14:textId="77777777" w:rsidR="008817FE" w:rsidRPr="005F57EB" w:rsidRDefault="008817FE" w:rsidP="00865238">
            <w:pPr>
              <w:pStyle w:val="Tabletext1"/>
              <w:rPr>
                <w:i/>
              </w:rPr>
            </w:pPr>
          </w:p>
        </w:tc>
      </w:tr>
      <w:tr w:rsidR="008817FE" w:rsidRPr="005F57EB" w14:paraId="416BBF1B" w14:textId="77777777" w:rsidTr="00865238">
        <w:trPr>
          <w:trHeight w:val="300"/>
        </w:trPr>
        <w:tc>
          <w:tcPr>
            <w:tcW w:w="1317" w:type="pct"/>
            <w:tcBorders>
              <w:top w:val="nil"/>
              <w:left w:val="single" w:sz="4" w:space="0" w:color="auto"/>
              <w:bottom w:val="single" w:sz="4" w:space="0" w:color="auto"/>
              <w:right w:val="single" w:sz="4" w:space="0" w:color="auto"/>
            </w:tcBorders>
            <w:shd w:val="clear" w:color="auto" w:fill="auto"/>
            <w:noWrap/>
            <w:vAlign w:val="bottom"/>
            <w:hideMark/>
          </w:tcPr>
          <w:p w14:paraId="494AB4A5" w14:textId="1CA84354" w:rsidR="008817FE" w:rsidRPr="005F57EB" w:rsidRDefault="008817FE" w:rsidP="001236DF">
            <w:pPr>
              <w:pStyle w:val="Tabletext1"/>
            </w:pPr>
            <w:r w:rsidRPr="005F57EB">
              <w:t xml:space="preserve">Induction </w:t>
            </w:r>
            <w:r>
              <w:t>treatment</w:t>
            </w:r>
          </w:p>
        </w:tc>
        <w:tc>
          <w:tcPr>
            <w:tcW w:w="679" w:type="pct"/>
            <w:tcBorders>
              <w:top w:val="nil"/>
              <w:left w:val="nil"/>
              <w:bottom w:val="single" w:sz="4" w:space="0" w:color="auto"/>
              <w:right w:val="single" w:sz="4" w:space="0" w:color="auto"/>
            </w:tcBorders>
            <w:shd w:val="clear" w:color="auto" w:fill="auto"/>
            <w:noWrap/>
            <w:vAlign w:val="bottom"/>
            <w:hideMark/>
          </w:tcPr>
          <w:p w14:paraId="5200F083" w14:textId="77777777" w:rsidR="008817FE" w:rsidRPr="005F57EB" w:rsidRDefault="008817FE" w:rsidP="00F61DA8">
            <w:pPr>
              <w:pStyle w:val="Tabletext1"/>
              <w:jc w:val="right"/>
            </w:pPr>
            <w:r w:rsidRPr="005F57EB">
              <w:t>3</w:t>
            </w:r>
          </w:p>
        </w:tc>
        <w:tc>
          <w:tcPr>
            <w:tcW w:w="679" w:type="pct"/>
            <w:tcBorders>
              <w:top w:val="nil"/>
              <w:left w:val="nil"/>
              <w:bottom w:val="single" w:sz="4" w:space="0" w:color="auto"/>
              <w:right w:val="single" w:sz="4" w:space="0" w:color="auto"/>
            </w:tcBorders>
            <w:shd w:val="clear" w:color="auto" w:fill="auto"/>
            <w:noWrap/>
            <w:vAlign w:val="bottom"/>
            <w:hideMark/>
          </w:tcPr>
          <w:p w14:paraId="0917B1E0" w14:textId="77777777" w:rsidR="008817FE" w:rsidRPr="005F57EB" w:rsidRDefault="008817FE" w:rsidP="00F61DA8">
            <w:pPr>
              <w:pStyle w:val="Tabletext1"/>
              <w:jc w:val="right"/>
            </w:pPr>
            <w:r w:rsidRPr="005F57EB">
              <w:t>93.6</w:t>
            </w:r>
          </w:p>
        </w:tc>
        <w:tc>
          <w:tcPr>
            <w:tcW w:w="679" w:type="pct"/>
            <w:tcBorders>
              <w:top w:val="nil"/>
              <w:left w:val="nil"/>
              <w:bottom w:val="single" w:sz="4" w:space="0" w:color="auto"/>
              <w:right w:val="single" w:sz="4" w:space="0" w:color="auto"/>
            </w:tcBorders>
            <w:shd w:val="clear" w:color="auto" w:fill="auto"/>
            <w:noWrap/>
            <w:vAlign w:val="bottom"/>
            <w:hideMark/>
          </w:tcPr>
          <w:p w14:paraId="6D0FA182" w14:textId="77777777" w:rsidR="008817FE" w:rsidRPr="005F57EB" w:rsidRDefault="008817FE" w:rsidP="00F61DA8">
            <w:pPr>
              <w:pStyle w:val="Tabletext1"/>
              <w:jc w:val="right"/>
            </w:pPr>
            <w:r w:rsidRPr="005F57EB">
              <w:t>$5,654</w:t>
            </w:r>
          </w:p>
        </w:tc>
        <w:tc>
          <w:tcPr>
            <w:tcW w:w="870" w:type="pct"/>
            <w:tcBorders>
              <w:top w:val="nil"/>
              <w:left w:val="nil"/>
              <w:bottom w:val="single" w:sz="4" w:space="0" w:color="auto"/>
              <w:right w:val="single" w:sz="4" w:space="0" w:color="auto"/>
            </w:tcBorders>
            <w:shd w:val="clear" w:color="auto" w:fill="auto"/>
            <w:noWrap/>
            <w:vAlign w:val="bottom"/>
            <w:hideMark/>
          </w:tcPr>
          <w:p w14:paraId="0BB3EED7" w14:textId="77777777" w:rsidR="008817FE" w:rsidRPr="005F57EB" w:rsidRDefault="008817FE" w:rsidP="00F61DA8">
            <w:pPr>
              <w:pStyle w:val="Tabletext1"/>
              <w:jc w:val="right"/>
            </w:pPr>
            <w:r w:rsidRPr="005F57EB">
              <w:t>$2,079</w:t>
            </w:r>
          </w:p>
        </w:tc>
        <w:tc>
          <w:tcPr>
            <w:tcW w:w="776" w:type="pct"/>
            <w:tcBorders>
              <w:top w:val="nil"/>
              <w:left w:val="nil"/>
              <w:bottom w:val="single" w:sz="4" w:space="0" w:color="auto"/>
              <w:right w:val="single" w:sz="4" w:space="0" w:color="auto"/>
            </w:tcBorders>
            <w:shd w:val="clear" w:color="auto" w:fill="auto"/>
            <w:noWrap/>
            <w:vAlign w:val="bottom"/>
            <w:hideMark/>
          </w:tcPr>
          <w:p w14:paraId="10DE7644" w14:textId="77777777" w:rsidR="008817FE" w:rsidRPr="005F57EB" w:rsidRDefault="008817FE" w:rsidP="00F61DA8">
            <w:pPr>
              <w:pStyle w:val="Tabletext1"/>
              <w:jc w:val="right"/>
            </w:pPr>
            <w:r w:rsidRPr="005F57EB">
              <w:t>$7,733</w:t>
            </w:r>
          </w:p>
        </w:tc>
      </w:tr>
      <w:tr w:rsidR="008817FE" w:rsidRPr="005F57EB" w14:paraId="44BD7A9D" w14:textId="77777777" w:rsidTr="00865238">
        <w:trPr>
          <w:trHeight w:val="300"/>
        </w:trPr>
        <w:tc>
          <w:tcPr>
            <w:tcW w:w="1317" w:type="pct"/>
            <w:tcBorders>
              <w:top w:val="nil"/>
              <w:left w:val="single" w:sz="4" w:space="0" w:color="auto"/>
              <w:bottom w:val="single" w:sz="4" w:space="0" w:color="auto"/>
              <w:right w:val="single" w:sz="4" w:space="0" w:color="auto"/>
            </w:tcBorders>
            <w:shd w:val="clear" w:color="auto" w:fill="auto"/>
            <w:noWrap/>
            <w:vAlign w:val="bottom"/>
            <w:hideMark/>
          </w:tcPr>
          <w:p w14:paraId="5D8F55AF" w14:textId="77777777" w:rsidR="008817FE" w:rsidRPr="005F57EB" w:rsidRDefault="008817FE" w:rsidP="00865238">
            <w:pPr>
              <w:pStyle w:val="Tabletext1"/>
            </w:pPr>
            <w:r w:rsidRPr="005F57EB">
              <w:t xml:space="preserve">Maintenance </w:t>
            </w:r>
            <w:r>
              <w:t>treatment</w:t>
            </w:r>
          </w:p>
        </w:tc>
        <w:tc>
          <w:tcPr>
            <w:tcW w:w="679" w:type="pct"/>
            <w:tcBorders>
              <w:top w:val="nil"/>
              <w:left w:val="nil"/>
              <w:bottom w:val="single" w:sz="4" w:space="0" w:color="auto"/>
              <w:right w:val="single" w:sz="4" w:space="0" w:color="auto"/>
            </w:tcBorders>
            <w:shd w:val="clear" w:color="auto" w:fill="auto"/>
            <w:noWrap/>
            <w:vAlign w:val="bottom"/>
            <w:hideMark/>
          </w:tcPr>
          <w:p w14:paraId="5ED70379" w14:textId="77777777" w:rsidR="008817FE" w:rsidRPr="005F57EB" w:rsidRDefault="008817FE" w:rsidP="00F61DA8">
            <w:pPr>
              <w:pStyle w:val="Tabletext1"/>
              <w:jc w:val="right"/>
            </w:pPr>
            <w:r w:rsidRPr="005F57EB">
              <w:t>3</w:t>
            </w:r>
          </w:p>
        </w:tc>
        <w:tc>
          <w:tcPr>
            <w:tcW w:w="679" w:type="pct"/>
            <w:tcBorders>
              <w:top w:val="nil"/>
              <w:left w:val="nil"/>
              <w:bottom w:val="single" w:sz="4" w:space="0" w:color="auto"/>
              <w:right w:val="single" w:sz="4" w:space="0" w:color="auto"/>
            </w:tcBorders>
            <w:shd w:val="clear" w:color="auto" w:fill="auto"/>
            <w:noWrap/>
            <w:vAlign w:val="bottom"/>
            <w:hideMark/>
          </w:tcPr>
          <w:p w14:paraId="79AD1E2F" w14:textId="77777777" w:rsidR="008817FE" w:rsidRPr="005F57EB" w:rsidRDefault="008817FE" w:rsidP="00F61DA8">
            <w:pPr>
              <w:pStyle w:val="Tabletext1"/>
              <w:jc w:val="right"/>
            </w:pPr>
            <w:r w:rsidRPr="005F57EB">
              <w:t>46.8</w:t>
            </w:r>
          </w:p>
        </w:tc>
        <w:tc>
          <w:tcPr>
            <w:tcW w:w="679" w:type="pct"/>
            <w:tcBorders>
              <w:top w:val="nil"/>
              <w:left w:val="nil"/>
              <w:bottom w:val="single" w:sz="4" w:space="0" w:color="auto"/>
              <w:right w:val="single" w:sz="4" w:space="0" w:color="auto"/>
            </w:tcBorders>
            <w:shd w:val="clear" w:color="auto" w:fill="auto"/>
            <w:noWrap/>
            <w:vAlign w:val="bottom"/>
            <w:hideMark/>
          </w:tcPr>
          <w:p w14:paraId="016BDA21" w14:textId="77777777" w:rsidR="008817FE" w:rsidRPr="005F57EB" w:rsidRDefault="008817FE" w:rsidP="00F61DA8">
            <w:pPr>
              <w:pStyle w:val="Tabletext1"/>
              <w:jc w:val="right"/>
            </w:pPr>
            <w:r w:rsidRPr="005F57EB">
              <w:t>$2,827</w:t>
            </w:r>
          </w:p>
        </w:tc>
        <w:tc>
          <w:tcPr>
            <w:tcW w:w="870" w:type="pct"/>
            <w:tcBorders>
              <w:top w:val="nil"/>
              <w:left w:val="nil"/>
              <w:bottom w:val="single" w:sz="4" w:space="0" w:color="auto"/>
              <w:right w:val="single" w:sz="4" w:space="0" w:color="auto"/>
            </w:tcBorders>
            <w:shd w:val="clear" w:color="auto" w:fill="auto"/>
            <w:noWrap/>
            <w:vAlign w:val="bottom"/>
            <w:hideMark/>
          </w:tcPr>
          <w:p w14:paraId="219BCA94" w14:textId="77777777" w:rsidR="008817FE" w:rsidRPr="005F57EB" w:rsidRDefault="008817FE" w:rsidP="00F61DA8">
            <w:pPr>
              <w:pStyle w:val="Tabletext1"/>
              <w:jc w:val="right"/>
            </w:pPr>
            <w:r w:rsidRPr="005F57EB">
              <w:t>$2,079</w:t>
            </w:r>
          </w:p>
        </w:tc>
        <w:tc>
          <w:tcPr>
            <w:tcW w:w="776" w:type="pct"/>
            <w:tcBorders>
              <w:top w:val="nil"/>
              <w:left w:val="nil"/>
              <w:bottom w:val="single" w:sz="4" w:space="0" w:color="auto"/>
              <w:right w:val="single" w:sz="4" w:space="0" w:color="auto"/>
            </w:tcBorders>
            <w:shd w:val="clear" w:color="auto" w:fill="auto"/>
            <w:noWrap/>
            <w:vAlign w:val="bottom"/>
            <w:hideMark/>
          </w:tcPr>
          <w:p w14:paraId="70B75825" w14:textId="77777777" w:rsidR="008817FE" w:rsidRPr="005F57EB" w:rsidRDefault="008817FE" w:rsidP="00F61DA8">
            <w:pPr>
              <w:pStyle w:val="Tabletext1"/>
              <w:jc w:val="right"/>
            </w:pPr>
            <w:r w:rsidRPr="005F57EB">
              <w:t>$4,906</w:t>
            </w:r>
          </w:p>
        </w:tc>
      </w:tr>
      <w:tr w:rsidR="008817FE" w:rsidRPr="005F57EB" w14:paraId="5C5A1FF1" w14:textId="77777777" w:rsidTr="00865238">
        <w:trPr>
          <w:trHeight w:val="300"/>
        </w:trPr>
        <w:tc>
          <w:tcPr>
            <w:tcW w:w="1317" w:type="pct"/>
            <w:tcBorders>
              <w:top w:val="nil"/>
              <w:left w:val="single" w:sz="4" w:space="0" w:color="auto"/>
              <w:bottom w:val="single" w:sz="4" w:space="0" w:color="auto"/>
              <w:right w:val="single" w:sz="4" w:space="0" w:color="auto"/>
            </w:tcBorders>
            <w:shd w:val="clear" w:color="auto" w:fill="auto"/>
            <w:noWrap/>
            <w:vAlign w:val="bottom"/>
            <w:hideMark/>
          </w:tcPr>
          <w:p w14:paraId="3415C24F" w14:textId="77777777" w:rsidR="008817FE" w:rsidRPr="005F57EB" w:rsidRDefault="008817FE" w:rsidP="00865238">
            <w:pPr>
              <w:pStyle w:val="Tabletext1"/>
            </w:pPr>
            <w:r w:rsidRPr="005F57EB">
              <w:t xml:space="preserve">Total cost, </w:t>
            </w:r>
            <w:r>
              <w:t>immunoglobulin</w:t>
            </w:r>
          </w:p>
        </w:tc>
        <w:tc>
          <w:tcPr>
            <w:tcW w:w="679" w:type="pct"/>
            <w:tcBorders>
              <w:top w:val="nil"/>
              <w:left w:val="nil"/>
              <w:bottom w:val="single" w:sz="4" w:space="0" w:color="auto"/>
              <w:right w:val="single" w:sz="4" w:space="0" w:color="auto"/>
            </w:tcBorders>
            <w:shd w:val="clear" w:color="auto" w:fill="auto"/>
            <w:noWrap/>
            <w:vAlign w:val="bottom"/>
            <w:hideMark/>
          </w:tcPr>
          <w:p w14:paraId="41CC3268" w14:textId="77777777" w:rsidR="008817FE" w:rsidRPr="005F57EB" w:rsidRDefault="008817FE" w:rsidP="00F61DA8">
            <w:pPr>
              <w:pStyle w:val="Tabletext1"/>
              <w:jc w:val="right"/>
            </w:pPr>
            <w:r w:rsidRPr="005F57EB">
              <w:t> </w:t>
            </w:r>
          </w:p>
        </w:tc>
        <w:tc>
          <w:tcPr>
            <w:tcW w:w="679" w:type="pct"/>
            <w:tcBorders>
              <w:top w:val="nil"/>
              <w:left w:val="nil"/>
              <w:bottom w:val="single" w:sz="4" w:space="0" w:color="auto"/>
              <w:right w:val="single" w:sz="4" w:space="0" w:color="auto"/>
            </w:tcBorders>
            <w:shd w:val="clear" w:color="auto" w:fill="auto"/>
            <w:noWrap/>
            <w:vAlign w:val="bottom"/>
            <w:hideMark/>
          </w:tcPr>
          <w:p w14:paraId="51B6943A" w14:textId="77777777" w:rsidR="008817FE" w:rsidRPr="005F57EB" w:rsidRDefault="008817FE" w:rsidP="00F61DA8">
            <w:pPr>
              <w:pStyle w:val="Tabletext1"/>
              <w:jc w:val="right"/>
            </w:pPr>
            <w:r w:rsidRPr="005F57EB">
              <w:t> </w:t>
            </w:r>
          </w:p>
        </w:tc>
        <w:tc>
          <w:tcPr>
            <w:tcW w:w="679" w:type="pct"/>
            <w:tcBorders>
              <w:top w:val="nil"/>
              <w:left w:val="nil"/>
              <w:bottom w:val="single" w:sz="4" w:space="0" w:color="auto"/>
              <w:right w:val="single" w:sz="4" w:space="0" w:color="auto"/>
            </w:tcBorders>
            <w:shd w:val="clear" w:color="auto" w:fill="auto"/>
            <w:noWrap/>
            <w:vAlign w:val="bottom"/>
            <w:hideMark/>
          </w:tcPr>
          <w:p w14:paraId="646143BE" w14:textId="77777777" w:rsidR="008817FE" w:rsidRPr="005F57EB" w:rsidRDefault="008817FE" w:rsidP="00F61DA8">
            <w:pPr>
              <w:pStyle w:val="Tabletext1"/>
              <w:jc w:val="right"/>
            </w:pPr>
            <w:r w:rsidRPr="005F57EB">
              <w:t> </w:t>
            </w:r>
          </w:p>
        </w:tc>
        <w:tc>
          <w:tcPr>
            <w:tcW w:w="870" w:type="pct"/>
            <w:tcBorders>
              <w:top w:val="nil"/>
              <w:left w:val="nil"/>
              <w:bottom w:val="single" w:sz="4" w:space="0" w:color="auto"/>
              <w:right w:val="single" w:sz="4" w:space="0" w:color="auto"/>
            </w:tcBorders>
            <w:shd w:val="clear" w:color="auto" w:fill="auto"/>
            <w:noWrap/>
            <w:vAlign w:val="bottom"/>
            <w:hideMark/>
          </w:tcPr>
          <w:p w14:paraId="0270C597" w14:textId="77777777" w:rsidR="008817FE" w:rsidRPr="005F57EB" w:rsidRDefault="008817FE" w:rsidP="00F61DA8">
            <w:pPr>
              <w:pStyle w:val="Tabletext1"/>
              <w:jc w:val="right"/>
            </w:pPr>
            <w:r w:rsidRPr="005F57EB">
              <w:t> </w:t>
            </w:r>
          </w:p>
        </w:tc>
        <w:tc>
          <w:tcPr>
            <w:tcW w:w="776" w:type="pct"/>
            <w:tcBorders>
              <w:top w:val="nil"/>
              <w:left w:val="nil"/>
              <w:bottom w:val="single" w:sz="4" w:space="0" w:color="auto"/>
              <w:right w:val="single" w:sz="4" w:space="0" w:color="auto"/>
            </w:tcBorders>
            <w:shd w:val="clear" w:color="auto" w:fill="auto"/>
            <w:noWrap/>
            <w:vAlign w:val="bottom"/>
            <w:hideMark/>
          </w:tcPr>
          <w:p w14:paraId="3B58E51B" w14:textId="77777777" w:rsidR="008817FE" w:rsidRPr="005F57EB" w:rsidRDefault="008817FE" w:rsidP="00F61DA8">
            <w:pPr>
              <w:pStyle w:val="Tabletext1"/>
              <w:jc w:val="right"/>
            </w:pPr>
            <w:r w:rsidRPr="005F57EB">
              <w:t>$12,640</w:t>
            </w:r>
          </w:p>
        </w:tc>
      </w:tr>
      <w:tr w:rsidR="008817FE" w:rsidRPr="005F57EB" w14:paraId="1C17C51D" w14:textId="77777777" w:rsidTr="00865238">
        <w:trPr>
          <w:trHeight w:val="300"/>
        </w:trPr>
        <w:tc>
          <w:tcPr>
            <w:tcW w:w="1317" w:type="pct"/>
            <w:tcBorders>
              <w:top w:val="single" w:sz="4" w:space="0" w:color="auto"/>
              <w:left w:val="single" w:sz="4" w:space="0" w:color="auto"/>
              <w:bottom w:val="single" w:sz="4" w:space="0" w:color="auto"/>
            </w:tcBorders>
            <w:shd w:val="clear" w:color="auto" w:fill="auto"/>
            <w:noWrap/>
            <w:vAlign w:val="bottom"/>
            <w:hideMark/>
          </w:tcPr>
          <w:p w14:paraId="088836F2" w14:textId="77777777" w:rsidR="008817FE" w:rsidRPr="005F57EB" w:rsidRDefault="008817FE" w:rsidP="00865238">
            <w:pPr>
              <w:pStyle w:val="Tabletext1"/>
              <w:rPr>
                <w:i/>
              </w:rPr>
            </w:pPr>
            <w:r w:rsidRPr="005F57EB">
              <w:rPr>
                <w:i/>
              </w:rPr>
              <w:t>Plasma exchange</w:t>
            </w:r>
          </w:p>
        </w:tc>
        <w:tc>
          <w:tcPr>
            <w:tcW w:w="679" w:type="pct"/>
            <w:tcBorders>
              <w:top w:val="single" w:sz="4" w:space="0" w:color="auto"/>
              <w:bottom w:val="single" w:sz="4" w:space="0" w:color="auto"/>
            </w:tcBorders>
            <w:shd w:val="clear" w:color="auto" w:fill="auto"/>
            <w:noWrap/>
            <w:vAlign w:val="bottom"/>
            <w:hideMark/>
          </w:tcPr>
          <w:p w14:paraId="6CB0A5F2" w14:textId="77777777" w:rsidR="008817FE" w:rsidRPr="005F57EB" w:rsidRDefault="008817FE" w:rsidP="00F61DA8">
            <w:pPr>
              <w:pStyle w:val="Tabletext1"/>
              <w:jc w:val="right"/>
              <w:rPr>
                <w:i/>
              </w:rPr>
            </w:pPr>
            <w:r w:rsidRPr="005F57EB">
              <w:rPr>
                <w:i/>
              </w:rPr>
              <w:t> </w:t>
            </w:r>
          </w:p>
        </w:tc>
        <w:tc>
          <w:tcPr>
            <w:tcW w:w="679" w:type="pct"/>
            <w:tcBorders>
              <w:top w:val="single" w:sz="4" w:space="0" w:color="auto"/>
              <w:bottom w:val="single" w:sz="4" w:space="0" w:color="auto"/>
            </w:tcBorders>
            <w:shd w:val="clear" w:color="auto" w:fill="auto"/>
            <w:noWrap/>
            <w:vAlign w:val="bottom"/>
            <w:hideMark/>
          </w:tcPr>
          <w:p w14:paraId="4FDB326B" w14:textId="77777777" w:rsidR="008817FE" w:rsidRPr="005F57EB" w:rsidRDefault="008817FE" w:rsidP="00F61DA8">
            <w:pPr>
              <w:pStyle w:val="Tabletext1"/>
              <w:jc w:val="right"/>
              <w:rPr>
                <w:i/>
              </w:rPr>
            </w:pPr>
            <w:r w:rsidRPr="005F57EB">
              <w:rPr>
                <w:i/>
              </w:rPr>
              <w:t> </w:t>
            </w:r>
          </w:p>
        </w:tc>
        <w:tc>
          <w:tcPr>
            <w:tcW w:w="679" w:type="pct"/>
            <w:tcBorders>
              <w:top w:val="single" w:sz="4" w:space="0" w:color="auto"/>
              <w:bottom w:val="single" w:sz="4" w:space="0" w:color="auto"/>
            </w:tcBorders>
            <w:shd w:val="clear" w:color="auto" w:fill="auto"/>
            <w:noWrap/>
            <w:vAlign w:val="bottom"/>
            <w:hideMark/>
          </w:tcPr>
          <w:p w14:paraId="272A164E" w14:textId="77777777" w:rsidR="008817FE" w:rsidRPr="005F57EB" w:rsidRDefault="008817FE" w:rsidP="00F61DA8">
            <w:pPr>
              <w:pStyle w:val="Tabletext1"/>
              <w:jc w:val="right"/>
              <w:rPr>
                <w:i/>
              </w:rPr>
            </w:pPr>
            <w:r w:rsidRPr="005F57EB">
              <w:rPr>
                <w:i/>
              </w:rPr>
              <w:t> </w:t>
            </w:r>
          </w:p>
        </w:tc>
        <w:tc>
          <w:tcPr>
            <w:tcW w:w="870" w:type="pct"/>
            <w:tcBorders>
              <w:top w:val="single" w:sz="4" w:space="0" w:color="auto"/>
              <w:bottom w:val="single" w:sz="4" w:space="0" w:color="auto"/>
            </w:tcBorders>
            <w:shd w:val="clear" w:color="auto" w:fill="auto"/>
            <w:noWrap/>
            <w:vAlign w:val="bottom"/>
            <w:hideMark/>
          </w:tcPr>
          <w:p w14:paraId="14A6633D" w14:textId="77777777" w:rsidR="008817FE" w:rsidRPr="005F57EB" w:rsidRDefault="008817FE" w:rsidP="00F61DA8">
            <w:pPr>
              <w:pStyle w:val="Tabletext1"/>
              <w:jc w:val="right"/>
              <w:rPr>
                <w:i/>
              </w:rPr>
            </w:pPr>
            <w:r w:rsidRPr="005F57EB">
              <w:rPr>
                <w:i/>
              </w:rPr>
              <w:t> </w:t>
            </w:r>
          </w:p>
        </w:tc>
        <w:tc>
          <w:tcPr>
            <w:tcW w:w="776" w:type="pct"/>
            <w:tcBorders>
              <w:top w:val="single" w:sz="4" w:space="0" w:color="auto"/>
              <w:bottom w:val="single" w:sz="4" w:space="0" w:color="auto"/>
              <w:right w:val="single" w:sz="4" w:space="0" w:color="auto"/>
            </w:tcBorders>
            <w:shd w:val="clear" w:color="auto" w:fill="auto"/>
            <w:noWrap/>
            <w:vAlign w:val="bottom"/>
            <w:hideMark/>
          </w:tcPr>
          <w:p w14:paraId="4E39D7C7" w14:textId="77777777" w:rsidR="008817FE" w:rsidRPr="005F57EB" w:rsidRDefault="008817FE" w:rsidP="00F61DA8">
            <w:pPr>
              <w:pStyle w:val="Tabletext1"/>
              <w:jc w:val="right"/>
              <w:rPr>
                <w:i/>
              </w:rPr>
            </w:pPr>
            <w:r w:rsidRPr="005F57EB">
              <w:rPr>
                <w:i/>
              </w:rPr>
              <w:t> </w:t>
            </w:r>
          </w:p>
        </w:tc>
      </w:tr>
      <w:tr w:rsidR="008817FE" w:rsidRPr="005F57EB" w14:paraId="16AFC446" w14:textId="77777777" w:rsidTr="00865238">
        <w:trPr>
          <w:trHeight w:val="300"/>
        </w:trPr>
        <w:tc>
          <w:tcPr>
            <w:tcW w:w="1317" w:type="pct"/>
            <w:tcBorders>
              <w:top w:val="nil"/>
              <w:left w:val="single" w:sz="4" w:space="0" w:color="auto"/>
              <w:bottom w:val="single" w:sz="4" w:space="0" w:color="auto"/>
              <w:right w:val="single" w:sz="4" w:space="0" w:color="auto"/>
            </w:tcBorders>
            <w:shd w:val="clear" w:color="auto" w:fill="auto"/>
            <w:noWrap/>
            <w:vAlign w:val="bottom"/>
            <w:hideMark/>
          </w:tcPr>
          <w:p w14:paraId="56F19884" w14:textId="0AF50C2A" w:rsidR="008817FE" w:rsidRPr="005F57EB" w:rsidRDefault="008817FE" w:rsidP="001236DF">
            <w:pPr>
              <w:pStyle w:val="Tabletext1"/>
            </w:pPr>
            <w:r w:rsidRPr="005F57EB">
              <w:t xml:space="preserve">Induction </w:t>
            </w:r>
            <w:r>
              <w:t>treatment</w:t>
            </w:r>
          </w:p>
        </w:tc>
        <w:tc>
          <w:tcPr>
            <w:tcW w:w="679" w:type="pct"/>
            <w:tcBorders>
              <w:top w:val="nil"/>
              <w:left w:val="nil"/>
              <w:bottom w:val="single" w:sz="4" w:space="0" w:color="auto"/>
              <w:right w:val="single" w:sz="4" w:space="0" w:color="auto"/>
            </w:tcBorders>
            <w:shd w:val="clear" w:color="auto" w:fill="auto"/>
            <w:noWrap/>
            <w:vAlign w:val="bottom"/>
            <w:hideMark/>
          </w:tcPr>
          <w:p w14:paraId="0D74D586" w14:textId="77777777" w:rsidR="008817FE" w:rsidRPr="005F57EB" w:rsidRDefault="008817FE" w:rsidP="00F61DA8">
            <w:pPr>
              <w:pStyle w:val="Tabletext1"/>
              <w:jc w:val="right"/>
            </w:pPr>
            <w:r w:rsidRPr="005F57EB">
              <w:t>6</w:t>
            </w:r>
          </w:p>
        </w:tc>
        <w:tc>
          <w:tcPr>
            <w:tcW w:w="679" w:type="pct"/>
            <w:tcBorders>
              <w:top w:val="nil"/>
              <w:left w:val="nil"/>
              <w:bottom w:val="single" w:sz="4" w:space="0" w:color="auto"/>
              <w:right w:val="single" w:sz="4" w:space="0" w:color="auto"/>
            </w:tcBorders>
            <w:shd w:val="clear" w:color="auto" w:fill="auto"/>
            <w:noWrap/>
            <w:vAlign w:val="bottom"/>
            <w:hideMark/>
          </w:tcPr>
          <w:p w14:paraId="563039CA" w14:textId="77777777" w:rsidR="008817FE" w:rsidRPr="005F57EB" w:rsidRDefault="008817FE" w:rsidP="00F61DA8">
            <w:pPr>
              <w:pStyle w:val="Tabletext1"/>
              <w:jc w:val="right"/>
            </w:pPr>
            <w:r w:rsidRPr="005F57EB">
              <w:t>3</w:t>
            </w:r>
            <w:r w:rsidR="00F61DA8">
              <w:t>,</w:t>
            </w:r>
            <w:r w:rsidRPr="005F57EB">
              <w:t>510</w:t>
            </w:r>
          </w:p>
        </w:tc>
        <w:tc>
          <w:tcPr>
            <w:tcW w:w="679" w:type="pct"/>
            <w:tcBorders>
              <w:top w:val="nil"/>
              <w:left w:val="nil"/>
              <w:bottom w:val="single" w:sz="4" w:space="0" w:color="auto"/>
              <w:right w:val="single" w:sz="4" w:space="0" w:color="auto"/>
            </w:tcBorders>
            <w:shd w:val="clear" w:color="auto" w:fill="auto"/>
            <w:noWrap/>
            <w:vAlign w:val="bottom"/>
            <w:hideMark/>
          </w:tcPr>
          <w:p w14:paraId="1325D87F" w14:textId="77777777" w:rsidR="008817FE" w:rsidRPr="005F57EB" w:rsidRDefault="008817FE" w:rsidP="00F61DA8">
            <w:pPr>
              <w:pStyle w:val="Tabletext1"/>
              <w:jc w:val="right"/>
            </w:pPr>
            <w:r w:rsidRPr="005F57EB">
              <w:t>$2,949</w:t>
            </w:r>
          </w:p>
        </w:tc>
        <w:tc>
          <w:tcPr>
            <w:tcW w:w="870" w:type="pct"/>
            <w:tcBorders>
              <w:top w:val="nil"/>
              <w:left w:val="nil"/>
              <w:bottom w:val="single" w:sz="4" w:space="0" w:color="auto"/>
              <w:right w:val="single" w:sz="4" w:space="0" w:color="auto"/>
            </w:tcBorders>
            <w:shd w:val="clear" w:color="auto" w:fill="auto"/>
            <w:noWrap/>
            <w:vAlign w:val="bottom"/>
            <w:hideMark/>
          </w:tcPr>
          <w:p w14:paraId="2DEF3902" w14:textId="77777777" w:rsidR="008817FE" w:rsidRPr="005F57EB" w:rsidRDefault="008817FE" w:rsidP="00F61DA8">
            <w:pPr>
              <w:pStyle w:val="Tabletext1"/>
              <w:jc w:val="right"/>
            </w:pPr>
            <w:r w:rsidRPr="005F57EB">
              <w:t>$8,860</w:t>
            </w:r>
          </w:p>
        </w:tc>
        <w:tc>
          <w:tcPr>
            <w:tcW w:w="776" w:type="pct"/>
            <w:tcBorders>
              <w:top w:val="nil"/>
              <w:left w:val="nil"/>
              <w:bottom w:val="single" w:sz="4" w:space="0" w:color="auto"/>
              <w:right w:val="single" w:sz="4" w:space="0" w:color="auto"/>
            </w:tcBorders>
            <w:shd w:val="clear" w:color="auto" w:fill="auto"/>
            <w:noWrap/>
            <w:vAlign w:val="bottom"/>
            <w:hideMark/>
          </w:tcPr>
          <w:p w14:paraId="4D6AD665" w14:textId="77777777" w:rsidR="008817FE" w:rsidRPr="005F57EB" w:rsidRDefault="008817FE" w:rsidP="00F61DA8">
            <w:pPr>
              <w:pStyle w:val="Tabletext1"/>
              <w:jc w:val="right"/>
            </w:pPr>
            <w:r w:rsidRPr="005F57EB">
              <w:t>$11,809</w:t>
            </w:r>
          </w:p>
        </w:tc>
      </w:tr>
      <w:tr w:rsidR="008817FE" w:rsidRPr="005F57EB" w14:paraId="218119F0" w14:textId="77777777" w:rsidTr="00865238">
        <w:trPr>
          <w:trHeight w:val="300"/>
        </w:trPr>
        <w:tc>
          <w:tcPr>
            <w:tcW w:w="1317" w:type="pct"/>
            <w:tcBorders>
              <w:top w:val="nil"/>
              <w:left w:val="single" w:sz="4" w:space="0" w:color="auto"/>
              <w:bottom w:val="single" w:sz="4" w:space="0" w:color="auto"/>
              <w:right w:val="single" w:sz="4" w:space="0" w:color="auto"/>
            </w:tcBorders>
            <w:shd w:val="clear" w:color="auto" w:fill="auto"/>
            <w:noWrap/>
            <w:vAlign w:val="bottom"/>
            <w:hideMark/>
          </w:tcPr>
          <w:p w14:paraId="70097443" w14:textId="77777777" w:rsidR="008817FE" w:rsidRPr="005F57EB" w:rsidRDefault="008817FE" w:rsidP="00865238">
            <w:pPr>
              <w:pStyle w:val="Tabletext1"/>
            </w:pPr>
            <w:r w:rsidRPr="005F57EB">
              <w:t xml:space="preserve">Maintenance </w:t>
            </w:r>
            <w:r>
              <w:t>treatment</w:t>
            </w:r>
          </w:p>
        </w:tc>
        <w:tc>
          <w:tcPr>
            <w:tcW w:w="679" w:type="pct"/>
            <w:tcBorders>
              <w:top w:val="nil"/>
              <w:left w:val="nil"/>
              <w:bottom w:val="single" w:sz="4" w:space="0" w:color="auto"/>
              <w:right w:val="single" w:sz="4" w:space="0" w:color="auto"/>
            </w:tcBorders>
            <w:shd w:val="clear" w:color="auto" w:fill="auto"/>
            <w:noWrap/>
            <w:vAlign w:val="bottom"/>
            <w:hideMark/>
          </w:tcPr>
          <w:p w14:paraId="35BE2F71" w14:textId="77777777" w:rsidR="008817FE" w:rsidRPr="005F57EB" w:rsidRDefault="008817FE" w:rsidP="00F61DA8">
            <w:pPr>
              <w:pStyle w:val="Tabletext1"/>
              <w:jc w:val="right"/>
            </w:pPr>
            <w:r w:rsidRPr="005F57EB">
              <w:t>3</w:t>
            </w:r>
          </w:p>
        </w:tc>
        <w:tc>
          <w:tcPr>
            <w:tcW w:w="679" w:type="pct"/>
            <w:tcBorders>
              <w:top w:val="nil"/>
              <w:left w:val="nil"/>
              <w:bottom w:val="single" w:sz="4" w:space="0" w:color="auto"/>
              <w:right w:val="single" w:sz="4" w:space="0" w:color="auto"/>
            </w:tcBorders>
            <w:shd w:val="clear" w:color="auto" w:fill="auto"/>
            <w:noWrap/>
            <w:vAlign w:val="bottom"/>
            <w:hideMark/>
          </w:tcPr>
          <w:p w14:paraId="5C2EDAB1" w14:textId="77777777" w:rsidR="008817FE" w:rsidRPr="005F57EB" w:rsidRDefault="008817FE" w:rsidP="00F61DA8">
            <w:pPr>
              <w:pStyle w:val="Tabletext1"/>
              <w:jc w:val="right"/>
            </w:pPr>
            <w:r w:rsidRPr="005F57EB">
              <w:t>3</w:t>
            </w:r>
            <w:r w:rsidR="00F61DA8">
              <w:t>,</w:t>
            </w:r>
            <w:r w:rsidRPr="005F57EB">
              <w:t>510</w:t>
            </w:r>
          </w:p>
        </w:tc>
        <w:tc>
          <w:tcPr>
            <w:tcW w:w="679" w:type="pct"/>
            <w:tcBorders>
              <w:top w:val="nil"/>
              <w:left w:val="nil"/>
              <w:bottom w:val="single" w:sz="4" w:space="0" w:color="auto"/>
              <w:right w:val="single" w:sz="4" w:space="0" w:color="auto"/>
            </w:tcBorders>
            <w:shd w:val="clear" w:color="auto" w:fill="auto"/>
            <w:noWrap/>
            <w:vAlign w:val="bottom"/>
            <w:hideMark/>
          </w:tcPr>
          <w:p w14:paraId="0C888D93" w14:textId="77777777" w:rsidR="008817FE" w:rsidRPr="005F57EB" w:rsidRDefault="008817FE" w:rsidP="00F61DA8">
            <w:pPr>
              <w:pStyle w:val="Tabletext1"/>
              <w:jc w:val="right"/>
            </w:pPr>
            <w:r w:rsidRPr="005F57EB">
              <w:t>$1,474</w:t>
            </w:r>
          </w:p>
        </w:tc>
        <w:tc>
          <w:tcPr>
            <w:tcW w:w="870" w:type="pct"/>
            <w:tcBorders>
              <w:top w:val="nil"/>
              <w:left w:val="nil"/>
              <w:bottom w:val="single" w:sz="4" w:space="0" w:color="auto"/>
              <w:right w:val="single" w:sz="4" w:space="0" w:color="auto"/>
            </w:tcBorders>
            <w:shd w:val="clear" w:color="auto" w:fill="auto"/>
            <w:noWrap/>
            <w:vAlign w:val="bottom"/>
            <w:hideMark/>
          </w:tcPr>
          <w:p w14:paraId="6DABE8A3" w14:textId="77777777" w:rsidR="008817FE" w:rsidRPr="005F57EB" w:rsidRDefault="008817FE" w:rsidP="00F61DA8">
            <w:pPr>
              <w:pStyle w:val="Tabletext1"/>
              <w:jc w:val="right"/>
            </w:pPr>
            <w:r w:rsidRPr="005F57EB">
              <w:t>$4,430</w:t>
            </w:r>
          </w:p>
        </w:tc>
        <w:tc>
          <w:tcPr>
            <w:tcW w:w="776" w:type="pct"/>
            <w:tcBorders>
              <w:top w:val="nil"/>
              <w:left w:val="nil"/>
              <w:bottom w:val="single" w:sz="4" w:space="0" w:color="auto"/>
              <w:right w:val="single" w:sz="4" w:space="0" w:color="auto"/>
            </w:tcBorders>
            <w:shd w:val="clear" w:color="auto" w:fill="auto"/>
            <w:noWrap/>
            <w:vAlign w:val="bottom"/>
            <w:hideMark/>
          </w:tcPr>
          <w:p w14:paraId="7708A3CE" w14:textId="77777777" w:rsidR="008817FE" w:rsidRPr="005F57EB" w:rsidRDefault="008817FE" w:rsidP="00F61DA8">
            <w:pPr>
              <w:pStyle w:val="Tabletext1"/>
              <w:jc w:val="right"/>
            </w:pPr>
            <w:r w:rsidRPr="005F57EB">
              <w:t>$5,904</w:t>
            </w:r>
          </w:p>
        </w:tc>
      </w:tr>
      <w:tr w:rsidR="008817FE" w:rsidRPr="005F57EB" w14:paraId="592BB110" w14:textId="77777777" w:rsidTr="00865238">
        <w:trPr>
          <w:trHeight w:val="300"/>
        </w:trPr>
        <w:tc>
          <w:tcPr>
            <w:tcW w:w="1317" w:type="pct"/>
            <w:tcBorders>
              <w:top w:val="nil"/>
              <w:left w:val="single" w:sz="4" w:space="0" w:color="auto"/>
              <w:bottom w:val="single" w:sz="4" w:space="0" w:color="auto"/>
              <w:right w:val="single" w:sz="4" w:space="0" w:color="auto"/>
            </w:tcBorders>
            <w:shd w:val="clear" w:color="auto" w:fill="auto"/>
            <w:noWrap/>
            <w:vAlign w:val="bottom"/>
            <w:hideMark/>
          </w:tcPr>
          <w:p w14:paraId="70CCC8A7" w14:textId="77777777" w:rsidR="008817FE" w:rsidRPr="005F57EB" w:rsidRDefault="008817FE" w:rsidP="00865238">
            <w:pPr>
              <w:pStyle w:val="Tabletext1"/>
            </w:pPr>
            <w:r>
              <w:t>Total cost, plasma exchange</w:t>
            </w:r>
          </w:p>
        </w:tc>
        <w:tc>
          <w:tcPr>
            <w:tcW w:w="679" w:type="pct"/>
            <w:tcBorders>
              <w:top w:val="nil"/>
              <w:left w:val="nil"/>
              <w:bottom w:val="single" w:sz="4" w:space="0" w:color="auto"/>
              <w:right w:val="single" w:sz="4" w:space="0" w:color="auto"/>
            </w:tcBorders>
            <w:shd w:val="clear" w:color="auto" w:fill="auto"/>
            <w:noWrap/>
            <w:vAlign w:val="bottom"/>
            <w:hideMark/>
          </w:tcPr>
          <w:p w14:paraId="7B3A9EE8" w14:textId="77777777" w:rsidR="008817FE" w:rsidRPr="005F57EB" w:rsidRDefault="008817FE" w:rsidP="00F61DA8">
            <w:pPr>
              <w:pStyle w:val="Tabletext1"/>
              <w:jc w:val="right"/>
            </w:pPr>
            <w:r w:rsidRPr="005F57EB">
              <w:t> </w:t>
            </w:r>
          </w:p>
        </w:tc>
        <w:tc>
          <w:tcPr>
            <w:tcW w:w="679" w:type="pct"/>
            <w:tcBorders>
              <w:top w:val="nil"/>
              <w:left w:val="nil"/>
              <w:bottom w:val="single" w:sz="4" w:space="0" w:color="auto"/>
              <w:right w:val="single" w:sz="4" w:space="0" w:color="auto"/>
            </w:tcBorders>
            <w:shd w:val="clear" w:color="auto" w:fill="auto"/>
            <w:noWrap/>
            <w:vAlign w:val="bottom"/>
            <w:hideMark/>
          </w:tcPr>
          <w:p w14:paraId="12EF2E62" w14:textId="77777777" w:rsidR="008817FE" w:rsidRPr="005F57EB" w:rsidRDefault="008817FE" w:rsidP="00F61DA8">
            <w:pPr>
              <w:pStyle w:val="Tabletext1"/>
              <w:jc w:val="right"/>
            </w:pPr>
            <w:r w:rsidRPr="005F57EB">
              <w:t> </w:t>
            </w:r>
          </w:p>
        </w:tc>
        <w:tc>
          <w:tcPr>
            <w:tcW w:w="679" w:type="pct"/>
            <w:tcBorders>
              <w:top w:val="nil"/>
              <w:left w:val="nil"/>
              <w:bottom w:val="single" w:sz="4" w:space="0" w:color="auto"/>
              <w:right w:val="single" w:sz="4" w:space="0" w:color="auto"/>
            </w:tcBorders>
            <w:shd w:val="clear" w:color="auto" w:fill="auto"/>
            <w:noWrap/>
            <w:vAlign w:val="bottom"/>
            <w:hideMark/>
          </w:tcPr>
          <w:p w14:paraId="7CD32211" w14:textId="77777777" w:rsidR="008817FE" w:rsidRPr="005F57EB" w:rsidRDefault="008817FE" w:rsidP="00F61DA8">
            <w:pPr>
              <w:pStyle w:val="Tabletext1"/>
              <w:jc w:val="right"/>
            </w:pPr>
            <w:r w:rsidRPr="005F57EB">
              <w:t> </w:t>
            </w:r>
          </w:p>
        </w:tc>
        <w:tc>
          <w:tcPr>
            <w:tcW w:w="870" w:type="pct"/>
            <w:tcBorders>
              <w:top w:val="nil"/>
              <w:left w:val="nil"/>
              <w:bottom w:val="single" w:sz="4" w:space="0" w:color="auto"/>
              <w:right w:val="single" w:sz="4" w:space="0" w:color="auto"/>
            </w:tcBorders>
            <w:shd w:val="clear" w:color="auto" w:fill="auto"/>
            <w:noWrap/>
            <w:vAlign w:val="bottom"/>
            <w:hideMark/>
          </w:tcPr>
          <w:p w14:paraId="4ACED66B" w14:textId="77777777" w:rsidR="008817FE" w:rsidRPr="005F57EB" w:rsidRDefault="008817FE" w:rsidP="00F61DA8">
            <w:pPr>
              <w:pStyle w:val="Tabletext1"/>
              <w:jc w:val="right"/>
            </w:pPr>
            <w:r w:rsidRPr="005F57EB">
              <w:t> </w:t>
            </w:r>
          </w:p>
        </w:tc>
        <w:tc>
          <w:tcPr>
            <w:tcW w:w="776" w:type="pct"/>
            <w:tcBorders>
              <w:top w:val="nil"/>
              <w:left w:val="nil"/>
              <w:bottom w:val="single" w:sz="4" w:space="0" w:color="auto"/>
              <w:right w:val="single" w:sz="4" w:space="0" w:color="auto"/>
            </w:tcBorders>
            <w:shd w:val="clear" w:color="auto" w:fill="auto"/>
            <w:noWrap/>
            <w:vAlign w:val="bottom"/>
            <w:hideMark/>
          </w:tcPr>
          <w:p w14:paraId="7C04A49A" w14:textId="77777777" w:rsidR="008817FE" w:rsidRPr="005F57EB" w:rsidRDefault="008817FE" w:rsidP="00F61DA8">
            <w:pPr>
              <w:pStyle w:val="Tabletext1"/>
              <w:jc w:val="right"/>
            </w:pPr>
            <w:r w:rsidRPr="005F57EB">
              <w:t>$17,713</w:t>
            </w:r>
          </w:p>
        </w:tc>
      </w:tr>
      <w:tr w:rsidR="008817FE" w:rsidRPr="005F57EB" w14:paraId="10AA175B" w14:textId="77777777" w:rsidTr="00865238">
        <w:trPr>
          <w:trHeight w:val="300"/>
        </w:trPr>
        <w:tc>
          <w:tcPr>
            <w:tcW w:w="1317" w:type="pct"/>
            <w:tcBorders>
              <w:top w:val="nil"/>
              <w:left w:val="single" w:sz="4" w:space="0" w:color="auto"/>
              <w:bottom w:val="single" w:sz="4" w:space="0" w:color="auto"/>
              <w:right w:val="single" w:sz="4" w:space="0" w:color="auto"/>
            </w:tcBorders>
            <w:shd w:val="clear" w:color="auto" w:fill="auto"/>
            <w:noWrap/>
            <w:vAlign w:val="bottom"/>
            <w:hideMark/>
          </w:tcPr>
          <w:p w14:paraId="7C349C3C" w14:textId="77777777" w:rsidR="008817FE" w:rsidRPr="005F57EB" w:rsidRDefault="008817FE" w:rsidP="00865238">
            <w:pPr>
              <w:pStyle w:val="Tabletext1"/>
              <w:rPr>
                <w:b/>
              </w:rPr>
            </w:pPr>
            <w:r w:rsidRPr="005F57EB">
              <w:rPr>
                <w:b/>
              </w:rPr>
              <w:t>Incremental cost</w:t>
            </w:r>
          </w:p>
        </w:tc>
        <w:tc>
          <w:tcPr>
            <w:tcW w:w="679" w:type="pct"/>
            <w:tcBorders>
              <w:top w:val="nil"/>
              <w:left w:val="nil"/>
              <w:bottom w:val="single" w:sz="4" w:space="0" w:color="auto"/>
              <w:right w:val="single" w:sz="4" w:space="0" w:color="auto"/>
            </w:tcBorders>
            <w:shd w:val="clear" w:color="auto" w:fill="auto"/>
            <w:noWrap/>
            <w:vAlign w:val="bottom"/>
            <w:hideMark/>
          </w:tcPr>
          <w:p w14:paraId="095A9972" w14:textId="77777777" w:rsidR="008817FE" w:rsidRPr="005F57EB" w:rsidRDefault="008817FE" w:rsidP="00F61DA8">
            <w:pPr>
              <w:pStyle w:val="Tabletext1"/>
              <w:jc w:val="right"/>
              <w:rPr>
                <w:b/>
              </w:rPr>
            </w:pPr>
            <w:r w:rsidRPr="005F57EB">
              <w:rPr>
                <w:b/>
              </w:rPr>
              <w:t> </w:t>
            </w:r>
          </w:p>
        </w:tc>
        <w:tc>
          <w:tcPr>
            <w:tcW w:w="679" w:type="pct"/>
            <w:tcBorders>
              <w:top w:val="nil"/>
              <w:left w:val="nil"/>
              <w:bottom w:val="single" w:sz="4" w:space="0" w:color="auto"/>
              <w:right w:val="single" w:sz="4" w:space="0" w:color="auto"/>
            </w:tcBorders>
            <w:shd w:val="clear" w:color="auto" w:fill="auto"/>
            <w:noWrap/>
            <w:vAlign w:val="bottom"/>
            <w:hideMark/>
          </w:tcPr>
          <w:p w14:paraId="73BD5066" w14:textId="77777777" w:rsidR="008817FE" w:rsidRPr="005F57EB" w:rsidRDefault="008817FE" w:rsidP="00F61DA8">
            <w:pPr>
              <w:pStyle w:val="Tabletext1"/>
              <w:jc w:val="right"/>
              <w:rPr>
                <w:b/>
              </w:rPr>
            </w:pPr>
            <w:r w:rsidRPr="005F57EB">
              <w:rPr>
                <w:b/>
              </w:rPr>
              <w:t> </w:t>
            </w:r>
          </w:p>
        </w:tc>
        <w:tc>
          <w:tcPr>
            <w:tcW w:w="679" w:type="pct"/>
            <w:tcBorders>
              <w:top w:val="nil"/>
              <w:left w:val="nil"/>
              <w:bottom w:val="single" w:sz="4" w:space="0" w:color="auto"/>
              <w:right w:val="single" w:sz="4" w:space="0" w:color="auto"/>
            </w:tcBorders>
            <w:shd w:val="clear" w:color="auto" w:fill="auto"/>
            <w:noWrap/>
            <w:vAlign w:val="bottom"/>
            <w:hideMark/>
          </w:tcPr>
          <w:p w14:paraId="40C25CC7" w14:textId="77777777" w:rsidR="008817FE" w:rsidRPr="005F57EB" w:rsidRDefault="008817FE" w:rsidP="00F61DA8">
            <w:pPr>
              <w:pStyle w:val="Tabletext1"/>
              <w:jc w:val="right"/>
              <w:rPr>
                <w:b/>
              </w:rPr>
            </w:pPr>
            <w:r w:rsidRPr="005F57EB">
              <w:rPr>
                <w:b/>
              </w:rPr>
              <w:t> </w:t>
            </w:r>
          </w:p>
        </w:tc>
        <w:tc>
          <w:tcPr>
            <w:tcW w:w="870" w:type="pct"/>
            <w:tcBorders>
              <w:top w:val="nil"/>
              <w:left w:val="nil"/>
              <w:bottom w:val="single" w:sz="4" w:space="0" w:color="auto"/>
              <w:right w:val="single" w:sz="4" w:space="0" w:color="auto"/>
            </w:tcBorders>
            <w:shd w:val="clear" w:color="auto" w:fill="auto"/>
            <w:noWrap/>
            <w:vAlign w:val="bottom"/>
            <w:hideMark/>
          </w:tcPr>
          <w:p w14:paraId="7B6E24B7" w14:textId="77777777" w:rsidR="008817FE" w:rsidRPr="005F57EB" w:rsidRDefault="008817FE" w:rsidP="00F61DA8">
            <w:pPr>
              <w:pStyle w:val="Tabletext1"/>
              <w:jc w:val="right"/>
              <w:rPr>
                <w:b/>
              </w:rPr>
            </w:pPr>
            <w:r w:rsidRPr="005F57EB">
              <w:rPr>
                <w:b/>
              </w:rPr>
              <w:t> </w:t>
            </w:r>
          </w:p>
        </w:tc>
        <w:tc>
          <w:tcPr>
            <w:tcW w:w="776" w:type="pct"/>
            <w:tcBorders>
              <w:top w:val="nil"/>
              <w:left w:val="nil"/>
              <w:bottom w:val="single" w:sz="4" w:space="0" w:color="auto"/>
              <w:right w:val="single" w:sz="4" w:space="0" w:color="auto"/>
            </w:tcBorders>
            <w:shd w:val="clear" w:color="auto" w:fill="auto"/>
            <w:noWrap/>
            <w:vAlign w:val="bottom"/>
            <w:hideMark/>
          </w:tcPr>
          <w:p w14:paraId="4B838C4C" w14:textId="5B1210BF" w:rsidR="008817FE" w:rsidRPr="005F57EB" w:rsidRDefault="000B2D70" w:rsidP="00F61DA8">
            <w:pPr>
              <w:pStyle w:val="Tabletext1"/>
              <w:jc w:val="right"/>
              <w:rPr>
                <w:b/>
              </w:rPr>
            </w:pPr>
            <w:r>
              <w:rPr>
                <w:b/>
              </w:rPr>
              <w:t>–</w:t>
            </w:r>
            <w:r w:rsidR="008817FE" w:rsidRPr="005F57EB">
              <w:rPr>
                <w:b/>
              </w:rPr>
              <w:t>$5,074</w:t>
            </w:r>
          </w:p>
        </w:tc>
      </w:tr>
    </w:tbl>
    <w:p w14:paraId="684EA611" w14:textId="77777777" w:rsidR="008817FE" w:rsidRPr="00EF530F" w:rsidRDefault="008817FE" w:rsidP="008817FE">
      <w:pPr>
        <w:pStyle w:val="Tablenote"/>
      </w:pPr>
      <w:r>
        <w:t>g= grams; NTE = number of treatment episodes</w:t>
      </w:r>
    </w:p>
    <w:p w14:paraId="2C45DA3B" w14:textId="58CB7271" w:rsidR="00641CF9" w:rsidRPr="00EF530F" w:rsidRDefault="008817FE" w:rsidP="00641CF9">
      <w:pPr>
        <w:pStyle w:val="BodyTextSTD"/>
      </w:pPr>
      <w:r>
        <w:fldChar w:fldCharType="begin"/>
      </w:r>
      <w:r>
        <w:instrText xml:space="preserve"> REF _Ref66457956 \h </w:instrText>
      </w:r>
      <w:r>
        <w:fldChar w:fldCharType="separate"/>
      </w:r>
      <w:r w:rsidR="004B3EA2" w:rsidRPr="00EF530F">
        <w:t xml:space="preserve">Table </w:t>
      </w:r>
      <w:r w:rsidR="004B3EA2">
        <w:rPr>
          <w:noProof/>
        </w:rPr>
        <w:t>51</w:t>
      </w:r>
      <w:r>
        <w:fldChar w:fldCharType="end"/>
      </w:r>
      <w:r>
        <w:t xml:space="preserve"> </w:t>
      </w:r>
      <w:r w:rsidR="00641CF9" w:rsidRPr="00EF530F">
        <w:t>presents the results of the stepped analysis.</w:t>
      </w:r>
    </w:p>
    <w:p w14:paraId="0ED1CD2C" w14:textId="29540C48" w:rsidR="00641CF9" w:rsidRPr="00EF530F" w:rsidRDefault="00641CF9" w:rsidP="00641CF9">
      <w:pPr>
        <w:pStyle w:val="Caption"/>
      </w:pPr>
      <w:bookmarkStart w:id="367" w:name="_Ref66457956"/>
      <w:bookmarkStart w:id="368" w:name="_Toc69305692"/>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51</w:t>
      </w:r>
      <w:r w:rsidRPr="00EF530F">
        <w:fldChar w:fldCharType="end"/>
      </w:r>
      <w:bookmarkEnd w:id="367"/>
      <w:r w:rsidRPr="00EF530F">
        <w:tab/>
        <w:t>Results of the stepped economic analysis</w:t>
      </w:r>
      <w:r>
        <w:t xml:space="preserve">: IVIg vs </w:t>
      </w:r>
      <w:r w:rsidR="008817FE">
        <w:t>PE</w:t>
      </w:r>
      <w:bookmarkEnd w:id="368"/>
    </w:p>
    <w:tbl>
      <w:tblPr>
        <w:tblStyle w:val="TableGrid11"/>
        <w:tblW w:w="5000" w:type="pct"/>
        <w:tblInd w:w="0" w:type="dxa"/>
        <w:tblLayout w:type="fixed"/>
        <w:tblLook w:val="04A0" w:firstRow="1" w:lastRow="0" w:firstColumn="1" w:lastColumn="0" w:noHBand="0" w:noVBand="1"/>
        <w:tblCaption w:val="Results of the stepped economic analysis: IVIg vs PE"/>
        <w:tblDescription w:val="Results of the stepped economic analysis: IVIg vs PE"/>
      </w:tblPr>
      <w:tblGrid>
        <w:gridCol w:w="4957"/>
        <w:gridCol w:w="1275"/>
        <w:gridCol w:w="1417"/>
        <w:gridCol w:w="1367"/>
      </w:tblGrid>
      <w:tr w:rsidR="00641CF9" w:rsidRPr="00EF530F" w14:paraId="0A4FAB6A" w14:textId="77777777" w:rsidTr="00422B0F">
        <w:trPr>
          <w:cnfStyle w:val="100000000000" w:firstRow="1" w:lastRow="0" w:firstColumn="0" w:lastColumn="0" w:oddVBand="0" w:evenVBand="0" w:oddHBand="0" w:evenHBand="0" w:firstRowFirstColumn="0" w:firstRowLastColumn="0" w:lastRowFirstColumn="0" w:lastRowLastColumn="0"/>
          <w:cantSplit/>
          <w:trHeight w:val="116"/>
          <w:tblHeader/>
        </w:trPr>
        <w:tc>
          <w:tcPr>
            <w:tcW w:w="2749" w:type="pct"/>
            <w:tcBorders>
              <w:top w:val="single" w:sz="4" w:space="0" w:color="auto"/>
              <w:left w:val="single" w:sz="4" w:space="0" w:color="auto"/>
              <w:bottom w:val="single" w:sz="4" w:space="0" w:color="auto"/>
              <w:right w:val="single" w:sz="4" w:space="0" w:color="auto"/>
            </w:tcBorders>
            <w:noWrap/>
            <w:hideMark/>
          </w:tcPr>
          <w:p w14:paraId="21B8CC41" w14:textId="77777777" w:rsidR="00641CF9" w:rsidRPr="00EF530F" w:rsidRDefault="00641CF9" w:rsidP="00422B0F">
            <w:pPr>
              <w:pStyle w:val="TableHeading"/>
            </w:pPr>
          </w:p>
        </w:tc>
        <w:tc>
          <w:tcPr>
            <w:tcW w:w="707" w:type="pct"/>
            <w:tcBorders>
              <w:top w:val="single" w:sz="4" w:space="0" w:color="auto"/>
              <w:left w:val="single" w:sz="4" w:space="0" w:color="auto"/>
              <w:bottom w:val="single" w:sz="4" w:space="0" w:color="auto"/>
              <w:right w:val="single" w:sz="4" w:space="0" w:color="auto"/>
            </w:tcBorders>
            <w:noWrap/>
            <w:hideMark/>
          </w:tcPr>
          <w:p w14:paraId="4980A717" w14:textId="77777777" w:rsidR="00641CF9" w:rsidRPr="00EF530F" w:rsidRDefault="00641CF9" w:rsidP="00422B0F">
            <w:pPr>
              <w:pStyle w:val="TableHeading"/>
            </w:pPr>
            <w:r w:rsidRPr="00EF530F">
              <w:t>Inc. cost</w:t>
            </w:r>
          </w:p>
        </w:tc>
        <w:tc>
          <w:tcPr>
            <w:tcW w:w="786" w:type="pct"/>
            <w:tcBorders>
              <w:top w:val="single" w:sz="4" w:space="0" w:color="auto"/>
              <w:left w:val="single" w:sz="4" w:space="0" w:color="auto"/>
              <w:bottom w:val="single" w:sz="4" w:space="0" w:color="auto"/>
              <w:right w:val="single" w:sz="4" w:space="0" w:color="auto"/>
            </w:tcBorders>
            <w:noWrap/>
            <w:hideMark/>
          </w:tcPr>
          <w:p w14:paraId="6796F026" w14:textId="77777777" w:rsidR="00641CF9" w:rsidRPr="00EF530F" w:rsidRDefault="00641CF9" w:rsidP="00422B0F">
            <w:pPr>
              <w:pStyle w:val="TableHeading"/>
            </w:pPr>
            <w:r w:rsidRPr="00EF530F">
              <w:t>Inc. QALYs</w:t>
            </w:r>
          </w:p>
        </w:tc>
        <w:tc>
          <w:tcPr>
            <w:tcW w:w="758" w:type="pct"/>
            <w:tcBorders>
              <w:top w:val="single" w:sz="4" w:space="0" w:color="auto"/>
              <w:left w:val="single" w:sz="4" w:space="0" w:color="auto"/>
              <w:bottom w:val="single" w:sz="4" w:space="0" w:color="auto"/>
              <w:right w:val="single" w:sz="4" w:space="0" w:color="auto"/>
            </w:tcBorders>
            <w:noWrap/>
            <w:hideMark/>
          </w:tcPr>
          <w:p w14:paraId="2487D6FF" w14:textId="77777777" w:rsidR="00641CF9" w:rsidRPr="00EF530F" w:rsidRDefault="00641CF9" w:rsidP="00422B0F">
            <w:pPr>
              <w:pStyle w:val="TableHeading"/>
            </w:pPr>
            <w:r w:rsidRPr="00EF530F">
              <w:t>ICER</w:t>
            </w:r>
          </w:p>
        </w:tc>
      </w:tr>
      <w:tr w:rsidR="00641CF9" w:rsidRPr="00EF530F" w14:paraId="618BA379" w14:textId="77777777" w:rsidTr="00422B0F">
        <w:trPr>
          <w:cantSplit/>
          <w:trHeight w:val="300"/>
        </w:trPr>
        <w:tc>
          <w:tcPr>
            <w:tcW w:w="2749" w:type="pct"/>
            <w:tcBorders>
              <w:top w:val="single" w:sz="4" w:space="0" w:color="auto"/>
              <w:left w:val="single" w:sz="4" w:space="0" w:color="auto"/>
              <w:bottom w:val="single" w:sz="4" w:space="0" w:color="auto"/>
              <w:right w:val="single" w:sz="4" w:space="0" w:color="auto"/>
            </w:tcBorders>
            <w:noWrap/>
            <w:hideMark/>
          </w:tcPr>
          <w:p w14:paraId="2D6FAC85" w14:textId="77777777" w:rsidR="00641CF9" w:rsidRPr="00EF530F" w:rsidRDefault="00641CF9" w:rsidP="00422B0F">
            <w:pPr>
              <w:pStyle w:val="Tabletext1"/>
            </w:pPr>
            <w:r w:rsidRPr="00EF530F">
              <w:t>Step 1 – Trial-based analysis.</w:t>
            </w:r>
          </w:p>
          <w:p w14:paraId="303A27D5" w14:textId="77777777" w:rsidR="00422B0F" w:rsidRPr="00666905" w:rsidRDefault="00422B0F" w:rsidP="00422B0F">
            <w:pPr>
              <w:spacing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IVIg: 0.4 g/kg/week for first three weeks followed by 0.2 g/kg/week for the next three weeks.</w:t>
            </w:r>
          </w:p>
          <w:p w14:paraId="4216F517" w14:textId="0FF22DA6" w:rsidR="00641CF9" w:rsidRPr="00EF530F" w:rsidRDefault="00422B0F" w:rsidP="00D726F6">
            <w:pPr>
              <w:pStyle w:val="Tabletext1"/>
            </w:pPr>
            <w:r w:rsidRPr="00666905">
              <w:rPr>
                <w:rFonts w:eastAsia="Calibri"/>
                <w:lang w:eastAsia="en-US"/>
              </w:rPr>
              <w:t>PE: Twice per week for three weeks then once a week for next three weeks</w:t>
            </w:r>
            <w:r>
              <w:rPr>
                <w:rFonts w:eastAsia="Calibri"/>
                <w:lang w:eastAsia="en-US"/>
              </w:rPr>
              <w:t xml:space="preserve"> </w:t>
            </w:r>
            <w:r w:rsidR="00B727D6">
              <w:rPr>
                <w:rFonts w:eastAsia="Calibri"/>
                <w:lang w:eastAsia="en-US"/>
              </w:rPr>
              <w:fldChar w:fldCharType="begin"/>
            </w:r>
            <w:r w:rsidR="00B727D6">
              <w:rPr>
                <w:rFonts w:eastAsia="Calibri"/>
                <w:lang w:eastAsia="en-US"/>
              </w:rPr>
              <w:instrText xml:space="preserve"> ADDIN EN.CITE &lt;EndNote&gt;&lt;Cite&gt;&lt;Author&gt;Dyck&lt;/Author&gt;&lt;Year&gt;1994&lt;/Year&gt;&lt;RecNum&gt;6&lt;/RecNum&gt;&lt;DisplayText&gt;(Dyck et al. 1994)&lt;/DisplayText&gt;&lt;record&gt;&lt;rec-number&gt;6&lt;/rec-number&gt;&lt;foreign-keys&gt;&lt;key app="EN" db-id="xtr5xfx2xf0wd7e0s2qvst2ietxxf0tpzr9v" timestamp="1601273176"&gt;6&lt;/key&gt;&lt;/foreign-keys&gt;&lt;ref-type name="Journal Article"&gt;17&lt;/ref-type&gt;&lt;contributors&gt;&lt;authors&gt;&lt;author&gt;Dyck, P. J.&lt;/author&gt;&lt;author&gt;Litchy, W. J.&lt;/author&gt;&lt;author&gt;Kratz, K. M.&lt;/author&gt;&lt;author&gt;Suarez, G. A.&lt;/author&gt;&lt;author&gt;Low, P. A.&lt;/author&gt;&lt;author&gt;Pineda, A. A.&lt;/author&gt;&lt;author&gt;Windebank, A. J.&lt;/author&gt;&lt;author&gt;Karnes, J. L.&lt;/author&gt;&lt;author&gt;O&amp;apos;Brien, P. C.&lt;/author&gt;&lt;/authors&gt;&lt;/contributors&gt;&lt;auth-address&gt;Department of Neurology, Mayo Clinic, Rochester, MN 55905.&lt;/auth-address&gt;&lt;titles&gt;&lt;title&gt;A plasma exchange versus immune globulin infusion trial in chronic inflammatory demyelinating polyradiculoneuropathy&lt;/title&gt;&lt;secondary-title&gt;Ann Neurol&lt;/secondary-title&gt;&lt;/titles&gt;&lt;periodical&gt;&lt;full-title&gt;Ann Neurol&lt;/full-title&gt;&lt;/periodical&gt;&lt;pages&gt;838-45&lt;/pages&gt;&lt;volume&gt;36&lt;/volume&gt;&lt;number&gt;6&lt;/number&gt;&lt;edition&gt;1994/12/01&lt;/edition&gt;&lt;keywords&gt;&lt;keyword&gt;Adult&lt;/keyword&gt;&lt;keyword&gt;Aged&lt;/keyword&gt;&lt;keyword&gt;Chronic Disease&lt;/keyword&gt;&lt;keyword&gt;Demyelinating Diseases/ therapy&lt;/keyword&gt;&lt;keyword&gt;Female&lt;/keyword&gt;&lt;keyword&gt;Humans&lt;/keyword&gt;&lt;keyword&gt;Immunoglobulins, Intravenous/ therapeutic use&lt;/keyword&gt;&lt;keyword&gt;Male&lt;/keyword&gt;&lt;keyword&gt;Middle Aged&lt;/keyword&gt;&lt;keyword&gt;Plasma Exchange&lt;/keyword&gt;&lt;keyword&gt;Polyradiculoneuropathy/ therapy&lt;/keyword&gt;&lt;/keywords&gt;&lt;dates&gt;&lt;year&gt;1994&lt;/year&gt;&lt;pub-dates&gt;&lt;date&gt;Dec&lt;/date&gt;&lt;/pub-dates&gt;&lt;/dates&gt;&lt;isbn&gt;0364-5134 (Print)&amp;#xD;0364-5134 (Linking)&lt;/isbn&gt;&lt;accession-num&gt;7998769&lt;/accession-num&gt;&lt;urls&gt;&lt;related-urls&gt;&lt;url&gt;https://onlinelibrary.wiley.com/doi/pdfdirect/10.1002/ana.410360607?download=true&lt;/url&gt;&lt;/related-urls&gt;&lt;/urls&gt;&lt;electronic-resource-num&gt;10.1002/ana.410360607&lt;/electronic-resource-num&gt;&lt;remote-database-provider&gt;NLM&lt;/remote-database-provider&gt;&lt;language&gt;eng&lt;/language&gt;&lt;/record&gt;&lt;/Cite&gt;&lt;/EndNote&gt;</w:instrText>
            </w:r>
            <w:r w:rsidR="00B727D6">
              <w:rPr>
                <w:rFonts w:eastAsia="Calibri"/>
                <w:lang w:eastAsia="en-US"/>
              </w:rPr>
              <w:fldChar w:fldCharType="separate"/>
            </w:r>
            <w:r w:rsidR="00B727D6">
              <w:rPr>
                <w:rFonts w:eastAsia="Calibri"/>
                <w:noProof/>
                <w:lang w:eastAsia="en-US"/>
              </w:rPr>
              <w:t>(</w:t>
            </w:r>
            <w:hyperlink w:anchor="_ENREF_17" w:tooltip="Dyck, 1994 #6" w:history="1">
              <w:r w:rsidR="00D726F6">
                <w:rPr>
                  <w:rFonts w:eastAsia="Calibri"/>
                  <w:noProof/>
                  <w:lang w:eastAsia="en-US"/>
                </w:rPr>
                <w:t>Dyck et al. 1994</w:t>
              </w:r>
            </w:hyperlink>
            <w:r w:rsidR="00B727D6">
              <w:rPr>
                <w:rFonts w:eastAsia="Calibri"/>
                <w:noProof/>
                <w:lang w:eastAsia="en-US"/>
              </w:rPr>
              <w:t>)</w:t>
            </w:r>
            <w:r w:rsidR="00B727D6">
              <w:rPr>
                <w:rFonts w:eastAsia="Calibri"/>
                <w:lang w:eastAsia="en-US"/>
              </w:rPr>
              <w:fldChar w:fldCharType="end"/>
            </w:r>
          </w:p>
        </w:tc>
        <w:tc>
          <w:tcPr>
            <w:tcW w:w="707" w:type="pct"/>
            <w:tcBorders>
              <w:top w:val="single" w:sz="4" w:space="0" w:color="auto"/>
              <w:left w:val="single" w:sz="4" w:space="0" w:color="auto"/>
              <w:bottom w:val="single" w:sz="4" w:space="0" w:color="auto"/>
              <w:right w:val="single" w:sz="4" w:space="0" w:color="auto"/>
            </w:tcBorders>
            <w:noWrap/>
            <w:hideMark/>
          </w:tcPr>
          <w:p w14:paraId="05C53D9D" w14:textId="77777777" w:rsidR="00641CF9" w:rsidRPr="00EF530F" w:rsidRDefault="00422B0F" w:rsidP="00422B0F">
            <w:pPr>
              <w:pStyle w:val="Tabletext1"/>
              <w:jc w:val="right"/>
            </w:pPr>
            <w:r>
              <w:t>–</w:t>
            </w:r>
            <w:r w:rsidR="00641CF9" w:rsidRPr="007234BE">
              <w:t>$</w:t>
            </w:r>
            <w:r>
              <w:t>5,074</w:t>
            </w:r>
          </w:p>
        </w:tc>
        <w:tc>
          <w:tcPr>
            <w:tcW w:w="786" w:type="pct"/>
            <w:tcBorders>
              <w:top w:val="single" w:sz="4" w:space="0" w:color="auto"/>
              <w:left w:val="single" w:sz="4" w:space="0" w:color="auto"/>
              <w:bottom w:val="single" w:sz="4" w:space="0" w:color="auto"/>
              <w:right w:val="single" w:sz="4" w:space="0" w:color="auto"/>
            </w:tcBorders>
            <w:noWrap/>
            <w:hideMark/>
          </w:tcPr>
          <w:p w14:paraId="7AD963BB" w14:textId="77777777" w:rsidR="00641CF9" w:rsidRPr="00EF530F" w:rsidRDefault="00422B0F" w:rsidP="00422B0F">
            <w:pPr>
              <w:pStyle w:val="Tabletext1"/>
              <w:jc w:val="right"/>
            </w:pPr>
            <w:r>
              <w:t>-</w:t>
            </w:r>
          </w:p>
        </w:tc>
        <w:tc>
          <w:tcPr>
            <w:tcW w:w="758" w:type="pct"/>
            <w:tcBorders>
              <w:top w:val="single" w:sz="4" w:space="0" w:color="auto"/>
              <w:left w:val="single" w:sz="4" w:space="0" w:color="auto"/>
              <w:bottom w:val="single" w:sz="4" w:space="0" w:color="auto"/>
              <w:right w:val="single" w:sz="4" w:space="0" w:color="auto"/>
            </w:tcBorders>
            <w:noWrap/>
            <w:hideMark/>
          </w:tcPr>
          <w:p w14:paraId="00D409E1" w14:textId="77777777" w:rsidR="00641CF9" w:rsidRPr="00EF530F" w:rsidRDefault="00422B0F" w:rsidP="00422B0F">
            <w:pPr>
              <w:pStyle w:val="Tabletext1"/>
              <w:jc w:val="right"/>
            </w:pPr>
            <w:r>
              <w:t>-</w:t>
            </w:r>
          </w:p>
        </w:tc>
      </w:tr>
      <w:tr w:rsidR="00530DF2" w:rsidRPr="00EF530F" w14:paraId="4C9021D1" w14:textId="77777777" w:rsidTr="00BC5D46">
        <w:trPr>
          <w:cantSplit/>
          <w:trHeight w:val="300"/>
        </w:trPr>
        <w:tc>
          <w:tcPr>
            <w:tcW w:w="2749" w:type="pct"/>
            <w:tcBorders>
              <w:top w:val="single" w:sz="4" w:space="0" w:color="auto"/>
              <w:left w:val="single" w:sz="4" w:space="0" w:color="auto"/>
              <w:bottom w:val="single" w:sz="4" w:space="0" w:color="auto"/>
              <w:right w:val="single" w:sz="4" w:space="0" w:color="auto"/>
            </w:tcBorders>
            <w:noWrap/>
            <w:hideMark/>
          </w:tcPr>
          <w:p w14:paraId="450B55A4" w14:textId="77777777" w:rsidR="00530DF2" w:rsidRPr="00EF530F" w:rsidRDefault="00530DF2" w:rsidP="00530DF2">
            <w:pPr>
              <w:pStyle w:val="Tabletext1"/>
            </w:pPr>
            <w:r w:rsidRPr="00EF530F">
              <w:t xml:space="preserve">Step </w:t>
            </w:r>
            <w:r>
              <w:t>2</w:t>
            </w:r>
            <w:r w:rsidRPr="00EF530F">
              <w:t xml:space="preserve"> – Modelled economic evaluation</w:t>
            </w:r>
          </w:p>
          <w:p w14:paraId="5EE13D1B" w14:textId="337854F3" w:rsidR="00530DF2" w:rsidRPr="00EF530F" w:rsidRDefault="00530DF2" w:rsidP="0083397F">
            <w:pPr>
              <w:pStyle w:val="Tabletext1"/>
            </w:pPr>
            <w:r w:rsidRPr="00EF530F">
              <w:t xml:space="preserve">Applies the dose and frequency based on the Criteria </w:t>
            </w:r>
            <w:r w:rsidR="001236DF">
              <w:t>V</w:t>
            </w:r>
            <w:r w:rsidRPr="00EF530F">
              <w:t xml:space="preserve">3 </w:t>
            </w:r>
            <w:r>
              <w:t xml:space="preserve">for Ig and for PE from Gwathmey et al </w:t>
            </w:r>
            <w:r w:rsidR="00B727D6">
              <w:fldChar w:fldCharType="begin"/>
            </w:r>
            <w:r w:rsidR="00B727D6">
              <w:instrText xml:space="preserve"> ADDIN EN.CITE &lt;EndNote&gt;&lt;Cite ExcludeAuth="1"&gt;&lt;Author&gt;Gwathmey&lt;/Author&gt;&lt;Year&gt;2020&lt;/Year&gt;&lt;RecNum&gt;489&lt;/RecNum&gt;&lt;DisplayText&gt;(2020)&lt;/DisplayText&gt;&lt;record&gt;&lt;rec-number&gt;489&lt;/rec-number&gt;&lt;foreign-keys&gt;&lt;key app="EN" db-id="xtr5xfx2xf0wd7e0s2qvst2ietxxf0tpzr9v" timestamp="1602225824"&gt;489&lt;/key&gt;&lt;/foreign-keys&gt;&lt;ref-type name="Journal Article"&gt;17&lt;/ref-type&gt;&lt;contributors&gt;&lt;authors&gt;&lt;author&gt;Gwathmey, K.&lt;/author&gt;&lt;/authors&gt;&lt;/contributors&gt;&lt;titles&gt;&lt;title&gt;Chronic Inflammatory Demyelinating Polyradiculoneuropathy and Its Variants&lt;/title&gt;&lt;secondary-title&gt;Continuum (Minneap Minn)&lt;/secondary-title&gt;&lt;/titles&gt;&lt;periodical&gt;&lt;full-title&gt;Continuum (Minneap Minn)&lt;/full-title&gt;&lt;/periodical&gt;&lt;pages&gt;1205-1223&lt;/pages&gt;&lt;volume&gt;26&lt;/volume&gt;&lt;number&gt;5&lt;/number&gt;&lt;edition&gt;2020/10/02&lt;/edition&gt;&lt;dates&gt;&lt;year&gt;2020&lt;/year&gt;&lt;pub-dates&gt;&lt;date&gt;Oct&lt;/date&gt;&lt;/pub-dates&gt;&lt;/dates&gt;&lt;isbn&gt;1538-6899 (Electronic)&amp;#xD;1080-2371 (Linking)&lt;/isbn&gt;&lt;accession-num&gt;33002999&lt;/accession-num&gt;&lt;urls&gt;&lt;/urls&gt;&lt;electronic-resource-num&gt;10.1212/con.0000000000000907&lt;/electronic-resource-num&gt;&lt;remote-database-provider&gt;NLM&lt;/remote-database-provider&gt;&lt;language&gt;eng&lt;/language&gt;&lt;/record&gt;&lt;/Cite&gt;&lt;/EndNote&gt;</w:instrText>
            </w:r>
            <w:r w:rsidR="00B727D6">
              <w:fldChar w:fldCharType="separate"/>
            </w:r>
            <w:r w:rsidR="00B727D6">
              <w:rPr>
                <w:noProof/>
              </w:rPr>
              <w:t>(</w:t>
            </w:r>
            <w:hyperlink w:anchor="_ENREF_22" w:tooltip="Gwathmey, 2020 #489" w:history="1">
              <w:r w:rsidR="00D726F6">
                <w:rPr>
                  <w:noProof/>
                </w:rPr>
                <w:t>2020</w:t>
              </w:r>
            </w:hyperlink>
            <w:r w:rsidR="00B727D6">
              <w:rPr>
                <w:noProof/>
              </w:rPr>
              <w:t>)</w:t>
            </w:r>
            <w:r w:rsidR="00B727D6">
              <w:fldChar w:fldCharType="end"/>
            </w:r>
            <w:r>
              <w:t xml:space="preserve"> (</w:t>
            </w:r>
            <w:r>
              <w:fldChar w:fldCharType="begin"/>
            </w:r>
            <w:r>
              <w:instrText xml:space="preserve"> REF _Ref65086945 \h </w:instrText>
            </w:r>
            <w:r>
              <w:fldChar w:fldCharType="separate"/>
            </w:r>
            <w:r w:rsidR="004B3EA2">
              <w:t xml:space="preserve">Table </w:t>
            </w:r>
            <w:r w:rsidR="004B3EA2">
              <w:rPr>
                <w:noProof/>
              </w:rPr>
              <w:t>28</w:t>
            </w:r>
            <w:r>
              <w:fldChar w:fldCharType="end"/>
            </w:r>
            <w:r>
              <w:t xml:space="preserve">), </w:t>
            </w:r>
            <w:r w:rsidRPr="00EF530F">
              <w:t>the best estimates of transitions for remission, relapse and adverse events as described in section C.3.</w:t>
            </w:r>
            <w:r w:rsidR="001236DF">
              <w:t xml:space="preserve">2 </w:t>
            </w:r>
            <w:r>
              <w:t xml:space="preserve">and </w:t>
            </w:r>
            <w:r w:rsidR="00DB71A4">
              <w:fldChar w:fldCharType="begin"/>
            </w:r>
            <w:r w:rsidR="00DB71A4">
              <w:instrText xml:space="preserve"> REF _Ref65856839 \h </w:instrText>
            </w:r>
            <w:r w:rsidR="00DB71A4">
              <w:fldChar w:fldCharType="separate"/>
            </w:r>
            <w:r w:rsidR="004B3EA2" w:rsidRPr="001977C9">
              <w:t xml:space="preserve">Table </w:t>
            </w:r>
            <w:r w:rsidR="004B3EA2">
              <w:rPr>
                <w:noProof/>
              </w:rPr>
              <w:t>31</w:t>
            </w:r>
            <w:r w:rsidR="00DB71A4">
              <w:fldChar w:fldCharType="end"/>
            </w:r>
            <w:r w:rsidRPr="00EF530F">
              <w:t>, with the model time horizon of 10 years.</w:t>
            </w:r>
          </w:p>
        </w:tc>
        <w:tc>
          <w:tcPr>
            <w:tcW w:w="707" w:type="pct"/>
            <w:tcBorders>
              <w:top w:val="single" w:sz="4" w:space="0" w:color="auto"/>
              <w:left w:val="single" w:sz="4" w:space="0" w:color="auto"/>
              <w:bottom w:val="single" w:sz="4" w:space="0" w:color="auto"/>
              <w:right w:val="single" w:sz="4" w:space="0" w:color="auto"/>
            </w:tcBorders>
            <w:noWrap/>
          </w:tcPr>
          <w:p w14:paraId="01F22E6C" w14:textId="3EC390BD" w:rsidR="00530DF2" w:rsidRPr="00EF530F" w:rsidRDefault="00530DF2" w:rsidP="00530DF2">
            <w:pPr>
              <w:pStyle w:val="Tabletext1"/>
              <w:jc w:val="right"/>
            </w:pPr>
            <w:r w:rsidRPr="005216C5">
              <w:t>$49,991</w:t>
            </w:r>
          </w:p>
        </w:tc>
        <w:tc>
          <w:tcPr>
            <w:tcW w:w="786" w:type="pct"/>
            <w:tcBorders>
              <w:top w:val="single" w:sz="4" w:space="0" w:color="auto"/>
              <w:left w:val="single" w:sz="4" w:space="0" w:color="auto"/>
              <w:bottom w:val="single" w:sz="4" w:space="0" w:color="auto"/>
              <w:right w:val="single" w:sz="4" w:space="0" w:color="auto"/>
            </w:tcBorders>
            <w:noWrap/>
          </w:tcPr>
          <w:p w14:paraId="42EB9124" w14:textId="6F9465F1" w:rsidR="00530DF2" w:rsidRPr="00EF530F" w:rsidRDefault="00530DF2" w:rsidP="00530DF2">
            <w:pPr>
              <w:pStyle w:val="Tabletext1"/>
              <w:jc w:val="right"/>
            </w:pPr>
            <w:r w:rsidRPr="005216C5">
              <w:t>0.5316</w:t>
            </w:r>
          </w:p>
        </w:tc>
        <w:tc>
          <w:tcPr>
            <w:tcW w:w="758" w:type="pct"/>
            <w:tcBorders>
              <w:top w:val="single" w:sz="4" w:space="0" w:color="auto"/>
              <w:left w:val="single" w:sz="4" w:space="0" w:color="auto"/>
              <w:bottom w:val="single" w:sz="4" w:space="0" w:color="auto"/>
              <w:right w:val="single" w:sz="4" w:space="0" w:color="auto"/>
            </w:tcBorders>
            <w:noWrap/>
          </w:tcPr>
          <w:p w14:paraId="622BFCDA" w14:textId="2B17D31A" w:rsidR="00530DF2" w:rsidRPr="00EF530F" w:rsidRDefault="00530DF2" w:rsidP="00530DF2">
            <w:pPr>
              <w:pStyle w:val="Tabletext1"/>
              <w:jc w:val="right"/>
            </w:pPr>
            <w:r w:rsidRPr="005216C5">
              <w:t>$94,038</w:t>
            </w:r>
          </w:p>
        </w:tc>
      </w:tr>
    </w:tbl>
    <w:p w14:paraId="506E3AF9" w14:textId="77777777" w:rsidR="00641CF9" w:rsidRDefault="00641CF9" w:rsidP="00641CF9">
      <w:pPr>
        <w:spacing w:after="200" w:line="240" w:lineRule="auto"/>
        <w:ind w:left="57" w:right="57"/>
        <w:contextualSpacing/>
        <w:rPr>
          <w:rFonts w:ascii="Arial Narrow" w:eastAsia="Calibri" w:hAnsi="Arial Narrow" w:cs="Times New Roman"/>
          <w:sz w:val="18"/>
          <w:szCs w:val="18"/>
          <w:lang w:eastAsia="en-US"/>
        </w:rPr>
      </w:pPr>
      <w:r w:rsidRPr="00EF530F">
        <w:rPr>
          <w:rFonts w:ascii="Arial Narrow" w:eastAsia="Calibri" w:hAnsi="Arial Narrow" w:cs="Times New Roman"/>
          <w:sz w:val="18"/>
          <w:szCs w:val="18"/>
          <w:lang w:eastAsia="en-US"/>
        </w:rPr>
        <w:t xml:space="preserve">ICER = incremental cost-effectiveness ratio; Ig = immunoglobulin; Inc = Incremental; </w:t>
      </w:r>
      <w:r w:rsidR="00BC5D46">
        <w:rPr>
          <w:rFonts w:ascii="Arial Narrow" w:eastAsia="Calibri" w:hAnsi="Arial Narrow" w:cs="Times New Roman"/>
          <w:sz w:val="18"/>
          <w:szCs w:val="18"/>
          <w:lang w:eastAsia="en-US"/>
        </w:rPr>
        <w:t xml:space="preserve">PE = plasma exchange; </w:t>
      </w:r>
      <w:r w:rsidRPr="00EF530F">
        <w:rPr>
          <w:rFonts w:ascii="Arial Narrow" w:eastAsia="Calibri" w:hAnsi="Arial Narrow" w:cs="Times New Roman"/>
          <w:sz w:val="18"/>
          <w:szCs w:val="18"/>
          <w:lang w:eastAsia="en-US"/>
        </w:rPr>
        <w:t>QALY = quality-adjusted life years.</w:t>
      </w:r>
    </w:p>
    <w:p w14:paraId="2FD93973" w14:textId="4C0A4C5C" w:rsidR="00641CF9" w:rsidRDefault="00641CF9" w:rsidP="00641CF9">
      <w:pPr>
        <w:pStyle w:val="BodyTextSTD"/>
      </w:pPr>
      <w:r w:rsidRPr="00EF530F">
        <w:t xml:space="preserve">In Step 1 of the analysis the </w:t>
      </w:r>
      <w:r w:rsidR="005F57EB">
        <w:t xml:space="preserve">treatment with Ig results in cost savings of $5,074 </w:t>
      </w:r>
      <w:r w:rsidRPr="00EF530F">
        <w:t xml:space="preserve">due to the </w:t>
      </w:r>
      <w:r w:rsidR="005F57EB">
        <w:t>lower</w:t>
      </w:r>
      <w:r w:rsidRPr="00EF530F">
        <w:t xml:space="preserve"> doses of Ig used compared with the Criteria</w:t>
      </w:r>
      <w:r w:rsidR="005F57EB">
        <w:t xml:space="preserve"> and shorter treatment duration (6 weeks in the trial). </w:t>
      </w:r>
      <w:r w:rsidRPr="00EF530F">
        <w:t xml:space="preserve">In Step 2, </w:t>
      </w:r>
      <w:r w:rsidR="008817FE">
        <w:t>the exploratory modelled base-case analysis</w:t>
      </w:r>
      <w:r w:rsidR="00085C7A">
        <w:t>, the ICER of Ig is $</w:t>
      </w:r>
      <w:r w:rsidR="00530DF2">
        <w:t>94,038</w:t>
      </w:r>
      <w:r w:rsidR="00085C7A">
        <w:t xml:space="preserve"> due to the higher doses of Ig used compared with the trial based doses and for longer treatment duration.</w:t>
      </w:r>
    </w:p>
    <w:p w14:paraId="3B7DC632" w14:textId="3E1F863F" w:rsidR="00641CF9" w:rsidRPr="00EF530F" w:rsidRDefault="00641CF9" w:rsidP="00641CF9">
      <w:pPr>
        <w:pStyle w:val="Heading4"/>
      </w:pPr>
      <w:r w:rsidRPr="00EF530F">
        <w:t>D.5</w:t>
      </w:r>
      <w:r w:rsidR="006055B5">
        <w:t>B</w:t>
      </w:r>
      <w:r w:rsidRPr="00EF530F">
        <w:t>.2.</w:t>
      </w:r>
      <w:r w:rsidRPr="00EF530F">
        <w:rPr>
          <w:sz w:val="24"/>
        </w:rPr>
        <w:tab/>
      </w:r>
      <w:r w:rsidRPr="00EF530F">
        <w:t>Modelled base case analysis</w:t>
      </w:r>
    </w:p>
    <w:p w14:paraId="632948B3" w14:textId="77777777" w:rsidR="00641CF9" w:rsidRPr="00EF530F" w:rsidRDefault="00641CF9" w:rsidP="00641CF9">
      <w:pPr>
        <w:pStyle w:val="Heading5"/>
      </w:pPr>
      <w:r w:rsidRPr="00EF530F">
        <w:t>Disaggregated costs and outcomes</w:t>
      </w:r>
    </w:p>
    <w:p w14:paraId="41D6E161" w14:textId="7CC790BE" w:rsidR="00641CF9" w:rsidRPr="00EF530F" w:rsidRDefault="00641CF9" w:rsidP="00641CF9">
      <w:pPr>
        <w:pStyle w:val="BodyTextSTD"/>
      </w:pPr>
      <w:r w:rsidRPr="00EF530F">
        <w:t xml:space="preserve">The costs and outcomes disaggregated for the base case analysis are presented in </w:t>
      </w:r>
      <w:r w:rsidR="00085C7A">
        <w:fldChar w:fldCharType="begin"/>
      </w:r>
      <w:r w:rsidR="00085C7A">
        <w:instrText xml:space="preserve"> REF _Ref66458559 \h </w:instrText>
      </w:r>
      <w:r w:rsidR="00085C7A">
        <w:fldChar w:fldCharType="separate"/>
      </w:r>
      <w:r w:rsidR="004B3EA2" w:rsidRPr="00EF530F">
        <w:t xml:space="preserve">Table </w:t>
      </w:r>
      <w:r w:rsidR="004B3EA2">
        <w:rPr>
          <w:noProof/>
        </w:rPr>
        <w:t>52</w:t>
      </w:r>
      <w:r w:rsidR="00085C7A">
        <w:fldChar w:fldCharType="end"/>
      </w:r>
      <w:r w:rsidR="00085C7A">
        <w:t xml:space="preserve"> </w:t>
      </w:r>
      <w:r w:rsidRPr="00EF530F">
        <w:t>and</w:t>
      </w:r>
      <w:r w:rsidR="00085C7A">
        <w:t xml:space="preserve"> </w:t>
      </w:r>
      <w:r w:rsidR="00085C7A">
        <w:fldChar w:fldCharType="begin"/>
      </w:r>
      <w:r w:rsidR="00085C7A">
        <w:instrText xml:space="preserve"> REF _Ref66458572 \h </w:instrText>
      </w:r>
      <w:r w:rsidR="00085C7A">
        <w:fldChar w:fldCharType="separate"/>
      </w:r>
      <w:r w:rsidR="004B3EA2" w:rsidRPr="00EF530F">
        <w:t xml:space="preserve">Table </w:t>
      </w:r>
      <w:r w:rsidR="004B3EA2">
        <w:rPr>
          <w:noProof/>
        </w:rPr>
        <w:t>53</w:t>
      </w:r>
      <w:r w:rsidR="00085C7A">
        <w:fldChar w:fldCharType="end"/>
      </w:r>
      <w:r w:rsidRPr="00EF530F">
        <w:t xml:space="preserve">. </w:t>
      </w:r>
    </w:p>
    <w:p w14:paraId="6B9124B8" w14:textId="20ECE877" w:rsidR="00641CF9" w:rsidRPr="00EF530F" w:rsidRDefault="00641CF9" w:rsidP="00641CF9">
      <w:pPr>
        <w:pStyle w:val="Caption"/>
      </w:pPr>
      <w:bookmarkStart w:id="369" w:name="_Ref66458559"/>
      <w:bookmarkStart w:id="370" w:name="_Toc69305693"/>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52</w:t>
      </w:r>
      <w:r w:rsidRPr="00EF530F">
        <w:fldChar w:fldCharType="end"/>
      </w:r>
      <w:bookmarkEnd w:id="369"/>
      <w:r w:rsidRPr="00EF530F">
        <w:tab/>
        <w:t>Disaggregated costs</w:t>
      </w:r>
      <w:r w:rsidR="00A00511">
        <w:t>, immunoglobulin versus plasma exchange</w:t>
      </w:r>
      <w:bookmarkEnd w:id="370"/>
    </w:p>
    <w:tbl>
      <w:tblPr>
        <w:tblStyle w:val="TableGrid11"/>
        <w:tblW w:w="5000" w:type="pct"/>
        <w:tblInd w:w="0" w:type="dxa"/>
        <w:tblLook w:val="04A0" w:firstRow="1" w:lastRow="0" w:firstColumn="1" w:lastColumn="0" w:noHBand="0" w:noVBand="1"/>
        <w:tblCaption w:val="Disaggregated costs"/>
        <w:tblDescription w:val="Disaggregated costs"/>
      </w:tblPr>
      <w:tblGrid>
        <w:gridCol w:w="4074"/>
        <w:gridCol w:w="1648"/>
        <w:gridCol w:w="1648"/>
        <w:gridCol w:w="1646"/>
      </w:tblGrid>
      <w:tr w:rsidR="00641CF9" w:rsidRPr="00EF530F" w14:paraId="70A74B89" w14:textId="77777777" w:rsidTr="00422B0F">
        <w:trPr>
          <w:cnfStyle w:val="100000000000" w:firstRow="1" w:lastRow="0" w:firstColumn="0" w:lastColumn="0" w:oddVBand="0" w:evenVBand="0" w:oddHBand="0" w:evenHBand="0" w:firstRowFirstColumn="0" w:firstRowLastColumn="0" w:lastRowFirstColumn="0" w:lastRowLastColumn="0"/>
          <w:cantSplit/>
          <w:trHeight w:val="300"/>
          <w:tblHeader/>
        </w:trPr>
        <w:tc>
          <w:tcPr>
            <w:tcW w:w="2259" w:type="pct"/>
            <w:tcBorders>
              <w:top w:val="single" w:sz="4" w:space="0" w:color="auto"/>
              <w:left w:val="single" w:sz="4" w:space="0" w:color="auto"/>
              <w:bottom w:val="single" w:sz="4" w:space="0" w:color="auto"/>
              <w:right w:val="single" w:sz="4" w:space="0" w:color="auto"/>
            </w:tcBorders>
            <w:noWrap/>
            <w:hideMark/>
          </w:tcPr>
          <w:p w14:paraId="3A3AA8EC" w14:textId="77777777" w:rsidR="00641CF9" w:rsidRPr="00EF530F" w:rsidRDefault="00641CF9" w:rsidP="00422B0F">
            <w:pPr>
              <w:pStyle w:val="TableHeading"/>
            </w:pPr>
          </w:p>
        </w:tc>
        <w:tc>
          <w:tcPr>
            <w:tcW w:w="914" w:type="pct"/>
            <w:tcBorders>
              <w:top w:val="single" w:sz="4" w:space="0" w:color="auto"/>
              <w:left w:val="single" w:sz="4" w:space="0" w:color="auto"/>
              <w:bottom w:val="single" w:sz="4" w:space="0" w:color="auto"/>
              <w:right w:val="single" w:sz="4" w:space="0" w:color="auto"/>
            </w:tcBorders>
            <w:noWrap/>
            <w:hideMark/>
          </w:tcPr>
          <w:p w14:paraId="776F25CC" w14:textId="77777777" w:rsidR="00641CF9" w:rsidRPr="00EF530F" w:rsidRDefault="00641CF9" w:rsidP="00085C7A">
            <w:pPr>
              <w:pStyle w:val="TableHeading"/>
            </w:pPr>
            <w:r w:rsidRPr="00EF530F">
              <w:t>I</w:t>
            </w:r>
            <w:r w:rsidR="00085C7A">
              <w:t>mmunoglobulin</w:t>
            </w:r>
          </w:p>
        </w:tc>
        <w:tc>
          <w:tcPr>
            <w:tcW w:w="914" w:type="pct"/>
            <w:tcBorders>
              <w:top w:val="single" w:sz="4" w:space="0" w:color="auto"/>
              <w:left w:val="single" w:sz="4" w:space="0" w:color="auto"/>
              <w:bottom w:val="single" w:sz="4" w:space="0" w:color="auto"/>
              <w:right w:val="single" w:sz="4" w:space="0" w:color="auto"/>
            </w:tcBorders>
            <w:noWrap/>
            <w:hideMark/>
          </w:tcPr>
          <w:p w14:paraId="7E09E88F" w14:textId="77777777" w:rsidR="00641CF9" w:rsidRPr="00EF530F" w:rsidRDefault="00085C7A" w:rsidP="00422B0F">
            <w:pPr>
              <w:pStyle w:val="TableHeading"/>
            </w:pPr>
            <w:r>
              <w:t>Plasma exchange</w:t>
            </w:r>
          </w:p>
        </w:tc>
        <w:tc>
          <w:tcPr>
            <w:tcW w:w="913" w:type="pct"/>
            <w:tcBorders>
              <w:top w:val="single" w:sz="4" w:space="0" w:color="auto"/>
              <w:left w:val="single" w:sz="4" w:space="0" w:color="auto"/>
              <w:bottom w:val="single" w:sz="4" w:space="0" w:color="auto"/>
              <w:right w:val="single" w:sz="4" w:space="0" w:color="auto"/>
            </w:tcBorders>
            <w:noWrap/>
            <w:hideMark/>
          </w:tcPr>
          <w:p w14:paraId="5D2BB40D" w14:textId="77777777" w:rsidR="00641CF9" w:rsidRPr="00EF530F" w:rsidRDefault="00641CF9" w:rsidP="00422B0F">
            <w:pPr>
              <w:pStyle w:val="TableHeading"/>
            </w:pPr>
            <w:r w:rsidRPr="00EF530F">
              <w:t>Increment</w:t>
            </w:r>
          </w:p>
        </w:tc>
      </w:tr>
      <w:tr w:rsidR="007D0340" w:rsidRPr="00EF530F" w14:paraId="5814610A" w14:textId="77777777" w:rsidTr="00422B0F">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5D09A76D" w14:textId="77777777" w:rsidR="007D0340" w:rsidRPr="00EF530F" w:rsidRDefault="007D0340" w:rsidP="007D0340">
            <w:pPr>
              <w:pStyle w:val="Tabletext1"/>
            </w:pPr>
            <w:r w:rsidRPr="00EF530F">
              <w:t>Drug costs</w:t>
            </w:r>
          </w:p>
        </w:tc>
        <w:tc>
          <w:tcPr>
            <w:tcW w:w="914" w:type="pct"/>
            <w:tcBorders>
              <w:top w:val="single" w:sz="4" w:space="0" w:color="auto"/>
              <w:left w:val="single" w:sz="4" w:space="0" w:color="auto"/>
              <w:bottom w:val="single" w:sz="4" w:space="0" w:color="auto"/>
              <w:right w:val="single" w:sz="4" w:space="0" w:color="auto"/>
            </w:tcBorders>
            <w:noWrap/>
            <w:hideMark/>
          </w:tcPr>
          <w:p w14:paraId="5668E6B9" w14:textId="16B6A61C" w:rsidR="007D0340" w:rsidRPr="00EF530F" w:rsidRDefault="007D0340" w:rsidP="007D0340">
            <w:pPr>
              <w:pStyle w:val="Tabletext1"/>
              <w:jc w:val="right"/>
            </w:pPr>
            <w:r w:rsidRPr="00150370">
              <w:t>$131,280</w:t>
            </w:r>
          </w:p>
        </w:tc>
        <w:tc>
          <w:tcPr>
            <w:tcW w:w="914" w:type="pct"/>
            <w:tcBorders>
              <w:top w:val="single" w:sz="4" w:space="0" w:color="auto"/>
              <w:left w:val="single" w:sz="4" w:space="0" w:color="auto"/>
              <w:bottom w:val="single" w:sz="4" w:space="0" w:color="auto"/>
              <w:right w:val="single" w:sz="4" w:space="0" w:color="auto"/>
            </w:tcBorders>
            <w:noWrap/>
            <w:hideMark/>
          </w:tcPr>
          <w:p w14:paraId="11683727" w14:textId="780F41BB" w:rsidR="007D0340" w:rsidRPr="00EF530F" w:rsidRDefault="007D0340" w:rsidP="007D0340">
            <w:pPr>
              <w:pStyle w:val="Tabletext1"/>
              <w:jc w:val="right"/>
            </w:pPr>
            <w:r w:rsidRPr="00150370">
              <w:t>$22,183</w:t>
            </w:r>
          </w:p>
        </w:tc>
        <w:tc>
          <w:tcPr>
            <w:tcW w:w="913" w:type="pct"/>
            <w:tcBorders>
              <w:top w:val="single" w:sz="4" w:space="0" w:color="auto"/>
              <w:left w:val="single" w:sz="4" w:space="0" w:color="auto"/>
              <w:bottom w:val="single" w:sz="4" w:space="0" w:color="auto"/>
              <w:right w:val="single" w:sz="4" w:space="0" w:color="auto"/>
            </w:tcBorders>
            <w:noWrap/>
            <w:hideMark/>
          </w:tcPr>
          <w:p w14:paraId="661894E1" w14:textId="7C59A0A9" w:rsidR="007D0340" w:rsidRPr="00EF530F" w:rsidRDefault="007D0340" w:rsidP="007D0340">
            <w:pPr>
              <w:pStyle w:val="Tabletext1"/>
              <w:jc w:val="right"/>
            </w:pPr>
            <w:r w:rsidRPr="00150370">
              <w:t>$109,097</w:t>
            </w:r>
          </w:p>
        </w:tc>
      </w:tr>
      <w:tr w:rsidR="007D0340" w:rsidRPr="00EF530F" w14:paraId="5ABDDBB4" w14:textId="77777777" w:rsidTr="00422B0F">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20DBACA7" w14:textId="77777777" w:rsidR="007D0340" w:rsidRPr="00EF530F" w:rsidRDefault="007D0340" w:rsidP="007D0340">
            <w:pPr>
              <w:pStyle w:val="Tabletext1"/>
            </w:pPr>
            <w:r w:rsidRPr="00EF530F">
              <w:t>Monitoring costs</w:t>
            </w:r>
          </w:p>
        </w:tc>
        <w:tc>
          <w:tcPr>
            <w:tcW w:w="914" w:type="pct"/>
            <w:tcBorders>
              <w:top w:val="single" w:sz="4" w:space="0" w:color="auto"/>
              <w:left w:val="single" w:sz="4" w:space="0" w:color="auto"/>
              <w:bottom w:val="single" w:sz="4" w:space="0" w:color="auto"/>
              <w:right w:val="single" w:sz="4" w:space="0" w:color="auto"/>
            </w:tcBorders>
            <w:noWrap/>
            <w:hideMark/>
          </w:tcPr>
          <w:p w14:paraId="267B4B5A" w14:textId="54B593C7" w:rsidR="007D0340" w:rsidRPr="00EF530F" w:rsidRDefault="007D0340" w:rsidP="007D0340">
            <w:pPr>
              <w:pStyle w:val="Tabletext1"/>
              <w:jc w:val="right"/>
            </w:pPr>
            <w:r w:rsidRPr="00150370">
              <w:t>$4,454</w:t>
            </w:r>
          </w:p>
        </w:tc>
        <w:tc>
          <w:tcPr>
            <w:tcW w:w="914" w:type="pct"/>
            <w:tcBorders>
              <w:top w:val="single" w:sz="4" w:space="0" w:color="auto"/>
              <w:left w:val="single" w:sz="4" w:space="0" w:color="auto"/>
              <w:bottom w:val="single" w:sz="4" w:space="0" w:color="auto"/>
              <w:right w:val="single" w:sz="4" w:space="0" w:color="auto"/>
            </w:tcBorders>
            <w:noWrap/>
            <w:hideMark/>
          </w:tcPr>
          <w:p w14:paraId="63067683" w14:textId="0E28DA65" w:rsidR="007D0340" w:rsidRPr="00EF530F" w:rsidRDefault="007D0340" w:rsidP="007D0340">
            <w:pPr>
              <w:pStyle w:val="Tabletext1"/>
              <w:jc w:val="right"/>
            </w:pPr>
            <w:r w:rsidRPr="00150370">
              <w:t>$4,454</w:t>
            </w:r>
          </w:p>
        </w:tc>
        <w:tc>
          <w:tcPr>
            <w:tcW w:w="913" w:type="pct"/>
            <w:tcBorders>
              <w:top w:val="single" w:sz="4" w:space="0" w:color="auto"/>
              <w:left w:val="single" w:sz="4" w:space="0" w:color="auto"/>
              <w:bottom w:val="single" w:sz="4" w:space="0" w:color="auto"/>
              <w:right w:val="single" w:sz="4" w:space="0" w:color="auto"/>
            </w:tcBorders>
            <w:noWrap/>
            <w:hideMark/>
          </w:tcPr>
          <w:p w14:paraId="09FD6FFC" w14:textId="504F0F6F" w:rsidR="007D0340" w:rsidRPr="00EF530F" w:rsidRDefault="007D0340" w:rsidP="007D0340">
            <w:pPr>
              <w:pStyle w:val="Tabletext1"/>
              <w:jc w:val="right"/>
            </w:pPr>
            <w:r w:rsidRPr="00150370">
              <w:t>$0</w:t>
            </w:r>
          </w:p>
        </w:tc>
      </w:tr>
      <w:tr w:rsidR="007D0340" w:rsidRPr="00EF530F" w14:paraId="53C6127A" w14:textId="77777777" w:rsidTr="00422B0F">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40A27B55" w14:textId="77777777" w:rsidR="007D0340" w:rsidRPr="00EF530F" w:rsidRDefault="007D0340" w:rsidP="007D0340">
            <w:pPr>
              <w:pStyle w:val="Tabletext1"/>
            </w:pPr>
            <w:r w:rsidRPr="00EF530F">
              <w:t>Administration costs</w:t>
            </w:r>
          </w:p>
        </w:tc>
        <w:tc>
          <w:tcPr>
            <w:tcW w:w="914" w:type="pct"/>
            <w:tcBorders>
              <w:top w:val="single" w:sz="4" w:space="0" w:color="auto"/>
              <w:left w:val="single" w:sz="4" w:space="0" w:color="auto"/>
              <w:bottom w:val="single" w:sz="4" w:space="0" w:color="auto"/>
              <w:right w:val="single" w:sz="4" w:space="0" w:color="auto"/>
            </w:tcBorders>
            <w:noWrap/>
            <w:hideMark/>
          </w:tcPr>
          <w:p w14:paraId="346237C8" w14:textId="040FFEC1" w:rsidR="007D0340" w:rsidRPr="00EF530F" w:rsidRDefault="007D0340" w:rsidP="007D0340">
            <w:pPr>
              <w:pStyle w:val="Tabletext1"/>
              <w:jc w:val="right"/>
            </w:pPr>
            <w:r w:rsidRPr="00150370">
              <w:t>$28,293</w:t>
            </w:r>
          </w:p>
        </w:tc>
        <w:tc>
          <w:tcPr>
            <w:tcW w:w="914" w:type="pct"/>
            <w:tcBorders>
              <w:top w:val="single" w:sz="4" w:space="0" w:color="auto"/>
              <w:left w:val="single" w:sz="4" w:space="0" w:color="auto"/>
              <w:bottom w:val="single" w:sz="4" w:space="0" w:color="auto"/>
              <w:right w:val="single" w:sz="4" w:space="0" w:color="auto"/>
            </w:tcBorders>
            <w:noWrap/>
            <w:hideMark/>
          </w:tcPr>
          <w:p w14:paraId="3702CD92" w14:textId="74ACD507" w:rsidR="007D0340" w:rsidRPr="00EF530F" w:rsidRDefault="007D0340" w:rsidP="007D0340">
            <w:pPr>
              <w:pStyle w:val="Tabletext1"/>
              <w:jc w:val="right"/>
            </w:pPr>
            <w:r w:rsidRPr="00150370">
              <w:t>$86,652</w:t>
            </w:r>
          </w:p>
        </w:tc>
        <w:tc>
          <w:tcPr>
            <w:tcW w:w="913" w:type="pct"/>
            <w:tcBorders>
              <w:top w:val="single" w:sz="4" w:space="0" w:color="auto"/>
              <w:left w:val="single" w:sz="4" w:space="0" w:color="auto"/>
              <w:bottom w:val="single" w:sz="4" w:space="0" w:color="auto"/>
              <w:right w:val="single" w:sz="4" w:space="0" w:color="auto"/>
            </w:tcBorders>
            <w:noWrap/>
            <w:hideMark/>
          </w:tcPr>
          <w:p w14:paraId="019532AF" w14:textId="22F4E1AC" w:rsidR="007D0340" w:rsidRPr="00EF530F" w:rsidRDefault="007D0340" w:rsidP="007D0340">
            <w:pPr>
              <w:pStyle w:val="Tabletext1"/>
              <w:jc w:val="right"/>
            </w:pPr>
            <w:r w:rsidRPr="00150370">
              <w:t>-$58,359</w:t>
            </w:r>
          </w:p>
        </w:tc>
      </w:tr>
      <w:tr w:rsidR="007D0340" w:rsidRPr="001F2C96" w14:paraId="03073FAA" w14:textId="77777777" w:rsidTr="00422B0F">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70BFC748" w14:textId="77777777" w:rsidR="007D0340" w:rsidRPr="001F2C96" w:rsidRDefault="007D0340" w:rsidP="007D0340">
            <w:pPr>
              <w:pStyle w:val="Tabletext1"/>
              <w:rPr>
                <w:b/>
              </w:rPr>
            </w:pPr>
            <w:r w:rsidRPr="001F2C96">
              <w:rPr>
                <w:b/>
              </w:rPr>
              <w:t>Total costs</w:t>
            </w:r>
          </w:p>
        </w:tc>
        <w:tc>
          <w:tcPr>
            <w:tcW w:w="914" w:type="pct"/>
            <w:tcBorders>
              <w:top w:val="single" w:sz="4" w:space="0" w:color="auto"/>
              <w:left w:val="single" w:sz="4" w:space="0" w:color="auto"/>
              <w:bottom w:val="single" w:sz="4" w:space="0" w:color="auto"/>
              <w:right w:val="single" w:sz="4" w:space="0" w:color="auto"/>
            </w:tcBorders>
            <w:noWrap/>
            <w:hideMark/>
          </w:tcPr>
          <w:p w14:paraId="084D0F38" w14:textId="77777777" w:rsidR="007D0340" w:rsidRPr="00C23664" w:rsidRDefault="007D0340" w:rsidP="007D0340">
            <w:pPr>
              <w:pStyle w:val="Tabletext1"/>
              <w:jc w:val="right"/>
              <w:rPr>
                <w:b/>
              </w:rPr>
            </w:pPr>
            <w:r w:rsidRPr="00C23664">
              <w:rPr>
                <w:b/>
              </w:rPr>
              <w:t>$16</w:t>
            </w:r>
            <w:r>
              <w:rPr>
                <w:b/>
              </w:rPr>
              <w:t>4,027</w:t>
            </w:r>
          </w:p>
        </w:tc>
        <w:tc>
          <w:tcPr>
            <w:tcW w:w="914" w:type="pct"/>
            <w:tcBorders>
              <w:top w:val="single" w:sz="4" w:space="0" w:color="auto"/>
              <w:left w:val="single" w:sz="4" w:space="0" w:color="auto"/>
              <w:bottom w:val="single" w:sz="4" w:space="0" w:color="auto"/>
              <w:right w:val="single" w:sz="4" w:space="0" w:color="auto"/>
            </w:tcBorders>
            <w:noWrap/>
            <w:hideMark/>
          </w:tcPr>
          <w:p w14:paraId="0F4D86C7" w14:textId="2782529C" w:rsidR="007D0340" w:rsidRPr="007D0340" w:rsidRDefault="007D0340" w:rsidP="007D0340">
            <w:pPr>
              <w:pStyle w:val="Tabletext1"/>
              <w:jc w:val="right"/>
              <w:rPr>
                <w:b/>
              </w:rPr>
            </w:pPr>
            <w:r w:rsidRPr="000F3CBC">
              <w:rPr>
                <w:b/>
              </w:rPr>
              <w:t>$114,036</w:t>
            </w:r>
          </w:p>
        </w:tc>
        <w:tc>
          <w:tcPr>
            <w:tcW w:w="913" w:type="pct"/>
            <w:tcBorders>
              <w:top w:val="single" w:sz="4" w:space="0" w:color="auto"/>
              <w:left w:val="single" w:sz="4" w:space="0" w:color="auto"/>
              <w:bottom w:val="single" w:sz="4" w:space="0" w:color="auto"/>
              <w:right w:val="single" w:sz="4" w:space="0" w:color="auto"/>
            </w:tcBorders>
            <w:noWrap/>
            <w:hideMark/>
          </w:tcPr>
          <w:p w14:paraId="2C3832F2" w14:textId="4DA7FD51" w:rsidR="007D0340" w:rsidRPr="007D0340" w:rsidRDefault="007D0340" w:rsidP="007D0340">
            <w:pPr>
              <w:pStyle w:val="Tabletext1"/>
              <w:jc w:val="right"/>
              <w:rPr>
                <w:b/>
              </w:rPr>
            </w:pPr>
            <w:r w:rsidRPr="000F3CBC">
              <w:rPr>
                <w:b/>
              </w:rPr>
              <w:t>$49,991</w:t>
            </w:r>
          </w:p>
        </w:tc>
      </w:tr>
    </w:tbl>
    <w:p w14:paraId="482216C1" w14:textId="77777777" w:rsidR="00641CF9" w:rsidRPr="00EF530F" w:rsidRDefault="00316033" w:rsidP="00316033">
      <w:pPr>
        <w:pStyle w:val="Tablenote"/>
      </w:pPr>
      <w:r>
        <w:t>Note: Totals may not add up due to rounding off.</w:t>
      </w:r>
    </w:p>
    <w:p w14:paraId="5ECFB438" w14:textId="77777777" w:rsidR="00641CF9" w:rsidRPr="00EF530F" w:rsidRDefault="00641CF9" w:rsidP="00641CF9">
      <w:pPr>
        <w:pStyle w:val="BodyTextSTD"/>
      </w:pPr>
      <w:r w:rsidRPr="00EF530F">
        <w:t xml:space="preserve">The cost of Ig was the main driver of the incremental cost, with offsets related to a reduction in the </w:t>
      </w:r>
      <w:r w:rsidR="00085C7A">
        <w:t>administration costs</w:t>
      </w:r>
      <w:r w:rsidRPr="00EF530F">
        <w:t>.</w:t>
      </w:r>
    </w:p>
    <w:p w14:paraId="6141AB79" w14:textId="624E0359" w:rsidR="00641CF9" w:rsidRPr="00EF530F" w:rsidRDefault="00641CF9" w:rsidP="00641CF9">
      <w:pPr>
        <w:pStyle w:val="Caption"/>
      </w:pPr>
      <w:bookmarkStart w:id="371" w:name="_Ref66458572"/>
      <w:bookmarkStart w:id="372" w:name="_Toc69305694"/>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53</w:t>
      </w:r>
      <w:r w:rsidRPr="00EF530F">
        <w:fldChar w:fldCharType="end"/>
      </w:r>
      <w:bookmarkEnd w:id="371"/>
      <w:r w:rsidRPr="00EF530F">
        <w:tab/>
        <w:t>Disaggregated QALYs</w:t>
      </w:r>
      <w:r w:rsidR="00A00511">
        <w:t>, immunoglobulin versus plasma exchange</w:t>
      </w:r>
      <w:bookmarkEnd w:id="372"/>
    </w:p>
    <w:tbl>
      <w:tblPr>
        <w:tblStyle w:val="TableGrid11"/>
        <w:tblW w:w="5000" w:type="pct"/>
        <w:tblInd w:w="0" w:type="dxa"/>
        <w:tblLook w:val="04A0" w:firstRow="1" w:lastRow="0" w:firstColumn="1" w:lastColumn="0" w:noHBand="0" w:noVBand="1"/>
        <w:tblCaption w:val="Disaggregated QALYs"/>
        <w:tblDescription w:val="Disaggregated QALYs"/>
      </w:tblPr>
      <w:tblGrid>
        <w:gridCol w:w="4074"/>
        <w:gridCol w:w="1648"/>
        <w:gridCol w:w="1648"/>
        <w:gridCol w:w="1646"/>
      </w:tblGrid>
      <w:tr w:rsidR="00085C7A" w:rsidRPr="00EF530F" w14:paraId="56B406FD" w14:textId="77777777" w:rsidTr="00422B0F">
        <w:trPr>
          <w:cnfStyle w:val="100000000000" w:firstRow="1" w:lastRow="0" w:firstColumn="0" w:lastColumn="0" w:oddVBand="0" w:evenVBand="0" w:oddHBand="0" w:evenHBand="0" w:firstRowFirstColumn="0" w:firstRowLastColumn="0" w:lastRowFirstColumn="0" w:lastRowLastColumn="0"/>
          <w:cantSplit/>
          <w:trHeight w:val="300"/>
          <w:tblHeader/>
        </w:trPr>
        <w:tc>
          <w:tcPr>
            <w:tcW w:w="2259" w:type="pct"/>
            <w:tcBorders>
              <w:top w:val="single" w:sz="4" w:space="0" w:color="auto"/>
              <w:left w:val="single" w:sz="4" w:space="0" w:color="auto"/>
              <w:bottom w:val="single" w:sz="4" w:space="0" w:color="auto"/>
              <w:right w:val="single" w:sz="4" w:space="0" w:color="auto"/>
            </w:tcBorders>
            <w:noWrap/>
            <w:hideMark/>
          </w:tcPr>
          <w:p w14:paraId="2F5C26B6" w14:textId="77777777" w:rsidR="00085C7A" w:rsidRPr="00EF530F" w:rsidRDefault="00085C7A" w:rsidP="00085C7A">
            <w:pPr>
              <w:pStyle w:val="TableHeading"/>
            </w:pPr>
          </w:p>
        </w:tc>
        <w:tc>
          <w:tcPr>
            <w:tcW w:w="914" w:type="pct"/>
            <w:tcBorders>
              <w:top w:val="single" w:sz="4" w:space="0" w:color="auto"/>
              <w:left w:val="single" w:sz="4" w:space="0" w:color="auto"/>
              <w:bottom w:val="single" w:sz="4" w:space="0" w:color="auto"/>
              <w:right w:val="single" w:sz="4" w:space="0" w:color="auto"/>
            </w:tcBorders>
            <w:noWrap/>
            <w:hideMark/>
          </w:tcPr>
          <w:p w14:paraId="7D45E137" w14:textId="77777777" w:rsidR="00085C7A" w:rsidRPr="00EF530F" w:rsidRDefault="00085C7A" w:rsidP="00085C7A">
            <w:pPr>
              <w:pStyle w:val="TableHeading"/>
            </w:pPr>
            <w:r w:rsidRPr="00EF530F">
              <w:t>I</w:t>
            </w:r>
            <w:r>
              <w:t>mmunoglobulin</w:t>
            </w:r>
          </w:p>
        </w:tc>
        <w:tc>
          <w:tcPr>
            <w:tcW w:w="914" w:type="pct"/>
            <w:tcBorders>
              <w:top w:val="single" w:sz="4" w:space="0" w:color="auto"/>
              <w:left w:val="single" w:sz="4" w:space="0" w:color="auto"/>
              <w:bottom w:val="single" w:sz="4" w:space="0" w:color="auto"/>
              <w:right w:val="single" w:sz="4" w:space="0" w:color="auto"/>
            </w:tcBorders>
            <w:noWrap/>
            <w:hideMark/>
          </w:tcPr>
          <w:p w14:paraId="7CDDF7A8" w14:textId="77777777" w:rsidR="00085C7A" w:rsidRPr="00EF530F" w:rsidRDefault="00085C7A" w:rsidP="00085C7A">
            <w:pPr>
              <w:pStyle w:val="TableHeading"/>
            </w:pPr>
            <w:r>
              <w:t>Plasma exchange</w:t>
            </w:r>
          </w:p>
        </w:tc>
        <w:tc>
          <w:tcPr>
            <w:tcW w:w="913" w:type="pct"/>
            <w:tcBorders>
              <w:top w:val="single" w:sz="4" w:space="0" w:color="auto"/>
              <w:left w:val="single" w:sz="4" w:space="0" w:color="auto"/>
              <w:bottom w:val="single" w:sz="4" w:space="0" w:color="auto"/>
              <w:right w:val="single" w:sz="4" w:space="0" w:color="auto"/>
            </w:tcBorders>
            <w:noWrap/>
            <w:hideMark/>
          </w:tcPr>
          <w:p w14:paraId="6A72F1D2" w14:textId="77777777" w:rsidR="00085C7A" w:rsidRPr="00EF530F" w:rsidRDefault="00085C7A" w:rsidP="00085C7A">
            <w:pPr>
              <w:pStyle w:val="TableHeading"/>
            </w:pPr>
            <w:r w:rsidRPr="00EF530F">
              <w:t>Increment</w:t>
            </w:r>
          </w:p>
        </w:tc>
      </w:tr>
      <w:tr w:rsidR="00352B7D" w:rsidRPr="00EF530F" w14:paraId="37AECCC8" w14:textId="77777777" w:rsidTr="00422B0F">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537D01DC" w14:textId="77777777" w:rsidR="00352B7D" w:rsidRPr="00EF530F" w:rsidRDefault="00352B7D" w:rsidP="00352B7D">
            <w:pPr>
              <w:pStyle w:val="Tabletext1"/>
            </w:pPr>
            <w:r w:rsidRPr="00EF530F">
              <w:t xml:space="preserve">On treatment </w:t>
            </w:r>
            <w:r>
              <w:t>(induction /maintenance phase)</w:t>
            </w:r>
            <w:r w:rsidRPr="00EF530F">
              <w:t xml:space="preserve"> QALYs</w:t>
            </w:r>
          </w:p>
        </w:tc>
        <w:tc>
          <w:tcPr>
            <w:tcW w:w="914" w:type="pct"/>
            <w:tcBorders>
              <w:top w:val="single" w:sz="4" w:space="0" w:color="auto"/>
              <w:left w:val="single" w:sz="4" w:space="0" w:color="auto"/>
              <w:bottom w:val="single" w:sz="4" w:space="0" w:color="auto"/>
              <w:right w:val="single" w:sz="4" w:space="0" w:color="auto"/>
            </w:tcBorders>
            <w:noWrap/>
            <w:hideMark/>
          </w:tcPr>
          <w:p w14:paraId="7DBD289D" w14:textId="77777777" w:rsidR="00352B7D" w:rsidRPr="00EF530F" w:rsidRDefault="00352B7D" w:rsidP="00352B7D">
            <w:pPr>
              <w:pStyle w:val="Tabletext1"/>
              <w:jc w:val="right"/>
            </w:pPr>
            <w:r w:rsidRPr="007B02BB">
              <w:t>2.033</w:t>
            </w:r>
          </w:p>
        </w:tc>
        <w:tc>
          <w:tcPr>
            <w:tcW w:w="914" w:type="pct"/>
            <w:tcBorders>
              <w:top w:val="single" w:sz="4" w:space="0" w:color="auto"/>
              <w:left w:val="single" w:sz="4" w:space="0" w:color="auto"/>
              <w:bottom w:val="single" w:sz="4" w:space="0" w:color="auto"/>
              <w:right w:val="single" w:sz="4" w:space="0" w:color="auto"/>
            </w:tcBorders>
            <w:noWrap/>
            <w:hideMark/>
          </w:tcPr>
          <w:p w14:paraId="5CCC0B1D" w14:textId="46B2E2D8" w:rsidR="00352B7D" w:rsidRPr="00EF530F" w:rsidRDefault="00352B7D" w:rsidP="00352B7D">
            <w:pPr>
              <w:pStyle w:val="Tabletext1"/>
              <w:jc w:val="right"/>
            </w:pPr>
            <w:r w:rsidRPr="00BA6901">
              <w:t>1.336</w:t>
            </w:r>
          </w:p>
        </w:tc>
        <w:tc>
          <w:tcPr>
            <w:tcW w:w="913" w:type="pct"/>
            <w:tcBorders>
              <w:top w:val="single" w:sz="4" w:space="0" w:color="auto"/>
              <w:left w:val="single" w:sz="4" w:space="0" w:color="auto"/>
              <w:bottom w:val="single" w:sz="4" w:space="0" w:color="auto"/>
              <w:right w:val="single" w:sz="4" w:space="0" w:color="auto"/>
            </w:tcBorders>
            <w:noWrap/>
            <w:hideMark/>
          </w:tcPr>
          <w:p w14:paraId="1AD34FF3" w14:textId="57B55F45" w:rsidR="00352B7D" w:rsidRPr="00EF530F" w:rsidRDefault="00352B7D" w:rsidP="00352B7D">
            <w:pPr>
              <w:pStyle w:val="Tabletext1"/>
              <w:jc w:val="right"/>
            </w:pPr>
            <w:r w:rsidRPr="00BA6901">
              <w:t>0.698</w:t>
            </w:r>
          </w:p>
        </w:tc>
      </w:tr>
      <w:tr w:rsidR="00352B7D" w:rsidRPr="00EF530F" w14:paraId="328319CA" w14:textId="77777777" w:rsidTr="00422B0F">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47F2F4A4" w14:textId="77777777" w:rsidR="00352B7D" w:rsidRPr="00EF530F" w:rsidRDefault="00352B7D" w:rsidP="00352B7D">
            <w:pPr>
              <w:pStyle w:val="Tabletext1"/>
            </w:pPr>
            <w:r>
              <w:t>‘</w:t>
            </w:r>
            <w:r w:rsidRPr="00EF530F">
              <w:t>In remission</w:t>
            </w:r>
            <w:r>
              <w:t>’</w:t>
            </w:r>
            <w:r w:rsidRPr="00EF530F">
              <w:t xml:space="preserve"> QALYs</w:t>
            </w:r>
          </w:p>
        </w:tc>
        <w:tc>
          <w:tcPr>
            <w:tcW w:w="914" w:type="pct"/>
            <w:tcBorders>
              <w:top w:val="single" w:sz="4" w:space="0" w:color="auto"/>
              <w:left w:val="single" w:sz="4" w:space="0" w:color="auto"/>
              <w:bottom w:val="single" w:sz="4" w:space="0" w:color="auto"/>
              <w:right w:val="single" w:sz="4" w:space="0" w:color="auto"/>
            </w:tcBorders>
            <w:noWrap/>
            <w:hideMark/>
          </w:tcPr>
          <w:p w14:paraId="4EA00534" w14:textId="77777777" w:rsidR="00352B7D" w:rsidRPr="00EF530F" w:rsidRDefault="00352B7D" w:rsidP="00352B7D">
            <w:pPr>
              <w:pStyle w:val="Tabletext1"/>
              <w:jc w:val="right"/>
            </w:pPr>
            <w:r w:rsidRPr="007B02BB">
              <w:t>2.560</w:t>
            </w:r>
          </w:p>
        </w:tc>
        <w:tc>
          <w:tcPr>
            <w:tcW w:w="914" w:type="pct"/>
            <w:tcBorders>
              <w:top w:val="single" w:sz="4" w:space="0" w:color="auto"/>
              <w:left w:val="single" w:sz="4" w:space="0" w:color="auto"/>
              <w:bottom w:val="single" w:sz="4" w:space="0" w:color="auto"/>
              <w:right w:val="single" w:sz="4" w:space="0" w:color="auto"/>
            </w:tcBorders>
            <w:noWrap/>
            <w:hideMark/>
          </w:tcPr>
          <w:p w14:paraId="6BF47C9F" w14:textId="6414BBFF" w:rsidR="00352B7D" w:rsidRPr="00EF530F" w:rsidRDefault="00352B7D" w:rsidP="00352B7D">
            <w:pPr>
              <w:pStyle w:val="Tabletext1"/>
              <w:jc w:val="right"/>
            </w:pPr>
            <w:r w:rsidRPr="00BA6901">
              <w:t>1.843</w:t>
            </w:r>
          </w:p>
        </w:tc>
        <w:tc>
          <w:tcPr>
            <w:tcW w:w="913" w:type="pct"/>
            <w:tcBorders>
              <w:top w:val="single" w:sz="4" w:space="0" w:color="auto"/>
              <w:left w:val="single" w:sz="4" w:space="0" w:color="auto"/>
              <w:bottom w:val="single" w:sz="4" w:space="0" w:color="auto"/>
              <w:right w:val="single" w:sz="4" w:space="0" w:color="auto"/>
            </w:tcBorders>
            <w:noWrap/>
            <w:hideMark/>
          </w:tcPr>
          <w:p w14:paraId="1D5DCCB6" w14:textId="0A7D0EFD" w:rsidR="00352B7D" w:rsidRPr="00EF530F" w:rsidRDefault="00352B7D" w:rsidP="00352B7D">
            <w:pPr>
              <w:pStyle w:val="Tabletext1"/>
              <w:jc w:val="right"/>
            </w:pPr>
            <w:r w:rsidRPr="00BA6901">
              <w:t>0.717</w:t>
            </w:r>
          </w:p>
        </w:tc>
      </w:tr>
      <w:tr w:rsidR="00352B7D" w:rsidRPr="00EF530F" w14:paraId="0041357D" w14:textId="77777777" w:rsidTr="00422B0F">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6A8132A5" w14:textId="7AB4C238" w:rsidR="00352B7D" w:rsidRPr="00EF530F" w:rsidRDefault="00352B7D" w:rsidP="00352B7D">
            <w:pPr>
              <w:pStyle w:val="Tabletext1"/>
            </w:pPr>
            <w:r>
              <w:t>‘BSC’</w:t>
            </w:r>
            <w:r w:rsidRPr="00EF530F">
              <w:t xml:space="preserve"> QALYs</w:t>
            </w:r>
          </w:p>
        </w:tc>
        <w:tc>
          <w:tcPr>
            <w:tcW w:w="914" w:type="pct"/>
            <w:tcBorders>
              <w:top w:val="single" w:sz="4" w:space="0" w:color="auto"/>
              <w:left w:val="single" w:sz="4" w:space="0" w:color="auto"/>
              <w:bottom w:val="single" w:sz="4" w:space="0" w:color="auto"/>
              <w:right w:val="single" w:sz="4" w:space="0" w:color="auto"/>
            </w:tcBorders>
            <w:noWrap/>
            <w:hideMark/>
          </w:tcPr>
          <w:p w14:paraId="7980E317" w14:textId="77777777" w:rsidR="00352B7D" w:rsidRPr="00EF530F" w:rsidRDefault="00352B7D" w:rsidP="00352B7D">
            <w:pPr>
              <w:pStyle w:val="Tabletext1"/>
              <w:jc w:val="right"/>
            </w:pPr>
            <w:r w:rsidRPr="007B02BB">
              <w:t>0.753</w:t>
            </w:r>
          </w:p>
        </w:tc>
        <w:tc>
          <w:tcPr>
            <w:tcW w:w="914" w:type="pct"/>
            <w:tcBorders>
              <w:top w:val="single" w:sz="4" w:space="0" w:color="auto"/>
              <w:left w:val="single" w:sz="4" w:space="0" w:color="auto"/>
              <w:bottom w:val="single" w:sz="4" w:space="0" w:color="auto"/>
              <w:right w:val="single" w:sz="4" w:space="0" w:color="auto"/>
            </w:tcBorders>
            <w:noWrap/>
            <w:hideMark/>
          </w:tcPr>
          <w:p w14:paraId="6094F2EC" w14:textId="038BD509" w:rsidR="00352B7D" w:rsidRPr="00EF530F" w:rsidRDefault="00352B7D" w:rsidP="00352B7D">
            <w:pPr>
              <w:pStyle w:val="Tabletext1"/>
              <w:jc w:val="right"/>
            </w:pPr>
            <w:r w:rsidRPr="00BA6901">
              <w:t>1.600</w:t>
            </w:r>
          </w:p>
        </w:tc>
        <w:tc>
          <w:tcPr>
            <w:tcW w:w="913" w:type="pct"/>
            <w:tcBorders>
              <w:top w:val="single" w:sz="4" w:space="0" w:color="auto"/>
              <w:left w:val="single" w:sz="4" w:space="0" w:color="auto"/>
              <w:bottom w:val="single" w:sz="4" w:space="0" w:color="auto"/>
              <w:right w:val="single" w:sz="4" w:space="0" w:color="auto"/>
            </w:tcBorders>
            <w:noWrap/>
            <w:hideMark/>
          </w:tcPr>
          <w:p w14:paraId="4D383474" w14:textId="73791CAE" w:rsidR="00352B7D" w:rsidRPr="00EF530F" w:rsidRDefault="00352B7D" w:rsidP="00352B7D">
            <w:pPr>
              <w:pStyle w:val="Tabletext1"/>
              <w:jc w:val="right"/>
            </w:pPr>
            <w:r w:rsidRPr="00BA6901">
              <w:t>-0.846</w:t>
            </w:r>
          </w:p>
        </w:tc>
      </w:tr>
      <w:tr w:rsidR="00352B7D" w:rsidRPr="00085C7A" w14:paraId="44316886" w14:textId="77777777" w:rsidTr="00422B0F">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60ADACBD" w14:textId="77777777" w:rsidR="00352B7D" w:rsidRPr="00085C7A" w:rsidRDefault="00352B7D" w:rsidP="00352B7D">
            <w:pPr>
              <w:pStyle w:val="Tabletext1"/>
              <w:rPr>
                <w:b/>
              </w:rPr>
            </w:pPr>
            <w:r w:rsidRPr="00085C7A">
              <w:rPr>
                <w:b/>
              </w:rPr>
              <w:t>Total QALYs</w:t>
            </w:r>
          </w:p>
        </w:tc>
        <w:tc>
          <w:tcPr>
            <w:tcW w:w="914" w:type="pct"/>
            <w:tcBorders>
              <w:top w:val="single" w:sz="4" w:space="0" w:color="auto"/>
              <w:left w:val="single" w:sz="4" w:space="0" w:color="auto"/>
              <w:bottom w:val="single" w:sz="4" w:space="0" w:color="auto"/>
              <w:right w:val="single" w:sz="4" w:space="0" w:color="auto"/>
            </w:tcBorders>
            <w:noWrap/>
            <w:hideMark/>
          </w:tcPr>
          <w:p w14:paraId="01C8AE93" w14:textId="77777777" w:rsidR="00352B7D" w:rsidRPr="00085C7A" w:rsidRDefault="00352B7D" w:rsidP="00352B7D">
            <w:pPr>
              <w:pStyle w:val="Tabletext1"/>
              <w:jc w:val="right"/>
              <w:rPr>
                <w:b/>
              </w:rPr>
            </w:pPr>
            <w:r w:rsidRPr="00085C7A">
              <w:rPr>
                <w:b/>
              </w:rPr>
              <w:t>5.346</w:t>
            </w:r>
          </w:p>
        </w:tc>
        <w:tc>
          <w:tcPr>
            <w:tcW w:w="914" w:type="pct"/>
            <w:tcBorders>
              <w:top w:val="single" w:sz="4" w:space="0" w:color="auto"/>
              <w:left w:val="single" w:sz="4" w:space="0" w:color="auto"/>
              <w:bottom w:val="single" w:sz="4" w:space="0" w:color="auto"/>
              <w:right w:val="single" w:sz="4" w:space="0" w:color="auto"/>
            </w:tcBorders>
            <w:noWrap/>
            <w:hideMark/>
          </w:tcPr>
          <w:p w14:paraId="0ADDEC16" w14:textId="084E2A96" w:rsidR="00352B7D" w:rsidRPr="00352B7D" w:rsidRDefault="00352B7D" w:rsidP="00352B7D">
            <w:pPr>
              <w:pStyle w:val="Tabletext1"/>
              <w:jc w:val="right"/>
              <w:rPr>
                <w:b/>
              </w:rPr>
            </w:pPr>
            <w:r w:rsidRPr="000F3CBC">
              <w:rPr>
                <w:b/>
              </w:rPr>
              <w:t>4.778</w:t>
            </w:r>
          </w:p>
        </w:tc>
        <w:tc>
          <w:tcPr>
            <w:tcW w:w="913" w:type="pct"/>
            <w:tcBorders>
              <w:top w:val="single" w:sz="4" w:space="0" w:color="auto"/>
              <w:left w:val="single" w:sz="4" w:space="0" w:color="auto"/>
              <w:bottom w:val="single" w:sz="4" w:space="0" w:color="auto"/>
              <w:right w:val="single" w:sz="4" w:space="0" w:color="auto"/>
            </w:tcBorders>
            <w:noWrap/>
            <w:hideMark/>
          </w:tcPr>
          <w:p w14:paraId="7EB6C1B0" w14:textId="39C47B35" w:rsidR="00352B7D" w:rsidRPr="00352B7D" w:rsidRDefault="00352B7D" w:rsidP="00352B7D">
            <w:pPr>
              <w:pStyle w:val="Tabletext1"/>
              <w:jc w:val="right"/>
              <w:rPr>
                <w:b/>
              </w:rPr>
            </w:pPr>
            <w:r w:rsidRPr="000F3CBC">
              <w:rPr>
                <w:b/>
              </w:rPr>
              <w:t>0.568</w:t>
            </w:r>
          </w:p>
        </w:tc>
      </w:tr>
    </w:tbl>
    <w:p w14:paraId="3683C774" w14:textId="295C8CCF" w:rsidR="00641CF9" w:rsidRPr="00EF530F" w:rsidRDefault="00237F7A" w:rsidP="00641CF9">
      <w:pPr>
        <w:spacing w:after="200" w:line="240" w:lineRule="auto"/>
        <w:ind w:left="57" w:right="57"/>
        <w:contextualSpacing/>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BSC = best supportive care (this represents </w:t>
      </w:r>
      <w:r w:rsidR="001236DF">
        <w:rPr>
          <w:rFonts w:ascii="Arial Narrow" w:eastAsia="Calibri" w:hAnsi="Arial Narrow" w:cs="Times New Roman"/>
          <w:sz w:val="18"/>
          <w:szCs w:val="18"/>
          <w:lang w:eastAsia="en-US"/>
        </w:rPr>
        <w:t xml:space="preserve">treatment resistant or intolerant </w:t>
      </w:r>
      <w:r>
        <w:rPr>
          <w:rFonts w:ascii="Arial Narrow" w:eastAsia="Calibri" w:hAnsi="Arial Narrow" w:cs="Times New Roman"/>
          <w:sz w:val="18"/>
          <w:szCs w:val="18"/>
          <w:lang w:eastAsia="en-US"/>
        </w:rPr>
        <w:t>health state</w:t>
      </w:r>
      <w:r w:rsidR="001236DF">
        <w:rPr>
          <w:rFonts w:ascii="Arial Narrow" w:eastAsia="Calibri" w:hAnsi="Arial Narrow" w:cs="Times New Roman"/>
          <w:sz w:val="18"/>
          <w:szCs w:val="18"/>
          <w:lang w:eastAsia="en-US"/>
        </w:rPr>
        <w:t>)</w:t>
      </w:r>
      <w:r>
        <w:rPr>
          <w:rFonts w:ascii="Arial Narrow" w:eastAsia="Calibri" w:hAnsi="Arial Narrow" w:cs="Times New Roman"/>
          <w:sz w:val="18"/>
          <w:szCs w:val="18"/>
          <w:lang w:eastAsia="en-US"/>
        </w:rPr>
        <w:t xml:space="preserve">; </w:t>
      </w:r>
      <w:r w:rsidR="00641CF9" w:rsidRPr="00EF530F">
        <w:rPr>
          <w:rFonts w:ascii="Arial Narrow" w:eastAsia="Calibri" w:hAnsi="Arial Narrow" w:cs="Times New Roman"/>
          <w:sz w:val="18"/>
          <w:szCs w:val="18"/>
          <w:lang w:eastAsia="en-US"/>
        </w:rPr>
        <w:t>QALY = quality-adjusted life years.</w:t>
      </w:r>
    </w:p>
    <w:p w14:paraId="788780C2" w14:textId="18ECF191" w:rsidR="00641CF9" w:rsidRPr="00EF530F" w:rsidRDefault="00641CF9" w:rsidP="00641CF9">
      <w:pPr>
        <w:pStyle w:val="BodyTextSTD"/>
      </w:pPr>
      <w:r w:rsidRPr="00EF530F">
        <w:t>The incremental QALYs</w:t>
      </w:r>
      <w:r w:rsidR="00F61DA8">
        <w:t xml:space="preserve"> were primarily accrued in the </w:t>
      </w:r>
      <w:r w:rsidRPr="00EF530F">
        <w:t>on treatment</w:t>
      </w:r>
      <w:r w:rsidR="00F61DA8">
        <w:t xml:space="preserve"> (induction/maintenance phase)</w:t>
      </w:r>
      <w:r w:rsidRPr="00EF530F">
        <w:t xml:space="preserve"> health state</w:t>
      </w:r>
      <w:r w:rsidR="00F61DA8">
        <w:t>s</w:t>
      </w:r>
      <w:r w:rsidRPr="00EF530F">
        <w:t xml:space="preserve"> due to </w:t>
      </w:r>
      <w:r w:rsidR="00085C7A">
        <w:t>more patients continuing treatment</w:t>
      </w:r>
      <w:r w:rsidRPr="00EF530F">
        <w:t xml:space="preserve"> with Ig. As Ig was associated with higher response rate and fewer adverse events, less time was spent in the</w:t>
      </w:r>
      <w:r w:rsidR="005453BB">
        <w:t xml:space="preserve"> ‘BSC’</w:t>
      </w:r>
      <w:r w:rsidRPr="00EF530F">
        <w:t xml:space="preserve"> health state with Ig. </w:t>
      </w:r>
    </w:p>
    <w:p w14:paraId="01638798" w14:textId="77777777" w:rsidR="00641CF9" w:rsidRPr="00EF530F" w:rsidRDefault="00641CF9" w:rsidP="00641CF9">
      <w:pPr>
        <w:pStyle w:val="Heading5"/>
      </w:pPr>
      <w:r w:rsidRPr="00EF530F">
        <w:t>Incremental cost-effectiveness</w:t>
      </w:r>
    </w:p>
    <w:p w14:paraId="62558219" w14:textId="63A048CA" w:rsidR="00641CF9" w:rsidRPr="00EF530F" w:rsidRDefault="00641CF9" w:rsidP="00641CF9">
      <w:pPr>
        <w:pStyle w:val="BodyTextSTD"/>
      </w:pPr>
      <w:r w:rsidRPr="00EF530F">
        <w:t>The ICER per additional QALYs gained is presented in</w:t>
      </w:r>
      <w:r w:rsidR="007624A0">
        <w:t xml:space="preserve"> </w:t>
      </w:r>
      <w:r w:rsidR="007624A0">
        <w:fldChar w:fldCharType="begin"/>
      </w:r>
      <w:r w:rsidR="007624A0">
        <w:instrText xml:space="preserve"> REF _Ref66458902 \h </w:instrText>
      </w:r>
      <w:r w:rsidR="007624A0">
        <w:fldChar w:fldCharType="separate"/>
      </w:r>
      <w:r w:rsidR="004B3EA2" w:rsidRPr="00EF530F">
        <w:t xml:space="preserve">Table </w:t>
      </w:r>
      <w:r w:rsidR="004B3EA2">
        <w:rPr>
          <w:noProof/>
        </w:rPr>
        <w:t>54</w:t>
      </w:r>
      <w:r w:rsidR="007624A0">
        <w:fldChar w:fldCharType="end"/>
      </w:r>
      <w:r w:rsidRPr="00EF530F">
        <w:t>.</w:t>
      </w:r>
    </w:p>
    <w:p w14:paraId="056CD58C" w14:textId="04FF7EF0" w:rsidR="00641CF9" w:rsidRPr="00EF530F" w:rsidRDefault="00641CF9" w:rsidP="00641CF9">
      <w:pPr>
        <w:pStyle w:val="Caption"/>
      </w:pPr>
      <w:bookmarkStart w:id="373" w:name="_Ref66458902"/>
      <w:bookmarkStart w:id="374" w:name="_Toc69305695"/>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54</w:t>
      </w:r>
      <w:r w:rsidRPr="00EF530F">
        <w:fldChar w:fldCharType="end"/>
      </w:r>
      <w:bookmarkEnd w:id="373"/>
      <w:r w:rsidRPr="00EF530F">
        <w:tab/>
        <w:t>Incremental cost-effectiveness ratios</w:t>
      </w:r>
      <w:r w:rsidR="00A00511">
        <w:t>, immunoglobulin versus plasma exchange</w:t>
      </w:r>
      <w:bookmarkEnd w:id="374"/>
    </w:p>
    <w:tbl>
      <w:tblPr>
        <w:tblStyle w:val="TableGrid21"/>
        <w:tblW w:w="5000" w:type="pct"/>
        <w:tblInd w:w="0" w:type="dxa"/>
        <w:tblLook w:val="04A0" w:firstRow="1" w:lastRow="0" w:firstColumn="1" w:lastColumn="0" w:noHBand="0" w:noVBand="1"/>
        <w:tblCaption w:val="Incremental cost-effectiveness ratios"/>
        <w:tblDescription w:val="Incremental cost-effectiveness ratios"/>
      </w:tblPr>
      <w:tblGrid>
        <w:gridCol w:w="4083"/>
        <w:gridCol w:w="1645"/>
        <w:gridCol w:w="1645"/>
        <w:gridCol w:w="1643"/>
      </w:tblGrid>
      <w:tr w:rsidR="00085C7A" w:rsidRPr="00EF530F" w14:paraId="728466AB" w14:textId="77777777" w:rsidTr="00422B0F">
        <w:trPr>
          <w:cnfStyle w:val="100000000000" w:firstRow="1" w:lastRow="0" w:firstColumn="0" w:lastColumn="0" w:oddVBand="0" w:evenVBand="0" w:oddHBand="0" w:evenHBand="0" w:firstRowFirstColumn="0" w:firstRowLastColumn="0" w:lastRowFirstColumn="0" w:lastRowLastColumn="0"/>
          <w:cantSplit/>
          <w:trHeight w:val="300"/>
          <w:tblHeader/>
        </w:trPr>
        <w:tc>
          <w:tcPr>
            <w:tcW w:w="2264" w:type="pct"/>
            <w:tcBorders>
              <w:top w:val="single" w:sz="4" w:space="0" w:color="auto"/>
              <w:left w:val="single" w:sz="4" w:space="0" w:color="auto"/>
              <w:bottom w:val="single" w:sz="4" w:space="0" w:color="auto"/>
              <w:right w:val="single" w:sz="4" w:space="0" w:color="auto"/>
            </w:tcBorders>
            <w:noWrap/>
          </w:tcPr>
          <w:p w14:paraId="3B492058" w14:textId="77777777" w:rsidR="00085C7A" w:rsidRPr="00EF530F" w:rsidRDefault="00085C7A" w:rsidP="00085C7A">
            <w:pPr>
              <w:pStyle w:val="TableHeading"/>
            </w:pPr>
          </w:p>
        </w:tc>
        <w:tc>
          <w:tcPr>
            <w:tcW w:w="912" w:type="pct"/>
            <w:tcBorders>
              <w:top w:val="single" w:sz="4" w:space="0" w:color="auto"/>
              <w:left w:val="single" w:sz="4" w:space="0" w:color="auto"/>
              <w:bottom w:val="single" w:sz="4" w:space="0" w:color="auto"/>
              <w:right w:val="single" w:sz="4" w:space="0" w:color="auto"/>
            </w:tcBorders>
            <w:noWrap/>
            <w:hideMark/>
          </w:tcPr>
          <w:p w14:paraId="7F6AAA8E" w14:textId="77777777" w:rsidR="00085C7A" w:rsidRPr="00EF530F" w:rsidRDefault="00085C7A" w:rsidP="00085C7A">
            <w:pPr>
              <w:pStyle w:val="TableHeading"/>
            </w:pPr>
            <w:r w:rsidRPr="00EF530F">
              <w:t>I</w:t>
            </w:r>
            <w:r>
              <w:t>mmunoglobulin</w:t>
            </w:r>
          </w:p>
        </w:tc>
        <w:tc>
          <w:tcPr>
            <w:tcW w:w="912" w:type="pct"/>
            <w:tcBorders>
              <w:top w:val="single" w:sz="4" w:space="0" w:color="auto"/>
              <w:left w:val="single" w:sz="4" w:space="0" w:color="auto"/>
              <w:bottom w:val="single" w:sz="4" w:space="0" w:color="auto"/>
              <w:right w:val="single" w:sz="4" w:space="0" w:color="auto"/>
            </w:tcBorders>
            <w:noWrap/>
            <w:hideMark/>
          </w:tcPr>
          <w:p w14:paraId="3A1DFA94" w14:textId="77777777" w:rsidR="00085C7A" w:rsidRPr="00EF530F" w:rsidRDefault="00085C7A" w:rsidP="00085C7A">
            <w:pPr>
              <w:pStyle w:val="TableHeading"/>
            </w:pPr>
            <w:r>
              <w:t>Plasma exchange</w:t>
            </w:r>
          </w:p>
        </w:tc>
        <w:tc>
          <w:tcPr>
            <w:tcW w:w="911" w:type="pct"/>
            <w:tcBorders>
              <w:top w:val="single" w:sz="4" w:space="0" w:color="auto"/>
              <w:left w:val="single" w:sz="4" w:space="0" w:color="auto"/>
              <w:bottom w:val="single" w:sz="4" w:space="0" w:color="auto"/>
              <w:right w:val="single" w:sz="4" w:space="0" w:color="auto"/>
            </w:tcBorders>
            <w:noWrap/>
            <w:hideMark/>
          </w:tcPr>
          <w:p w14:paraId="2B22D64F" w14:textId="77777777" w:rsidR="00085C7A" w:rsidRPr="00EF530F" w:rsidRDefault="00085C7A" w:rsidP="00085C7A">
            <w:pPr>
              <w:pStyle w:val="TableHeading"/>
            </w:pPr>
            <w:r w:rsidRPr="00EF530F">
              <w:t>Increment</w:t>
            </w:r>
          </w:p>
        </w:tc>
      </w:tr>
      <w:tr w:rsidR="007D4F7C" w:rsidRPr="00EF530F" w14:paraId="204A81CB" w14:textId="77777777" w:rsidTr="00422B0F">
        <w:trPr>
          <w:cantSplit/>
          <w:trHeight w:val="300"/>
        </w:trPr>
        <w:tc>
          <w:tcPr>
            <w:tcW w:w="2264" w:type="pct"/>
            <w:tcBorders>
              <w:top w:val="single" w:sz="4" w:space="0" w:color="auto"/>
              <w:left w:val="single" w:sz="4" w:space="0" w:color="auto"/>
              <w:bottom w:val="single" w:sz="4" w:space="0" w:color="auto"/>
              <w:right w:val="single" w:sz="4" w:space="0" w:color="auto"/>
            </w:tcBorders>
            <w:noWrap/>
            <w:hideMark/>
          </w:tcPr>
          <w:p w14:paraId="5C63A362" w14:textId="77777777" w:rsidR="007D4F7C" w:rsidRPr="00EF530F" w:rsidRDefault="007D4F7C" w:rsidP="007D4F7C">
            <w:pPr>
              <w:pStyle w:val="Tabletext1"/>
            </w:pPr>
            <w:r w:rsidRPr="00EF530F">
              <w:t>Total cost</w:t>
            </w:r>
          </w:p>
        </w:tc>
        <w:tc>
          <w:tcPr>
            <w:tcW w:w="912" w:type="pct"/>
            <w:tcBorders>
              <w:top w:val="single" w:sz="4" w:space="0" w:color="auto"/>
              <w:left w:val="single" w:sz="4" w:space="0" w:color="auto"/>
              <w:bottom w:val="single" w:sz="4" w:space="0" w:color="auto"/>
              <w:right w:val="single" w:sz="4" w:space="0" w:color="auto"/>
            </w:tcBorders>
            <w:noWrap/>
            <w:hideMark/>
          </w:tcPr>
          <w:p w14:paraId="757FCAC7" w14:textId="6B204A60" w:rsidR="007D4F7C" w:rsidRPr="00EF530F" w:rsidRDefault="007D4F7C" w:rsidP="007D4F7C">
            <w:pPr>
              <w:pStyle w:val="Tabletext1"/>
              <w:jc w:val="center"/>
            </w:pPr>
            <w:r w:rsidRPr="005244EB">
              <w:t>$164,027</w:t>
            </w:r>
          </w:p>
        </w:tc>
        <w:tc>
          <w:tcPr>
            <w:tcW w:w="912" w:type="pct"/>
            <w:tcBorders>
              <w:top w:val="single" w:sz="4" w:space="0" w:color="auto"/>
              <w:left w:val="single" w:sz="4" w:space="0" w:color="auto"/>
              <w:bottom w:val="single" w:sz="4" w:space="0" w:color="auto"/>
              <w:right w:val="single" w:sz="4" w:space="0" w:color="auto"/>
            </w:tcBorders>
            <w:noWrap/>
            <w:hideMark/>
          </w:tcPr>
          <w:p w14:paraId="42932EE0" w14:textId="50D23EB5" w:rsidR="007D4F7C" w:rsidRPr="00EF530F" w:rsidRDefault="007D4F7C" w:rsidP="007D4F7C">
            <w:pPr>
              <w:pStyle w:val="Tabletext1"/>
              <w:jc w:val="center"/>
            </w:pPr>
            <w:r w:rsidRPr="005244EB">
              <w:t>$114,036</w:t>
            </w:r>
          </w:p>
        </w:tc>
        <w:tc>
          <w:tcPr>
            <w:tcW w:w="911" w:type="pct"/>
            <w:tcBorders>
              <w:top w:val="single" w:sz="4" w:space="0" w:color="auto"/>
              <w:left w:val="single" w:sz="4" w:space="0" w:color="auto"/>
              <w:bottom w:val="single" w:sz="4" w:space="0" w:color="auto"/>
              <w:right w:val="single" w:sz="4" w:space="0" w:color="auto"/>
            </w:tcBorders>
            <w:noWrap/>
            <w:hideMark/>
          </w:tcPr>
          <w:p w14:paraId="237A2783" w14:textId="587D249C" w:rsidR="007D4F7C" w:rsidRPr="00EF530F" w:rsidRDefault="007D4F7C" w:rsidP="007D4F7C">
            <w:pPr>
              <w:pStyle w:val="Tabletext1"/>
              <w:jc w:val="center"/>
            </w:pPr>
            <w:r w:rsidRPr="005244EB">
              <w:t>$49,991</w:t>
            </w:r>
          </w:p>
        </w:tc>
      </w:tr>
      <w:tr w:rsidR="00F47632" w:rsidRPr="00EF530F" w14:paraId="5621E376" w14:textId="77777777" w:rsidTr="00422B0F">
        <w:trPr>
          <w:cantSplit/>
          <w:trHeight w:val="300"/>
        </w:trPr>
        <w:tc>
          <w:tcPr>
            <w:tcW w:w="2264" w:type="pct"/>
            <w:tcBorders>
              <w:top w:val="single" w:sz="4" w:space="0" w:color="auto"/>
              <w:left w:val="single" w:sz="4" w:space="0" w:color="auto"/>
              <w:bottom w:val="single" w:sz="4" w:space="0" w:color="auto"/>
              <w:right w:val="single" w:sz="4" w:space="0" w:color="auto"/>
            </w:tcBorders>
            <w:noWrap/>
            <w:hideMark/>
          </w:tcPr>
          <w:p w14:paraId="6561FADF" w14:textId="77777777" w:rsidR="00F47632" w:rsidRPr="00EF530F" w:rsidRDefault="00F47632" w:rsidP="00F47632">
            <w:pPr>
              <w:pStyle w:val="Tabletext1"/>
            </w:pPr>
            <w:r w:rsidRPr="00EF530F">
              <w:t>Total QALYs</w:t>
            </w:r>
          </w:p>
        </w:tc>
        <w:tc>
          <w:tcPr>
            <w:tcW w:w="912" w:type="pct"/>
            <w:tcBorders>
              <w:top w:val="single" w:sz="4" w:space="0" w:color="auto"/>
              <w:left w:val="single" w:sz="4" w:space="0" w:color="auto"/>
              <w:bottom w:val="single" w:sz="4" w:space="0" w:color="auto"/>
              <w:right w:val="single" w:sz="4" w:space="0" w:color="auto"/>
            </w:tcBorders>
            <w:noWrap/>
            <w:hideMark/>
          </w:tcPr>
          <w:p w14:paraId="7AE22AB4" w14:textId="53F26789" w:rsidR="00F47632" w:rsidRPr="00EF530F" w:rsidRDefault="00F47632" w:rsidP="00F47632">
            <w:pPr>
              <w:pStyle w:val="Tabletext1"/>
              <w:jc w:val="center"/>
            </w:pPr>
            <w:r w:rsidRPr="005244EB">
              <w:t>5.346</w:t>
            </w:r>
          </w:p>
        </w:tc>
        <w:tc>
          <w:tcPr>
            <w:tcW w:w="912" w:type="pct"/>
            <w:tcBorders>
              <w:top w:val="single" w:sz="4" w:space="0" w:color="auto"/>
              <w:left w:val="single" w:sz="4" w:space="0" w:color="auto"/>
              <w:bottom w:val="single" w:sz="4" w:space="0" w:color="auto"/>
              <w:right w:val="single" w:sz="4" w:space="0" w:color="auto"/>
            </w:tcBorders>
            <w:noWrap/>
            <w:hideMark/>
          </w:tcPr>
          <w:p w14:paraId="518D3898" w14:textId="157ADE12" w:rsidR="00F47632" w:rsidRPr="00EF530F" w:rsidRDefault="00F47632" w:rsidP="00F47632">
            <w:pPr>
              <w:pStyle w:val="Tabletext1"/>
              <w:jc w:val="center"/>
            </w:pPr>
            <w:r w:rsidRPr="00065FE0">
              <w:t>4.848</w:t>
            </w:r>
          </w:p>
        </w:tc>
        <w:tc>
          <w:tcPr>
            <w:tcW w:w="911" w:type="pct"/>
            <w:tcBorders>
              <w:top w:val="single" w:sz="4" w:space="0" w:color="auto"/>
              <w:left w:val="single" w:sz="4" w:space="0" w:color="auto"/>
              <w:bottom w:val="single" w:sz="4" w:space="0" w:color="auto"/>
              <w:right w:val="single" w:sz="4" w:space="0" w:color="auto"/>
            </w:tcBorders>
            <w:noWrap/>
            <w:hideMark/>
          </w:tcPr>
          <w:p w14:paraId="31C10D24" w14:textId="25A61036" w:rsidR="00F47632" w:rsidRPr="00EF530F" w:rsidRDefault="00F47632" w:rsidP="00F47632">
            <w:pPr>
              <w:pStyle w:val="Tabletext1"/>
              <w:jc w:val="center"/>
            </w:pPr>
            <w:r w:rsidRPr="00065FE0">
              <w:t>0.532</w:t>
            </w:r>
          </w:p>
        </w:tc>
      </w:tr>
      <w:tr w:rsidR="00F47632" w:rsidRPr="001F2C96" w14:paraId="048BBF93" w14:textId="77777777" w:rsidTr="00422B0F">
        <w:trPr>
          <w:cantSplit/>
          <w:trHeight w:val="101"/>
        </w:trPr>
        <w:tc>
          <w:tcPr>
            <w:tcW w:w="2264" w:type="pct"/>
            <w:tcBorders>
              <w:top w:val="single" w:sz="4" w:space="0" w:color="auto"/>
              <w:left w:val="single" w:sz="4" w:space="0" w:color="auto"/>
              <w:bottom w:val="single" w:sz="4" w:space="0" w:color="auto"/>
              <w:right w:val="nil"/>
            </w:tcBorders>
            <w:noWrap/>
            <w:hideMark/>
          </w:tcPr>
          <w:p w14:paraId="6D200759" w14:textId="77777777" w:rsidR="00F47632" w:rsidRPr="001F2C96" w:rsidRDefault="00F47632" w:rsidP="00F47632">
            <w:pPr>
              <w:pStyle w:val="Tabletext1"/>
              <w:rPr>
                <w:b/>
              </w:rPr>
            </w:pPr>
            <w:r w:rsidRPr="001F2C96">
              <w:rPr>
                <w:b/>
              </w:rPr>
              <w:t>ICER per additional QALY gained</w:t>
            </w:r>
          </w:p>
        </w:tc>
        <w:tc>
          <w:tcPr>
            <w:tcW w:w="912" w:type="pct"/>
            <w:tcBorders>
              <w:top w:val="single" w:sz="4" w:space="0" w:color="auto"/>
              <w:left w:val="nil"/>
              <w:bottom w:val="single" w:sz="4" w:space="0" w:color="auto"/>
              <w:right w:val="nil"/>
            </w:tcBorders>
            <w:noWrap/>
            <w:hideMark/>
          </w:tcPr>
          <w:p w14:paraId="00C6C73D" w14:textId="77777777" w:rsidR="00F47632" w:rsidRPr="001F2C96" w:rsidRDefault="00F47632" w:rsidP="00F47632">
            <w:pPr>
              <w:pStyle w:val="Tabletext1"/>
              <w:jc w:val="center"/>
              <w:rPr>
                <w:b/>
              </w:rPr>
            </w:pPr>
          </w:p>
        </w:tc>
        <w:tc>
          <w:tcPr>
            <w:tcW w:w="912" w:type="pct"/>
            <w:tcBorders>
              <w:top w:val="single" w:sz="4" w:space="0" w:color="auto"/>
              <w:left w:val="nil"/>
              <w:bottom w:val="single" w:sz="4" w:space="0" w:color="auto"/>
              <w:right w:val="single" w:sz="4" w:space="0" w:color="auto"/>
            </w:tcBorders>
            <w:noWrap/>
            <w:hideMark/>
          </w:tcPr>
          <w:p w14:paraId="64D623D5" w14:textId="77777777" w:rsidR="00F47632" w:rsidRPr="001F2C96" w:rsidRDefault="00F47632" w:rsidP="00F47632">
            <w:pPr>
              <w:pStyle w:val="Tabletext1"/>
              <w:jc w:val="center"/>
              <w:rPr>
                <w:rFonts w:ascii="Times New Roman" w:hAnsi="Times New Roman" w:cs="Times New Roman"/>
                <w:b/>
              </w:rPr>
            </w:pPr>
          </w:p>
        </w:tc>
        <w:tc>
          <w:tcPr>
            <w:tcW w:w="911" w:type="pct"/>
            <w:tcBorders>
              <w:top w:val="single" w:sz="4" w:space="0" w:color="auto"/>
              <w:left w:val="single" w:sz="4" w:space="0" w:color="auto"/>
              <w:bottom w:val="single" w:sz="4" w:space="0" w:color="auto"/>
              <w:right w:val="single" w:sz="4" w:space="0" w:color="auto"/>
            </w:tcBorders>
            <w:noWrap/>
            <w:hideMark/>
          </w:tcPr>
          <w:p w14:paraId="062996D3" w14:textId="6EC8BFE1" w:rsidR="00F47632" w:rsidRPr="00F47632" w:rsidRDefault="00F47632" w:rsidP="00F47632">
            <w:pPr>
              <w:pStyle w:val="Tabletext1"/>
              <w:jc w:val="center"/>
              <w:rPr>
                <w:b/>
              </w:rPr>
            </w:pPr>
            <w:r w:rsidRPr="00246245">
              <w:rPr>
                <w:b/>
              </w:rPr>
              <w:t>$94,038</w:t>
            </w:r>
          </w:p>
        </w:tc>
      </w:tr>
    </w:tbl>
    <w:p w14:paraId="0041103F" w14:textId="77777777" w:rsidR="00641CF9" w:rsidRDefault="00641CF9" w:rsidP="00641CF9">
      <w:pPr>
        <w:spacing w:after="200" w:line="240" w:lineRule="auto"/>
        <w:ind w:left="57" w:right="57"/>
        <w:contextualSpacing/>
        <w:rPr>
          <w:rFonts w:ascii="Arial Narrow" w:eastAsia="Calibri" w:hAnsi="Arial Narrow" w:cs="Times New Roman"/>
          <w:sz w:val="18"/>
          <w:szCs w:val="18"/>
          <w:lang w:eastAsia="en-US"/>
        </w:rPr>
      </w:pPr>
      <w:r w:rsidRPr="00EF530F">
        <w:rPr>
          <w:rFonts w:ascii="Arial Narrow" w:eastAsia="Calibri" w:hAnsi="Arial Narrow" w:cs="Times New Roman"/>
          <w:sz w:val="18"/>
          <w:szCs w:val="18"/>
          <w:lang w:eastAsia="en-US"/>
        </w:rPr>
        <w:t>ICER = incremental cost-effectiveness ratio; Ig = immunoglobulin; QALY = quality-adjusted life years.</w:t>
      </w:r>
    </w:p>
    <w:p w14:paraId="5B18E9F2" w14:textId="6C722914" w:rsidR="00F770B2" w:rsidRPr="00813E77" w:rsidRDefault="00F770B2" w:rsidP="00F770B2">
      <w:pPr>
        <w:pStyle w:val="BodyTextSTD"/>
      </w:pPr>
      <w:r>
        <w:t xml:space="preserve">Markov traces depicting health state membership over time </w:t>
      </w:r>
      <w:r w:rsidR="00CB034B">
        <w:t>for I</w:t>
      </w:r>
      <w:r w:rsidR="00F61DA8">
        <w:t>g</w:t>
      </w:r>
      <w:r w:rsidR="00CB034B">
        <w:t xml:space="preserve"> and PE arms </w:t>
      </w:r>
      <w:r>
        <w:t xml:space="preserve">are presented in </w:t>
      </w:r>
      <w:r>
        <w:fldChar w:fldCharType="begin"/>
      </w:r>
      <w:r>
        <w:instrText xml:space="preserve"> REF _Ref67404528 \h </w:instrText>
      </w:r>
      <w:r>
        <w:fldChar w:fldCharType="separate"/>
      </w:r>
      <w:r w:rsidR="004B3EA2">
        <w:t xml:space="preserve">Figure </w:t>
      </w:r>
      <w:r w:rsidR="004B3EA2">
        <w:rPr>
          <w:noProof/>
        </w:rPr>
        <w:t>18</w:t>
      </w:r>
      <w:r>
        <w:fldChar w:fldCharType="end"/>
      </w:r>
      <w:r>
        <w:t xml:space="preserve"> and </w:t>
      </w:r>
      <w:r>
        <w:fldChar w:fldCharType="begin"/>
      </w:r>
      <w:r>
        <w:instrText xml:space="preserve"> REF _Ref67404543 \h </w:instrText>
      </w:r>
      <w:r>
        <w:fldChar w:fldCharType="separate"/>
      </w:r>
      <w:r w:rsidR="004B3EA2">
        <w:t xml:space="preserve">Figure </w:t>
      </w:r>
      <w:r w:rsidR="004B3EA2">
        <w:rPr>
          <w:noProof/>
        </w:rPr>
        <w:t>20</w:t>
      </w:r>
      <w:r>
        <w:fldChar w:fldCharType="end"/>
      </w:r>
      <w:r>
        <w:t xml:space="preserve"> in </w:t>
      </w:r>
      <w:r w:rsidRPr="009667AB">
        <w:rPr>
          <w:b/>
        </w:rPr>
        <w:t>Appendix G</w:t>
      </w:r>
      <w:r>
        <w:t>.</w:t>
      </w:r>
    </w:p>
    <w:p w14:paraId="31C9691C" w14:textId="77777777" w:rsidR="00563672" w:rsidRDefault="00563672" w:rsidP="00563672">
      <w:pPr>
        <w:pStyle w:val="Heading5"/>
      </w:pPr>
      <w:r>
        <w:t>Scenario analyses</w:t>
      </w:r>
    </w:p>
    <w:p w14:paraId="65D3D76F" w14:textId="2F0C2388" w:rsidR="00F65F82" w:rsidRPr="00EF530F" w:rsidRDefault="00F65F82" w:rsidP="00F65F82">
      <w:pPr>
        <w:pStyle w:val="BodyTextSTD"/>
      </w:pPr>
      <w:r w:rsidRPr="00EF530F">
        <w:t xml:space="preserve">Scenario analysis for the modelled base-case </w:t>
      </w:r>
      <w:r>
        <w:t>varying</w:t>
      </w:r>
      <w:r w:rsidRPr="00EF530F">
        <w:t xml:space="preserve"> maintenance dose </w:t>
      </w:r>
      <w:r>
        <w:t xml:space="preserve">for Ig </w:t>
      </w:r>
      <w:r w:rsidR="00177B7E">
        <w:t xml:space="preserve">and using alternative cost per gram of Ig </w:t>
      </w:r>
      <w:r w:rsidRPr="00EF530F">
        <w:t xml:space="preserve">are presented </w:t>
      </w:r>
      <w:r>
        <w:t xml:space="preserve">in </w:t>
      </w:r>
      <w:r>
        <w:fldChar w:fldCharType="begin"/>
      </w:r>
      <w:r>
        <w:instrText xml:space="preserve"> REF _Ref66460080 \h </w:instrText>
      </w:r>
      <w:r>
        <w:fldChar w:fldCharType="separate"/>
      </w:r>
      <w:r w:rsidR="004B3EA2" w:rsidRPr="00EF530F">
        <w:t xml:space="preserve">Table </w:t>
      </w:r>
      <w:r w:rsidR="004B3EA2">
        <w:rPr>
          <w:noProof/>
        </w:rPr>
        <w:t>55</w:t>
      </w:r>
      <w:r>
        <w:fldChar w:fldCharType="end"/>
      </w:r>
      <w:r w:rsidRPr="00EF530F">
        <w:t>.</w:t>
      </w:r>
    </w:p>
    <w:p w14:paraId="0AFCA27B" w14:textId="4A67D73E" w:rsidR="00F65F82" w:rsidRPr="00EF530F" w:rsidRDefault="00F65F82" w:rsidP="00F65F82">
      <w:pPr>
        <w:pStyle w:val="Caption"/>
      </w:pPr>
      <w:bookmarkStart w:id="375" w:name="_Ref66460080"/>
      <w:bookmarkStart w:id="376" w:name="_Toc69305696"/>
      <w:r w:rsidRPr="00EF530F">
        <w:t xml:space="preserve">Table </w:t>
      </w:r>
      <w:r w:rsidR="00003BA5">
        <w:fldChar w:fldCharType="begin"/>
      </w:r>
      <w:r w:rsidR="00003BA5">
        <w:instrText xml:space="preserve"> SEQ Table \* ARABIC </w:instrText>
      </w:r>
      <w:r w:rsidR="00003BA5">
        <w:fldChar w:fldCharType="separate"/>
      </w:r>
      <w:r w:rsidR="004B3EA2">
        <w:rPr>
          <w:noProof/>
        </w:rPr>
        <w:t>55</w:t>
      </w:r>
      <w:r w:rsidR="00003BA5">
        <w:rPr>
          <w:noProof/>
        </w:rPr>
        <w:fldChar w:fldCharType="end"/>
      </w:r>
      <w:bookmarkEnd w:id="375"/>
      <w:r w:rsidRPr="00EF530F">
        <w:tab/>
        <w:t xml:space="preserve">Scenario analyses, </w:t>
      </w:r>
      <w:r w:rsidR="00A00511">
        <w:t xml:space="preserve">Ig versus PE, </w:t>
      </w:r>
      <w:r w:rsidR="00177B7E">
        <w:t xml:space="preserve">alternative cost per g of Ig and alternative </w:t>
      </w:r>
      <w:r w:rsidRPr="00EF530F">
        <w:t>maintenance dose</w:t>
      </w:r>
      <w:bookmarkEnd w:id="376"/>
    </w:p>
    <w:tbl>
      <w:tblPr>
        <w:tblStyle w:val="TableGrid11"/>
        <w:tblW w:w="5000" w:type="pct"/>
        <w:tblInd w:w="0" w:type="dxa"/>
        <w:tblLayout w:type="fixed"/>
        <w:tblLook w:val="04A0" w:firstRow="1" w:lastRow="0" w:firstColumn="1" w:lastColumn="0" w:noHBand="0" w:noVBand="1"/>
        <w:tblCaption w:val="Scenario analyses, alternative cost per g of Ig and alternative maintenance dose"/>
        <w:tblDescription w:val="Scenario analyses, alternative cost per g of Ig and alternative maintenance dose"/>
      </w:tblPr>
      <w:tblGrid>
        <w:gridCol w:w="5666"/>
        <w:gridCol w:w="1275"/>
        <w:gridCol w:w="1134"/>
        <w:gridCol w:w="941"/>
      </w:tblGrid>
      <w:tr w:rsidR="00177B7E" w:rsidRPr="00EF530F" w14:paraId="251435C3" w14:textId="77777777" w:rsidTr="000F3CBC">
        <w:trPr>
          <w:cnfStyle w:val="100000000000" w:firstRow="1" w:lastRow="0" w:firstColumn="0" w:lastColumn="0" w:oddVBand="0" w:evenVBand="0" w:oddHBand="0" w:evenHBand="0" w:firstRowFirstColumn="0" w:firstRowLastColumn="0" w:lastRowFirstColumn="0" w:lastRowLastColumn="0"/>
          <w:cantSplit/>
          <w:trHeight w:val="300"/>
          <w:tblHeader/>
        </w:trPr>
        <w:tc>
          <w:tcPr>
            <w:tcW w:w="3142" w:type="pct"/>
            <w:tcBorders>
              <w:top w:val="single" w:sz="4" w:space="0" w:color="auto"/>
              <w:left w:val="single" w:sz="4" w:space="0" w:color="auto"/>
              <w:bottom w:val="single" w:sz="4" w:space="0" w:color="auto"/>
              <w:right w:val="single" w:sz="4" w:space="0" w:color="auto"/>
            </w:tcBorders>
            <w:noWrap/>
            <w:hideMark/>
          </w:tcPr>
          <w:p w14:paraId="18F20467" w14:textId="2527AC9B" w:rsidR="00F65F82" w:rsidRPr="00EF530F" w:rsidRDefault="00F65F82" w:rsidP="00865238">
            <w:pPr>
              <w:pStyle w:val="TableHeading"/>
            </w:pPr>
            <w:r w:rsidRPr="00EF530F">
              <w:t>Modelled economic evaluation</w:t>
            </w:r>
          </w:p>
        </w:tc>
        <w:tc>
          <w:tcPr>
            <w:tcW w:w="707" w:type="pct"/>
            <w:tcBorders>
              <w:top w:val="single" w:sz="4" w:space="0" w:color="auto"/>
              <w:left w:val="single" w:sz="4" w:space="0" w:color="auto"/>
              <w:bottom w:val="single" w:sz="4" w:space="0" w:color="auto"/>
              <w:right w:val="single" w:sz="4" w:space="0" w:color="auto"/>
            </w:tcBorders>
            <w:noWrap/>
            <w:hideMark/>
          </w:tcPr>
          <w:p w14:paraId="179FB458" w14:textId="77777777" w:rsidR="00F65F82" w:rsidRPr="00EF530F" w:rsidRDefault="00F65F82" w:rsidP="00865238">
            <w:pPr>
              <w:pStyle w:val="TableHeading"/>
            </w:pPr>
            <w:r w:rsidRPr="00EF530F">
              <w:t>Inc. cost</w:t>
            </w:r>
          </w:p>
        </w:tc>
        <w:tc>
          <w:tcPr>
            <w:tcW w:w="629" w:type="pct"/>
            <w:tcBorders>
              <w:top w:val="single" w:sz="4" w:space="0" w:color="auto"/>
              <w:left w:val="single" w:sz="4" w:space="0" w:color="auto"/>
              <w:bottom w:val="single" w:sz="4" w:space="0" w:color="auto"/>
              <w:right w:val="single" w:sz="4" w:space="0" w:color="auto"/>
            </w:tcBorders>
            <w:noWrap/>
            <w:hideMark/>
          </w:tcPr>
          <w:p w14:paraId="64D64E09" w14:textId="77777777" w:rsidR="00F65F82" w:rsidRPr="00EF530F" w:rsidRDefault="00F65F82" w:rsidP="00865238">
            <w:pPr>
              <w:pStyle w:val="TableHeading"/>
            </w:pPr>
            <w:r w:rsidRPr="00EF530F">
              <w:t>Inc. QALYs</w:t>
            </w:r>
          </w:p>
        </w:tc>
        <w:tc>
          <w:tcPr>
            <w:tcW w:w="522" w:type="pct"/>
            <w:tcBorders>
              <w:top w:val="single" w:sz="4" w:space="0" w:color="auto"/>
              <w:left w:val="single" w:sz="4" w:space="0" w:color="auto"/>
              <w:bottom w:val="single" w:sz="4" w:space="0" w:color="auto"/>
              <w:right w:val="single" w:sz="4" w:space="0" w:color="auto"/>
            </w:tcBorders>
            <w:noWrap/>
            <w:hideMark/>
          </w:tcPr>
          <w:p w14:paraId="0C7CA6B5" w14:textId="77777777" w:rsidR="00F65F82" w:rsidRPr="00EF530F" w:rsidRDefault="00F65F82" w:rsidP="00865238">
            <w:pPr>
              <w:pStyle w:val="TableHeading"/>
            </w:pPr>
            <w:r w:rsidRPr="00EF530F">
              <w:t>ICER</w:t>
            </w:r>
          </w:p>
        </w:tc>
      </w:tr>
      <w:tr w:rsidR="00F47632" w:rsidRPr="00EF530F" w14:paraId="07F3A912" w14:textId="77777777" w:rsidTr="000F3CBC">
        <w:trPr>
          <w:cantSplit/>
          <w:trHeight w:val="300"/>
        </w:trPr>
        <w:tc>
          <w:tcPr>
            <w:tcW w:w="3142" w:type="pct"/>
            <w:tcBorders>
              <w:top w:val="single" w:sz="4" w:space="0" w:color="auto"/>
              <w:left w:val="single" w:sz="4" w:space="0" w:color="auto"/>
              <w:bottom w:val="single" w:sz="4" w:space="0" w:color="auto"/>
              <w:right w:val="single" w:sz="4" w:space="0" w:color="auto"/>
            </w:tcBorders>
            <w:noWrap/>
            <w:hideMark/>
          </w:tcPr>
          <w:p w14:paraId="135F42AC" w14:textId="59AA831B" w:rsidR="00F47632" w:rsidRPr="00EF530F" w:rsidRDefault="00F47632" w:rsidP="001236DF">
            <w:pPr>
              <w:pStyle w:val="Tabletext1"/>
            </w:pPr>
            <w:r w:rsidRPr="00EF530F">
              <w:t>Base-case, maintenance dose for Ig: 0.7g/kg/infusion every 4 weeks</w:t>
            </w:r>
            <w:r>
              <w:t>, cost $60.41 per gram of Ig</w:t>
            </w:r>
          </w:p>
        </w:tc>
        <w:tc>
          <w:tcPr>
            <w:tcW w:w="707" w:type="pct"/>
            <w:tcBorders>
              <w:top w:val="single" w:sz="4" w:space="0" w:color="auto"/>
              <w:left w:val="single" w:sz="4" w:space="0" w:color="auto"/>
              <w:bottom w:val="single" w:sz="4" w:space="0" w:color="auto"/>
              <w:right w:val="single" w:sz="4" w:space="0" w:color="auto"/>
            </w:tcBorders>
            <w:noWrap/>
            <w:hideMark/>
          </w:tcPr>
          <w:p w14:paraId="488D893D" w14:textId="7E156FB3" w:rsidR="00F47632" w:rsidRPr="000F3CBC" w:rsidRDefault="00F47632" w:rsidP="000F3CBC">
            <w:pPr>
              <w:pStyle w:val="Tabletext1"/>
              <w:jc w:val="right"/>
              <w:rPr>
                <w:b/>
              </w:rPr>
            </w:pPr>
            <w:r w:rsidRPr="000F3CBC">
              <w:rPr>
                <w:b/>
              </w:rPr>
              <w:t>$49,991</w:t>
            </w:r>
          </w:p>
        </w:tc>
        <w:tc>
          <w:tcPr>
            <w:tcW w:w="629" w:type="pct"/>
            <w:tcBorders>
              <w:top w:val="single" w:sz="4" w:space="0" w:color="auto"/>
              <w:left w:val="single" w:sz="4" w:space="0" w:color="auto"/>
              <w:bottom w:val="single" w:sz="4" w:space="0" w:color="auto"/>
              <w:right w:val="single" w:sz="4" w:space="0" w:color="auto"/>
            </w:tcBorders>
            <w:noWrap/>
            <w:hideMark/>
          </w:tcPr>
          <w:p w14:paraId="78D6D14F" w14:textId="176B2B7A" w:rsidR="00F47632" w:rsidRPr="000F3CBC" w:rsidRDefault="00F47632" w:rsidP="000F3CBC">
            <w:pPr>
              <w:pStyle w:val="Tabletext1"/>
              <w:jc w:val="right"/>
              <w:rPr>
                <w:b/>
              </w:rPr>
            </w:pPr>
            <w:r w:rsidRPr="000F3CBC">
              <w:rPr>
                <w:b/>
              </w:rPr>
              <w:t>0.5316</w:t>
            </w:r>
          </w:p>
        </w:tc>
        <w:tc>
          <w:tcPr>
            <w:tcW w:w="522" w:type="pct"/>
            <w:tcBorders>
              <w:top w:val="single" w:sz="4" w:space="0" w:color="auto"/>
              <w:left w:val="single" w:sz="4" w:space="0" w:color="auto"/>
              <w:bottom w:val="single" w:sz="4" w:space="0" w:color="auto"/>
              <w:right w:val="single" w:sz="4" w:space="0" w:color="auto"/>
            </w:tcBorders>
            <w:noWrap/>
            <w:hideMark/>
          </w:tcPr>
          <w:p w14:paraId="6428AFF8" w14:textId="056FAE22" w:rsidR="00F47632" w:rsidRPr="000F3CBC" w:rsidRDefault="00F47632" w:rsidP="000F3CBC">
            <w:pPr>
              <w:pStyle w:val="Tabletext1"/>
              <w:jc w:val="right"/>
              <w:rPr>
                <w:b/>
              </w:rPr>
            </w:pPr>
            <w:r w:rsidRPr="000F3CBC">
              <w:rPr>
                <w:b/>
              </w:rPr>
              <w:t>$94,038</w:t>
            </w:r>
          </w:p>
        </w:tc>
      </w:tr>
      <w:tr w:rsidR="00267227" w:rsidRPr="00EF530F" w14:paraId="52D9335E" w14:textId="77777777" w:rsidTr="000F3CBC">
        <w:trPr>
          <w:cantSplit/>
          <w:trHeight w:val="300"/>
        </w:trPr>
        <w:tc>
          <w:tcPr>
            <w:tcW w:w="3142" w:type="pct"/>
            <w:tcBorders>
              <w:top w:val="single" w:sz="4" w:space="0" w:color="auto"/>
              <w:left w:val="single" w:sz="4" w:space="0" w:color="auto"/>
              <w:bottom w:val="single" w:sz="4" w:space="0" w:color="auto"/>
              <w:right w:val="single" w:sz="4" w:space="0" w:color="auto"/>
            </w:tcBorders>
            <w:noWrap/>
            <w:hideMark/>
          </w:tcPr>
          <w:p w14:paraId="29A9C133" w14:textId="77777777" w:rsidR="00267227" w:rsidRPr="00EF530F" w:rsidRDefault="00267227" w:rsidP="00267227">
            <w:pPr>
              <w:pStyle w:val="Tabletext1"/>
            </w:pPr>
            <w:r w:rsidRPr="00EF530F">
              <w:t>Maintenance dose for Ig: 0.4g/kg/infusion every 4 weeks</w:t>
            </w:r>
          </w:p>
        </w:tc>
        <w:tc>
          <w:tcPr>
            <w:tcW w:w="707" w:type="pct"/>
            <w:tcBorders>
              <w:top w:val="single" w:sz="4" w:space="0" w:color="auto"/>
              <w:left w:val="single" w:sz="4" w:space="0" w:color="auto"/>
              <w:bottom w:val="single" w:sz="4" w:space="0" w:color="auto"/>
              <w:right w:val="single" w:sz="4" w:space="0" w:color="auto"/>
            </w:tcBorders>
            <w:noWrap/>
            <w:hideMark/>
          </w:tcPr>
          <w:p w14:paraId="70659B10" w14:textId="2877F46B" w:rsidR="00267227" w:rsidRPr="00EF530F" w:rsidRDefault="00267227" w:rsidP="000F3CBC">
            <w:pPr>
              <w:pStyle w:val="Tabletext1"/>
              <w:jc w:val="right"/>
            </w:pPr>
            <w:r w:rsidRPr="00E45AE0">
              <w:t>$176</w:t>
            </w:r>
          </w:p>
        </w:tc>
        <w:tc>
          <w:tcPr>
            <w:tcW w:w="629" w:type="pct"/>
            <w:tcBorders>
              <w:top w:val="single" w:sz="4" w:space="0" w:color="auto"/>
              <w:left w:val="single" w:sz="4" w:space="0" w:color="auto"/>
              <w:bottom w:val="single" w:sz="4" w:space="0" w:color="auto"/>
              <w:right w:val="single" w:sz="4" w:space="0" w:color="auto"/>
            </w:tcBorders>
            <w:noWrap/>
            <w:hideMark/>
          </w:tcPr>
          <w:p w14:paraId="04FAB757" w14:textId="1CE86AD7" w:rsidR="00267227" w:rsidRPr="00EF530F" w:rsidRDefault="00267227" w:rsidP="000F3CBC">
            <w:pPr>
              <w:pStyle w:val="Tabletext1"/>
              <w:jc w:val="right"/>
            </w:pPr>
            <w:r w:rsidRPr="00E45AE0">
              <w:t>0.5316</w:t>
            </w:r>
          </w:p>
        </w:tc>
        <w:tc>
          <w:tcPr>
            <w:tcW w:w="522" w:type="pct"/>
            <w:tcBorders>
              <w:top w:val="single" w:sz="4" w:space="0" w:color="auto"/>
              <w:left w:val="single" w:sz="4" w:space="0" w:color="auto"/>
              <w:bottom w:val="single" w:sz="4" w:space="0" w:color="auto"/>
              <w:right w:val="single" w:sz="4" w:space="0" w:color="auto"/>
            </w:tcBorders>
            <w:noWrap/>
            <w:hideMark/>
          </w:tcPr>
          <w:p w14:paraId="21584845" w14:textId="1B5775E7" w:rsidR="00267227" w:rsidRPr="00EF530F" w:rsidRDefault="00267227" w:rsidP="000F3CBC">
            <w:pPr>
              <w:pStyle w:val="Tabletext1"/>
              <w:jc w:val="right"/>
            </w:pPr>
            <w:r w:rsidRPr="00E45AE0">
              <w:t>$331</w:t>
            </w:r>
          </w:p>
        </w:tc>
      </w:tr>
      <w:tr w:rsidR="00267227" w:rsidRPr="00EF530F" w14:paraId="536CB3CF" w14:textId="77777777" w:rsidTr="000F3CBC">
        <w:trPr>
          <w:cantSplit/>
          <w:trHeight w:val="300"/>
        </w:trPr>
        <w:tc>
          <w:tcPr>
            <w:tcW w:w="3142" w:type="pct"/>
            <w:tcBorders>
              <w:top w:val="single" w:sz="4" w:space="0" w:color="auto"/>
              <w:left w:val="single" w:sz="4" w:space="0" w:color="auto"/>
              <w:bottom w:val="single" w:sz="4" w:space="0" w:color="auto"/>
              <w:right w:val="single" w:sz="4" w:space="0" w:color="auto"/>
            </w:tcBorders>
            <w:noWrap/>
            <w:hideMark/>
          </w:tcPr>
          <w:p w14:paraId="71946EBE" w14:textId="77777777" w:rsidR="00267227" w:rsidRPr="00EF530F" w:rsidRDefault="00267227" w:rsidP="00267227">
            <w:pPr>
              <w:pStyle w:val="Tabletext1"/>
            </w:pPr>
            <w:r w:rsidRPr="00EF530F">
              <w:t>Maintenance dose for Ig: 1.0g/kg/infusion every 4 weeks</w:t>
            </w:r>
          </w:p>
        </w:tc>
        <w:tc>
          <w:tcPr>
            <w:tcW w:w="707" w:type="pct"/>
            <w:tcBorders>
              <w:top w:val="single" w:sz="4" w:space="0" w:color="auto"/>
              <w:left w:val="single" w:sz="4" w:space="0" w:color="auto"/>
              <w:bottom w:val="single" w:sz="4" w:space="0" w:color="auto"/>
              <w:right w:val="single" w:sz="4" w:space="0" w:color="auto"/>
            </w:tcBorders>
            <w:noWrap/>
            <w:hideMark/>
          </w:tcPr>
          <w:p w14:paraId="666967CE" w14:textId="0552D073" w:rsidR="00267227" w:rsidRPr="00EF530F" w:rsidRDefault="00267227" w:rsidP="000F3CBC">
            <w:pPr>
              <w:pStyle w:val="Tabletext1"/>
              <w:jc w:val="right"/>
            </w:pPr>
            <w:r w:rsidRPr="00E45AE0">
              <w:t>$99,807</w:t>
            </w:r>
          </w:p>
        </w:tc>
        <w:tc>
          <w:tcPr>
            <w:tcW w:w="629" w:type="pct"/>
            <w:tcBorders>
              <w:top w:val="single" w:sz="4" w:space="0" w:color="auto"/>
              <w:left w:val="single" w:sz="4" w:space="0" w:color="auto"/>
              <w:bottom w:val="single" w:sz="4" w:space="0" w:color="auto"/>
              <w:right w:val="single" w:sz="4" w:space="0" w:color="auto"/>
            </w:tcBorders>
            <w:noWrap/>
            <w:hideMark/>
          </w:tcPr>
          <w:p w14:paraId="74C0428B" w14:textId="551381BA" w:rsidR="00267227" w:rsidRPr="00EF530F" w:rsidRDefault="00267227" w:rsidP="000F3CBC">
            <w:pPr>
              <w:pStyle w:val="Tabletext1"/>
              <w:jc w:val="right"/>
            </w:pPr>
            <w:r w:rsidRPr="00E45AE0">
              <w:t>0.5316</w:t>
            </w:r>
          </w:p>
        </w:tc>
        <w:tc>
          <w:tcPr>
            <w:tcW w:w="522" w:type="pct"/>
            <w:tcBorders>
              <w:top w:val="single" w:sz="4" w:space="0" w:color="auto"/>
              <w:left w:val="single" w:sz="4" w:space="0" w:color="auto"/>
              <w:bottom w:val="single" w:sz="4" w:space="0" w:color="auto"/>
              <w:right w:val="single" w:sz="4" w:space="0" w:color="auto"/>
            </w:tcBorders>
            <w:noWrap/>
            <w:hideMark/>
          </w:tcPr>
          <w:p w14:paraId="0EC5C03E" w14:textId="68648E04" w:rsidR="00267227" w:rsidRPr="00EF530F" w:rsidRDefault="00267227" w:rsidP="000F3CBC">
            <w:pPr>
              <w:pStyle w:val="Tabletext1"/>
              <w:jc w:val="right"/>
            </w:pPr>
            <w:r w:rsidRPr="00E45AE0">
              <w:t>$187,745</w:t>
            </w:r>
          </w:p>
        </w:tc>
      </w:tr>
      <w:tr w:rsidR="00267227" w:rsidRPr="00EF530F" w14:paraId="223C4FBB" w14:textId="77777777" w:rsidTr="000F3CBC">
        <w:trPr>
          <w:cantSplit/>
          <w:trHeight w:val="300"/>
        </w:trPr>
        <w:tc>
          <w:tcPr>
            <w:tcW w:w="3142" w:type="pct"/>
            <w:tcBorders>
              <w:top w:val="single" w:sz="4" w:space="0" w:color="auto"/>
              <w:left w:val="single" w:sz="4" w:space="0" w:color="auto"/>
              <w:bottom w:val="single" w:sz="4" w:space="0" w:color="auto"/>
              <w:right w:val="single" w:sz="4" w:space="0" w:color="auto"/>
            </w:tcBorders>
            <w:noWrap/>
          </w:tcPr>
          <w:p w14:paraId="0C3AE943" w14:textId="77777777" w:rsidR="00267227" w:rsidRPr="00EF530F" w:rsidRDefault="00267227" w:rsidP="00267227">
            <w:pPr>
              <w:pStyle w:val="Tabletext1"/>
            </w:pPr>
            <w:r w:rsidRPr="00021A77">
              <w:t>High cost (domestic IVIg, including cost of plasma), $140.18 per gram of Ig</w:t>
            </w:r>
          </w:p>
        </w:tc>
        <w:tc>
          <w:tcPr>
            <w:tcW w:w="707" w:type="pct"/>
            <w:tcBorders>
              <w:top w:val="single" w:sz="4" w:space="0" w:color="auto"/>
              <w:left w:val="single" w:sz="4" w:space="0" w:color="auto"/>
              <w:bottom w:val="single" w:sz="4" w:space="0" w:color="auto"/>
              <w:right w:val="single" w:sz="4" w:space="0" w:color="auto"/>
            </w:tcBorders>
            <w:noWrap/>
          </w:tcPr>
          <w:p w14:paraId="4B1379BE" w14:textId="311A70B3" w:rsidR="00267227" w:rsidRPr="004A55FD" w:rsidRDefault="00267227" w:rsidP="000F3CBC">
            <w:pPr>
              <w:pStyle w:val="Tabletext1"/>
              <w:jc w:val="right"/>
            </w:pPr>
            <w:r w:rsidRPr="002D7B95">
              <w:t>$223,343</w:t>
            </w:r>
          </w:p>
        </w:tc>
        <w:tc>
          <w:tcPr>
            <w:tcW w:w="629" w:type="pct"/>
            <w:tcBorders>
              <w:top w:val="single" w:sz="4" w:space="0" w:color="auto"/>
              <w:left w:val="single" w:sz="4" w:space="0" w:color="auto"/>
              <w:bottom w:val="single" w:sz="4" w:space="0" w:color="auto"/>
              <w:right w:val="single" w:sz="4" w:space="0" w:color="auto"/>
            </w:tcBorders>
            <w:noWrap/>
          </w:tcPr>
          <w:p w14:paraId="45325606" w14:textId="7A27D524" w:rsidR="00267227" w:rsidRPr="004A55FD" w:rsidRDefault="00267227" w:rsidP="000F3CBC">
            <w:pPr>
              <w:pStyle w:val="Tabletext1"/>
              <w:jc w:val="right"/>
            </w:pPr>
            <w:r w:rsidRPr="002D7B95">
              <w:t>0.5316</w:t>
            </w:r>
          </w:p>
        </w:tc>
        <w:tc>
          <w:tcPr>
            <w:tcW w:w="522" w:type="pct"/>
            <w:tcBorders>
              <w:top w:val="single" w:sz="4" w:space="0" w:color="auto"/>
              <w:left w:val="single" w:sz="4" w:space="0" w:color="auto"/>
              <w:bottom w:val="single" w:sz="4" w:space="0" w:color="auto"/>
              <w:right w:val="single" w:sz="4" w:space="0" w:color="auto"/>
            </w:tcBorders>
            <w:noWrap/>
          </w:tcPr>
          <w:p w14:paraId="371B0284" w14:textId="69795C3F" w:rsidR="00267227" w:rsidRPr="004A55FD" w:rsidRDefault="00267227" w:rsidP="000F3CBC">
            <w:pPr>
              <w:pStyle w:val="Tabletext1"/>
              <w:jc w:val="right"/>
            </w:pPr>
            <w:r w:rsidRPr="002D7B95">
              <w:t>$420,129</w:t>
            </w:r>
          </w:p>
        </w:tc>
      </w:tr>
      <w:tr w:rsidR="00267227" w:rsidRPr="00EF530F" w14:paraId="494FF000" w14:textId="77777777" w:rsidTr="000F3CBC">
        <w:trPr>
          <w:cantSplit/>
          <w:trHeight w:val="300"/>
        </w:trPr>
        <w:tc>
          <w:tcPr>
            <w:tcW w:w="3142" w:type="pct"/>
            <w:tcBorders>
              <w:top w:val="single" w:sz="4" w:space="0" w:color="auto"/>
              <w:left w:val="single" w:sz="4" w:space="0" w:color="auto"/>
              <w:bottom w:val="single" w:sz="4" w:space="0" w:color="auto"/>
              <w:right w:val="single" w:sz="4" w:space="0" w:color="auto"/>
            </w:tcBorders>
            <w:noWrap/>
          </w:tcPr>
          <w:p w14:paraId="7ECB813C" w14:textId="77777777" w:rsidR="00267227" w:rsidRPr="00EF530F" w:rsidRDefault="00267227" w:rsidP="00267227">
            <w:pPr>
              <w:pStyle w:val="Tabletext1"/>
            </w:pPr>
            <w:r w:rsidRPr="00021A77">
              <w:t>Low cost (imported IVIg), $44.94 per gram of Ig</w:t>
            </w:r>
          </w:p>
        </w:tc>
        <w:tc>
          <w:tcPr>
            <w:tcW w:w="707" w:type="pct"/>
            <w:tcBorders>
              <w:top w:val="single" w:sz="4" w:space="0" w:color="auto"/>
              <w:left w:val="single" w:sz="4" w:space="0" w:color="auto"/>
              <w:bottom w:val="single" w:sz="4" w:space="0" w:color="auto"/>
              <w:right w:val="single" w:sz="4" w:space="0" w:color="auto"/>
            </w:tcBorders>
            <w:noWrap/>
          </w:tcPr>
          <w:p w14:paraId="6029E5DD" w14:textId="5286404C" w:rsidR="00267227" w:rsidRPr="004A55FD" w:rsidRDefault="00267227" w:rsidP="000F3CBC">
            <w:pPr>
              <w:pStyle w:val="Tabletext1"/>
              <w:jc w:val="right"/>
            </w:pPr>
            <w:r w:rsidRPr="002D7B95">
              <w:t>$16,373</w:t>
            </w:r>
          </w:p>
        </w:tc>
        <w:tc>
          <w:tcPr>
            <w:tcW w:w="629" w:type="pct"/>
            <w:tcBorders>
              <w:top w:val="single" w:sz="4" w:space="0" w:color="auto"/>
              <w:left w:val="single" w:sz="4" w:space="0" w:color="auto"/>
              <w:bottom w:val="single" w:sz="4" w:space="0" w:color="auto"/>
              <w:right w:val="single" w:sz="4" w:space="0" w:color="auto"/>
            </w:tcBorders>
            <w:noWrap/>
          </w:tcPr>
          <w:p w14:paraId="42642DEB" w14:textId="349CB6B5" w:rsidR="00267227" w:rsidRPr="004A55FD" w:rsidRDefault="00267227" w:rsidP="000F3CBC">
            <w:pPr>
              <w:pStyle w:val="Tabletext1"/>
              <w:jc w:val="right"/>
            </w:pPr>
            <w:r w:rsidRPr="002D7B95">
              <w:t>0.5316</w:t>
            </w:r>
          </w:p>
        </w:tc>
        <w:tc>
          <w:tcPr>
            <w:tcW w:w="522" w:type="pct"/>
            <w:tcBorders>
              <w:top w:val="single" w:sz="4" w:space="0" w:color="auto"/>
              <w:left w:val="single" w:sz="4" w:space="0" w:color="auto"/>
              <w:bottom w:val="single" w:sz="4" w:space="0" w:color="auto"/>
              <w:right w:val="single" w:sz="4" w:space="0" w:color="auto"/>
            </w:tcBorders>
            <w:noWrap/>
          </w:tcPr>
          <w:p w14:paraId="18427A06" w14:textId="3432E671" w:rsidR="00267227" w:rsidRPr="004A55FD" w:rsidRDefault="00267227" w:rsidP="000F3CBC">
            <w:pPr>
              <w:pStyle w:val="Tabletext1"/>
              <w:jc w:val="right"/>
            </w:pPr>
            <w:r w:rsidRPr="002D7B95">
              <w:t>$30,799</w:t>
            </w:r>
          </w:p>
        </w:tc>
      </w:tr>
      <w:tr w:rsidR="00267227" w:rsidRPr="00EF530F" w14:paraId="28C967DA" w14:textId="77777777" w:rsidTr="000F3CBC">
        <w:trPr>
          <w:cantSplit/>
          <w:trHeight w:val="300"/>
        </w:trPr>
        <w:tc>
          <w:tcPr>
            <w:tcW w:w="3142" w:type="pct"/>
            <w:tcBorders>
              <w:top w:val="single" w:sz="4" w:space="0" w:color="auto"/>
              <w:left w:val="single" w:sz="4" w:space="0" w:color="auto"/>
              <w:bottom w:val="single" w:sz="4" w:space="0" w:color="auto"/>
              <w:right w:val="single" w:sz="4" w:space="0" w:color="auto"/>
            </w:tcBorders>
            <w:noWrap/>
          </w:tcPr>
          <w:p w14:paraId="1AB71634" w14:textId="77777777" w:rsidR="00267227" w:rsidRPr="00EF530F" w:rsidRDefault="00267227" w:rsidP="00267227">
            <w:pPr>
              <w:pStyle w:val="Tabletext1"/>
            </w:pPr>
            <w:r w:rsidRPr="00021A77">
              <w:t>weighted average across all indications, $94.51 per gram of Ig</w:t>
            </w:r>
          </w:p>
        </w:tc>
        <w:tc>
          <w:tcPr>
            <w:tcW w:w="707" w:type="pct"/>
            <w:tcBorders>
              <w:top w:val="single" w:sz="4" w:space="0" w:color="auto"/>
              <w:left w:val="single" w:sz="4" w:space="0" w:color="auto"/>
              <w:bottom w:val="single" w:sz="4" w:space="0" w:color="auto"/>
              <w:right w:val="single" w:sz="4" w:space="0" w:color="auto"/>
            </w:tcBorders>
            <w:noWrap/>
          </w:tcPr>
          <w:p w14:paraId="7CDB996F" w14:textId="096CC667" w:rsidR="00267227" w:rsidRPr="004A55FD" w:rsidRDefault="00267227" w:rsidP="000F3CBC">
            <w:pPr>
              <w:pStyle w:val="Tabletext1"/>
              <w:jc w:val="right"/>
            </w:pPr>
            <w:r w:rsidRPr="002D7B95">
              <w:t>$124,088</w:t>
            </w:r>
          </w:p>
        </w:tc>
        <w:tc>
          <w:tcPr>
            <w:tcW w:w="629" w:type="pct"/>
            <w:tcBorders>
              <w:top w:val="single" w:sz="4" w:space="0" w:color="auto"/>
              <w:left w:val="single" w:sz="4" w:space="0" w:color="auto"/>
              <w:bottom w:val="single" w:sz="4" w:space="0" w:color="auto"/>
              <w:right w:val="single" w:sz="4" w:space="0" w:color="auto"/>
            </w:tcBorders>
            <w:noWrap/>
          </w:tcPr>
          <w:p w14:paraId="0F9A41A5" w14:textId="0F4B3B67" w:rsidR="00267227" w:rsidRPr="004A55FD" w:rsidRDefault="00267227" w:rsidP="000F3CBC">
            <w:pPr>
              <w:pStyle w:val="Tabletext1"/>
              <w:jc w:val="right"/>
            </w:pPr>
            <w:r w:rsidRPr="002D7B95">
              <w:t>0.5316</w:t>
            </w:r>
          </w:p>
        </w:tc>
        <w:tc>
          <w:tcPr>
            <w:tcW w:w="522" w:type="pct"/>
            <w:tcBorders>
              <w:top w:val="single" w:sz="4" w:space="0" w:color="auto"/>
              <w:left w:val="single" w:sz="4" w:space="0" w:color="auto"/>
              <w:bottom w:val="single" w:sz="4" w:space="0" w:color="auto"/>
              <w:right w:val="single" w:sz="4" w:space="0" w:color="auto"/>
            </w:tcBorders>
            <w:noWrap/>
          </w:tcPr>
          <w:p w14:paraId="2BD51668" w14:textId="3386CAB1" w:rsidR="00267227" w:rsidRPr="004A55FD" w:rsidRDefault="00267227" w:rsidP="000F3CBC">
            <w:pPr>
              <w:pStyle w:val="Tabletext1"/>
              <w:jc w:val="right"/>
            </w:pPr>
            <w:r w:rsidRPr="002D7B95">
              <w:t>$233,422</w:t>
            </w:r>
          </w:p>
        </w:tc>
      </w:tr>
    </w:tbl>
    <w:p w14:paraId="51A1E864" w14:textId="1F3C0807" w:rsidR="00F65F82" w:rsidRDefault="00F65F82" w:rsidP="00F65F82">
      <w:pPr>
        <w:spacing w:after="200" w:line="240" w:lineRule="auto"/>
        <w:ind w:left="57" w:right="57"/>
        <w:contextualSpacing/>
        <w:rPr>
          <w:rFonts w:ascii="Arial Narrow" w:eastAsia="Calibri" w:hAnsi="Arial Narrow" w:cs="Times New Roman"/>
          <w:sz w:val="18"/>
          <w:szCs w:val="18"/>
          <w:lang w:eastAsia="en-US"/>
        </w:rPr>
      </w:pPr>
      <w:r w:rsidRPr="00EF530F">
        <w:rPr>
          <w:rFonts w:ascii="Arial Narrow" w:eastAsia="Calibri" w:hAnsi="Arial Narrow" w:cs="Times New Roman"/>
          <w:sz w:val="18"/>
          <w:szCs w:val="18"/>
          <w:lang w:eastAsia="en-US"/>
        </w:rPr>
        <w:t>g = grams; ICER = incremental cost-effectiveness ratio; Ig = immunoglobulin; Inc = Incremental;</w:t>
      </w:r>
      <w:r w:rsidR="00177B7E">
        <w:rPr>
          <w:rFonts w:ascii="Arial Narrow" w:eastAsia="Calibri" w:hAnsi="Arial Narrow" w:cs="Times New Roman"/>
          <w:sz w:val="18"/>
          <w:szCs w:val="18"/>
          <w:lang w:eastAsia="en-US"/>
        </w:rPr>
        <w:t xml:space="preserve"> IV = intravenous;</w:t>
      </w:r>
      <w:r w:rsidRPr="00EF530F">
        <w:rPr>
          <w:rFonts w:ascii="Arial Narrow" w:eastAsia="Calibri" w:hAnsi="Arial Narrow" w:cs="Times New Roman"/>
          <w:sz w:val="18"/>
          <w:szCs w:val="18"/>
          <w:lang w:eastAsia="en-US"/>
        </w:rPr>
        <w:t xml:space="preserve"> kg = kilograms; </w:t>
      </w:r>
      <w:r w:rsidR="00A00511">
        <w:rPr>
          <w:rFonts w:ascii="Arial Narrow" w:eastAsia="Calibri" w:hAnsi="Arial Narrow" w:cs="Times New Roman"/>
          <w:sz w:val="18"/>
          <w:szCs w:val="18"/>
          <w:lang w:eastAsia="en-US"/>
        </w:rPr>
        <w:t xml:space="preserve">PE = plasma exchange; </w:t>
      </w:r>
      <w:r w:rsidRPr="00EF530F">
        <w:rPr>
          <w:rFonts w:ascii="Arial Narrow" w:eastAsia="Calibri" w:hAnsi="Arial Narrow" w:cs="Times New Roman"/>
          <w:sz w:val="18"/>
          <w:szCs w:val="18"/>
          <w:lang w:eastAsia="en-US"/>
        </w:rPr>
        <w:t>QALY = quality-adjusted life years</w:t>
      </w:r>
    </w:p>
    <w:p w14:paraId="4B5D2822" w14:textId="4235CD37" w:rsidR="00F65F82" w:rsidRPr="00813E77" w:rsidRDefault="00F65F82" w:rsidP="00F65F82">
      <w:pPr>
        <w:pStyle w:val="BodyTextSTD"/>
      </w:pPr>
      <w:r>
        <w:t>The ICERs vary substantially in the range of $</w:t>
      </w:r>
      <w:r w:rsidR="00795B94">
        <w:t>331</w:t>
      </w:r>
      <w:r>
        <w:t xml:space="preserve"> –$</w:t>
      </w:r>
      <w:r w:rsidR="00F32596">
        <w:t>1</w:t>
      </w:r>
      <w:r w:rsidR="00795B94">
        <w:t>87,745</w:t>
      </w:r>
      <w:r>
        <w:t xml:space="preserve"> per QALY gained when maintenance dose for Ig infusion is varied from 0.4–1.0 g/kg.</w:t>
      </w:r>
      <w:r w:rsidR="00D646C3">
        <w:t xml:space="preserve"> The ICERs are highly sensitive to the cost per gram of Ig used in the model, </w:t>
      </w:r>
      <w:r w:rsidR="001236DF">
        <w:t xml:space="preserve">with </w:t>
      </w:r>
      <w:r w:rsidR="00D646C3">
        <w:t xml:space="preserve">values ranging </w:t>
      </w:r>
      <w:r w:rsidR="00795B94">
        <w:t>from $30,799</w:t>
      </w:r>
      <w:r w:rsidR="00D646C3">
        <w:t xml:space="preserve"> – $</w:t>
      </w:r>
      <w:r w:rsidR="00795B94">
        <w:t>233,422</w:t>
      </w:r>
      <w:r w:rsidR="001236DF">
        <w:t xml:space="preserve"> across the prices tested</w:t>
      </w:r>
      <w:r w:rsidR="00D646C3">
        <w:t>.</w:t>
      </w:r>
    </w:p>
    <w:p w14:paraId="4FD97818" w14:textId="77777777" w:rsidR="00B47790" w:rsidRDefault="00B47790" w:rsidP="00D07FDF">
      <w:pPr>
        <w:pStyle w:val="Heading3"/>
      </w:pPr>
      <w:bookmarkStart w:id="377" w:name="_Toc69305599"/>
      <w:r>
        <w:t>D.5C.</w:t>
      </w:r>
      <w:r>
        <w:tab/>
      </w:r>
      <w:r w:rsidRPr="00EF530F">
        <w:t xml:space="preserve">Ig compared with </w:t>
      </w:r>
      <w:r>
        <w:t>placebo in steroid resistant subgroup</w:t>
      </w:r>
      <w:bookmarkEnd w:id="377"/>
    </w:p>
    <w:p w14:paraId="26A71569" w14:textId="7FBBF431" w:rsidR="00B47790" w:rsidRDefault="00B47790" w:rsidP="00B47790">
      <w:pPr>
        <w:pStyle w:val="BodyTextSTD"/>
      </w:pPr>
      <w:r w:rsidRPr="00813E77">
        <w:t xml:space="preserve">There was insufficient evidence on the comparison of Ig and </w:t>
      </w:r>
      <w:r>
        <w:t xml:space="preserve">placebo in steroid resistant population. Data from Ig versus placebo study </w:t>
      </w:r>
      <w:r w:rsidR="00B727D6">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28" w:tooltip="Hughes, 2008 #1205" w:history="1">
        <w:r w:rsidR="00D726F6">
          <w:rPr>
            <w:noProof/>
          </w:rPr>
          <w:t>Hughes et al. 2008</w:t>
        </w:r>
      </w:hyperlink>
      <w:r w:rsidR="00B727D6">
        <w:rPr>
          <w:noProof/>
        </w:rPr>
        <w:t>)</w:t>
      </w:r>
      <w:r w:rsidR="00B727D6">
        <w:fldChar w:fldCharType="end"/>
      </w:r>
      <w:r>
        <w:t xml:space="preserve"> are used for the trial-based analysis.</w:t>
      </w:r>
      <w:r w:rsidRPr="00813E77">
        <w:t xml:space="preserve"> </w:t>
      </w:r>
      <w:r>
        <w:t xml:space="preserve">Modelled base-case analysis use estimates for Ig as used in the other two comparisons. For placebo (best supportive care) assumptions are made that patients do not switch to other treatment, as such there is no treatment effect and no transitions to </w:t>
      </w:r>
      <w:r w:rsidR="007B7827">
        <w:t xml:space="preserve">‘In </w:t>
      </w:r>
      <w:r>
        <w:t>remission</w:t>
      </w:r>
      <w:r w:rsidR="007B7827">
        <w:t>’</w:t>
      </w:r>
      <w:r>
        <w:t xml:space="preserve"> </w:t>
      </w:r>
      <w:r w:rsidR="007B7827">
        <w:t xml:space="preserve">health </w:t>
      </w:r>
      <w:r>
        <w:t>state</w:t>
      </w:r>
      <w:r w:rsidR="00B163FA">
        <w:t xml:space="preserve"> are made in the modelled analysis</w:t>
      </w:r>
      <w:r>
        <w:t xml:space="preserve">. </w:t>
      </w:r>
    </w:p>
    <w:p w14:paraId="72ED20E0" w14:textId="77777777" w:rsidR="00B47790" w:rsidRPr="00EF530F" w:rsidRDefault="00B47790" w:rsidP="00D07FDF">
      <w:pPr>
        <w:pStyle w:val="Heading4"/>
      </w:pPr>
      <w:r w:rsidRPr="00EF530F">
        <w:t>D.5</w:t>
      </w:r>
      <w:r>
        <w:t>C</w:t>
      </w:r>
      <w:r w:rsidRPr="00EF530F">
        <w:t>.1.</w:t>
      </w:r>
      <w:r>
        <w:tab/>
      </w:r>
      <w:r w:rsidRPr="00EF530F">
        <w:t>Stepped economic evaluation</w:t>
      </w:r>
    </w:p>
    <w:p w14:paraId="0E133960" w14:textId="77777777" w:rsidR="00B47790" w:rsidRPr="00EF530F" w:rsidRDefault="00B47790" w:rsidP="00B47790">
      <w:pPr>
        <w:pStyle w:val="BodyTextSTD"/>
      </w:pPr>
      <w:r w:rsidRPr="00EF530F">
        <w:t xml:space="preserve">A summary the steps </w:t>
      </w:r>
      <w:r>
        <w:t xml:space="preserve">in the </w:t>
      </w:r>
      <w:r w:rsidRPr="00EF530F">
        <w:t>stepped economic evaluation is presented below:</w:t>
      </w:r>
    </w:p>
    <w:p w14:paraId="128CBF11" w14:textId="2A342494" w:rsidR="00B47790" w:rsidRPr="00EF530F" w:rsidRDefault="00B47790" w:rsidP="00B47790">
      <w:pPr>
        <w:pStyle w:val="BodyTextSTD"/>
        <w:numPr>
          <w:ilvl w:val="0"/>
          <w:numId w:val="38"/>
        </w:numPr>
      </w:pPr>
      <w:r w:rsidRPr="00EF530F">
        <w:t xml:space="preserve">Step 1: Trial-based analysis. This step will apply the dose, dose frequency, </w:t>
      </w:r>
      <w:r>
        <w:t xml:space="preserve">time horizon </w:t>
      </w:r>
      <w:r w:rsidRPr="00EF530F">
        <w:t xml:space="preserve">from the </w:t>
      </w:r>
      <w:r w:rsidR="00B163FA">
        <w:t>Hughes</w:t>
      </w:r>
      <w:r>
        <w:t xml:space="preserve"> et al </w:t>
      </w:r>
      <w:r w:rsidR="00B727D6">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instrText xml:space="preserve"> ADDIN EN.CITE </w:instrText>
      </w:r>
      <w:r w:rsidR="00B727D6">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instrText xml:space="preserve"> ADDIN EN.CITE.DATA </w:instrText>
      </w:r>
      <w:r w:rsidR="00B727D6">
        <w:fldChar w:fldCharType="end"/>
      </w:r>
      <w:r w:rsidR="00B727D6">
        <w:fldChar w:fldCharType="separate"/>
      </w:r>
      <w:r w:rsidR="00B727D6">
        <w:rPr>
          <w:noProof/>
        </w:rPr>
        <w:t>(</w:t>
      </w:r>
      <w:hyperlink w:anchor="_ENREF_28" w:tooltip="Hughes, 2008 #1205" w:history="1">
        <w:r w:rsidR="00D726F6">
          <w:rPr>
            <w:noProof/>
          </w:rPr>
          <w:t>Hughes et al. 2008</w:t>
        </w:r>
      </w:hyperlink>
      <w:r w:rsidR="00B727D6">
        <w:rPr>
          <w:noProof/>
        </w:rPr>
        <w:t>)</w:t>
      </w:r>
      <w:r w:rsidR="00B727D6">
        <w:fldChar w:fldCharType="end"/>
      </w:r>
      <w:r>
        <w:t xml:space="preserve"> </w:t>
      </w:r>
      <w:r w:rsidRPr="00EF530F">
        <w:t>trial</w:t>
      </w:r>
      <w:r>
        <w:t xml:space="preserve"> (</w:t>
      </w:r>
      <w:r w:rsidRPr="00D8108B">
        <w:rPr>
          <w:rStyle w:val="BodyTextSTDChar"/>
        </w:rPr>
        <w:t xml:space="preserve">see </w:t>
      </w:r>
      <w:r w:rsidRPr="00D8108B">
        <w:rPr>
          <w:rStyle w:val="BodyTextSTDChar"/>
        </w:rPr>
        <w:fldChar w:fldCharType="begin"/>
      </w:r>
      <w:r w:rsidRPr="00D8108B">
        <w:rPr>
          <w:rStyle w:val="BodyTextSTDChar"/>
        </w:rPr>
        <w:instrText xml:space="preserve"> REF _Ref66377479 \h </w:instrText>
      </w:r>
      <w:r>
        <w:rPr>
          <w:rStyle w:val="BodyTextSTDChar"/>
        </w:rPr>
        <w:instrText xml:space="preserve"> \* MERGEFORMAT </w:instrText>
      </w:r>
      <w:r w:rsidRPr="00D8108B">
        <w:rPr>
          <w:rStyle w:val="BodyTextSTDChar"/>
        </w:rPr>
      </w:r>
      <w:r w:rsidRPr="00D8108B">
        <w:rPr>
          <w:rStyle w:val="BodyTextSTDChar"/>
        </w:rPr>
        <w:fldChar w:fldCharType="separate"/>
      </w:r>
      <w:r w:rsidR="004B3EA2" w:rsidRPr="004B3EA2">
        <w:rPr>
          <w:rStyle w:val="BodyTextSTDChar"/>
        </w:rPr>
        <w:t>Table 27</w:t>
      </w:r>
      <w:r w:rsidRPr="00D8108B">
        <w:rPr>
          <w:rStyle w:val="BodyTextSTDChar"/>
        </w:rPr>
        <w:fldChar w:fldCharType="end"/>
      </w:r>
      <w:r>
        <w:t>)</w:t>
      </w:r>
      <w:r w:rsidRPr="00EF530F">
        <w:t>.</w:t>
      </w:r>
      <w:r>
        <w:t xml:space="preserve"> This study was conducted over </w:t>
      </w:r>
      <w:r w:rsidR="00B163FA">
        <w:t>48</w:t>
      </w:r>
      <w:r>
        <w:t xml:space="preserve"> weeks with </w:t>
      </w:r>
      <w:r w:rsidR="00B163FA">
        <w:t>117</w:t>
      </w:r>
      <w:r>
        <w:t xml:space="preserve"> patients. </w:t>
      </w:r>
      <w:r w:rsidR="00B163FA">
        <w:t>Patients were categorised as responders or non-responders after 6 weeks on treatment. Non-responders were allowed to cross-over.</w:t>
      </w:r>
    </w:p>
    <w:p w14:paraId="3C8AA294" w14:textId="77777777" w:rsidR="00B47790" w:rsidRDefault="00B47790" w:rsidP="00B47790">
      <w:pPr>
        <w:pStyle w:val="BodyTextSTD"/>
        <w:numPr>
          <w:ilvl w:val="0"/>
          <w:numId w:val="38"/>
        </w:numPr>
      </w:pPr>
      <w:r w:rsidRPr="00EF530F">
        <w:t xml:space="preserve">Step 2: Modelled base case analysis. The final step of the analysis models the benefit of Ig relative to </w:t>
      </w:r>
      <w:r w:rsidR="00B163FA">
        <w:t>placebo</w:t>
      </w:r>
      <w:r w:rsidRPr="00EF530F">
        <w:t xml:space="preserve"> </w:t>
      </w:r>
      <w:r w:rsidR="00B163FA">
        <w:t>using Ig estimates based on NBA data (as used in previous comparisons) and extrapolating placebo estimates for time horizon of 10 years.</w:t>
      </w:r>
      <w:r w:rsidRPr="00EF530F">
        <w:t xml:space="preserve"> The dose and frequency of Ig modelled is that described in the version 3 of</w:t>
      </w:r>
      <w:r>
        <w:t xml:space="preserve"> the Criteria and </w:t>
      </w:r>
      <w:r w:rsidR="00B163FA">
        <w:t>placebo arm is supposed to have no treatment</w:t>
      </w:r>
      <w:r w:rsidRPr="00EF530F">
        <w:t>.</w:t>
      </w:r>
    </w:p>
    <w:p w14:paraId="2D8BD278" w14:textId="0BE89CE9" w:rsidR="00C14B45" w:rsidRPr="00C14B45" w:rsidRDefault="00544E94" w:rsidP="00C14B45">
      <w:pPr>
        <w:pStyle w:val="BodyTextSTD"/>
      </w:pPr>
      <w:r>
        <w:fldChar w:fldCharType="begin"/>
      </w:r>
      <w:r>
        <w:instrText xml:space="preserve"> REF _Ref66478758 \h </w:instrText>
      </w:r>
      <w:r>
        <w:fldChar w:fldCharType="separate"/>
      </w:r>
      <w:r w:rsidR="004B3EA2" w:rsidRPr="00EF530F">
        <w:t xml:space="preserve">Table </w:t>
      </w:r>
      <w:r w:rsidR="004B3EA2">
        <w:rPr>
          <w:noProof/>
        </w:rPr>
        <w:t>56</w:t>
      </w:r>
      <w:r>
        <w:fldChar w:fldCharType="end"/>
      </w:r>
      <w:r>
        <w:t xml:space="preserve"> </w:t>
      </w:r>
      <w:r w:rsidR="00C14B45" w:rsidRPr="00C14B45">
        <w:t>presents the results of the stepped analysis.</w:t>
      </w:r>
    </w:p>
    <w:p w14:paraId="6816231A" w14:textId="14AC9BFD" w:rsidR="00C14B45" w:rsidRPr="00EF530F" w:rsidRDefault="00C14B45" w:rsidP="00C14B45">
      <w:pPr>
        <w:pStyle w:val="Caption"/>
      </w:pPr>
      <w:bookmarkStart w:id="378" w:name="_Ref66478758"/>
      <w:bookmarkStart w:id="379" w:name="_Toc69305697"/>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56</w:t>
      </w:r>
      <w:r w:rsidRPr="00EF530F">
        <w:fldChar w:fldCharType="end"/>
      </w:r>
      <w:bookmarkEnd w:id="378"/>
      <w:r w:rsidRPr="00EF530F">
        <w:tab/>
        <w:t>Results of the stepped economic analysis</w:t>
      </w:r>
      <w:r>
        <w:t xml:space="preserve">: Ig vs </w:t>
      </w:r>
      <w:r w:rsidR="003A75EE">
        <w:t>best supportive care</w:t>
      </w:r>
      <w:bookmarkEnd w:id="379"/>
    </w:p>
    <w:tbl>
      <w:tblPr>
        <w:tblStyle w:val="TableGrid11"/>
        <w:tblW w:w="5000" w:type="pct"/>
        <w:tblInd w:w="0" w:type="dxa"/>
        <w:tblLayout w:type="fixed"/>
        <w:tblLook w:val="04A0" w:firstRow="1" w:lastRow="0" w:firstColumn="1" w:lastColumn="0" w:noHBand="0" w:noVBand="1"/>
        <w:tblCaption w:val="Results of the stepped economic analysis: IVIg vs best supportive care"/>
        <w:tblDescription w:val="Results of the stepped economic analysis: IVIg vs best supportive care"/>
      </w:tblPr>
      <w:tblGrid>
        <w:gridCol w:w="4957"/>
        <w:gridCol w:w="1275"/>
        <w:gridCol w:w="1417"/>
        <w:gridCol w:w="1367"/>
      </w:tblGrid>
      <w:tr w:rsidR="00C14B45" w:rsidRPr="00EF530F" w14:paraId="60F1612E" w14:textId="77777777" w:rsidTr="00865238">
        <w:trPr>
          <w:cnfStyle w:val="100000000000" w:firstRow="1" w:lastRow="0" w:firstColumn="0" w:lastColumn="0" w:oddVBand="0" w:evenVBand="0" w:oddHBand="0" w:evenHBand="0" w:firstRowFirstColumn="0" w:firstRowLastColumn="0" w:lastRowFirstColumn="0" w:lastRowLastColumn="0"/>
          <w:cantSplit/>
          <w:trHeight w:val="116"/>
          <w:tblHeader/>
        </w:trPr>
        <w:tc>
          <w:tcPr>
            <w:tcW w:w="2749" w:type="pct"/>
            <w:tcBorders>
              <w:top w:val="single" w:sz="4" w:space="0" w:color="auto"/>
              <w:left w:val="single" w:sz="4" w:space="0" w:color="auto"/>
              <w:bottom w:val="single" w:sz="4" w:space="0" w:color="auto"/>
              <w:right w:val="single" w:sz="4" w:space="0" w:color="auto"/>
            </w:tcBorders>
            <w:noWrap/>
            <w:hideMark/>
          </w:tcPr>
          <w:p w14:paraId="344D90A9" w14:textId="77777777" w:rsidR="00C14B45" w:rsidRPr="00EF530F" w:rsidRDefault="00C14B45" w:rsidP="00865238">
            <w:pPr>
              <w:pStyle w:val="TableHeading"/>
            </w:pPr>
          </w:p>
        </w:tc>
        <w:tc>
          <w:tcPr>
            <w:tcW w:w="707" w:type="pct"/>
            <w:tcBorders>
              <w:top w:val="single" w:sz="4" w:space="0" w:color="auto"/>
              <w:left w:val="single" w:sz="4" w:space="0" w:color="auto"/>
              <w:bottom w:val="single" w:sz="4" w:space="0" w:color="auto"/>
              <w:right w:val="single" w:sz="4" w:space="0" w:color="auto"/>
            </w:tcBorders>
            <w:noWrap/>
            <w:hideMark/>
          </w:tcPr>
          <w:p w14:paraId="1EB372AC" w14:textId="77777777" w:rsidR="00C14B45" w:rsidRPr="00EF530F" w:rsidRDefault="00C14B45" w:rsidP="00865238">
            <w:pPr>
              <w:pStyle w:val="TableHeading"/>
            </w:pPr>
            <w:r w:rsidRPr="00EF530F">
              <w:t>Inc. cost</w:t>
            </w:r>
          </w:p>
        </w:tc>
        <w:tc>
          <w:tcPr>
            <w:tcW w:w="786" w:type="pct"/>
            <w:tcBorders>
              <w:top w:val="single" w:sz="4" w:space="0" w:color="auto"/>
              <w:left w:val="single" w:sz="4" w:space="0" w:color="auto"/>
              <w:bottom w:val="single" w:sz="4" w:space="0" w:color="auto"/>
              <w:right w:val="single" w:sz="4" w:space="0" w:color="auto"/>
            </w:tcBorders>
            <w:noWrap/>
            <w:hideMark/>
          </w:tcPr>
          <w:p w14:paraId="6542EAB4" w14:textId="77777777" w:rsidR="00C14B45" w:rsidRPr="00EF530F" w:rsidRDefault="00C14B45" w:rsidP="00865238">
            <w:pPr>
              <w:pStyle w:val="TableHeading"/>
            </w:pPr>
            <w:r w:rsidRPr="00EF530F">
              <w:t>Inc. QALYs</w:t>
            </w:r>
          </w:p>
        </w:tc>
        <w:tc>
          <w:tcPr>
            <w:tcW w:w="758" w:type="pct"/>
            <w:tcBorders>
              <w:top w:val="single" w:sz="4" w:space="0" w:color="auto"/>
              <w:left w:val="single" w:sz="4" w:space="0" w:color="auto"/>
              <w:bottom w:val="single" w:sz="4" w:space="0" w:color="auto"/>
              <w:right w:val="single" w:sz="4" w:space="0" w:color="auto"/>
            </w:tcBorders>
            <w:noWrap/>
            <w:hideMark/>
          </w:tcPr>
          <w:p w14:paraId="5332DA66" w14:textId="77777777" w:rsidR="00C14B45" w:rsidRPr="00EF530F" w:rsidRDefault="00C14B45" w:rsidP="00865238">
            <w:pPr>
              <w:pStyle w:val="TableHeading"/>
            </w:pPr>
            <w:r w:rsidRPr="00EF530F">
              <w:t>ICER</w:t>
            </w:r>
          </w:p>
        </w:tc>
      </w:tr>
      <w:tr w:rsidR="00607FD2" w:rsidRPr="00EF530F" w14:paraId="7C799694" w14:textId="77777777" w:rsidTr="00544E94">
        <w:trPr>
          <w:cantSplit/>
          <w:trHeight w:val="300"/>
        </w:trPr>
        <w:tc>
          <w:tcPr>
            <w:tcW w:w="2749" w:type="pct"/>
            <w:tcBorders>
              <w:top w:val="single" w:sz="4" w:space="0" w:color="auto"/>
              <w:left w:val="single" w:sz="4" w:space="0" w:color="auto"/>
              <w:bottom w:val="single" w:sz="4" w:space="0" w:color="auto"/>
              <w:right w:val="single" w:sz="4" w:space="0" w:color="auto"/>
            </w:tcBorders>
            <w:noWrap/>
            <w:hideMark/>
          </w:tcPr>
          <w:p w14:paraId="272A11A8" w14:textId="77777777" w:rsidR="00607FD2" w:rsidRPr="00EF530F" w:rsidRDefault="00607FD2" w:rsidP="00607FD2">
            <w:pPr>
              <w:pStyle w:val="Tabletext1"/>
            </w:pPr>
            <w:r w:rsidRPr="00EF530F">
              <w:t>Step 1 – Trial-based analysis.</w:t>
            </w:r>
          </w:p>
          <w:p w14:paraId="13F41BBF" w14:textId="77777777" w:rsidR="00607FD2" w:rsidRPr="00666905" w:rsidRDefault="00607FD2" w:rsidP="00607FD2">
            <w:pPr>
              <w:spacing w:after="40" w:line="240" w:lineRule="auto"/>
              <w:rPr>
                <w:rFonts w:ascii="Arial Narrow" w:eastAsia="Calibri" w:hAnsi="Arial Narrow"/>
                <w:sz w:val="20"/>
                <w:szCs w:val="20"/>
                <w:lang w:eastAsia="en-US"/>
              </w:rPr>
            </w:pPr>
            <w:r w:rsidRPr="00666905">
              <w:rPr>
                <w:rFonts w:ascii="Arial Narrow" w:eastAsia="Calibri" w:hAnsi="Arial Narrow"/>
                <w:sz w:val="20"/>
                <w:szCs w:val="20"/>
                <w:lang w:eastAsia="en-US"/>
              </w:rPr>
              <w:t>IVIg: Baseline loading dose of 2.0 g/kg over 2–4 d</w:t>
            </w:r>
            <w:r>
              <w:rPr>
                <w:rFonts w:ascii="Arial Narrow" w:eastAsia="Calibri" w:hAnsi="Arial Narrow"/>
                <w:sz w:val="20"/>
                <w:szCs w:val="20"/>
                <w:lang w:eastAsia="en-US"/>
              </w:rPr>
              <w:t>,</w:t>
            </w:r>
            <w:r w:rsidRPr="00666905">
              <w:rPr>
                <w:rFonts w:ascii="Arial Narrow" w:eastAsia="Calibri" w:hAnsi="Arial Narrow"/>
                <w:sz w:val="20"/>
                <w:szCs w:val="20"/>
                <w:lang w:eastAsia="en-US"/>
              </w:rPr>
              <w:t xml:space="preserve"> followed by a maintenance infusion of 1 g/kg over 1–2 d every 3 wk for 24 wk.</w:t>
            </w:r>
          </w:p>
          <w:p w14:paraId="16D92D54" w14:textId="75D83F07" w:rsidR="00607FD2" w:rsidRPr="00EF530F" w:rsidRDefault="00607FD2" w:rsidP="00D726F6">
            <w:pPr>
              <w:pStyle w:val="Tabletext1"/>
            </w:pPr>
            <w:r w:rsidRPr="00666905">
              <w:rPr>
                <w:rFonts w:eastAsia="Calibri"/>
                <w:lang w:eastAsia="en-US"/>
              </w:rPr>
              <w:t>Placebo (0.1% albumin)</w:t>
            </w:r>
            <w:r>
              <w:rPr>
                <w:rFonts w:eastAsia="Calibri"/>
                <w:lang w:eastAsia="en-US"/>
              </w:rPr>
              <w:t xml:space="preserve"> </w:t>
            </w:r>
            <w:r w:rsidR="00B727D6">
              <w:rPr>
                <w:rFonts w:eastAsia="Calibri"/>
                <w:lang w:eastAsia="en-US"/>
              </w:rPr>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rPr>
                <w:rFonts w:eastAsia="Calibri"/>
                <w:lang w:eastAsia="en-US"/>
              </w:rPr>
              <w:instrText xml:space="preserve"> ADDIN EN.CITE </w:instrText>
            </w:r>
            <w:r w:rsidR="00B727D6">
              <w:rPr>
                <w:rFonts w:eastAsia="Calibri"/>
                <w:lang w:eastAsia="en-US"/>
              </w:rPr>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rsidR="00B727D6">
              <w:rPr>
                <w:rFonts w:eastAsia="Calibri"/>
                <w:lang w:eastAsia="en-US"/>
              </w:rPr>
              <w:instrText xml:space="preserve"> ADDIN EN.CITE.DATA </w:instrText>
            </w:r>
            <w:r w:rsidR="00B727D6">
              <w:rPr>
                <w:rFonts w:eastAsia="Calibri"/>
                <w:lang w:eastAsia="en-US"/>
              </w:rPr>
            </w:r>
            <w:r w:rsidR="00B727D6">
              <w:rPr>
                <w:rFonts w:eastAsia="Calibri"/>
                <w:lang w:eastAsia="en-US"/>
              </w:rPr>
              <w:fldChar w:fldCharType="end"/>
            </w:r>
            <w:r w:rsidR="00B727D6">
              <w:rPr>
                <w:rFonts w:eastAsia="Calibri"/>
                <w:lang w:eastAsia="en-US"/>
              </w:rPr>
            </w:r>
            <w:r w:rsidR="00B727D6">
              <w:rPr>
                <w:rFonts w:eastAsia="Calibri"/>
                <w:lang w:eastAsia="en-US"/>
              </w:rPr>
              <w:fldChar w:fldCharType="separate"/>
            </w:r>
            <w:r w:rsidR="00B727D6">
              <w:rPr>
                <w:rFonts w:eastAsia="Calibri"/>
                <w:noProof/>
                <w:lang w:eastAsia="en-US"/>
              </w:rPr>
              <w:t>(</w:t>
            </w:r>
            <w:hyperlink w:anchor="_ENREF_28" w:tooltip="Hughes, 2008 #1205" w:history="1">
              <w:r w:rsidR="00D726F6">
                <w:rPr>
                  <w:rFonts w:eastAsia="Calibri"/>
                  <w:noProof/>
                  <w:lang w:eastAsia="en-US"/>
                </w:rPr>
                <w:t>Hughes et al. 2008</w:t>
              </w:r>
            </w:hyperlink>
            <w:r w:rsidR="00B727D6">
              <w:rPr>
                <w:rFonts w:eastAsia="Calibri"/>
                <w:noProof/>
                <w:lang w:eastAsia="en-US"/>
              </w:rPr>
              <w:t>)</w:t>
            </w:r>
            <w:r w:rsidR="00B727D6">
              <w:rPr>
                <w:rFonts w:eastAsia="Calibri"/>
                <w:lang w:eastAsia="en-US"/>
              </w:rPr>
              <w:fldChar w:fldCharType="end"/>
            </w:r>
          </w:p>
        </w:tc>
        <w:tc>
          <w:tcPr>
            <w:tcW w:w="707" w:type="pct"/>
            <w:tcBorders>
              <w:top w:val="single" w:sz="4" w:space="0" w:color="auto"/>
              <w:left w:val="single" w:sz="4" w:space="0" w:color="auto"/>
              <w:bottom w:val="single" w:sz="4" w:space="0" w:color="auto"/>
              <w:right w:val="single" w:sz="4" w:space="0" w:color="auto"/>
            </w:tcBorders>
            <w:noWrap/>
          </w:tcPr>
          <w:p w14:paraId="24ACB92C" w14:textId="77777777" w:rsidR="00607FD2" w:rsidRPr="00EF530F" w:rsidRDefault="00607FD2" w:rsidP="00607FD2">
            <w:pPr>
              <w:pStyle w:val="Tabletext1"/>
              <w:jc w:val="right"/>
            </w:pPr>
            <w:r w:rsidRPr="00A61250">
              <w:t>$</w:t>
            </w:r>
            <w:r>
              <w:t>40,873</w:t>
            </w:r>
          </w:p>
        </w:tc>
        <w:tc>
          <w:tcPr>
            <w:tcW w:w="786" w:type="pct"/>
            <w:tcBorders>
              <w:top w:val="single" w:sz="4" w:space="0" w:color="auto"/>
              <w:left w:val="single" w:sz="4" w:space="0" w:color="auto"/>
              <w:bottom w:val="single" w:sz="4" w:space="0" w:color="auto"/>
              <w:right w:val="single" w:sz="4" w:space="0" w:color="auto"/>
            </w:tcBorders>
            <w:noWrap/>
          </w:tcPr>
          <w:p w14:paraId="114895AB" w14:textId="3C5FF482" w:rsidR="00607FD2" w:rsidRPr="00EF530F" w:rsidRDefault="00607FD2" w:rsidP="00607FD2">
            <w:pPr>
              <w:pStyle w:val="Tabletext1"/>
              <w:jc w:val="right"/>
            </w:pPr>
            <w:r w:rsidRPr="007469FD">
              <w:t>0.1266</w:t>
            </w:r>
          </w:p>
        </w:tc>
        <w:tc>
          <w:tcPr>
            <w:tcW w:w="758" w:type="pct"/>
            <w:tcBorders>
              <w:top w:val="single" w:sz="4" w:space="0" w:color="auto"/>
              <w:left w:val="single" w:sz="4" w:space="0" w:color="auto"/>
              <w:bottom w:val="single" w:sz="4" w:space="0" w:color="auto"/>
              <w:right w:val="single" w:sz="4" w:space="0" w:color="auto"/>
            </w:tcBorders>
            <w:noWrap/>
          </w:tcPr>
          <w:p w14:paraId="28A27BF1" w14:textId="226FB3EE" w:rsidR="00607FD2" w:rsidRPr="00EF530F" w:rsidRDefault="00607FD2" w:rsidP="00607FD2">
            <w:pPr>
              <w:pStyle w:val="Tabletext1"/>
              <w:jc w:val="right"/>
            </w:pPr>
            <w:r w:rsidRPr="007469FD">
              <w:t>$322,801</w:t>
            </w:r>
          </w:p>
        </w:tc>
      </w:tr>
      <w:tr w:rsidR="00607FD2" w:rsidRPr="00EF530F" w14:paraId="6162DEA9" w14:textId="77777777" w:rsidTr="00865238">
        <w:trPr>
          <w:cantSplit/>
          <w:trHeight w:val="300"/>
        </w:trPr>
        <w:tc>
          <w:tcPr>
            <w:tcW w:w="2749" w:type="pct"/>
            <w:tcBorders>
              <w:top w:val="single" w:sz="4" w:space="0" w:color="auto"/>
              <w:left w:val="single" w:sz="4" w:space="0" w:color="auto"/>
              <w:bottom w:val="single" w:sz="4" w:space="0" w:color="auto"/>
              <w:right w:val="single" w:sz="4" w:space="0" w:color="auto"/>
            </w:tcBorders>
            <w:noWrap/>
            <w:hideMark/>
          </w:tcPr>
          <w:p w14:paraId="5F929749" w14:textId="77777777" w:rsidR="00607FD2" w:rsidRPr="00EF530F" w:rsidRDefault="00607FD2" w:rsidP="00607FD2">
            <w:pPr>
              <w:pStyle w:val="Tabletext1"/>
            </w:pPr>
            <w:r w:rsidRPr="00EF530F">
              <w:t xml:space="preserve">Step </w:t>
            </w:r>
            <w:r>
              <w:t>2</w:t>
            </w:r>
            <w:r w:rsidRPr="00EF530F">
              <w:t xml:space="preserve"> – Modelled economic evaluation</w:t>
            </w:r>
          </w:p>
          <w:p w14:paraId="15C2BE8A" w14:textId="05890D28" w:rsidR="00607FD2" w:rsidRPr="00EF530F" w:rsidRDefault="00607FD2" w:rsidP="001236DF">
            <w:pPr>
              <w:pStyle w:val="Tabletext1"/>
            </w:pPr>
            <w:r w:rsidRPr="00EF530F">
              <w:t xml:space="preserve">Applies the dose and frequency based on the Criteria version 3 </w:t>
            </w:r>
            <w:r>
              <w:t xml:space="preserve">for Ig and no treatment for placebo, </w:t>
            </w:r>
            <w:r w:rsidRPr="00EF530F">
              <w:t>the best estimates of transitions for remission, relapse and adverse events as described in section C.3.</w:t>
            </w:r>
            <w:r w:rsidR="001236DF">
              <w:t xml:space="preserve">2 </w:t>
            </w:r>
            <w:r>
              <w:t>and</w:t>
            </w:r>
            <w:r w:rsidR="001236DF">
              <w:t xml:space="preserve"> </w:t>
            </w:r>
            <w:r w:rsidR="001236DF">
              <w:fldChar w:fldCharType="begin"/>
            </w:r>
            <w:r w:rsidR="001236DF">
              <w:instrText xml:space="preserve"> REF _Ref65856839 \h </w:instrText>
            </w:r>
            <w:r w:rsidR="001236DF">
              <w:fldChar w:fldCharType="separate"/>
            </w:r>
            <w:r w:rsidR="004B3EA2" w:rsidRPr="001977C9">
              <w:t xml:space="preserve">Table </w:t>
            </w:r>
            <w:r w:rsidR="004B3EA2">
              <w:rPr>
                <w:noProof/>
              </w:rPr>
              <w:t>31</w:t>
            </w:r>
            <w:r w:rsidR="001236DF">
              <w:fldChar w:fldCharType="end"/>
            </w:r>
            <w:r w:rsidRPr="00EF530F">
              <w:t>, with the model time horizon of 10 years.</w:t>
            </w:r>
          </w:p>
        </w:tc>
        <w:tc>
          <w:tcPr>
            <w:tcW w:w="707" w:type="pct"/>
            <w:tcBorders>
              <w:top w:val="single" w:sz="4" w:space="0" w:color="auto"/>
              <w:left w:val="single" w:sz="4" w:space="0" w:color="auto"/>
              <w:bottom w:val="single" w:sz="4" w:space="0" w:color="auto"/>
              <w:right w:val="single" w:sz="4" w:space="0" w:color="auto"/>
            </w:tcBorders>
            <w:noWrap/>
          </w:tcPr>
          <w:p w14:paraId="6B1460A3" w14:textId="77777777" w:rsidR="00607FD2" w:rsidRPr="00EF530F" w:rsidRDefault="00607FD2" w:rsidP="00607FD2">
            <w:pPr>
              <w:pStyle w:val="Tabletext1"/>
              <w:jc w:val="right"/>
            </w:pPr>
            <w:r w:rsidRPr="00A61250">
              <w:t>$159,573</w:t>
            </w:r>
          </w:p>
        </w:tc>
        <w:tc>
          <w:tcPr>
            <w:tcW w:w="786" w:type="pct"/>
            <w:tcBorders>
              <w:top w:val="single" w:sz="4" w:space="0" w:color="auto"/>
              <w:left w:val="single" w:sz="4" w:space="0" w:color="auto"/>
              <w:bottom w:val="single" w:sz="4" w:space="0" w:color="auto"/>
              <w:right w:val="single" w:sz="4" w:space="0" w:color="auto"/>
            </w:tcBorders>
            <w:noWrap/>
          </w:tcPr>
          <w:p w14:paraId="07CC4960" w14:textId="3C648392" w:rsidR="00607FD2" w:rsidRPr="00EF530F" w:rsidRDefault="00607FD2" w:rsidP="00607FD2">
            <w:pPr>
              <w:pStyle w:val="Tabletext1"/>
              <w:jc w:val="right"/>
            </w:pPr>
            <w:r w:rsidRPr="007469FD">
              <w:t>1.7162</w:t>
            </w:r>
          </w:p>
        </w:tc>
        <w:tc>
          <w:tcPr>
            <w:tcW w:w="758" w:type="pct"/>
            <w:tcBorders>
              <w:top w:val="single" w:sz="4" w:space="0" w:color="auto"/>
              <w:left w:val="single" w:sz="4" w:space="0" w:color="auto"/>
              <w:bottom w:val="single" w:sz="4" w:space="0" w:color="auto"/>
              <w:right w:val="single" w:sz="4" w:space="0" w:color="auto"/>
            </w:tcBorders>
            <w:noWrap/>
          </w:tcPr>
          <w:p w14:paraId="43279A9A" w14:textId="77977E1C" w:rsidR="00607FD2" w:rsidRPr="00EF530F" w:rsidRDefault="00607FD2" w:rsidP="00607FD2">
            <w:pPr>
              <w:pStyle w:val="Tabletext1"/>
              <w:jc w:val="right"/>
            </w:pPr>
            <w:r w:rsidRPr="007469FD">
              <w:t>$92,983</w:t>
            </w:r>
          </w:p>
        </w:tc>
      </w:tr>
    </w:tbl>
    <w:p w14:paraId="2904D5A2" w14:textId="77777777" w:rsidR="00C14B45" w:rsidRDefault="00C14B45" w:rsidP="00C14B45">
      <w:pPr>
        <w:spacing w:after="200" w:line="240" w:lineRule="auto"/>
        <w:ind w:left="57" w:right="57"/>
        <w:contextualSpacing/>
        <w:rPr>
          <w:rFonts w:ascii="Arial Narrow" w:eastAsia="Calibri" w:hAnsi="Arial Narrow" w:cs="Times New Roman"/>
          <w:sz w:val="18"/>
          <w:szCs w:val="18"/>
          <w:lang w:eastAsia="en-US"/>
        </w:rPr>
      </w:pPr>
      <w:r w:rsidRPr="00EF530F">
        <w:rPr>
          <w:rFonts w:ascii="Arial Narrow" w:eastAsia="Calibri" w:hAnsi="Arial Narrow" w:cs="Times New Roman"/>
          <w:sz w:val="18"/>
          <w:szCs w:val="18"/>
          <w:lang w:eastAsia="en-US"/>
        </w:rPr>
        <w:t xml:space="preserve">ICER = incremental cost-effectiveness ratio; Ig = immunoglobulin; Inc = Incremental; </w:t>
      </w:r>
      <w:r>
        <w:rPr>
          <w:rFonts w:ascii="Arial Narrow" w:eastAsia="Calibri" w:hAnsi="Arial Narrow" w:cs="Times New Roman"/>
          <w:sz w:val="18"/>
          <w:szCs w:val="18"/>
          <w:lang w:eastAsia="en-US"/>
        </w:rPr>
        <w:t xml:space="preserve">PE = plasma exchange; </w:t>
      </w:r>
      <w:r w:rsidRPr="00EF530F">
        <w:rPr>
          <w:rFonts w:ascii="Arial Narrow" w:eastAsia="Calibri" w:hAnsi="Arial Narrow" w:cs="Times New Roman"/>
          <w:sz w:val="18"/>
          <w:szCs w:val="18"/>
          <w:lang w:eastAsia="en-US"/>
        </w:rPr>
        <w:t>QALY = quality-adjusted life years.</w:t>
      </w:r>
    </w:p>
    <w:p w14:paraId="39847255" w14:textId="3487BA73" w:rsidR="00544E94" w:rsidRDefault="00544E94" w:rsidP="00544E94">
      <w:pPr>
        <w:pStyle w:val="BodyTextSTD"/>
      </w:pPr>
      <w:r w:rsidRPr="00EF530F">
        <w:t>In Step 1 of the analysis</w:t>
      </w:r>
      <w:r w:rsidR="00AC03A9">
        <w:t>,</w:t>
      </w:r>
      <w:r w:rsidRPr="00EF530F">
        <w:t xml:space="preserve"> the ICER of Ig is $</w:t>
      </w:r>
      <w:r w:rsidR="00C47F5F">
        <w:t>322,801</w:t>
      </w:r>
      <w:r w:rsidRPr="00EF530F">
        <w:t xml:space="preserve"> due to the higher </w:t>
      </w:r>
      <w:r>
        <w:t xml:space="preserve">and more frequent doses of Ig used compared with that in the modelled base-case. </w:t>
      </w:r>
      <w:r w:rsidR="007F106F">
        <w:t>I</w:t>
      </w:r>
      <w:r w:rsidR="007F106F" w:rsidRPr="00EF530F">
        <w:t xml:space="preserve">mprovements in the ICER are observed when the treatment doses used are based on clinical practice (the Criteria </w:t>
      </w:r>
      <w:r w:rsidR="00AC03A9">
        <w:t xml:space="preserve">V3 </w:t>
      </w:r>
      <w:r w:rsidR="007F106F" w:rsidRPr="00EF530F">
        <w:t>for Ig) and the best estimates of baseline adverse event rates and treatment effect are included in the modelling</w:t>
      </w:r>
      <w:r w:rsidR="007F106F">
        <w:t xml:space="preserve"> (step 2, the exploratory modelled base-case analysis</w:t>
      </w:r>
      <w:r w:rsidR="007F106F" w:rsidRPr="00EF530F">
        <w:t>.</w:t>
      </w:r>
    </w:p>
    <w:p w14:paraId="2922EF7C" w14:textId="77777777" w:rsidR="00865238" w:rsidRPr="00EF530F" w:rsidRDefault="00865238" w:rsidP="00865238">
      <w:pPr>
        <w:pStyle w:val="Heading4"/>
      </w:pPr>
      <w:r w:rsidRPr="00EF530F">
        <w:t>D.5</w:t>
      </w:r>
      <w:r>
        <w:t>C</w:t>
      </w:r>
      <w:r w:rsidRPr="00EF530F">
        <w:t>.2</w:t>
      </w:r>
      <w:r>
        <w:t>.</w:t>
      </w:r>
      <w:r w:rsidRPr="00EF530F">
        <w:rPr>
          <w:sz w:val="24"/>
        </w:rPr>
        <w:tab/>
      </w:r>
      <w:r w:rsidRPr="00EF530F">
        <w:t>Modelled base case analysis</w:t>
      </w:r>
    </w:p>
    <w:p w14:paraId="3C4A4243" w14:textId="77777777" w:rsidR="00865238" w:rsidRPr="00EF530F" w:rsidRDefault="00865238" w:rsidP="00865238">
      <w:pPr>
        <w:pStyle w:val="Heading5"/>
      </w:pPr>
      <w:r w:rsidRPr="00EF530F">
        <w:t>Disaggregated costs and outcomes</w:t>
      </w:r>
    </w:p>
    <w:p w14:paraId="07DCD27E" w14:textId="02A75B26" w:rsidR="00865238" w:rsidRPr="00EF530F" w:rsidRDefault="00865238" w:rsidP="00865238">
      <w:pPr>
        <w:pStyle w:val="BodyTextSTD"/>
      </w:pPr>
      <w:r w:rsidRPr="00EF530F">
        <w:t xml:space="preserve">The costs and outcomes disaggregated for the base case analysis are presented in </w:t>
      </w:r>
      <w:r>
        <w:fldChar w:fldCharType="begin"/>
      </w:r>
      <w:r>
        <w:instrText xml:space="preserve"> REF _Ref66479455 \h </w:instrText>
      </w:r>
      <w:r>
        <w:fldChar w:fldCharType="separate"/>
      </w:r>
      <w:r w:rsidR="004B3EA2" w:rsidRPr="00EF530F">
        <w:t xml:space="preserve">Table </w:t>
      </w:r>
      <w:r w:rsidR="004B3EA2">
        <w:rPr>
          <w:noProof/>
        </w:rPr>
        <w:t>57</w:t>
      </w:r>
      <w:r>
        <w:fldChar w:fldCharType="end"/>
      </w:r>
      <w:r>
        <w:t xml:space="preserve"> </w:t>
      </w:r>
      <w:r w:rsidRPr="00EF530F">
        <w:t>and</w:t>
      </w:r>
      <w:r>
        <w:t xml:space="preserve"> </w:t>
      </w:r>
      <w:r>
        <w:fldChar w:fldCharType="begin"/>
      </w:r>
      <w:r>
        <w:instrText xml:space="preserve"> REF _Ref66479463 \h </w:instrText>
      </w:r>
      <w:r>
        <w:fldChar w:fldCharType="separate"/>
      </w:r>
      <w:r w:rsidR="004B3EA2" w:rsidRPr="00EF530F">
        <w:t xml:space="preserve">Table </w:t>
      </w:r>
      <w:r w:rsidR="004B3EA2">
        <w:rPr>
          <w:noProof/>
        </w:rPr>
        <w:t>58</w:t>
      </w:r>
      <w:r>
        <w:fldChar w:fldCharType="end"/>
      </w:r>
      <w:r w:rsidRPr="00EF530F">
        <w:t xml:space="preserve">. </w:t>
      </w:r>
    </w:p>
    <w:p w14:paraId="3D83F08F" w14:textId="332A552F" w:rsidR="00865238" w:rsidRPr="00EF530F" w:rsidRDefault="00865238" w:rsidP="00865238">
      <w:pPr>
        <w:pStyle w:val="Caption"/>
      </w:pPr>
      <w:bookmarkStart w:id="380" w:name="_Ref66479455"/>
      <w:bookmarkStart w:id="381" w:name="_Toc69305698"/>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57</w:t>
      </w:r>
      <w:r w:rsidRPr="00EF530F">
        <w:fldChar w:fldCharType="end"/>
      </w:r>
      <w:bookmarkEnd w:id="380"/>
      <w:r w:rsidRPr="00EF530F">
        <w:tab/>
        <w:t>Disaggregated costs</w:t>
      </w:r>
      <w:r w:rsidR="00A00511">
        <w:t>, Ig vs best supportive care</w:t>
      </w:r>
      <w:bookmarkEnd w:id="381"/>
    </w:p>
    <w:tbl>
      <w:tblPr>
        <w:tblStyle w:val="TableGrid11"/>
        <w:tblW w:w="5000" w:type="pct"/>
        <w:tblInd w:w="0" w:type="dxa"/>
        <w:tblLook w:val="04A0" w:firstRow="1" w:lastRow="0" w:firstColumn="1" w:lastColumn="0" w:noHBand="0" w:noVBand="1"/>
        <w:tblCaption w:val="Disaggregated costs"/>
        <w:tblDescription w:val="Disaggregated costs"/>
      </w:tblPr>
      <w:tblGrid>
        <w:gridCol w:w="4074"/>
        <w:gridCol w:w="1648"/>
        <w:gridCol w:w="1648"/>
        <w:gridCol w:w="1646"/>
      </w:tblGrid>
      <w:tr w:rsidR="00865238" w:rsidRPr="00EF530F" w14:paraId="7A2B02A4" w14:textId="77777777" w:rsidTr="00865238">
        <w:trPr>
          <w:cnfStyle w:val="100000000000" w:firstRow="1" w:lastRow="0" w:firstColumn="0" w:lastColumn="0" w:oddVBand="0" w:evenVBand="0" w:oddHBand="0" w:evenHBand="0" w:firstRowFirstColumn="0" w:firstRowLastColumn="0" w:lastRowFirstColumn="0" w:lastRowLastColumn="0"/>
          <w:cantSplit/>
          <w:trHeight w:val="300"/>
          <w:tblHeader/>
        </w:trPr>
        <w:tc>
          <w:tcPr>
            <w:tcW w:w="2259" w:type="pct"/>
            <w:tcBorders>
              <w:top w:val="single" w:sz="4" w:space="0" w:color="auto"/>
              <w:left w:val="single" w:sz="4" w:space="0" w:color="auto"/>
              <w:bottom w:val="single" w:sz="4" w:space="0" w:color="auto"/>
              <w:right w:val="single" w:sz="4" w:space="0" w:color="auto"/>
            </w:tcBorders>
            <w:noWrap/>
            <w:hideMark/>
          </w:tcPr>
          <w:p w14:paraId="09B06E0D" w14:textId="77777777" w:rsidR="00865238" w:rsidRPr="00EF530F" w:rsidRDefault="00865238" w:rsidP="00865238">
            <w:pPr>
              <w:pStyle w:val="TableHeading"/>
            </w:pPr>
          </w:p>
        </w:tc>
        <w:tc>
          <w:tcPr>
            <w:tcW w:w="914" w:type="pct"/>
            <w:tcBorders>
              <w:top w:val="single" w:sz="4" w:space="0" w:color="auto"/>
              <w:left w:val="single" w:sz="4" w:space="0" w:color="auto"/>
              <w:bottom w:val="single" w:sz="4" w:space="0" w:color="auto"/>
              <w:right w:val="single" w:sz="4" w:space="0" w:color="auto"/>
            </w:tcBorders>
            <w:noWrap/>
            <w:hideMark/>
          </w:tcPr>
          <w:p w14:paraId="507AA2DE" w14:textId="77777777" w:rsidR="00865238" w:rsidRPr="00EF530F" w:rsidRDefault="00865238" w:rsidP="00865238">
            <w:pPr>
              <w:pStyle w:val="TableHeading"/>
            </w:pPr>
            <w:r w:rsidRPr="00EF530F">
              <w:t>Ig</w:t>
            </w:r>
          </w:p>
        </w:tc>
        <w:tc>
          <w:tcPr>
            <w:tcW w:w="914" w:type="pct"/>
            <w:tcBorders>
              <w:top w:val="single" w:sz="4" w:space="0" w:color="auto"/>
              <w:left w:val="single" w:sz="4" w:space="0" w:color="auto"/>
              <w:bottom w:val="single" w:sz="4" w:space="0" w:color="auto"/>
              <w:right w:val="single" w:sz="4" w:space="0" w:color="auto"/>
            </w:tcBorders>
            <w:noWrap/>
            <w:hideMark/>
          </w:tcPr>
          <w:p w14:paraId="0BC6F6B1" w14:textId="77777777" w:rsidR="00865238" w:rsidRPr="00EF530F" w:rsidRDefault="00865238" w:rsidP="00865238">
            <w:pPr>
              <w:pStyle w:val="TableHeading"/>
            </w:pPr>
            <w:r>
              <w:t>Placebo</w:t>
            </w:r>
          </w:p>
        </w:tc>
        <w:tc>
          <w:tcPr>
            <w:tcW w:w="913" w:type="pct"/>
            <w:tcBorders>
              <w:top w:val="single" w:sz="4" w:space="0" w:color="auto"/>
              <w:left w:val="single" w:sz="4" w:space="0" w:color="auto"/>
              <w:bottom w:val="single" w:sz="4" w:space="0" w:color="auto"/>
              <w:right w:val="single" w:sz="4" w:space="0" w:color="auto"/>
            </w:tcBorders>
            <w:noWrap/>
            <w:hideMark/>
          </w:tcPr>
          <w:p w14:paraId="6AF2A82F" w14:textId="77777777" w:rsidR="00865238" w:rsidRPr="00EF530F" w:rsidRDefault="00865238" w:rsidP="00865238">
            <w:pPr>
              <w:pStyle w:val="TableHeading"/>
            </w:pPr>
            <w:r w:rsidRPr="00EF530F">
              <w:t>Increment</w:t>
            </w:r>
          </w:p>
        </w:tc>
      </w:tr>
      <w:tr w:rsidR="00865238" w:rsidRPr="00EF530F" w14:paraId="7BE61413" w14:textId="77777777" w:rsidTr="00865238">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5F113940" w14:textId="77777777" w:rsidR="00865238" w:rsidRPr="00EF530F" w:rsidRDefault="00865238" w:rsidP="00865238">
            <w:pPr>
              <w:pStyle w:val="Tabletext1"/>
            </w:pPr>
            <w:r w:rsidRPr="00EF530F">
              <w:t>Drug costs</w:t>
            </w:r>
          </w:p>
        </w:tc>
        <w:tc>
          <w:tcPr>
            <w:tcW w:w="914" w:type="pct"/>
            <w:tcBorders>
              <w:top w:val="single" w:sz="4" w:space="0" w:color="auto"/>
              <w:left w:val="single" w:sz="4" w:space="0" w:color="auto"/>
              <w:bottom w:val="single" w:sz="4" w:space="0" w:color="auto"/>
              <w:right w:val="single" w:sz="4" w:space="0" w:color="auto"/>
            </w:tcBorders>
            <w:noWrap/>
            <w:hideMark/>
          </w:tcPr>
          <w:p w14:paraId="32CE26D7" w14:textId="77777777" w:rsidR="00865238" w:rsidRPr="00EF530F" w:rsidRDefault="00865238" w:rsidP="00865238">
            <w:pPr>
              <w:pStyle w:val="Tabletext1"/>
              <w:jc w:val="right"/>
            </w:pPr>
            <w:r w:rsidRPr="00867705">
              <w:t>$131,280</w:t>
            </w:r>
          </w:p>
        </w:tc>
        <w:tc>
          <w:tcPr>
            <w:tcW w:w="914" w:type="pct"/>
            <w:tcBorders>
              <w:top w:val="single" w:sz="4" w:space="0" w:color="auto"/>
              <w:left w:val="single" w:sz="4" w:space="0" w:color="auto"/>
              <w:bottom w:val="single" w:sz="4" w:space="0" w:color="auto"/>
              <w:right w:val="single" w:sz="4" w:space="0" w:color="auto"/>
            </w:tcBorders>
            <w:noWrap/>
            <w:hideMark/>
          </w:tcPr>
          <w:p w14:paraId="29B4D0BC" w14:textId="77777777" w:rsidR="00865238" w:rsidRPr="00EF530F" w:rsidRDefault="00865238" w:rsidP="00865238">
            <w:pPr>
              <w:pStyle w:val="Tabletext1"/>
              <w:jc w:val="right"/>
            </w:pPr>
            <w:r w:rsidRPr="00867705">
              <w:t>$0</w:t>
            </w:r>
          </w:p>
        </w:tc>
        <w:tc>
          <w:tcPr>
            <w:tcW w:w="913" w:type="pct"/>
            <w:tcBorders>
              <w:top w:val="single" w:sz="4" w:space="0" w:color="auto"/>
              <w:left w:val="single" w:sz="4" w:space="0" w:color="auto"/>
              <w:bottom w:val="single" w:sz="4" w:space="0" w:color="auto"/>
              <w:right w:val="single" w:sz="4" w:space="0" w:color="auto"/>
            </w:tcBorders>
            <w:noWrap/>
            <w:hideMark/>
          </w:tcPr>
          <w:p w14:paraId="18B892D7" w14:textId="77777777" w:rsidR="00865238" w:rsidRPr="00EF530F" w:rsidRDefault="00865238" w:rsidP="00865238">
            <w:pPr>
              <w:pStyle w:val="Tabletext1"/>
              <w:jc w:val="right"/>
            </w:pPr>
            <w:r w:rsidRPr="00867705">
              <w:t>$131,280</w:t>
            </w:r>
          </w:p>
        </w:tc>
      </w:tr>
      <w:tr w:rsidR="00AC03A9" w:rsidRPr="00EF530F" w14:paraId="4FC06B12" w14:textId="77777777" w:rsidTr="00AC03A9">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449D122A" w14:textId="77777777" w:rsidR="00AC03A9" w:rsidRPr="00EF530F" w:rsidRDefault="00AC03A9" w:rsidP="00AC03A9">
            <w:pPr>
              <w:pStyle w:val="Tabletext1"/>
            </w:pPr>
            <w:r w:rsidRPr="00EF530F">
              <w:t>Monitoring costs</w:t>
            </w:r>
          </w:p>
        </w:tc>
        <w:tc>
          <w:tcPr>
            <w:tcW w:w="914" w:type="pct"/>
            <w:tcBorders>
              <w:top w:val="single" w:sz="4" w:space="0" w:color="auto"/>
              <w:left w:val="single" w:sz="4" w:space="0" w:color="auto"/>
              <w:bottom w:val="single" w:sz="4" w:space="0" w:color="auto"/>
              <w:right w:val="single" w:sz="4" w:space="0" w:color="auto"/>
            </w:tcBorders>
            <w:noWrap/>
            <w:hideMark/>
          </w:tcPr>
          <w:p w14:paraId="58CEB970" w14:textId="77777777" w:rsidR="00AC03A9" w:rsidRPr="00EF530F" w:rsidRDefault="00AC03A9" w:rsidP="007B7827">
            <w:pPr>
              <w:pStyle w:val="Tabletext1"/>
              <w:jc w:val="right"/>
            </w:pPr>
            <w:r w:rsidRPr="00867705">
              <w:t>$4,</w:t>
            </w:r>
            <w:r w:rsidR="007B7827">
              <w:t>454</w:t>
            </w:r>
          </w:p>
        </w:tc>
        <w:tc>
          <w:tcPr>
            <w:tcW w:w="914" w:type="pct"/>
            <w:tcBorders>
              <w:top w:val="single" w:sz="4" w:space="0" w:color="auto"/>
              <w:left w:val="single" w:sz="4" w:space="0" w:color="auto"/>
              <w:bottom w:val="single" w:sz="4" w:space="0" w:color="auto"/>
              <w:right w:val="single" w:sz="4" w:space="0" w:color="auto"/>
            </w:tcBorders>
            <w:noWrap/>
          </w:tcPr>
          <w:p w14:paraId="0DACD1E9" w14:textId="77777777" w:rsidR="00AC03A9" w:rsidRPr="00EF530F" w:rsidRDefault="00AC03A9" w:rsidP="007B7827">
            <w:pPr>
              <w:pStyle w:val="Tabletext1"/>
              <w:jc w:val="right"/>
            </w:pPr>
            <w:r w:rsidRPr="002061F0">
              <w:t>$4,</w:t>
            </w:r>
            <w:r w:rsidR="007B7827">
              <w:t>454</w:t>
            </w:r>
          </w:p>
        </w:tc>
        <w:tc>
          <w:tcPr>
            <w:tcW w:w="913" w:type="pct"/>
            <w:tcBorders>
              <w:top w:val="single" w:sz="4" w:space="0" w:color="auto"/>
              <w:left w:val="single" w:sz="4" w:space="0" w:color="auto"/>
              <w:bottom w:val="single" w:sz="4" w:space="0" w:color="auto"/>
              <w:right w:val="single" w:sz="4" w:space="0" w:color="auto"/>
            </w:tcBorders>
            <w:noWrap/>
          </w:tcPr>
          <w:p w14:paraId="39FD916A" w14:textId="77777777" w:rsidR="00AC03A9" w:rsidRPr="00EF530F" w:rsidRDefault="00AC03A9" w:rsidP="00AC03A9">
            <w:pPr>
              <w:pStyle w:val="Tabletext1"/>
              <w:jc w:val="right"/>
            </w:pPr>
            <w:r w:rsidRPr="002061F0">
              <w:t>$0</w:t>
            </w:r>
          </w:p>
        </w:tc>
      </w:tr>
      <w:tr w:rsidR="00AC03A9" w:rsidRPr="00EF530F" w14:paraId="3488DB40" w14:textId="77777777" w:rsidTr="00AC03A9">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23D86A08" w14:textId="77777777" w:rsidR="00AC03A9" w:rsidRPr="00EF530F" w:rsidRDefault="00AC03A9" w:rsidP="00AC03A9">
            <w:pPr>
              <w:pStyle w:val="Tabletext1"/>
            </w:pPr>
            <w:r w:rsidRPr="00EF530F">
              <w:t>Administration costs</w:t>
            </w:r>
          </w:p>
        </w:tc>
        <w:tc>
          <w:tcPr>
            <w:tcW w:w="914" w:type="pct"/>
            <w:tcBorders>
              <w:top w:val="single" w:sz="4" w:space="0" w:color="auto"/>
              <w:left w:val="single" w:sz="4" w:space="0" w:color="auto"/>
              <w:bottom w:val="single" w:sz="4" w:space="0" w:color="auto"/>
              <w:right w:val="single" w:sz="4" w:space="0" w:color="auto"/>
            </w:tcBorders>
            <w:noWrap/>
            <w:hideMark/>
          </w:tcPr>
          <w:p w14:paraId="40687C3D" w14:textId="77777777" w:rsidR="00AC03A9" w:rsidRPr="00EF530F" w:rsidRDefault="00AC03A9" w:rsidP="00AC03A9">
            <w:pPr>
              <w:pStyle w:val="Tabletext1"/>
              <w:jc w:val="right"/>
            </w:pPr>
            <w:r w:rsidRPr="00867705">
              <w:t>$28,293</w:t>
            </w:r>
          </w:p>
        </w:tc>
        <w:tc>
          <w:tcPr>
            <w:tcW w:w="914" w:type="pct"/>
            <w:tcBorders>
              <w:top w:val="single" w:sz="4" w:space="0" w:color="auto"/>
              <w:left w:val="single" w:sz="4" w:space="0" w:color="auto"/>
              <w:bottom w:val="single" w:sz="4" w:space="0" w:color="auto"/>
              <w:right w:val="single" w:sz="4" w:space="0" w:color="auto"/>
            </w:tcBorders>
            <w:noWrap/>
          </w:tcPr>
          <w:p w14:paraId="03730702" w14:textId="77777777" w:rsidR="00AC03A9" w:rsidRPr="00EF530F" w:rsidRDefault="00AC03A9" w:rsidP="00AC03A9">
            <w:pPr>
              <w:pStyle w:val="Tabletext1"/>
              <w:jc w:val="right"/>
            </w:pPr>
            <w:r w:rsidRPr="002061F0">
              <w:t>$0</w:t>
            </w:r>
          </w:p>
        </w:tc>
        <w:tc>
          <w:tcPr>
            <w:tcW w:w="913" w:type="pct"/>
            <w:tcBorders>
              <w:top w:val="single" w:sz="4" w:space="0" w:color="auto"/>
              <w:left w:val="single" w:sz="4" w:space="0" w:color="auto"/>
              <w:bottom w:val="single" w:sz="4" w:space="0" w:color="auto"/>
              <w:right w:val="single" w:sz="4" w:space="0" w:color="auto"/>
            </w:tcBorders>
            <w:noWrap/>
          </w:tcPr>
          <w:p w14:paraId="6EE078D8" w14:textId="77777777" w:rsidR="00AC03A9" w:rsidRPr="00EF530F" w:rsidRDefault="00AC03A9" w:rsidP="00AC03A9">
            <w:pPr>
              <w:pStyle w:val="Tabletext1"/>
              <w:jc w:val="right"/>
            </w:pPr>
            <w:r w:rsidRPr="002061F0">
              <w:t>$28,293</w:t>
            </w:r>
          </w:p>
        </w:tc>
      </w:tr>
      <w:tr w:rsidR="00AC03A9" w:rsidRPr="001F2C96" w14:paraId="70615DE1" w14:textId="77777777" w:rsidTr="00AC03A9">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014FE592" w14:textId="77777777" w:rsidR="00AC03A9" w:rsidRPr="001F2C96" w:rsidRDefault="00AC03A9" w:rsidP="00AC03A9">
            <w:pPr>
              <w:pStyle w:val="Tabletext1"/>
              <w:rPr>
                <w:b/>
              </w:rPr>
            </w:pPr>
            <w:r w:rsidRPr="001F2C96">
              <w:rPr>
                <w:b/>
              </w:rPr>
              <w:t>Total costs</w:t>
            </w:r>
          </w:p>
        </w:tc>
        <w:tc>
          <w:tcPr>
            <w:tcW w:w="914" w:type="pct"/>
            <w:tcBorders>
              <w:top w:val="single" w:sz="4" w:space="0" w:color="auto"/>
              <w:left w:val="single" w:sz="4" w:space="0" w:color="auto"/>
              <w:bottom w:val="single" w:sz="4" w:space="0" w:color="auto"/>
              <w:right w:val="single" w:sz="4" w:space="0" w:color="auto"/>
            </w:tcBorders>
            <w:noWrap/>
            <w:hideMark/>
          </w:tcPr>
          <w:p w14:paraId="7126B1CE" w14:textId="77777777" w:rsidR="00AC03A9" w:rsidRPr="00865238" w:rsidRDefault="007B7827" w:rsidP="007B7827">
            <w:pPr>
              <w:pStyle w:val="Tabletext1"/>
              <w:jc w:val="right"/>
              <w:rPr>
                <w:b/>
              </w:rPr>
            </w:pPr>
            <w:r>
              <w:rPr>
                <w:b/>
              </w:rPr>
              <w:t>$164,027</w:t>
            </w:r>
          </w:p>
        </w:tc>
        <w:tc>
          <w:tcPr>
            <w:tcW w:w="914" w:type="pct"/>
            <w:tcBorders>
              <w:top w:val="single" w:sz="4" w:space="0" w:color="auto"/>
              <w:left w:val="single" w:sz="4" w:space="0" w:color="auto"/>
              <w:bottom w:val="single" w:sz="4" w:space="0" w:color="auto"/>
              <w:right w:val="single" w:sz="4" w:space="0" w:color="auto"/>
            </w:tcBorders>
            <w:noWrap/>
          </w:tcPr>
          <w:p w14:paraId="74802CA3" w14:textId="77777777" w:rsidR="00AC03A9" w:rsidRPr="00865238" w:rsidRDefault="00AC03A9" w:rsidP="007B7827">
            <w:pPr>
              <w:pStyle w:val="Tabletext1"/>
              <w:jc w:val="right"/>
              <w:rPr>
                <w:b/>
              </w:rPr>
            </w:pPr>
            <w:r w:rsidRPr="00A417EA">
              <w:rPr>
                <w:b/>
              </w:rPr>
              <w:t>$4,</w:t>
            </w:r>
            <w:r w:rsidR="007B7827">
              <w:rPr>
                <w:b/>
              </w:rPr>
              <w:t>454</w:t>
            </w:r>
          </w:p>
        </w:tc>
        <w:tc>
          <w:tcPr>
            <w:tcW w:w="913" w:type="pct"/>
            <w:tcBorders>
              <w:top w:val="single" w:sz="4" w:space="0" w:color="auto"/>
              <w:left w:val="single" w:sz="4" w:space="0" w:color="auto"/>
              <w:bottom w:val="single" w:sz="4" w:space="0" w:color="auto"/>
              <w:right w:val="single" w:sz="4" w:space="0" w:color="auto"/>
            </w:tcBorders>
            <w:noWrap/>
          </w:tcPr>
          <w:p w14:paraId="743D57E2" w14:textId="77777777" w:rsidR="00AC03A9" w:rsidRPr="00865238" w:rsidRDefault="00AC03A9" w:rsidP="00AC03A9">
            <w:pPr>
              <w:pStyle w:val="Tabletext1"/>
              <w:jc w:val="right"/>
              <w:rPr>
                <w:b/>
              </w:rPr>
            </w:pPr>
            <w:r w:rsidRPr="00A417EA">
              <w:rPr>
                <w:b/>
              </w:rPr>
              <w:t>$159,573</w:t>
            </w:r>
          </w:p>
        </w:tc>
      </w:tr>
    </w:tbl>
    <w:p w14:paraId="625B666A" w14:textId="77777777" w:rsidR="00865238" w:rsidRPr="00EF530F" w:rsidRDefault="00865238" w:rsidP="00865238">
      <w:pPr>
        <w:spacing w:after="200" w:line="240" w:lineRule="auto"/>
        <w:ind w:left="57" w:right="57"/>
        <w:contextualSpacing/>
        <w:rPr>
          <w:rFonts w:ascii="Arial Narrow" w:eastAsia="Calibri" w:hAnsi="Arial Narrow" w:cs="Times New Roman"/>
          <w:sz w:val="18"/>
          <w:szCs w:val="18"/>
          <w:lang w:eastAsia="en-US"/>
        </w:rPr>
      </w:pPr>
      <w:r w:rsidRPr="00EF530F">
        <w:rPr>
          <w:rFonts w:ascii="Arial Narrow" w:eastAsia="Calibri" w:hAnsi="Arial Narrow" w:cs="Times New Roman"/>
          <w:sz w:val="18"/>
          <w:szCs w:val="18"/>
          <w:lang w:eastAsia="en-US"/>
        </w:rPr>
        <w:t>Ig = immunoglobulin.</w:t>
      </w:r>
    </w:p>
    <w:p w14:paraId="6774DD14" w14:textId="6816FE7F" w:rsidR="00865238" w:rsidRPr="00EF530F" w:rsidRDefault="00865238" w:rsidP="00865238">
      <w:pPr>
        <w:pStyle w:val="BodyTextSTD"/>
      </w:pPr>
      <w:r w:rsidRPr="00EF530F">
        <w:t xml:space="preserve">The cost of Ig </w:t>
      </w:r>
      <w:r>
        <w:t xml:space="preserve">and the administration costs </w:t>
      </w:r>
      <w:r w:rsidRPr="00EF530F">
        <w:t>w</w:t>
      </w:r>
      <w:r>
        <w:t>ere</w:t>
      </w:r>
      <w:r w:rsidRPr="00EF530F">
        <w:t xml:space="preserve"> the main driver of the incremental cost</w:t>
      </w:r>
      <w:r w:rsidR="00FB10AA">
        <w:t xml:space="preserve">. </w:t>
      </w:r>
    </w:p>
    <w:p w14:paraId="095229AD" w14:textId="072984E1" w:rsidR="00865238" w:rsidRPr="00EF530F" w:rsidRDefault="00865238" w:rsidP="00865238">
      <w:pPr>
        <w:pStyle w:val="Caption"/>
      </w:pPr>
      <w:bookmarkStart w:id="382" w:name="_Ref66479463"/>
      <w:bookmarkStart w:id="383" w:name="_Toc69305699"/>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58</w:t>
      </w:r>
      <w:r w:rsidRPr="00EF530F">
        <w:fldChar w:fldCharType="end"/>
      </w:r>
      <w:bookmarkEnd w:id="382"/>
      <w:r w:rsidRPr="00EF530F">
        <w:tab/>
        <w:t>Disaggregated QALYs</w:t>
      </w:r>
      <w:r w:rsidR="00A00511">
        <w:t>, Ig vs best supportive care</w:t>
      </w:r>
      <w:bookmarkEnd w:id="383"/>
    </w:p>
    <w:tbl>
      <w:tblPr>
        <w:tblStyle w:val="TableGrid11"/>
        <w:tblW w:w="5000" w:type="pct"/>
        <w:tblInd w:w="0" w:type="dxa"/>
        <w:tblLook w:val="04A0" w:firstRow="1" w:lastRow="0" w:firstColumn="1" w:lastColumn="0" w:noHBand="0" w:noVBand="1"/>
        <w:tblCaption w:val="Disaggregated QALYs"/>
        <w:tblDescription w:val="Disaggregated QALYs"/>
      </w:tblPr>
      <w:tblGrid>
        <w:gridCol w:w="4074"/>
        <w:gridCol w:w="1648"/>
        <w:gridCol w:w="1648"/>
        <w:gridCol w:w="1646"/>
      </w:tblGrid>
      <w:tr w:rsidR="00865238" w:rsidRPr="00EF530F" w14:paraId="6923C18D" w14:textId="77777777" w:rsidTr="00865238">
        <w:trPr>
          <w:cnfStyle w:val="100000000000" w:firstRow="1" w:lastRow="0" w:firstColumn="0" w:lastColumn="0" w:oddVBand="0" w:evenVBand="0" w:oddHBand="0" w:evenHBand="0" w:firstRowFirstColumn="0" w:firstRowLastColumn="0" w:lastRowFirstColumn="0" w:lastRowLastColumn="0"/>
          <w:cantSplit/>
          <w:trHeight w:val="300"/>
          <w:tblHeader/>
        </w:trPr>
        <w:tc>
          <w:tcPr>
            <w:tcW w:w="2259" w:type="pct"/>
            <w:tcBorders>
              <w:top w:val="single" w:sz="4" w:space="0" w:color="auto"/>
              <w:left w:val="single" w:sz="4" w:space="0" w:color="auto"/>
              <w:bottom w:val="single" w:sz="4" w:space="0" w:color="auto"/>
              <w:right w:val="single" w:sz="4" w:space="0" w:color="auto"/>
            </w:tcBorders>
            <w:noWrap/>
            <w:hideMark/>
          </w:tcPr>
          <w:p w14:paraId="30158A6B" w14:textId="77777777" w:rsidR="00865238" w:rsidRPr="00EF530F" w:rsidRDefault="00865238" w:rsidP="00865238">
            <w:pPr>
              <w:pStyle w:val="TableHeading"/>
            </w:pPr>
          </w:p>
        </w:tc>
        <w:tc>
          <w:tcPr>
            <w:tcW w:w="914" w:type="pct"/>
            <w:tcBorders>
              <w:top w:val="single" w:sz="4" w:space="0" w:color="auto"/>
              <w:left w:val="single" w:sz="4" w:space="0" w:color="auto"/>
              <w:bottom w:val="single" w:sz="4" w:space="0" w:color="auto"/>
              <w:right w:val="single" w:sz="4" w:space="0" w:color="auto"/>
            </w:tcBorders>
            <w:noWrap/>
            <w:hideMark/>
          </w:tcPr>
          <w:p w14:paraId="456C0A08" w14:textId="77777777" w:rsidR="00865238" w:rsidRPr="00EF530F" w:rsidRDefault="00865238" w:rsidP="00865238">
            <w:pPr>
              <w:pStyle w:val="TableHeading"/>
            </w:pPr>
            <w:r w:rsidRPr="00EF530F">
              <w:t>Ig</w:t>
            </w:r>
          </w:p>
        </w:tc>
        <w:tc>
          <w:tcPr>
            <w:tcW w:w="914" w:type="pct"/>
            <w:tcBorders>
              <w:top w:val="single" w:sz="4" w:space="0" w:color="auto"/>
              <w:left w:val="single" w:sz="4" w:space="0" w:color="auto"/>
              <w:bottom w:val="single" w:sz="4" w:space="0" w:color="auto"/>
              <w:right w:val="single" w:sz="4" w:space="0" w:color="auto"/>
            </w:tcBorders>
            <w:noWrap/>
            <w:hideMark/>
          </w:tcPr>
          <w:p w14:paraId="5CC9A29B" w14:textId="77777777" w:rsidR="00865238" w:rsidRPr="00EF530F" w:rsidRDefault="00865238" w:rsidP="00865238">
            <w:pPr>
              <w:pStyle w:val="TableHeading"/>
            </w:pPr>
            <w:r>
              <w:t>Placebo</w:t>
            </w:r>
          </w:p>
        </w:tc>
        <w:tc>
          <w:tcPr>
            <w:tcW w:w="913" w:type="pct"/>
            <w:tcBorders>
              <w:top w:val="single" w:sz="4" w:space="0" w:color="auto"/>
              <w:left w:val="single" w:sz="4" w:space="0" w:color="auto"/>
              <w:bottom w:val="single" w:sz="4" w:space="0" w:color="auto"/>
              <w:right w:val="single" w:sz="4" w:space="0" w:color="auto"/>
            </w:tcBorders>
            <w:noWrap/>
            <w:hideMark/>
          </w:tcPr>
          <w:p w14:paraId="3E6FFC03" w14:textId="77777777" w:rsidR="00865238" w:rsidRPr="00EF530F" w:rsidRDefault="00865238" w:rsidP="00865238">
            <w:pPr>
              <w:pStyle w:val="TableHeading"/>
            </w:pPr>
            <w:r w:rsidRPr="00EF530F">
              <w:t>Increment</w:t>
            </w:r>
          </w:p>
        </w:tc>
      </w:tr>
      <w:tr w:rsidR="00AC03A9" w:rsidRPr="00EF530F" w14:paraId="29FD0688" w14:textId="77777777" w:rsidTr="00AC03A9">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1BC51C7C" w14:textId="77777777" w:rsidR="00AC03A9" w:rsidRPr="00EF530F" w:rsidRDefault="00AC03A9" w:rsidP="00AC03A9">
            <w:pPr>
              <w:pStyle w:val="Tabletext1"/>
            </w:pPr>
            <w:r w:rsidRPr="00EF530F">
              <w:t xml:space="preserve">On treatment </w:t>
            </w:r>
            <w:r w:rsidR="00237F7A">
              <w:t>(induction /maintenance phase)</w:t>
            </w:r>
            <w:r w:rsidR="00237F7A" w:rsidRPr="00EF530F">
              <w:t xml:space="preserve"> </w:t>
            </w:r>
            <w:r w:rsidRPr="00EF530F">
              <w:t>QALYs</w:t>
            </w:r>
          </w:p>
        </w:tc>
        <w:tc>
          <w:tcPr>
            <w:tcW w:w="914" w:type="pct"/>
            <w:tcBorders>
              <w:top w:val="single" w:sz="4" w:space="0" w:color="auto"/>
              <w:left w:val="single" w:sz="4" w:space="0" w:color="auto"/>
              <w:bottom w:val="single" w:sz="4" w:space="0" w:color="auto"/>
              <w:right w:val="single" w:sz="4" w:space="0" w:color="auto"/>
            </w:tcBorders>
            <w:noWrap/>
            <w:hideMark/>
          </w:tcPr>
          <w:p w14:paraId="73E287DA" w14:textId="5CF2EAFD" w:rsidR="00AC03A9" w:rsidRPr="00EF530F" w:rsidRDefault="00AC03A9" w:rsidP="00AC03A9">
            <w:pPr>
              <w:pStyle w:val="Tabletext1"/>
              <w:jc w:val="right"/>
            </w:pPr>
            <w:r w:rsidRPr="00C4002C">
              <w:t>2.0</w:t>
            </w:r>
            <w:r w:rsidR="0068443A">
              <w:t>66</w:t>
            </w:r>
          </w:p>
        </w:tc>
        <w:tc>
          <w:tcPr>
            <w:tcW w:w="914" w:type="pct"/>
            <w:tcBorders>
              <w:top w:val="single" w:sz="4" w:space="0" w:color="auto"/>
              <w:left w:val="single" w:sz="4" w:space="0" w:color="auto"/>
              <w:bottom w:val="single" w:sz="4" w:space="0" w:color="auto"/>
              <w:right w:val="single" w:sz="4" w:space="0" w:color="auto"/>
            </w:tcBorders>
            <w:noWrap/>
          </w:tcPr>
          <w:p w14:paraId="5482A8FC" w14:textId="77777777" w:rsidR="00AC03A9" w:rsidRPr="00EF530F" w:rsidRDefault="00AC03A9" w:rsidP="00AC03A9">
            <w:pPr>
              <w:pStyle w:val="Tabletext1"/>
              <w:jc w:val="right"/>
            </w:pPr>
            <w:r w:rsidRPr="00C85722">
              <w:t>0.128</w:t>
            </w:r>
          </w:p>
        </w:tc>
        <w:tc>
          <w:tcPr>
            <w:tcW w:w="913" w:type="pct"/>
            <w:tcBorders>
              <w:top w:val="single" w:sz="4" w:space="0" w:color="auto"/>
              <w:left w:val="single" w:sz="4" w:space="0" w:color="auto"/>
              <w:bottom w:val="single" w:sz="4" w:space="0" w:color="auto"/>
              <w:right w:val="single" w:sz="4" w:space="0" w:color="auto"/>
            </w:tcBorders>
            <w:noWrap/>
          </w:tcPr>
          <w:p w14:paraId="3399AFE0" w14:textId="6D9F7FAE" w:rsidR="00AC03A9" w:rsidRPr="00EF530F" w:rsidRDefault="00AC03A9">
            <w:pPr>
              <w:pStyle w:val="Tabletext1"/>
              <w:jc w:val="right"/>
            </w:pPr>
            <w:r w:rsidRPr="00C85722">
              <w:t>1.9</w:t>
            </w:r>
            <w:r w:rsidR="0068443A">
              <w:t>38</w:t>
            </w:r>
          </w:p>
        </w:tc>
      </w:tr>
      <w:tr w:rsidR="00AC03A9" w:rsidRPr="00EF530F" w14:paraId="2BFCB48A" w14:textId="77777777" w:rsidTr="00AC03A9">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6AF0674B" w14:textId="77777777" w:rsidR="00AC03A9" w:rsidRPr="00EF530F" w:rsidRDefault="00237F7A" w:rsidP="00AC03A9">
            <w:pPr>
              <w:pStyle w:val="Tabletext1"/>
            </w:pPr>
            <w:r>
              <w:t>‘</w:t>
            </w:r>
            <w:r w:rsidR="00AC03A9" w:rsidRPr="00EF530F">
              <w:t>In remission</w:t>
            </w:r>
            <w:r>
              <w:t>’</w:t>
            </w:r>
            <w:r w:rsidR="00AC03A9" w:rsidRPr="00EF530F">
              <w:t xml:space="preserve"> QALYs</w:t>
            </w:r>
          </w:p>
        </w:tc>
        <w:tc>
          <w:tcPr>
            <w:tcW w:w="914" w:type="pct"/>
            <w:tcBorders>
              <w:top w:val="single" w:sz="4" w:space="0" w:color="auto"/>
              <w:left w:val="single" w:sz="4" w:space="0" w:color="auto"/>
              <w:bottom w:val="single" w:sz="4" w:space="0" w:color="auto"/>
              <w:right w:val="single" w:sz="4" w:space="0" w:color="auto"/>
            </w:tcBorders>
            <w:noWrap/>
            <w:hideMark/>
          </w:tcPr>
          <w:p w14:paraId="23B7AAEC" w14:textId="77777777" w:rsidR="00AC03A9" w:rsidRPr="00EF530F" w:rsidRDefault="00AC03A9" w:rsidP="00AC03A9">
            <w:pPr>
              <w:pStyle w:val="Tabletext1"/>
              <w:jc w:val="right"/>
            </w:pPr>
            <w:r w:rsidRPr="00C4002C">
              <w:t>2.560</w:t>
            </w:r>
          </w:p>
        </w:tc>
        <w:tc>
          <w:tcPr>
            <w:tcW w:w="914" w:type="pct"/>
            <w:tcBorders>
              <w:top w:val="single" w:sz="4" w:space="0" w:color="auto"/>
              <w:left w:val="single" w:sz="4" w:space="0" w:color="auto"/>
              <w:bottom w:val="single" w:sz="4" w:space="0" w:color="auto"/>
              <w:right w:val="single" w:sz="4" w:space="0" w:color="auto"/>
            </w:tcBorders>
            <w:noWrap/>
          </w:tcPr>
          <w:p w14:paraId="5824F12E" w14:textId="18CF85CC" w:rsidR="00AC03A9" w:rsidRPr="00EF530F" w:rsidRDefault="00AC03A9" w:rsidP="00AC03A9">
            <w:pPr>
              <w:pStyle w:val="Tabletext1"/>
              <w:jc w:val="right"/>
            </w:pPr>
            <w:r w:rsidRPr="00C85722">
              <w:t>0.05</w:t>
            </w:r>
            <w:r w:rsidR="0068443A">
              <w:t>4</w:t>
            </w:r>
          </w:p>
        </w:tc>
        <w:tc>
          <w:tcPr>
            <w:tcW w:w="913" w:type="pct"/>
            <w:tcBorders>
              <w:top w:val="single" w:sz="4" w:space="0" w:color="auto"/>
              <w:left w:val="single" w:sz="4" w:space="0" w:color="auto"/>
              <w:bottom w:val="single" w:sz="4" w:space="0" w:color="auto"/>
              <w:right w:val="single" w:sz="4" w:space="0" w:color="auto"/>
            </w:tcBorders>
            <w:noWrap/>
          </w:tcPr>
          <w:p w14:paraId="1C455C90" w14:textId="6A50D00E" w:rsidR="00AC03A9" w:rsidRPr="00EF530F" w:rsidRDefault="00AC03A9" w:rsidP="00AC03A9">
            <w:pPr>
              <w:pStyle w:val="Tabletext1"/>
              <w:jc w:val="right"/>
            </w:pPr>
            <w:r w:rsidRPr="00C85722">
              <w:t>2.50</w:t>
            </w:r>
            <w:r w:rsidR="0068443A">
              <w:t>5</w:t>
            </w:r>
          </w:p>
        </w:tc>
      </w:tr>
      <w:tr w:rsidR="00AC03A9" w:rsidRPr="00EF530F" w14:paraId="7BA15C13" w14:textId="77777777" w:rsidTr="00AC03A9">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18A6DCC4" w14:textId="2AECE648" w:rsidR="00AC03A9" w:rsidRPr="00EF530F" w:rsidRDefault="00237F7A" w:rsidP="00AC03A9">
            <w:pPr>
              <w:pStyle w:val="Tabletext1"/>
            </w:pPr>
            <w:r>
              <w:t>‘BSC’</w:t>
            </w:r>
            <w:r w:rsidR="00AC03A9" w:rsidRPr="00EF530F">
              <w:t xml:space="preserve"> QALYs</w:t>
            </w:r>
          </w:p>
        </w:tc>
        <w:tc>
          <w:tcPr>
            <w:tcW w:w="914" w:type="pct"/>
            <w:tcBorders>
              <w:top w:val="single" w:sz="4" w:space="0" w:color="auto"/>
              <w:left w:val="single" w:sz="4" w:space="0" w:color="auto"/>
              <w:bottom w:val="single" w:sz="4" w:space="0" w:color="auto"/>
              <w:right w:val="single" w:sz="4" w:space="0" w:color="auto"/>
            </w:tcBorders>
            <w:noWrap/>
            <w:hideMark/>
          </w:tcPr>
          <w:p w14:paraId="546FFB62" w14:textId="77777777" w:rsidR="00AC03A9" w:rsidRPr="00EF530F" w:rsidRDefault="00AC03A9" w:rsidP="00AC03A9">
            <w:pPr>
              <w:pStyle w:val="Tabletext1"/>
              <w:jc w:val="right"/>
            </w:pPr>
            <w:r w:rsidRPr="00C4002C">
              <w:t>0.753</w:t>
            </w:r>
          </w:p>
        </w:tc>
        <w:tc>
          <w:tcPr>
            <w:tcW w:w="914" w:type="pct"/>
            <w:tcBorders>
              <w:top w:val="single" w:sz="4" w:space="0" w:color="auto"/>
              <w:left w:val="single" w:sz="4" w:space="0" w:color="auto"/>
              <w:bottom w:val="single" w:sz="4" w:space="0" w:color="auto"/>
              <w:right w:val="single" w:sz="4" w:space="0" w:color="auto"/>
            </w:tcBorders>
            <w:noWrap/>
          </w:tcPr>
          <w:p w14:paraId="670BB092" w14:textId="77777777" w:rsidR="00AC03A9" w:rsidRPr="00EF530F" w:rsidRDefault="00AC03A9" w:rsidP="00AC03A9">
            <w:pPr>
              <w:pStyle w:val="Tabletext1"/>
              <w:jc w:val="right"/>
            </w:pPr>
            <w:r w:rsidRPr="00C85722">
              <w:t>3.481</w:t>
            </w:r>
          </w:p>
        </w:tc>
        <w:tc>
          <w:tcPr>
            <w:tcW w:w="913" w:type="pct"/>
            <w:tcBorders>
              <w:top w:val="single" w:sz="4" w:space="0" w:color="auto"/>
              <w:left w:val="single" w:sz="4" w:space="0" w:color="auto"/>
              <w:bottom w:val="single" w:sz="4" w:space="0" w:color="auto"/>
              <w:right w:val="single" w:sz="4" w:space="0" w:color="auto"/>
            </w:tcBorders>
            <w:noWrap/>
          </w:tcPr>
          <w:p w14:paraId="4681C64D" w14:textId="77777777" w:rsidR="00AC03A9" w:rsidRPr="00EF530F" w:rsidRDefault="00AC03A9" w:rsidP="00AC03A9">
            <w:pPr>
              <w:pStyle w:val="Tabletext1"/>
              <w:jc w:val="right"/>
            </w:pPr>
            <w:r>
              <w:t>–</w:t>
            </w:r>
            <w:r w:rsidRPr="00C85722">
              <w:t>2.728</w:t>
            </w:r>
          </w:p>
        </w:tc>
      </w:tr>
      <w:tr w:rsidR="0068443A" w:rsidRPr="001F2C96" w14:paraId="6575FAD7" w14:textId="77777777" w:rsidTr="00AC03A9">
        <w:trPr>
          <w:cantSplit/>
          <w:trHeight w:val="300"/>
        </w:trPr>
        <w:tc>
          <w:tcPr>
            <w:tcW w:w="2259" w:type="pct"/>
            <w:tcBorders>
              <w:top w:val="single" w:sz="4" w:space="0" w:color="auto"/>
              <w:left w:val="single" w:sz="4" w:space="0" w:color="auto"/>
              <w:bottom w:val="single" w:sz="4" w:space="0" w:color="auto"/>
              <w:right w:val="single" w:sz="4" w:space="0" w:color="auto"/>
            </w:tcBorders>
            <w:noWrap/>
            <w:hideMark/>
          </w:tcPr>
          <w:p w14:paraId="78563883" w14:textId="77777777" w:rsidR="0068443A" w:rsidRPr="001F2C96" w:rsidRDefault="0068443A" w:rsidP="0068443A">
            <w:pPr>
              <w:pStyle w:val="Tabletext1"/>
              <w:rPr>
                <w:b/>
              </w:rPr>
            </w:pPr>
            <w:r w:rsidRPr="001F2C96">
              <w:rPr>
                <w:b/>
              </w:rPr>
              <w:t>Total QALYs</w:t>
            </w:r>
          </w:p>
        </w:tc>
        <w:tc>
          <w:tcPr>
            <w:tcW w:w="914" w:type="pct"/>
            <w:tcBorders>
              <w:top w:val="single" w:sz="4" w:space="0" w:color="auto"/>
              <w:left w:val="single" w:sz="4" w:space="0" w:color="auto"/>
              <w:bottom w:val="single" w:sz="4" w:space="0" w:color="auto"/>
              <w:right w:val="single" w:sz="4" w:space="0" w:color="auto"/>
            </w:tcBorders>
            <w:noWrap/>
            <w:hideMark/>
          </w:tcPr>
          <w:p w14:paraId="1EC30449" w14:textId="6E2DCB4B" w:rsidR="0068443A" w:rsidRPr="0068443A" w:rsidRDefault="0068443A" w:rsidP="0068443A">
            <w:pPr>
              <w:pStyle w:val="Tabletext1"/>
              <w:jc w:val="right"/>
              <w:rPr>
                <w:b/>
              </w:rPr>
            </w:pPr>
            <w:r w:rsidRPr="000F3CBC">
              <w:rPr>
                <w:b/>
              </w:rPr>
              <w:t>5.379</w:t>
            </w:r>
          </w:p>
        </w:tc>
        <w:tc>
          <w:tcPr>
            <w:tcW w:w="914" w:type="pct"/>
            <w:tcBorders>
              <w:top w:val="single" w:sz="4" w:space="0" w:color="auto"/>
              <w:left w:val="single" w:sz="4" w:space="0" w:color="auto"/>
              <w:bottom w:val="single" w:sz="4" w:space="0" w:color="auto"/>
              <w:right w:val="single" w:sz="4" w:space="0" w:color="auto"/>
            </w:tcBorders>
            <w:noWrap/>
          </w:tcPr>
          <w:p w14:paraId="3A882063" w14:textId="7D58D21B" w:rsidR="0068443A" w:rsidRPr="0068443A" w:rsidRDefault="0068443A" w:rsidP="0068443A">
            <w:pPr>
              <w:pStyle w:val="Tabletext1"/>
              <w:jc w:val="right"/>
              <w:rPr>
                <w:b/>
              </w:rPr>
            </w:pPr>
            <w:r w:rsidRPr="000F3CBC">
              <w:rPr>
                <w:b/>
              </w:rPr>
              <w:t>3.663</w:t>
            </w:r>
          </w:p>
        </w:tc>
        <w:tc>
          <w:tcPr>
            <w:tcW w:w="913" w:type="pct"/>
            <w:tcBorders>
              <w:top w:val="single" w:sz="4" w:space="0" w:color="auto"/>
              <w:left w:val="single" w:sz="4" w:space="0" w:color="auto"/>
              <w:bottom w:val="single" w:sz="4" w:space="0" w:color="auto"/>
              <w:right w:val="single" w:sz="4" w:space="0" w:color="auto"/>
            </w:tcBorders>
            <w:noWrap/>
          </w:tcPr>
          <w:p w14:paraId="134F54D4" w14:textId="732EACDC" w:rsidR="0068443A" w:rsidRPr="0068443A" w:rsidRDefault="0068443A" w:rsidP="0068443A">
            <w:pPr>
              <w:pStyle w:val="Tabletext1"/>
              <w:jc w:val="right"/>
              <w:rPr>
                <w:b/>
              </w:rPr>
            </w:pPr>
            <w:r w:rsidRPr="000F3CBC">
              <w:rPr>
                <w:b/>
              </w:rPr>
              <w:t>1.716</w:t>
            </w:r>
          </w:p>
        </w:tc>
      </w:tr>
    </w:tbl>
    <w:p w14:paraId="7A25024A" w14:textId="65953EA2" w:rsidR="00865238" w:rsidRDefault="00237F7A" w:rsidP="00865238">
      <w:pPr>
        <w:spacing w:after="200" w:line="240" w:lineRule="auto"/>
        <w:ind w:left="57" w:right="57"/>
        <w:contextualSpacing/>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BSC = best supportive care (this represents </w:t>
      </w:r>
      <w:r w:rsidR="001236DF">
        <w:rPr>
          <w:rFonts w:ascii="Arial Narrow" w:eastAsia="Calibri" w:hAnsi="Arial Narrow" w:cs="Times New Roman"/>
          <w:sz w:val="18"/>
          <w:szCs w:val="18"/>
          <w:lang w:eastAsia="en-US"/>
        </w:rPr>
        <w:t xml:space="preserve">the treatment </w:t>
      </w:r>
      <w:r w:rsidR="00A00511">
        <w:rPr>
          <w:rFonts w:ascii="Arial Narrow" w:eastAsia="Calibri" w:hAnsi="Arial Narrow" w:cs="Times New Roman"/>
          <w:sz w:val="18"/>
          <w:szCs w:val="18"/>
          <w:lang w:eastAsia="en-US"/>
        </w:rPr>
        <w:t xml:space="preserve">resistant or treatment </w:t>
      </w:r>
      <w:r w:rsidR="001236DF">
        <w:rPr>
          <w:rFonts w:ascii="Arial Narrow" w:eastAsia="Calibri" w:hAnsi="Arial Narrow" w:cs="Times New Roman"/>
          <w:sz w:val="18"/>
          <w:szCs w:val="18"/>
          <w:lang w:eastAsia="en-US"/>
        </w:rPr>
        <w:t xml:space="preserve">intolerant </w:t>
      </w:r>
      <w:r w:rsidR="00A00511">
        <w:rPr>
          <w:rFonts w:ascii="Arial Narrow" w:eastAsia="Calibri" w:hAnsi="Arial Narrow" w:cs="Times New Roman"/>
          <w:sz w:val="18"/>
          <w:szCs w:val="18"/>
          <w:lang w:eastAsia="en-US"/>
        </w:rPr>
        <w:t>health state</w:t>
      </w:r>
      <w:r>
        <w:rPr>
          <w:rFonts w:ascii="Arial Narrow" w:eastAsia="Calibri" w:hAnsi="Arial Narrow" w:cs="Times New Roman"/>
          <w:sz w:val="18"/>
          <w:szCs w:val="18"/>
          <w:lang w:eastAsia="en-US"/>
        </w:rPr>
        <w:t xml:space="preserve">); </w:t>
      </w:r>
      <w:r w:rsidR="00865238" w:rsidRPr="00EF530F">
        <w:rPr>
          <w:rFonts w:ascii="Arial Narrow" w:eastAsia="Calibri" w:hAnsi="Arial Narrow" w:cs="Times New Roman"/>
          <w:sz w:val="18"/>
          <w:szCs w:val="18"/>
          <w:lang w:eastAsia="en-US"/>
        </w:rPr>
        <w:t>Ig = immunoglobulin; QALY = quality-adjusted life years.</w:t>
      </w:r>
    </w:p>
    <w:p w14:paraId="78D5B835" w14:textId="2A17A154" w:rsidR="00FB10AA" w:rsidRPr="00EF530F" w:rsidRDefault="00FB10AA" w:rsidP="00FB10AA">
      <w:pPr>
        <w:pStyle w:val="BodyTextSTD"/>
        <w:rPr>
          <w:rFonts w:eastAsia="Calibri"/>
          <w:lang w:eastAsia="en-US"/>
        </w:rPr>
      </w:pPr>
      <w:r w:rsidRPr="00EF530F">
        <w:t xml:space="preserve">The incremental QALYs </w:t>
      </w:r>
      <w:r w:rsidR="00237F7A">
        <w:t xml:space="preserve">were primarily accrued in the </w:t>
      </w:r>
      <w:r w:rsidRPr="00EF530F">
        <w:t>on treatment</w:t>
      </w:r>
      <w:r w:rsidR="00237F7A">
        <w:t xml:space="preserve"> (induction/maintenance phase)</w:t>
      </w:r>
      <w:r>
        <w:t xml:space="preserve"> and ‘in remission’</w:t>
      </w:r>
      <w:r w:rsidRPr="00EF530F">
        <w:t xml:space="preserve"> health state</w:t>
      </w:r>
      <w:r>
        <w:t>s</w:t>
      </w:r>
      <w:r w:rsidRPr="00EF530F">
        <w:t xml:space="preserve"> due to </w:t>
      </w:r>
      <w:r>
        <w:t>more patients continuing treatment</w:t>
      </w:r>
      <w:r w:rsidRPr="00EF530F">
        <w:t xml:space="preserve"> </w:t>
      </w:r>
      <w:r>
        <w:t xml:space="preserve">or in remission </w:t>
      </w:r>
      <w:r w:rsidRPr="00EF530F">
        <w:t xml:space="preserve">with Ig. As </w:t>
      </w:r>
      <w:r>
        <w:t xml:space="preserve">placebo was associated with </w:t>
      </w:r>
      <w:r w:rsidRPr="00EF530F">
        <w:t xml:space="preserve">higher </w:t>
      </w:r>
      <w:r>
        <w:t>relapse</w:t>
      </w:r>
      <w:r w:rsidRPr="00EF530F">
        <w:t xml:space="preserve"> rate and </w:t>
      </w:r>
      <w:r>
        <w:t>no treatment after relapse</w:t>
      </w:r>
      <w:r w:rsidRPr="00EF530F">
        <w:t xml:space="preserve">, </w:t>
      </w:r>
      <w:r>
        <w:t>more</w:t>
      </w:r>
      <w:r w:rsidRPr="00EF530F">
        <w:t xml:space="preserve"> time was spent in the </w:t>
      </w:r>
      <w:r w:rsidR="00237F7A">
        <w:t>‘BSC’</w:t>
      </w:r>
      <w:r w:rsidRPr="00EF530F">
        <w:t xml:space="preserve"> health state with </w:t>
      </w:r>
      <w:r>
        <w:t>placebo</w:t>
      </w:r>
      <w:r w:rsidRPr="00EF530F">
        <w:t>.</w:t>
      </w:r>
    </w:p>
    <w:p w14:paraId="3A08B5AD" w14:textId="77777777" w:rsidR="00865238" w:rsidRPr="00EF530F" w:rsidRDefault="00865238" w:rsidP="00865238">
      <w:pPr>
        <w:pStyle w:val="Heading5"/>
      </w:pPr>
      <w:r w:rsidRPr="00EF530F">
        <w:t>Incremental cost-effectiveness</w:t>
      </w:r>
    </w:p>
    <w:p w14:paraId="7B2E8164" w14:textId="39714CAB" w:rsidR="00865238" w:rsidRPr="00EF530F" w:rsidRDefault="00865238" w:rsidP="00865238">
      <w:pPr>
        <w:pStyle w:val="BodyTextSTD"/>
      </w:pPr>
      <w:r w:rsidRPr="00EF530F">
        <w:t>The ICER per additional QALYs gained is presented in</w:t>
      </w:r>
      <w:r w:rsidR="000A1187">
        <w:t xml:space="preserve"> </w:t>
      </w:r>
      <w:r w:rsidR="000A1187">
        <w:fldChar w:fldCharType="begin"/>
      </w:r>
      <w:r w:rsidR="000A1187">
        <w:instrText xml:space="preserve"> REF _Ref66480079 \h </w:instrText>
      </w:r>
      <w:r w:rsidR="000A1187">
        <w:fldChar w:fldCharType="separate"/>
      </w:r>
      <w:r w:rsidR="004B3EA2" w:rsidRPr="00EF530F">
        <w:t xml:space="preserve">Table </w:t>
      </w:r>
      <w:r w:rsidR="004B3EA2">
        <w:rPr>
          <w:noProof/>
        </w:rPr>
        <w:t>59</w:t>
      </w:r>
      <w:r w:rsidR="000A1187">
        <w:fldChar w:fldCharType="end"/>
      </w:r>
      <w:r w:rsidRPr="00EF530F">
        <w:t>.</w:t>
      </w:r>
    </w:p>
    <w:p w14:paraId="4226C779" w14:textId="51B2CE64" w:rsidR="00865238" w:rsidRPr="00EF530F" w:rsidRDefault="00865238" w:rsidP="00865238">
      <w:pPr>
        <w:pStyle w:val="Caption"/>
      </w:pPr>
      <w:bookmarkStart w:id="384" w:name="_Ref66480079"/>
      <w:bookmarkStart w:id="385" w:name="_Toc69305700"/>
      <w:r w:rsidRPr="00EF530F">
        <w:t xml:space="preserve">Table </w:t>
      </w:r>
      <w:r w:rsidRPr="00EF530F">
        <w:fldChar w:fldCharType="begin"/>
      </w:r>
      <w:r w:rsidRPr="00EF530F">
        <w:rPr>
          <w:noProof/>
        </w:rPr>
        <w:instrText xml:space="preserve"> SEQ Table \* ARABIC </w:instrText>
      </w:r>
      <w:r w:rsidRPr="00EF530F">
        <w:fldChar w:fldCharType="separate"/>
      </w:r>
      <w:r w:rsidR="004B3EA2">
        <w:rPr>
          <w:noProof/>
        </w:rPr>
        <w:t>59</w:t>
      </w:r>
      <w:r w:rsidRPr="00EF530F">
        <w:fldChar w:fldCharType="end"/>
      </w:r>
      <w:bookmarkEnd w:id="384"/>
      <w:r w:rsidRPr="00EF530F">
        <w:tab/>
        <w:t>Incremental cost-effectiveness ratios</w:t>
      </w:r>
      <w:r w:rsidR="00A00511" w:rsidRPr="00A00511">
        <w:t xml:space="preserve"> </w:t>
      </w:r>
      <w:r w:rsidR="00A00511">
        <w:t>Ig vs best supportive care</w:t>
      </w:r>
      <w:bookmarkEnd w:id="385"/>
    </w:p>
    <w:tbl>
      <w:tblPr>
        <w:tblStyle w:val="TableGrid21"/>
        <w:tblW w:w="5000" w:type="pct"/>
        <w:tblInd w:w="0" w:type="dxa"/>
        <w:tblLook w:val="04A0" w:firstRow="1" w:lastRow="0" w:firstColumn="1" w:lastColumn="0" w:noHBand="0" w:noVBand="1"/>
        <w:tblCaption w:val="Incremental cost-effectiveness ratios"/>
        <w:tblDescription w:val="Incremental cost-effectiveness ratios"/>
      </w:tblPr>
      <w:tblGrid>
        <w:gridCol w:w="4083"/>
        <w:gridCol w:w="1645"/>
        <w:gridCol w:w="1645"/>
        <w:gridCol w:w="1643"/>
      </w:tblGrid>
      <w:tr w:rsidR="00865238" w:rsidRPr="00EF530F" w14:paraId="6A7FEA32" w14:textId="77777777" w:rsidTr="00865238">
        <w:trPr>
          <w:cnfStyle w:val="100000000000" w:firstRow="1" w:lastRow="0" w:firstColumn="0" w:lastColumn="0" w:oddVBand="0" w:evenVBand="0" w:oddHBand="0" w:evenHBand="0" w:firstRowFirstColumn="0" w:firstRowLastColumn="0" w:lastRowFirstColumn="0" w:lastRowLastColumn="0"/>
          <w:cantSplit/>
          <w:trHeight w:val="300"/>
          <w:tblHeader/>
        </w:trPr>
        <w:tc>
          <w:tcPr>
            <w:tcW w:w="2264" w:type="pct"/>
            <w:tcBorders>
              <w:top w:val="single" w:sz="4" w:space="0" w:color="auto"/>
              <w:left w:val="single" w:sz="4" w:space="0" w:color="auto"/>
              <w:bottom w:val="single" w:sz="4" w:space="0" w:color="auto"/>
              <w:right w:val="single" w:sz="4" w:space="0" w:color="auto"/>
            </w:tcBorders>
            <w:noWrap/>
          </w:tcPr>
          <w:p w14:paraId="64BF4765" w14:textId="77777777" w:rsidR="00865238" w:rsidRPr="00EF530F" w:rsidRDefault="00865238" w:rsidP="00865238">
            <w:pPr>
              <w:pStyle w:val="TableHeading"/>
            </w:pPr>
          </w:p>
        </w:tc>
        <w:tc>
          <w:tcPr>
            <w:tcW w:w="912" w:type="pct"/>
            <w:tcBorders>
              <w:top w:val="single" w:sz="4" w:space="0" w:color="auto"/>
              <w:left w:val="single" w:sz="4" w:space="0" w:color="auto"/>
              <w:bottom w:val="single" w:sz="4" w:space="0" w:color="auto"/>
              <w:right w:val="single" w:sz="4" w:space="0" w:color="auto"/>
            </w:tcBorders>
            <w:noWrap/>
            <w:hideMark/>
          </w:tcPr>
          <w:p w14:paraId="1922D0C0" w14:textId="77777777" w:rsidR="00865238" w:rsidRPr="00EF530F" w:rsidRDefault="00865238" w:rsidP="00865238">
            <w:pPr>
              <w:pStyle w:val="TableHeading"/>
            </w:pPr>
            <w:r w:rsidRPr="00EF530F">
              <w:t>Ig</w:t>
            </w:r>
          </w:p>
        </w:tc>
        <w:tc>
          <w:tcPr>
            <w:tcW w:w="912" w:type="pct"/>
            <w:tcBorders>
              <w:top w:val="single" w:sz="4" w:space="0" w:color="auto"/>
              <w:left w:val="single" w:sz="4" w:space="0" w:color="auto"/>
              <w:bottom w:val="single" w:sz="4" w:space="0" w:color="auto"/>
              <w:right w:val="single" w:sz="4" w:space="0" w:color="auto"/>
            </w:tcBorders>
            <w:noWrap/>
            <w:hideMark/>
          </w:tcPr>
          <w:p w14:paraId="67AF0E2B" w14:textId="77777777" w:rsidR="00865238" w:rsidRPr="00EF530F" w:rsidRDefault="00653D2B" w:rsidP="00865238">
            <w:pPr>
              <w:pStyle w:val="TableHeading"/>
            </w:pPr>
            <w:r>
              <w:t>Placebo</w:t>
            </w:r>
          </w:p>
        </w:tc>
        <w:tc>
          <w:tcPr>
            <w:tcW w:w="911" w:type="pct"/>
            <w:tcBorders>
              <w:top w:val="single" w:sz="4" w:space="0" w:color="auto"/>
              <w:left w:val="single" w:sz="4" w:space="0" w:color="auto"/>
              <w:bottom w:val="single" w:sz="4" w:space="0" w:color="auto"/>
              <w:right w:val="single" w:sz="4" w:space="0" w:color="auto"/>
            </w:tcBorders>
            <w:noWrap/>
            <w:hideMark/>
          </w:tcPr>
          <w:p w14:paraId="41BF7F35" w14:textId="77777777" w:rsidR="00865238" w:rsidRPr="00EF530F" w:rsidRDefault="00865238" w:rsidP="00865238">
            <w:pPr>
              <w:pStyle w:val="TableHeading"/>
            </w:pPr>
            <w:r w:rsidRPr="00EF530F">
              <w:t>Increment</w:t>
            </w:r>
          </w:p>
        </w:tc>
      </w:tr>
      <w:tr w:rsidR="0068443A" w:rsidRPr="00EF530F" w14:paraId="202F6A17" w14:textId="77777777" w:rsidTr="00FB10AA">
        <w:trPr>
          <w:cantSplit/>
          <w:trHeight w:val="300"/>
        </w:trPr>
        <w:tc>
          <w:tcPr>
            <w:tcW w:w="2264" w:type="pct"/>
            <w:tcBorders>
              <w:top w:val="single" w:sz="4" w:space="0" w:color="auto"/>
              <w:left w:val="single" w:sz="4" w:space="0" w:color="auto"/>
              <w:bottom w:val="single" w:sz="4" w:space="0" w:color="auto"/>
              <w:right w:val="single" w:sz="4" w:space="0" w:color="auto"/>
            </w:tcBorders>
            <w:noWrap/>
            <w:hideMark/>
          </w:tcPr>
          <w:p w14:paraId="4848671E" w14:textId="77777777" w:rsidR="0068443A" w:rsidRPr="00EF530F" w:rsidRDefault="0068443A" w:rsidP="0068443A">
            <w:pPr>
              <w:pStyle w:val="Tabletext1"/>
            </w:pPr>
            <w:r w:rsidRPr="00EF530F">
              <w:t>Total cost</w:t>
            </w:r>
          </w:p>
        </w:tc>
        <w:tc>
          <w:tcPr>
            <w:tcW w:w="912" w:type="pct"/>
            <w:tcBorders>
              <w:top w:val="single" w:sz="4" w:space="0" w:color="auto"/>
              <w:left w:val="single" w:sz="4" w:space="0" w:color="auto"/>
              <w:bottom w:val="single" w:sz="4" w:space="0" w:color="auto"/>
              <w:right w:val="single" w:sz="4" w:space="0" w:color="auto"/>
            </w:tcBorders>
            <w:noWrap/>
            <w:hideMark/>
          </w:tcPr>
          <w:p w14:paraId="1CA8B368" w14:textId="5F78C3DF" w:rsidR="0068443A" w:rsidRPr="00EF530F" w:rsidRDefault="0068443A" w:rsidP="0068443A">
            <w:pPr>
              <w:pStyle w:val="Tabletext1"/>
              <w:jc w:val="center"/>
            </w:pPr>
            <w:r w:rsidRPr="00B51260">
              <w:t>$164,027</w:t>
            </w:r>
          </w:p>
        </w:tc>
        <w:tc>
          <w:tcPr>
            <w:tcW w:w="912" w:type="pct"/>
            <w:tcBorders>
              <w:top w:val="single" w:sz="4" w:space="0" w:color="auto"/>
              <w:left w:val="single" w:sz="4" w:space="0" w:color="auto"/>
              <w:bottom w:val="single" w:sz="4" w:space="0" w:color="auto"/>
              <w:right w:val="single" w:sz="4" w:space="0" w:color="auto"/>
            </w:tcBorders>
            <w:noWrap/>
          </w:tcPr>
          <w:p w14:paraId="0EF75787" w14:textId="2EE3880D" w:rsidR="0068443A" w:rsidRPr="00EF530F" w:rsidRDefault="0068443A" w:rsidP="0068443A">
            <w:pPr>
              <w:pStyle w:val="Tabletext1"/>
              <w:jc w:val="center"/>
            </w:pPr>
            <w:r w:rsidRPr="00B51260">
              <w:t>$4,454</w:t>
            </w:r>
          </w:p>
        </w:tc>
        <w:tc>
          <w:tcPr>
            <w:tcW w:w="911" w:type="pct"/>
            <w:tcBorders>
              <w:top w:val="single" w:sz="4" w:space="0" w:color="auto"/>
              <w:left w:val="single" w:sz="4" w:space="0" w:color="auto"/>
              <w:bottom w:val="single" w:sz="4" w:space="0" w:color="auto"/>
              <w:right w:val="single" w:sz="4" w:space="0" w:color="auto"/>
            </w:tcBorders>
            <w:noWrap/>
          </w:tcPr>
          <w:p w14:paraId="41E5991B" w14:textId="64D8757E" w:rsidR="0068443A" w:rsidRPr="00EF530F" w:rsidRDefault="0068443A" w:rsidP="0068443A">
            <w:pPr>
              <w:pStyle w:val="Tabletext1"/>
              <w:jc w:val="center"/>
            </w:pPr>
            <w:r w:rsidRPr="00B51260">
              <w:t>$159,573</w:t>
            </w:r>
          </w:p>
        </w:tc>
      </w:tr>
      <w:tr w:rsidR="0068443A" w:rsidRPr="00EF530F" w14:paraId="09EEA65D" w14:textId="77777777" w:rsidTr="00FB10AA">
        <w:trPr>
          <w:cantSplit/>
          <w:trHeight w:val="300"/>
        </w:trPr>
        <w:tc>
          <w:tcPr>
            <w:tcW w:w="2264" w:type="pct"/>
            <w:tcBorders>
              <w:top w:val="single" w:sz="4" w:space="0" w:color="auto"/>
              <w:left w:val="single" w:sz="4" w:space="0" w:color="auto"/>
              <w:bottom w:val="single" w:sz="4" w:space="0" w:color="auto"/>
              <w:right w:val="single" w:sz="4" w:space="0" w:color="auto"/>
            </w:tcBorders>
            <w:noWrap/>
            <w:hideMark/>
          </w:tcPr>
          <w:p w14:paraId="5605C08E" w14:textId="77777777" w:rsidR="0068443A" w:rsidRPr="00EF530F" w:rsidRDefault="0068443A" w:rsidP="0068443A">
            <w:pPr>
              <w:pStyle w:val="Tabletext1"/>
            </w:pPr>
            <w:r w:rsidRPr="00EF530F">
              <w:t>Total QALYs</w:t>
            </w:r>
          </w:p>
        </w:tc>
        <w:tc>
          <w:tcPr>
            <w:tcW w:w="912" w:type="pct"/>
            <w:tcBorders>
              <w:top w:val="single" w:sz="4" w:space="0" w:color="auto"/>
              <w:left w:val="single" w:sz="4" w:space="0" w:color="auto"/>
              <w:bottom w:val="single" w:sz="4" w:space="0" w:color="auto"/>
              <w:right w:val="single" w:sz="4" w:space="0" w:color="auto"/>
            </w:tcBorders>
            <w:noWrap/>
            <w:hideMark/>
          </w:tcPr>
          <w:p w14:paraId="35B8FD60" w14:textId="36FF231F" w:rsidR="0068443A" w:rsidRPr="00EF530F" w:rsidRDefault="0068443A" w:rsidP="0068443A">
            <w:pPr>
              <w:pStyle w:val="Tabletext1"/>
              <w:jc w:val="center"/>
            </w:pPr>
            <w:r w:rsidRPr="00B51260">
              <w:t>5.379</w:t>
            </w:r>
          </w:p>
        </w:tc>
        <w:tc>
          <w:tcPr>
            <w:tcW w:w="912" w:type="pct"/>
            <w:tcBorders>
              <w:top w:val="single" w:sz="4" w:space="0" w:color="auto"/>
              <w:left w:val="single" w:sz="4" w:space="0" w:color="auto"/>
              <w:bottom w:val="single" w:sz="4" w:space="0" w:color="auto"/>
              <w:right w:val="single" w:sz="4" w:space="0" w:color="auto"/>
            </w:tcBorders>
            <w:noWrap/>
          </w:tcPr>
          <w:p w14:paraId="14DD1409" w14:textId="51541BCB" w:rsidR="0068443A" w:rsidRPr="00EF530F" w:rsidRDefault="0068443A" w:rsidP="0068443A">
            <w:pPr>
              <w:pStyle w:val="Tabletext1"/>
              <w:jc w:val="center"/>
            </w:pPr>
            <w:r w:rsidRPr="00B51260">
              <w:t>3.663</w:t>
            </w:r>
          </w:p>
        </w:tc>
        <w:tc>
          <w:tcPr>
            <w:tcW w:w="911" w:type="pct"/>
            <w:tcBorders>
              <w:top w:val="single" w:sz="4" w:space="0" w:color="auto"/>
              <w:left w:val="single" w:sz="4" w:space="0" w:color="auto"/>
              <w:bottom w:val="single" w:sz="4" w:space="0" w:color="auto"/>
              <w:right w:val="single" w:sz="4" w:space="0" w:color="auto"/>
            </w:tcBorders>
            <w:noWrap/>
          </w:tcPr>
          <w:p w14:paraId="00564DAD" w14:textId="7F39A2D7" w:rsidR="0068443A" w:rsidRPr="00EF530F" w:rsidRDefault="0068443A" w:rsidP="0068443A">
            <w:pPr>
              <w:pStyle w:val="Tabletext1"/>
              <w:jc w:val="center"/>
            </w:pPr>
            <w:r w:rsidRPr="00B51260">
              <w:t>1.716</w:t>
            </w:r>
          </w:p>
        </w:tc>
      </w:tr>
      <w:tr w:rsidR="0068443A" w:rsidRPr="001F2C96" w14:paraId="7D612EA4" w14:textId="77777777" w:rsidTr="00FB10AA">
        <w:trPr>
          <w:cantSplit/>
          <w:trHeight w:val="101"/>
        </w:trPr>
        <w:tc>
          <w:tcPr>
            <w:tcW w:w="2264" w:type="pct"/>
            <w:tcBorders>
              <w:top w:val="single" w:sz="4" w:space="0" w:color="auto"/>
              <w:left w:val="single" w:sz="4" w:space="0" w:color="auto"/>
              <w:bottom w:val="single" w:sz="4" w:space="0" w:color="auto"/>
              <w:right w:val="nil"/>
            </w:tcBorders>
            <w:noWrap/>
            <w:hideMark/>
          </w:tcPr>
          <w:p w14:paraId="23710053" w14:textId="77777777" w:rsidR="0068443A" w:rsidRPr="001F2C96" w:rsidRDefault="0068443A" w:rsidP="0068443A">
            <w:pPr>
              <w:pStyle w:val="Tabletext1"/>
              <w:rPr>
                <w:b/>
              </w:rPr>
            </w:pPr>
            <w:r w:rsidRPr="001F2C96">
              <w:rPr>
                <w:b/>
              </w:rPr>
              <w:t>ICER per additional QALY gained</w:t>
            </w:r>
          </w:p>
        </w:tc>
        <w:tc>
          <w:tcPr>
            <w:tcW w:w="912" w:type="pct"/>
            <w:tcBorders>
              <w:top w:val="single" w:sz="4" w:space="0" w:color="auto"/>
              <w:left w:val="nil"/>
              <w:bottom w:val="single" w:sz="4" w:space="0" w:color="auto"/>
              <w:right w:val="nil"/>
            </w:tcBorders>
            <w:noWrap/>
            <w:hideMark/>
          </w:tcPr>
          <w:p w14:paraId="41263D65" w14:textId="77777777" w:rsidR="0068443A" w:rsidRPr="001F2C96" w:rsidRDefault="0068443A" w:rsidP="0068443A">
            <w:pPr>
              <w:pStyle w:val="Tabletext1"/>
              <w:jc w:val="center"/>
              <w:rPr>
                <w:b/>
              </w:rPr>
            </w:pPr>
          </w:p>
        </w:tc>
        <w:tc>
          <w:tcPr>
            <w:tcW w:w="912" w:type="pct"/>
            <w:tcBorders>
              <w:top w:val="single" w:sz="4" w:space="0" w:color="auto"/>
              <w:left w:val="nil"/>
              <w:bottom w:val="single" w:sz="4" w:space="0" w:color="auto"/>
              <w:right w:val="single" w:sz="4" w:space="0" w:color="auto"/>
            </w:tcBorders>
            <w:noWrap/>
          </w:tcPr>
          <w:p w14:paraId="730E20B2" w14:textId="77777777" w:rsidR="0068443A" w:rsidRPr="001F2C96" w:rsidRDefault="0068443A" w:rsidP="0068443A">
            <w:pPr>
              <w:pStyle w:val="Tabletext1"/>
              <w:jc w:val="center"/>
              <w:rPr>
                <w:rFonts w:ascii="Times New Roman" w:hAnsi="Times New Roman" w:cs="Times New Roman"/>
                <w:b/>
              </w:rPr>
            </w:pPr>
          </w:p>
        </w:tc>
        <w:tc>
          <w:tcPr>
            <w:tcW w:w="911" w:type="pct"/>
            <w:tcBorders>
              <w:top w:val="single" w:sz="4" w:space="0" w:color="auto"/>
              <w:left w:val="single" w:sz="4" w:space="0" w:color="auto"/>
              <w:bottom w:val="single" w:sz="4" w:space="0" w:color="auto"/>
              <w:right w:val="single" w:sz="4" w:space="0" w:color="auto"/>
            </w:tcBorders>
            <w:noWrap/>
          </w:tcPr>
          <w:p w14:paraId="00093C76" w14:textId="7F401769" w:rsidR="0068443A" w:rsidRPr="0068443A" w:rsidRDefault="0068443A" w:rsidP="0068443A">
            <w:pPr>
              <w:pStyle w:val="Tabletext1"/>
              <w:jc w:val="center"/>
              <w:rPr>
                <w:b/>
              </w:rPr>
            </w:pPr>
            <w:r w:rsidRPr="000F3CBC">
              <w:rPr>
                <w:b/>
              </w:rPr>
              <w:t>$92,983</w:t>
            </w:r>
          </w:p>
        </w:tc>
      </w:tr>
    </w:tbl>
    <w:p w14:paraId="14473721" w14:textId="77777777" w:rsidR="00865238" w:rsidRPr="00EF530F" w:rsidRDefault="00865238" w:rsidP="00865238">
      <w:pPr>
        <w:spacing w:after="200" w:line="240" w:lineRule="auto"/>
        <w:ind w:left="57" w:right="57"/>
        <w:contextualSpacing/>
        <w:rPr>
          <w:rFonts w:ascii="Arial Narrow" w:eastAsia="Calibri" w:hAnsi="Arial Narrow" w:cs="Times New Roman"/>
          <w:sz w:val="18"/>
          <w:szCs w:val="18"/>
          <w:lang w:eastAsia="en-US"/>
        </w:rPr>
      </w:pPr>
      <w:r w:rsidRPr="00EF530F">
        <w:rPr>
          <w:rFonts w:ascii="Arial Narrow" w:eastAsia="Calibri" w:hAnsi="Arial Narrow" w:cs="Times New Roman"/>
          <w:sz w:val="18"/>
          <w:szCs w:val="18"/>
          <w:lang w:eastAsia="en-US"/>
        </w:rPr>
        <w:t>ICER = incremental cost-effectiveness ratio; Ig = immunoglobulin; QALY = quality-adjusted life years.</w:t>
      </w:r>
    </w:p>
    <w:p w14:paraId="0B1A9D52" w14:textId="33DECAF9" w:rsidR="00CB034B" w:rsidRDefault="00CB034B" w:rsidP="00CB034B">
      <w:pPr>
        <w:pStyle w:val="BodyTextSTD"/>
      </w:pPr>
      <w:r>
        <w:t xml:space="preserve">Markov traces depicting health state membership over time for Ig and placebo arms are presented in </w:t>
      </w:r>
      <w:r>
        <w:fldChar w:fldCharType="begin"/>
      </w:r>
      <w:r>
        <w:instrText xml:space="preserve"> REF _Ref67404528 \h </w:instrText>
      </w:r>
      <w:r>
        <w:fldChar w:fldCharType="separate"/>
      </w:r>
      <w:r w:rsidR="004B3EA2">
        <w:t xml:space="preserve">Figure </w:t>
      </w:r>
      <w:r w:rsidR="004B3EA2">
        <w:rPr>
          <w:noProof/>
        </w:rPr>
        <w:t>18</w:t>
      </w:r>
      <w:r>
        <w:fldChar w:fldCharType="end"/>
      </w:r>
      <w:r>
        <w:t xml:space="preserve"> and </w:t>
      </w:r>
      <w:r>
        <w:fldChar w:fldCharType="begin"/>
      </w:r>
      <w:r>
        <w:instrText xml:space="preserve"> REF _Ref67404589 \h </w:instrText>
      </w:r>
      <w:r>
        <w:fldChar w:fldCharType="separate"/>
      </w:r>
      <w:r w:rsidR="004B3EA2">
        <w:t xml:space="preserve">Figure </w:t>
      </w:r>
      <w:r w:rsidR="004B3EA2">
        <w:rPr>
          <w:noProof/>
        </w:rPr>
        <w:t>21</w:t>
      </w:r>
      <w:r>
        <w:fldChar w:fldCharType="end"/>
      </w:r>
      <w:r>
        <w:t xml:space="preserve"> in </w:t>
      </w:r>
      <w:r w:rsidRPr="009667AB">
        <w:rPr>
          <w:b/>
        </w:rPr>
        <w:t>Appendix G</w:t>
      </w:r>
      <w:r>
        <w:t>.</w:t>
      </w:r>
    </w:p>
    <w:p w14:paraId="3B520FE6" w14:textId="77777777" w:rsidR="00563672" w:rsidRDefault="00563672" w:rsidP="00563672">
      <w:pPr>
        <w:pStyle w:val="Heading5"/>
      </w:pPr>
      <w:r>
        <w:t>Scenario analyses</w:t>
      </w:r>
    </w:p>
    <w:p w14:paraId="17120C56" w14:textId="25E213BF" w:rsidR="00D646C3" w:rsidRPr="00EF530F" w:rsidRDefault="00D646C3" w:rsidP="00D646C3">
      <w:pPr>
        <w:pStyle w:val="BodyTextSTD"/>
      </w:pPr>
      <w:r w:rsidRPr="00EF530F">
        <w:t xml:space="preserve">Scenario analysis for the modelled base-case </w:t>
      </w:r>
      <w:r>
        <w:t>varying</w:t>
      </w:r>
      <w:r w:rsidRPr="00EF530F">
        <w:t xml:space="preserve"> maintenance dose </w:t>
      </w:r>
      <w:r>
        <w:t xml:space="preserve">for Ig and using alternative cost per gram of Ig </w:t>
      </w:r>
      <w:r w:rsidRPr="00EF530F">
        <w:t xml:space="preserve">are presented </w:t>
      </w:r>
      <w:r>
        <w:t xml:space="preserve">in </w:t>
      </w:r>
      <w:r>
        <w:fldChar w:fldCharType="begin"/>
      </w:r>
      <w:r>
        <w:instrText xml:space="preserve"> REF _Ref67570541 \h </w:instrText>
      </w:r>
      <w:r>
        <w:fldChar w:fldCharType="separate"/>
      </w:r>
      <w:r w:rsidR="004B3EA2" w:rsidRPr="00EF530F">
        <w:t xml:space="preserve">Table </w:t>
      </w:r>
      <w:r w:rsidR="004B3EA2">
        <w:rPr>
          <w:noProof/>
        </w:rPr>
        <w:t>60</w:t>
      </w:r>
      <w:r>
        <w:fldChar w:fldCharType="end"/>
      </w:r>
      <w:r w:rsidRPr="00EF530F">
        <w:t>.</w:t>
      </w:r>
    </w:p>
    <w:p w14:paraId="2A7005E7" w14:textId="7B370CF4" w:rsidR="00D646C3" w:rsidRPr="00EF530F" w:rsidRDefault="00D646C3" w:rsidP="00D646C3">
      <w:pPr>
        <w:pStyle w:val="Caption"/>
      </w:pPr>
      <w:bookmarkStart w:id="386" w:name="_Ref67570541"/>
      <w:bookmarkStart w:id="387" w:name="_Toc69305701"/>
      <w:r w:rsidRPr="00EF530F">
        <w:t xml:space="preserve">Table </w:t>
      </w:r>
      <w:r w:rsidR="00003BA5">
        <w:fldChar w:fldCharType="begin"/>
      </w:r>
      <w:r w:rsidR="00003BA5">
        <w:instrText xml:space="preserve"> SEQ Table \* ARABIC </w:instrText>
      </w:r>
      <w:r w:rsidR="00003BA5">
        <w:fldChar w:fldCharType="separate"/>
      </w:r>
      <w:r w:rsidR="004B3EA2">
        <w:rPr>
          <w:noProof/>
        </w:rPr>
        <w:t>60</w:t>
      </w:r>
      <w:r w:rsidR="00003BA5">
        <w:rPr>
          <w:noProof/>
        </w:rPr>
        <w:fldChar w:fldCharType="end"/>
      </w:r>
      <w:bookmarkEnd w:id="386"/>
      <w:r w:rsidRPr="00EF530F">
        <w:tab/>
        <w:t xml:space="preserve">Scenario analyses, </w:t>
      </w:r>
      <w:r w:rsidR="00A00511">
        <w:t xml:space="preserve">Ig vs BSC, </w:t>
      </w:r>
      <w:r>
        <w:t xml:space="preserve">alternative cost per g of Ig and alternative </w:t>
      </w:r>
      <w:r w:rsidRPr="00EF530F">
        <w:t>maintenance dose</w:t>
      </w:r>
      <w:bookmarkEnd w:id="387"/>
    </w:p>
    <w:tbl>
      <w:tblPr>
        <w:tblStyle w:val="TableGrid11"/>
        <w:tblW w:w="5000" w:type="pct"/>
        <w:tblInd w:w="0" w:type="dxa"/>
        <w:tblLayout w:type="fixed"/>
        <w:tblLook w:val="04A0" w:firstRow="1" w:lastRow="0" w:firstColumn="1" w:lastColumn="0" w:noHBand="0" w:noVBand="1"/>
        <w:tblCaption w:val="Scenario analyses, varying alternative cost per g of Ig and alternative maintenance dose"/>
        <w:tblDescription w:val="Scenario analyses, varying alternative cost per g of Ig and alternative maintenance dose"/>
      </w:tblPr>
      <w:tblGrid>
        <w:gridCol w:w="5666"/>
        <w:gridCol w:w="1275"/>
        <w:gridCol w:w="1134"/>
        <w:gridCol w:w="941"/>
      </w:tblGrid>
      <w:tr w:rsidR="00D646C3" w:rsidRPr="00EF530F" w14:paraId="7491B165" w14:textId="77777777" w:rsidTr="001C27AF">
        <w:trPr>
          <w:cnfStyle w:val="100000000000" w:firstRow="1" w:lastRow="0" w:firstColumn="0" w:lastColumn="0" w:oddVBand="0" w:evenVBand="0" w:oddHBand="0" w:evenHBand="0" w:firstRowFirstColumn="0" w:firstRowLastColumn="0" w:lastRowFirstColumn="0" w:lastRowLastColumn="0"/>
          <w:cantSplit/>
          <w:trHeight w:val="300"/>
          <w:tblHeader/>
        </w:trPr>
        <w:tc>
          <w:tcPr>
            <w:tcW w:w="3142" w:type="pct"/>
            <w:tcBorders>
              <w:top w:val="single" w:sz="4" w:space="0" w:color="auto"/>
              <w:left w:val="single" w:sz="4" w:space="0" w:color="auto"/>
              <w:bottom w:val="single" w:sz="4" w:space="0" w:color="auto"/>
              <w:right w:val="single" w:sz="4" w:space="0" w:color="auto"/>
            </w:tcBorders>
            <w:noWrap/>
            <w:hideMark/>
          </w:tcPr>
          <w:p w14:paraId="269F2D69" w14:textId="0A2DC389" w:rsidR="00D646C3" w:rsidRPr="00EF530F" w:rsidRDefault="00D646C3" w:rsidP="001832D4">
            <w:pPr>
              <w:pStyle w:val="TableHeading"/>
            </w:pPr>
            <w:r w:rsidRPr="00EF530F">
              <w:t>Modelled economic evaluation</w:t>
            </w:r>
          </w:p>
        </w:tc>
        <w:tc>
          <w:tcPr>
            <w:tcW w:w="707" w:type="pct"/>
            <w:tcBorders>
              <w:top w:val="single" w:sz="4" w:space="0" w:color="auto"/>
              <w:left w:val="single" w:sz="4" w:space="0" w:color="auto"/>
              <w:bottom w:val="single" w:sz="4" w:space="0" w:color="auto"/>
              <w:right w:val="single" w:sz="4" w:space="0" w:color="auto"/>
            </w:tcBorders>
            <w:noWrap/>
            <w:hideMark/>
          </w:tcPr>
          <w:p w14:paraId="439DDB5A" w14:textId="77777777" w:rsidR="00D646C3" w:rsidRPr="00EF530F" w:rsidRDefault="00D646C3" w:rsidP="001832D4">
            <w:pPr>
              <w:pStyle w:val="TableHeading"/>
            </w:pPr>
            <w:r w:rsidRPr="00EF530F">
              <w:t>Inc. cost</w:t>
            </w:r>
          </w:p>
        </w:tc>
        <w:tc>
          <w:tcPr>
            <w:tcW w:w="629" w:type="pct"/>
            <w:tcBorders>
              <w:top w:val="single" w:sz="4" w:space="0" w:color="auto"/>
              <w:left w:val="single" w:sz="4" w:space="0" w:color="auto"/>
              <w:bottom w:val="single" w:sz="4" w:space="0" w:color="auto"/>
              <w:right w:val="single" w:sz="4" w:space="0" w:color="auto"/>
            </w:tcBorders>
            <w:noWrap/>
            <w:hideMark/>
          </w:tcPr>
          <w:p w14:paraId="19F4ED1B" w14:textId="77777777" w:rsidR="00D646C3" w:rsidRPr="00EF530F" w:rsidRDefault="00D646C3" w:rsidP="001832D4">
            <w:pPr>
              <w:pStyle w:val="TableHeading"/>
            </w:pPr>
            <w:r w:rsidRPr="00EF530F">
              <w:t>Inc. QALYs</w:t>
            </w:r>
          </w:p>
        </w:tc>
        <w:tc>
          <w:tcPr>
            <w:tcW w:w="522" w:type="pct"/>
            <w:tcBorders>
              <w:top w:val="single" w:sz="4" w:space="0" w:color="auto"/>
              <w:left w:val="single" w:sz="4" w:space="0" w:color="auto"/>
              <w:bottom w:val="single" w:sz="4" w:space="0" w:color="auto"/>
              <w:right w:val="single" w:sz="4" w:space="0" w:color="auto"/>
            </w:tcBorders>
            <w:noWrap/>
            <w:hideMark/>
          </w:tcPr>
          <w:p w14:paraId="6438DD61" w14:textId="77777777" w:rsidR="00D646C3" w:rsidRPr="00EF530F" w:rsidRDefault="00D646C3" w:rsidP="001832D4">
            <w:pPr>
              <w:pStyle w:val="TableHeading"/>
            </w:pPr>
            <w:r w:rsidRPr="00EF530F">
              <w:t>ICER</w:t>
            </w:r>
          </w:p>
        </w:tc>
      </w:tr>
      <w:tr w:rsidR="000A5A6C" w:rsidRPr="00EF530F" w14:paraId="63D7D214" w14:textId="77777777" w:rsidTr="001C27AF">
        <w:trPr>
          <w:cantSplit/>
          <w:trHeight w:val="300"/>
        </w:trPr>
        <w:tc>
          <w:tcPr>
            <w:tcW w:w="3142" w:type="pct"/>
            <w:tcBorders>
              <w:top w:val="single" w:sz="4" w:space="0" w:color="auto"/>
              <w:left w:val="single" w:sz="4" w:space="0" w:color="auto"/>
              <w:bottom w:val="single" w:sz="4" w:space="0" w:color="auto"/>
              <w:right w:val="single" w:sz="4" w:space="0" w:color="auto"/>
            </w:tcBorders>
            <w:noWrap/>
            <w:hideMark/>
          </w:tcPr>
          <w:p w14:paraId="144F63C2" w14:textId="77777777" w:rsidR="000A5A6C" w:rsidRPr="00EF530F" w:rsidRDefault="000A5A6C" w:rsidP="000A5A6C">
            <w:pPr>
              <w:pStyle w:val="Tabletext1"/>
            </w:pPr>
            <w:r w:rsidRPr="00EF530F">
              <w:t>Base-case, maintenance dose for Ig: 0.7g/kg/infusion every 4 weeks</w:t>
            </w:r>
            <w:r>
              <w:t xml:space="preserve">, cost $60.41 per gram of Ig </w:t>
            </w:r>
            <w:r w:rsidRPr="00177B7E">
              <w:t>(domestic IVIg, excluding cost of plasma)</w:t>
            </w:r>
          </w:p>
        </w:tc>
        <w:tc>
          <w:tcPr>
            <w:tcW w:w="707" w:type="pct"/>
            <w:tcBorders>
              <w:top w:val="single" w:sz="4" w:space="0" w:color="auto"/>
              <w:left w:val="single" w:sz="4" w:space="0" w:color="auto"/>
              <w:bottom w:val="single" w:sz="4" w:space="0" w:color="auto"/>
              <w:right w:val="single" w:sz="4" w:space="0" w:color="auto"/>
            </w:tcBorders>
            <w:noWrap/>
          </w:tcPr>
          <w:p w14:paraId="44B2CAE4" w14:textId="77777777" w:rsidR="000A5A6C" w:rsidRPr="001C27AF" w:rsidRDefault="000A5A6C" w:rsidP="001C27AF">
            <w:pPr>
              <w:pStyle w:val="Tabletext1"/>
              <w:jc w:val="right"/>
              <w:rPr>
                <w:b/>
              </w:rPr>
            </w:pPr>
            <w:r w:rsidRPr="001C27AF">
              <w:rPr>
                <w:b/>
              </w:rPr>
              <w:t>$159,573</w:t>
            </w:r>
          </w:p>
        </w:tc>
        <w:tc>
          <w:tcPr>
            <w:tcW w:w="629" w:type="pct"/>
            <w:tcBorders>
              <w:top w:val="single" w:sz="4" w:space="0" w:color="auto"/>
              <w:left w:val="single" w:sz="4" w:space="0" w:color="auto"/>
              <w:bottom w:val="single" w:sz="4" w:space="0" w:color="auto"/>
              <w:right w:val="single" w:sz="4" w:space="0" w:color="auto"/>
            </w:tcBorders>
            <w:noWrap/>
          </w:tcPr>
          <w:p w14:paraId="1A1E5643" w14:textId="5364DF62" w:rsidR="000A5A6C" w:rsidRPr="001C27AF" w:rsidRDefault="000A5A6C" w:rsidP="001C27AF">
            <w:pPr>
              <w:pStyle w:val="Tabletext1"/>
              <w:jc w:val="right"/>
              <w:rPr>
                <w:b/>
              </w:rPr>
            </w:pPr>
            <w:r w:rsidRPr="001C27AF">
              <w:rPr>
                <w:b/>
              </w:rPr>
              <w:t>1.7162</w:t>
            </w:r>
          </w:p>
        </w:tc>
        <w:tc>
          <w:tcPr>
            <w:tcW w:w="522" w:type="pct"/>
            <w:tcBorders>
              <w:top w:val="single" w:sz="4" w:space="0" w:color="auto"/>
              <w:left w:val="single" w:sz="4" w:space="0" w:color="auto"/>
              <w:bottom w:val="single" w:sz="4" w:space="0" w:color="auto"/>
              <w:right w:val="single" w:sz="4" w:space="0" w:color="auto"/>
            </w:tcBorders>
            <w:noWrap/>
          </w:tcPr>
          <w:p w14:paraId="18DFFC1E" w14:textId="6086A2FC" w:rsidR="000A5A6C" w:rsidRPr="001C27AF" w:rsidRDefault="000A5A6C" w:rsidP="001C27AF">
            <w:pPr>
              <w:pStyle w:val="Tabletext1"/>
              <w:jc w:val="right"/>
              <w:rPr>
                <w:b/>
              </w:rPr>
            </w:pPr>
            <w:r w:rsidRPr="001C27AF">
              <w:rPr>
                <w:b/>
              </w:rPr>
              <w:t>$92,983</w:t>
            </w:r>
          </w:p>
        </w:tc>
      </w:tr>
      <w:tr w:rsidR="000A5A6C" w:rsidRPr="00EF530F" w14:paraId="62347046" w14:textId="77777777" w:rsidTr="001C27AF">
        <w:trPr>
          <w:cantSplit/>
          <w:trHeight w:val="300"/>
        </w:trPr>
        <w:tc>
          <w:tcPr>
            <w:tcW w:w="3142" w:type="pct"/>
            <w:tcBorders>
              <w:top w:val="single" w:sz="4" w:space="0" w:color="auto"/>
              <w:left w:val="single" w:sz="4" w:space="0" w:color="auto"/>
              <w:bottom w:val="single" w:sz="4" w:space="0" w:color="auto"/>
              <w:right w:val="single" w:sz="4" w:space="0" w:color="auto"/>
            </w:tcBorders>
            <w:noWrap/>
            <w:hideMark/>
          </w:tcPr>
          <w:p w14:paraId="69A33888" w14:textId="77777777" w:rsidR="000A5A6C" w:rsidRPr="00EF530F" w:rsidRDefault="000A5A6C" w:rsidP="000A5A6C">
            <w:pPr>
              <w:pStyle w:val="Tabletext1"/>
            </w:pPr>
            <w:r w:rsidRPr="00EF530F">
              <w:t>Maintenance dose for Ig: 0.4g/kg/infusion every 4 weeks</w:t>
            </w:r>
          </w:p>
        </w:tc>
        <w:tc>
          <w:tcPr>
            <w:tcW w:w="707" w:type="pct"/>
            <w:tcBorders>
              <w:top w:val="single" w:sz="4" w:space="0" w:color="auto"/>
              <w:left w:val="single" w:sz="4" w:space="0" w:color="auto"/>
              <w:bottom w:val="single" w:sz="4" w:space="0" w:color="auto"/>
              <w:right w:val="single" w:sz="4" w:space="0" w:color="auto"/>
            </w:tcBorders>
            <w:noWrap/>
          </w:tcPr>
          <w:p w14:paraId="35BCAF7F" w14:textId="77777777" w:rsidR="000A5A6C" w:rsidRPr="00EF530F" w:rsidRDefault="000A5A6C" w:rsidP="001C27AF">
            <w:pPr>
              <w:pStyle w:val="Tabletext1"/>
              <w:jc w:val="right"/>
            </w:pPr>
            <w:r w:rsidRPr="0067275A">
              <w:t>$109,757</w:t>
            </w:r>
          </w:p>
        </w:tc>
        <w:tc>
          <w:tcPr>
            <w:tcW w:w="629" w:type="pct"/>
            <w:tcBorders>
              <w:top w:val="single" w:sz="4" w:space="0" w:color="auto"/>
              <w:left w:val="single" w:sz="4" w:space="0" w:color="auto"/>
              <w:bottom w:val="single" w:sz="4" w:space="0" w:color="auto"/>
              <w:right w:val="single" w:sz="4" w:space="0" w:color="auto"/>
            </w:tcBorders>
            <w:noWrap/>
          </w:tcPr>
          <w:p w14:paraId="22A558CE" w14:textId="0AE19273" w:rsidR="000A5A6C" w:rsidRPr="00EF530F" w:rsidRDefault="000A5A6C" w:rsidP="001C27AF">
            <w:pPr>
              <w:pStyle w:val="Tabletext1"/>
              <w:jc w:val="right"/>
            </w:pPr>
            <w:r w:rsidRPr="00952279">
              <w:t>1.7162</w:t>
            </w:r>
          </w:p>
        </w:tc>
        <w:tc>
          <w:tcPr>
            <w:tcW w:w="522" w:type="pct"/>
            <w:tcBorders>
              <w:top w:val="single" w:sz="4" w:space="0" w:color="auto"/>
              <w:left w:val="single" w:sz="4" w:space="0" w:color="auto"/>
              <w:bottom w:val="single" w:sz="4" w:space="0" w:color="auto"/>
              <w:right w:val="single" w:sz="4" w:space="0" w:color="auto"/>
            </w:tcBorders>
            <w:noWrap/>
          </w:tcPr>
          <w:p w14:paraId="3C4C9D1F" w14:textId="432175C8" w:rsidR="000A5A6C" w:rsidRPr="00EF530F" w:rsidRDefault="000A5A6C" w:rsidP="001C27AF">
            <w:pPr>
              <w:pStyle w:val="Tabletext1"/>
              <w:jc w:val="right"/>
            </w:pPr>
            <w:r w:rsidRPr="00952279">
              <w:t>$63,955</w:t>
            </w:r>
          </w:p>
        </w:tc>
      </w:tr>
      <w:tr w:rsidR="000A5A6C" w:rsidRPr="00EF530F" w14:paraId="0895F0D5" w14:textId="77777777" w:rsidTr="001C27AF">
        <w:trPr>
          <w:cantSplit/>
          <w:trHeight w:val="300"/>
        </w:trPr>
        <w:tc>
          <w:tcPr>
            <w:tcW w:w="3142" w:type="pct"/>
            <w:tcBorders>
              <w:top w:val="single" w:sz="4" w:space="0" w:color="auto"/>
              <w:left w:val="single" w:sz="4" w:space="0" w:color="auto"/>
              <w:bottom w:val="single" w:sz="4" w:space="0" w:color="auto"/>
              <w:right w:val="single" w:sz="4" w:space="0" w:color="auto"/>
            </w:tcBorders>
            <w:noWrap/>
            <w:hideMark/>
          </w:tcPr>
          <w:p w14:paraId="10C4083F" w14:textId="77777777" w:rsidR="000A5A6C" w:rsidRPr="00EF530F" w:rsidRDefault="000A5A6C" w:rsidP="000A5A6C">
            <w:pPr>
              <w:pStyle w:val="Tabletext1"/>
            </w:pPr>
            <w:r w:rsidRPr="00EF530F">
              <w:t>Maintenance dose for Ig: 1.0g/kg/infusion every 4 weeks</w:t>
            </w:r>
          </w:p>
        </w:tc>
        <w:tc>
          <w:tcPr>
            <w:tcW w:w="707" w:type="pct"/>
            <w:tcBorders>
              <w:top w:val="single" w:sz="4" w:space="0" w:color="auto"/>
              <w:left w:val="single" w:sz="4" w:space="0" w:color="auto"/>
              <w:bottom w:val="single" w:sz="4" w:space="0" w:color="auto"/>
              <w:right w:val="single" w:sz="4" w:space="0" w:color="auto"/>
            </w:tcBorders>
            <w:noWrap/>
          </w:tcPr>
          <w:p w14:paraId="4B7D120E" w14:textId="77777777" w:rsidR="000A5A6C" w:rsidRPr="00EF530F" w:rsidRDefault="000A5A6C" w:rsidP="001C27AF">
            <w:pPr>
              <w:pStyle w:val="Tabletext1"/>
              <w:jc w:val="right"/>
            </w:pPr>
            <w:r w:rsidRPr="0067275A">
              <w:t>$209,388</w:t>
            </w:r>
          </w:p>
        </w:tc>
        <w:tc>
          <w:tcPr>
            <w:tcW w:w="629" w:type="pct"/>
            <w:tcBorders>
              <w:top w:val="single" w:sz="4" w:space="0" w:color="auto"/>
              <w:left w:val="single" w:sz="4" w:space="0" w:color="auto"/>
              <w:bottom w:val="single" w:sz="4" w:space="0" w:color="auto"/>
              <w:right w:val="single" w:sz="4" w:space="0" w:color="auto"/>
            </w:tcBorders>
            <w:noWrap/>
          </w:tcPr>
          <w:p w14:paraId="182A93A2" w14:textId="08776133" w:rsidR="000A5A6C" w:rsidRPr="00EF530F" w:rsidRDefault="000A5A6C" w:rsidP="001C27AF">
            <w:pPr>
              <w:pStyle w:val="Tabletext1"/>
              <w:jc w:val="right"/>
            </w:pPr>
            <w:r w:rsidRPr="00952279">
              <w:t>1.7162</w:t>
            </w:r>
          </w:p>
        </w:tc>
        <w:tc>
          <w:tcPr>
            <w:tcW w:w="522" w:type="pct"/>
            <w:tcBorders>
              <w:top w:val="single" w:sz="4" w:space="0" w:color="auto"/>
              <w:left w:val="single" w:sz="4" w:space="0" w:color="auto"/>
              <w:bottom w:val="single" w:sz="4" w:space="0" w:color="auto"/>
              <w:right w:val="single" w:sz="4" w:space="0" w:color="auto"/>
            </w:tcBorders>
            <w:noWrap/>
          </w:tcPr>
          <w:p w14:paraId="346E5A96" w14:textId="1FA50458" w:rsidR="000A5A6C" w:rsidRPr="00EF530F" w:rsidRDefault="000A5A6C" w:rsidP="001C27AF">
            <w:pPr>
              <w:pStyle w:val="Tabletext1"/>
              <w:jc w:val="right"/>
            </w:pPr>
            <w:r w:rsidRPr="00952279">
              <w:t>$122,010</w:t>
            </w:r>
          </w:p>
        </w:tc>
      </w:tr>
      <w:tr w:rsidR="000A5A6C" w:rsidRPr="00EF530F" w14:paraId="11940F55" w14:textId="77777777" w:rsidTr="001C27AF">
        <w:trPr>
          <w:cantSplit/>
          <w:trHeight w:val="300"/>
        </w:trPr>
        <w:tc>
          <w:tcPr>
            <w:tcW w:w="3142" w:type="pct"/>
            <w:tcBorders>
              <w:top w:val="single" w:sz="4" w:space="0" w:color="auto"/>
              <w:left w:val="single" w:sz="4" w:space="0" w:color="auto"/>
              <w:bottom w:val="single" w:sz="4" w:space="0" w:color="auto"/>
              <w:right w:val="single" w:sz="4" w:space="0" w:color="auto"/>
            </w:tcBorders>
            <w:noWrap/>
          </w:tcPr>
          <w:p w14:paraId="7B44C1AA" w14:textId="77777777" w:rsidR="000A5A6C" w:rsidRPr="00EF530F" w:rsidRDefault="000A5A6C" w:rsidP="000A5A6C">
            <w:pPr>
              <w:pStyle w:val="Tabletext1"/>
            </w:pPr>
            <w:r w:rsidRPr="00021A77">
              <w:t>High cost (domestic IVIg, including cost of plasma), $140.18 per gram of Ig</w:t>
            </w:r>
          </w:p>
        </w:tc>
        <w:tc>
          <w:tcPr>
            <w:tcW w:w="707" w:type="pct"/>
            <w:tcBorders>
              <w:top w:val="single" w:sz="4" w:space="0" w:color="auto"/>
              <w:left w:val="single" w:sz="4" w:space="0" w:color="auto"/>
              <w:bottom w:val="single" w:sz="4" w:space="0" w:color="auto"/>
              <w:right w:val="single" w:sz="4" w:space="0" w:color="auto"/>
            </w:tcBorders>
            <w:noWrap/>
          </w:tcPr>
          <w:p w14:paraId="17C68FFF" w14:textId="77777777" w:rsidR="000A5A6C" w:rsidRPr="004A55FD" w:rsidRDefault="000A5A6C" w:rsidP="001C27AF">
            <w:pPr>
              <w:pStyle w:val="Tabletext1"/>
              <w:jc w:val="right"/>
            </w:pPr>
            <w:r w:rsidRPr="00457E29">
              <w:t>$332,925</w:t>
            </w:r>
          </w:p>
        </w:tc>
        <w:tc>
          <w:tcPr>
            <w:tcW w:w="629" w:type="pct"/>
            <w:tcBorders>
              <w:top w:val="single" w:sz="4" w:space="0" w:color="auto"/>
              <w:left w:val="single" w:sz="4" w:space="0" w:color="auto"/>
              <w:bottom w:val="single" w:sz="4" w:space="0" w:color="auto"/>
              <w:right w:val="single" w:sz="4" w:space="0" w:color="auto"/>
            </w:tcBorders>
            <w:noWrap/>
          </w:tcPr>
          <w:p w14:paraId="378ED938" w14:textId="7A9A9AB0" w:rsidR="000A5A6C" w:rsidRPr="004A55FD" w:rsidRDefault="000A5A6C" w:rsidP="001C27AF">
            <w:pPr>
              <w:pStyle w:val="Tabletext1"/>
              <w:jc w:val="right"/>
            </w:pPr>
            <w:r w:rsidRPr="003D7C15">
              <w:t>1.7162</w:t>
            </w:r>
          </w:p>
        </w:tc>
        <w:tc>
          <w:tcPr>
            <w:tcW w:w="522" w:type="pct"/>
            <w:tcBorders>
              <w:top w:val="single" w:sz="4" w:space="0" w:color="auto"/>
              <w:left w:val="single" w:sz="4" w:space="0" w:color="auto"/>
              <w:bottom w:val="single" w:sz="4" w:space="0" w:color="auto"/>
              <w:right w:val="single" w:sz="4" w:space="0" w:color="auto"/>
            </w:tcBorders>
            <w:noWrap/>
          </w:tcPr>
          <w:p w14:paraId="7E2FF9EE" w14:textId="1AC9A274" w:rsidR="000A5A6C" w:rsidRPr="004A55FD" w:rsidRDefault="000A5A6C" w:rsidP="001C27AF">
            <w:pPr>
              <w:pStyle w:val="Tabletext1"/>
              <w:jc w:val="right"/>
            </w:pPr>
            <w:r w:rsidRPr="003D7C15">
              <w:t>$193,995</w:t>
            </w:r>
          </w:p>
        </w:tc>
      </w:tr>
      <w:tr w:rsidR="000A5A6C" w:rsidRPr="00EF530F" w14:paraId="79D5FB26" w14:textId="77777777" w:rsidTr="001C27AF">
        <w:trPr>
          <w:cantSplit/>
          <w:trHeight w:val="300"/>
        </w:trPr>
        <w:tc>
          <w:tcPr>
            <w:tcW w:w="3142" w:type="pct"/>
            <w:tcBorders>
              <w:top w:val="single" w:sz="4" w:space="0" w:color="auto"/>
              <w:left w:val="single" w:sz="4" w:space="0" w:color="auto"/>
              <w:bottom w:val="single" w:sz="4" w:space="0" w:color="auto"/>
              <w:right w:val="single" w:sz="4" w:space="0" w:color="auto"/>
            </w:tcBorders>
            <w:noWrap/>
          </w:tcPr>
          <w:p w14:paraId="781CEAB2" w14:textId="77777777" w:rsidR="000A5A6C" w:rsidRPr="00EF530F" w:rsidRDefault="000A5A6C" w:rsidP="000A5A6C">
            <w:pPr>
              <w:pStyle w:val="Tabletext1"/>
            </w:pPr>
            <w:r w:rsidRPr="00021A77">
              <w:t>Low cost (imported IVIg), $44.94 per gram of Ig</w:t>
            </w:r>
          </w:p>
        </w:tc>
        <w:tc>
          <w:tcPr>
            <w:tcW w:w="707" w:type="pct"/>
            <w:tcBorders>
              <w:top w:val="single" w:sz="4" w:space="0" w:color="auto"/>
              <w:left w:val="single" w:sz="4" w:space="0" w:color="auto"/>
              <w:bottom w:val="single" w:sz="4" w:space="0" w:color="auto"/>
              <w:right w:val="single" w:sz="4" w:space="0" w:color="auto"/>
            </w:tcBorders>
            <w:noWrap/>
          </w:tcPr>
          <w:p w14:paraId="08649F0F" w14:textId="77777777" w:rsidR="000A5A6C" w:rsidRPr="004A55FD" w:rsidRDefault="000A5A6C" w:rsidP="001C27AF">
            <w:pPr>
              <w:pStyle w:val="Tabletext1"/>
              <w:jc w:val="right"/>
            </w:pPr>
            <w:r w:rsidRPr="00457E29">
              <w:t>$125,954</w:t>
            </w:r>
          </w:p>
        </w:tc>
        <w:tc>
          <w:tcPr>
            <w:tcW w:w="629" w:type="pct"/>
            <w:tcBorders>
              <w:top w:val="single" w:sz="4" w:space="0" w:color="auto"/>
              <w:left w:val="single" w:sz="4" w:space="0" w:color="auto"/>
              <w:bottom w:val="single" w:sz="4" w:space="0" w:color="auto"/>
              <w:right w:val="single" w:sz="4" w:space="0" w:color="auto"/>
            </w:tcBorders>
            <w:noWrap/>
          </w:tcPr>
          <w:p w14:paraId="1736C79C" w14:textId="2FACEB7A" w:rsidR="000A5A6C" w:rsidRPr="004A55FD" w:rsidRDefault="000A5A6C" w:rsidP="001C27AF">
            <w:pPr>
              <w:pStyle w:val="Tabletext1"/>
              <w:jc w:val="right"/>
            </w:pPr>
            <w:r w:rsidRPr="003D7C15">
              <w:t>1.7162</w:t>
            </w:r>
          </w:p>
        </w:tc>
        <w:tc>
          <w:tcPr>
            <w:tcW w:w="522" w:type="pct"/>
            <w:tcBorders>
              <w:top w:val="single" w:sz="4" w:space="0" w:color="auto"/>
              <w:left w:val="single" w:sz="4" w:space="0" w:color="auto"/>
              <w:bottom w:val="single" w:sz="4" w:space="0" w:color="auto"/>
              <w:right w:val="single" w:sz="4" w:space="0" w:color="auto"/>
            </w:tcBorders>
            <w:noWrap/>
          </w:tcPr>
          <w:p w14:paraId="2B947840" w14:textId="7F046881" w:rsidR="000A5A6C" w:rsidRPr="004A55FD" w:rsidRDefault="000A5A6C" w:rsidP="001C27AF">
            <w:pPr>
              <w:pStyle w:val="Tabletext1"/>
              <w:jc w:val="right"/>
            </w:pPr>
            <w:r w:rsidRPr="003D7C15">
              <w:t>$73,393</w:t>
            </w:r>
          </w:p>
        </w:tc>
      </w:tr>
      <w:tr w:rsidR="000A5A6C" w:rsidRPr="00EF530F" w14:paraId="4184A6B3" w14:textId="77777777" w:rsidTr="001C27AF">
        <w:trPr>
          <w:cantSplit/>
          <w:trHeight w:val="300"/>
        </w:trPr>
        <w:tc>
          <w:tcPr>
            <w:tcW w:w="3142" w:type="pct"/>
            <w:tcBorders>
              <w:top w:val="single" w:sz="4" w:space="0" w:color="auto"/>
              <w:left w:val="single" w:sz="4" w:space="0" w:color="auto"/>
              <w:bottom w:val="single" w:sz="4" w:space="0" w:color="auto"/>
              <w:right w:val="single" w:sz="4" w:space="0" w:color="auto"/>
            </w:tcBorders>
            <w:noWrap/>
          </w:tcPr>
          <w:p w14:paraId="2110E116" w14:textId="0E966B94" w:rsidR="000A5A6C" w:rsidRPr="00EF530F" w:rsidRDefault="001C27AF" w:rsidP="000A5A6C">
            <w:pPr>
              <w:pStyle w:val="Tabletext1"/>
            </w:pPr>
            <w:r>
              <w:t>W</w:t>
            </w:r>
            <w:r w:rsidR="000A5A6C" w:rsidRPr="00021A77">
              <w:t>eighted average across all indications, $94.51 per gram of Ig</w:t>
            </w:r>
          </w:p>
        </w:tc>
        <w:tc>
          <w:tcPr>
            <w:tcW w:w="707" w:type="pct"/>
            <w:tcBorders>
              <w:top w:val="single" w:sz="4" w:space="0" w:color="auto"/>
              <w:left w:val="single" w:sz="4" w:space="0" w:color="auto"/>
              <w:bottom w:val="single" w:sz="4" w:space="0" w:color="auto"/>
              <w:right w:val="single" w:sz="4" w:space="0" w:color="auto"/>
            </w:tcBorders>
            <w:noWrap/>
          </w:tcPr>
          <w:p w14:paraId="1F97BB45" w14:textId="77777777" w:rsidR="000A5A6C" w:rsidRPr="004A55FD" w:rsidRDefault="000A5A6C" w:rsidP="001C27AF">
            <w:pPr>
              <w:pStyle w:val="Tabletext1"/>
              <w:jc w:val="right"/>
            </w:pPr>
            <w:r w:rsidRPr="00457E29">
              <w:t>$233,670</w:t>
            </w:r>
          </w:p>
        </w:tc>
        <w:tc>
          <w:tcPr>
            <w:tcW w:w="629" w:type="pct"/>
            <w:tcBorders>
              <w:top w:val="single" w:sz="4" w:space="0" w:color="auto"/>
              <w:left w:val="single" w:sz="4" w:space="0" w:color="auto"/>
              <w:bottom w:val="single" w:sz="4" w:space="0" w:color="auto"/>
              <w:right w:val="single" w:sz="4" w:space="0" w:color="auto"/>
            </w:tcBorders>
            <w:noWrap/>
          </w:tcPr>
          <w:p w14:paraId="1AF81B56" w14:textId="5719D65E" w:rsidR="000A5A6C" w:rsidRPr="004A55FD" w:rsidRDefault="000A5A6C" w:rsidP="001C27AF">
            <w:pPr>
              <w:pStyle w:val="Tabletext1"/>
              <w:jc w:val="right"/>
            </w:pPr>
            <w:r w:rsidRPr="003D7C15">
              <w:t>1.7162</w:t>
            </w:r>
          </w:p>
        </w:tc>
        <w:tc>
          <w:tcPr>
            <w:tcW w:w="522" w:type="pct"/>
            <w:tcBorders>
              <w:top w:val="single" w:sz="4" w:space="0" w:color="auto"/>
              <w:left w:val="single" w:sz="4" w:space="0" w:color="auto"/>
              <w:bottom w:val="single" w:sz="4" w:space="0" w:color="auto"/>
              <w:right w:val="single" w:sz="4" w:space="0" w:color="auto"/>
            </w:tcBorders>
            <w:noWrap/>
          </w:tcPr>
          <w:p w14:paraId="3B3D80D8" w14:textId="162698C8" w:rsidR="000A5A6C" w:rsidRPr="004A55FD" w:rsidRDefault="000A5A6C" w:rsidP="001C27AF">
            <w:pPr>
              <w:pStyle w:val="Tabletext1"/>
              <w:jc w:val="right"/>
            </w:pPr>
            <w:r w:rsidRPr="003D7C15">
              <w:t>$136,159</w:t>
            </w:r>
          </w:p>
        </w:tc>
      </w:tr>
    </w:tbl>
    <w:p w14:paraId="18FBFEC4" w14:textId="5E7BA1F0" w:rsidR="00D646C3" w:rsidRDefault="00A00511" w:rsidP="00D646C3">
      <w:pPr>
        <w:spacing w:after="200" w:line="240" w:lineRule="auto"/>
        <w:ind w:left="57" w:right="57"/>
        <w:contextualSpacing/>
        <w:rPr>
          <w:rFonts w:ascii="Arial Narrow" w:eastAsia="Calibri" w:hAnsi="Arial Narrow" w:cs="Times New Roman"/>
          <w:sz w:val="18"/>
          <w:szCs w:val="18"/>
          <w:lang w:eastAsia="en-US"/>
        </w:rPr>
      </w:pPr>
      <w:r>
        <w:rPr>
          <w:rFonts w:ascii="Arial Narrow" w:eastAsia="Calibri" w:hAnsi="Arial Narrow" w:cs="Times New Roman"/>
          <w:sz w:val="18"/>
          <w:szCs w:val="18"/>
          <w:lang w:eastAsia="en-US"/>
        </w:rPr>
        <w:t xml:space="preserve">BSC = </w:t>
      </w:r>
      <w:r w:rsidRPr="00A00511">
        <w:rPr>
          <w:rFonts w:ascii="Arial Narrow" w:eastAsia="Calibri" w:hAnsi="Arial Narrow" w:cs="Times New Roman"/>
          <w:sz w:val="18"/>
          <w:szCs w:val="18"/>
          <w:lang w:eastAsia="en-US"/>
        </w:rPr>
        <w:t>best supportive care</w:t>
      </w:r>
      <w:r>
        <w:rPr>
          <w:rFonts w:ascii="Arial Narrow" w:eastAsia="Calibri" w:hAnsi="Arial Narrow" w:cs="Times New Roman"/>
          <w:sz w:val="18"/>
          <w:szCs w:val="18"/>
          <w:lang w:eastAsia="en-US"/>
        </w:rPr>
        <w:t>;</w:t>
      </w:r>
      <w:r w:rsidRPr="00A00511">
        <w:rPr>
          <w:rFonts w:ascii="Arial Narrow" w:eastAsia="Calibri" w:hAnsi="Arial Narrow" w:cs="Times New Roman"/>
          <w:sz w:val="18"/>
          <w:szCs w:val="18"/>
          <w:lang w:eastAsia="en-US"/>
        </w:rPr>
        <w:t xml:space="preserve"> </w:t>
      </w:r>
      <w:r w:rsidR="00D646C3" w:rsidRPr="00EF530F">
        <w:rPr>
          <w:rFonts w:ascii="Arial Narrow" w:eastAsia="Calibri" w:hAnsi="Arial Narrow" w:cs="Times New Roman"/>
          <w:sz w:val="18"/>
          <w:szCs w:val="18"/>
          <w:lang w:eastAsia="en-US"/>
        </w:rPr>
        <w:t>g = grams; ICER = incremental cost-effectiveness ratio; Ig = immunoglobulin; Inc = Incremental;</w:t>
      </w:r>
      <w:r w:rsidR="00D646C3">
        <w:rPr>
          <w:rFonts w:ascii="Arial Narrow" w:eastAsia="Calibri" w:hAnsi="Arial Narrow" w:cs="Times New Roman"/>
          <w:sz w:val="18"/>
          <w:szCs w:val="18"/>
          <w:lang w:eastAsia="en-US"/>
        </w:rPr>
        <w:t xml:space="preserve"> IV = intravenous;</w:t>
      </w:r>
      <w:r w:rsidR="00D646C3" w:rsidRPr="00EF530F">
        <w:rPr>
          <w:rFonts w:ascii="Arial Narrow" w:eastAsia="Calibri" w:hAnsi="Arial Narrow" w:cs="Times New Roman"/>
          <w:sz w:val="18"/>
          <w:szCs w:val="18"/>
          <w:lang w:eastAsia="en-US"/>
        </w:rPr>
        <w:t xml:space="preserve"> kg = kilograms; QALY = quality-adjusted life years</w:t>
      </w:r>
    </w:p>
    <w:p w14:paraId="16696199" w14:textId="522C6F7F" w:rsidR="00D646C3" w:rsidRPr="00813E77" w:rsidRDefault="00D646C3" w:rsidP="00D646C3">
      <w:pPr>
        <w:pStyle w:val="BodyTextSTD"/>
      </w:pPr>
      <w:r>
        <w:t>The ICERs vary substantially in the range of $</w:t>
      </w:r>
      <w:r w:rsidR="004E485C">
        <w:t>63,955</w:t>
      </w:r>
      <w:r>
        <w:t xml:space="preserve"> –$</w:t>
      </w:r>
      <w:r w:rsidR="004E485C">
        <w:t>122,010</w:t>
      </w:r>
      <w:r>
        <w:t xml:space="preserve"> per QALY gained when maintenance dose for Ig infusion is varied from 0.4–1.0 g/kg. The ICERs are highly sensitive to the cost per gram of Ig used in the model, values ranging from $</w:t>
      </w:r>
      <w:r w:rsidR="008E259D">
        <w:t>7</w:t>
      </w:r>
      <w:r w:rsidR="004E485C">
        <w:t>3,393</w:t>
      </w:r>
      <w:r>
        <w:t xml:space="preserve"> – $</w:t>
      </w:r>
      <w:r w:rsidR="004E485C">
        <w:t>193,995</w:t>
      </w:r>
      <w:r>
        <w:t>.</w:t>
      </w:r>
    </w:p>
    <w:p w14:paraId="0790DC7C" w14:textId="5D03911D" w:rsidR="00CB034B" w:rsidRDefault="00CB034B" w:rsidP="00CB034B">
      <w:pPr>
        <w:pStyle w:val="Heading2"/>
        <w:rPr>
          <w:rFonts w:eastAsia="Calibri"/>
        </w:rPr>
      </w:pPr>
      <w:bookmarkStart w:id="388" w:name="_Toc69305600"/>
      <w:r>
        <w:rPr>
          <w:rFonts w:eastAsia="Calibri"/>
        </w:rPr>
        <w:t>D.6.</w:t>
      </w:r>
      <w:r>
        <w:rPr>
          <w:rFonts w:eastAsia="Calibri"/>
        </w:rPr>
        <w:tab/>
        <w:t>Sensitivity analysis</w:t>
      </w:r>
      <w:bookmarkEnd w:id="388"/>
    </w:p>
    <w:p w14:paraId="012D2CEA" w14:textId="77777777" w:rsidR="0094332C" w:rsidRDefault="0094332C" w:rsidP="0094332C">
      <w:pPr>
        <w:pStyle w:val="Heading3"/>
        <w:rPr>
          <w:rFonts w:eastAsia="Calibri"/>
        </w:rPr>
      </w:pPr>
      <w:bookmarkStart w:id="389" w:name="_Toc69305601"/>
      <w:r>
        <w:rPr>
          <w:rFonts w:eastAsia="Calibri"/>
        </w:rPr>
        <w:t>Administration costs per Ig infusion</w:t>
      </w:r>
      <w:bookmarkEnd w:id="389"/>
    </w:p>
    <w:p w14:paraId="3D20ADAD" w14:textId="0FC7100F" w:rsidR="0094332C" w:rsidRPr="00B7309B" w:rsidRDefault="00970677" w:rsidP="0094332C">
      <w:pPr>
        <w:pStyle w:val="BodyTextSTD"/>
        <w:rPr>
          <w:rFonts w:eastAsia="Calibri"/>
        </w:rPr>
      </w:pPr>
      <w:r>
        <w:rPr>
          <w:rFonts w:eastAsia="Calibri"/>
        </w:rPr>
        <w:t xml:space="preserve">The base case estimates the administration cost per Ig infusion as $693. Sensitivity analyses were performed varying the administration cost; as expected, decreasing this cost reduces the ICERs in favour of Ig, to varying extents across the different comparisons. There is minimal impact for the Ig versus corticosteroids comparison (as the same administration cost is applied to both IVIg and corticosteroid (IVMP) infusions). The impact in the Ig versus BSC comparison is also fairly small. However, in the Ig versus PE comparison, the ICER is more sensitive to this variable; reducing the administration cost per Ig infusion to values between $200 – $500 reduces the ICERs by 15%–39%. </w:t>
      </w:r>
      <w:r w:rsidR="00CD16FE">
        <w:rPr>
          <w:rFonts w:eastAsia="Calibri"/>
        </w:rPr>
        <w:fldChar w:fldCharType="begin"/>
      </w:r>
      <w:r w:rsidR="00CD16FE">
        <w:rPr>
          <w:rFonts w:eastAsia="Calibri"/>
        </w:rPr>
        <w:instrText xml:space="preserve"> REF _Ref67995426 \h </w:instrText>
      </w:r>
      <w:r w:rsidR="00CD16FE">
        <w:rPr>
          <w:rFonts w:eastAsia="Calibri"/>
        </w:rPr>
      </w:r>
      <w:r w:rsidR="00CD16FE">
        <w:rPr>
          <w:rFonts w:eastAsia="Calibri"/>
        </w:rPr>
        <w:fldChar w:fldCharType="separate"/>
      </w:r>
      <w:r w:rsidR="004B3EA2">
        <w:t xml:space="preserve">Table </w:t>
      </w:r>
      <w:r w:rsidR="004B3EA2">
        <w:rPr>
          <w:noProof/>
        </w:rPr>
        <w:t>61</w:t>
      </w:r>
      <w:r w:rsidR="00CD16FE">
        <w:rPr>
          <w:rFonts w:eastAsia="Calibri"/>
        </w:rPr>
        <w:fldChar w:fldCharType="end"/>
      </w:r>
      <w:r w:rsidR="00CD16FE">
        <w:rPr>
          <w:rFonts w:eastAsia="Calibri"/>
        </w:rPr>
        <w:t xml:space="preserve"> presents a summary of results for sensitivity analyses changing the administration cost of Ig per infusion.</w:t>
      </w:r>
    </w:p>
    <w:p w14:paraId="29B3A72F" w14:textId="4B3F6F76" w:rsidR="0094332C" w:rsidRDefault="0094332C" w:rsidP="0094332C">
      <w:pPr>
        <w:pStyle w:val="Caption"/>
      </w:pPr>
      <w:bookmarkStart w:id="390" w:name="_Ref67995426"/>
      <w:bookmarkStart w:id="391" w:name="_Toc69305702"/>
      <w:r>
        <w:t xml:space="preserve">Table </w:t>
      </w:r>
      <w:r w:rsidR="00003BA5">
        <w:fldChar w:fldCharType="begin"/>
      </w:r>
      <w:r w:rsidR="00003BA5">
        <w:instrText xml:space="preserve"> SEQ Table \* ARABIC </w:instrText>
      </w:r>
      <w:r w:rsidR="00003BA5">
        <w:fldChar w:fldCharType="separate"/>
      </w:r>
      <w:r w:rsidR="004B3EA2">
        <w:rPr>
          <w:noProof/>
        </w:rPr>
        <w:t>61</w:t>
      </w:r>
      <w:r w:rsidR="00003BA5">
        <w:rPr>
          <w:noProof/>
        </w:rPr>
        <w:fldChar w:fldCharType="end"/>
      </w:r>
      <w:bookmarkEnd w:id="390"/>
      <w:r>
        <w:tab/>
        <w:t>Sensitivity analyses, administration costs per Ig infusion</w:t>
      </w:r>
      <w:bookmarkEnd w:id="391"/>
    </w:p>
    <w:tbl>
      <w:tblPr>
        <w:tblStyle w:val="TableGrid"/>
        <w:tblW w:w="5000" w:type="pct"/>
        <w:tblLayout w:type="fixed"/>
        <w:tblLook w:val="04A0" w:firstRow="1" w:lastRow="0" w:firstColumn="1" w:lastColumn="0" w:noHBand="0" w:noVBand="1"/>
        <w:tblCaption w:val="Sensitivity analyses, administration costs per Ig infusion"/>
        <w:tblDescription w:val="Sensitivity analyses, administration costs per Ig infusion"/>
      </w:tblPr>
      <w:tblGrid>
        <w:gridCol w:w="4106"/>
        <w:gridCol w:w="1277"/>
        <w:gridCol w:w="1275"/>
        <w:gridCol w:w="1134"/>
        <w:gridCol w:w="1224"/>
      </w:tblGrid>
      <w:tr w:rsidR="0094332C" w:rsidRPr="00B7309B" w14:paraId="465E4CF8" w14:textId="77777777" w:rsidTr="00CB0278">
        <w:trPr>
          <w:trHeight w:val="315"/>
          <w:tblHeader/>
        </w:trPr>
        <w:tc>
          <w:tcPr>
            <w:tcW w:w="2277" w:type="pct"/>
            <w:noWrap/>
            <w:hideMark/>
          </w:tcPr>
          <w:p w14:paraId="6C217323" w14:textId="77777777" w:rsidR="0094332C" w:rsidRPr="00B7309B" w:rsidRDefault="0094332C" w:rsidP="000F3CBC">
            <w:pPr>
              <w:pStyle w:val="TableHeading"/>
            </w:pPr>
          </w:p>
        </w:tc>
        <w:tc>
          <w:tcPr>
            <w:tcW w:w="708" w:type="pct"/>
            <w:noWrap/>
            <w:hideMark/>
          </w:tcPr>
          <w:p w14:paraId="5A4B0757" w14:textId="77777777" w:rsidR="0094332C" w:rsidRPr="00B7309B" w:rsidRDefault="0094332C" w:rsidP="000F3CBC">
            <w:pPr>
              <w:pStyle w:val="TableHeading"/>
              <w:ind w:left="0"/>
            </w:pPr>
            <w:r w:rsidRPr="00B7309B">
              <w:t>Inc. cost</w:t>
            </w:r>
          </w:p>
        </w:tc>
        <w:tc>
          <w:tcPr>
            <w:tcW w:w="707" w:type="pct"/>
            <w:noWrap/>
            <w:hideMark/>
          </w:tcPr>
          <w:p w14:paraId="0B6577BD" w14:textId="77777777" w:rsidR="0094332C" w:rsidRPr="00B7309B" w:rsidRDefault="0094332C" w:rsidP="000F3CBC">
            <w:pPr>
              <w:pStyle w:val="TableHeading"/>
              <w:ind w:left="0"/>
            </w:pPr>
            <w:r w:rsidRPr="00B7309B">
              <w:t>Inc. QALYs</w:t>
            </w:r>
          </w:p>
        </w:tc>
        <w:tc>
          <w:tcPr>
            <w:tcW w:w="629" w:type="pct"/>
            <w:noWrap/>
            <w:hideMark/>
          </w:tcPr>
          <w:p w14:paraId="4EAF4D0D" w14:textId="77777777" w:rsidR="0094332C" w:rsidRPr="00B7309B" w:rsidRDefault="0094332C" w:rsidP="000F3CBC">
            <w:pPr>
              <w:pStyle w:val="TableHeading"/>
              <w:ind w:left="0"/>
            </w:pPr>
            <w:r w:rsidRPr="00B7309B">
              <w:t>ICER</w:t>
            </w:r>
          </w:p>
        </w:tc>
        <w:tc>
          <w:tcPr>
            <w:tcW w:w="679" w:type="pct"/>
            <w:noWrap/>
            <w:hideMark/>
          </w:tcPr>
          <w:p w14:paraId="362BB8D3" w14:textId="77777777" w:rsidR="0094332C" w:rsidRPr="00B7309B" w:rsidRDefault="0094332C" w:rsidP="000F3CBC">
            <w:pPr>
              <w:pStyle w:val="TableHeading"/>
              <w:ind w:left="0"/>
            </w:pPr>
            <w:r w:rsidRPr="00B7309B">
              <w:t xml:space="preserve">%Change </w:t>
            </w:r>
          </w:p>
        </w:tc>
      </w:tr>
      <w:tr w:rsidR="0094332C" w:rsidRPr="00B84DA7" w14:paraId="3B5C672F" w14:textId="77777777" w:rsidTr="00CB0278">
        <w:trPr>
          <w:trHeight w:val="315"/>
        </w:trPr>
        <w:tc>
          <w:tcPr>
            <w:tcW w:w="2277" w:type="pct"/>
            <w:noWrap/>
          </w:tcPr>
          <w:p w14:paraId="2ABBA986" w14:textId="77777777" w:rsidR="0094332C" w:rsidRPr="00B84DA7" w:rsidRDefault="0094332C" w:rsidP="00CB0278">
            <w:pPr>
              <w:pStyle w:val="Tabletext1"/>
              <w:ind w:left="0"/>
              <w:rPr>
                <w:b/>
              </w:rPr>
            </w:pPr>
            <w:r w:rsidRPr="00B84DA7">
              <w:rPr>
                <w:b/>
              </w:rPr>
              <w:t>Ig versus corticosteroids (base case</w:t>
            </w:r>
            <w:r>
              <w:rPr>
                <w:b/>
              </w:rPr>
              <w:t>: $693</w:t>
            </w:r>
            <w:r w:rsidRPr="00B84DA7">
              <w:rPr>
                <w:b/>
              </w:rPr>
              <w:t>)</w:t>
            </w:r>
          </w:p>
        </w:tc>
        <w:tc>
          <w:tcPr>
            <w:tcW w:w="708" w:type="pct"/>
            <w:noWrap/>
          </w:tcPr>
          <w:p w14:paraId="7C6354F0" w14:textId="77777777" w:rsidR="0094332C" w:rsidRPr="00B84DA7" w:rsidRDefault="0094332C" w:rsidP="00CB0278">
            <w:pPr>
              <w:pStyle w:val="Tabletext1"/>
              <w:ind w:left="0"/>
              <w:rPr>
                <w:b/>
              </w:rPr>
            </w:pPr>
            <w:r w:rsidRPr="00B84DA7">
              <w:rPr>
                <w:b/>
              </w:rPr>
              <w:t>$137,443</w:t>
            </w:r>
          </w:p>
        </w:tc>
        <w:tc>
          <w:tcPr>
            <w:tcW w:w="707" w:type="pct"/>
            <w:noWrap/>
          </w:tcPr>
          <w:p w14:paraId="09BE8489" w14:textId="77777777" w:rsidR="0094332C" w:rsidRPr="00B84DA7" w:rsidRDefault="0094332C" w:rsidP="00CB0278">
            <w:pPr>
              <w:pStyle w:val="Tabletext1"/>
              <w:ind w:left="0"/>
              <w:rPr>
                <w:b/>
              </w:rPr>
            </w:pPr>
            <w:r w:rsidRPr="00B84DA7">
              <w:rPr>
                <w:b/>
              </w:rPr>
              <w:t>1.1840</w:t>
            </w:r>
          </w:p>
        </w:tc>
        <w:tc>
          <w:tcPr>
            <w:tcW w:w="629" w:type="pct"/>
            <w:noWrap/>
          </w:tcPr>
          <w:p w14:paraId="6CEF2D4B" w14:textId="77777777" w:rsidR="0094332C" w:rsidRPr="00B84DA7" w:rsidRDefault="0094332C" w:rsidP="00CB0278">
            <w:pPr>
              <w:pStyle w:val="Tabletext1"/>
              <w:ind w:left="0"/>
              <w:rPr>
                <w:b/>
              </w:rPr>
            </w:pPr>
            <w:r w:rsidRPr="00B84DA7">
              <w:rPr>
                <w:b/>
              </w:rPr>
              <w:t>$116,088</w:t>
            </w:r>
          </w:p>
        </w:tc>
        <w:tc>
          <w:tcPr>
            <w:tcW w:w="679" w:type="pct"/>
            <w:noWrap/>
          </w:tcPr>
          <w:p w14:paraId="2EA998EC" w14:textId="77777777" w:rsidR="0094332C" w:rsidRPr="00B84DA7" w:rsidRDefault="0094332C" w:rsidP="00CB0278">
            <w:pPr>
              <w:pStyle w:val="Tabletext1"/>
              <w:ind w:left="0"/>
              <w:rPr>
                <w:b/>
              </w:rPr>
            </w:pPr>
          </w:p>
        </w:tc>
      </w:tr>
      <w:tr w:rsidR="0028036A" w:rsidRPr="005668BD" w14:paraId="45717E0D" w14:textId="77777777" w:rsidTr="00F3307B">
        <w:trPr>
          <w:trHeight w:val="255"/>
        </w:trPr>
        <w:tc>
          <w:tcPr>
            <w:tcW w:w="2277" w:type="pct"/>
            <w:noWrap/>
            <w:hideMark/>
          </w:tcPr>
          <w:p w14:paraId="6907CDC6" w14:textId="77777777" w:rsidR="0028036A" w:rsidRPr="005668BD" w:rsidRDefault="0028036A" w:rsidP="00F3307B">
            <w:pPr>
              <w:pStyle w:val="Tabletext1"/>
              <w:ind w:left="0"/>
            </w:pPr>
            <w:r w:rsidRPr="005668BD">
              <w:t>$200</w:t>
            </w:r>
          </w:p>
        </w:tc>
        <w:tc>
          <w:tcPr>
            <w:tcW w:w="708" w:type="pct"/>
            <w:noWrap/>
            <w:hideMark/>
          </w:tcPr>
          <w:p w14:paraId="6B6E1612" w14:textId="77777777" w:rsidR="0028036A" w:rsidRPr="005668BD" w:rsidRDefault="0028036A" w:rsidP="00F3307B">
            <w:pPr>
              <w:pStyle w:val="Tabletext1"/>
              <w:ind w:left="0"/>
              <w:jc w:val="right"/>
            </w:pPr>
            <w:r w:rsidRPr="005668BD">
              <w:t>$129,664</w:t>
            </w:r>
          </w:p>
        </w:tc>
        <w:tc>
          <w:tcPr>
            <w:tcW w:w="707" w:type="pct"/>
            <w:noWrap/>
            <w:hideMark/>
          </w:tcPr>
          <w:p w14:paraId="79519504" w14:textId="77777777" w:rsidR="0028036A" w:rsidRPr="005668BD" w:rsidRDefault="0028036A" w:rsidP="00F3307B">
            <w:pPr>
              <w:pStyle w:val="Tabletext1"/>
              <w:ind w:left="0"/>
              <w:jc w:val="right"/>
            </w:pPr>
            <w:r w:rsidRPr="005668BD">
              <w:t>1.1840</w:t>
            </w:r>
          </w:p>
        </w:tc>
        <w:tc>
          <w:tcPr>
            <w:tcW w:w="629" w:type="pct"/>
            <w:noWrap/>
            <w:hideMark/>
          </w:tcPr>
          <w:p w14:paraId="49CEAA9F" w14:textId="77777777" w:rsidR="0028036A" w:rsidRPr="005668BD" w:rsidRDefault="0028036A" w:rsidP="00F3307B">
            <w:pPr>
              <w:pStyle w:val="Tabletext1"/>
              <w:ind w:left="0"/>
              <w:jc w:val="right"/>
            </w:pPr>
            <w:r w:rsidRPr="005668BD">
              <w:t>$109,517</w:t>
            </w:r>
          </w:p>
        </w:tc>
        <w:tc>
          <w:tcPr>
            <w:tcW w:w="679" w:type="pct"/>
            <w:noWrap/>
            <w:hideMark/>
          </w:tcPr>
          <w:p w14:paraId="18746C75" w14:textId="77777777" w:rsidR="0028036A" w:rsidRPr="005668BD" w:rsidRDefault="0028036A" w:rsidP="00F3307B">
            <w:pPr>
              <w:pStyle w:val="Tabletext1"/>
              <w:ind w:left="0"/>
              <w:jc w:val="right"/>
            </w:pPr>
            <w:r>
              <w:t>–</w:t>
            </w:r>
            <w:r w:rsidRPr="005668BD">
              <w:t>6%</w:t>
            </w:r>
          </w:p>
        </w:tc>
      </w:tr>
      <w:tr w:rsidR="0094332C" w:rsidRPr="005668BD" w14:paraId="54CC4C4D" w14:textId="77777777" w:rsidTr="00CB0278">
        <w:trPr>
          <w:trHeight w:val="255"/>
        </w:trPr>
        <w:tc>
          <w:tcPr>
            <w:tcW w:w="2277" w:type="pct"/>
            <w:noWrap/>
            <w:hideMark/>
          </w:tcPr>
          <w:p w14:paraId="62EF3A8F" w14:textId="1671647E" w:rsidR="0094332C" w:rsidRPr="005668BD" w:rsidRDefault="0094332C" w:rsidP="000F3CBC">
            <w:pPr>
              <w:pStyle w:val="Tabletext1"/>
              <w:ind w:left="0"/>
            </w:pPr>
            <w:r w:rsidRPr="005668BD">
              <w:t>$371 (used in the previous DCAR</w:t>
            </w:r>
            <w:r w:rsidR="001236DF">
              <w:t xml:space="preserve"> 1564</w:t>
            </w:r>
            <w:r w:rsidRPr="005668BD">
              <w:t>)</w:t>
            </w:r>
          </w:p>
        </w:tc>
        <w:tc>
          <w:tcPr>
            <w:tcW w:w="708" w:type="pct"/>
            <w:noWrap/>
            <w:hideMark/>
          </w:tcPr>
          <w:p w14:paraId="0EA65A8A" w14:textId="77777777" w:rsidR="0094332C" w:rsidRPr="005668BD" w:rsidRDefault="0094332C" w:rsidP="000F3CBC">
            <w:pPr>
              <w:pStyle w:val="Tabletext1"/>
              <w:ind w:left="0"/>
              <w:jc w:val="right"/>
            </w:pPr>
            <w:r w:rsidRPr="005668BD">
              <w:t>$132,362</w:t>
            </w:r>
          </w:p>
        </w:tc>
        <w:tc>
          <w:tcPr>
            <w:tcW w:w="707" w:type="pct"/>
            <w:noWrap/>
            <w:hideMark/>
          </w:tcPr>
          <w:p w14:paraId="1EEC2AC4" w14:textId="77777777" w:rsidR="0094332C" w:rsidRPr="005668BD" w:rsidRDefault="0094332C" w:rsidP="000F3CBC">
            <w:pPr>
              <w:pStyle w:val="Tabletext1"/>
              <w:ind w:left="0"/>
              <w:jc w:val="right"/>
            </w:pPr>
            <w:r w:rsidRPr="005668BD">
              <w:t>1.1840</w:t>
            </w:r>
          </w:p>
        </w:tc>
        <w:tc>
          <w:tcPr>
            <w:tcW w:w="629" w:type="pct"/>
            <w:noWrap/>
            <w:hideMark/>
          </w:tcPr>
          <w:p w14:paraId="65315161" w14:textId="77777777" w:rsidR="0094332C" w:rsidRPr="005668BD" w:rsidRDefault="0094332C" w:rsidP="000F3CBC">
            <w:pPr>
              <w:pStyle w:val="Tabletext1"/>
              <w:ind w:left="0"/>
              <w:jc w:val="right"/>
            </w:pPr>
            <w:r w:rsidRPr="005668BD">
              <w:t>$111,796</w:t>
            </w:r>
          </w:p>
        </w:tc>
        <w:tc>
          <w:tcPr>
            <w:tcW w:w="679" w:type="pct"/>
            <w:noWrap/>
            <w:hideMark/>
          </w:tcPr>
          <w:p w14:paraId="300BEE93" w14:textId="77777777" w:rsidR="0094332C" w:rsidRPr="005668BD" w:rsidRDefault="0094332C" w:rsidP="000F3CBC">
            <w:pPr>
              <w:pStyle w:val="Tabletext1"/>
              <w:ind w:left="0"/>
              <w:jc w:val="right"/>
            </w:pPr>
            <w:r>
              <w:t>–</w:t>
            </w:r>
            <w:r w:rsidRPr="005668BD">
              <w:t>4%</w:t>
            </w:r>
          </w:p>
        </w:tc>
      </w:tr>
      <w:tr w:rsidR="0094332C" w:rsidRPr="00B84DA7" w14:paraId="279850D5" w14:textId="77777777" w:rsidTr="00CB0278">
        <w:trPr>
          <w:trHeight w:val="315"/>
        </w:trPr>
        <w:tc>
          <w:tcPr>
            <w:tcW w:w="2277" w:type="pct"/>
            <w:noWrap/>
          </w:tcPr>
          <w:p w14:paraId="7E4528EA" w14:textId="77777777" w:rsidR="0094332C" w:rsidRPr="00B84DA7" w:rsidRDefault="0094332C" w:rsidP="00CB0278">
            <w:pPr>
              <w:pStyle w:val="Tabletext1"/>
              <w:ind w:left="0"/>
              <w:rPr>
                <w:b/>
              </w:rPr>
            </w:pPr>
            <w:r w:rsidRPr="00B84DA7">
              <w:rPr>
                <w:b/>
              </w:rPr>
              <w:t xml:space="preserve">Ig versus </w:t>
            </w:r>
            <w:r>
              <w:rPr>
                <w:b/>
              </w:rPr>
              <w:t xml:space="preserve">PE </w:t>
            </w:r>
            <w:r w:rsidRPr="00B84DA7">
              <w:rPr>
                <w:b/>
              </w:rPr>
              <w:t>(base case: $693)</w:t>
            </w:r>
          </w:p>
        </w:tc>
        <w:tc>
          <w:tcPr>
            <w:tcW w:w="708" w:type="pct"/>
            <w:noWrap/>
          </w:tcPr>
          <w:p w14:paraId="3E3F8B93" w14:textId="77777777" w:rsidR="0094332C" w:rsidRPr="00D83837" w:rsidRDefault="0094332C" w:rsidP="00CB0278">
            <w:pPr>
              <w:pStyle w:val="Tabletext1"/>
              <w:ind w:left="0"/>
              <w:jc w:val="right"/>
              <w:rPr>
                <w:b/>
              </w:rPr>
            </w:pPr>
            <w:r w:rsidRPr="00D83837">
              <w:rPr>
                <w:b/>
              </w:rPr>
              <w:t>$49,991</w:t>
            </w:r>
          </w:p>
        </w:tc>
        <w:tc>
          <w:tcPr>
            <w:tcW w:w="707" w:type="pct"/>
            <w:noWrap/>
          </w:tcPr>
          <w:p w14:paraId="26DA55E7" w14:textId="77777777" w:rsidR="0094332C" w:rsidRPr="00D83837" w:rsidRDefault="0094332C" w:rsidP="00CB0278">
            <w:pPr>
              <w:pStyle w:val="Tabletext1"/>
              <w:ind w:left="0"/>
              <w:jc w:val="right"/>
              <w:rPr>
                <w:b/>
              </w:rPr>
            </w:pPr>
            <w:r w:rsidRPr="00D83837">
              <w:rPr>
                <w:b/>
              </w:rPr>
              <w:t>0.5316</w:t>
            </w:r>
          </w:p>
        </w:tc>
        <w:tc>
          <w:tcPr>
            <w:tcW w:w="629" w:type="pct"/>
            <w:noWrap/>
          </w:tcPr>
          <w:p w14:paraId="211E4E0B" w14:textId="77777777" w:rsidR="0094332C" w:rsidRPr="00D83837" w:rsidRDefault="0094332C" w:rsidP="00CB0278">
            <w:pPr>
              <w:pStyle w:val="Tabletext1"/>
              <w:ind w:left="0"/>
              <w:jc w:val="right"/>
              <w:rPr>
                <w:b/>
              </w:rPr>
            </w:pPr>
            <w:r w:rsidRPr="00D83837">
              <w:rPr>
                <w:b/>
              </w:rPr>
              <w:t>$94,038</w:t>
            </w:r>
          </w:p>
        </w:tc>
        <w:tc>
          <w:tcPr>
            <w:tcW w:w="679" w:type="pct"/>
            <w:noWrap/>
          </w:tcPr>
          <w:p w14:paraId="22A4CEA5" w14:textId="77777777" w:rsidR="0094332C" w:rsidRPr="00B84DA7" w:rsidRDefault="0094332C" w:rsidP="00CB0278">
            <w:pPr>
              <w:pStyle w:val="Tabletext1"/>
              <w:ind w:left="0"/>
              <w:jc w:val="right"/>
              <w:rPr>
                <w:b/>
              </w:rPr>
            </w:pPr>
          </w:p>
        </w:tc>
      </w:tr>
      <w:tr w:rsidR="0028036A" w:rsidRPr="005668BD" w14:paraId="5786AA2E" w14:textId="77777777" w:rsidTr="00F3307B">
        <w:trPr>
          <w:trHeight w:val="255"/>
        </w:trPr>
        <w:tc>
          <w:tcPr>
            <w:tcW w:w="2277" w:type="pct"/>
            <w:noWrap/>
            <w:hideMark/>
          </w:tcPr>
          <w:p w14:paraId="62D790F9" w14:textId="77777777" w:rsidR="0028036A" w:rsidRPr="005668BD" w:rsidRDefault="0028036A" w:rsidP="00F3307B">
            <w:pPr>
              <w:pStyle w:val="Tabletext1"/>
              <w:ind w:left="0"/>
            </w:pPr>
            <w:r w:rsidRPr="005668BD">
              <w:t>$200</w:t>
            </w:r>
          </w:p>
        </w:tc>
        <w:tc>
          <w:tcPr>
            <w:tcW w:w="708" w:type="pct"/>
            <w:noWrap/>
            <w:hideMark/>
          </w:tcPr>
          <w:p w14:paraId="02E1931A" w14:textId="77777777" w:rsidR="0028036A" w:rsidRPr="005668BD" w:rsidRDefault="0028036A" w:rsidP="00F3307B">
            <w:pPr>
              <w:pStyle w:val="Tabletext1"/>
              <w:ind w:left="0"/>
              <w:jc w:val="right"/>
            </w:pPr>
            <w:r w:rsidRPr="00FF7555">
              <w:t>$30,257</w:t>
            </w:r>
          </w:p>
        </w:tc>
        <w:tc>
          <w:tcPr>
            <w:tcW w:w="707" w:type="pct"/>
            <w:noWrap/>
            <w:hideMark/>
          </w:tcPr>
          <w:p w14:paraId="22D4FC7A" w14:textId="77777777" w:rsidR="0028036A" w:rsidRPr="005668BD" w:rsidRDefault="0028036A" w:rsidP="00F3307B">
            <w:pPr>
              <w:pStyle w:val="Tabletext1"/>
              <w:ind w:left="0"/>
              <w:jc w:val="right"/>
            </w:pPr>
            <w:r w:rsidRPr="00FF7555">
              <w:t>0.5316</w:t>
            </w:r>
          </w:p>
        </w:tc>
        <w:tc>
          <w:tcPr>
            <w:tcW w:w="629" w:type="pct"/>
            <w:noWrap/>
            <w:hideMark/>
          </w:tcPr>
          <w:p w14:paraId="5FE6985B" w14:textId="77777777" w:rsidR="0028036A" w:rsidRPr="005668BD" w:rsidRDefault="0028036A" w:rsidP="00F3307B">
            <w:pPr>
              <w:pStyle w:val="Tabletext1"/>
              <w:ind w:left="0"/>
              <w:jc w:val="right"/>
            </w:pPr>
            <w:r w:rsidRPr="00FF7555">
              <w:t>$56,916</w:t>
            </w:r>
          </w:p>
        </w:tc>
        <w:tc>
          <w:tcPr>
            <w:tcW w:w="679" w:type="pct"/>
            <w:noWrap/>
            <w:hideMark/>
          </w:tcPr>
          <w:p w14:paraId="2C6FC934" w14:textId="77777777" w:rsidR="0028036A" w:rsidRPr="005668BD" w:rsidRDefault="0028036A" w:rsidP="00F3307B">
            <w:pPr>
              <w:pStyle w:val="Tabletext1"/>
              <w:ind w:left="0"/>
              <w:jc w:val="right"/>
            </w:pPr>
            <w:r>
              <w:t>–</w:t>
            </w:r>
            <w:r w:rsidRPr="00FF7555">
              <w:t>39%</w:t>
            </w:r>
          </w:p>
        </w:tc>
      </w:tr>
      <w:tr w:rsidR="0094332C" w:rsidRPr="005668BD" w14:paraId="1A97A916" w14:textId="77777777" w:rsidTr="00CB0278">
        <w:trPr>
          <w:trHeight w:val="255"/>
        </w:trPr>
        <w:tc>
          <w:tcPr>
            <w:tcW w:w="2277" w:type="pct"/>
            <w:noWrap/>
            <w:hideMark/>
          </w:tcPr>
          <w:p w14:paraId="1961BA65" w14:textId="77777777" w:rsidR="0094332C" w:rsidRPr="005668BD" w:rsidRDefault="0094332C" w:rsidP="000F3CBC">
            <w:pPr>
              <w:pStyle w:val="Tabletext1"/>
              <w:ind w:left="0"/>
            </w:pPr>
            <w:r w:rsidRPr="005668BD">
              <w:t>$371 (used in the previous DCAR)</w:t>
            </w:r>
          </w:p>
        </w:tc>
        <w:tc>
          <w:tcPr>
            <w:tcW w:w="708" w:type="pct"/>
            <w:noWrap/>
            <w:hideMark/>
          </w:tcPr>
          <w:p w14:paraId="55388550" w14:textId="77777777" w:rsidR="0094332C" w:rsidRPr="005668BD" w:rsidRDefault="0094332C" w:rsidP="000F3CBC">
            <w:pPr>
              <w:pStyle w:val="Tabletext1"/>
              <w:ind w:left="0"/>
              <w:jc w:val="right"/>
            </w:pPr>
            <w:r w:rsidRPr="00FF7555">
              <w:t>$37,102</w:t>
            </w:r>
          </w:p>
        </w:tc>
        <w:tc>
          <w:tcPr>
            <w:tcW w:w="707" w:type="pct"/>
            <w:noWrap/>
            <w:hideMark/>
          </w:tcPr>
          <w:p w14:paraId="745F38FB" w14:textId="77777777" w:rsidR="0094332C" w:rsidRPr="005668BD" w:rsidRDefault="0094332C" w:rsidP="000F3CBC">
            <w:pPr>
              <w:pStyle w:val="Tabletext1"/>
              <w:ind w:left="0"/>
              <w:jc w:val="right"/>
            </w:pPr>
            <w:r w:rsidRPr="00FF7555">
              <w:t>0.5316</w:t>
            </w:r>
          </w:p>
        </w:tc>
        <w:tc>
          <w:tcPr>
            <w:tcW w:w="629" w:type="pct"/>
            <w:noWrap/>
            <w:hideMark/>
          </w:tcPr>
          <w:p w14:paraId="0419FD1C" w14:textId="77777777" w:rsidR="0094332C" w:rsidRPr="005668BD" w:rsidRDefault="0094332C" w:rsidP="000F3CBC">
            <w:pPr>
              <w:pStyle w:val="Tabletext1"/>
              <w:ind w:left="0"/>
              <w:jc w:val="right"/>
            </w:pPr>
            <w:r w:rsidRPr="00FF7555">
              <w:t>$69,792</w:t>
            </w:r>
          </w:p>
        </w:tc>
        <w:tc>
          <w:tcPr>
            <w:tcW w:w="679" w:type="pct"/>
            <w:noWrap/>
            <w:hideMark/>
          </w:tcPr>
          <w:p w14:paraId="740FBB77" w14:textId="77777777" w:rsidR="0094332C" w:rsidRPr="005668BD" w:rsidRDefault="0094332C" w:rsidP="000F3CBC">
            <w:pPr>
              <w:pStyle w:val="Tabletext1"/>
              <w:ind w:left="0"/>
              <w:jc w:val="right"/>
            </w:pPr>
            <w:r>
              <w:t>–</w:t>
            </w:r>
            <w:r w:rsidRPr="00FF7555">
              <w:t>26%</w:t>
            </w:r>
          </w:p>
        </w:tc>
      </w:tr>
      <w:tr w:rsidR="0094332C" w:rsidRPr="00B84DA7" w14:paraId="5B4137AE" w14:textId="77777777" w:rsidTr="00CB0278">
        <w:trPr>
          <w:trHeight w:val="315"/>
        </w:trPr>
        <w:tc>
          <w:tcPr>
            <w:tcW w:w="2277" w:type="pct"/>
            <w:noWrap/>
          </w:tcPr>
          <w:p w14:paraId="72568373" w14:textId="77777777" w:rsidR="0094332C" w:rsidRPr="00B84DA7" w:rsidRDefault="0094332C" w:rsidP="00CB0278">
            <w:pPr>
              <w:pStyle w:val="Tabletext1"/>
              <w:ind w:left="0"/>
              <w:rPr>
                <w:b/>
              </w:rPr>
            </w:pPr>
            <w:r w:rsidRPr="00B84DA7">
              <w:rPr>
                <w:b/>
              </w:rPr>
              <w:t>Ig versus BSC (base case: $693)</w:t>
            </w:r>
          </w:p>
        </w:tc>
        <w:tc>
          <w:tcPr>
            <w:tcW w:w="708" w:type="pct"/>
            <w:noWrap/>
          </w:tcPr>
          <w:p w14:paraId="7BFDD766" w14:textId="77777777" w:rsidR="0094332C" w:rsidRPr="00D83837" w:rsidRDefault="0094332C" w:rsidP="00CB0278">
            <w:pPr>
              <w:pStyle w:val="Tabletext1"/>
              <w:ind w:left="0"/>
              <w:jc w:val="right"/>
              <w:rPr>
                <w:b/>
              </w:rPr>
            </w:pPr>
            <w:r w:rsidRPr="00D83837">
              <w:rPr>
                <w:b/>
              </w:rPr>
              <w:t>$159,573</w:t>
            </w:r>
          </w:p>
        </w:tc>
        <w:tc>
          <w:tcPr>
            <w:tcW w:w="707" w:type="pct"/>
            <w:noWrap/>
          </w:tcPr>
          <w:p w14:paraId="543D5160" w14:textId="77777777" w:rsidR="0094332C" w:rsidRPr="00D83837" w:rsidRDefault="0094332C" w:rsidP="00CB0278">
            <w:pPr>
              <w:pStyle w:val="Tabletext1"/>
              <w:ind w:left="0"/>
              <w:jc w:val="right"/>
              <w:rPr>
                <w:b/>
              </w:rPr>
            </w:pPr>
            <w:r w:rsidRPr="00D83837">
              <w:rPr>
                <w:b/>
              </w:rPr>
              <w:t>1.7162</w:t>
            </w:r>
          </w:p>
        </w:tc>
        <w:tc>
          <w:tcPr>
            <w:tcW w:w="629" w:type="pct"/>
            <w:noWrap/>
          </w:tcPr>
          <w:p w14:paraId="4F67AA50" w14:textId="77777777" w:rsidR="0094332C" w:rsidRPr="00D83837" w:rsidRDefault="0094332C" w:rsidP="00CB0278">
            <w:pPr>
              <w:pStyle w:val="Tabletext1"/>
              <w:ind w:left="0"/>
              <w:jc w:val="right"/>
              <w:rPr>
                <w:b/>
              </w:rPr>
            </w:pPr>
            <w:r w:rsidRPr="00D83837">
              <w:rPr>
                <w:b/>
              </w:rPr>
              <w:t>$92,983</w:t>
            </w:r>
          </w:p>
        </w:tc>
        <w:tc>
          <w:tcPr>
            <w:tcW w:w="679" w:type="pct"/>
            <w:noWrap/>
          </w:tcPr>
          <w:p w14:paraId="56FDA21E" w14:textId="77777777" w:rsidR="0094332C" w:rsidRPr="00B84DA7" w:rsidRDefault="0094332C" w:rsidP="00CB0278">
            <w:pPr>
              <w:pStyle w:val="Tabletext1"/>
              <w:ind w:left="0"/>
              <w:jc w:val="right"/>
              <w:rPr>
                <w:b/>
              </w:rPr>
            </w:pPr>
          </w:p>
        </w:tc>
      </w:tr>
      <w:tr w:rsidR="0094332C" w:rsidRPr="005668BD" w14:paraId="4541672D" w14:textId="77777777" w:rsidTr="00CB0278">
        <w:trPr>
          <w:trHeight w:val="255"/>
        </w:trPr>
        <w:tc>
          <w:tcPr>
            <w:tcW w:w="2277" w:type="pct"/>
            <w:noWrap/>
            <w:hideMark/>
          </w:tcPr>
          <w:p w14:paraId="700205CB" w14:textId="56E7138F" w:rsidR="0094332C" w:rsidRPr="005668BD" w:rsidRDefault="0094332C" w:rsidP="000F3CBC">
            <w:pPr>
              <w:pStyle w:val="Tabletext1"/>
              <w:ind w:left="0"/>
            </w:pPr>
            <w:r w:rsidRPr="005668BD">
              <w:t>$371 (used in the previous DCAR</w:t>
            </w:r>
            <w:r w:rsidR="001236DF">
              <w:t xml:space="preserve"> 1564</w:t>
            </w:r>
            <w:r w:rsidRPr="005668BD">
              <w:t>)</w:t>
            </w:r>
          </w:p>
        </w:tc>
        <w:tc>
          <w:tcPr>
            <w:tcW w:w="708" w:type="pct"/>
            <w:noWrap/>
            <w:hideMark/>
          </w:tcPr>
          <w:p w14:paraId="18A5390E" w14:textId="77777777" w:rsidR="0094332C" w:rsidRPr="005668BD" w:rsidRDefault="0094332C" w:rsidP="000F3CBC">
            <w:pPr>
              <w:pStyle w:val="Tabletext1"/>
              <w:ind w:left="0"/>
              <w:jc w:val="right"/>
            </w:pPr>
            <w:r w:rsidRPr="00EC1FEE">
              <w:t>$146,683</w:t>
            </w:r>
          </w:p>
        </w:tc>
        <w:tc>
          <w:tcPr>
            <w:tcW w:w="707" w:type="pct"/>
            <w:noWrap/>
            <w:hideMark/>
          </w:tcPr>
          <w:p w14:paraId="158A8EC1" w14:textId="77777777" w:rsidR="0094332C" w:rsidRPr="005668BD" w:rsidRDefault="0094332C" w:rsidP="000F3CBC">
            <w:pPr>
              <w:pStyle w:val="Tabletext1"/>
              <w:ind w:left="0"/>
              <w:jc w:val="right"/>
            </w:pPr>
            <w:r w:rsidRPr="00EC1FEE">
              <w:t>1.7162</w:t>
            </w:r>
          </w:p>
        </w:tc>
        <w:tc>
          <w:tcPr>
            <w:tcW w:w="629" w:type="pct"/>
            <w:noWrap/>
            <w:hideMark/>
          </w:tcPr>
          <w:p w14:paraId="7F932C38" w14:textId="77777777" w:rsidR="0094332C" w:rsidRPr="005668BD" w:rsidRDefault="0094332C" w:rsidP="000F3CBC">
            <w:pPr>
              <w:pStyle w:val="Tabletext1"/>
              <w:ind w:left="0"/>
              <w:jc w:val="right"/>
            </w:pPr>
            <w:r w:rsidRPr="00EC1FEE">
              <w:t>$85,472</w:t>
            </w:r>
          </w:p>
        </w:tc>
        <w:tc>
          <w:tcPr>
            <w:tcW w:w="679" w:type="pct"/>
            <w:noWrap/>
            <w:hideMark/>
          </w:tcPr>
          <w:p w14:paraId="4C1463B1" w14:textId="77777777" w:rsidR="0094332C" w:rsidRPr="005668BD" w:rsidRDefault="0094332C" w:rsidP="000F3CBC">
            <w:pPr>
              <w:pStyle w:val="Tabletext1"/>
              <w:ind w:left="0"/>
              <w:jc w:val="right"/>
            </w:pPr>
            <w:r>
              <w:t>–</w:t>
            </w:r>
            <w:r w:rsidRPr="00EC1FEE">
              <w:t>8%</w:t>
            </w:r>
          </w:p>
        </w:tc>
      </w:tr>
      <w:tr w:rsidR="0094332C" w:rsidRPr="005668BD" w14:paraId="625AC77B" w14:textId="77777777" w:rsidTr="00CB0278">
        <w:trPr>
          <w:trHeight w:val="255"/>
        </w:trPr>
        <w:tc>
          <w:tcPr>
            <w:tcW w:w="2277" w:type="pct"/>
            <w:noWrap/>
            <w:hideMark/>
          </w:tcPr>
          <w:p w14:paraId="791FF612" w14:textId="77777777" w:rsidR="0094332C" w:rsidRPr="005668BD" w:rsidRDefault="0094332C" w:rsidP="000F3CBC">
            <w:pPr>
              <w:pStyle w:val="Tabletext1"/>
              <w:ind w:left="0"/>
            </w:pPr>
            <w:r w:rsidRPr="005668BD">
              <w:t>$200</w:t>
            </w:r>
          </w:p>
        </w:tc>
        <w:tc>
          <w:tcPr>
            <w:tcW w:w="708" w:type="pct"/>
            <w:noWrap/>
            <w:hideMark/>
          </w:tcPr>
          <w:p w14:paraId="5A3010BD" w14:textId="77777777" w:rsidR="0094332C" w:rsidRPr="005668BD" w:rsidRDefault="0094332C" w:rsidP="000F3CBC">
            <w:pPr>
              <w:pStyle w:val="Tabletext1"/>
              <w:ind w:left="0"/>
              <w:jc w:val="right"/>
            </w:pPr>
            <w:r w:rsidRPr="00EC1FEE">
              <w:t>$139,838</w:t>
            </w:r>
          </w:p>
        </w:tc>
        <w:tc>
          <w:tcPr>
            <w:tcW w:w="707" w:type="pct"/>
            <w:noWrap/>
            <w:hideMark/>
          </w:tcPr>
          <w:p w14:paraId="00FF1AC6" w14:textId="77777777" w:rsidR="0094332C" w:rsidRPr="005668BD" w:rsidRDefault="0094332C" w:rsidP="000F3CBC">
            <w:pPr>
              <w:pStyle w:val="Tabletext1"/>
              <w:ind w:left="0"/>
              <w:jc w:val="right"/>
            </w:pPr>
            <w:r w:rsidRPr="00EC1FEE">
              <w:t>1.7162</w:t>
            </w:r>
          </w:p>
        </w:tc>
        <w:tc>
          <w:tcPr>
            <w:tcW w:w="629" w:type="pct"/>
            <w:noWrap/>
            <w:hideMark/>
          </w:tcPr>
          <w:p w14:paraId="55B2D7EC" w14:textId="77777777" w:rsidR="0094332C" w:rsidRPr="005668BD" w:rsidRDefault="0094332C" w:rsidP="000F3CBC">
            <w:pPr>
              <w:pStyle w:val="Tabletext1"/>
              <w:ind w:left="0"/>
              <w:jc w:val="right"/>
            </w:pPr>
            <w:r w:rsidRPr="00EC1FEE">
              <w:t>$81,483</w:t>
            </w:r>
          </w:p>
        </w:tc>
        <w:tc>
          <w:tcPr>
            <w:tcW w:w="679" w:type="pct"/>
            <w:noWrap/>
            <w:hideMark/>
          </w:tcPr>
          <w:p w14:paraId="49126934" w14:textId="77777777" w:rsidR="0094332C" w:rsidRPr="005668BD" w:rsidRDefault="0094332C" w:rsidP="000F3CBC">
            <w:pPr>
              <w:pStyle w:val="Tabletext1"/>
              <w:ind w:left="0"/>
              <w:jc w:val="right"/>
            </w:pPr>
            <w:r>
              <w:t>–</w:t>
            </w:r>
            <w:r w:rsidRPr="00EC1FEE">
              <w:t>12%</w:t>
            </w:r>
          </w:p>
        </w:tc>
      </w:tr>
      <w:tr w:rsidR="0094332C" w:rsidRPr="005668BD" w14:paraId="705126DF" w14:textId="77777777" w:rsidTr="00CB0278">
        <w:trPr>
          <w:trHeight w:val="255"/>
        </w:trPr>
        <w:tc>
          <w:tcPr>
            <w:tcW w:w="2277" w:type="pct"/>
            <w:noWrap/>
            <w:hideMark/>
          </w:tcPr>
          <w:p w14:paraId="4FA3A07C" w14:textId="77777777" w:rsidR="0094332C" w:rsidRPr="005668BD" w:rsidRDefault="0094332C" w:rsidP="000F3CBC">
            <w:pPr>
              <w:pStyle w:val="Tabletext1"/>
              <w:ind w:left="0"/>
            </w:pPr>
            <w:r w:rsidRPr="005668BD">
              <w:t>$400</w:t>
            </w:r>
          </w:p>
        </w:tc>
        <w:tc>
          <w:tcPr>
            <w:tcW w:w="708" w:type="pct"/>
            <w:noWrap/>
            <w:hideMark/>
          </w:tcPr>
          <w:p w14:paraId="535096FA" w14:textId="77777777" w:rsidR="0094332C" w:rsidRPr="005668BD" w:rsidRDefault="0094332C" w:rsidP="000F3CBC">
            <w:pPr>
              <w:pStyle w:val="Tabletext1"/>
              <w:ind w:left="0"/>
              <w:jc w:val="right"/>
            </w:pPr>
            <w:r w:rsidRPr="00EC1FEE">
              <w:t>$147,844</w:t>
            </w:r>
          </w:p>
        </w:tc>
        <w:tc>
          <w:tcPr>
            <w:tcW w:w="707" w:type="pct"/>
            <w:noWrap/>
            <w:hideMark/>
          </w:tcPr>
          <w:p w14:paraId="55BCDE2B" w14:textId="77777777" w:rsidR="0094332C" w:rsidRPr="005668BD" w:rsidRDefault="0094332C" w:rsidP="000F3CBC">
            <w:pPr>
              <w:pStyle w:val="Tabletext1"/>
              <w:ind w:left="0"/>
              <w:jc w:val="right"/>
            </w:pPr>
            <w:r w:rsidRPr="00EC1FEE">
              <w:t>1.7162</w:t>
            </w:r>
          </w:p>
        </w:tc>
        <w:tc>
          <w:tcPr>
            <w:tcW w:w="629" w:type="pct"/>
            <w:noWrap/>
            <w:hideMark/>
          </w:tcPr>
          <w:p w14:paraId="49A4004C" w14:textId="77777777" w:rsidR="0094332C" w:rsidRPr="005668BD" w:rsidRDefault="0094332C" w:rsidP="000F3CBC">
            <w:pPr>
              <w:pStyle w:val="Tabletext1"/>
              <w:ind w:left="0"/>
              <w:jc w:val="right"/>
            </w:pPr>
            <w:r w:rsidRPr="00EC1FEE">
              <w:t>$86,148</w:t>
            </w:r>
          </w:p>
        </w:tc>
        <w:tc>
          <w:tcPr>
            <w:tcW w:w="679" w:type="pct"/>
            <w:noWrap/>
            <w:hideMark/>
          </w:tcPr>
          <w:p w14:paraId="33AC33EF" w14:textId="77777777" w:rsidR="0094332C" w:rsidRPr="005668BD" w:rsidRDefault="0094332C" w:rsidP="000F3CBC">
            <w:pPr>
              <w:pStyle w:val="Tabletext1"/>
              <w:ind w:left="0"/>
              <w:jc w:val="right"/>
            </w:pPr>
            <w:r>
              <w:t>–</w:t>
            </w:r>
            <w:r w:rsidRPr="00EC1FEE">
              <w:t>7%</w:t>
            </w:r>
          </w:p>
        </w:tc>
      </w:tr>
      <w:tr w:rsidR="0094332C" w:rsidRPr="005668BD" w14:paraId="364F018D" w14:textId="77777777" w:rsidTr="00CB0278">
        <w:trPr>
          <w:trHeight w:val="255"/>
        </w:trPr>
        <w:tc>
          <w:tcPr>
            <w:tcW w:w="2277" w:type="pct"/>
            <w:noWrap/>
            <w:hideMark/>
          </w:tcPr>
          <w:p w14:paraId="744D2B0D" w14:textId="77777777" w:rsidR="0094332C" w:rsidRPr="005668BD" w:rsidRDefault="0094332C" w:rsidP="000F3CBC">
            <w:pPr>
              <w:pStyle w:val="Tabletext1"/>
              <w:ind w:left="0"/>
            </w:pPr>
            <w:r w:rsidRPr="005668BD">
              <w:t>$500</w:t>
            </w:r>
          </w:p>
        </w:tc>
        <w:tc>
          <w:tcPr>
            <w:tcW w:w="708" w:type="pct"/>
            <w:noWrap/>
            <w:hideMark/>
          </w:tcPr>
          <w:p w14:paraId="4F797D3F" w14:textId="77777777" w:rsidR="0094332C" w:rsidRPr="005668BD" w:rsidRDefault="0094332C" w:rsidP="000F3CBC">
            <w:pPr>
              <w:pStyle w:val="Tabletext1"/>
              <w:ind w:left="0"/>
              <w:jc w:val="right"/>
            </w:pPr>
            <w:r w:rsidRPr="00EC1FEE">
              <w:t>$151,847</w:t>
            </w:r>
          </w:p>
        </w:tc>
        <w:tc>
          <w:tcPr>
            <w:tcW w:w="707" w:type="pct"/>
            <w:noWrap/>
            <w:hideMark/>
          </w:tcPr>
          <w:p w14:paraId="02C6A68B" w14:textId="77777777" w:rsidR="0094332C" w:rsidRPr="005668BD" w:rsidRDefault="0094332C" w:rsidP="000F3CBC">
            <w:pPr>
              <w:pStyle w:val="Tabletext1"/>
              <w:ind w:left="0"/>
              <w:jc w:val="right"/>
            </w:pPr>
            <w:r w:rsidRPr="00EC1FEE">
              <w:t>1.7162</w:t>
            </w:r>
          </w:p>
        </w:tc>
        <w:tc>
          <w:tcPr>
            <w:tcW w:w="629" w:type="pct"/>
            <w:noWrap/>
            <w:hideMark/>
          </w:tcPr>
          <w:p w14:paraId="19EFCF02" w14:textId="77777777" w:rsidR="0094332C" w:rsidRPr="005668BD" w:rsidRDefault="0094332C" w:rsidP="000F3CBC">
            <w:pPr>
              <w:pStyle w:val="Tabletext1"/>
              <w:ind w:left="0"/>
              <w:jc w:val="right"/>
            </w:pPr>
            <w:r w:rsidRPr="00EC1FEE">
              <w:t>$88,481</w:t>
            </w:r>
          </w:p>
        </w:tc>
        <w:tc>
          <w:tcPr>
            <w:tcW w:w="679" w:type="pct"/>
            <w:noWrap/>
            <w:hideMark/>
          </w:tcPr>
          <w:p w14:paraId="1FE52F29" w14:textId="77777777" w:rsidR="0094332C" w:rsidRPr="005668BD" w:rsidRDefault="0094332C" w:rsidP="000F3CBC">
            <w:pPr>
              <w:pStyle w:val="Tabletext1"/>
              <w:ind w:left="0"/>
              <w:jc w:val="right"/>
            </w:pPr>
            <w:r>
              <w:t>–</w:t>
            </w:r>
            <w:r w:rsidRPr="00EC1FEE">
              <w:t>5%</w:t>
            </w:r>
          </w:p>
        </w:tc>
      </w:tr>
    </w:tbl>
    <w:p w14:paraId="0FFB46E8" w14:textId="08677EEC" w:rsidR="0094332C" w:rsidRDefault="0094332C" w:rsidP="000F3CBC">
      <w:pPr>
        <w:pStyle w:val="Tablenote"/>
      </w:pPr>
      <w:r>
        <w:t>BSC = best supportive care; Ig = immunoglobulin;</w:t>
      </w:r>
      <w:r w:rsidR="00563B39" w:rsidRPr="00EF530F">
        <w:t xml:space="preserve"> ICER = incremental cost-effectiveness ratio; Ig = immunoglobulin; Inc = Incremental;</w:t>
      </w:r>
      <w:r w:rsidR="00563B39">
        <w:t xml:space="preserve"> IV = intravenous;</w:t>
      </w:r>
      <w:r w:rsidR="00563B39" w:rsidRPr="00EF530F">
        <w:t xml:space="preserve"> kg = kilograms; </w:t>
      </w:r>
      <w:r w:rsidR="00563B39">
        <w:t xml:space="preserve">PE = </w:t>
      </w:r>
      <w:r w:rsidR="00563B39" w:rsidRPr="00B84DA7">
        <w:t>plasma exchange</w:t>
      </w:r>
      <w:r w:rsidR="00563B39">
        <w:t xml:space="preserve">; </w:t>
      </w:r>
      <w:r w:rsidR="00563B39" w:rsidRPr="00EF530F">
        <w:t>QALY = quality-adjusted life years</w:t>
      </w:r>
    </w:p>
    <w:p w14:paraId="0AB27610" w14:textId="5C50E539" w:rsidR="00411915" w:rsidRDefault="00411915" w:rsidP="00411915">
      <w:pPr>
        <w:pStyle w:val="Heading3"/>
        <w:rPr>
          <w:rFonts w:eastAsia="Calibri"/>
        </w:rPr>
      </w:pPr>
      <w:bookmarkStart w:id="392" w:name="_Toc69305602"/>
      <w:r w:rsidRPr="00411915">
        <w:rPr>
          <w:rFonts w:eastAsia="Calibri"/>
        </w:rPr>
        <w:t>Univariate sensitivity analyses</w:t>
      </w:r>
      <w:bookmarkEnd w:id="392"/>
    </w:p>
    <w:p w14:paraId="267691F4" w14:textId="729DBB42" w:rsidR="00970677" w:rsidRPr="00970677" w:rsidRDefault="00970677" w:rsidP="00970677">
      <w:pPr>
        <w:pStyle w:val="BodyTextSTD"/>
        <w:rPr>
          <w:rFonts w:eastAsia="Calibri"/>
        </w:rPr>
      </w:pPr>
      <w:r>
        <w:rPr>
          <w:rFonts w:eastAsia="Calibri"/>
        </w:rPr>
        <w:t xml:space="preserve">Sensitivity analyses were performed for both models for the inputs related to Ig dose and interval length between doses; varying the average patient age and weight; utility gain/loss associated with treatment; discount rates (0% and 3%); modelled time horizon; varying transition probabilities for treatment response, treatment effect and treatment associated severe </w:t>
      </w:r>
      <w:r w:rsidR="0079276A">
        <w:rPr>
          <w:rFonts w:eastAsia="Calibri"/>
        </w:rPr>
        <w:t>AEs</w:t>
      </w:r>
      <w:r>
        <w:rPr>
          <w:rFonts w:eastAsia="Calibri"/>
        </w:rPr>
        <w:t>.</w:t>
      </w:r>
    </w:p>
    <w:p w14:paraId="67B2B0CA" w14:textId="35AB60EF" w:rsidR="003446E3" w:rsidRDefault="003446E3" w:rsidP="00411915">
      <w:pPr>
        <w:pStyle w:val="Heading4"/>
      </w:pPr>
      <w:r>
        <w:t>Ig versus corticosteroids</w:t>
      </w:r>
    </w:p>
    <w:p w14:paraId="65291788" w14:textId="63EB044A" w:rsidR="001E4F8F" w:rsidRDefault="00856DB5" w:rsidP="003446E3">
      <w:pPr>
        <w:pStyle w:val="BodyTextSTD"/>
        <w:rPr>
          <w:rFonts w:eastAsia="Calibri"/>
        </w:rPr>
      </w:pPr>
      <w:r w:rsidRPr="003446E3">
        <w:rPr>
          <w:rFonts w:eastAsia="Calibri"/>
        </w:rPr>
        <w:t xml:space="preserve">Key sensitivity analyses (i.e. those which changed the ICER by more than </w:t>
      </w:r>
      <w:r>
        <w:rPr>
          <w:rFonts w:eastAsia="Calibri"/>
        </w:rPr>
        <w:t>25</w:t>
      </w:r>
      <w:r w:rsidRPr="003446E3">
        <w:rPr>
          <w:rFonts w:eastAsia="Calibri"/>
        </w:rPr>
        <w:t xml:space="preserve">%) are presented in </w:t>
      </w:r>
      <w:r>
        <w:rPr>
          <w:rFonts w:eastAsia="Calibri"/>
        </w:rPr>
        <w:fldChar w:fldCharType="begin"/>
      </w:r>
      <w:r>
        <w:rPr>
          <w:rFonts w:eastAsia="Calibri"/>
        </w:rPr>
        <w:instrText xml:space="preserve"> REF _Ref67995860 \h </w:instrText>
      </w:r>
      <w:r>
        <w:rPr>
          <w:rFonts w:eastAsia="Calibri"/>
        </w:rPr>
      </w:r>
      <w:r>
        <w:rPr>
          <w:rFonts w:eastAsia="Calibri"/>
        </w:rPr>
        <w:fldChar w:fldCharType="separate"/>
      </w:r>
      <w:r w:rsidR="004B3EA2">
        <w:t xml:space="preserve">Table </w:t>
      </w:r>
      <w:r w:rsidR="004B3EA2">
        <w:rPr>
          <w:noProof/>
        </w:rPr>
        <w:t>62</w:t>
      </w:r>
      <w:r>
        <w:rPr>
          <w:rFonts w:eastAsia="Calibri"/>
        </w:rPr>
        <w:fldChar w:fldCharType="end"/>
      </w:r>
      <w:r>
        <w:rPr>
          <w:rFonts w:eastAsia="Calibri"/>
        </w:rPr>
        <w:t xml:space="preserve">, </w:t>
      </w:r>
      <w:r w:rsidRPr="003446E3">
        <w:rPr>
          <w:rFonts w:eastAsia="Calibri"/>
        </w:rPr>
        <w:t>below.</w:t>
      </w:r>
      <w:r>
        <w:rPr>
          <w:rFonts w:eastAsia="Calibri"/>
        </w:rPr>
        <w:t xml:space="preserve"> </w:t>
      </w:r>
      <w:r w:rsidR="003446E3" w:rsidRPr="003446E3">
        <w:rPr>
          <w:rFonts w:eastAsia="Calibri"/>
        </w:rPr>
        <w:t>All other sensitivity analyses conducted around areas of uncertainty in the model are presented in</w:t>
      </w:r>
      <w:r w:rsidR="003446E3">
        <w:rPr>
          <w:rFonts w:eastAsia="Calibri"/>
        </w:rPr>
        <w:t xml:space="preserve"> </w:t>
      </w:r>
      <w:r w:rsidR="003446E3">
        <w:rPr>
          <w:rFonts w:eastAsia="Calibri"/>
        </w:rPr>
        <w:fldChar w:fldCharType="begin"/>
      </w:r>
      <w:r w:rsidR="003446E3">
        <w:rPr>
          <w:rFonts w:eastAsia="Calibri"/>
        </w:rPr>
        <w:instrText xml:space="preserve"> REF _Ref67995783 \h </w:instrText>
      </w:r>
      <w:r w:rsidR="003446E3">
        <w:rPr>
          <w:rFonts w:eastAsia="Calibri"/>
        </w:rPr>
      </w:r>
      <w:r w:rsidR="003446E3">
        <w:rPr>
          <w:rFonts w:eastAsia="Calibri"/>
        </w:rPr>
        <w:fldChar w:fldCharType="separate"/>
      </w:r>
      <w:r w:rsidR="004B3EA2">
        <w:t xml:space="preserve">Table </w:t>
      </w:r>
      <w:r w:rsidR="004B3EA2">
        <w:rPr>
          <w:noProof/>
        </w:rPr>
        <w:t>86</w:t>
      </w:r>
      <w:r w:rsidR="003446E3">
        <w:rPr>
          <w:rFonts w:eastAsia="Calibri"/>
        </w:rPr>
        <w:fldChar w:fldCharType="end"/>
      </w:r>
      <w:r w:rsidR="003446E3" w:rsidRPr="003446E3">
        <w:rPr>
          <w:rFonts w:eastAsia="Calibri"/>
        </w:rPr>
        <w:t xml:space="preserve">, </w:t>
      </w:r>
      <w:r w:rsidR="003446E3" w:rsidRPr="009667AB">
        <w:rPr>
          <w:rFonts w:eastAsia="Calibri"/>
          <w:b/>
        </w:rPr>
        <w:t>Appendix G</w:t>
      </w:r>
      <w:r w:rsidR="003446E3" w:rsidRPr="003446E3">
        <w:rPr>
          <w:rFonts w:eastAsia="Calibri"/>
        </w:rPr>
        <w:t xml:space="preserve">. </w:t>
      </w:r>
    </w:p>
    <w:p w14:paraId="36B972E2" w14:textId="3AADBFD4" w:rsidR="005668BD" w:rsidRDefault="005668BD" w:rsidP="003446E3">
      <w:pPr>
        <w:pStyle w:val="Caption"/>
      </w:pPr>
      <w:bookmarkStart w:id="393" w:name="_Ref67995860"/>
      <w:bookmarkStart w:id="394" w:name="_Toc69305703"/>
      <w:r>
        <w:t xml:space="preserve">Table </w:t>
      </w:r>
      <w:r w:rsidR="00003BA5">
        <w:fldChar w:fldCharType="begin"/>
      </w:r>
      <w:r w:rsidR="00003BA5">
        <w:instrText xml:space="preserve"> SEQ Table \* ARABIC </w:instrText>
      </w:r>
      <w:r w:rsidR="00003BA5">
        <w:fldChar w:fldCharType="separate"/>
      </w:r>
      <w:r w:rsidR="004B3EA2">
        <w:rPr>
          <w:noProof/>
        </w:rPr>
        <w:t>62</w:t>
      </w:r>
      <w:r w:rsidR="00003BA5">
        <w:rPr>
          <w:noProof/>
        </w:rPr>
        <w:fldChar w:fldCharType="end"/>
      </w:r>
      <w:bookmarkEnd w:id="393"/>
      <w:r>
        <w:tab/>
      </w:r>
      <w:r w:rsidR="00B61617">
        <w:t>Key s</w:t>
      </w:r>
      <w:r>
        <w:t>ensitivity analyses, Ig versus corticosteroids</w:t>
      </w:r>
      <w:bookmarkEnd w:id="394"/>
    </w:p>
    <w:tbl>
      <w:tblPr>
        <w:tblStyle w:val="TableGrid"/>
        <w:tblW w:w="5000" w:type="pct"/>
        <w:tblLayout w:type="fixed"/>
        <w:tblLook w:val="04A0" w:firstRow="1" w:lastRow="0" w:firstColumn="1" w:lastColumn="0" w:noHBand="0" w:noVBand="1"/>
        <w:tblCaption w:val="Key sensitivity analyses, Ig versus corticosteroids"/>
        <w:tblDescription w:val="Key sensitivity analyses, Ig versus corticosteroids"/>
      </w:tblPr>
      <w:tblGrid>
        <w:gridCol w:w="5240"/>
        <w:gridCol w:w="426"/>
        <w:gridCol w:w="283"/>
        <w:gridCol w:w="283"/>
        <w:gridCol w:w="283"/>
        <w:gridCol w:w="568"/>
        <w:gridCol w:w="992"/>
        <w:gridCol w:w="941"/>
      </w:tblGrid>
      <w:tr w:rsidR="005668BD" w:rsidRPr="00506F71" w14:paraId="7C40E8DB" w14:textId="77777777" w:rsidTr="000F3CBC">
        <w:trPr>
          <w:trHeight w:val="255"/>
          <w:tblHeader/>
        </w:trPr>
        <w:tc>
          <w:tcPr>
            <w:tcW w:w="2906" w:type="pct"/>
            <w:tcBorders>
              <w:bottom w:val="single" w:sz="4" w:space="0" w:color="auto"/>
            </w:tcBorders>
            <w:noWrap/>
            <w:hideMark/>
          </w:tcPr>
          <w:p w14:paraId="03791EF3" w14:textId="77777777" w:rsidR="005668BD" w:rsidRPr="009D68D4" w:rsidRDefault="005668BD" w:rsidP="003446E3">
            <w:pPr>
              <w:pStyle w:val="TableHeading"/>
              <w:ind w:left="0"/>
            </w:pPr>
          </w:p>
        </w:tc>
        <w:tc>
          <w:tcPr>
            <w:tcW w:w="550" w:type="pct"/>
            <w:gridSpan w:val="3"/>
            <w:tcBorders>
              <w:bottom w:val="single" w:sz="4" w:space="0" w:color="auto"/>
            </w:tcBorders>
            <w:noWrap/>
            <w:hideMark/>
          </w:tcPr>
          <w:p w14:paraId="58A4F165" w14:textId="77777777" w:rsidR="005668BD" w:rsidRPr="000F3CBC" w:rsidRDefault="005668BD" w:rsidP="003446E3">
            <w:pPr>
              <w:pStyle w:val="TableHeading"/>
              <w:ind w:left="0"/>
              <w:rPr>
                <w:rFonts w:cs="Calibri"/>
                <w:b w:val="0"/>
                <w:bCs/>
              </w:rPr>
            </w:pPr>
            <w:r w:rsidRPr="000F3CBC">
              <w:rPr>
                <w:rFonts w:cs="Calibri"/>
                <w:bCs/>
              </w:rPr>
              <w:t>Inc. cost</w:t>
            </w:r>
          </w:p>
        </w:tc>
        <w:tc>
          <w:tcPr>
            <w:tcW w:w="472" w:type="pct"/>
            <w:gridSpan w:val="2"/>
            <w:tcBorders>
              <w:bottom w:val="single" w:sz="4" w:space="0" w:color="auto"/>
            </w:tcBorders>
            <w:noWrap/>
            <w:hideMark/>
          </w:tcPr>
          <w:p w14:paraId="4ACD9478" w14:textId="77777777" w:rsidR="005668BD" w:rsidRPr="000F3CBC" w:rsidRDefault="005668BD" w:rsidP="003446E3">
            <w:pPr>
              <w:pStyle w:val="TableHeading"/>
              <w:ind w:left="0"/>
              <w:rPr>
                <w:rFonts w:cs="Calibri"/>
                <w:b w:val="0"/>
                <w:bCs/>
              </w:rPr>
            </w:pPr>
            <w:r w:rsidRPr="000F3CBC">
              <w:rPr>
                <w:rFonts w:cs="Calibri"/>
                <w:bCs/>
              </w:rPr>
              <w:t>Inc. QALYs</w:t>
            </w:r>
          </w:p>
        </w:tc>
        <w:tc>
          <w:tcPr>
            <w:tcW w:w="550" w:type="pct"/>
            <w:tcBorders>
              <w:bottom w:val="single" w:sz="4" w:space="0" w:color="auto"/>
            </w:tcBorders>
            <w:noWrap/>
            <w:hideMark/>
          </w:tcPr>
          <w:p w14:paraId="4BC5A532" w14:textId="77777777" w:rsidR="005668BD" w:rsidRPr="000F3CBC" w:rsidRDefault="005668BD" w:rsidP="003446E3">
            <w:pPr>
              <w:pStyle w:val="TableHeading"/>
              <w:ind w:left="0"/>
              <w:rPr>
                <w:rFonts w:cs="Calibri"/>
                <w:b w:val="0"/>
                <w:bCs/>
              </w:rPr>
            </w:pPr>
            <w:r w:rsidRPr="000F3CBC">
              <w:rPr>
                <w:rFonts w:cs="Calibri"/>
                <w:bCs/>
              </w:rPr>
              <w:t>ICER</w:t>
            </w:r>
          </w:p>
        </w:tc>
        <w:tc>
          <w:tcPr>
            <w:tcW w:w="522" w:type="pct"/>
            <w:tcBorders>
              <w:bottom w:val="single" w:sz="4" w:space="0" w:color="auto"/>
            </w:tcBorders>
            <w:noWrap/>
            <w:hideMark/>
          </w:tcPr>
          <w:p w14:paraId="785F54B0" w14:textId="77777777" w:rsidR="005668BD" w:rsidRPr="000F3CBC" w:rsidRDefault="005668BD" w:rsidP="003446E3">
            <w:pPr>
              <w:pStyle w:val="TableHeading"/>
              <w:ind w:left="0"/>
              <w:rPr>
                <w:rFonts w:cs="Calibri"/>
              </w:rPr>
            </w:pPr>
            <w:r w:rsidRPr="00506F71">
              <w:rPr>
                <w:rFonts w:cs="Calibri"/>
                <w:color w:val="000000"/>
              </w:rPr>
              <w:t>%Change</w:t>
            </w:r>
            <w:r w:rsidRPr="000F3CBC">
              <w:rPr>
                <w:rFonts w:cs="Calibri"/>
              </w:rPr>
              <w:t> </w:t>
            </w:r>
          </w:p>
        </w:tc>
      </w:tr>
      <w:tr w:rsidR="005668BD" w:rsidRPr="005F76D9" w14:paraId="1FC336AD" w14:textId="77777777" w:rsidTr="000F3CBC">
        <w:trPr>
          <w:trHeight w:val="300"/>
        </w:trPr>
        <w:tc>
          <w:tcPr>
            <w:tcW w:w="2906" w:type="pct"/>
            <w:tcBorders>
              <w:right w:val="nil"/>
            </w:tcBorders>
            <w:noWrap/>
            <w:hideMark/>
          </w:tcPr>
          <w:p w14:paraId="613222C0" w14:textId="77777777" w:rsidR="005668BD" w:rsidRPr="005F76D9" w:rsidRDefault="005668BD" w:rsidP="000F3CBC">
            <w:pPr>
              <w:pStyle w:val="Tabletext1"/>
              <w:ind w:left="0"/>
              <w:rPr>
                <w:rFonts w:cs="Calibri"/>
                <w:b/>
                <w:bCs/>
                <w:color w:val="000000"/>
              </w:rPr>
            </w:pPr>
            <w:r w:rsidRPr="005F76D9">
              <w:rPr>
                <w:rFonts w:cs="Calibri"/>
                <w:b/>
                <w:bCs/>
                <w:color w:val="000000"/>
              </w:rPr>
              <w:t>Cost per gram of Ig</w:t>
            </w:r>
          </w:p>
        </w:tc>
        <w:tc>
          <w:tcPr>
            <w:tcW w:w="550" w:type="pct"/>
            <w:gridSpan w:val="3"/>
            <w:tcBorders>
              <w:left w:val="nil"/>
              <w:right w:val="nil"/>
            </w:tcBorders>
            <w:noWrap/>
          </w:tcPr>
          <w:p w14:paraId="5B6C1011" w14:textId="77777777" w:rsidR="005668BD" w:rsidRPr="005F76D9" w:rsidRDefault="005668BD" w:rsidP="000F3CBC">
            <w:pPr>
              <w:pStyle w:val="Tabletext1"/>
              <w:ind w:left="0"/>
              <w:rPr>
                <w:rFonts w:ascii="Calibri" w:hAnsi="Calibri" w:cs="Calibri"/>
                <w:b/>
                <w:bCs/>
                <w:color w:val="44546A"/>
              </w:rPr>
            </w:pPr>
          </w:p>
        </w:tc>
        <w:tc>
          <w:tcPr>
            <w:tcW w:w="472" w:type="pct"/>
            <w:gridSpan w:val="2"/>
            <w:tcBorders>
              <w:left w:val="nil"/>
              <w:right w:val="nil"/>
            </w:tcBorders>
            <w:noWrap/>
          </w:tcPr>
          <w:p w14:paraId="5BB140BA" w14:textId="77777777" w:rsidR="005668BD" w:rsidRPr="005F76D9" w:rsidRDefault="005668BD" w:rsidP="000F3CBC">
            <w:pPr>
              <w:pStyle w:val="Tabletext1"/>
              <w:ind w:left="0"/>
              <w:rPr>
                <w:rFonts w:ascii="Calibri" w:hAnsi="Calibri" w:cs="Calibri"/>
                <w:b/>
                <w:bCs/>
                <w:color w:val="44546A"/>
              </w:rPr>
            </w:pPr>
          </w:p>
        </w:tc>
        <w:tc>
          <w:tcPr>
            <w:tcW w:w="550" w:type="pct"/>
            <w:tcBorders>
              <w:left w:val="nil"/>
              <w:right w:val="nil"/>
            </w:tcBorders>
            <w:noWrap/>
          </w:tcPr>
          <w:p w14:paraId="3A0D16A2" w14:textId="77777777" w:rsidR="005668BD" w:rsidRPr="005F76D9" w:rsidRDefault="005668BD" w:rsidP="000F3CBC">
            <w:pPr>
              <w:pStyle w:val="Tabletext1"/>
              <w:ind w:left="0"/>
              <w:rPr>
                <w:rFonts w:ascii="Calibri" w:hAnsi="Calibri" w:cs="Calibri"/>
                <w:b/>
                <w:bCs/>
                <w:color w:val="44546A"/>
              </w:rPr>
            </w:pPr>
          </w:p>
        </w:tc>
        <w:tc>
          <w:tcPr>
            <w:tcW w:w="522" w:type="pct"/>
            <w:tcBorders>
              <w:left w:val="nil"/>
            </w:tcBorders>
            <w:noWrap/>
            <w:hideMark/>
          </w:tcPr>
          <w:p w14:paraId="232A1062" w14:textId="77777777" w:rsidR="005668BD" w:rsidRPr="005F76D9" w:rsidRDefault="005668BD" w:rsidP="000F3CBC">
            <w:pPr>
              <w:pStyle w:val="Tabletext1"/>
              <w:ind w:left="0"/>
              <w:rPr>
                <w:rFonts w:cs="Calibri"/>
                <w:color w:val="000000"/>
              </w:rPr>
            </w:pPr>
          </w:p>
        </w:tc>
      </w:tr>
      <w:tr w:rsidR="005668BD" w:rsidRPr="00147634" w14:paraId="6CAB4C9C" w14:textId="77777777" w:rsidTr="000F3CBC">
        <w:trPr>
          <w:trHeight w:val="255"/>
        </w:trPr>
        <w:tc>
          <w:tcPr>
            <w:tcW w:w="2906" w:type="pct"/>
            <w:noWrap/>
            <w:hideMark/>
          </w:tcPr>
          <w:p w14:paraId="1F1551BB" w14:textId="1885AC13" w:rsidR="005668BD" w:rsidRPr="000F3CBC" w:rsidRDefault="005668BD" w:rsidP="000F3CBC">
            <w:pPr>
              <w:pStyle w:val="Tabletext1"/>
              <w:ind w:left="0"/>
              <w:rPr>
                <w:rFonts w:cs="Calibri"/>
                <w:b/>
                <w:color w:val="000000"/>
              </w:rPr>
            </w:pPr>
            <w:r w:rsidRPr="000F3CBC">
              <w:rPr>
                <w:rFonts w:cs="Calibri"/>
                <w:b/>
                <w:color w:val="000000"/>
              </w:rPr>
              <w:t xml:space="preserve">Base case </w:t>
            </w:r>
            <w:r>
              <w:rPr>
                <w:rFonts w:cs="Calibri"/>
                <w:b/>
                <w:color w:val="000000"/>
              </w:rPr>
              <w:t>modelled analysis</w:t>
            </w:r>
          </w:p>
        </w:tc>
        <w:tc>
          <w:tcPr>
            <w:tcW w:w="550" w:type="pct"/>
            <w:gridSpan w:val="3"/>
            <w:noWrap/>
            <w:hideMark/>
          </w:tcPr>
          <w:p w14:paraId="0FED4655" w14:textId="77777777" w:rsidR="005668BD" w:rsidRPr="000F3CBC" w:rsidRDefault="005668BD" w:rsidP="000F3CBC">
            <w:pPr>
              <w:pStyle w:val="Tabletext1"/>
              <w:ind w:left="0"/>
              <w:jc w:val="right"/>
              <w:rPr>
                <w:rFonts w:cs="Calibri"/>
                <w:b/>
                <w:color w:val="000000"/>
              </w:rPr>
            </w:pPr>
            <w:r w:rsidRPr="000F3CBC">
              <w:rPr>
                <w:b/>
              </w:rPr>
              <w:t>$137,443</w:t>
            </w:r>
          </w:p>
        </w:tc>
        <w:tc>
          <w:tcPr>
            <w:tcW w:w="472" w:type="pct"/>
            <w:gridSpan w:val="2"/>
            <w:noWrap/>
            <w:hideMark/>
          </w:tcPr>
          <w:p w14:paraId="1CAFE4BA" w14:textId="77777777" w:rsidR="005668BD" w:rsidRPr="000F3CBC" w:rsidRDefault="005668BD" w:rsidP="000F3CBC">
            <w:pPr>
              <w:pStyle w:val="Tabletext1"/>
              <w:ind w:left="0"/>
              <w:jc w:val="right"/>
              <w:rPr>
                <w:rFonts w:cs="Calibri"/>
                <w:b/>
                <w:color w:val="000000"/>
              </w:rPr>
            </w:pPr>
            <w:r w:rsidRPr="000F3CBC">
              <w:rPr>
                <w:b/>
              </w:rPr>
              <w:t>1.1840</w:t>
            </w:r>
          </w:p>
        </w:tc>
        <w:tc>
          <w:tcPr>
            <w:tcW w:w="550" w:type="pct"/>
            <w:noWrap/>
            <w:hideMark/>
          </w:tcPr>
          <w:p w14:paraId="22E66FBD" w14:textId="77777777" w:rsidR="005668BD" w:rsidRPr="000F3CBC" w:rsidRDefault="005668BD" w:rsidP="000F3CBC">
            <w:pPr>
              <w:pStyle w:val="Tabletext1"/>
              <w:ind w:left="0"/>
              <w:jc w:val="right"/>
              <w:rPr>
                <w:rFonts w:cs="Calibri"/>
                <w:b/>
                <w:color w:val="000000"/>
              </w:rPr>
            </w:pPr>
            <w:r w:rsidRPr="000F3CBC">
              <w:rPr>
                <w:b/>
              </w:rPr>
              <w:t>$116,088</w:t>
            </w:r>
          </w:p>
        </w:tc>
        <w:tc>
          <w:tcPr>
            <w:tcW w:w="522" w:type="pct"/>
            <w:noWrap/>
            <w:hideMark/>
          </w:tcPr>
          <w:p w14:paraId="7D597A07" w14:textId="5B191CA2" w:rsidR="005668BD" w:rsidRPr="000F3CBC" w:rsidRDefault="005668BD" w:rsidP="000F3CBC">
            <w:pPr>
              <w:pStyle w:val="Tabletext1"/>
              <w:ind w:left="0"/>
              <w:jc w:val="right"/>
              <w:rPr>
                <w:rFonts w:cs="Calibri"/>
                <w:b/>
                <w:color w:val="000000"/>
              </w:rPr>
            </w:pPr>
            <w:r>
              <w:rPr>
                <w:rFonts w:cs="Calibri"/>
                <w:b/>
                <w:color w:val="000000"/>
              </w:rPr>
              <w:t>-</w:t>
            </w:r>
          </w:p>
        </w:tc>
      </w:tr>
      <w:tr w:rsidR="005668BD" w:rsidRPr="005F76D9" w14:paraId="725941A3" w14:textId="77777777" w:rsidTr="000F3CBC">
        <w:trPr>
          <w:trHeight w:val="255"/>
        </w:trPr>
        <w:tc>
          <w:tcPr>
            <w:tcW w:w="2906" w:type="pct"/>
            <w:tcBorders>
              <w:right w:val="nil"/>
            </w:tcBorders>
            <w:noWrap/>
            <w:hideMark/>
          </w:tcPr>
          <w:p w14:paraId="3F5CC539" w14:textId="77777777" w:rsidR="005668BD" w:rsidRPr="000F3CBC" w:rsidRDefault="005668BD" w:rsidP="000F3CBC">
            <w:pPr>
              <w:pStyle w:val="Tabletext1"/>
              <w:ind w:left="0"/>
              <w:rPr>
                <w:rFonts w:cs="Calibri"/>
                <w:b/>
                <w:color w:val="000000"/>
              </w:rPr>
            </w:pPr>
            <w:r w:rsidRPr="000F3CBC">
              <w:rPr>
                <w:rFonts w:cs="Calibri"/>
                <w:b/>
                <w:color w:val="000000"/>
              </w:rPr>
              <w:t>Maintenance dose intervals for Ig (base case: 4 weeks)</w:t>
            </w:r>
          </w:p>
        </w:tc>
        <w:tc>
          <w:tcPr>
            <w:tcW w:w="550" w:type="pct"/>
            <w:gridSpan w:val="3"/>
            <w:tcBorders>
              <w:left w:val="nil"/>
              <w:right w:val="nil"/>
            </w:tcBorders>
            <w:noWrap/>
            <w:hideMark/>
          </w:tcPr>
          <w:p w14:paraId="6506E296" w14:textId="77777777" w:rsidR="005668BD" w:rsidRPr="005F76D9" w:rsidRDefault="005668BD" w:rsidP="000F3CBC">
            <w:pPr>
              <w:pStyle w:val="Tabletext1"/>
              <w:ind w:left="0"/>
              <w:jc w:val="right"/>
              <w:rPr>
                <w:rFonts w:cs="Calibri"/>
                <w:color w:val="000000"/>
              </w:rPr>
            </w:pPr>
          </w:p>
        </w:tc>
        <w:tc>
          <w:tcPr>
            <w:tcW w:w="472" w:type="pct"/>
            <w:gridSpan w:val="2"/>
            <w:tcBorders>
              <w:left w:val="nil"/>
              <w:right w:val="nil"/>
            </w:tcBorders>
            <w:noWrap/>
            <w:hideMark/>
          </w:tcPr>
          <w:p w14:paraId="542F8E40" w14:textId="77777777" w:rsidR="005668BD" w:rsidRPr="005F76D9" w:rsidRDefault="005668BD" w:rsidP="000F3CBC">
            <w:pPr>
              <w:pStyle w:val="Tabletext1"/>
              <w:ind w:left="0"/>
              <w:jc w:val="right"/>
            </w:pPr>
          </w:p>
        </w:tc>
        <w:tc>
          <w:tcPr>
            <w:tcW w:w="550" w:type="pct"/>
            <w:tcBorders>
              <w:left w:val="nil"/>
              <w:right w:val="nil"/>
            </w:tcBorders>
            <w:noWrap/>
            <w:hideMark/>
          </w:tcPr>
          <w:p w14:paraId="3F710D75" w14:textId="77777777" w:rsidR="005668BD" w:rsidRPr="005F76D9" w:rsidRDefault="005668BD" w:rsidP="000F3CBC">
            <w:pPr>
              <w:pStyle w:val="Tabletext1"/>
              <w:ind w:left="0"/>
              <w:jc w:val="right"/>
            </w:pPr>
          </w:p>
        </w:tc>
        <w:tc>
          <w:tcPr>
            <w:tcW w:w="522" w:type="pct"/>
            <w:tcBorders>
              <w:left w:val="nil"/>
            </w:tcBorders>
            <w:noWrap/>
            <w:hideMark/>
          </w:tcPr>
          <w:p w14:paraId="6F1E2408" w14:textId="77777777" w:rsidR="005668BD" w:rsidRPr="005F76D9" w:rsidRDefault="005668BD" w:rsidP="000F3CBC">
            <w:pPr>
              <w:pStyle w:val="Tabletext1"/>
              <w:ind w:left="0"/>
              <w:jc w:val="right"/>
              <w:rPr>
                <w:rFonts w:cs="Calibri"/>
                <w:color w:val="000000"/>
              </w:rPr>
            </w:pPr>
          </w:p>
        </w:tc>
      </w:tr>
      <w:tr w:rsidR="005668BD" w:rsidRPr="005F76D9" w14:paraId="20604BE4" w14:textId="77777777" w:rsidTr="000F3CBC">
        <w:trPr>
          <w:trHeight w:val="255"/>
        </w:trPr>
        <w:tc>
          <w:tcPr>
            <w:tcW w:w="2906" w:type="pct"/>
            <w:noWrap/>
            <w:hideMark/>
          </w:tcPr>
          <w:p w14:paraId="6537F86F" w14:textId="77777777" w:rsidR="005668BD" w:rsidRPr="005F76D9" w:rsidRDefault="005668BD" w:rsidP="00BD38A5">
            <w:pPr>
              <w:pStyle w:val="Tabletext1"/>
              <w:ind w:left="284"/>
              <w:rPr>
                <w:rFonts w:cs="Calibri"/>
                <w:color w:val="000000"/>
              </w:rPr>
            </w:pPr>
            <w:r w:rsidRPr="005F76D9">
              <w:rPr>
                <w:rFonts w:cs="Calibri"/>
                <w:color w:val="000000"/>
              </w:rPr>
              <w:t>3 weeks</w:t>
            </w:r>
          </w:p>
        </w:tc>
        <w:tc>
          <w:tcPr>
            <w:tcW w:w="550" w:type="pct"/>
            <w:gridSpan w:val="3"/>
            <w:noWrap/>
            <w:hideMark/>
          </w:tcPr>
          <w:p w14:paraId="2F429BA8" w14:textId="77777777" w:rsidR="005668BD" w:rsidRPr="005F76D9" w:rsidRDefault="005668BD" w:rsidP="000F3CBC">
            <w:pPr>
              <w:pStyle w:val="Tabletext1"/>
              <w:ind w:left="0"/>
              <w:jc w:val="right"/>
              <w:rPr>
                <w:rFonts w:cs="Calibri"/>
                <w:color w:val="000000"/>
              </w:rPr>
            </w:pPr>
            <w:r w:rsidRPr="00563127">
              <w:t>$184,329</w:t>
            </w:r>
          </w:p>
        </w:tc>
        <w:tc>
          <w:tcPr>
            <w:tcW w:w="472" w:type="pct"/>
            <w:gridSpan w:val="2"/>
            <w:noWrap/>
            <w:hideMark/>
          </w:tcPr>
          <w:p w14:paraId="295A5400" w14:textId="77777777" w:rsidR="005668BD" w:rsidRPr="005F76D9" w:rsidRDefault="005668BD" w:rsidP="000F3CBC">
            <w:pPr>
              <w:pStyle w:val="Tabletext1"/>
              <w:ind w:left="0"/>
              <w:jc w:val="right"/>
              <w:rPr>
                <w:rFonts w:cs="Calibri"/>
                <w:color w:val="000000"/>
              </w:rPr>
            </w:pPr>
            <w:r w:rsidRPr="00563127">
              <w:t>1.1772</w:t>
            </w:r>
          </w:p>
        </w:tc>
        <w:tc>
          <w:tcPr>
            <w:tcW w:w="550" w:type="pct"/>
            <w:noWrap/>
            <w:hideMark/>
          </w:tcPr>
          <w:p w14:paraId="095540EC" w14:textId="77777777" w:rsidR="005668BD" w:rsidRPr="005F76D9" w:rsidRDefault="005668BD" w:rsidP="000F3CBC">
            <w:pPr>
              <w:pStyle w:val="Tabletext1"/>
              <w:ind w:left="0"/>
              <w:jc w:val="right"/>
              <w:rPr>
                <w:rFonts w:cs="Calibri"/>
                <w:color w:val="000000"/>
              </w:rPr>
            </w:pPr>
            <w:r w:rsidRPr="00563127">
              <w:t>$156,582</w:t>
            </w:r>
          </w:p>
        </w:tc>
        <w:tc>
          <w:tcPr>
            <w:tcW w:w="522" w:type="pct"/>
            <w:noWrap/>
            <w:hideMark/>
          </w:tcPr>
          <w:p w14:paraId="26A844B3" w14:textId="77777777" w:rsidR="005668BD" w:rsidRPr="005F76D9" w:rsidRDefault="005668BD" w:rsidP="000F3CBC">
            <w:pPr>
              <w:pStyle w:val="Tabletext1"/>
              <w:ind w:left="0"/>
              <w:jc w:val="right"/>
              <w:rPr>
                <w:rFonts w:cs="Calibri"/>
                <w:color w:val="000000"/>
              </w:rPr>
            </w:pPr>
            <w:r w:rsidRPr="00563127">
              <w:t>35%</w:t>
            </w:r>
          </w:p>
        </w:tc>
      </w:tr>
      <w:tr w:rsidR="005668BD" w:rsidRPr="005F76D9" w14:paraId="4094B2D4" w14:textId="77777777" w:rsidTr="000F3CBC">
        <w:trPr>
          <w:trHeight w:val="255"/>
        </w:trPr>
        <w:tc>
          <w:tcPr>
            <w:tcW w:w="2906" w:type="pct"/>
            <w:noWrap/>
            <w:hideMark/>
          </w:tcPr>
          <w:p w14:paraId="294C1A89" w14:textId="77777777" w:rsidR="005668BD" w:rsidRPr="005F76D9" w:rsidRDefault="005668BD" w:rsidP="00BD38A5">
            <w:pPr>
              <w:pStyle w:val="Tabletext1"/>
              <w:ind w:left="284"/>
              <w:rPr>
                <w:rFonts w:cs="Calibri"/>
                <w:color w:val="000000"/>
              </w:rPr>
            </w:pPr>
            <w:r w:rsidRPr="005F76D9">
              <w:rPr>
                <w:rFonts w:cs="Calibri"/>
                <w:color w:val="000000"/>
              </w:rPr>
              <w:t>6 weeks</w:t>
            </w:r>
          </w:p>
        </w:tc>
        <w:tc>
          <w:tcPr>
            <w:tcW w:w="550" w:type="pct"/>
            <w:gridSpan w:val="3"/>
            <w:noWrap/>
            <w:hideMark/>
          </w:tcPr>
          <w:p w14:paraId="67A2AFCA" w14:textId="77777777" w:rsidR="005668BD" w:rsidRPr="005F76D9" w:rsidRDefault="005668BD" w:rsidP="000F3CBC">
            <w:pPr>
              <w:pStyle w:val="Tabletext1"/>
              <w:ind w:left="0"/>
              <w:jc w:val="right"/>
              <w:rPr>
                <w:rFonts w:cs="Calibri"/>
                <w:color w:val="000000"/>
              </w:rPr>
            </w:pPr>
            <w:r w:rsidRPr="00563127">
              <w:t>$90,558</w:t>
            </w:r>
          </w:p>
        </w:tc>
        <w:tc>
          <w:tcPr>
            <w:tcW w:w="472" w:type="pct"/>
            <w:gridSpan w:val="2"/>
            <w:noWrap/>
            <w:hideMark/>
          </w:tcPr>
          <w:p w14:paraId="673ED729" w14:textId="77777777" w:rsidR="005668BD" w:rsidRPr="005F76D9" w:rsidRDefault="005668BD" w:rsidP="000F3CBC">
            <w:pPr>
              <w:pStyle w:val="Tabletext1"/>
              <w:ind w:left="0"/>
              <w:jc w:val="right"/>
              <w:rPr>
                <w:rFonts w:cs="Calibri"/>
                <w:color w:val="000000"/>
              </w:rPr>
            </w:pPr>
            <w:r w:rsidRPr="00563127">
              <w:t>1.1907</w:t>
            </w:r>
          </w:p>
        </w:tc>
        <w:tc>
          <w:tcPr>
            <w:tcW w:w="550" w:type="pct"/>
            <w:noWrap/>
            <w:hideMark/>
          </w:tcPr>
          <w:p w14:paraId="70D1269E" w14:textId="77777777" w:rsidR="005668BD" w:rsidRPr="005F76D9" w:rsidRDefault="005668BD" w:rsidP="000F3CBC">
            <w:pPr>
              <w:pStyle w:val="Tabletext1"/>
              <w:ind w:left="0"/>
              <w:jc w:val="right"/>
              <w:rPr>
                <w:rFonts w:cs="Calibri"/>
                <w:color w:val="000000"/>
              </w:rPr>
            </w:pPr>
            <w:r w:rsidRPr="00563127">
              <w:t>$76,053</w:t>
            </w:r>
          </w:p>
        </w:tc>
        <w:tc>
          <w:tcPr>
            <w:tcW w:w="522" w:type="pct"/>
            <w:noWrap/>
            <w:hideMark/>
          </w:tcPr>
          <w:p w14:paraId="22C37CBA" w14:textId="77777777" w:rsidR="005668BD" w:rsidRPr="005F76D9" w:rsidRDefault="005668BD" w:rsidP="000F3CBC">
            <w:pPr>
              <w:pStyle w:val="Tabletext1"/>
              <w:ind w:left="0"/>
              <w:jc w:val="right"/>
              <w:rPr>
                <w:rFonts w:cs="Calibri"/>
                <w:color w:val="000000"/>
              </w:rPr>
            </w:pPr>
            <w:r w:rsidRPr="00563127">
              <w:t>-34%</w:t>
            </w:r>
          </w:p>
        </w:tc>
      </w:tr>
      <w:tr w:rsidR="005668BD" w:rsidRPr="005F76D9" w14:paraId="5A327932" w14:textId="77777777" w:rsidTr="000F3CBC">
        <w:trPr>
          <w:trHeight w:val="255"/>
        </w:trPr>
        <w:tc>
          <w:tcPr>
            <w:tcW w:w="2906" w:type="pct"/>
            <w:tcBorders>
              <w:bottom w:val="single" w:sz="4" w:space="0" w:color="auto"/>
            </w:tcBorders>
            <w:noWrap/>
            <w:hideMark/>
          </w:tcPr>
          <w:p w14:paraId="239D3EE4" w14:textId="77777777" w:rsidR="005668BD" w:rsidRPr="005F76D9" w:rsidRDefault="005668BD" w:rsidP="00BD38A5">
            <w:pPr>
              <w:pStyle w:val="Tabletext1"/>
              <w:ind w:left="284"/>
              <w:rPr>
                <w:rFonts w:cs="Calibri"/>
                <w:color w:val="000000"/>
              </w:rPr>
            </w:pPr>
            <w:r w:rsidRPr="005F76D9">
              <w:rPr>
                <w:rFonts w:cs="Calibri"/>
                <w:color w:val="000000"/>
              </w:rPr>
              <w:t>8 weeks</w:t>
            </w:r>
          </w:p>
        </w:tc>
        <w:tc>
          <w:tcPr>
            <w:tcW w:w="550" w:type="pct"/>
            <w:gridSpan w:val="3"/>
            <w:tcBorders>
              <w:bottom w:val="single" w:sz="4" w:space="0" w:color="auto"/>
            </w:tcBorders>
            <w:noWrap/>
            <w:hideMark/>
          </w:tcPr>
          <w:p w14:paraId="62827C6E" w14:textId="77777777" w:rsidR="005668BD" w:rsidRPr="005F76D9" w:rsidRDefault="005668BD" w:rsidP="000F3CBC">
            <w:pPr>
              <w:pStyle w:val="Tabletext1"/>
              <w:ind w:left="0"/>
              <w:jc w:val="right"/>
              <w:rPr>
                <w:rFonts w:cs="Calibri"/>
                <w:color w:val="000000"/>
              </w:rPr>
            </w:pPr>
            <w:r w:rsidRPr="00563127">
              <w:t>$67,115</w:t>
            </w:r>
          </w:p>
        </w:tc>
        <w:tc>
          <w:tcPr>
            <w:tcW w:w="472" w:type="pct"/>
            <w:gridSpan w:val="2"/>
            <w:tcBorders>
              <w:bottom w:val="single" w:sz="4" w:space="0" w:color="auto"/>
            </w:tcBorders>
            <w:noWrap/>
            <w:hideMark/>
          </w:tcPr>
          <w:p w14:paraId="42EC6C5D" w14:textId="77777777" w:rsidR="005668BD" w:rsidRPr="005F76D9" w:rsidRDefault="005668BD" w:rsidP="000F3CBC">
            <w:pPr>
              <w:pStyle w:val="Tabletext1"/>
              <w:ind w:left="0"/>
              <w:jc w:val="right"/>
              <w:rPr>
                <w:rFonts w:cs="Calibri"/>
                <w:color w:val="000000"/>
              </w:rPr>
            </w:pPr>
            <w:r w:rsidRPr="00563127">
              <w:t>1.1941</w:t>
            </w:r>
          </w:p>
        </w:tc>
        <w:tc>
          <w:tcPr>
            <w:tcW w:w="550" w:type="pct"/>
            <w:tcBorders>
              <w:bottom w:val="single" w:sz="4" w:space="0" w:color="auto"/>
            </w:tcBorders>
            <w:noWrap/>
            <w:hideMark/>
          </w:tcPr>
          <w:p w14:paraId="030614EA" w14:textId="77777777" w:rsidR="005668BD" w:rsidRPr="005F76D9" w:rsidRDefault="005668BD" w:rsidP="000F3CBC">
            <w:pPr>
              <w:pStyle w:val="Tabletext1"/>
              <w:ind w:left="0"/>
              <w:jc w:val="right"/>
              <w:rPr>
                <w:rFonts w:cs="Calibri"/>
                <w:color w:val="000000"/>
              </w:rPr>
            </w:pPr>
            <w:r w:rsidRPr="00563127">
              <w:t>$56,206</w:t>
            </w:r>
          </w:p>
        </w:tc>
        <w:tc>
          <w:tcPr>
            <w:tcW w:w="522" w:type="pct"/>
            <w:tcBorders>
              <w:bottom w:val="single" w:sz="4" w:space="0" w:color="auto"/>
            </w:tcBorders>
            <w:noWrap/>
            <w:hideMark/>
          </w:tcPr>
          <w:p w14:paraId="1B5D026B" w14:textId="77777777" w:rsidR="005668BD" w:rsidRPr="005F76D9" w:rsidRDefault="005668BD" w:rsidP="000F3CBC">
            <w:pPr>
              <w:pStyle w:val="Tabletext1"/>
              <w:ind w:left="0"/>
              <w:jc w:val="right"/>
              <w:rPr>
                <w:rFonts w:cs="Calibri"/>
                <w:color w:val="000000"/>
              </w:rPr>
            </w:pPr>
            <w:r w:rsidRPr="00563127">
              <w:t>-52%</w:t>
            </w:r>
          </w:p>
        </w:tc>
      </w:tr>
      <w:tr w:rsidR="005668BD" w:rsidRPr="005F76D9" w14:paraId="4DF6E601" w14:textId="77777777" w:rsidTr="000F3CBC">
        <w:trPr>
          <w:trHeight w:val="255"/>
        </w:trPr>
        <w:tc>
          <w:tcPr>
            <w:tcW w:w="2906" w:type="pct"/>
            <w:tcBorders>
              <w:right w:val="nil"/>
            </w:tcBorders>
            <w:noWrap/>
            <w:hideMark/>
          </w:tcPr>
          <w:p w14:paraId="14E391C8" w14:textId="77777777" w:rsidR="005668BD" w:rsidRPr="005F76D9" w:rsidRDefault="005668BD" w:rsidP="000F3CBC">
            <w:pPr>
              <w:pStyle w:val="Tabletext1"/>
              <w:ind w:left="0"/>
              <w:rPr>
                <w:rFonts w:cs="Calibri"/>
                <w:b/>
                <w:bCs/>
                <w:color w:val="000000"/>
              </w:rPr>
            </w:pPr>
            <w:r w:rsidRPr="005F76D9">
              <w:rPr>
                <w:rFonts w:cs="Calibri"/>
                <w:b/>
                <w:bCs/>
                <w:color w:val="000000"/>
              </w:rPr>
              <w:t>Weaning off trial for Ig</w:t>
            </w:r>
          </w:p>
        </w:tc>
        <w:tc>
          <w:tcPr>
            <w:tcW w:w="550" w:type="pct"/>
            <w:gridSpan w:val="3"/>
            <w:tcBorders>
              <w:left w:val="nil"/>
              <w:right w:val="nil"/>
            </w:tcBorders>
            <w:noWrap/>
            <w:hideMark/>
          </w:tcPr>
          <w:p w14:paraId="795C4F8A" w14:textId="77777777" w:rsidR="005668BD" w:rsidRPr="005F76D9" w:rsidRDefault="005668BD" w:rsidP="000F3CBC">
            <w:pPr>
              <w:pStyle w:val="Tabletext1"/>
              <w:ind w:left="0"/>
              <w:jc w:val="right"/>
              <w:rPr>
                <w:rFonts w:cs="Calibri"/>
                <w:b/>
                <w:bCs/>
                <w:color w:val="000000"/>
              </w:rPr>
            </w:pPr>
          </w:p>
        </w:tc>
        <w:tc>
          <w:tcPr>
            <w:tcW w:w="472" w:type="pct"/>
            <w:gridSpan w:val="2"/>
            <w:tcBorders>
              <w:left w:val="nil"/>
              <w:right w:val="nil"/>
            </w:tcBorders>
            <w:noWrap/>
            <w:hideMark/>
          </w:tcPr>
          <w:p w14:paraId="65644F93" w14:textId="77777777" w:rsidR="005668BD" w:rsidRPr="005F76D9" w:rsidRDefault="005668BD" w:rsidP="000F3CBC">
            <w:pPr>
              <w:pStyle w:val="Tabletext1"/>
              <w:ind w:left="0"/>
              <w:jc w:val="right"/>
            </w:pPr>
          </w:p>
        </w:tc>
        <w:tc>
          <w:tcPr>
            <w:tcW w:w="550" w:type="pct"/>
            <w:tcBorders>
              <w:left w:val="nil"/>
              <w:right w:val="nil"/>
            </w:tcBorders>
            <w:noWrap/>
            <w:hideMark/>
          </w:tcPr>
          <w:p w14:paraId="544DB0B7" w14:textId="77777777" w:rsidR="005668BD" w:rsidRPr="005F76D9" w:rsidRDefault="005668BD" w:rsidP="000F3CBC">
            <w:pPr>
              <w:pStyle w:val="Tabletext1"/>
              <w:ind w:left="0"/>
              <w:jc w:val="right"/>
            </w:pPr>
          </w:p>
        </w:tc>
        <w:tc>
          <w:tcPr>
            <w:tcW w:w="522" w:type="pct"/>
            <w:tcBorders>
              <w:left w:val="nil"/>
            </w:tcBorders>
            <w:noWrap/>
            <w:hideMark/>
          </w:tcPr>
          <w:p w14:paraId="43812F0D" w14:textId="77777777" w:rsidR="005668BD" w:rsidRPr="005F76D9" w:rsidRDefault="005668BD" w:rsidP="000F3CBC">
            <w:pPr>
              <w:pStyle w:val="Tabletext1"/>
              <w:ind w:left="0"/>
              <w:jc w:val="right"/>
              <w:rPr>
                <w:rFonts w:cs="Calibri"/>
                <w:color w:val="000000"/>
              </w:rPr>
            </w:pPr>
          </w:p>
        </w:tc>
      </w:tr>
      <w:tr w:rsidR="005668BD" w:rsidRPr="005F76D9" w14:paraId="79E93E5F" w14:textId="77777777" w:rsidTr="000F3CBC">
        <w:trPr>
          <w:trHeight w:val="255"/>
        </w:trPr>
        <w:tc>
          <w:tcPr>
            <w:tcW w:w="2906" w:type="pct"/>
            <w:tcBorders>
              <w:bottom w:val="single" w:sz="4" w:space="0" w:color="auto"/>
            </w:tcBorders>
            <w:noWrap/>
            <w:hideMark/>
          </w:tcPr>
          <w:p w14:paraId="13E29DDE" w14:textId="77777777" w:rsidR="005668BD" w:rsidRPr="005F76D9" w:rsidRDefault="005668BD" w:rsidP="00BD38A5">
            <w:pPr>
              <w:pStyle w:val="Tabletext1"/>
              <w:ind w:left="284"/>
              <w:rPr>
                <w:rFonts w:cs="Calibri"/>
                <w:color w:val="000000"/>
              </w:rPr>
            </w:pPr>
            <w:r w:rsidRPr="005F76D9">
              <w:rPr>
                <w:rFonts w:cs="Calibri"/>
                <w:color w:val="000000"/>
              </w:rPr>
              <w:t>Starting dose in maintenance phase- 1g/kg, then applying 20% dose reduction for 5 cycles</w:t>
            </w:r>
          </w:p>
        </w:tc>
        <w:tc>
          <w:tcPr>
            <w:tcW w:w="550" w:type="pct"/>
            <w:gridSpan w:val="3"/>
            <w:tcBorders>
              <w:bottom w:val="single" w:sz="4" w:space="0" w:color="auto"/>
            </w:tcBorders>
            <w:noWrap/>
            <w:hideMark/>
          </w:tcPr>
          <w:p w14:paraId="77CEF788" w14:textId="77777777" w:rsidR="005668BD" w:rsidRPr="005F76D9" w:rsidRDefault="005668BD" w:rsidP="000F3CBC">
            <w:pPr>
              <w:pStyle w:val="Tabletext1"/>
              <w:ind w:left="0"/>
              <w:jc w:val="right"/>
              <w:rPr>
                <w:rFonts w:cs="Calibri"/>
                <w:color w:val="000000"/>
              </w:rPr>
            </w:pPr>
            <w:r w:rsidRPr="00563127">
              <w:t>$100,559</w:t>
            </w:r>
          </w:p>
        </w:tc>
        <w:tc>
          <w:tcPr>
            <w:tcW w:w="472" w:type="pct"/>
            <w:gridSpan w:val="2"/>
            <w:tcBorders>
              <w:bottom w:val="single" w:sz="4" w:space="0" w:color="auto"/>
            </w:tcBorders>
            <w:noWrap/>
            <w:hideMark/>
          </w:tcPr>
          <w:p w14:paraId="59FB0AD9" w14:textId="77777777" w:rsidR="005668BD" w:rsidRPr="005F76D9" w:rsidRDefault="005668BD" w:rsidP="000F3CBC">
            <w:pPr>
              <w:pStyle w:val="Tabletext1"/>
              <w:ind w:left="0"/>
              <w:jc w:val="right"/>
              <w:rPr>
                <w:rFonts w:cs="Calibri"/>
                <w:color w:val="000000"/>
              </w:rPr>
            </w:pPr>
            <w:r w:rsidRPr="00563127">
              <w:t>1.1840</w:t>
            </w:r>
          </w:p>
        </w:tc>
        <w:tc>
          <w:tcPr>
            <w:tcW w:w="550" w:type="pct"/>
            <w:tcBorders>
              <w:bottom w:val="single" w:sz="4" w:space="0" w:color="auto"/>
            </w:tcBorders>
            <w:noWrap/>
            <w:hideMark/>
          </w:tcPr>
          <w:p w14:paraId="0EDC1D26" w14:textId="77777777" w:rsidR="005668BD" w:rsidRPr="005F76D9" w:rsidRDefault="005668BD" w:rsidP="000F3CBC">
            <w:pPr>
              <w:pStyle w:val="Tabletext1"/>
              <w:ind w:left="0"/>
              <w:jc w:val="right"/>
              <w:rPr>
                <w:rFonts w:cs="Calibri"/>
                <w:color w:val="000000"/>
              </w:rPr>
            </w:pPr>
            <w:r w:rsidRPr="00563127">
              <w:t>$84,934</w:t>
            </w:r>
          </w:p>
        </w:tc>
        <w:tc>
          <w:tcPr>
            <w:tcW w:w="522" w:type="pct"/>
            <w:tcBorders>
              <w:bottom w:val="single" w:sz="4" w:space="0" w:color="auto"/>
            </w:tcBorders>
            <w:noWrap/>
            <w:hideMark/>
          </w:tcPr>
          <w:p w14:paraId="2D56E704" w14:textId="77777777" w:rsidR="005668BD" w:rsidRPr="005F76D9" w:rsidRDefault="005668BD" w:rsidP="000F3CBC">
            <w:pPr>
              <w:pStyle w:val="Tabletext1"/>
              <w:ind w:left="0"/>
              <w:jc w:val="right"/>
              <w:rPr>
                <w:rFonts w:cs="Calibri"/>
                <w:color w:val="000000"/>
              </w:rPr>
            </w:pPr>
            <w:r w:rsidRPr="00563127">
              <w:t>-27%</w:t>
            </w:r>
          </w:p>
        </w:tc>
      </w:tr>
      <w:tr w:rsidR="005668BD" w:rsidRPr="005F76D9" w14:paraId="40B00CC1" w14:textId="77777777" w:rsidTr="000F3CBC">
        <w:trPr>
          <w:trHeight w:val="255"/>
        </w:trPr>
        <w:tc>
          <w:tcPr>
            <w:tcW w:w="2906" w:type="pct"/>
            <w:tcBorders>
              <w:right w:val="nil"/>
            </w:tcBorders>
            <w:noWrap/>
            <w:hideMark/>
          </w:tcPr>
          <w:p w14:paraId="75EC4F91" w14:textId="77777777" w:rsidR="005668BD" w:rsidRPr="005F76D9" w:rsidRDefault="005668BD" w:rsidP="000F3CBC">
            <w:pPr>
              <w:pStyle w:val="Tabletext1"/>
              <w:ind w:left="0"/>
              <w:rPr>
                <w:rFonts w:cs="Calibri"/>
                <w:b/>
                <w:bCs/>
                <w:color w:val="000000"/>
              </w:rPr>
            </w:pPr>
            <w:r w:rsidRPr="005F76D9">
              <w:rPr>
                <w:rFonts w:cs="Calibri"/>
                <w:b/>
                <w:bCs/>
                <w:color w:val="000000"/>
              </w:rPr>
              <w:t>Modelled time horizon (base case: 10 years)</w:t>
            </w:r>
          </w:p>
        </w:tc>
        <w:tc>
          <w:tcPr>
            <w:tcW w:w="550" w:type="pct"/>
            <w:gridSpan w:val="3"/>
            <w:tcBorders>
              <w:left w:val="nil"/>
              <w:right w:val="nil"/>
            </w:tcBorders>
            <w:noWrap/>
            <w:hideMark/>
          </w:tcPr>
          <w:p w14:paraId="05B57440" w14:textId="77777777" w:rsidR="005668BD" w:rsidRPr="005F76D9" w:rsidRDefault="005668BD" w:rsidP="000F3CBC">
            <w:pPr>
              <w:pStyle w:val="Tabletext1"/>
              <w:ind w:left="0"/>
              <w:jc w:val="right"/>
              <w:rPr>
                <w:rFonts w:cs="Calibri"/>
                <w:b/>
                <w:bCs/>
                <w:color w:val="000000"/>
              </w:rPr>
            </w:pPr>
          </w:p>
        </w:tc>
        <w:tc>
          <w:tcPr>
            <w:tcW w:w="472" w:type="pct"/>
            <w:gridSpan w:val="2"/>
            <w:tcBorders>
              <w:left w:val="nil"/>
              <w:right w:val="nil"/>
            </w:tcBorders>
            <w:noWrap/>
            <w:hideMark/>
          </w:tcPr>
          <w:p w14:paraId="1D39776B" w14:textId="77777777" w:rsidR="005668BD" w:rsidRPr="005F76D9" w:rsidRDefault="005668BD" w:rsidP="000F3CBC">
            <w:pPr>
              <w:pStyle w:val="Tabletext1"/>
              <w:ind w:left="0"/>
              <w:jc w:val="right"/>
            </w:pPr>
          </w:p>
        </w:tc>
        <w:tc>
          <w:tcPr>
            <w:tcW w:w="550" w:type="pct"/>
            <w:tcBorders>
              <w:left w:val="nil"/>
              <w:right w:val="nil"/>
            </w:tcBorders>
            <w:noWrap/>
            <w:hideMark/>
          </w:tcPr>
          <w:p w14:paraId="40A7183E" w14:textId="77777777" w:rsidR="005668BD" w:rsidRPr="005F76D9" w:rsidRDefault="005668BD" w:rsidP="000F3CBC">
            <w:pPr>
              <w:pStyle w:val="Tabletext1"/>
              <w:ind w:left="0"/>
              <w:jc w:val="right"/>
            </w:pPr>
          </w:p>
        </w:tc>
        <w:tc>
          <w:tcPr>
            <w:tcW w:w="522" w:type="pct"/>
            <w:tcBorders>
              <w:left w:val="nil"/>
            </w:tcBorders>
            <w:noWrap/>
            <w:hideMark/>
          </w:tcPr>
          <w:p w14:paraId="6559CA3A" w14:textId="77777777" w:rsidR="005668BD" w:rsidRPr="005F76D9" w:rsidRDefault="005668BD" w:rsidP="000F3CBC">
            <w:pPr>
              <w:pStyle w:val="Tabletext1"/>
              <w:ind w:left="0"/>
              <w:jc w:val="right"/>
              <w:rPr>
                <w:rFonts w:cs="Calibri"/>
                <w:color w:val="000000"/>
              </w:rPr>
            </w:pPr>
          </w:p>
        </w:tc>
      </w:tr>
      <w:tr w:rsidR="005668BD" w:rsidRPr="005F76D9" w14:paraId="03FE7CA6" w14:textId="77777777" w:rsidTr="000F3CBC">
        <w:trPr>
          <w:trHeight w:val="300"/>
        </w:trPr>
        <w:tc>
          <w:tcPr>
            <w:tcW w:w="2906" w:type="pct"/>
            <w:noWrap/>
            <w:hideMark/>
          </w:tcPr>
          <w:p w14:paraId="3CE6215A" w14:textId="77777777" w:rsidR="005668BD" w:rsidRPr="005F76D9" w:rsidRDefault="005668BD" w:rsidP="00BD38A5">
            <w:pPr>
              <w:pStyle w:val="Tabletext1"/>
              <w:ind w:left="284"/>
              <w:rPr>
                <w:rFonts w:cs="Calibri"/>
                <w:color w:val="000000"/>
              </w:rPr>
            </w:pPr>
            <w:r w:rsidRPr="005F76D9">
              <w:rPr>
                <w:rFonts w:cs="Calibri"/>
                <w:color w:val="000000"/>
              </w:rPr>
              <w:t>1 year</w:t>
            </w:r>
          </w:p>
        </w:tc>
        <w:tc>
          <w:tcPr>
            <w:tcW w:w="550" w:type="pct"/>
            <w:gridSpan w:val="3"/>
            <w:noWrap/>
            <w:hideMark/>
          </w:tcPr>
          <w:p w14:paraId="639A6058" w14:textId="77777777" w:rsidR="005668BD" w:rsidRPr="005F76D9" w:rsidRDefault="005668BD" w:rsidP="000F3CBC">
            <w:pPr>
              <w:pStyle w:val="Tabletext1"/>
              <w:ind w:left="0"/>
              <w:jc w:val="right"/>
              <w:rPr>
                <w:rFonts w:cs="Calibri"/>
                <w:color w:val="000000"/>
              </w:rPr>
            </w:pPr>
            <w:r w:rsidRPr="005364D4">
              <w:t>$31,109</w:t>
            </w:r>
          </w:p>
        </w:tc>
        <w:tc>
          <w:tcPr>
            <w:tcW w:w="472" w:type="pct"/>
            <w:gridSpan w:val="2"/>
            <w:noWrap/>
            <w:hideMark/>
          </w:tcPr>
          <w:p w14:paraId="346F0A54" w14:textId="77777777" w:rsidR="005668BD" w:rsidRPr="005F76D9" w:rsidRDefault="005668BD" w:rsidP="000F3CBC">
            <w:pPr>
              <w:pStyle w:val="Tabletext1"/>
              <w:ind w:left="0"/>
              <w:jc w:val="right"/>
              <w:rPr>
                <w:rFonts w:cs="Calibri"/>
                <w:color w:val="000000"/>
              </w:rPr>
            </w:pPr>
            <w:r w:rsidRPr="005364D4">
              <w:t>0.1616</w:t>
            </w:r>
          </w:p>
        </w:tc>
        <w:tc>
          <w:tcPr>
            <w:tcW w:w="550" w:type="pct"/>
            <w:noWrap/>
            <w:hideMark/>
          </w:tcPr>
          <w:p w14:paraId="22EC03BF" w14:textId="77777777" w:rsidR="005668BD" w:rsidRPr="005F76D9" w:rsidRDefault="005668BD" w:rsidP="000F3CBC">
            <w:pPr>
              <w:pStyle w:val="Tabletext1"/>
              <w:ind w:left="0"/>
              <w:jc w:val="right"/>
              <w:rPr>
                <w:rFonts w:cs="Calibri"/>
                <w:color w:val="000000"/>
              </w:rPr>
            </w:pPr>
            <w:r w:rsidRPr="005364D4">
              <w:t>$192,522</w:t>
            </w:r>
          </w:p>
        </w:tc>
        <w:tc>
          <w:tcPr>
            <w:tcW w:w="522" w:type="pct"/>
            <w:noWrap/>
            <w:hideMark/>
          </w:tcPr>
          <w:p w14:paraId="535877F3" w14:textId="77777777" w:rsidR="005668BD" w:rsidRPr="005F76D9" w:rsidRDefault="005668BD" w:rsidP="000F3CBC">
            <w:pPr>
              <w:pStyle w:val="Tabletext1"/>
              <w:ind w:left="0"/>
              <w:jc w:val="right"/>
              <w:rPr>
                <w:rFonts w:cs="Calibri"/>
                <w:color w:val="000000"/>
              </w:rPr>
            </w:pPr>
            <w:r w:rsidRPr="005364D4">
              <w:t>66%</w:t>
            </w:r>
          </w:p>
        </w:tc>
      </w:tr>
      <w:tr w:rsidR="005668BD" w:rsidRPr="005F76D9" w14:paraId="6BE4CCD1" w14:textId="77777777" w:rsidTr="000F3CBC">
        <w:trPr>
          <w:trHeight w:val="315"/>
        </w:trPr>
        <w:tc>
          <w:tcPr>
            <w:tcW w:w="2906" w:type="pct"/>
            <w:noWrap/>
            <w:hideMark/>
          </w:tcPr>
          <w:p w14:paraId="550097D6" w14:textId="77777777" w:rsidR="005668BD" w:rsidRPr="005F76D9" w:rsidRDefault="005668BD" w:rsidP="00BD38A5">
            <w:pPr>
              <w:pStyle w:val="Tabletext1"/>
              <w:ind w:left="284"/>
              <w:rPr>
                <w:rFonts w:cs="Calibri"/>
                <w:color w:val="000000"/>
              </w:rPr>
            </w:pPr>
            <w:r w:rsidRPr="005F76D9">
              <w:rPr>
                <w:rFonts w:cs="Calibri"/>
                <w:color w:val="000000"/>
              </w:rPr>
              <w:t>3 years</w:t>
            </w:r>
          </w:p>
        </w:tc>
        <w:tc>
          <w:tcPr>
            <w:tcW w:w="550" w:type="pct"/>
            <w:gridSpan w:val="3"/>
            <w:noWrap/>
            <w:hideMark/>
          </w:tcPr>
          <w:p w14:paraId="12CDDB0A" w14:textId="77777777" w:rsidR="005668BD" w:rsidRPr="005F76D9" w:rsidRDefault="005668BD" w:rsidP="000F3CBC">
            <w:pPr>
              <w:pStyle w:val="Tabletext1"/>
              <w:ind w:left="0"/>
              <w:jc w:val="right"/>
              <w:rPr>
                <w:rFonts w:cs="Calibri"/>
                <w:color w:val="000000"/>
              </w:rPr>
            </w:pPr>
            <w:r w:rsidRPr="005364D4">
              <w:t>$64,521</w:t>
            </w:r>
          </w:p>
        </w:tc>
        <w:tc>
          <w:tcPr>
            <w:tcW w:w="472" w:type="pct"/>
            <w:gridSpan w:val="2"/>
            <w:noWrap/>
            <w:hideMark/>
          </w:tcPr>
          <w:p w14:paraId="7E58D07E" w14:textId="77777777" w:rsidR="005668BD" w:rsidRPr="005F76D9" w:rsidRDefault="005668BD" w:rsidP="000F3CBC">
            <w:pPr>
              <w:pStyle w:val="Tabletext1"/>
              <w:ind w:left="0"/>
              <w:jc w:val="right"/>
              <w:rPr>
                <w:rFonts w:cs="Calibri"/>
                <w:color w:val="000000"/>
              </w:rPr>
            </w:pPr>
            <w:r w:rsidRPr="005364D4">
              <w:t>0.4355</w:t>
            </w:r>
          </w:p>
        </w:tc>
        <w:tc>
          <w:tcPr>
            <w:tcW w:w="550" w:type="pct"/>
            <w:noWrap/>
            <w:hideMark/>
          </w:tcPr>
          <w:p w14:paraId="30436504" w14:textId="77777777" w:rsidR="005668BD" w:rsidRPr="005F76D9" w:rsidRDefault="005668BD" w:rsidP="000F3CBC">
            <w:pPr>
              <w:pStyle w:val="Tabletext1"/>
              <w:ind w:left="0"/>
              <w:jc w:val="right"/>
              <w:rPr>
                <w:rFonts w:cs="Calibri"/>
                <w:color w:val="000000"/>
              </w:rPr>
            </w:pPr>
            <w:r w:rsidRPr="005364D4">
              <w:t>$148,140</w:t>
            </w:r>
          </w:p>
        </w:tc>
        <w:tc>
          <w:tcPr>
            <w:tcW w:w="522" w:type="pct"/>
            <w:noWrap/>
            <w:hideMark/>
          </w:tcPr>
          <w:p w14:paraId="24870C04" w14:textId="77777777" w:rsidR="005668BD" w:rsidRPr="005F76D9" w:rsidRDefault="005668BD" w:rsidP="000F3CBC">
            <w:pPr>
              <w:pStyle w:val="Tabletext1"/>
              <w:ind w:left="0"/>
              <w:jc w:val="right"/>
              <w:rPr>
                <w:rFonts w:cs="Calibri"/>
                <w:color w:val="000000"/>
              </w:rPr>
            </w:pPr>
            <w:r w:rsidRPr="005364D4">
              <w:t>28%</w:t>
            </w:r>
          </w:p>
        </w:tc>
      </w:tr>
      <w:tr w:rsidR="00316E3B" w:rsidRPr="005F76D9" w14:paraId="03285BFE" w14:textId="77777777" w:rsidTr="00BC1E1C">
        <w:trPr>
          <w:trHeight w:val="315"/>
        </w:trPr>
        <w:tc>
          <w:tcPr>
            <w:tcW w:w="2906" w:type="pct"/>
            <w:noWrap/>
          </w:tcPr>
          <w:p w14:paraId="0144511A" w14:textId="4065F4EE" w:rsidR="00316E3B" w:rsidRPr="005F76D9" w:rsidRDefault="00316E3B" w:rsidP="00BD38A5">
            <w:pPr>
              <w:pStyle w:val="Tabletext1"/>
              <w:ind w:left="284"/>
              <w:rPr>
                <w:rFonts w:cs="Calibri"/>
                <w:color w:val="000000"/>
              </w:rPr>
            </w:pPr>
            <w:r w:rsidRPr="00337873">
              <w:t>5 years</w:t>
            </w:r>
          </w:p>
        </w:tc>
        <w:tc>
          <w:tcPr>
            <w:tcW w:w="550" w:type="pct"/>
            <w:gridSpan w:val="3"/>
            <w:noWrap/>
          </w:tcPr>
          <w:p w14:paraId="34E80FBD" w14:textId="58F41E7F" w:rsidR="00316E3B" w:rsidRPr="005364D4" w:rsidRDefault="00316E3B" w:rsidP="00316E3B">
            <w:pPr>
              <w:pStyle w:val="Tabletext1"/>
              <w:ind w:left="0"/>
              <w:jc w:val="right"/>
            </w:pPr>
            <w:r w:rsidRPr="00703D02">
              <w:t>$106,839</w:t>
            </w:r>
          </w:p>
        </w:tc>
        <w:tc>
          <w:tcPr>
            <w:tcW w:w="472" w:type="pct"/>
            <w:gridSpan w:val="2"/>
            <w:noWrap/>
          </w:tcPr>
          <w:p w14:paraId="45B08F77" w14:textId="2842D025" w:rsidR="00316E3B" w:rsidRPr="005364D4" w:rsidRDefault="00316E3B" w:rsidP="00316E3B">
            <w:pPr>
              <w:pStyle w:val="Tabletext1"/>
              <w:ind w:left="0"/>
              <w:jc w:val="right"/>
            </w:pPr>
            <w:r w:rsidRPr="00703D02">
              <w:t>1.0259</w:t>
            </w:r>
          </w:p>
        </w:tc>
        <w:tc>
          <w:tcPr>
            <w:tcW w:w="550" w:type="pct"/>
            <w:noWrap/>
          </w:tcPr>
          <w:p w14:paraId="217CAA5A" w14:textId="2637E566" w:rsidR="00316E3B" w:rsidRPr="005364D4" w:rsidRDefault="00316E3B" w:rsidP="00316E3B">
            <w:pPr>
              <w:pStyle w:val="Tabletext1"/>
              <w:ind w:left="0"/>
              <w:jc w:val="right"/>
            </w:pPr>
            <w:r w:rsidRPr="00703D02">
              <w:t>$104,145</w:t>
            </w:r>
          </w:p>
        </w:tc>
        <w:tc>
          <w:tcPr>
            <w:tcW w:w="522" w:type="pct"/>
            <w:noWrap/>
          </w:tcPr>
          <w:p w14:paraId="469FFFE2" w14:textId="4968383F" w:rsidR="00316E3B" w:rsidRPr="005364D4" w:rsidRDefault="00316E3B" w:rsidP="00316E3B">
            <w:pPr>
              <w:pStyle w:val="Tabletext1"/>
              <w:ind w:left="0"/>
              <w:jc w:val="right"/>
            </w:pPr>
            <w:r w:rsidRPr="00703D02">
              <w:t>12%</w:t>
            </w:r>
          </w:p>
        </w:tc>
      </w:tr>
      <w:tr w:rsidR="00316E3B" w:rsidRPr="005F76D9" w14:paraId="6D8B4B76" w14:textId="77777777" w:rsidTr="00BC1E1C">
        <w:trPr>
          <w:trHeight w:val="315"/>
        </w:trPr>
        <w:tc>
          <w:tcPr>
            <w:tcW w:w="2906" w:type="pct"/>
            <w:noWrap/>
          </w:tcPr>
          <w:p w14:paraId="23CEE4EA" w14:textId="22722EBF" w:rsidR="00316E3B" w:rsidRPr="005F76D9" w:rsidRDefault="00316E3B" w:rsidP="00BD38A5">
            <w:pPr>
              <w:pStyle w:val="Tabletext1"/>
              <w:ind w:left="284"/>
              <w:rPr>
                <w:rFonts w:cs="Calibri"/>
                <w:color w:val="000000"/>
              </w:rPr>
            </w:pPr>
            <w:r w:rsidRPr="00337873">
              <w:t>7 years</w:t>
            </w:r>
          </w:p>
        </w:tc>
        <w:tc>
          <w:tcPr>
            <w:tcW w:w="550" w:type="pct"/>
            <w:gridSpan w:val="3"/>
            <w:noWrap/>
          </w:tcPr>
          <w:p w14:paraId="5330ADEA" w14:textId="3E429996" w:rsidR="00316E3B" w:rsidRPr="005364D4" w:rsidRDefault="00316E3B" w:rsidP="00316E3B">
            <w:pPr>
              <w:pStyle w:val="Tabletext1"/>
              <w:ind w:left="0"/>
              <w:jc w:val="right"/>
            </w:pPr>
            <w:r w:rsidRPr="00703D02">
              <w:t>$130,976</w:t>
            </w:r>
          </w:p>
        </w:tc>
        <w:tc>
          <w:tcPr>
            <w:tcW w:w="472" w:type="pct"/>
            <w:gridSpan w:val="2"/>
            <w:noWrap/>
          </w:tcPr>
          <w:p w14:paraId="0D8CB9BC" w14:textId="1C0ADB06" w:rsidR="00316E3B" w:rsidRPr="005364D4" w:rsidRDefault="00316E3B" w:rsidP="00316E3B">
            <w:pPr>
              <w:pStyle w:val="Tabletext1"/>
              <w:ind w:left="0"/>
              <w:jc w:val="right"/>
            </w:pPr>
            <w:r w:rsidRPr="00703D02">
              <w:t>1.3438</w:t>
            </w:r>
          </w:p>
        </w:tc>
        <w:tc>
          <w:tcPr>
            <w:tcW w:w="550" w:type="pct"/>
            <w:noWrap/>
          </w:tcPr>
          <w:p w14:paraId="6ABE1EF6" w14:textId="67812C40" w:rsidR="00316E3B" w:rsidRPr="005364D4" w:rsidRDefault="00316E3B" w:rsidP="00316E3B">
            <w:pPr>
              <w:pStyle w:val="Tabletext1"/>
              <w:ind w:left="0"/>
              <w:jc w:val="right"/>
            </w:pPr>
            <w:r w:rsidRPr="00703D02">
              <w:t>$97,465</w:t>
            </w:r>
          </w:p>
        </w:tc>
        <w:tc>
          <w:tcPr>
            <w:tcW w:w="522" w:type="pct"/>
            <w:noWrap/>
          </w:tcPr>
          <w:p w14:paraId="1AB6B004" w14:textId="618B807E" w:rsidR="00316E3B" w:rsidRPr="005364D4" w:rsidRDefault="00316E3B" w:rsidP="00316E3B">
            <w:pPr>
              <w:pStyle w:val="Tabletext1"/>
              <w:ind w:left="0"/>
              <w:jc w:val="right"/>
            </w:pPr>
            <w:r w:rsidRPr="00703D02">
              <w:t>5%</w:t>
            </w:r>
          </w:p>
        </w:tc>
      </w:tr>
      <w:tr w:rsidR="005668BD" w:rsidRPr="005F76D9" w14:paraId="62E6332A" w14:textId="77777777" w:rsidTr="000F3CBC">
        <w:trPr>
          <w:trHeight w:val="255"/>
        </w:trPr>
        <w:tc>
          <w:tcPr>
            <w:tcW w:w="2906" w:type="pct"/>
            <w:tcBorders>
              <w:right w:val="nil"/>
            </w:tcBorders>
            <w:noWrap/>
            <w:hideMark/>
          </w:tcPr>
          <w:p w14:paraId="2F5D3BBB" w14:textId="77777777" w:rsidR="005668BD" w:rsidRPr="005F76D9" w:rsidRDefault="005668BD" w:rsidP="000F3CBC">
            <w:pPr>
              <w:pStyle w:val="Tabletext1"/>
              <w:ind w:left="0"/>
              <w:rPr>
                <w:rFonts w:cs="Calibri"/>
                <w:b/>
                <w:bCs/>
                <w:color w:val="000000"/>
              </w:rPr>
            </w:pPr>
            <w:r w:rsidRPr="005F76D9">
              <w:rPr>
                <w:rFonts w:cs="Calibri"/>
                <w:b/>
                <w:bCs/>
                <w:color w:val="000000"/>
              </w:rPr>
              <w:t>Health state transitions, Ig</w:t>
            </w:r>
          </w:p>
        </w:tc>
        <w:tc>
          <w:tcPr>
            <w:tcW w:w="550" w:type="pct"/>
            <w:gridSpan w:val="3"/>
            <w:tcBorders>
              <w:left w:val="nil"/>
              <w:right w:val="nil"/>
            </w:tcBorders>
            <w:noWrap/>
            <w:hideMark/>
          </w:tcPr>
          <w:p w14:paraId="26C93E4A" w14:textId="77777777" w:rsidR="005668BD" w:rsidRPr="005F76D9" w:rsidRDefault="005668BD" w:rsidP="000F3CBC">
            <w:pPr>
              <w:pStyle w:val="Tabletext1"/>
              <w:ind w:left="0"/>
              <w:jc w:val="right"/>
              <w:rPr>
                <w:rFonts w:cs="Calibri"/>
                <w:b/>
                <w:bCs/>
                <w:color w:val="000000"/>
              </w:rPr>
            </w:pPr>
          </w:p>
        </w:tc>
        <w:tc>
          <w:tcPr>
            <w:tcW w:w="472" w:type="pct"/>
            <w:gridSpan w:val="2"/>
            <w:tcBorders>
              <w:left w:val="nil"/>
              <w:right w:val="nil"/>
            </w:tcBorders>
            <w:noWrap/>
            <w:hideMark/>
          </w:tcPr>
          <w:p w14:paraId="1167700E" w14:textId="77777777" w:rsidR="005668BD" w:rsidRPr="005F76D9" w:rsidRDefault="005668BD" w:rsidP="000F3CBC">
            <w:pPr>
              <w:pStyle w:val="Tabletext1"/>
              <w:ind w:left="0"/>
              <w:jc w:val="right"/>
            </w:pPr>
          </w:p>
        </w:tc>
        <w:tc>
          <w:tcPr>
            <w:tcW w:w="550" w:type="pct"/>
            <w:tcBorders>
              <w:left w:val="nil"/>
              <w:right w:val="nil"/>
            </w:tcBorders>
            <w:noWrap/>
            <w:hideMark/>
          </w:tcPr>
          <w:p w14:paraId="48429464" w14:textId="77777777" w:rsidR="005668BD" w:rsidRPr="005F76D9" w:rsidRDefault="005668BD" w:rsidP="000F3CBC">
            <w:pPr>
              <w:pStyle w:val="Tabletext1"/>
              <w:ind w:left="0"/>
              <w:jc w:val="right"/>
            </w:pPr>
          </w:p>
        </w:tc>
        <w:tc>
          <w:tcPr>
            <w:tcW w:w="522" w:type="pct"/>
            <w:tcBorders>
              <w:left w:val="nil"/>
            </w:tcBorders>
            <w:noWrap/>
            <w:hideMark/>
          </w:tcPr>
          <w:p w14:paraId="3D4388DC" w14:textId="77777777" w:rsidR="005668BD" w:rsidRPr="005F76D9" w:rsidRDefault="005668BD" w:rsidP="000F3CBC">
            <w:pPr>
              <w:pStyle w:val="Tabletext1"/>
              <w:ind w:left="0"/>
              <w:jc w:val="right"/>
              <w:rPr>
                <w:rFonts w:cs="Calibri"/>
                <w:color w:val="000000"/>
              </w:rPr>
            </w:pPr>
          </w:p>
        </w:tc>
      </w:tr>
      <w:tr w:rsidR="005668BD" w:rsidRPr="005F76D9" w14:paraId="642F71D4" w14:textId="77777777" w:rsidTr="00CD16FE">
        <w:trPr>
          <w:trHeight w:val="255"/>
        </w:trPr>
        <w:tc>
          <w:tcPr>
            <w:tcW w:w="3299" w:type="pct"/>
            <w:gridSpan w:val="3"/>
            <w:tcBorders>
              <w:right w:val="nil"/>
            </w:tcBorders>
            <w:noWrap/>
            <w:hideMark/>
          </w:tcPr>
          <w:p w14:paraId="6776F4D7" w14:textId="77777777" w:rsidR="005668BD" w:rsidRPr="005F76D9" w:rsidRDefault="005668BD" w:rsidP="000F3CBC">
            <w:pPr>
              <w:pStyle w:val="Tabletext1"/>
              <w:ind w:left="0"/>
              <w:rPr>
                <w:rFonts w:cs="Calibri"/>
                <w:color w:val="000000"/>
              </w:rPr>
            </w:pPr>
            <w:r w:rsidRPr="005F76D9">
              <w:rPr>
                <w:rFonts w:cs="Calibri"/>
                <w:color w:val="000000"/>
              </w:rPr>
              <w:t>Proportion of patients relapsing in remission health state (base case: 3.8%)</w:t>
            </w:r>
          </w:p>
        </w:tc>
        <w:tc>
          <w:tcPr>
            <w:tcW w:w="314" w:type="pct"/>
            <w:gridSpan w:val="2"/>
            <w:tcBorders>
              <w:left w:val="nil"/>
              <w:right w:val="nil"/>
            </w:tcBorders>
            <w:noWrap/>
            <w:hideMark/>
          </w:tcPr>
          <w:p w14:paraId="599BD5F0" w14:textId="77777777" w:rsidR="005668BD" w:rsidRPr="005F76D9" w:rsidRDefault="005668BD" w:rsidP="000F3CBC">
            <w:pPr>
              <w:pStyle w:val="Tabletext1"/>
              <w:ind w:left="0"/>
              <w:jc w:val="right"/>
              <w:rPr>
                <w:rFonts w:cs="Calibri"/>
                <w:color w:val="000000"/>
              </w:rPr>
            </w:pPr>
          </w:p>
        </w:tc>
        <w:tc>
          <w:tcPr>
            <w:tcW w:w="315" w:type="pct"/>
            <w:tcBorders>
              <w:left w:val="nil"/>
              <w:right w:val="nil"/>
            </w:tcBorders>
            <w:noWrap/>
            <w:hideMark/>
          </w:tcPr>
          <w:p w14:paraId="4A6B3F5D" w14:textId="77777777" w:rsidR="005668BD" w:rsidRPr="005F76D9" w:rsidRDefault="005668BD" w:rsidP="000F3CBC">
            <w:pPr>
              <w:pStyle w:val="Tabletext1"/>
              <w:ind w:left="0"/>
              <w:jc w:val="right"/>
            </w:pPr>
          </w:p>
        </w:tc>
        <w:tc>
          <w:tcPr>
            <w:tcW w:w="550" w:type="pct"/>
            <w:tcBorders>
              <w:left w:val="nil"/>
              <w:right w:val="nil"/>
            </w:tcBorders>
            <w:noWrap/>
            <w:hideMark/>
          </w:tcPr>
          <w:p w14:paraId="0F6AB133" w14:textId="77777777" w:rsidR="005668BD" w:rsidRPr="005F76D9" w:rsidRDefault="005668BD" w:rsidP="000F3CBC">
            <w:pPr>
              <w:pStyle w:val="Tabletext1"/>
              <w:ind w:left="0"/>
              <w:jc w:val="right"/>
            </w:pPr>
          </w:p>
        </w:tc>
        <w:tc>
          <w:tcPr>
            <w:tcW w:w="522" w:type="pct"/>
            <w:tcBorders>
              <w:left w:val="nil"/>
            </w:tcBorders>
            <w:noWrap/>
            <w:hideMark/>
          </w:tcPr>
          <w:p w14:paraId="0B1C9FE9" w14:textId="77777777" w:rsidR="005668BD" w:rsidRPr="005F76D9" w:rsidRDefault="005668BD" w:rsidP="000F3CBC">
            <w:pPr>
              <w:pStyle w:val="Tabletext1"/>
              <w:ind w:left="0"/>
              <w:jc w:val="right"/>
              <w:rPr>
                <w:rFonts w:cs="Calibri"/>
                <w:color w:val="000000"/>
              </w:rPr>
            </w:pPr>
          </w:p>
        </w:tc>
      </w:tr>
      <w:tr w:rsidR="005668BD" w:rsidRPr="005F76D9" w14:paraId="538B16B7" w14:textId="77777777" w:rsidTr="000F3CBC">
        <w:trPr>
          <w:trHeight w:val="255"/>
        </w:trPr>
        <w:tc>
          <w:tcPr>
            <w:tcW w:w="2906" w:type="pct"/>
            <w:noWrap/>
            <w:hideMark/>
          </w:tcPr>
          <w:p w14:paraId="0B2EB719" w14:textId="77777777" w:rsidR="005668BD" w:rsidRPr="005F76D9" w:rsidRDefault="005668BD" w:rsidP="00BD38A5">
            <w:pPr>
              <w:pStyle w:val="Tabletext1"/>
              <w:ind w:left="284"/>
              <w:rPr>
                <w:rFonts w:cs="Calibri"/>
                <w:color w:val="000000"/>
              </w:rPr>
            </w:pPr>
            <w:r w:rsidRPr="005F76D9">
              <w:rPr>
                <w:rFonts w:cs="Calibri"/>
                <w:color w:val="000000"/>
              </w:rPr>
              <w:t>1.50%</w:t>
            </w:r>
          </w:p>
        </w:tc>
        <w:tc>
          <w:tcPr>
            <w:tcW w:w="550" w:type="pct"/>
            <w:gridSpan w:val="3"/>
            <w:noWrap/>
            <w:hideMark/>
          </w:tcPr>
          <w:p w14:paraId="1A32EED6" w14:textId="77777777" w:rsidR="005668BD" w:rsidRPr="005F76D9" w:rsidRDefault="005668BD" w:rsidP="000F3CBC">
            <w:pPr>
              <w:pStyle w:val="Tabletext1"/>
              <w:ind w:left="0"/>
              <w:jc w:val="right"/>
              <w:rPr>
                <w:rFonts w:cs="Calibri"/>
                <w:color w:val="000000"/>
              </w:rPr>
            </w:pPr>
            <w:r w:rsidRPr="005364D4">
              <w:t>$91,384</w:t>
            </w:r>
          </w:p>
        </w:tc>
        <w:tc>
          <w:tcPr>
            <w:tcW w:w="472" w:type="pct"/>
            <w:gridSpan w:val="2"/>
            <w:noWrap/>
            <w:hideMark/>
          </w:tcPr>
          <w:p w14:paraId="2F01366D" w14:textId="77777777" w:rsidR="005668BD" w:rsidRPr="005F76D9" w:rsidRDefault="005668BD" w:rsidP="000F3CBC">
            <w:pPr>
              <w:pStyle w:val="Tabletext1"/>
              <w:ind w:left="0"/>
              <w:jc w:val="right"/>
              <w:rPr>
                <w:rFonts w:cs="Calibri"/>
                <w:color w:val="000000"/>
              </w:rPr>
            </w:pPr>
            <w:r w:rsidRPr="005364D4">
              <w:t>1.3294</w:t>
            </w:r>
          </w:p>
        </w:tc>
        <w:tc>
          <w:tcPr>
            <w:tcW w:w="550" w:type="pct"/>
            <w:noWrap/>
            <w:hideMark/>
          </w:tcPr>
          <w:p w14:paraId="5C91AD4B" w14:textId="77777777" w:rsidR="005668BD" w:rsidRPr="005F76D9" w:rsidRDefault="005668BD" w:rsidP="000F3CBC">
            <w:pPr>
              <w:pStyle w:val="Tabletext1"/>
              <w:ind w:left="0"/>
              <w:jc w:val="right"/>
              <w:rPr>
                <w:rFonts w:cs="Calibri"/>
                <w:color w:val="000000"/>
              </w:rPr>
            </w:pPr>
            <w:r w:rsidRPr="005364D4">
              <w:t>$68,740</w:t>
            </w:r>
          </w:p>
        </w:tc>
        <w:tc>
          <w:tcPr>
            <w:tcW w:w="522" w:type="pct"/>
            <w:noWrap/>
            <w:hideMark/>
          </w:tcPr>
          <w:p w14:paraId="5BB1EAD7" w14:textId="77777777" w:rsidR="005668BD" w:rsidRPr="005F76D9" w:rsidRDefault="005668BD" w:rsidP="000F3CBC">
            <w:pPr>
              <w:pStyle w:val="Tabletext1"/>
              <w:ind w:left="0"/>
              <w:jc w:val="right"/>
              <w:rPr>
                <w:rFonts w:cs="Calibri"/>
                <w:color w:val="000000"/>
              </w:rPr>
            </w:pPr>
            <w:r w:rsidRPr="005364D4">
              <w:t>-41%</w:t>
            </w:r>
          </w:p>
        </w:tc>
      </w:tr>
      <w:tr w:rsidR="005668BD" w:rsidRPr="005F76D9" w14:paraId="1781FF70" w14:textId="77777777" w:rsidTr="00CD16FE">
        <w:trPr>
          <w:trHeight w:val="255"/>
        </w:trPr>
        <w:tc>
          <w:tcPr>
            <w:tcW w:w="3142" w:type="pct"/>
            <w:gridSpan w:val="2"/>
            <w:tcBorders>
              <w:right w:val="nil"/>
            </w:tcBorders>
            <w:noWrap/>
            <w:hideMark/>
          </w:tcPr>
          <w:p w14:paraId="33C47C6A" w14:textId="77777777" w:rsidR="005668BD" w:rsidRPr="005F76D9" w:rsidRDefault="005668BD" w:rsidP="000F3CBC">
            <w:pPr>
              <w:pStyle w:val="Tabletext1"/>
              <w:ind w:left="0"/>
              <w:rPr>
                <w:rFonts w:cs="Calibri"/>
                <w:color w:val="000000"/>
              </w:rPr>
            </w:pPr>
            <w:r w:rsidRPr="005F76D9">
              <w:rPr>
                <w:rFonts w:cs="Calibri"/>
                <w:color w:val="000000"/>
              </w:rPr>
              <w:t>Treatment to in remission - off treatment health state (base case: 5.3%)</w:t>
            </w:r>
          </w:p>
        </w:tc>
        <w:tc>
          <w:tcPr>
            <w:tcW w:w="314" w:type="pct"/>
            <w:gridSpan w:val="2"/>
            <w:tcBorders>
              <w:left w:val="nil"/>
              <w:right w:val="nil"/>
            </w:tcBorders>
            <w:noWrap/>
            <w:hideMark/>
          </w:tcPr>
          <w:p w14:paraId="13E5B624" w14:textId="77777777" w:rsidR="005668BD" w:rsidRPr="005F76D9" w:rsidRDefault="005668BD" w:rsidP="000F3CBC">
            <w:pPr>
              <w:pStyle w:val="Tabletext1"/>
              <w:ind w:left="0"/>
              <w:jc w:val="right"/>
              <w:rPr>
                <w:rFonts w:cs="Calibri"/>
                <w:color w:val="000000"/>
              </w:rPr>
            </w:pPr>
          </w:p>
        </w:tc>
        <w:tc>
          <w:tcPr>
            <w:tcW w:w="472" w:type="pct"/>
            <w:gridSpan w:val="2"/>
            <w:tcBorders>
              <w:left w:val="nil"/>
              <w:right w:val="nil"/>
            </w:tcBorders>
            <w:noWrap/>
            <w:hideMark/>
          </w:tcPr>
          <w:p w14:paraId="6E894F6D" w14:textId="77777777" w:rsidR="005668BD" w:rsidRPr="005F76D9" w:rsidRDefault="005668BD" w:rsidP="000F3CBC">
            <w:pPr>
              <w:pStyle w:val="Tabletext1"/>
              <w:ind w:left="0"/>
              <w:jc w:val="right"/>
            </w:pPr>
          </w:p>
        </w:tc>
        <w:tc>
          <w:tcPr>
            <w:tcW w:w="550" w:type="pct"/>
            <w:tcBorders>
              <w:left w:val="nil"/>
              <w:right w:val="nil"/>
            </w:tcBorders>
            <w:noWrap/>
            <w:hideMark/>
          </w:tcPr>
          <w:p w14:paraId="24B90C53" w14:textId="77777777" w:rsidR="005668BD" w:rsidRPr="005F76D9" w:rsidRDefault="005668BD" w:rsidP="000F3CBC">
            <w:pPr>
              <w:pStyle w:val="Tabletext1"/>
              <w:ind w:left="0"/>
              <w:jc w:val="right"/>
            </w:pPr>
          </w:p>
        </w:tc>
        <w:tc>
          <w:tcPr>
            <w:tcW w:w="522" w:type="pct"/>
            <w:tcBorders>
              <w:left w:val="nil"/>
            </w:tcBorders>
            <w:noWrap/>
            <w:hideMark/>
          </w:tcPr>
          <w:p w14:paraId="6A1A8C37" w14:textId="77777777" w:rsidR="005668BD" w:rsidRPr="005F76D9" w:rsidRDefault="005668BD" w:rsidP="000F3CBC">
            <w:pPr>
              <w:pStyle w:val="Tabletext1"/>
              <w:ind w:left="0"/>
              <w:jc w:val="right"/>
              <w:rPr>
                <w:rFonts w:cs="Calibri"/>
                <w:color w:val="000000"/>
              </w:rPr>
            </w:pPr>
          </w:p>
        </w:tc>
      </w:tr>
      <w:tr w:rsidR="00CC6DE8" w:rsidRPr="005F76D9" w14:paraId="1748CFB2" w14:textId="77777777" w:rsidTr="00CC6DE8">
        <w:trPr>
          <w:trHeight w:val="255"/>
        </w:trPr>
        <w:tc>
          <w:tcPr>
            <w:tcW w:w="2906" w:type="pct"/>
            <w:noWrap/>
            <w:hideMark/>
          </w:tcPr>
          <w:p w14:paraId="71311CEA" w14:textId="562F02F4" w:rsidR="00CC6DE8" w:rsidRPr="005F76D9" w:rsidRDefault="00CC6DE8" w:rsidP="00BD38A5">
            <w:pPr>
              <w:pStyle w:val="Tabletext1"/>
              <w:ind w:left="284"/>
              <w:rPr>
                <w:rFonts w:cs="Calibri"/>
                <w:color w:val="000000"/>
              </w:rPr>
            </w:pPr>
            <w:r w:rsidRPr="005F76D9">
              <w:rPr>
                <w:rFonts w:cs="Calibri"/>
                <w:color w:val="000000"/>
              </w:rPr>
              <w:t>0.5</w:t>
            </w:r>
            <w:r>
              <w:rPr>
                <w:rFonts w:cs="Calibri"/>
                <w:color w:val="000000"/>
              </w:rPr>
              <w:t>7</w:t>
            </w:r>
            <w:r w:rsidRPr="005F76D9">
              <w:rPr>
                <w:rFonts w:cs="Calibri"/>
                <w:color w:val="000000"/>
              </w:rPr>
              <w:t>%</w:t>
            </w:r>
          </w:p>
        </w:tc>
        <w:tc>
          <w:tcPr>
            <w:tcW w:w="550" w:type="pct"/>
            <w:gridSpan w:val="3"/>
            <w:noWrap/>
          </w:tcPr>
          <w:p w14:paraId="042F23D0" w14:textId="403F795E" w:rsidR="00CC6DE8" w:rsidRPr="005F76D9" w:rsidRDefault="00CC6DE8" w:rsidP="00CC6DE8">
            <w:pPr>
              <w:pStyle w:val="Tabletext1"/>
              <w:ind w:left="0"/>
              <w:jc w:val="right"/>
              <w:rPr>
                <w:rFonts w:cs="Calibri"/>
                <w:color w:val="000000"/>
              </w:rPr>
            </w:pPr>
            <w:r w:rsidRPr="009D3442">
              <w:t>$276,595</w:t>
            </w:r>
          </w:p>
        </w:tc>
        <w:tc>
          <w:tcPr>
            <w:tcW w:w="472" w:type="pct"/>
            <w:gridSpan w:val="2"/>
            <w:noWrap/>
          </w:tcPr>
          <w:p w14:paraId="1F7D9E22" w14:textId="5E1FD04E" w:rsidR="00CC6DE8" w:rsidRPr="005F76D9" w:rsidRDefault="00CC6DE8" w:rsidP="00CC6DE8">
            <w:pPr>
              <w:pStyle w:val="Tabletext1"/>
              <w:ind w:left="0"/>
              <w:jc w:val="right"/>
              <w:rPr>
                <w:rFonts w:cs="Calibri"/>
                <w:color w:val="000000"/>
              </w:rPr>
            </w:pPr>
            <w:r w:rsidRPr="009D3442">
              <w:t>1.0566</w:t>
            </w:r>
          </w:p>
        </w:tc>
        <w:tc>
          <w:tcPr>
            <w:tcW w:w="550" w:type="pct"/>
            <w:noWrap/>
          </w:tcPr>
          <w:p w14:paraId="31284157" w14:textId="05873348" w:rsidR="00CC6DE8" w:rsidRPr="005F76D9" w:rsidRDefault="00CC6DE8" w:rsidP="00CC6DE8">
            <w:pPr>
              <w:pStyle w:val="Tabletext1"/>
              <w:ind w:left="0"/>
              <w:jc w:val="right"/>
              <w:rPr>
                <w:rFonts w:cs="Calibri"/>
                <w:color w:val="000000"/>
              </w:rPr>
            </w:pPr>
            <w:r w:rsidRPr="009D3442">
              <w:t>$261,775</w:t>
            </w:r>
          </w:p>
        </w:tc>
        <w:tc>
          <w:tcPr>
            <w:tcW w:w="522" w:type="pct"/>
            <w:noWrap/>
          </w:tcPr>
          <w:p w14:paraId="705F68EA" w14:textId="2EC6F6B2" w:rsidR="00CC6DE8" w:rsidRPr="005F76D9" w:rsidRDefault="00CC6DE8" w:rsidP="00CC6DE8">
            <w:pPr>
              <w:pStyle w:val="Tabletext1"/>
              <w:ind w:left="0"/>
              <w:jc w:val="right"/>
              <w:rPr>
                <w:rFonts w:cs="Calibri"/>
                <w:color w:val="000000"/>
              </w:rPr>
            </w:pPr>
            <w:r w:rsidRPr="009D3442">
              <w:t>125%</w:t>
            </w:r>
          </w:p>
        </w:tc>
      </w:tr>
      <w:tr w:rsidR="005668BD" w:rsidRPr="005F76D9" w14:paraId="742ECAFA" w14:textId="77777777" w:rsidTr="000F3CBC">
        <w:trPr>
          <w:trHeight w:val="255"/>
        </w:trPr>
        <w:tc>
          <w:tcPr>
            <w:tcW w:w="2906" w:type="pct"/>
            <w:noWrap/>
            <w:hideMark/>
          </w:tcPr>
          <w:p w14:paraId="5F54AEB6" w14:textId="77777777" w:rsidR="005668BD" w:rsidRPr="005F76D9" w:rsidRDefault="005668BD" w:rsidP="00BD38A5">
            <w:pPr>
              <w:pStyle w:val="Tabletext1"/>
              <w:ind w:left="284"/>
              <w:rPr>
                <w:rFonts w:cs="Calibri"/>
                <w:color w:val="000000"/>
              </w:rPr>
            </w:pPr>
            <w:r w:rsidRPr="005F76D9">
              <w:rPr>
                <w:rFonts w:cs="Calibri"/>
                <w:color w:val="000000"/>
              </w:rPr>
              <w:t>1.03%</w:t>
            </w:r>
          </w:p>
        </w:tc>
        <w:tc>
          <w:tcPr>
            <w:tcW w:w="550" w:type="pct"/>
            <w:gridSpan w:val="3"/>
            <w:noWrap/>
            <w:hideMark/>
          </w:tcPr>
          <w:p w14:paraId="4EBF6E28" w14:textId="77777777" w:rsidR="005668BD" w:rsidRPr="005F76D9" w:rsidRDefault="005668BD" w:rsidP="000F3CBC">
            <w:pPr>
              <w:pStyle w:val="Tabletext1"/>
              <w:ind w:left="0"/>
              <w:jc w:val="right"/>
              <w:rPr>
                <w:rFonts w:cs="Calibri"/>
                <w:color w:val="000000"/>
              </w:rPr>
            </w:pPr>
            <w:r w:rsidRPr="005364D4">
              <w:t>$252,055</w:t>
            </w:r>
          </w:p>
        </w:tc>
        <w:tc>
          <w:tcPr>
            <w:tcW w:w="472" w:type="pct"/>
            <w:gridSpan w:val="2"/>
            <w:noWrap/>
            <w:hideMark/>
          </w:tcPr>
          <w:p w14:paraId="20F1DFE8" w14:textId="77777777" w:rsidR="005668BD" w:rsidRPr="005F76D9" w:rsidRDefault="005668BD" w:rsidP="000F3CBC">
            <w:pPr>
              <w:pStyle w:val="Tabletext1"/>
              <w:ind w:left="0"/>
              <w:jc w:val="right"/>
              <w:rPr>
                <w:rFonts w:cs="Calibri"/>
                <w:color w:val="000000"/>
              </w:rPr>
            </w:pPr>
            <w:r w:rsidRPr="005364D4">
              <w:t>1.0763</w:t>
            </w:r>
          </w:p>
        </w:tc>
        <w:tc>
          <w:tcPr>
            <w:tcW w:w="550" w:type="pct"/>
            <w:noWrap/>
            <w:hideMark/>
          </w:tcPr>
          <w:p w14:paraId="7A2785EB" w14:textId="77777777" w:rsidR="005668BD" w:rsidRPr="005F76D9" w:rsidRDefault="005668BD" w:rsidP="000F3CBC">
            <w:pPr>
              <w:pStyle w:val="Tabletext1"/>
              <w:ind w:left="0"/>
              <w:jc w:val="right"/>
              <w:rPr>
                <w:rFonts w:cs="Calibri"/>
                <w:color w:val="000000"/>
              </w:rPr>
            </w:pPr>
            <w:r w:rsidRPr="005364D4">
              <w:t>$234,185</w:t>
            </w:r>
          </w:p>
        </w:tc>
        <w:tc>
          <w:tcPr>
            <w:tcW w:w="522" w:type="pct"/>
            <w:noWrap/>
            <w:hideMark/>
          </w:tcPr>
          <w:p w14:paraId="594982E1" w14:textId="77777777" w:rsidR="005668BD" w:rsidRPr="005F76D9" w:rsidRDefault="005668BD" w:rsidP="000F3CBC">
            <w:pPr>
              <w:pStyle w:val="Tabletext1"/>
              <w:ind w:left="0"/>
              <w:jc w:val="right"/>
              <w:rPr>
                <w:rFonts w:cs="Calibri"/>
                <w:color w:val="000000"/>
              </w:rPr>
            </w:pPr>
            <w:r w:rsidRPr="005364D4">
              <w:t>102%</w:t>
            </w:r>
          </w:p>
        </w:tc>
      </w:tr>
      <w:tr w:rsidR="005668BD" w:rsidRPr="005F76D9" w14:paraId="4ED9AAFB" w14:textId="77777777" w:rsidTr="000F3CBC">
        <w:trPr>
          <w:trHeight w:val="255"/>
        </w:trPr>
        <w:tc>
          <w:tcPr>
            <w:tcW w:w="2906" w:type="pct"/>
            <w:noWrap/>
            <w:hideMark/>
          </w:tcPr>
          <w:p w14:paraId="422DBF79" w14:textId="77777777" w:rsidR="005668BD" w:rsidRPr="005F76D9" w:rsidRDefault="005668BD" w:rsidP="00BD38A5">
            <w:pPr>
              <w:pStyle w:val="Tabletext1"/>
              <w:ind w:left="284"/>
              <w:rPr>
                <w:rFonts w:cs="Calibri"/>
                <w:color w:val="000000"/>
              </w:rPr>
            </w:pPr>
            <w:r w:rsidRPr="005F76D9">
              <w:rPr>
                <w:rFonts w:cs="Calibri"/>
                <w:color w:val="000000"/>
              </w:rPr>
              <w:t>3.66%</w:t>
            </w:r>
          </w:p>
        </w:tc>
        <w:tc>
          <w:tcPr>
            <w:tcW w:w="550" w:type="pct"/>
            <w:gridSpan w:val="3"/>
            <w:noWrap/>
            <w:hideMark/>
          </w:tcPr>
          <w:p w14:paraId="70175919" w14:textId="77777777" w:rsidR="005668BD" w:rsidRPr="005F76D9" w:rsidRDefault="005668BD" w:rsidP="000F3CBC">
            <w:pPr>
              <w:pStyle w:val="Tabletext1"/>
              <w:ind w:left="0"/>
              <w:jc w:val="right"/>
              <w:rPr>
                <w:rFonts w:cs="Calibri"/>
                <w:color w:val="000000"/>
              </w:rPr>
            </w:pPr>
            <w:r w:rsidRPr="005364D4">
              <w:t>$166,243</w:t>
            </w:r>
          </w:p>
        </w:tc>
        <w:tc>
          <w:tcPr>
            <w:tcW w:w="472" w:type="pct"/>
            <w:gridSpan w:val="2"/>
            <w:noWrap/>
            <w:hideMark/>
          </w:tcPr>
          <w:p w14:paraId="4AC2139C" w14:textId="77777777" w:rsidR="005668BD" w:rsidRPr="005F76D9" w:rsidRDefault="005668BD" w:rsidP="000F3CBC">
            <w:pPr>
              <w:pStyle w:val="Tabletext1"/>
              <w:ind w:left="0"/>
              <w:jc w:val="right"/>
              <w:rPr>
                <w:rFonts w:cs="Calibri"/>
                <w:color w:val="000000"/>
              </w:rPr>
            </w:pPr>
            <w:r w:rsidRPr="005364D4">
              <w:t>1.1522</w:t>
            </w:r>
          </w:p>
        </w:tc>
        <w:tc>
          <w:tcPr>
            <w:tcW w:w="550" w:type="pct"/>
            <w:noWrap/>
            <w:hideMark/>
          </w:tcPr>
          <w:p w14:paraId="12772782" w14:textId="77777777" w:rsidR="005668BD" w:rsidRPr="005F76D9" w:rsidRDefault="005668BD" w:rsidP="000F3CBC">
            <w:pPr>
              <w:pStyle w:val="Tabletext1"/>
              <w:ind w:left="0"/>
              <w:jc w:val="right"/>
              <w:rPr>
                <w:rFonts w:cs="Calibri"/>
                <w:color w:val="000000"/>
              </w:rPr>
            </w:pPr>
            <w:r w:rsidRPr="005364D4">
              <w:t>$144,284</w:t>
            </w:r>
          </w:p>
        </w:tc>
        <w:tc>
          <w:tcPr>
            <w:tcW w:w="522" w:type="pct"/>
            <w:noWrap/>
            <w:hideMark/>
          </w:tcPr>
          <w:p w14:paraId="003365EB" w14:textId="77777777" w:rsidR="005668BD" w:rsidRPr="005F76D9" w:rsidRDefault="005668BD" w:rsidP="000F3CBC">
            <w:pPr>
              <w:pStyle w:val="Tabletext1"/>
              <w:ind w:left="0"/>
              <w:jc w:val="right"/>
              <w:rPr>
                <w:rFonts w:cs="Calibri"/>
                <w:color w:val="000000"/>
              </w:rPr>
            </w:pPr>
            <w:r w:rsidRPr="005364D4">
              <w:t>24%</w:t>
            </w:r>
          </w:p>
        </w:tc>
      </w:tr>
      <w:tr w:rsidR="005668BD" w:rsidRPr="005F76D9" w14:paraId="2B6F0DC2" w14:textId="77777777" w:rsidTr="000F3CBC">
        <w:trPr>
          <w:trHeight w:val="255"/>
        </w:trPr>
        <w:tc>
          <w:tcPr>
            <w:tcW w:w="2906" w:type="pct"/>
            <w:tcBorders>
              <w:bottom w:val="single" w:sz="4" w:space="0" w:color="auto"/>
              <w:right w:val="nil"/>
            </w:tcBorders>
            <w:noWrap/>
            <w:hideMark/>
          </w:tcPr>
          <w:p w14:paraId="5E4944BE" w14:textId="77777777" w:rsidR="005668BD" w:rsidRPr="005F76D9" w:rsidRDefault="005668BD" w:rsidP="000F3CBC">
            <w:pPr>
              <w:pStyle w:val="Tabletext1"/>
              <w:ind w:left="0"/>
              <w:rPr>
                <w:rFonts w:cs="Calibri"/>
                <w:b/>
                <w:bCs/>
                <w:color w:val="000000"/>
                <w:u w:val="single"/>
              </w:rPr>
            </w:pPr>
            <w:r w:rsidRPr="005F76D9">
              <w:rPr>
                <w:rFonts w:cs="Calibri"/>
                <w:b/>
                <w:bCs/>
                <w:color w:val="000000"/>
                <w:u w:val="single"/>
              </w:rPr>
              <w:t>Health state transitions, steroids</w:t>
            </w:r>
          </w:p>
        </w:tc>
        <w:tc>
          <w:tcPr>
            <w:tcW w:w="550" w:type="pct"/>
            <w:gridSpan w:val="3"/>
            <w:tcBorders>
              <w:left w:val="nil"/>
              <w:bottom w:val="single" w:sz="4" w:space="0" w:color="auto"/>
              <w:right w:val="nil"/>
            </w:tcBorders>
            <w:noWrap/>
            <w:hideMark/>
          </w:tcPr>
          <w:p w14:paraId="3BDF06A3" w14:textId="77777777" w:rsidR="005668BD" w:rsidRPr="005F76D9" w:rsidRDefault="005668BD" w:rsidP="000F3CBC">
            <w:pPr>
              <w:pStyle w:val="Tabletext1"/>
              <w:ind w:left="0"/>
              <w:jc w:val="right"/>
              <w:rPr>
                <w:rFonts w:cs="Calibri"/>
                <w:b/>
                <w:bCs/>
                <w:color w:val="000000"/>
                <w:u w:val="single"/>
              </w:rPr>
            </w:pPr>
          </w:p>
        </w:tc>
        <w:tc>
          <w:tcPr>
            <w:tcW w:w="472" w:type="pct"/>
            <w:gridSpan w:val="2"/>
            <w:tcBorders>
              <w:left w:val="nil"/>
              <w:bottom w:val="single" w:sz="4" w:space="0" w:color="auto"/>
              <w:right w:val="nil"/>
            </w:tcBorders>
            <w:noWrap/>
            <w:hideMark/>
          </w:tcPr>
          <w:p w14:paraId="760E7E58" w14:textId="77777777" w:rsidR="005668BD" w:rsidRPr="005F76D9" w:rsidRDefault="005668BD" w:rsidP="000F3CBC">
            <w:pPr>
              <w:pStyle w:val="Tabletext1"/>
              <w:ind w:left="0"/>
              <w:jc w:val="right"/>
            </w:pPr>
          </w:p>
        </w:tc>
        <w:tc>
          <w:tcPr>
            <w:tcW w:w="550" w:type="pct"/>
            <w:tcBorders>
              <w:left w:val="nil"/>
              <w:bottom w:val="single" w:sz="4" w:space="0" w:color="auto"/>
              <w:right w:val="nil"/>
            </w:tcBorders>
            <w:noWrap/>
            <w:hideMark/>
          </w:tcPr>
          <w:p w14:paraId="2511DBB9" w14:textId="77777777" w:rsidR="005668BD" w:rsidRPr="005F76D9" w:rsidRDefault="005668BD" w:rsidP="000F3CBC">
            <w:pPr>
              <w:pStyle w:val="Tabletext1"/>
              <w:ind w:left="0"/>
              <w:jc w:val="right"/>
            </w:pPr>
          </w:p>
        </w:tc>
        <w:tc>
          <w:tcPr>
            <w:tcW w:w="522" w:type="pct"/>
            <w:tcBorders>
              <w:left w:val="nil"/>
              <w:bottom w:val="single" w:sz="4" w:space="0" w:color="auto"/>
            </w:tcBorders>
            <w:noWrap/>
            <w:hideMark/>
          </w:tcPr>
          <w:p w14:paraId="39271575" w14:textId="77777777" w:rsidR="005668BD" w:rsidRPr="005F76D9" w:rsidRDefault="005668BD" w:rsidP="000F3CBC">
            <w:pPr>
              <w:pStyle w:val="Tabletext1"/>
              <w:ind w:left="0"/>
              <w:jc w:val="right"/>
              <w:rPr>
                <w:rFonts w:cs="Calibri"/>
                <w:color w:val="000000"/>
              </w:rPr>
            </w:pPr>
          </w:p>
        </w:tc>
      </w:tr>
      <w:tr w:rsidR="005668BD" w:rsidRPr="005F76D9" w14:paraId="4CBF7C6D" w14:textId="77777777" w:rsidTr="000F3CBC">
        <w:trPr>
          <w:trHeight w:val="300"/>
        </w:trPr>
        <w:tc>
          <w:tcPr>
            <w:tcW w:w="2906" w:type="pct"/>
            <w:tcBorders>
              <w:right w:val="nil"/>
            </w:tcBorders>
            <w:noWrap/>
            <w:hideMark/>
          </w:tcPr>
          <w:p w14:paraId="4CE666A0" w14:textId="77777777" w:rsidR="005668BD" w:rsidRPr="005F76D9" w:rsidRDefault="005668BD" w:rsidP="000F3CBC">
            <w:pPr>
              <w:pStyle w:val="Tabletext1"/>
              <w:ind w:left="0"/>
              <w:rPr>
                <w:rFonts w:cs="Calibri"/>
                <w:color w:val="000000"/>
              </w:rPr>
            </w:pPr>
            <w:r w:rsidRPr="005F76D9">
              <w:rPr>
                <w:rFonts w:cs="Calibri"/>
                <w:color w:val="000000"/>
              </w:rPr>
              <w:t>Treatment to in remission - off treatment health state (base case: 3.85%)</w:t>
            </w:r>
          </w:p>
        </w:tc>
        <w:tc>
          <w:tcPr>
            <w:tcW w:w="550" w:type="pct"/>
            <w:gridSpan w:val="3"/>
            <w:tcBorders>
              <w:left w:val="nil"/>
              <w:right w:val="nil"/>
            </w:tcBorders>
            <w:noWrap/>
            <w:hideMark/>
          </w:tcPr>
          <w:p w14:paraId="3DFBEFFA" w14:textId="77777777" w:rsidR="005668BD" w:rsidRPr="005F76D9" w:rsidRDefault="005668BD" w:rsidP="000F3CBC">
            <w:pPr>
              <w:pStyle w:val="Tabletext1"/>
              <w:ind w:left="0"/>
              <w:jc w:val="right"/>
              <w:rPr>
                <w:rFonts w:cs="Calibri"/>
                <w:color w:val="000000"/>
              </w:rPr>
            </w:pPr>
          </w:p>
        </w:tc>
        <w:tc>
          <w:tcPr>
            <w:tcW w:w="472" w:type="pct"/>
            <w:gridSpan w:val="2"/>
            <w:tcBorders>
              <w:left w:val="nil"/>
              <w:right w:val="nil"/>
            </w:tcBorders>
            <w:noWrap/>
            <w:hideMark/>
          </w:tcPr>
          <w:p w14:paraId="05321A39" w14:textId="77777777" w:rsidR="005668BD" w:rsidRPr="005F76D9" w:rsidRDefault="005668BD" w:rsidP="000F3CBC">
            <w:pPr>
              <w:pStyle w:val="Tabletext1"/>
              <w:ind w:left="0"/>
              <w:jc w:val="right"/>
            </w:pPr>
          </w:p>
        </w:tc>
        <w:tc>
          <w:tcPr>
            <w:tcW w:w="550" w:type="pct"/>
            <w:tcBorders>
              <w:left w:val="nil"/>
              <w:right w:val="nil"/>
            </w:tcBorders>
            <w:noWrap/>
            <w:hideMark/>
          </w:tcPr>
          <w:p w14:paraId="6E24AC5C" w14:textId="77777777" w:rsidR="005668BD" w:rsidRPr="005F76D9" w:rsidRDefault="005668BD" w:rsidP="000F3CBC">
            <w:pPr>
              <w:pStyle w:val="Tabletext1"/>
              <w:ind w:left="0"/>
              <w:jc w:val="right"/>
            </w:pPr>
          </w:p>
        </w:tc>
        <w:tc>
          <w:tcPr>
            <w:tcW w:w="522" w:type="pct"/>
            <w:tcBorders>
              <w:left w:val="nil"/>
            </w:tcBorders>
            <w:noWrap/>
            <w:hideMark/>
          </w:tcPr>
          <w:p w14:paraId="0FF53358" w14:textId="77777777" w:rsidR="005668BD" w:rsidRPr="005F76D9" w:rsidRDefault="005668BD" w:rsidP="000F3CBC">
            <w:pPr>
              <w:pStyle w:val="Tabletext1"/>
              <w:ind w:left="0"/>
              <w:jc w:val="right"/>
              <w:rPr>
                <w:rFonts w:cs="Calibri"/>
                <w:color w:val="000000"/>
              </w:rPr>
            </w:pPr>
          </w:p>
        </w:tc>
      </w:tr>
      <w:tr w:rsidR="005668BD" w:rsidRPr="005F76D9" w14:paraId="39AF3273" w14:textId="77777777" w:rsidTr="000F3CBC">
        <w:trPr>
          <w:trHeight w:val="255"/>
        </w:trPr>
        <w:tc>
          <w:tcPr>
            <w:tcW w:w="2906" w:type="pct"/>
            <w:noWrap/>
            <w:hideMark/>
          </w:tcPr>
          <w:p w14:paraId="69154A0C" w14:textId="77777777" w:rsidR="005668BD" w:rsidRPr="005F76D9" w:rsidRDefault="005668BD" w:rsidP="00BD38A5">
            <w:pPr>
              <w:pStyle w:val="Tabletext1"/>
              <w:ind w:left="284"/>
              <w:rPr>
                <w:rFonts w:cs="Calibri"/>
                <w:color w:val="000000"/>
              </w:rPr>
            </w:pPr>
            <w:r w:rsidRPr="005F76D9">
              <w:rPr>
                <w:rFonts w:cs="Calibri"/>
                <w:color w:val="000000"/>
              </w:rPr>
              <w:t>0.56%</w:t>
            </w:r>
          </w:p>
        </w:tc>
        <w:tc>
          <w:tcPr>
            <w:tcW w:w="550" w:type="pct"/>
            <w:gridSpan w:val="3"/>
            <w:noWrap/>
            <w:hideMark/>
          </w:tcPr>
          <w:p w14:paraId="70C69023" w14:textId="77777777" w:rsidR="005668BD" w:rsidRPr="005F76D9" w:rsidRDefault="005668BD" w:rsidP="000F3CBC">
            <w:pPr>
              <w:pStyle w:val="Tabletext1"/>
              <w:ind w:left="0"/>
              <w:jc w:val="right"/>
              <w:rPr>
                <w:rFonts w:cs="Calibri"/>
                <w:color w:val="000000"/>
              </w:rPr>
            </w:pPr>
            <w:r w:rsidRPr="005364D4">
              <w:t>$127,179</w:t>
            </w:r>
          </w:p>
        </w:tc>
        <w:tc>
          <w:tcPr>
            <w:tcW w:w="472" w:type="pct"/>
            <w:gridSpan w:val="2"/>
            <w:noWrap/>
            <w:hideMark/>
          </w:tcPr>
          <w:p w14:paraId="0C94907E" w14:textId="77777777" w:rsidR="005668BD" w:rsidRPr="005F76D9" w:rsidRDefault="005668BD" w:rsidP="000F3CBC">
            <w:pPr>
              <w:pStyle w:val="Tabletext1"/>
              <w:ind w:left="0"/>
              <w:jc w:val="right"/>
              <w:rPr>
                <w:rFonts w:cs="Calibri"/>
                <w:color w:val="000000"/>
              </w:rPr>
            </w:pPr>
            <w:r w:rsidRPr="005364D4">
              <w:t>1.4804</w:t>
            </w:r>
          </w:p>
        </w:tc>
        <w:tc>
          <w:tcPr>
            <w:tcW w:w="550" w:type="pct"/>
            <w:noWrap/>
            <w:hideMark/>
          </w:tcPr>
          <w:p w14:paraId="3A77FC54" w14:textId="77777777" w:rsidR="005668BD" w:rsidRPr="005F76D9" w:rsidRDefault="005668BD" w:rsidP="000F3CBC">
            <w:pPr>
              <w:pStyle w:val="Tabletext1"/>
              <w:ind w:left="0"/>
              <w:jc w:val="right"/>
              <w:rPr>
                <w:rFonts w:cs="Calibri"/>
                <w:color w:val="000000"/>
              </w:rPr>
            </w:pPr>
            <w:r w:rsidRPr="005364D4">
              <w:t>$85,909</w:t>
            </w:r>
          </w:p>
        </w:tc>
        <w:tc>
          <w:tcPr>
            <w:tcW w:w="522" w:type="pct"/>
            <w:noWrap/>
            <w:hideMark/>
          </w:tcPr>
          <w:p w14:paraId="2817F217" w14:textId="77777777" w:rsidR="005668BD" w:rsidRPr="005F76D9" w:rsidRDefault="005668BD" w:rsidP="000F3CBC">
            <w:pPr>
              <w:pStyle w:val="Tabletext1"/>
              <w:ind w:left="0"/>
              <w:jc w:val="right"/>
              <w:rPr>
                <w:rFonts w:cs="Calibri"/>
                <w:color w:val="000000"/>
              </w:rPr>
            </w:pPr>
            <w:r w:rsidRPr="005364D4">
              <w:t>-26%</w:t>
            </w:r>
          </w:p>
        </w:tc>
      </w:tr>
    </w:tbl>
    <w:p w14:paraId="28988636" w14:textId="561044DC" w:rsidR="001E4F8F" w:rsidRDefault="00316E3B" w:rsidP="00316E3B">
      <w:pPr>
        <w:pStyle w:val="Tablenote"/>
      </w:pPr>
      <w:r>
        <w:t>Ig = immunoglobulin;</w:t>
      </w:r>
      <w:r w:rsidRPr="00EF530F">
        <w:t xml:space="preserve"> ICER = incremental cost-effectiveness ratio; Ig = immunoglobulin; Inc = Incremental;</w:t>
      </w:r>
      <w:r>
        <w:t xml:space="preserve"> IV = intravenous;</w:t>
      </w:r>
      <w:r w:rsidRPr="00EF530F">
        <w:t xml:space="preserve"> kg = kilograms; QALY = quality-adjusted life years</w:t>
      </w:r>
    </w:p>
    <w:p w14:paraId="492E7FEB" w14:textId="4D0A610C" w:rsidR="00316E3B" w:rsidRPr="00830628" w:rsidRDefault="00970677" w:rsidP="000F3CBC">
      <w:pPr>
        <w:pStyle w:val="BodyTextSTD"/>
      </w:pPr>
      <w:r w:rsidRPr="00970677">
        <w:rPr>
          <w:rFonts w:eastAsia="Calibri"/>
        </w:rPr>
        <w:t>The cost of Ig is a key driver in the model. Any reduction in Ig use, either by increasing the interval length between doses or decreasing the maintenance dose (such as with weaning off trial or using lower maintenance dose of 0.4g/kg) reduces the ICER substantially. Decreasing the time horizon below five years increases the ICERs substantially.</w:t>
      </w:r>
      <w:r w:rsidR="00A37CDB">
        <w:rPr>
          <w:rFonts w:eastAsia="Calibri"/>
        </w:rPr>
        <w:t xml:space="preserve"> </w:t>
      </w:r>
      <w:r>
        <w:rPr>
          <w:rFonts w:eastAsia="Calibri"/>
        </w:rPr>
        <w:t xml:space="preserve">The </w:t>
      </w:r>
      <w:r w:rsidR="00A37CDB">
        <w:rPr>
          <w:rFonts w:eastAsia="Calibri"/>
        </w:rPr>
        <w:t xml:space="preserve">ICER reduces when </w:t>
      </w:r>
      <w:r>
        <w:rPr>
          <w:rFonts w:eastAsia="Calibri"/>
        </w:rPr>
        <w:t>the probability of remission on steroid treatment is lowered</w:t>
      </w:r>
      <w:r w:rsidR="00A37CDB">
        <w:rPr>
          <w:rFonts w:eastAsia="Calibri"/>
        </w:rPr>
        <w:t>.</w:t>
      </w:r>
    </w:p>
    <w:p w14:paraId="5B0C1F3C" w14:textId="6CB42948" w:rsidR="00085C7A" w:rsidRPr="00F05840" w:rsidRDefault="001E4F8F" w:rsidP="00F05840">
      <w:pPr>
        <w:pStyle w:val="Heading5"/>
      </w:pPr>
      <w:r w:rsidRPr="00F05840">
        <w:t>Ig versus plasma exchange therapy</w:t>
      </w:r>
    </w:p>
    <w:p w14:paraId="2F7C343C" w14:textId="77777777" w:rsidR="00970677" w:rsidRDefault="00970677" w:rsidP="00970677">
      <w:pPr>
        <w:pStyle w:val="BodyTextSTD"/>
        <w:rPr>
          <w:rFonts w:eastAsia="Calibri"/>
        </w:rPr>
      </w:pPr>
      <w:r>
        <w:rPr>
          <w:rFonts w:eastAsia="Calibri"/>
        </w:rPr>
        <w:t xml:space="preserve">Sensitivity analyses also included varying the administration cost per PE procedure; number of exchanges per maintenance treatment course. </w:t>
      </w:r>
    </w:p>
    <w:p w14:paraId="56A0AED5" w14:textId="6F9DFCA7" w:rsidR="001E4F8F" w:rsidRDefault="00CB0278" w:rsidP="00CB0278">
      <w:pPr>
        <w:pStyle w:val="BodyTextSTD"/>
        <w:rPr>
          <w:rFonts w:eastAsia="Calibri"/>
        </w:rPr>
      </w:pPr>
      <w:r w:rsidRPr="003446E3">
        <w:rPr>
          <w:rFonts w:eastAsia="Calibri"/>
        </w:rPr>
        <w:t xml:space="preserve">Key sensitivity analyses (i.e. those which changed the ICER by more than </w:t>
      </w:r>
      <w:r>
        <w:rPr>
          <w:rFonts w:eastAsia="Calibri"/>
        </w:rPr>
        <w:t>25</w:t>
      </w:r>
      <w:r w:rsidRPr="003446E3">
        <w:rPr>
          <w:rFonts w:eastAsia="Calibri"/>
        </w:rPr>
        <w:t>%) are presented in</w:t>
      </w:r>
      <w:r w:rsidR="00B61617">
        <w:rPr>
          <w:rFonts w:eastAsia="Calibri"/>
        </w:rPr>
        <w:t xml:space="preserve"> </w:t>
      </w:r>
      <w:r w:rsidR="00B61617">
        <w:rPr>
          <w:rFonts w:eastAsia="Calibri"/>
        </w:rPr>
        <w:fldChar w:fldCharType="begin"/>
      </w:r>
      <w:r w:rsidR="00B61617">
        <w:rPr>
          <w:rFonts w:eastAsia="Calibri"/>
        </w:rPr>
        <w:instrText xml:space="preserve"> REF _Ref67997591 \h </w:instrText>
      </w:r>
      <w:r w:rsidR="00B61617">
        <w:rPr>
          <w:rFonts w:eastAsia="Calibri"/>
        </w:rPr>
      </w:r>
      <w:r w:rsidR="00B61617">
        <w:rPr>
          <w:rFonts w:eastAsia="Calibri"/>
        </w:rPr>
        <w:fldChar w:fldCharType="separate"/>
      </w:r>
      <w:r w:rsidR="004B3EA2">
        <w:t xml:space="preserve">Table </w:t>
      </w:r>
      <w:r w:rsidR="004B3EA2">
        <w:rPr>
          <w:noProof/>
        </w:rPr>
        <w:t>63</w:t>
      </w:r>
      <w:r w:rsidR="00B61617">
        <w:rPr>
          <w:rFonts w:eastAsia="Calibri"/>
        </w:rPr>
        <w:fldChar w:fldCharType="end"/>
      </w:r>
      <w:r>
        <w:rPr>
          <w:rFonts w:eastAsia="Calibri"/>
        </w:rPr>
        <w:t xml:space="preserve">, </w:t>
      </w:r>
      <w:r w:rsidRPr="003446E3">
        <w:rPr>
          <w:rFonts w:eastAsia="Calibri"/>
        </w:rPr>
        <w:t>below.</w:t>
      </w:r>
      <w:r>
        <w:rPr>
          <w:rFonts w:eastAsia="Calibri"/>
        </w:rPr>
        <w:t xml:space="preserve"> </w:t>
      </w:r>
      <w:r w:rsidRPr="003446E3">
        <w:rPr>
          <w:rFonts w:eastAsia="Calibri"/>
        </w:rPr>
        <w:t>All other sensitivity analyses conducted around areas of uncertainty in the model are presented in</w:t>
      </w:r>
      <w:r w:rsidR="00B61617">
        <w:rPr>
          <w:rFonts w:eastAsia="Calibri"/>
        </w:rPr>
        <w:t xml:space="preserve"> </w:t>
      </w:r>
      <w:r w:rsidR="00B61617">
        <w:rPr>
          <w:rFonts w:eastAsia="Calibri"/>
        </w:rPr>
        <w:fldChar w:fldCharType="begin"/>
      </w:r>
      <w:r w:rsidR="00B61617">
        <w:rPr>
          <w:rFonts w:eastAsia="Calibri"/>
        </w:rPr>
        <w:instrText xml:space="preserve"> REF _Ref67997614 \h </w:instrText>
      </w:r>
      <w:r w:rsidR="00B61617">
        <w:rPr>
          <w:rFonts w:eastAsia="Calibri"/>
        </w:rPr>
      </w:r>
      <w:r w:rsidR="00B61617">
        <w:rPr>
          <w:rFonts w:eastAsia="Calibri"/>
        </w:rPr>
        <w:fldChar w:fldCharType="separate"/>
      </w:r>
      <w:r w:rsidR="004B3EA2">
        <w:t xml:space="preserve">Table </w:t>
      </w:r>
      <w:r w:rsidR="004B3EA2">
        <w:rPr>
          <w:noProof/>
        </w:rPr>
        <w:t>87</w:t>
      </w:r>
      <w:r w:rsidR="00B61617">
        <w:rPr>
          <w:rFonts w:eastAsia="Calibri"/>
        </w:rPr>
        <w:fldChar w:fldCharType="end"/>
      </w:r>
      <w:r w:rsidRPr="003446E3">
        <w:rPr>
          <w:rFonts w:eastAsia="Calibri"/>
        </w:rPr>
        <w:t xml:space="preserve">, </w:t>
      </w:r>
      <w:r w:rsidRPr="009667AB">
        <w:rPr>
          <w:rFonts w:eastAsia="Calibri"/>
          <w:b/>
        </w:rPr>
        <w:t>Appendix G</w:t>
      </w:r>
      <w:r w:rsidRPr="003446E3">
        <w:rPr>
          <w:rFonts w:eastAsia="Calibri"/>
        </w:rPr>
        <w:t>.</w:t>
      </w:r>
      <w:r w:rsidR="00970677">
        <w:rPr>
          <w:rFonts w:eastAsia="Calibri"/>
        </w:rPr>
        <w:t xml:space="preserve"> Generally the ICER for Ig vs PE is less stable (more sensitive to changes in inputs and assumptions) than the previous comparison.</w:t>
      </w:r>
    </w:p>
    <w:p w14:paraId="67F92F82" w14:textId="3B8EB1A1" w:rsidR="000A4C4A" w:rsidRDefault="000A4C4A" w:rsidP="000A4C4A">
      <w:pPr>
        <w:pStyle w:val="Caption"/>
      </w:pPr>
      <w:bookmarkStart w:id="395" w:name="_Ref67997591"/>
      <w:bookmarkStart w:id="396" w:name="_Toc69305704"/>
      <w:r>
        <w:t xml:space="preserve">Table </w:t>
      </w:r>
      <w:r w:rsidR="00003BA5">
        <w:fldChar w:fldCharType="begin"/>
      </w:r>
      <w:r w:rsidR="00003BA5">
        <w:instrText xml:space="preserve"> SEQ Table \* ARABIC </w:instrText>
      </w:r>
      <w:r w:rsidR="00003BA5">
        <w:fldChar w:fldCharType="separate"/>
      </w:r>
      <w:r w:rsidR="004B3EA2">
        <w:rPr>
          <w:noProof/>
        </w:rPr>
        <w:t>63</w:t>
      </w:r>
      <w:r w:rsidR="00003BA5">
        <w:rPr>
          <w:noProof/>
        </w:rPr>
        <w:fldChar w:fldCharType="end"/>
      </w:r>
      <w:bookmarkEnd w:id="395"/>
      <w:r>
        <w:tab/>
        <w:t>Key sensitivity analyses, Ig versus plasma exchange</w:t>
      </w:r>
      <w:bookmarkEnd w:id="396"/>
    </w:p>
    <w:tbl>
      <w:tblPr>
        <w:tblStyle w:val="TableGrid"/>
        <w:tblW w:w="5000" w:type="pct"/>
        <w:tblLayout w:type="fixed"/>
        <w:tblLook w:val="04A0" w:firstRow="1" w:lastRow="0" w:firstColumn="1" w:lastColumn="0" w:noHBand="0" w:noVBand="1"/>
        <w:tblCaption w:val="Key sensitivity analyses, Ig versus plasma exchange"/>
        <w:tblDescription w:val="Key sensitivity analyses, Ig versus plasma exchange"/>
      </w:tblPr>
      <w:tblGrid>
        <w:gridCol w:w="5240"/>
        <w:gridCol w:w="992"/>
        <w:gridCol w:w="851"/>
        <w:gridCol w:w="992"/>
        <w:gridCol w:w="941"/>
      </w:tblGrid>
      <w:tr w:rsidR="000A4C4A" w:rsidRPr="00F819DD" w14:paraId="768F3423" w14:textId="77777777" w:rsidTr="00A24A3B">
        <w:trPr>
          <w:trHeight w:val="255"/>
          <w:tblHeader/>
        </w:trPr>
        <w:tc>
          <w:tcPr>
            <w:tcW w:w="2906" w:type="pct"/>
            <w:tcBorders>
              <w:bottom w:val="single" w:sz="4" w:space="0" w:color="auto"/>
            </w:tcBorders>
            <w:noWrap/>
            <w:hideMark/>
          </w:tcPr>
          <w:p w14:paraId="5DA07314" w14:textId="77777777" w:rsidR="000A4C4A" w:rsidRPr="00B144E4" w:rsidRDefault="000A4C4A" w:rsidP="00A24A3B">
            <w:pPr>
              <w:pStyle w:val="TableHeading"/>
              <w:ind w:left="0"/>
            </w:pPr>
          </w:p>
        </w:tc>
        <w:tc>
          <w:tcPr>
            <w:tcW w:w="550" w:type="pct"/>
            <w:tcBorders>
              <w:bottom w:val="single" w:sz="4" w:space="0" w:color="auto"/>
            </w:tcBorders>
            <w:noWrap/>
            <w:hideMark/>
          </w:tcPr>
          <w:p w14:paraId="6F6BB2D6" w14:textId="77777777" w:rsidR="000A4C4A" w:rsidRPr="00F819DD" w:rsidRDefault="000A4C4A" w:rsidP="00A24A3B">
            <w:pPr>
              <w:pStyle w:val="TableHeading"/>
              <w:ind w:left="0"/>
              <w:rPr>
                <w:rFonts w:ascii="Calibri" w:hAnsi="Calibri" w:cs="Calibri"/>
                <w:bCs/>
              </w:rPr>
            </w:pPr>
            <w:r w:rsidRPr="00F819DD">
              <w:rPr>
                <w:rFonts w:ascii="Calibri" w:hAnsi="Calibri" w:cs="Calibri"/>
                <w:bCs/>
              </w:rPr>
              <w:t>Inc. cost</w:t>
            </w:r>
          </w:p>
        </w:tc>
        <w:tc>
          <w:tcPr>
            <w:tcW w:w="472" w:type="pct"/>
            <w:tcBorders>
              <w:bottom w:val="single" w:sz="4" w:space="0" w:color="auto"/>
            </w:tcBorders>
            <w:noWrap/>
            <w:hideMark/>
          </w:tcPr>
          <w:p w14:paraId="11B89D27" w14:textId="77777777" w:rsidR="000A4C4A" w:rsidRPr="00F819DD" w:rsidRDefault="000A4C4A" w:rsidP="00A24A3B">
            <w:pPr>
              <w:pStyle w:val="TableHeading"/>
              <w:ind w:left="0"/>
              <w:rPr>
                <w:rFonts w:ascii="Calibri" w:hAnsi="Calibri" w:cs="Calibri"/>
                <w:bCs/>
              </w:rPr>
            </w:pPr>
            <w:r w:rsidRPr="00F819DD">
              <w:rPr>
                <w:rFonts w:ascii="Calibri" w:hAnsi="Calibri" w:cs="Calibri"/>
                <w:bCs/>
              </w:rPr>
              <w:t>Inc. QALYs</w:t>
            </w:r>
          </w:p>
        </w:tc>
        <w:tc>
          <w:tcPr>
            <w:tcW w:w="550" w:type="pct"/>
            <w:tcBorders>
              <w:bottom w:val="single" w:sz="4" w:space="0" w:color="auto"/>
            </w:tcBorders>
            <w:noWrap/>
            <w:hideMark/>
          </w:tcPr>
          <w:p w14:paraId="727199BC" w14:textId="77777777" w:rsidR="000A4C4A" w:rsidRPr="00F819DD" w:rsidRDefault="000A4C4A" w:rsidP="00A24A3B">
            <w:pPr>
              <w:pStyle w:val="TableHeading"/>
              <w:ind w:left="0"/>
              <w:rPr>
                <w:rFonts w:ascii="Calibri" w:hAnsi="Calibri" w:cs="Calibri"/>
                <w:bCs/>
              </w:rPr>
            </w:pPr>
            <w:r w:rsidRPr="00F819DD">
              <w:rPr>
                <w:rFonts w:ascii="Calibri" w:hAnsi="Calibri" w:cs="Calibri"/>
                <w:bCs/>
              </w:rPr>
              <w:t>ICER</w:t>
            </w:r>
          </w:p>
        </w:tc>
        <w:tc>
          <w:tcPr>
            <w:tcW w:w="522" w:type="pct"/>
            <w:tcBorders>
              <w:bottom w:val="single" w:sz="4" w:space="0" w:color="auto"/>
            </w:tcBorders>
            <w:noWrap/>
            <w:hideMark/>
          </w:tcPr>
          <w:p w14:paraId="0B23C6D3" w14:textId="77777777" w:rsidR="000A4C4A" w:rsidRPr="00F819DD" w:rsidRDefault="000A4C4A" w:rsidP="00A24A3B">
            <w:pPr>
              <w:pStyle w:val="TableHeading"/>
              <w:ind w:left="0"/>
              <w:rPr>
                <w:rFonts w:cs="Calibri"/>
              </w:rPr>
            </w:pPr>
            <w:r>
              <w:rPr>
                <w:rFonts w:cs="Calibri"/>
                <w:color w:val="000000"/>
              </w:rPr>
              <w:t>% C</w:t>
            </w:r>
            <w:r w:rsidRPr="005F76D9">
              <w:rPr>
                <w:rFonts w:cs="Calibri"/>
                <w:color w:val="000000"/>
              </w:rPr>
              <w:t>hange</w:t>
            </w:r>
            <w:r w:rsidRPr="00F819DD">
              <w:rPr>
                <w:rFonts w:cs="Calibri"/>
              </w:rPr>
              <w:t> </w:t>
            </w:r>
          </w:p>
        </w:tc>
      </w:tr>
      <w:tr w:rsidR="000A4C4A" w:rsidRPr="00C93EA7" w14:paraId="64A601C5" w14:textId="77777777" w:rsidTr="00A24A3B">
        <w:trPr>
          <w:trHeight w:val="255"/>
        </w:trPr>
        <w:tc>
          <w:tcPr>
            <w:tcW w:w="2906" w:type="pct"/>
            <w:noWrap/>
            <w:hideMark/>
          </w:tcPr>
          <w:p w14:paraId="6ED0185A" w14:textId="77777777" w:rsidR="000A4C4A" w:rsidRPr="00F3307B" w:rsidRDefault="000A4C4A" w:rsidP="00A24A3B">
            <w:pPr>
              <w:pStyle w:val="Tabletext1"/>
              <w:ind w:left="0"/>
              <w:rPr>
                <w:rFonts w:cs="Calibri"/>
                <w:b/>
                <w:color w:val="000000"/>
              </w:rPr>
            </w:pPr>
            <w:r w:rsidRPr="00F3307B">
              <w:rPr>
                <w:rFonts w:cs="Calibri"/>
                <w:b/>
                <w:color w:val="000000"/>
              </w:rPr>
              <w:t xml:space="preserve">Base case </w:t>
            </w:r>
            <w:r>
              <w:rPr>
                <w:rFonts w:cs="Calibri"/>
                <w:b/>
                <w:color w:val="000000"/>
              </w:rPr>
              <w:t>results</w:t>
            </w:r>
          </w:p>
        </w:tc>
        <w:tc>
          <w:tcPr>
            <w:tcW w:w="550" w:type="pct"/>
            <w:noWrap/>
            <w:vAlign w:val="center"/>
            <w:hideMark/>
          </w:tcPr>
          <w:p w14:paraId="4043156E" w14:textId="77777777" w:rsidR="000A4C4A" w:rsidRPr="00F3307B" w:rsidRDefault="000A4C4A" w:rsidP="00A24A3B">
            <w:pPr>
              <w:pStyle w:val="Tabletext1"/>
              <w:ind w:left="0"/>
              <w:jc w:val="right"/>
              <w:rPr>
                <w:rFonts w:cs="Calibri"/>
                <w:b/>
                <w:color w:val="000000"/>
              </w:rPr>
            </w:pPr>
            <w:r w:rsidRPr="00F3307B">
              <w:rPr>
                <w:b/>
              </w:rPr>
              <w:t>$49,991</w:t>
            </w:r>
          </w:p>
        </w:tc>
        <w:tc>
          <w:tcPr>
            <w:tcW w:w="472" w:type="pct"/>
            <w:noWrap/>
            <w:vAlign w:val="center"/>
            <w:hideMark/>
          </w:tcPr>
          <w:p w14:paraId="6899E39E" w14:textId="77777777" w:rsidR="000A4C4A" w:rsidRPr="00F3307B" w:rsidRDefault="000A4C4A" w:rsidP="00A24A3B">
            <w:pPr>
              <w:pStyle w:val="Tabletext1"/>
              <w:ind w:left="0"/>
              <w:jc w:val="right"/>
              <w:rPr>
                <w:rFonts w:cs="Calibri"/>
                <w:b/>
                <w:color w:val="000000"/>
              </w:rPr>
            </w:pPr>
            <w:r w:rsidRPr="00F3307B">
              <w:rPr>
                <w:b/>
              </w:rPr>
              <w:t>0.5316</w:t>
            </w:r>
          </w:p>
        </w:tc>
        <w:tc>
          <w:tcPr>
            <w:tcW w:w="550" w:type="pct"/>
            <w:noWrap/>
            <w:vAlign w:val="center"/>
            <w:hideMark/>
          </w:tcPr>
          <w:p w14:paraId="72BE0940" w14:textId="77777777" w:rsidR="000A4C4A" w:rsidRPr="00F3307B" w:rsidRDefault="000A4C4A" w:rsidP="00A24A3B">
            <w:pPr>
              <w:pStyle w:val="Tabletext1"/>
              <w:ind w:left="0"/>
              <w:jc w:val="right"/>
              <w:rPr>
                <w:rFonts w:cs="Calibri"/>
                <w:b/>
                <w:color w:val="000000"/>
              </w:rPr>
            </w:pPr>
            <w:r w:rsidRPr="00F3307B">
              <w:rPr>
                <w:b/>
              </w:rPr>
              <w:t>$94,038</w:t>
            </w:r>
          </w:p>
        </w:tc>
        <w:tc>
          <w:tcPr>
            <w:tcW w:w="522" w:type="pct"/>
            <w:noWrap/>
            <w:vAlign w:val="center"/>
            <w:hideMark/>
          </w:tcPr>
          <w:p w14:paraId="7F75C8D1" w14:textId="77777777" w:rsidR="000A4C4A" w:rsidRPr="00F3307B" w:rsidRDefault="000A4C4A" w:rsidP="00A24A3B">
            <w:pPr>
              <w:pStyle w:val="Tabletext1"/>
              <w:ind w:left="0"/>
              <w:jc w:val="right"/>
              <w:rPr>
                <w:rFonts w:cs="Calibri"/>
                <w:b/>
                <w:color w:val="000000"/>
              </w:rPr>
            </w:pPr>
          </w:p>
        </w:tc>
      </w:tr>
      <w:tr w:rsidR="000A4C4A" w:rsidRPr="005F76D9" w14:paraId="6D18D7DE" w14:textId="77777777" w:rsidTr="00A24A3B">
        <w:trPr>
          <w:trHeight w:val="255"/>
        </w:trPr>
        <w:tc>
          <w:tcPr>
            <w:tcW w:w="2906" w:type="pct"/>
            <w:tcBorders>
              <w:right w:val="nil"/>
            </w:tcBorders>
            <w:noWrap/>
            <w:hideMark/>
          </w:tcPr>
          <w:p w14:paraId="4F9EC88B" w14:textId="77777777" w:rsidR="000A4C4A" w:rsidRPr="00F819DD" w:rsidRDefault="000A4C4A" w:rsidP="00A24A3B">
            <w:pPr>
              <w:pStyle w:val="Tabletext1"/>
              <w:ind w:left="0"/>
              <w:rPr>
                <w:rFonts w:cs="Calibri"/>
                <w:b/>
                <w:color w:val="000000"/>
              </w:rPr>
            </w:pPr>
            <w:r w:rsidRPr="00F819DD">
              <w:rPr>
                <w:rFonts w:cs="Calibri"/>
                <w:b/>
                <w:color w:val="000000"/>
              </w:rPr>
              <w:t>Maintenance dose intervals for Ig (base case: 4 weeks)</w:t>
            </w:r>
          </w:p>
        </w:tc>
        <w:tc>
          <w:tcPr>
            <w:tcW w:w="550" w:type="pct"/>
            <w:tcBorders>
              <w:left w:val="nil"/>
              <w:right w:val="nil"/>
            </w:tcBorders>
            <w:noWrap/>
            <w:vAlign w:val="center"/>
            <w:hideMark/>
          </w:tcPr>
          <w:p w14:paraId="19805E81" w14:textId="77777777" w:rsidR="000A4C4A" w:rsidRPr="005F76D9" w:rsidRDefault="000A4C4A" w:rsidP="00A24A3B">
            <w:pPr>
              <w:pStyle w:val="Tabletext1"/>
              <w:ind w:left="0"/>
              <w:jc w:val="right"/>
              <w:rPr>
                <w:rFonts w:cs="Calibri"/>
                <w:color w:val="000000"/>
              </w:rPr>
            </w:pPr>
          </w:p>
        </w:tc>
        <w:tc>
          <w:tcPr>
            <w:tcW w:w="472" w:type="pct"/>
            <w:tcBorders>
              <w:left w:val="nil"/>
              <w:right w:val="nil"/>
            </w:tcBorders>
            <w:noWrap/>
            <w:vAlign w:val="center"/>
            <w:hideMark/>
          </w:tcPr>
          <w:p w14:paraId="6CB644D1" w14:textId="77777777" w:rsidR="000A4C4A" w:rsidRPr="005F76D9" w:rsidRDefault="000A4C4A" w:rsidP="00A24A3B">
            <w:pPr>
              <w:pStyle w:val="Tabletext1"/>
              <w:ind w:left="0"/>
              <w:jc w:val="right"/>
            </w:pPr>
          </w:p>
        </w:tc>
        <w:tc>
          <w:tcPr>
            <w:tcW w:w="550" w:type="pct"/>
            <w:tcBorders>
              <w:left w:val="nil"/>
              <w:right w:val="nil"/>
            </w:tcBorders>
            <w:noWrap/>
            <w:vAlign w:val="center"/>
            <w:hideMark/>
          </w:tcPr>
          <w:p w14:paraId="277AEA7B" w14:textId="77777777" w:rsidR="000A4C4A" w:rsidRPr="005F76D9" w:rsidRDefault="000A4C4A" w:rsidP="00A24A3B">
            <w:pPr>
              <w:pStyle w:val="Tabletext1"/>
              <w:ind w:left="0"/>
              <w:jc w:val="right"/>
            </w:pPr>
          </w:p>
        </w:tc>
        <w:tc>
          <w:tcPr>
            <w:tcW w:w="522" w:type="pct"/>
            <w:tcBorders>
              <w:left w:val="nil"/>
            </w:tcBorders>
            <w:noWrap/>
            <w:vAlign w:val="center"/>
            <w:hideMark/>
          </w:tcPr>
          <w:p w14:paraId="31824188" w14:textId="77777777" w:rsidR="000A4C4A" w:rsidRPr="005F76D9" w:rsidRDefault="000A4C4A" w:rsidP="00A24A3B">
            <w:pPr>
              <w:pStyle w:val="Tabletext1"/>
              <w:ind w:left="0"/>
              <w:jc w:val="right"/>
              <w:rPr>
                <w:rFonts w:cs="Calibri"/>
                <w:color w:val="000000"/>
              </w:rPr>
            </w:pPr>
          </w:p>
        </w:tc>
      </w:tr>
      <w:tr w:rsidR="000A4C4A" w:rsidRPr="005F76D9" w14:paraId="3233CADB" w14:textId="77777777" w:rsidTr="00A24A3B">
        <w:trPr>
          <w:trHeight w:val="255"/>
        </w:trPr>
        <w:tc>
          <w:tcPr>
            <w:tcW w:w="2906" w:type="pct"/>
            <w:noWrap/>
            <w:hideMark/>
          </w:tcPr>
          <w:p w14:paraId="6D1E5B34" w14:textId="77777777" w:rsidR="000A4C4A" w:rsidRPr="005F76D9" w:rsidRDefault="000A4C4A" w:rsidP="00970677">
            <w:pPr>
              <w:pStyle w:val="Tabletext1"/>
              <w:ind w:left="284"/>
              <w:rPr>
                <w:rFonts w:cs="Calibri"/>
                <w:color w:val="000000"/>
              </w:rPr>
            </w:pPr>
            <w:r w:rsidRPr="005F76D9">
              <w:rPr>
                <w:rFonts w:cs="Calibri"/>
                <w:color w:val="000000"/>
              </w:rPr>
              <w:t>3 weeks</w:t>
            </w:r>
          </w:p>
        </w:tc>
        <w:tc>
          <w:tcPr>
            <w:tcW w:w="550" w:type="pct"/>
            <w:noWrap/>
            <w:vAlign w:val="center"/>
            <w:hideMark/>
          </w:tcPr>
          <w:p w14:paraId="409DC7F6" w14:textId="77777777" w:rsidR="000A4C4A" w:rsidRPr="005F76D9" w:rsidRDefault="000A4C4A" w:rsidP="00A24A3B">
            <w:pPr>
              <w:pStyle w:val="Tabletext1"/>
              <w:ind w:left="0"/>
              <w:jc w:val="right"/>
              <w:rPr>
                <w:rFonts w:cs="Calibri"/>
                <w:color w:val="000000"/>
              </w:rPr>
            </w:pPr>
            <w:r w:rsidRPr="00671B7C">
              <w:t>$96,877</w:t>
            </w:r>
          </w:p>
        </w:tc>
        <w:tc>
          <w:tcPr>
            <w:tcW w:w="472" w:type="pct"/>
            <w:noWrap/>
            <w:vAlign w:val="center"/>
            <w:hideMark/>
          </w:tcPr>
          <w:p w14:paraId="000CFBC4" w14:textId="77777777" w:rsidR="000A4C4A" w:rsidRPr="005F76D9" w:rsidRDefault="000A4C4A" w:rsidP="00A24A3B">
            <w:pPr>
              <w:pStyle w:val="Tabletext1"/>
              <w:ind w:left="0"/>
              <w:jc w:val="right"/>
              <w:rPr>
                <w:rFonts w:cs="Calibri"/>
                <w:color w:val="000000"/>
              </w:rPr>
            </w:pPr>
            <w:r w:rsidRPr="00671B7C">
              <w:t>0.5249</w:t>
            </w:r>
          </w:p>
        </w:tc>
        <w:tc>
          <w:tcPr>
            <w:tcW w:w="550" w:type="pct"/>
            <w:noWrap/>
            <w:vAlign w:val="center"/>
            <w:hideMark/>
          </w:tcPr>
          <w:p w14:paraId="0D23480D" w14:textId="77777777" w:rsidR="000A4C4A" w:rsidRPr="005F76D9" w:rsidRDefault="000A4C4A" w:rsidP="00A24A3B">
            <w:pPr>
              <w:pStyle w:val="Tabletext1"/>
              <w:ind w:left="0"/>
              <w:jc w:val="right"/>
              <w:rPr>
                <w:rFonts w:cs="Calibri"/>
                <w:color w:val="000000"/>
              </w:rPr>
            </w:pPr>
            <w:r w:rsidRPr="00671B7C">
              <w:t>$184,579</w:t>
            </w:r>
          </w:p>
        </w:tc>
        <w:tc>
          <w:tcPr>
            <w:tcW w:w="522" w:type="pct"/>
            <w:noWrap/>
            <w:vAlign w:val="center"/>
            <w:hideMark/>
          </w:tcPr>
          <w:p w14:paraId="1D8FD6E5" w14:textId="77777777" w:rsidR="000A4C4A" w:rsidRPr="005F76D9" w:rsidRDefault="000A4C4A" w:rsidP="00A24A3B">
            <w:pPr>
              <w:pStyle w:val="Tabletext1"/>
              <w:ind w:left="0"/>
              <w:jc w:val="right"/>
              <w:rPr>
                <w:rFonts w:cs="Calibri"/>
                <w:color w:val="000000"/>
              </w:rPr>
            </w:pPr>
            <w:r w:rsidRPr="00671B7C">
              <w:t>96%</w:t>
            </w:r>
          </w:p>
        </w:tc>
      </w:tr>
      <w:tr w:rsidR="000A4C4A" w:rsidRPr="005F76D9" w14:paraId="3C646B18" w14:textId="77777777" w:rsidTr="00A24A3B">
        <w:trPr>
          <w:trHeight w:val="255"/>
        </w:trPr>
        <w:tc>
          <w:tcPr>
            <w:tcW w:w="2906" w:type="pct"/>
            <w:noWrap/>
            <w:hideMark/>
          </w:tcPr>
          <w:p w14:paraId="07F9F5A6" w14:textId="77777777" w:rsidR="000A4C4A" w:rsidRPr="005F76D9" w:rsidRDefault="000A4C4A" w:rsidP="00970677">
            <w:pPr>
              <w:pStyle w:val="Tabletext1"/>
              <w:ind w:left="284"/>
              <w:rPr>
                <w:rFonts w:cs="Calibri"/>
                <w:color w:val="000000"/>
              </w:rPr>
            </w:pPr>
            <w:r w:rsidRPr="005F76D9">
              <w:rPr>
                <w:rFonts w:cs="Calibri"/>
                <w:color w:val="000000"/>
              </w:rPr>
              <w:t>6 weeks</w:t>
            </w:r>
          </w:p>
        </w:tc>
        <w:tc>
          <w:tcPr>
            <w:tcW w:w="550" w:type="pct"/>
            <w:noWrap/>
            <w:vAlign w:val="center"/>
            <w:hideMark/>
          </w:tcPr>
          <w:p w14:paraId="1B519CBA" w14:textId="77777777" w:rsidR="000A4C4A" w:rsidRPr="005F76D9" w:rsidRDefault="000A4C4A" w:rsidP="00A24A3B">
            <w:pPr>
              <w:pStyle w:val="Tabletext1"/>
              <w:ind w:left="0"/>
              <w:jc w:val="right"/>
              <w:rPr>
                <w:rFonts w:cs="Calibri"/>
                <w:color w:val="000000"/>
              </w:rPr>
            </w:pPr>
            <w:r w:rsidRPr="00671B7C">
              <w:t>$3,106</w:t>
            </w:r>
          </w:p>
        </w:tc>
        <w:tc>
          <w:tcPr>
            <w:tcW w:w="472" w:type="pct"/>
            <w:noWrap/>
            <w:vAlign w:val="center"/>
            <w:hideMark/>
          </w:tcPr>
          <w:p w14:paraId="24F6409F" w14:textId="77777777" w:rsidR="000A4C4A" w:rsidRPr="005F76D9" w:rsidRDefault="000A4C4A" w:rsidP="00A24A3B">
            <w:pPr>
              <w:pStyle w:val="Tabletext1"/>
              <w:ind w:left="0"/>
              <w:jc w:val="right"/>
              <w:rPr>
                <w:rFonts w:cs="Calibri"/>
                <w:color w:val="000000"/>
              </w:rPr>
            </w:pPr>
            <w:r w:rsidRPr="00671B7C">
              <w:t>0.5384</w:t>
            </w:r>
          </w:p>
        </w:tc>
        <w:tc>
          <w:tcPr>
            <w:tcW w:w="550" w:type="pct"/>
            <w:noWrap/>
            <w:vAlign w:val="center"/>
            <w:hideMark/>
          </w:tcPr>
          <w:p w14:paraId="1619DE51" w14:textId="77777777" w:rsidR="000A4C4A" w:rsidRPr="005F76D9" w:rsidRDefault="000A4C4A" w:rsidP="00A24A3B">
            <w:pPr>
              <w:pStyle w:val="Tabletext1"/>
              <w:ind w:left="0"/>
              <w:jc w:val="right"/>
              <w:rPr>
                <w:rFonts w:cs="Calibri"/>
                <w:color w:val="000000"/>
              </w:rPr>
            </w:pPr>
            <w:r w:rsidRPr="00671B7C">
              <w:t>$5,769</w:t>
            </w:r>
          </w:p>
        </w:tc>
        <w:tc>
          <w:tcPr>
            <w:tcW w:w="522" w:type="pct"/>
            <w:noWrap/>
            <w:vAlign w:val="center"/>
            <w:hideMark/>
          </w:tcPr>
          <w:p w14:paraId="797298FF" w14:textId="77777777" w:rsidR="000A4C4A" w:rsidRPr="005F76D9" w:rsidRDefault="000A4C4A" w:rsidP="00A24A3B">
            <w:pPr>
              <w:pStyle w:val="Tabletext1"/>
              <w:ind w:left="0"/>
              <w:jc w:val="right"/>
              <w:rPr>
                <w:rFonts w:cs="Calibri"/>
                <w:color w:val="000000"/>
              </w:rPr>
            </w:pPr>
            <w:r w:rsidRPr="00671B7C">
              <w:t>-94%</w:t>
            </w:r>
          </w:p>
        </w:tc>
      </w:tr>
      <w:tr w:rsidR="000A4C4A" w:rsidRPr="005F76D9" w14:paraId="53BC4680" w14:textId="77777777" w:rsidTr="00A24A3B">
        <w:trPr>
          <w:trHeight w:val="255"/>
        </w:trPr>
        <w:tc>
          <w:tcPr>
            <w:tcW w:w="2906" w:type="pct"/>
            <w:tcBorders>
              <w:bottom w:val="single" w:sz="4" w:space="0" w:color="auto"/>
            </w:tcBorders>
            <w:noWrap/>
            <w:hideMark/>
          </w:tcPr>
          <w:p w14:paraId="736D4651" w14:textId="77777777" w:rsidR="000A4C4A" w:rsidRPr="005F76D9" w:rsidRDefault="000A4C4A" w:rsidP="00970677">
            <w:pPr>
              <w:pStyle w:val="Tabletext1"/>
              <w:ind w:left="284"/>
              <w:rPr>
                <w:rFonts w:cs="Calibri"/>
                <w:color w:val="000000"/>
              </w:rPr>
            </w:pPr>
            <w:r w:rsidRPr="005F76D9">
              <w:rPr>
                <w:rFonts w:cs="Calibri"/>
                <w:color w:val="000000"/>
              </w:rPr>
              <w:t>8 weeks</w:t>
            </w:r>
          </w:p>
        </w:tc>
        <w:tc>
          <w:tcPr>
            <w:tcW w:w="550" w:type="pct"/>
            <w:tcBorders>
              <w:bottom w:val="single" w:sz="4" w:space="0" w:color="auto"/>
            </w:tcBorders>
            <w:noWrap/>
            <w:vAlign w:val="center"/>
            <w:hideMark/>
          </w:tcPr>
          <w:p w14:paraId="422F8005" w14:textId="77777777" w:rsidR="000A4C4A" w:rsidRPr="005F76D9" w:rsidRDefault="000A4C4A" w:rsidP="00A24A3B">
            <w:pPr>
              <w:pStyle w:val="Tabletext1"/>
              <w:ind w:left="0"/>
              <w:jc w:val="right"/>
              <w:rPr>
                <w:rFonts w:cs="Calibri"/>
                <w:color w:val="000000"/>
              </w:rPr>
            </w:pPr>
            <w:r w:rsidRPr="00671B7C">
              <w:t>-$20,337</w:t>
            </w:r>
          </w:p>
        </w:tc>
        <w:tc>
          <w:tcPr>
            <w:tcW w:w="472" w:type="pct"/>
            <w:tcBorders>
              <w:bottom w:val="single" w:sz="4" w:space="0" w:color="auto"/>
            </w:tcBorders>
            <w:noWrap/>
            <w:vAlign w:val="center"/>
            <w:hideMark/>
          </w:tcPr>
          <w:p w14:paraId="334F1D8E" w14:textId="77777777" w:rsidR="000A4C4A" w:rsidRPr="005F76D9" w:rsidRDefault="000A4C4A" w:rsidP="00A24A3B">
            <w:pPr>
              <w:pStyle w:val="Tabletext1"/>
              <w:ind w:left="0"/>
              <w:jc w:val="right"/>
              <w:rPr>
                <w:rFonts w:cs="Calibri"/>
                <w:color w:val="000000"/>
              </w:rPr>
            </w:pPr>
            <w:r w:rsidRPr="00671B7C">
              <w:t>0.5417</w:t>
            </w:r>
          </w:p>
        </w:tc>
        <w:tc>
          <w:tcPr>
            <w:tcW w:w="550" w:type="pct"/>
            <w:tcBorders>
              <w:bottom w:val="single" w:sz="4" w:space="0" w:color="auto"/>
            </w:tcBorders>
            <w:noWrap/>
            <w:vAlign w:val="center"/>
            <w:hideMark/>
          </w:tcPr>
          <w:p w14:paraId="7D2D8CFA" w14:textId="77777777" w:rsidR="000A4C4A" w:rsidRPr="005F76D9" w:rsidRDefault="000A4C4A" w:rsidP="00A24A3B">
            <w:pPr>
              <w:pStyle w:val="Tabletext1"/>
              <w:ind w:left="0"/>
              <w:jc w:val="right"/>
              <w:rPr>
                <w:rFonts w:cs="Calibri"/>
                <w:color w:val="000000"/>
              </w:rPr>
            </w:pPr>
            <w:r w:rsidRPr="00671B7C">
              <w:t>Dominant (ICER: –$37,541)</w:t>
            </w:r>
          </w:p>
        </w:tc>
        <w:tc>
          <w:tcPr>
            <w:tcW w:w="522" w:type="pct"/>
            <w:tcBorders>
              <w:bottom w:val="single" w:sz="4" w:space="0" w:color="auto"/>
            </w:tcBorders>
            <w:noWrap/>
            <w:vAlign w:val="center"/>
            <w:hideMark/>
          </w:tcPr>
          <w:p w14:paraId="57863C18" w14:textId="77777777" w:rsidR="000A4C4A" w:rsidRPr="005F76D9" w:rsidRDefault="000A4C4A" w:rsidP="00A24A3B">
            <w:pPr>
              <w:pStyle w:val="Tabletext1"/>
              <w:ind w:left="0"/>
              <w:jc w:val="right"/>
              <w:rPr>
                <w:rFonts w:cs="Calibri"/>
                <w:color w:val="000000"/>
              </w:rPr>
            </w:pPr>
            <w:r>
              <w:t>Dominant</w:t>
            </w:r>
          </w:p>
        </w:tc>
      </w:tr>
      <w:tr w:rsidR="000A4C4A" w:rsidRPr="005F76D9" w14:paraId="3A3834DC" w14:textId="77777777" w:rsidTr="00A24A3B">
        <w:trPr>
          <w:trHeight w:val="255"/>
        </w:trPr>
        <w:tc>
          <w:tcPr>
            <w:tcW w:w="2906" w:type="pct"/>
            <w:tcBorders>
              <w:right w:val="nil"/>
            </w:tcBorders>
            <w:noWrap/>
            <w:hideMark/>
          </w:tcPr>
          <w:p w14:paraId="78E977E9" w14:textId="77777777" w:rsidR="000A4C4A" w:rsidRPr="005F76D9" w:rsidRDefault="000A4C4A" w:rsidP="00A24A3B">
            <w:pPr>
              <w:pStyle w:val="Tabletext1"/>
              <w:ind w:left="0"/>
              <w:rPr>
                <w:rFonts w:cs="Calibri"/>
                <w:b/>
                <w:bCs/>
                <w:color w:val="000000"/>
              </w:rPr>
            </w:pPr>
            <w:r w:rsidRPr="005F76D9">
              <w:rPr>
                <w:rFonts w:cs="Calibri"/>
                <w:b/>
                <w:bCs/>
                <w:color w:val="000000"/>
              </w:rPr>
              <w:t>Weaning off trial for Ig</w:t>
            </w:r>
          </w:p>
        </w:tc>
        <w:tc>
          <w:tcPr>
            <w:tcW w:w="550" w:type="pct"/>
            <w:tcBorders>
              <w:left w:val="nil"/>
              <w:right w:val="nil"/>
            </w:tcBorders>
            <w:noWrap/>
            <w:vAlign w:val="center"/>
            <w:hideMark/>
          </w:tcPr>
          <w:p w14:paraId="2FAA1690" w14:textId="77777777" w:rsidR="000A4C4A" w:rsidRPr="005F76D9" w:rsidRDefault="000A4C4A" w:rsidP="00A24A3B">
            <w:pPr>
              <w:pStyle w:val="Tabletext1"/>
              <w:ind w:left="0"/>
              <w:jc w:val="right"/>
              <w:rPr>
                <w:rFonts w:cs="Calibri"/>
                <w:b/>
                <w:bCs/>
                <w:color w:val="000000"/>
              </w:rPr>
            </w:pPr>
          </w:p>
        </w:tc>
        <w:tc>
          <w:tcPr>
            <w:tcW w:w="472" w:type="pct"/>
            <w:tcBorders>
              <w:left w:val="nil"/>
              <w:right w:val="nil"/>
            </w:tcBorders>
            <w:noWrap/>
            <w:vAlign w:val="center"/>
            <w:hideMark/>
          </w:tcPr>
          <w:p w14:paraId="2B3061F6" w14:textId="77777777" w:rsidR="000A4C4A" w:rsidRPr="005F76D9" w:rsidRDefault="000A4C4A" w:rsidP="00A24A3B">
            <w:pPr>
              <w:pStyle w:val="Tabletext1"/>
              <w:ind w:left="0"/>
              <w:jc w:val="right"/>
            </w:pPr>
          </w:p>
        </w:tc>
        <w:tc>
          <w:tcPr>
            <w:tcW w:w="550" w:type="pct"/>
            <w:tcBorders>
              <w:left w:val="nil"/>
              <w:right w:val="nil"/>
            </w:tcBorders>
            <w:noWrap/>
            <w:vAlign w:val="center"/>
            <w:hideMark/>
          </w:tcPr>
          <w:p w14:paraId="7A2AF76D" w14:textId="77777777" w:rsidR="000A4C4A" w:rsidRPr="005F76D9" w:rsidRDefault="000A4C4A" w:rsidP="00A24A3B">
            <w:pPr>
              <w:pStyle w:val="Tabletext1"/>
              <w:ind w:left="0"/>
              <w:jc w:val="right"/>
            </w:pPr>
          </w:p>
        </w:tc>
        <w:tc>
          <w:tcPr>
            <w:tcW w:w="522" w:type="pct"/>
            <w:tcBorders>
              <w:left w:val="nil"/>
            </w:tcBorders>
            <w:noWrap/>
            <w:vAlign w:val="center"/>
            <w:hideMark/>
          </w:tcPr>
          <w:p w14:paraId="5D63015D" w14:textId="77777777" w:rsidR="000A4C4A" w:rsidRPr="005F76D9" w:rsidRDefault="000A4C4A" w:rsidP="00A24A3B">
            <w:pPr>
              <w:pStyle w:val="Tabletext1"/>
              <w:ind w:left="0"/>
              <w:jc w:val="right"/>
              <w:rPr>
                <w:rFonts w:cs="Calibri"/>
                <w:color w:val="000000"/>
              </w:rPr>
            </w:pPr>
          </w:p>
        </w:tc>
      </w:tr>
      <w:tr w:rsidR="000A4C4A" w:rsidRPr="005F76D9" w14:paraId="65376B37" w14:textId="77777777" w:rsidTr="00A24A3B">
        <w:trPr>
          <w:trHeight w:val="255"/>
        </w:trPr>
        <w:tc>
          <w:tcPr>
            <w:tcW w:w="2906" w:type="pct"/>
            <w:tcBorders>
              <w:bottom w:val="single" w:sz="4" w:space="0" w:color="auto"/>
            </w:tcBorders>
            <w:noWrap/>
            <w:hideMark/>
          </w:tcPr>
          <w:p w14:paraId="1950C13A" w14:textId="77777777" w:rsidR="000A4C4A" w:rsidRPr="005F76D9" w:rsidRDefault="000A4C4A" w:rsidP="00970677">
            <w:pPr>
              <w:pStyle w:val="Tabletext1"/>
              <w:ind w:left="284"/>
              <w:rPr>
                <w:rFonts w:cs="Calibri"/>
                <w:color w:val="000000"/>
              </w:rPr>
            </w:pPr>
            <w:r w:rsidRPr="005F76D9">
              <w:rPr>
                <w:rFonts w:cs="Calibri"/>
                <w:color w:val="000000"/>
              </w:rPr>
              <w:t>Starting dose in maintenance phase- 1g/kg, then applying 20% dose reduction for 5 cycles</w:t>
            </w:r>
          </w:p>
        </w:tc>
        <w:tc>
          <w:tcPr>
            <w:tcW w:w="550" w:type="pct"/>
            <w:tcBorders>
              <w:bottom w:val="single" w:sz="4" w:space="0" w:color="auto"/>
            </w:tcBorders>
            <w:noWrap/>
            <w:vAlign w:val="center"/>
            <w:hideMark/>
          </w:tcPr>
          <w:p w14:paraId="4A1197B9" w14:textId="77777777" w:rsidR="000A4C4A" w:rsidRPr="005F76D9" w:rsidRDefault="000A4C4A" w:rsidP="00A24A3B">
            <w:pPr>
              <w:pStyle w:val="Tabletext1"/>
              <w:ind w:left="0"/>
              <w:jc w:val="right"/>
              <w:rPr>
                <w:rFonts w:cs="Calibri"/>
                <w:color w:val="000000"/>
              </w:rPr>
            </w:pPr>
            <w:r w:rsidRPr="00671B7C">
              <w:t>$13,107</w:t>
            </w:r>
          </w:p>
        </w:tc>
        <w:tc>
          <w:tcPr>
            <w:tcW w:w="472" w:type="pct"/>
            <w:tcBorders>
              <w:bottom w:val="single" w:sz="4" w:space="0" w:color="auto"/>
            </w:tcBorders>
            <w:noWrap/>
            <w:vAlign w:val="center"/>
            <w:hideMark/>
          </w:tcPr>
          <w:p w14:paraId="1FF68341" w14:textId="77777777" w:rsidR="000A4C4A" w:rsidRPr="005F76D9" w:rsidRDefault="000A4C4A" w:rsidP="00A24A3B">
            <w:pPr>
              <w:pStyle w:val="Tabletext1"/>
              <w:ind w:left="0"/>
              <w:jc w:val="right"/>
              <w:rPr>
                <w:rFonts w:cs="Calibri"/>
                <w:color w:val="000000"/>
              </w:rPr>
            </w:pPr>
            <w:r w:rsidRPr="00671B7C">
              <w:t>0.5316</w:t>
            </w:r>
          </w:p>
        </w:tc>
        <w:tc>
          <w:tcPr>
            <w:tcW w:w="550" w:type="pct"/>
            <w:tcBorders>
              <w:bottom w:val="single" w:sz="4" w:space="0" w:color="auto"/>
            </w:tcBorders>
            <w:noWrap/>
            <w:vAlign w:val="center"/>
            <w:hideMark/>
          </w:tcPr>
          <w:p w14:paraId="4F160F6E" w14:textId="77777777" w:rsidR="000A4C4A" w:rsidRPr="005F76D9" w:rsidRDefault="000A4C4A" w:rsidP="00A24A3B">
            <w:pPr>
              <w:pStyle w:val="Tabletext1"/>
              <w:ind w:left="0"/>
              <w:jc w:val="right"/>
              <w:rPr>
                <w:rFonts w:cs="Calibri"/>
                <w:color w:val="000000"/>
              </w:rPr>
            </w:pPr>
            <w:r w:rsidRPr="00671B7C">
              <w:t>$24,656</w:t>
            </w:r>
          </w:p>
        </w:tc>
        <w:tc>
          <w:tcPr>
            <w:tcW w:w="522" w:type="pct"/>
            <w:tcBorders>
              <w:bottom w:val="single" w:sz="4" w:space="0" w:color="auto"/>
            </w:tcBorders>
            <w:noWrap/>
            <w:vAlign w:val="center"/>
            <w:hideMark/>
          </w:tcPr>
          <w:p w14:paraId="1C5ADF5B" w14:textId="77777777" w:rsidR="000A4C4A" w:rsidRPr="005F76D9" w:rsidRDefault="000A4C4A" w:rsidP="00A24A3B">
            <w:pPr>
              <w:pStyle w:val="Tabletext1"/>
              <w:ind w:left="0"/>
              <w:jc w:val="right"/>
              <w:rPr>
                <w:rFonts w:cs="Calibri"/>
                <w:color w:val="000000"/>
              </w:rPr>
            </w:pPr>
            <w:r w:rsidRPr="00671B7C">
              <w:t>-74%</w:t>
            </w:r>
          </w:p>
        </w:tc>
      </w:tr>
      <w:tr w:rsidR="000A4C4A" w:rsidRPr="005F76D9" w14:paraId="2E483B3A" w14:textId="77777777" w:rsidTr="00A24A3B">
        <w:trPr>
          <w:trHeight w:val="255"/>
        </w:trPr>
        <w:tc>
          <w:tcPr>
            <w:tcW w:w="2906" w:type="pct"/>
            <w:tcBorders>
              <w:right w:val="nil"/>
            </w:tcBorders>
            <w:noWrap/>
            <w:hideMark/>
          </w:tcPr>
          <w:p w14:paraId="1A190FEC" w14:textId="77777777" w:rsidR="000A4C4A" w:rsidRPr="005F76D9" w:rsidRDefault="000A4C4A" w:rsidP="00A24A3B">
            <w:pPr>
              <w:pStyle w:val="Tabletext1"/>
              <w:ind w:left="0"/>
              <w:rPr>
                <w:rFonts w:cs="Calibri"/>
                <w:b/>
                <w:bCs/>
                <w:color w:val="000000"/>
              </w:rPr>
            </w:pPr>
            <w:r w:rsidRPr="005F76D9">
              <w:rPr>
                <w:rFonts w:cs="Calibri"/>
                <w:b/>
                <w:bCs/>
                <w:color w:val="000000"/>
              </w:rPr>
              <w:t>Utility gain with Ig (base case:0.12)</w:t>
            </w:r>
          </w:p>
        </w:tc>
        <w:tc>
          <w:tcPr>
            <w:tcW w:w="550" w:type="pct"/>
            <w:tcBorders>
              <w:left w:val="nil"/>
              <w:right w:val="nil"/>
            </w:tcBorders>
            <w:noWrap/>
            <w:vAlign w:val="center"/>
            <w:hideMark/>
          </w:tcPr>
          <w:p w14:paraId="4E849CA3" w14:textId="77777777" w:rsidR="000A4C4A" w:rsidRPr="005F76D9" w:rsidRDefault="000A4C4A" w:rsidP="00A24A3B">
            <w:pPr>
              <w:pStyle w:val="Tabletext1"/>
              <w:ind w:left="0"/>
              <w:jc w:val="right"/>
              <w:rPr>
                <w:rFonts w:cs="Calibri"/>
                <w:b/>
                <w:bCs/>
                <w:color w:val="000000"/>
              </w:rPr>
            </w:pPr>
          </w:p>
        </w:tc>
        <w:tc>
          <w:tcPr>
            <w:tcW w:w="472" w:type="pct"/>
            <w:tcBorders>
              <w:left w:val="nil"/>
              <w:right w:val="nil"/>
            </w:tcBorders>
            <w:noWrap/>
            <w:vAlign w:val="center"/>
            <w:hideMark/>
          </w:tcPr>
          <w:p w14:paraId="5079F321" w14:textId="77777777" w:rsidR="000A4C4A" w:rsidRPr="005F76D9" w:rsidRDefault="000A4C4A" w:rsidP="00A24A3B">
            <w:pPr>
              <w:pStyle w:val="Tabletext1"/>
              <w:ind w:left="0"/>
              <w:jc w:val="right"/>
            </w:pPr>
          </w:p>
        </w:tc>
        <w:tc>
          <w:tcPr>
            <w:tcW w:w="550" w:type="pct"/>
            <w:tcBorders>
              <w:left w:val="nil"/>
              <w:right w:val="nil"/>
            </w:tcBorders>
            <w:noWrap/>
            <w:vAlign w:val="center"/>
            <w:hideMark/>
          </w:tcPr>
          <w:p w14:paraId="717111A0" w14:textId="77777777" w:rsidR="000A4C4A" w:rsidRPr="005F76D9" w:rsidRDefault="000A4C4A" w:rsidP="00A24A3B">
            <w:pPr>
              <w:pStyle w:val="Tabletext1"/>
              <w:ind w:left="0"/>
              <w:jc w:val="right"/>
            </w:pPr>
          </w:p>
        </w:tc>
        <w:tc>
          <w:tcPr>
            <w:tcW w:w="522" w:type="pct"/>
            <w:tcBorders>
              <w:left w:val="nil"/>
            </w:tcBorders>
            <w:noWrap/>
            <w:vAlign w:val="center"/>
            <w:hideMark/>
          </w:tcPr>
          <w:p w14:paraId="19BE22C2" w14:textId="77777777" w:rsidR="000A4C4A" w:rsidRPr="005F76D9" w:rsidRDefault="000A4C4A" w:rsidP="00A24A3B">
            <w:pPr>
              <w:pStyle w:val="Tabletext1"/>
              <w:ind w:left="0"/>
              <w:jc w:val="right"/>
              <w:rPr>
                <w:rFonts w:cs="Calibri"/>
                <w:color w:val="000000"/>
              </w:rPr>
            </w:pPr>
          </w:p>
        </w:tc>
      </w:tr>
      <w:tr w:rsidR="000A4C4A" w:rsidRPr="005F76D9" w14:paraId="56199F4C" w14:textId="77777777" w:rsidTr="00A24A3B">
        <w:trPr>
          <w:trHeight w:val="255"/>
        </w:trPr>
        <w:tc>
          <w:tcPr>
            <w:tcW w:w="2906" w:type="pct"/>
            <w:noWrap/>
            <w:hideMark/>
          </w:tcPr>
          <w:p w14:paraId="2414F63D" w14:textId="77777777" w:rsidR="000A4C4A" w:rsidRPr="005F76D9" w:rsidRDefault="000A4C4A" w:rsidP="00970677">
            <w:pPr>
              <w:pStyle w:val="Tabletext1"/>
              <w:ind w:left="284"/>
              <w:rPr>
                <w:rFonts w:cs="Calibri"/>
                <w:color w:val="000000"/>
              </w:rPr>
            </w:pPr>
            <w:r w:rsidRPr="005F76D9">
              <w:rPr>
                <w:rFonts w:cs="Calibri"/>
                <w:color w:val="000000"/>
              </w:rPr>
              <w:t>0.06</w:t>
            </w:r>
          </w:p>
        </w:tc>
        <w:tc>
          <w:tcPr>
            <w:tcW w:w="550" w:type="pct"/>
            <w:noWrap/>
            <w:vAlign w:val="center"/>
            <w:hideMark/>
          </w:tcPr>
          <w:p w14:paraId="533757A7" w14:textId="77777777" w:rsidR="000A4C4A" w:rsidRPr="005F76D9" w:rsidRDefault="000A4C4A" w:rsidP="00A24A3B">
            <w:pPr>
              <w:pStyle w:val="Tabletext1"/>
              <w:ind w:left="0"/>
              <w:jc w:val="right"/>
              <w:rPr>
                <w:rFonts w:cs="Calibri"/>
                <w:color w:val="000000"/>
              </w:rPr>
            </w:pPr>
            <w:r w:rsidRPr="00671B7C">
              <w:t>$49,991</w:t>
            </w:r>
          </w:p>
        </w:tc>
        <w:tc>
          <w:tcPr>
            <w:tcW w:w="472" w:type="pct"/>
            <w:noWrap/>
            <w:vAlign w:val="center"/>
            <w:hideMark/>
          </w:tcPr>
          <w:p w14:paraId="0D2A852D" w14:textId="77777777" w:rsidR="000A4C4A" w:rsidRPr="005F76D9" w:rsidRDefault="000A4C4A" w:rsidP="00A24A3B">
            <w:pPr>
              <w:pStyle w:val="Tabletext1"/>
              <w:ind w:left="0"/>
              <w:jc w:val="right"/>
              <w:rPr>
                <w:rFonts w:cs="Calibri"/>
                <w:color w:val="000000"/>
              </w:rPr>
            </w:pPr>
            <w:r w:rsidRPr="00671B7C">
              <w:t>0.3616</w:t>
            </w:r>
          </w:p>
        </w:tc>
        <w:tc>
          <w:tcPr>
            <w:tcW w:w="550" w:type="pct"/>
            <w:noWrap/>
            <w:vAlign w:val="center"/>
            <w:hideMark/>
          </w:tcPr>
          <w:p w14:paraId="3343CB37" w14:textId="77777777" w:rsidR="000A4C4A" w:rsidRPr="005F76D9" w:rsidRDefault="000A4C4A" w:rsidP="00A24A3B">
            <w:pPr>
              <w:pStyle w:val="Tabletext1"/>
              <w:ind w:left="0"/>
              <w:jc w:val="right"/>
              <w:rPr>
                <w:rFonts w:cs="Calibri"/>
                <w:color w:val="000000"/>
              </w:rPr>
            </w:pPr>
            <w:r w:rsidRPr="00671B7C">
              <w:t>$138,253</w:t>
            </w:r>
          </w:p>
        </w:tc>
        <w:tc>
          <w:tcPr>
            <w:tcW w:w="522" w:type="pct"/>
            <w:noWrap/>
            <w:vAlign w:val="center"/>
            <w:hideMark/>
          </w:tcPr>
          <w:p w14:paraId="4AD7DBD7" w14:textId="77777777" w:rsidR="000A4C4A" w:rsidRPr="005F76D9" w:rsidRDefault="000A4C4A" w:rsidP="00A24A3B">
            <w:pPr>
              <w:pStyle w:val="Tabletext1"/>
              <w:ind w:left="0"/>
              <w:jc w:val="right"/>
              <w:rPr>
                <w:rFonts w:cs="Calibri"/>
                <w:color w:val="000000"/>
              </w:rPr>
            </w:pPr>
            <w:r w:rsidRPr="00671B7C">
              <w:t>47%</w:t>
            </w:r>
          </w:p>
        </w:tc>
      </w:tr>
      <w:tr w:rsidR="000A4C4A" w:rsidRPr="005F76D9" w14:paraId="4909DC7B" w14:textId="77777777" w:rsidTr="00A24A3B">
        <w:trPr>
          <w:trHeight w:val="255"/>
        </w:trPr>
        <w:tc>
          <w:tcPr>
            <w:tcW w:w="2906" w:type="pct"/>
            <w:noWrap/>
            <w:hideMark/>
          </w:tcPr>
          <w:p w14:paraId="3000F86F" w14:textId="77777777" w:rsidR="000A4C4A" w:rsidRPr="005F76D9" w:rsidRDefault="000A4C4A" w:rsidP="00970677">
            <w:pPr>
              <w:pStyle w:val="Tabletext1"/>
              <w:ind w:left="284"/>
              <w:rPr>
                <w:rFonts w:cs="Calibri"/>
                <w:color w:val="000000"/>
              </w:rPr>
            </w:pPr>
            <w:r w:rsidRPr="005F76D9">
              <w:rPr>
                <w:rFonts w:cs="Calibri"/>
                <w:color w:val="000000"/>
              </w:rPr>
              <w:t>0.18</w:t>
            </w:r>
          </w:p>
        </w:tc>
        <w:tc>
          <w:tcPr>
            <w:tcW w:w="550" w:type="pct"/>
            <w:noWrap/>
            <w:vAlign w:val="center"/>
            <w:hideMark/>
          </w:tcPr>
          <w:p w14:paraId="30477B4A" w14:textId="77777777" w:rsidR="000A4C4A" w:rsidRPr="005F76D9" w:rsidRDefault="000A4C4A" w:rsidP="00A24A3B">
            <w:pPr>
              <w:pStyle w:val="Tabletext1"/>
              <w:ind w:left="0"/>
              <w:jc w:val="right"/>
              <w:rPr>
                <w:rFonts w:cs="Calibri"/>
                <w:color w:val="000000"/>
              </w:rPr>
            </w:pPr>
            <w:r w:rsidRPr="00671B7C">
              <w:t>$49,991</w:t>
            </w:r>
          </w:p>
        </w:tc>
        <w:tc>
          <w:tcPr>
            <w:tcW w:w="472" w:type="pct"/>
            <w:noWrap/>
            <w:vAlign w:val="center"/>
            <w:hideMark/>
          </w:tcPr>
          <w:p w14:paraId="41518BDE" w14:textId="77777777" w:rsidR="000A4C4A" w:rsidRPr="005F76D9" w:rsidRDefault="000A4C4A" w:rsidP="00A24A3B">
            <w:pPr>
              <w:pStyle w:val="Tabletext1"/>
              <w:ind w:left="0"/>
              <w:jc w:val="right"/>
              <w:rPr>
                <w:rFonts w:cs="Calibri"/>
                <w:color w:val="000000"/>
              </w:rPr>
            </w:pPr>
            <w:r w:rsidRPr="00671B7C">
              <w:t>0.7016</w:t>
            </w:r>
          </w:p>
        </w:tc>
        <w:tc>
          <w:tcPr>
            <w:tcW w:w="550" w:type="pct"/>
            <w:noWrap/>
            <w:vAlign w:val="center"/>
            <w:hideMark/>
          </w:tcPr>
          <w:p w14:paraId="706F9026" w14:textId="77777777" w:rsidR="000A4C4A" w:rsidRPr="005F76D9" w:rsidRDefault="000A4C4A" w:rsidP="00A24A3B">
            <w:pPr>
              <w:pStyle w:val="Tabletext1"/>
              <w:ind w:left="0"/>
              <w:jc w:val="right"/>
              <w:rPr>
                <w:rFonts w:cs="Calibri"/>
                <w:color w:val="000000"/>
              </w:rPr>
            </w:pPr>
            <w:r w:rsidRPr="00671B7C">
              <w:t>$71,251</w:t>
            </w:r>
          </w:p>
        </w:tc>
        <w:tc>
          <w:tcPr>
            <w:tcW w:w="522" w:type="pct"/>
            <w:noWrap/>
            <w:vAlign w:val="center"/>
            <w:hideMark/>
          </w:tcPr>
          <w:p w14:paraId="02F9ED1B" w14:textId="77777777" w:rsidR="000A4C4A" w:rsidRPr="005F76D9" w:rsidRDefault="000A4C4A" w:rsidP="00A24A3B">
            <w:pPr>
              <w:pStyle w:val="Tabletext1"/>
              <w:ind w:left="0"/>
              <w:jc w:val="right"/>
              <w:rPr>
                <w:rFonts w:cs="Calibri"/>
                <w:color w:val="000000"/>
              </w:rPr>
            </w:pPr>
            <w:r w:rsidRPr="00671B7C">
              <w:t>-24%</w:t>
            </w:r>
          </w:p>
        </w:tc>
      </w:tr>
      <w:tr w:rsidR="000A4C4A" w:rsidRPr="005F76D9" w14:paraId="36DDC662" w14:textId="77777777" w:rsidTr="00A24A3B">
        <w:trPr>
          <w:trHeight w:val="255"/>
        </w:trPr>
        <w:tc>
          <w:tcPr>
            <w:tcW w:w="2906" w:type="pct"/>
            <w:tcBorders>
              <w:right w:val="nil"/>
            </w:tcBorders>
            <w:noWrap/>
            <w:hideMark/>
          </w:tcPr>
          <w:p w14:paraId="1A5C32F4" w14:textId="77777777" w:rsidR="000A4C4A" w:rsidRPr="005F76D9" w:rsidRDefault="000A4C4A" w:rsidP="00A24A3B">
            <w:pPr>
              <w:pStyle w:val="Tabletext1"/>
              <w:ind w:left="0"/>
              <w:rPr>
                <w:rFonts w:cs="Calibri"/>
                <w:b/>
                <w:bCs/>
                <w:color w:val="000000"/>
              </w:rPr>
            </w:pPr>
            <w:r w:rsidRPr="005F76D9">
              <w:rPr>
                <w:rFonts w:cs="Calibri"/>
                <w:b/>
                <w:bCs/>
                <w:color w:val="000000"/>
              </w:rPr>
              <w:t>Modelled time horizon (base case: 10 years)</w:t>
            </w:r>
          </w:p>
        </w:tc>
        <w:tc>
          <w:tcPr>
            <w:tcW w:w="550" w:type="pct"/>
            <w:tcBorders>
              <w:left w:val="nil"/>
              <w:right w:val="nil"/>
            </w:tcBorders>
            <w:noWrap/>
            <w:vAlign w:val="center"/>
            <w:hideMark/>
          </w:tcPr>
          <w:p w14:paraId="5E1B8412" w14:textId="77777777" w:rsidR="000A4C4A" w:rsidRPr="005F76D9" w:rsidRDefault="000A4C4A" w:rsidP="00A24A3B">
            <w:pPr>
              <w:pStyle w:val="Tabletext1"/>
              <w:ind w:left="0"/>
              <w:jc w:val="right"/>
              <w:rPr>
                <w:rFonts w:cs="Calibri"/>
                <w:b/>
                <w:bCs/>
                <w:color w:val="000000"/>
              </w:rPr>
            </w:pPr>
          </w:p>
        </w:tc>
        <w:tc>
          <w:tcPr>
            <w:tcW w:w="472" w:type="pct"/>
            <w:tcBorders>
              <w:left w:val="nil"/>
              <w:right w:val="nil"/>
            </w:tcBorders>
            <w:noWrap/>
            <w:vAlign w:val="center"/>
            <w:hideMark/>
          </w:tcPr>
          <w:p w14:paraId="60A680AD" w14:textId="77777777" w:rsidR="000A4C4A" w:rsidRPr="005F76D9" w:rsidRDefault="000A4C4A" w:rsidP="00A24A3B">
            <w:pPr>
              <w:pStyle w:val="Tabletext1"/>
              <w:ind w:left="0"/>
              <w:jc w:val="right"/>
            </w:pPr>
          </w:p>
        </w:tc>
        <w:tc>
          <w:tcPr>
            <w:tcW w:w="550" w:type="pct"/>
            <w:tcBorders>
              <w:left w:val="nil"/>
              <w:right w:val="nil"/>
            </w:tcBorders>
            <w:noWrap/>
            <w:vAlign w:val="center"/>
            <w:hideMark/>
          </w:tcPr>
          <w:p w14:paraId="6EA35A64" w14:textId="77777777" w:rsidR="000A4C4A" w:rsidRPr="005F76D9" w:rsidRDefault="000A4C4A" w:rsidP="00A24A3B">
            <w:pPr>
              <w:pStyle w:val="Tabletext1"/>
              <w:ind w:left="0"/>
              <w:jc w:val="right"/>
            </w:pPr>
          </w:p>
        </w:tc>
        <w:tc>
          <w:tcPr>
            <w:tcW w:w="522" w:type="pct"/>
            <w:tcBorders>
              <w:left w:val="nil"/>
            </w:tcBorders>
            <w:noWrap/>
            <w:vAlign w:val="center"/>
            <w:hideMark/>
          </w:tcPr>
          <w:p w14:paraId="0BCF9D9A" w14:textId="77777777" w:rsidR="000A4C4A" w:rsidRPr="005F76D9" w:rsidRDefault="000A4C4A" w:rsidP="00A24A3B">
            <w:pPr>
              <w:pStyle w:val="Tabletext1"/>
              <w:ind w:left="0"/>
              <w:jc w:val="right"/>
              <w:rPr>
                <w:rFonts w:cs="Calibri"/>
                <w:color w:val="000000"/>
              </w:rPr>
            </w:pPr>
          </w:p>
        </w:tc>
      </w:tr>
      <w:tr w:rsidR="000A4C4A" w:rsidRPr="005F76D9" w14:paraId="2F5FDE4D" w14:textId="77777777" w:rsidTr="00A24A3B">
        <w:trPr>
          <w:trHeight w:val="300"/>
        </w:trPr>
        <w:tc>
          <w:tcPr>
            <w:tcW w:w="2906" w:type="pct"/>
            <w:noWrap/>
            <w:hideMark/>
          </w:tcPr>
          <w:p w14:paraId="7510623C" w14:textId="77777777" w:rsidR="000A4C4A" w:rsidRPr="005F76D9" w:rsidRDefault="000A4C4A" w:rsidP="00970677">
            <w:pPr>
              <w:pStyle w:val="Tabletext1"/>
              <w:ind w:left="284"/>
              <w:rPr>
                <w:rFonts w:cs="Calibri"/>
                <w:color w:val="000000"/>
              </w:rPr>
            </w:pPr>
            <w:r w:rsidRPr="005F76D9">
              <w:rPr>
                <w:rFonts w:cs="Calibri"/>
                <w:color w:val="000000"/>
              </w:rPr>
              <w:t>1 year</w:t>
            </w:r>
          </w:p>
        </w:tc>
        <w:tc>
          <w:tcPr>
            <w:tcW w:w="550" w:type="pct"/>
            <w:noWrap/>
            <w:vAlign w:val="center"/>
            <w:hideMark/>
          </w:tcPr>
          <w:p w14:paraId="10958053" w14:textId="77777777" w:rsidR="000A4C4A" w:rsidRPr="005F76D9" w:rsidRDefault="000A4C4A" w:rsidP="00A24A3B">
            <w:pPr>
              <w:pStyle w:val="Tabletext1"/>
              <w:ind w:left="0"/>
              <w:jc w:val="right"/>
              <w:rPr>
                <w:rFonts w:cs="Calibri"/>
                <w:color w:val="000000"/>
              </w:rPr>
            </w:pPr>
            <w:r w:rsidRPr="00671B7C">
              <w:t>$3,590</w:t>
            </w:r>
          </w:p>
        </w:tc>
        <w:tc>
          <w:tcPr>
            <w:tcW w:w="472" w:type="pct"/>
            <w:noWrap/>
            <w:vAlign w:val="center"/>
            <w:hideMark/>
          </w:tcPr>
          <w:p w14:paraId="5268B29D" w14:textId="77777777" w:rsidR="000A4C4A" w:rsidRPr="005F76D9" w:rsidRDefault="000A4C4A" w:rsidP="00A24A3B">
            <w:pPr>
              <w:pStyle w:val="Tabletext1"/>
              <w:ind w:left="0"/>
              <w:jc w:val="right"/>
              <w:rPr>
                <w:rFonts w:cs="Calibri"/>
                <w:color w:val="000000"/>
              </w:rPr>
            </w:pPr>
            <w:r w:rsidRPr="00671B7C">
              <w:t>0.0164</w:t>
            </w:r>
          </w:p>
        </w:tc>
        <w:tc>
          <w:tcPr>
            <w:tcW w:w="550" w:type="pct"/>
            <w:noWrap/>
            <w:vAlign w:val="center"/>
            <w:hideMark/>
          </w:tcPr>
          <w:p w14:paraId="15990F4C" w14:textId="77777777" w:rsidR="000A4C4A" w:rsidRPr="005F76D9" w:rsidRDefault="000A4C4A" w:rsidP="00A24A3B">
            <w:pPr>
              <w:pStyle w:val="Tabletext1"/>
              <w:ind w:left="0"/>
              <w:jc w:val="right"/>
              <w:rPr>
                <w:rFonts w:cs="Calibri"/>
                <w:color w:val="000000"/>
              </w:rPr>
            </w:pPr>
            <w:r w:rsidRPr="00671B7C">
              <w:t>$218,409</w:t>
            </w:r>
          </w:p>
        </w:tc>
        <w:tc>
          <w:tcPr>
            <w:tcW w:w="522" w:type="pct"/>
            <w:noWrap/>
            <w:vAlign w:val="center"/>
            <w:hideMark/>
          </w:tcPr>
          <w:p w14:paraId="2BEC9D6B" w14:textId="77777777" w:rsidR="000A4C4A" w:rsidRPr="005F76D9" w:rsidRDefault="000A4C4A" w:rsidP="00A24A3B">
            <w:pPr>
              <w:pStyle w:val="Tabletext1"/>
              <w:ind w:left="0"/>
              <w:jc w:val="right"/>
              <w:rPr>
                <w:rFonts w:cs="Calibri"/>
                <w:color w:val="000000"/>
              </w:rPr>
            </w:pPr>
            <w:r w:rsidRPr="00671B7C">
              <w:t>132%</w:t>
            </w:r>
          </w:p>
        </w:tc>
      </w:tr>
      <w:tr w:rsidR="000A4C4A" w:rsidRPr="005F76D9" w14:paraId="29C0915F" w14:textId="77777777" w:rsidTr="00A24A3B">
        <w:trPr>
          <w:trHeight w:val="315"/>
        </w:trPr>
        <w:tc>
          <w:tcPr>
            <w:tcW w:w="2906" w:type="pct"/>
            <w:noWrap/>
            <w:hideMark/>
          </w:tcPr>
          <w:p w14:paraId="0BDFEDF1" w14:textId="77777777" w:rsidR="000A4C4A" w:rsidRPr="005F76D9" w:rsidRDefault="000A4C4A" w:rsidP="00680D08">
            <w:pPr>
              <w:pStyle w:val="Tabletext1"/>
              <w:ind w:left="284"/>
              <w:rPr>
                <w:rFonts w:cs="Calibri"/>
                <w:color w:val="000000"/>
              </w:rPr>
            </w:pPr>
            <w:r w:rsidRPr="005F76D9">
              <w:rPr>
                <w:rFonts w:cs="Calibri"/>
                <w:color w:val="000000"/>
              </w:rPr>
              <w:t>3 years</w:t>
            </w:r>
          </w:p>
        </w:tc>
        <w:tc>
          <w:tcPr>
            <w:tcW w:w="550" w:type="pct"/>
            <w:noWrap/>
            <w:vAlign w:val="center"/>
            <w:hideMark/>
          </w:tcPr>
          <w:p w14:paraId="28B7F258" w14:textId="77777777" w:rsidR="000A4C4A" w:rsidRPr="005F76D9" w:rsidRDefault="000A4C4A" w:rsidP="00A24A3B">
            <w:pPr>
              <w:pStyle w:val="Tabletext1"/>
              <w:ind w:left="0"/>
              <w:jc w:val="right"/>
              <w:rPr>
                <w:rFonts w:cs="Calibri"/>
                <w:color w:val="000000"/>
              </w:rPr>
            </w:pPr>
            <w:r w:rsidRPr="00671B7C">
              <w:t>$12,974</w:t>
            </w:r>
          </w:p>
        </w:tc>
        <w:tc>
          <w:tcPr>
            <w:tcW w:w="472" w:type="pct"/>
            <w:noWrap/>
            <w:vAlign w:val="center"/>
            <w:hideMark/>
          </w:tcPr>
          <w:p w14:paraId="33D8F1DC" w14:textId="77777777" w:rsidR="000A4C4A" w:rsidRPr="005F76D9" w:rsidRDefault="000A4C4A" w:rsidP="00A24A3B">
            <w:pPr>
              <w:pStyle w:val="Tabletext1"/>
              <w:ind w:left="0"/>
              <w:jc w:val="right"/>
              <w:rPr>
                <w:rFonts w:cs="Calibri"/>
                <w:color w:val="000000"/>
              </w:rPr>
            </w:pPr>
            <w:r w:rsidRPr="00671B7C">
              <w:t>0.1025</w:t>
            </w:r>
          </w:p>
        </w:tc>
        <w:tc>
          <w:tcPr>
            <w:tcW w:w="550" w:type="pct"/>
            <w:noWrap/>
            <w:vAlign w:val="center"/>
            <w:hideMark/>
          </w:tcPr>
          <w:p w14:paraId="24C3613C" w14:textId="77777777" w:rsidR="000A4C4A" w:rsidRPr="005F76D9" w:rsidRDefault="000A4C4A" w:rsidP="00A24A3B">
            <w:pPr>
              <w:pStyle w:val="Tabletext1"/>
              <w:ind w:left="0"/>
              <w:jc w:val="right"/>
              <w:rPr>
                <w:rFonts w:cs="Calibri"/>
                <w:color w:val="000000"/>
              </w:rPr>
            </w:pPr>
            <w:r w:rsidRPr="00671B7C">
              <w:t>$126,578</w:t>
            </w:r>
          </w:p>
        </w:tc>
        <w:tc>
          <w:tcPr>
            <w:tcW w:w="522" w:type="pct"/>
            <w:noWrap/>
            <w:vAlign w:val="center"/>
            <w:hideMark/>
          </w:tcPr>
          <w:p w14:paraId="76760C3E" w14:textId="77777777" w:rsidR="000A4C4A" w:rsidRPr="005F76D9" w:rsidRDefault="000A4C4A" w:rsidP="00A24A3B">
            <w:pPr>
              <w:pStyle w:val="Tabletext1"/>
              <w:ind w:left="0"/>
              <w:jc w:val="right"/>
              <w:rPr>
                <w:rFonts w:cs="Calibri"/>
                <w:color w:val="000000"/>
              </w:rPr>
            </w:pPr>
            <w:r w:rsidRPr="00671B7C">
              <w:t>35%</w:t>
            </w:r>
          </w:p>
        </w:tc>
      </w:tr>
      <w:tr w:rsidR="000A4C4A" w:rsidRPr="005F76D9" w14:paraId="286F0A34" w14:textId="77777777" w:rsidTr="00A24A3B">
        <w:trPr>
          <w:trHeight w:val="255"/>
        </w:trPr>
        <w:tc>
          <w:tcPr>
            <w:tcW w:w="2906" w:type="pct"/>
            <w:tcBorders>
              <w:bottom w:val="single" w:sz="4" w:space="0" w:color="auto"/>
              <w:right w:val="nil"/>
            </w:tcBorders>
            <w:noWrap/>
            <w:hideMark/>
          </w:tcPr>
          <w:p w14:paraId="5B95C440" w14:textId="77777777" w:rsidR="000A4C4A" w:rsidRPr="005F76D9" w:rsidRDefault="000A4C4A" w:rsidP="00A24A3B">
            <w:pPr>
              <w:pStyle w:val="Tabletext1"/>
              <w:ind w:left="0"/>
              <w:rPr>
                <w:rFonts w:cs="Calibri"/>
                <w:b/>
                <w:bCs/>
                <w:color w:val="000000"/>
              </w:rPr>
            </w:pPr>
            <w:r w:rsidRPr="005F76D9">
              <w:rPr>
                <w:rFonts w:cs="Calibri"/>
                <w:b/>
                <w:bCs/>
                <w:color w:val="000000"/>
              </w:rPr>
              <w:t>Health state transitions, Ig</w:t>
            </w:r>
          </w:p>
        </w:tc>
        <w:tc>
          <w:tcPr>
            <w:tcW w:w="550" w:type="pct"/>
            <w:tcBorders>
              <w:left w:val="nil"/>
              <w:bottom w:val="single" w:sz="4" w:space="0" w:color="auto"/>
              <w:right w:val="nil"/>
            </w:tcBorders>
            <w:noWrap/>
            <w:vAlign w:val="center"/>
            <w:hideMark/>
          </w:tcPr>
          <w:p w14:paraId="1B96A3D1" w14:textId="77777777" w:rsidR="000A4C4A" w:rsidRPr="005F76D9" w:rsidRDefault="000A4C4A" w:rsidP="00A24A3B">
            <w:pPr>
              <w:pStyle w:val="Tabletext1"/>
              <w:ind w:left="0"/>
              <w:jc w:val="right"/>
              <w:rPr>
                <w:rFonts w:cs="Calibri"/>
                <w:b/>
                <w:bCs/>
                <w:color w:val="000000"/>
              </w:rPr>
            </w:pPr>
          </w:p>
        </w:tc>
        <w:tc>
          <w:tcPr>
            <w:tcW w:w="472" w:type="pct"/>
            <w:tcBorders>
              <w:left w:val="nil"/>
              <w:bottom w:val="single" w:sz="4" w:space="0" w:color="auto"/>
              <w:right w:val="nil"/>
            </w:tcBorders>
            <w:noWrap/>
            <w:vAlign w:val="center"/>
            <w:hideMark/>
          </w:tcPr>
          <w:p w14:paraId="7D175739" w14:textId="77777777" w:rsidR="000A4C4A" w:rsidRPr="005F76D9" w:rsidRDefault="000A4C4A" w:rsidP="00A24A3B">
            <w:pPr>
              <w:pStyle w:val="Tabletext1"/>
              <w:ind w:left="0"/>
              <w:jc w:val="right"/>
            </w:pPr>
          </w:p>
        </w:tc>
        <w:tc>
          <w:tcPr>
            <w:tcW w:w="550" w:type="pct"/>
            <w:tcBorders>
              <w:left w:val="nil"/>
              <w:bottom w:val="single" w:sz="4" w:space="0" w:color="auto"/>
              <w:right w:val="nil"/>
            </w:tcBorders>
            <w:noWrap/>
            <w:vAlign w:val="center"/>
            <w:hideMark/>
          </w:tcPr>
          <w:p w14:paraId="037A1ECC" w14:textId="77777777" w:rsidR="000A4C4A" w:rsidRPr="005F76D9" w:rsidRDefault="000A4C4A" w:rsidP="00A24A3B">
            <w:pPr>
              <w:pStyle w:val="Tabletext1"/>
              <w:ind w:left="0"/>
              <w:jc w:val="right"/>
            </w:pPr>
          </w:p>
        </w:tc>
        <w:tc>
          <w:tcPr>
            <w:tcW w:w="522" w:type="pct"/>
            <w:tcBorders>
              <w:left w:val="nil"/>
              <w:bottom w:val="single" w:sz="4" w:space="0" w:color="auto"/>
            </w:tcBorders>
            <w:noWrap/>
            <w:vAlign w:val="center"/>
            <w:hideMark/>
          </w:tcPr>
          <w:p w14:paraId="7EFC1999" w14:textId="77777777" w:rsidR="000A4C4A" w:rsidRPr="005F76D9" w:rsidRDefault="000A4C4A" w:rsidP="00A24A3B">
            <w:pPr>
              <w:pStyle w:val="Tabletext1"/>
              <w:ind w:left="0"/>
              <w:jc w:val="right"/>
              <w:rPr>
                <w:rFonts w:cs="Calibri"/>
                <w:color w:val="000000"/>
              </w:rPr>
            </w:pPr>
          </w:p>
        </w:tc>
      </w:tr>
      <w:tr w:rsidR="000A4C4A" w:rsidRPr="005F76D9" w14:paraId="192D730E" w14:textId="77777777" w:rsidTr="00A24A3B">
        <w:trPr>
          <w:trHeight w:val="255"/>
        </w:trPr>
        <w:tc>
          <w:tcPr>
            <w:tcW w:w="2906" w:type="pct"/>
            <w:tcBorders>
              <w:right w:val="nil"/>
            </w:tcBorders>
            <w:noWrap/>
            <w:hideMark/>
          </w:tcPr>
          <w:p w14:paraId="46E73E0A" w14:textId="77777777" w:rsidR="000A4C4A" w:rsidRPr="005F76D9" w:rsidRDefault="000A4C4A" w:rsidP="00A24A3B">
            <w:pPr>
              <w:pStyle w:val="Tabletext1"/>
              <w:ind w:left="0"/>
              <w:rPr>
                <w:rFonts w:cs="Calibri"/>
                <w:color w:val="000000"/>
              </w:rPr>
            </w:pPr>
            <w:r w:rsidRPr="005F76D9">
              <w:rPr>
                <w:rFonts w:cs="Calibri"/>
                <w:color w:val="000000"/>
              </w:rPr>
              <w:t>Treatment failure (base case: 3.1% per cycle in State A)</w:t>
            </w:r>
          </w:p>
        </w:tc>
        <w:tc>
          <w:tcPr>
            <w:tcW w:w="550" w:type="pct"/>
            <w:tcBorders>
              <w:left w:val="nil"/>
              <w:right w:val="nil"/>
            </w:tcBorders>
            <w:noWrap/>
            <w:vAlign w:val="center"/>
            <w:hideMark/>
          </w:tcPr>
          <w:p w14:paraId="3043D49C" w14:textId="77777777" w:rsidR="000A4C4A" w:rsidRPr="005F76D9" w:rsidRDefault="000A4C4A" w:rsidP="00A24A3B">
            <w:pPr>
              <w:pStyle w:val="Tabletext1"/>
              <w:ind w:left="0"/>
              <w:jc w:val="right"/>
              <w:rPr>
                <w:rFonts w:cs="Calibri"/>
                <w:color w:val="000000"/>
              </w:rPr>
            </w:pPr>
          </w:p>
        </w:tc>
        <w:tc>
          <w:tcPr>
            <w:tcW w:w="472" w:type="pct"/>
            <w:tcBorders>
              <w:left w:val="nil"/>
              <w:right w:val="nil"/>
            </w:tcBorders>
            <w:noWrap/>
            <w:vAlign w:val="center"/>
            <w:hideMark/>
          </w:tcPr>
          <w:p w14:paraId="35402962" w14:textId="77777777" w:rsidR="000A4C4A" w:rsidRPr="005F76D9" w:rsidRDefault="000A4C4A" w:rsidP="00A24A3B">
            <w:pPr>
              <w:pStyle w:val="Tabletext1"/>
              <w:ind w:left="0"/>
              <w:jc w:val="right"/>
            </w:pPr>
          </w:p>
        </w:tc>
        <w:tc>
          <w:tcPr>
            <w:tcW w:w="550" w:type="pct"/>
            <w:tcBorders>
              <w:left w:val="nil"/>
              <w:right w:val="nil"/>
            </w:tcBorders>
            <w:noWrap/>
            <w:vAlign w:val="center"/>
            <w:hideMark/>
          </w:tcPr>
          <w:p w14:paraId="79805DBA" w14:textId="77777777" w:rsidR="000A4C4A" w:rsidRPr="005F76D9" w:rsidRDefault="000A4C4A" w:rsidP="00A24A3B">
            <w:pPr>
              <w:pStyle w:val="Tabletext1"/>
              <w:ind w:left="0"/>
              <w:jc w:val="right"/>
            </w:pPr>
          </w:p>
        </w:tc>
        <w:tc>
          <w:tcPr>
            <w:tcW w:w="522" w:type="pct"/>
            <w:tcBorders>
              <w:left w:val="nil"/>
            </w:tcBorders>
            <w:noWrap/>
            <w:vAlign w:val="center"/>
            <w:hideMark/>
          </w:tcPr>
          <w:p w14:paraId="4C98B390" w14:textId="77777777" w:rsidR="000A4C4A" w:rsidRPr="005F76D9" w:rsidRDefault="000A4C4A" w:rsidP="00A24A3B">
            <w:pPr>
              <w:pStyle w:val="Tabletext1"/>
              <w:ind w:left="0"/>
              <w:jc w:val="right"/>
              <w:rPr>
                <w:rFonts w:cs="Calibri"/>
                <w:color w:val="000000"/>
              </w:rPr>
            </w:pPr>
          </w:p>
        </w:tc>
      </w:tr>
      <w:tr w:rsidR="000A4C4A" w:rsidRPr="005F76D9" w14:paraId="0EBD74EF" w14:textId="77777777" w:rsidTr="00A24A3B">
        <w:trPr>
          <w:trHeight w:val="255"/>
        </w:trPr>
        <w:tc>
          <w:tcPr>
            <w:tcW w:w="2906" w:type="pct"/>
            <w:tcBorders>
              <w:bottom w:val="single" w:sz="4" w:space="0" w:color="auto"/>
            </w:tcBorders>
            <w:noWrap/>
            <w:hideMark/>
          </w:tcPr>
          <w:p w14:paraId="7FA3AE75" w14:textId="77777777" w:rsidR="000A4C4A" w:rsidRPr="005F76D9" w:rsidRDefault="000A4C4A" w:rsidP="00680D08">
            <w:pPr>
              <w:pStyle w:val="Tabletext1"/>
              <w:ind w:left="284"/>
              <w:rPr>
                <w:rFonts w:cs="Calibri"/>
                <w:color w:val="000000"/>
              </w:rPr>
            </w:pPr>
            <w:r w:rsidRPr="005F76D9">
              <w:rPr>
                <w:rFonts w:cs="Calibri"/>
                <w:color w:val="000000"/>
              </w:rPr>
              <w:t>8.72% per cycle in State A</w:t>
            </w:r>
          </w:p>
        </w:tc>
        <w:tc>
          <w:tcPr>
            <w:tcW w:w="550" w:type="pct"/>
            <w:tcBorders>
              <w:bottom w:val="single" w:sz="4" w:space="0" w:color="auto"/>
            </w:tcBorders>
            <w:noWrap/>
            <w:vAlign w:val="center"/>
            <w:hideMark/>
          </w:tcPr>
          <w:p w14:paraId="4568BE8E" w14:textId="77777777" w:rsidR="000A4C4A" w:rsidRPr="005F76D9" w:rsidRDefault="000A4C4A" w:rsidP="00A24A3B">
            <w:pPr>
              <w:pStyle w:val="Tabletext1"/>
              <w:ind w:left="0"/>
              <w:jc w:val="right"/>
              <w:rPr>
                <w:rFonts w:cs="Calibri"/>
                <w:color w:val="000000"/>
              </w:rPr>
            </w:pPr>
            <w:r w:rsidRPr="00671B7C">
              <w:t>-$2,030</w:t>
            </w:r>
          </w:p>
        </w:tc>
        <w:tc>
          <w:tcPr>
            <w:tcW w:w="472" w:type="pct"/>
            <w:tcBorders>
              <w:bottom w:val="single" w:sz="4" w:space="0" w:color="auto"/>
            </w:tcBorders>
            <w:noWrap/>
            <w:vAlign w:val="center"/>
            <w:hideMark/>
          </w:tcPr>
          <w:p w14:paraId="5E6337C2" w14:textId="77777777" w:rsidR="000A4C4A" w:rsidRPr="005F76D9" w:rsidRDefault="000A4C4A" w:rsidP="00A24A3B">
            <w:pPr>
              <w:pStyle w:val="Tabletext1"/>
              <w:ind w:left="0"/>
              <w:jc w:val="right"/>
              <w:rPr>
                <w:rFonts w:cs="Calibri"/>
                <w:color w:val="000000"/>
              </w:rPr>
            </w:pPr>
            <w:r w:rsidRPr="00671B7C">
              <w:t>-0.0357</w:t>
            </w:r>
          </w:p>
        </w:tc>
        <w:tc>
          <w:tcPr>
            <w:tcW w:w="550" w:type="pct"/>
            <w:tcBorders>
              <w:bottom w:val="single" w:sz="4" w:space="0" w:color="auto"/>
            </w:tcBorders>
            <w:noWrap/>
            <w:vAlign w:val="center"/>
            <w:hideMark/>
          </w:tcPr>
          <w:p w14:paraId="1F5EF614" w14:textId="77777777" w:rsidR="000A4C4A" w:rsidRPr="005F76D9" w:rsidRDefault="000A4C4A" w:rsidP="00A24A3B">
            <w:pPr>
              <w:pStyle w:val="Tabletext1"/>
              <w:ind w:left="0"/>
              <w:jc w:val="right"/>
              <w:rPr>
                <w:rFonts w:cs="Calibri"/>
                <w:color w:val="000000"/>
              </w:rPr>
            </w:pPr>
            <w:r w:rsidRPr="00671B7C">
              <w:t>Less costly, less effective (ICER: $56,869)</w:t>
            </w:r>
          </w:p>
        </w:tc>
        <w:tc>
          <w:tcPr>
            <w:tcW w:w="522" w:type="pct"/>
            <w:tcBorders>
              <w:bottom w:val="single" w:sz="4" w:space="0" w:color="auto"/>
            </w:tcBorders>
            <w:noWrap/>
            <w:vAlign w:val="center"/>
            <w:hideMark/>
          </w:tcPr>
          <w:p w14:paraId="191326A0" w14:textId="77777777" w:rsidR="000A4C4A" w:rsidRPr="005F76D9" w:rsidRDefault="000A4C4A" w:rsidP="00A24A3B">
            <w:pPr>
              <w:pStyle w:val="Tabletext1"/>
              <w:ind w:left="0"/>
              <w:jc w:val="right"/>
              <w:rPr>
                <w:rFonts w:cs="Calibri"/>
                <w:color w:val="000000"/>
              </w:rPr>
            </w:pPr>
            <w:r w:rsidRPr="00671B7C">
              <w:t>Less costly, less effective (ICER: $56,869)</w:t>
            </w:r>
          </w:p>
        </w:tc>
      </w:tr>
      <w:tr w:rsidR="000A4C4A" w:rsidRPr="005F76D9" w14:paraId="358C6C8A" w14:textId="77777777" w:rsidTr="00A24A3B">
        <w:trPr>
          <w:trHeight w:val="255"/>
        </w:trPr>
        <w:tc>
          <w:tcPr>
            <w:tcW w:w="2906" w:type="pct"/>
            <w:tcBorders>
              <w:right w:val="nil"/>
            </w:tcBorders>
            <w:noWrap/>
            <w:hideMark/>
          </w:tcPr>
          <w:p w14:paraId="153BC021" w14:textId="77777777" w:rsidR="000A4C4A" w:rsidRPr="005F76D9" w:rsidRDefault="000A4C4A" w:rsidP="00A24A3B">
            <w:pPr>
              <w:pStyle w:val="Tabletext1"/>
              <w:ind w:left="0"/>
              <w:rPr>
                <w:rFonts w:cs="Calibri"/>
                <w:color w:val="000000"/>
              </w:rPr>
            </w:pPr>
            <w:r w:rsidRPr="005F76D9">
              <w:rPr>
                <w:rFonts w:cs="Calibri"/>
                <w:color w:val="000000"/>
              </w:rPr>
              <w:t>Proportion of patients relapsing in remission health state (base case: 3.8%)</w:t>
            </w:r>
          </w:p>
        </w:tc>
        <w:tc>
          <w:tcPr>
            <w:tcW w:w="550" w:type="pct"/>
            <w:tcBorders>
              <w:left w:val="nil"/>
              <w:right w:val="nil"/>
            </w:tcBorders>
            <w:noWrap/>
            <w:vAlign w:val="center"/>
            <w:hideMark/>
          </w:tcPr>
          <w:p w14:paraId="30467A85" w14:textId="77777777" w:rsidR="000A4C4A" w:rsidRPr="005F76D9" w:rsidRDefault="000A4C4A" w:rsidP="00A24A3B">
            <w:pPr>
              <w:pStyle w:val="Tabletext1"/>
              <w:ind w:left="0"/>
              <w:jc w:val="right"/>
              <w:rPr>
                <w:rFonts w:cs="Calibri"/>
                <w:color w:val="000000"/>
              </w:rPr>
            </w:pPr>
          </w:p>
        </w:tc>
        <w:tc>
          <w:tcPr>
            <w:tcW w:w="472" w:type="pct"/>
            <w:tcBorders>
              <w:left w:val="nil"/>
              <w:right w:val="nil"/>
            </w:tcBorders>
            <w:noWrap/>
            <w:vAlign w:val="center"/>
            <w:hideMark/>
          </w:tcPr>
          <w:p w14:paraId="1AD71390" w14:textId="77777777" w:rsidR="000A4C4A" w:rsidRPr="005F76D9" w:rsidRDefault="000A4C4A" w:rsidP="00A24A3B">
            <w:pPr>
              <w:pStyle w:val="Tabletext1"/>
              <w:ind w:left="0"/>
              <w:jc w:val="right"/>
            </w:pPr>
          </w:p>
        </w:tc>
        <w:tc>
          <w:tcPr>
            <w:tcW w:w="550" w:type="pct"/>
            <w:tcBorders>
              <w:left w:val="nil"/>
              <w:right w:val="nil"/>
            </w:tcBorders>
            <w:noWrap/>
            <w:vAlign w:val="center"/>
            <w:hideMark/>
          </w:tcPr>
          <w:p w14:paraId="48164D95" w14:textId="77777777" w:rsidR="000A4C4A" w:rsidRPr="005F76D9" w:rsidRDefault="000A4C4A" w:rsidP="00A24A3B">
            <w:pPr>
              <w:pStyle w:val="Tabletext1"/>
              <w:ind w:left="0"/>
              <w:jc w:val="right"/>
            </w:pPr>
          </w:p>
        </w:tc>
        <w:tc>
          <w:tcPr>
            <w:tcW w:w="522" w:type="pct"/>
            <w:tcBorders>
              <w:left w:val="nil"/>
            </w:tcBorders>
            <w:noWrap/>
            <w:vAlign w:val="center"/>
            <w:hideMark/>
          </w:tcPr>
          <w:p w14:paraId="1AAB37E8" w14:textId="77777777" w:rsidR="000A4C4A" w:rsidRPr="005F76D9" w:rsidRDefault="000A4C4A" w:rsidP="00A24A3B">
            <w:pPr>
              <w:pStyle w:val="Tabletext1"/>
              <w:ind w:left="0"/>
              <w:jc w:val="right"/>
              <w:rPr>
                <w:rFonts w:cs="Calibri"/>
                <w:color w:val="000000"/>
              </w:rPr>
            </w:pPr>
          </w:p>
        </w:tc>
      </w:tr>
      <w:tr w:rsidR="000A4C4A" w:rsidRPr="005F76D9" w14:paraId="52D7905F" w14:textId="77777777" w:rsidTr="00A24A3B">
        <w:trPr>
          <w:trHeight w:val="255"/>
        </w:trPr>
        <w:tc>
          <w:tcPr>
            <w:tcW w:w="2906" w:type="pct"/>
            <w:noWrap/>
            <w:hideMark/>
          </w:tcPr>
          <w:p w14:paraId="672CB8E1" w14:textId="77777777" w:rsidR="000A4C4A" w:rsidRPr="005F76D9" w:rsidRDefault="000A4C4A" w:rsidP="00680D08">
            <w:pPr>
              <w:pStyle w:val="Tabletext1"/>
              <w:ind w:left="284"/>
              <w:rPr>
                <w:rFonts w:cs="Calibri"/>
                <w:color w:val="000000"/>
              </w:rPr>
            </w:pPr>
            <w:r w:rsidRPr="005F76D9">
              <w:rPr>
                <w:rFonts w:cs="Calibri"/>
                <w:color w:val="000000"/>
              </w:rPr>
              <w:t>1.50%</w:t>
            </w:r>
          </w:p>
        </w:tc>
        <w:tc>
          <w:tcPr>
            <w:tcW w:w="550" w:type="pct"/>
            <w:noWrap/>
            <w:vAlign w:val="center"/>
            <w:hideMark/>
          </w:tcPr>
          <w:p w14:paraId="39BD8C45" w14:textId="77777777" w:rsidR="000A4C4A" w:rsidRPr="005F76D9" w:rsidRDefault="000A4C4A" w:rsidP="00A24A3B">
            <w:pPr>
              <w:pStyle w:val="Tabletext1"/>
              <w:ind w:left="0"/>
              <w:jc w:val="right"/>
              <w:rPr>
                <w:rFonts w:cs="Calibri"/>
                <w:color w:val="000000"/>
              </w:rPr>
            </w:pPr>
            <w:r w:rsidRPr="00671B7C">
              <w:t>$3,932</w:t>
            </w:r>
          </w:p>
        </w:tc>
        <w:tc>
          <w:tcPr>
            <w:tcW w:w="472" w:type="pct"/>
            <w:noWrap/>
            <w:vAlign w:val="center"/>
            <w:hideMark/>
          </w:tcPr>
          <w:p w14:paraId="37BB088F" w14:textId="77777777" w:rsidR="000A4C4A" w:rsidRPr="005F76D9" w:rsidRDefault="000A4C4A" w:rsidP="00A24A3B">
            <w:pPr>
              <w:pStyle w:val="Tabletext1"/>
              <w:ind w:left="0"/>
              <w:jc w:val="right"/>
              <w:rPr>
                <w:rFonts w:cs="Calibri"/>
                <w:color w:val="000000"/>
              </w:rPr>
            </w:pPr>
            <w:r w:rsidRPr="00671B7C">
              <w:t>0.6771</w:t>
            </w:r>
          </w:p>
        </w:tc>
        <w:tc>
          <w:tcPr>
            <w:tcW w:w="550" w:type="pct"/>
            <w:noWrap/>
            <w:vAlign w:val="center"/>
            <w:hideMark/>
          </w:tcPr>
          <w:p w14:paraId="1D443975" w14:textId="77777777" w:rsidR="000A4C4A" w:rsidRPr="005F76D9" w:rsidRDefault="000A4C4A" w:rsidP="00A24A3B">
            <w:pPr>
              <w:pStyle w:val="Tabletext1"/>
              <w:ind w:left="0"/>
              <w:jc w:val="right"/>
              <w:rPr>
                <w:rFonts w:cs="Calibri"/>
                <w:color w:val="000000"/>
              </w:rPr>
            </w:pPr>
            <w:r w:rsidRPr="00671B7C">
              <w:t>$5,807</w:t>
            </w:r>
          </w:p>
        </w:tc>
        <w:tc>
          <w:tcPr>
            <w:tcW w:w="522" w:type="pct"/>
            <w:noWrap/>
            <w:vAlign w:val="center"/>
            <w:hideMark/>
          </w:tcPr>
          <w:p w14:paraId="5D5CF95F" w14:textId="77777777" w:rsidR="000A4C4A" w:rsidRPr="005F76D9" w:rsidRDefault="000A4C4A" w:rsidP="00A24A3B">
            <w:pPr>
              <w:pStyle w:val="Tabletext1"/>
              <w:ind w:left="0"/>
              <w:jc w:val="right"/>
              <w:rPr>
                <w:rFonts w:cs="Calibri"/>
                <w:color w:val="000000"/>
              </w:rPr>
            </w:pPr>
            <w:r w:rsidRPr="00671B7C">
              <w:t>-94%</w:t>
            </w:r>
          </w:p>
        </w:tc>
      </w:tr>
      <w:tr w:rsidR="000A4C4A" w:rsidRPr="005F76D9" w14:paraId="38490E62" w14:textId="77777777" w:rsidTr="00A24A3B">
        <w:trPr>
          <w:trHeight w:val="255"/>
        </w:trPr>
        <w:tc>
          <w:tcPr>
            <w:tcW w:w="2906" w:type="pct"/>
            <w:tcBorders>
              <w:bottom w:val="single" w:sz="4" w:space="0" w:color="auto"/>
            </w:tcBorders>
            <w:noWrap/>
            <w:hideMark/>
          </w:tcPr>
          <w:p w14:paraId="32CA64B4" w14:textId="77777777" w:rsidR="000A4C4A" w:rsidRPr="005F76D9" w:rsidRDefault="000A4C4A" w:rsidP="00680D08">
            <w:pPr>
              <w:pStyle w:val="Tabletext1"/>
              <w:ind w:left="284"/>
              <w:rPr>
                <w:rFonts w:cs="Calibri"/>
                <w:color w:val="000000"/>
              </w:rPr>
            </w:pPr>
            <w:r w:rsidRPr="005F76D9">
              <w:rPr>
                <w:rFonts w:cs="Calibri"/>
                <w:color w:val="000000"/>
              </w:rPr>
              <w:t>4.12%</w:t>
            </w:r>
          </w:p>
        </w:tc>
        <w:tc>
          <w:tcPr>
            <w:tcW w:w="550" w:type="pct"/>
            <w:tcBorders>
              <w:bottom w:val="single" w:sz="4" w:space="0" w:color="auto"/>
            </w:tcBorders>
            <w:noWrap/>
            <w:vAlign w:val="center"/>
            <w:hideMark/>
          </w:tcPr>
          <w:p w14:paraId="19861F37" w14:textId="77777777" w:rsidR="000A4C4A" w:rsidRPr="005F76D9" w:rsidRDefault="000A4C4A" w:rsidP="00A24A3B">
            <w:pPr>
              <w:pStyle w:val="Tabletext1"/>
              <w:ind w:left="0"/>
              <w:jc w:val="right"/>
              <w:rPr>
                <w:rFonts w:cs="Calibri"/>
                <w:color w:val="000000"/>
              </w:rPr>
            </w:pPr>
            <w:r w:rsidRPr="00671B7C">
              <w:t>$55,633</w:t>
            </w:r>
          </w:p>
        </w:tc>
        <w:tc>
          <w:tcPr>
            <w:tcW w:w="472" w:type="pct"/>
            <w:tcBorders>
              <w:bottom w:val="single" w:sz="4" w:space="0" w:color="auto"/>
            </w:tcBorders>
            <w:noWrap/>
            <w:vAlign w:val="center"/>
            <w:hideMark/>
          </w:tcPr>
          <w:p w14:paraId="496841F1" w14:textId="77777777" w:rsidR="000A4C4A" w:rsidRPr="005F76D9" w:rsidRDefault="000A4C4A" w:rsidP="00A24A3B">
            <w:pPr>
              <w:pStyle w:val="Tabletext1"/>
              <w:ind w:left="0"/>
              <w:jc w:val="right"/>
              <w:rPr>
                <w:rFonts w:cs="Calibri"/>
                <w:color w:val="000000"/>
              </w:rPr>
            </w:pPr>
            <w:r w:rsidRPr="00671B7C">
              <w:t>0.5165</w:t>
            </w:r>
          </w:p>
        </w:tc>
        <w:tc>
          <w:tcPr>
            <w:tcW w:w="550" w:type="pct"/>
            <w:tcBorders>
              <w:bottom w:val="single" w:sz="4" w:space="0" w:color="auto"/>
            </w:tcBorders>
            <w:noWrap/>
            <w:vAlign w:val="center"/>
            <w:hideMark/>
          </w:tcPr>
          <w:p w14:paraId="3FB6A6E6" w14:textId="77777777" w:rsidR="000A4C4A" w:rsidRPr="005F76D9" w:rsidRDefault="000A4C4A" w:rsidP="00A24A3B">
            <w:pPr>
              <w:pStyle w:val="Tabletext1"/>
              <w:ind w:left="0"/>
              <w:jc w:val="right"/>
              <w:rPr>
                <w:rFonts w:cs="Calibri"/>
                <w:color w:val="000000"/>
              </w:rPr>
            </w:pPr>
            <w:r w:rsidRPr="00671B7C">
              <w:t>$107,710</w:t>
            </w:r>
          </w:p>
        </w:tc>
        <w:tc>
          <w:tcPr>
            <w:tcW w:w="522" w:type="pct"/>
            <w:tcBorders>
              <w:bottom w:val="single" w:sz="4" w:space="0" w:color="auto"/>
            </w:tcBorders>
            <w:noWrap/>
            <w:vAlign w:val="center"/>
            <w:hideMark/>
          </w:tcPr>
          <w:p w14:paraId="5D2D920E" w14:textId="77777777" w:rsidR="000A4C4A" w:rsidRPr="005F76D9" w:rsidRDefault="000A4C4A" w:rsidP="00A24A3B">
            <w:pPr>
              <w:pStyle w:val="Tabletext1"/>
              <w:ind w:left="0"/>
              <w:jc w:val="right"/>
              <w:rPr>
                <w:rFonts w:cs="Calibri"/>
                <w:color w:val="000000"/>
              </w:rPr>
            </w:pPr>
            <w:r w:rsidRPr="00671B7C">
              <w:t>15%</w:t>
            </w:r>
          </w:p>
        </w:tc>
      </w:tr>
      <w:tr w:rsidR="000A4C4A" w:rsidRPr="005F76D9" w14:paraId="41782F61" w14:textId="77777777" w:rsidTr="00A24A3B">
        <w:trPr>
          <w:trHeight w:val="255"/>
        </w:trPr>
        <w:tc>
          <w:tcPr>
            <w:tcW w:w="2906" w:type="pct"/>
            <w:tcBorders>
              <w:right w:val="nil"/>
            </w:tcBorders>
            <w:noWrap/>
            <w:hideMark/>
          </w:tcPr>
          <w:p w14:paraId="65B9A3A2" w14:textId="77777777" w:rsidR="000A4C4A" w:rsidRPr="005F76D9" w:rsidRDefault="000A4C4A" w:rsidP="00A24A3B">
            <w:pPr>
              <w:pStyle w:val="Tabletext1"/>
              <w:ind w:left="0"/>
              <w:rPr>
                <w:rFonts w:cs="Calibri"/>
                <w:color w:val="000000"/>
              </w:rPr>
            </w:pPr>
            <w:r w:rsidRPr="005F76D9">
              <w:rPr>
                <w:rFonts w:cs="Calibri"/>
                <w:color w:val="000000"/>
              </w:rPr>
              <w:t>Treatment to in remission - off treatment health state (base case: 5.3%)</w:t>
            </w:r>
          </w:p>
        </w:tc>
        <w:tc>
          <w:tcPr>
            <w:tcW w:w="550" w:type="pct"/>
            <w:tcBorders>
              <w:left w:val="nil"/>
              <w:right w:val="nil"/>
            </w:tcBorders>
            <w:noWrap/>
            <w:vAlign w:val="center"/>
            <w:hideMark/>
          </w:tcPr>
          <w:p w14:paraId="1DC77C7C" w14:textId="77777777" w:rsidR="000A4C4A" w:rsidRPr="005F76D9" w:rsidRDefault="000A4C4A" w:rsidP="00A24A3B">
            <w:pPr>
              <w:pStyle w:val="Tabletext1"/>
              <w:ind w:left="0"/>
              <w:jc w:val="right"/>
              <w:rPr>
                <w:rFonts w:cs="Calibri"/>
                <w:color w:val="000000"/>
              </w:rPr>
            </w:pPr>
          </w:p>
        </w:tc>
        <w:tc>
          <w:tcPr>
            <w:tcW w:w="472" w:type="pct"/>
            <w:tcBorders>
              <w:left w:val="nil"/>
              <w:right w:val="nil"/>
            </w:tcBorders>
            <w:noWrap/>
            <w:vAlign w:val="center"/>
            <w:hideMark/>
          </w:tcPr>
          <w:p w14:paraId="08FF537A" w14:textId="77777777" w:rsidR="000A4C4A" w:rsidRPr="005F76D9" w:rsidRDefault="000A4C4A" w:rsidP="00A24A3B">
            <w:pPr>
              <w:pStyle w:val="Tabletext1"/>
              <w:ind w:left="0"/>
              <w:jc w:val="right"/>
            </w:pPr>
          </w:p>
        </w:tc>
        <w:tc>
          <w:tcPr>
            <w:tcW w:w="550" w:type="pct"/>
            <w:tcBorders>
              <w:left w:val="nil"/>
              <w:right w:val="nil"/>
            </w:tcBorders>
            <w:noWrap/>
            <w:vAlign w:val="center"/>
            <w:hideMark/>
          </w:tcPr>
          <w:p w14:paraId="46322C29" w14:textId="77777777" w:rsidR="000A4C4A" w:rsidRPr="005F76D9" w:rsidRDefault="000A4C4A" w:rsidP="00A24A3B">
            <w:pPr>
              <w:pStyle w:val="Tabletext1"/>
              <w:ind w:left="0"/>
              <w:jc w:val="right"/>
            </w:pPr>
          </w:p>
        </w:tc>
        <w:tc>
          <w:tcPr>
            <w:tcW w:w="522" w:type="pct"/>
            <w:tcBorders>
              <w:left w:val="nil"/>
            </w:tcBorders>
            <w:noWrap/>
            <w:vAlign w:val="center"/>
            <w:hideMark/>
          </w:tcPr>
          <w:p w14:paraId="0DD50D9E" w14:textId="77777777" w:rsidR="000A4C4A" w:rsidRPr="005F76D9" w:rsidRDefault="000A4C4A" w:rsidP="00A24A3B">
            <w:pPr>
              <w:pStyle w:val="Tabletext1"/>
              <w:ind w:left="0"/>
              <w:jc w:val="right"/>
              <w:rPr>
                <w:rFonts w:cs="Calibri"/>
                <w:color w:val="000000"/>
              </w:rPr>
            </w:pPr>
          </w:p>
        </w:tc>
      </w:tr>
      <w:tr w:rsidR="000A4C4A" w:rsidRPr="005F76D9" w14:paraId="133CBB32" w14:textId="77777777" w:rsidTr="00A24A3B">
        <w:trPr>
          <w:trHeight w:val="255"/>
        </w:trPr>
        <w:tc>
          <w:tcPr>
            <w:tcW w:w="2906" w:type="pct"/>
            <w:noWrap/>
            <w:hideMark/>
          </w:tcPr>
          <w:p w14:paraId="3ABE72EE" w14:textId="77777777" w:rsidR="000A4C4A" w:rsidRPr="005F76D9" w:rsidRDefault="000A4C4A" w:rsidP="00680D08">
            <w:pPr>
              <w:pStyle w:val="Tabletext1"/>
              <w:ind w:left="284"/>
              <w:rPr>
                <w:rFonts w:cs="Calibri"/>
                <w:color w:val="000000"/>
              </w:rPr>
            </w:pPr>
            <w:r w:rsidRPr="005F76D9">
              <w:rPr>
                <w:rFonts w:cs="Calibri"/>
                <w:color w:val="000000"/>
              </w:rPr>
              <w:t>0.5</w:t>
            </w:r>
            <w:r>
              <w:rPr>
                <w:rFonts w:cs="Calibri"/>
                <w:color w:val="000000"/>
              </w:rPr>
              <w:t>7</w:t>
            </w:r>
            <w:r w:rsidRPr="005F76D9">
              <w:rPr>
                <w:rFonts w:cs="Calibri"/>
                <w:color w:val="000000"/>
              </w:rPr>
              <w:t>%</w:t>
            </w:r>
          </w:p>
        </w:tc>
        <w:tc>
          <w:tcPr>
            <w:tcW w:w="550" w:type="pct"/>
            <w:noWrap/>
            <w:hideMark/>
          </w:tcPr>
          <w:p w14:paraId="374BF45F" w14:textId="77777777" w:rsidR="000A4C4A" w:rsidRPr="005F76D9" w:rsidRDefault="000A4C4A" w:rsidP="00A24A3B">
            <w:pPr>
              <w:pStyle w:val="Tabletext1"/>
              <w:ind w:left="0"/>
              <w:jc w:val="right"/>
              <w:rPr>
                <w:rFonts w:cs="Calibri"/>
                <w:color w:val="000000"/>
              </w:rPr>
            </w:pPr>
            <w:r w:rsidRPr="009F6978">
              <w:t>$189,143</w:t>
            </w:r>
          </w:p>
        </w:tc>
        <w:tc>
          <w:tcPr>
            <w:tcW w:w="472" w:type="pct"/>
            <w:noWrap/>
            <w:hideMark/>
          </w:tcPr>
          <w:p w14:paraId="77EAA72A" w14:textId="77777777" w:rsidR="000A4C4A" w:rsidRPr="005F76D9" w:rsidRDefault="000A4C4A" w:rsidP="00A24A3B">
            <w:pPr>
              <w:pStyle w:val="Tabletext1"/>
              <w:ind w:left="0"/>
              <w:jc w:val="right"/>
              <w:rPr>
                <w:rFonts w:cs="Calibri"/>
                <w:color w:val="000000"/>
              </w:rPr>
            </w:pPr>
            <w:r w:rsidRPr="009F6978">
              <w:t>0.4043</w:t>
            </w:r>
          </w:p>
        </w:tc>
        <w:tc>
          <w:tcPr>
            <w:tcW w:w="550" w:type="pct"/>
            <w:noWrap/>
            <w:hideMark/>
          </w:tcPr>
          <w:p w14:paraId="001C017B" w14:textId="77777777" w:rsidR="000A4C4A" w:rsidRPr="005F76D9" w:rsidRDefault="000A4C4A" w:rsidP="00A24A3B">
            <w:pPr>
              <w:pStyle w:val="Tabletext1"/>
              <w:ind w:left="0"/>
              <w:jc w:val="right"/>
              <w:rPr>
                <w:rFonts w:cs="Calibri"/>
                <w:color w:val="000000"/>
              </w:rPr>
            </w:pPr>
            <w:r w:rsidRPr="009F6978">
              <w:t>$467,878</w:t>
            </w:r>
          </w:p>
        </w:tc>
        <w:tc>
          <w:tcPr>
            <w:tcW w:w="522" w:type="pct"/>
            <w:noWrap/>
            <w:hideMark/>
          </w:tcPr>
          <w:p w14:paraId="4D716BAD" w14:textId="77777777" w:rsidR="000A4C4A" w:rsidRPr="005F76D9" w:rsidRDefault="000A4C4A" w:rsidP="00A24A3B">
            <w:pPr>
              <w:pStyle w:val="Tabletext1"/>
              <w:ind w:left="0"/>
              <w:jc w:val="right"/>
              <w:rPr>
                <w:rFonts w:cs="Calibri"/>
                <w:color w:val="000000"/>
              </w:rPr>
            </w:pPr>
            <w:r w:rsidRPr="009F6978">
              <w:t>398%</w:t>
            </w:r>
          </w:p>
        </w:tc>
      </w:tr>
      <w:tr w:rsidR="000A4C4A" w:rsidRPr="005F76D9" w14:paraId="70C3D0CC" w14:textId="77777777" w:rsidTr="00A24A3B">
        <w:trPr>
          <w:trHeight w:val="255"/>
        </w:trPr>
        <w:tc>
          <w:tcPr>
            <w:tcW w:w="2906" w:type="pct"/>
            <w:noWrap/>
            <w:hideMark/>
          </w:tcPr>
          <w:p w14:paraId="1BE62BE2" w14:textId="77777777" w:rsidR="000A4C4A" w:rsidRPr="005F76D9" w:rsidRDefault="000A4C4A" w:rsidP="00680D08">
            <w:pPr>
              <w:pStyle w:val="Tabletext1"/>
              <w:ind w:left="284"/>
              <w:rPr>
                <w:rFonts w:cs="Calibri"/>
                <w:color w:val="000000"/>
              </w:rPr>
            </w:pPr>
            <w:r w:rsidRPr="005F76D9">
              <w:rPr>
                <w:rFonts w:cs="Calibri"/>
                <w:color w:val="000000"/>
              </w:rPr>
              <w:t>1.03%</w:t>
            </w:r>
          </w:p>
        </w:tc>
        <w:tc>
          <w:tcPr>
            <w:tcW w:w="550" w:type="pct"/>
            <w:noWrap/>
            <w:vAlign w:val="center"/>
            <w:hideMark/>
          </w:tcPr>
          <w:p w14:paraId="682E31D9" w14:textId="77777777" w:rsidR="000A4C4A" w:rsidRPr="005F76D9" w:rsidRDefault="000A4C4A" w:rsidP="00A24A3B">
            <w:pPr>
              <w:pStyle w:val="Tabletext1"/>
              <w:ind w:left="0"/>
              <w:jc w:val="right"/>
              <w:rPr>
                <w:rFonts w:cs="Calibri"/>
                <w:color w:val="000000"/>
              </w:rPr>
            </w:pPr>
            <w:r w:rsidRPr="00671B7C">
              <w:t>$164,603</w:t>
            </w:r>
          </w:p>
        </w:tc>
        <w:tc>
          <w:tcPr>
            <w:tcW w:w="472" w:type="pct"/>
            <w:noWrap/>
            <w:vAlign w:val="center"/>
            <w:hideMark/>
          </w:tcPr>
          <w:p w14:paraId="4F3B4D3D" w14:textId="77777777" w:rsidR="000A4C4A" w:rsidRPr="005F76D9" w:rsidRDefault="000A4C4A" w:rsidP="00A24A3B">
            <w:pPr>
              <w:pStyle w:val="Tabletext1"/>
              <w:ind w:left="0"/>
              <w:jc w:val="right"/>
              <w:rPr>
                <w:rFonts w:cs="Calibri"/>
                <w:color w:val="000000"/>
              </w:rPr>
            </w:pPr>
            <w:r w:rsidRPr="00671B7C">
              <w:t>0.4240</w:t>
            </w:r>
          </w:p>
        </w:tc>
        <w:tc>
          <w:tcPr>
            <w:tcW w:w="550" w:type="pct"/>
            <w:noWrap/>
            <w:vAlign w:val="center"/>
            <w:hideMark/>
          </w:tcPr>
          <w:p w14:paraId="310EFD38" w14:textId="77777777" w:rsidR="000A4C4A" w:rsidRPr="005F76D9" w:rsidRDefault="000A4C4A" w:rsidP="00A24A3B">
            <w:pPr>
              <w:pStyle w:val="Tabletext1"/>
              <w:ind w:left="0"/>
              <w:jc w:val="right"/>
              <w:rPr>
                <w:rFonts w:cs="Calibri"/>
                <w:color w:val="000000"/>
              </w:rPr>
            </w:pPr>
            <w:r w:rsidRPr="00671B7C">
              <w:t>$388,257</w:t>
            </w:r>
          </w:p>
        </w:tc>
        <w:tc>
          <w:tcPr>
            <w:tcW w:w="522" w:type="pct"/>
            <w:noWrap/>
            <w:vAlign w:val="center"/>
            <w:hideMark/>
          </w:tcPr>
          <w:p w14:paraId="271521F1" w14:textId="77777777" w:rsidR="000A4C4A" w:rsidRPr="005F76D9" w:rsidRDefault="000A4C4A" w:rsidP="00A24A3B">
            <w:pPr>
              <w:pStyle w:val="Tabletext1"/>
              <w:ind w:left="0"/>
              <w:jc w:val="right"/>
              <w:rPr>
                <w:rFonts w:cs="Calibri"/>
                <w:color w:val="000000"/>
              </w:rPr>
            </w:pPr>
            <w:r w:rsidRPr="00671B7C">
              <w:t>313%</w:t>
            </w:r>
          </w:p>
        </w:tc>
      </w:tr>
      <w:tr w:rsidR="000A4C4A" w:rsidRPr="005F76D9" w14:paraId="349B7404" w14:textId="77777777" w:rsidTr="00A24A3B">
        <w:trPr>
          <w:trHeight w:val="255"/>
        </w:trPr>
        <w:tc>
          <w:tcPr>
            <w:tcW w:w="2906" w:type="pct"/>
            <w:noWrap/>
            <w:hideMark/>
          </w:tcPr>
          <w:p w14:paraId="232E0F6F" w14:textId="77777777" w:rsidR="000A4C4A" w:rsidRPr="005F76D9" w:rsidRDefault="000A4C4A" w:rsidP="00680D08">
            <w:pPr>
              <w:pStyle w:val="Tabletext1"/>
              <w:ind w:left="284"/>
              <w:rPr>
                <w:rFonts w:cs="Calibri"/>
                <w:color w:val="000000"/>
              </w:rPr>
            </w:pPr>
            <w:r w:rsidRPr="005F76D9">
              <w:rPr>
                <w:rFonts w:cs="Calibri"/>
                <w:color w:val="000000"/>
              </w:rPr>
              <w:t>3.66%</w:t>
            </w:r>
          </w:p>
        </w:tc>
        <w:tc>
          <w:tcPr>
            <w:tcW w:w="550" w:type="pct"/>
            <w:noWrap/>
            <w:vAlign w:val="center"/>
            <w:hideMark/>
          </w:tcPr>
          <w:p w14:paraId="3912C966" w14:textId="77777777" w:rsidR="000A4C4A" w:rsidRPr="005F76D9" w:rsidRDefault="000A4C4A" w:rsidP="00A24A3B">
            <w:pPr>
              <w:pStyle w:val="Tabletext1"/>
              <w:ind w:left="0"/>
              <w:jc w:val="right"/>
              <w:rPr>
                <w:rFonts w:cs="Calibri"/>
                <w:color w:val="000000"/>
              </w:rPr>
            </w:pPr>
            <w:r w:rsidRPr="00671B7C">
              <w:t>$78,791</w:t>
            </w:r>
          </w:p>
        </w:tc>
        <w:tc>
          <w:tcPr>
            <w:tcW w:w="472" w:type="pct"/>
            <w:noWrap/>
            <w:vAlign w:val="center"/>
            <w:hideMark/>
          </w:tcPr>
          <w:p w14:paraId="20C5311D" w14:textId="77777777" w:rsidR="000A4C4A" w:rsidRPr="005F76D9" w:rsidRDefault="000A4C4A" w:rsidP="00A24A3B">
            <w:pPr>
              <w:pStyle w:val="Tabletext1"/>
              <w:ind w:left="0"/>
              <w:jc w:val="right"/>
              <w:rPr>
                <w:rFonts w:cs="Calibri"/>
                <w:color w:val="000000"/>
              </w:rPr>
            </w:pPr>
            <w:r w:rsidRPr="00671B7C">
              <w:t>0.4998</w:t>
            </w:r>
          </w:p>
        </w:tc>
        <w:tc>
          <w:tcPr>
            <w:tcW w:w="550" w:type="pct"/>
            <w:noWrap/>
            <w:vAlign w:val="center"/>
            <w:hideMark/>
          </w:tcPr>
          <w:p w14:paraId="47F9DDF5" w14:textId="77777777" w:rsidR="000A4C4A" w:rsidRPr="005F76D9" w:rsidRDefault="000A4C4A" w:rsidP="00A24A3B">
            <w:pPr>
              <w:pStyle w:val="Tabletext1"/>
              <w:ind w:left="0"/>
              <w:jc w:val="right"/>
              <w:rPr>
                <w:rFonts w:cs="Calibri"/>
                <w:color w:val="000000"/>
              </w:rPr>
            </w:pPr>
            <w:r w:rsidRPr="00671B7C">
              <w:t>$157,633</w:t>
            </w:r>
          </w:p>
        </w:tc>
        <w:tc>
          <w:tcPr>
            <w:tcW w:w="522" w:type="pct"/>
            <w:noWrap/>
            <w:vAlign w:val="center"/>
            <w:hideMark/>
          </w:tcPr>
          <w:p w14:paraId="57C4D13A" w14:textId="77777777" w:rsidR="000A4C4A" w:rsidRPr="005F76D9" w:rsidRDefault="000A4C4A" w:rsidP="00A24A3B">
            <w:pPr>
              <w:pStyle w:val="Tabletext1"/>
              <w:ind w:left="0"/>
              <w:jc w:val="right"/>
              <w:rPr>
                <w:rFonts w:cs="Calibri"/>
                <w:color w:val="000000"/>
              </w:rPr>
            </w:pPr>
            <w:r w:rsidRPr="00671B7C">
              <w:t>68%</w:t>
            </w:r>
          </w:p>
        </w:tc>
      </w:tr>
      <w:tr w:rsidR="000A4C4A" w:rsidRPr="005F76D9" w14:paraId="184505F8" w14:textId="77777777" w:rsidTr="00A24A3B">
        <w:trPr>
          <w:trHeight w:val="255"/>
        </w:trPr>
        <w:tc>
          <w:tcPr>
            <w:tcW w:w="2906" w:type="pct"/>
            <w:tcBorders>
              <w:bottom w:val="single" w:sz="4" w:space="0" w:color="auto"/>
            </w:tcBorders>
            <w:noWrap/>
            <w:hideMark/>
          </w:tcPr>
          <w:p w14:paraId="4ABE7E0A" w14:textId="77777777" w:rsidR="000A4C4A" w:rsidRPr="005F76D9" w:rsidRDefault="000A4C4A" w:rsidP="00680D08">
            <w:pPr>
              <w:pStyle w:val="Tabletext1"/>
              <w:ind w:left="284"/>
              <w:rPr>
                <w:rFonts w:cs="Calibri"/>
                <w:color w:val="000000"/>
              </w:rPr>
            </w:pPr>
            <w:r w:rsidRPr="005F76D9">
              <w:rPr>
                <w:rFonts w:cs="Calibri"/>
                <w:color w:val="000000"/>
              </w:rPr>
              <w:t>6.12%</w:t>
            </w:r>
          </w:p>
        </w:tc>
        <w:tc>
          <w:tcPr>
            <w:tcW w:w="550" w:type="pct"/>
            <w:tcBorders>
              <w:bottom w:val="single" w:sz="4" w:space="0" w:color="auto"/>
            </w:tcBorders>
            <w:noWrap/>
            <w:vAlign w:val="center"/>
            <w:hideMark/>
          </w:tcPr>
          <w:p w14:paraId="08F63581" w14:textId="77777777" w:rsidR="000A4C4A" w:rsidRPr="005F76D9" w:rsidRDefault="000A4C4A" w:rsidP="00A24A3B">
            <w:pPr>
              <w:pStyle w:val="Tabletext1"/>
              <w:ind w:left="0"/>
              <w:jc w:val="right"/>
              <w:rPr>
                <w:rFonts w:cs="Calibri"/>
                <w:color w:val="000000"/>
              </w:rPr>
            </w:pPr>
            <w:r w:rsidRPr="00671B7C">
              <w:t>$38,407</w:t>
            </w:r>
          </w:p>
        </w:tc>
        <w:tc>
          <w:tcPr>
            <w:tcW w:w="472" w:type="pct"/>
            <w:tcBorders>
              <w:bottom w:val="single" w:sz="4" w:space="0" w:color="auto"/>
            </w:tcBorders>
            <w:noWrap/>
            <w:vAlign w:val="center"/>
            <w:hideMark/>
          </w:tcPr>
          <w:p w14:paraId="686F509B" w14:textId="77777777" w:rsidR="000A4C4A" w:rsidRPr="005F76D9" w:rsidRDefault="000A4C4A" w:rsidP="00A24A3B">
            <w:pPr>
              <w:pStyle w:val="Tabletext1"/>
              <w:ind w:left="0"/>
              <w:jc w:val="right"/>
              <w:rPr>
                <w:rFonts w:cs="Calibri"/>
                <w:color w:val="000000"/>
              </w:rPr>
            </w:pPr>
            <w:r w:rsidRPr="00671B7C">
              <w:t>0.5464</w:t>
            </w:r>
          </w:p>
        </w:tc>
        <w:tc>
          <w:tcPr>
            <w:tcW w:w="550" w:type="pct"/>
            <w:tcBorders>
              <w:bottom w:val="single" w:sz="4" w:space="0" w:color="auto"/>
            </w:tcBorders>
            <w:noWrap/>
            <w:vAlign w:val="center"/>
            <w:hideMark/>
          </w:tcPr>
          <w:p w14:paraId="117433BC" w14:textId="77777777" w:rsidR="000A4C4A" w:rsidRPr="005F76D9" w:rsidRDefault="000A4C4A" w:rsidP="00A24A3B">
            <w:pPr>
              <w:pStyle w:val="Tabletext1"/>
              <w:ind w:left="0"/>
              <w:jc w:val="right"/>
              <w:rPr>
                <w:rFonts w:cs="Calibri"/>
                <w:color w:val="000000"/>
              </w:rPr>
            </w:pPr>
            <w:r w:rsidRPr="00671B7C">
              <w:t>$70,294</w:t>
            </w:r>
          </w:p>
        </w:tc>
        <w:tc>
          <w:tcPr>
            <w:tcW w:w="522" w:type="pct"/>
            <w:tcBorders>
              <w:bottom w:val="single" w:sz="4" w:space="0" w:color="auto"/>
            </w:tcBorders>
            <w:noWrap/>
            <w:vAlign w:val="center"/>
            <w:hideMark/>
          </w:tcPr>
          <w:p w14:paraId="31F17C94" w14:textId="77777777" w:rsidR="000A4C4A" w:rsidRPr="005F76D9" w:rsidRDefault="000A4C4A" w:rsidP="00A24A3B">
            <w:pPr>
              <w:pStyle w:val="Tabletext1"/>
              <w:ind w:left="0"/>
              <w:jc w:val="right"/>
              <w:rPr>
                <w:rFonts w:cs="Calibri"/>
                <w:color w:val="000000"/>
              </w:rPr>
            </w:pPr>
            <w:r w:rsidRPr="00671B7C">
              <w:t>-25%</w:t>
            </w:r>
          </w:p>
        </w:tc>
      </w:tr>
      <w:tr w:rsidR="000A4C4A" w:rsidRPr="00696D8F" w14:paraId="5D464645" w14:textId="77777777" w:rsidTr="00A24A3B">
        <w:trPr>
          <w:trHeight w:val="255"/>
        </w:trPr>
        <w:tc>
          <w:tcPr>
            <w:tcW w:w="2906" w:type="pct"/>
            <w:tcBorders>
              <w:bottom w:val="single" w:sz="4" w:space="0" w:color="auto"/>
            </w:tcBorders>
            <w:noWrap/>
            <w:hideMark/>
          </w:tcPr>
          <w:p w14:paraId="2B02CA85" w14:textId="77777777" w:rsidR="000A4C4A" w:rsidRPr="00F3307B" w:rsidRDefault="000A4C4A" w:rsidP="00A24A3B">
            <w:pPr>
              <w:pStyle w:val="Tabletext1"/>
              <w:ind w:left="0"/>
              <w:rPr>
                <w:b/>
              </w:rPr>
            </w:pPr>
            <w:r w:rsidRPr="00F3307B">
              <w:rPr>
                <w:b/>
              </w:rPr>
              <w:t>Health state transitions, PE</w:t>
            </w:r>
          </w:p>
        </w:tc>
        <w:tc>
          <w:tcPr>
            <w:tcW w:w="550" w:type="pct"/>
            <w:tcBorders>
              <w:bottom w:val="single" w:sz="4" w:space="0" w:color="auto"/>
            </w:tcBorders>
            <w:noWrap/>
            <w:vAlign w:val="center"/>
            <w:hideMark/>
          </w:tcPr>
          <w:p w14:paraId="25201879" w14:textId="77777777" w:rsidR="000A4C4A" w:rsidRPr="00696D8F" w:rsidRDefault="000A4C4A" w:rsidP="00A24A3B">
            <w:pPr>
              <w:pStyle w:val="Tabletext1"/>
              <w:jc w:val="right"/>
            </w:pPr>
          </w:p>
        </w:tc>
        <w:tc>
          <w:tcPr>
            <w:tcW w:w="472" w:type="pct"/>
            <w:tcBorders>
              <w:bottom w:val="single" w:sz="4" w:space="0" w:color="auto"/>
            </w:tcBorders>
            <w:noWrap/>
            <w:vAlign w:val="center"/>
            <w:hideMark/>
          </w:tcPr>
          <w:p w14:paraId="5B57B0B9" w14:textId="77777777" w:rsidR="000A4C4A" w:rsidRPr="00696D8F" w:rsidRDefault="000A4C4A" w:rsidP="00A24A3B">
            <w:pPr>
              <w:pStyle w:val="Tabletext1"/>
              <w:jc w:val="right"/>
            </w:pPr>
          </w:p>
        </w:tc>
        <w:tc>
          <w:tcPr>
            <w:tcW w:w="550" w:type="pct"/>
            <w:tcBorders>
              <w:bottom w:val="single" w:sz="4" w:space="0" w:color="auto"/>
            </w:tcBorders>
            <w:noWrap/>
            <w:vAlign w:val="center"/>
            <w:hideMark/>
          </w:tcPr>
          <w:p w14:paraId="4E239015" w14:textId="77777777" w:rsidR="000A4C4A" w:rsidRPr="00696D8F" w:rsidRDefault="000A4C4A" w:rsidP="00A24A3B">
            <w:pPr>
              <w:pStyle w:val="Tabletext1"/>
              <w:jc w:val="right"/>
            </w:pPr>
          </w:p>
        </w:tc>
        <w:tc>
          <w:tcPr>
            <w:tcW w:w="522" w:type="pct"/>
            <w:tcBorders>
              <w:bottom w:val="single" w:sz="4" w:space="0" w:color="auto"/>
            </w:tcBorders>
            <w:noWrap/>
            <w:vAlign w:val="center"/>
            <w:hideMark/>
          </w:tcPr>
          <w:p w14:paraId="455B5E87" w14:textId="77777777" w:rsidR="000A4C4A" w:rsidRPr="00696D8F" w:rsidRDefault="000A4C4A" w:rsidP="00A24A3B">
            <w:pPr>
              <w:pStyle w:val="Tabletext1"/>
              <w:jc w:val="right"/>
            </w:pPr>
          </w:p>
        </w:tc>
      </w:tr>
      <w:tr w:rsidR="000A4C4A" w:rsidRPr="00696D8F" w14:paraId="1E8ED013" w14:textId="77777777" w:rsidTr="00A24A3B">
        <w:trPr>
          <w:trHeight w:val="255"/>
        </w:trPr>
        <w:tc>
          <w:tcPr>
            <w:tcW w:w="2906" w:type="pct"/>
            <w:tcBorders>
              <w:right w:val="nil"/>
            </w:tcBorders>
            <w:noWrap/>
            <w:hideMark/>
          </w:tcPr>
          <w:p w14:paraId="6C02AE1D" w14:textId="77777777" w:rsidR="000A4C4A" w:rsidRPr="00696D8F" w:rsidRDefault="000A4C4A" w:rsidP="00A24A3B">
            <w:pPr>
              <w:pStyle w:val="Tabletext1"/>
              <w:ind w:left="0"/>
            </w:pPr>
            <w:r>
              <w:t>Adverse event</w:t>
            </w:r>
            <w:r w:rsidRPr="00696D8F">
              <w:t xml:space="preserve"> per PE procedure (base case: 1.68%)</w:t>
            </w:r>
          </w:p>
        </w:tc>
        <w:tc>
          <w:tcPr>
            <w:tcW w:w="550" w:type="pct"/>
            <w:tcBorders>
              <w:left w:val="nil"/>
              <w:right w:val="nil"/>
            </w:tcBorders>
            <w:noWrap/>
            <w:vAlign w:val="center"/>
            <w:hideMark/>
          </w:tcPr>
          <w:p w14:paraId="3DDE81B3" w14:textId="77777777" w:rsidR="000A4C4A" w:rsidRPr="00696D8F" w:rsidRDefault="000A4C4A" w:rsidP="00A24A3B">
            <w:pPr>
              <w:pStyle w:val="Tabletext1"/>
              <w:jc w:val="right"/>
            </w:pPr>
          </w:p>
        </w:tc>
        <w:tc>
          <w:tcPr>
            <w:tcW w:w="472" w:type="pct"/>
            <w:tcBorders>
              <w:left w:val="nil"/>
              <w:right w:val="nil"/>
            </w:tcBorders>
            <w:noWrap/>
            <w:vAlign w:val="center"/>
            <w:hideMark/>
          </w:tcPr>
          <w:p w14:paraId="1C2290EA" w14:textId="77777777" w:rsidR="000A4C4A" w:rsidRPr="00696D8F" w:rsidRDefault="000A4C4A" w:rsidP="00A24A3B">
            <w:pPr>
              <w:pStyle w:val="Tabletext1"/>
              <w:jc w:val="right"/>
            </w:pPr>
          </w:p>
        </w:tc>
        <w:tc>
          <w:tcPr>
            <w:tcW w:w="550" w:type="pct"/>
            <w:tcBorders>
              <w:left w:val="nil"/>
              <w:right w:val="nil"/>
            </w:tcBorders>
            <w:noWrap/>
            <w:vAlign w:val="center"/>
            <w:hideMark/>
          </w:tcPr>
          <w:p w14:paraId="751E0F29" w14:textId="77777777" w:rsidR="000A4C4A" w:rsidRPr="00696D8F" w:rsidRDefault="000A4C4A" w:rsidP="00A24A3B">
            <w:pPr>
              <w:pStyle w:val="Tabletext1"/>
              <w:jc w:val="right"/>
            </w:pPr>
          </w:p>
        </w:tc>
        <w:tc>
          <w:tcPr>
            <w:tcW w:w="522" w:type="pct"/>
            <w:tcBorders>
              <w:left w:val="nil"/>
            </w:tcBorders>
            <w:noWrap/>
            <w:vAlign w:val="center"/>
            <w:hideMark/>
          </w:tcPr>
          <w:p w14:paraId="1D3893E7" w14:textId="77777777" w:rsidR="000A4C4A" w:rsidRPr="00696D8F" w:rsidRDefault="000A4C4A" w:rsidP="00A24A3B">
            <w:pPr>
              <w:pStyle w:val="Tabletext1"/>
              <w:jc w:val="right"/>
            </w:pPr>
          </w:p>
        </w:tc>
      </w:tr>
      <w:tr w:rsidR="000A4C4A" w:rsidRPr="00696D8F" w14:paraId="53AB4AEB" w14:textId="77777777" w:rsidTr="00A24A3B">
        <w:trPr>
          <w:trHeight w:val="255"/>
        </w:trPr>
        <w:tc>
          <w:tcPr>
            <w:tcW w:w="2906" w:type="pct"/>
            <w:noWrap/>
            <w:hideMark/>
          </w:tcPr>
          <w:p w14:paraId="67D1237F" w14:textId="77777777" w:rsidR="000A4C4A" w:rsidRPr="00696D8F" w:rsidRDefault="000A4C4A" w:rsidP="00680D08">
            <w:pPr>
              <w:pStyle w:val="Tabletext1"/>
              <w:ind w:left="284"/>
            </w:pPr>
            <w:r w:rsidRPr="00696D8F">
              <w:t>0.10%</w:t>
            </w:r>
          </w:p>
        </w:tc>
        <w:tc>
          <w:tcPr>
            <w:tcW w:w="550" w:type="pct"/>
            <w:noWrap/>
            <w:vAlign w:val="center"/>
            <w:hideMark/>
          </w:tcPr>
          <w:p w14:paraId="5D4B9A9F" w14:textId="77777777" w:rsidR="000A4C4A" w:rsidRPr="00696D8F" w:rsidRDefault="000A4C4A" w:rsidP="00A24A3B">
            <w:pPr>
              <w:pStyle w:val="Tabletext1"/>
              <w:ind w:left="0"/>
              <w:jc w:val="right"/>
            </w:pPr>
            <w:r w:rsidRPr="008A2961">
              <w:t>-$6,561</w:t>
            </w:r>
          </w:p>
        </w:tc>
        <w:tc>
          <w:tcPr>
            <w:tcW w:w="472" w:type="pct"/>
            <w:noWrap/>
            <w:vAlign w:val="center"/>
            <w:hideMark/>
          </w:tcPr>
          <w:p w14:paraId="3877BDA6" w14:textId="77777777" w:rsidR="000A4C4A" w:rsidRPr="00696D8F" w:rsidRDefault="000A4C4A" w:rsidP="00A24A3B">
            <w:pPr>
              <w:pStyle w:val="Tabletext1"/>
              <w:ind w:left="0"/>
              <w:jc w:val="right"/>
            </w:pPr>
            <w:r w:rsidRPr="008A2961">
              <w:t>-0.0702</w:t>
            </w:r>
          </w:p>
        </w:tc>
        <w:tc>
          <w:tcPr>
            <w:tcW w:w="550" w:type="pct"/>
            <w:noWrap/>
            <w:vAlign w:val="center"/>
            <w:hideMark/>
          </w:tcPr>
          <w:p w14:paraId="64B354C1" w14:textId="77777777" w:rsidR="000A4C4A" w:rsidRPr="00696D8F" w:rsidRDefault="000A4C4A" w:rsidP="00A24A3B">
            <w:pPr>
              <w:pStyle w:val="Tabletext1"/>
              <w:ind w:left="0"/>
              <w:jc w:val="right"/>
            </w:pPr>
            <w:r w:rsidRPr="00F3307B">
              <w:rPr>
                <w:i/>
                <w:sz w:val="18"/>
              </w:rPr>
              <w:t>Less costly, less effective</w:t>
            </w:r>
            <w:r w:rsidRPr="00F3307B">
              <w:rPr>
                <w:sz w:val="18"/>
              </w:rPr>
              <w:t xml:space="preserve"> </w:t>
            </w:r>
            <w:r w:rsidRPr="008A2961">
              <w:t>(ICER: $93,483)</w:t>
            </w:r>
          </w:p>
        </w:tc>
        <w:tc>
          <w:tcPr>
            <w:tcW w:w="522" w:type="pct"/>
            <w:noWrap/>
            <w:vAlign w:val="center"/>
            <w:hideMark/>
          </w:tcPr>
          <w:p w14:paraId="4EC76CF1" w14:textId="77777777" w:rsidR="000A4C4A" w:rsidRPr="00696D8F" w:rsidRDefault="000A4C4A" w:rsidP="00A24A3B">
            <w:pPr>
              <w:pStyle w:val="Tabletext1"/>
              <w:ind w:left="0"/>
              <w:jc w:val="right"/>
            </w:pPr>
            <w:r w:rsidRPr="00F3307B">
              <w:rPr>
                <w:i/>
                <w:sz w:val="18"/>
              </w:rPr>
              <w:t>Less costly, less effective</w:t>
            </w:r>
            <w:r w:rsidRPr="00F3307B">
              <w:rPr>
                <w:sz w:val="18"/>
              </w:rPr>
              <w:t xml:space="preserve"> </w:t>
            </w:r>
            <w:r w:rsidRPr="008A2961">
              <w:t>(ICER: $93,483)</w:t>
            </w:r>
          </w:p>
        </w:tc>
      </w:tr>
      <w:tr w:rsidR="000A4C4A" w:rsidRPr="00696D8F" w14:paraId="3D46B7C1" w14:textId="77777777" w:rsidTr="00A24A3B">
        <w:trPr>
          <w:trHeight w:val="255"/>
        </w:trPr>
        <w:tc>
          <w:tcPr>
            <w:tcW w:w="2906" w:type="pct"/>
            <w:tcBorders>
              <w:right w:val="nil"/>
            </w:tcBorders>
            <w:noWrap/>
            <w:hideMark/>
          </w:tcPr>
          <w:p w14:paraId="6D65EC64" w14:textId="77777777" w:rsidR="000A4C4A" w:rsidRPr="00696D8F" w:rsidRDefault="000A4C4A" w:rsidP="00A24A3B">
            <w:pPr>
              <w:pStyle w:val="Tabletext1"/>
              <w:ind w:left="0"/>
            </w:pPr>
            <w:r w:rsidRPr="00696D8F">
              <w:t>Proportion of patients relapsing in remission health state (base case: 3.8%)</w:t>
            </w:r>
          </w:p>
        </w:tc>
        <w:tc>
          <w:tcPr>
            <w:tcW w:w="550" w:type="pct"/>
            <w:tcBorders>
              <w:left w:val="nil"/>
              <w:right w:val="nil"/>
            </w:tcBorders>
            <w:noWrap/>
            <w:vAlign w:val="center"/>
            <w:hideMark/>
          </w:tcPr>
          <w:p w14:paraId="7A2A9C0E" w14:textId="77777777" w:rsidR="000A4C4A" w:rsidRPr="00696D8F" w:rsidRDefault="000A4C4A" w:rsidP="00A24A3B">
            <w:pPr>
              <w:pStyle w:val="Tabletext1"/>
              <w:jc w:val="right"/>
            </w:pPr>
          </w:p>
        </w:tc>
        <w:tc>
          <w:tcPr>
            <w:tcW w:w="472" w:type="pct"/>
            <w:tcBorders>
              <w:left w:val="nil"/>
              <w:right w:val="nil"/>
            </w:tcBorders>
            <w:noWrap/>
            <w:vAlign w:val="center"/>
            <w:hideMark/>
          </w:tcPr>
          <w:p w14:paraId="4FB1BC4C" w14:textId="77777777" w:rsidR="000A4C4A" w:rsidRPr="00696D8F" w:rsidRDefault="000A4C4A" w:rsidP="00A24A3B">
            <w:pPr>
              <w:pStyle w:val="Tabletext1"/>
              <w:jc w:val="right"/>
            </w:pPr>
          </w:p>
        </w:tc>
        <w:tc>
          <w:tcPr>
            <w:tcW w:w="550" w:type="pct"/>
            <w:tcBorders>
              <w:left w:val="nil"/>
              <w:right w:val="nil"/>
            </w:tcBorders>
            <w:noWrap/>
            <w:vAlign w:val="center"/>
            <w:hideMark/>
          </w:tcPr>
          <w:p w14:paraId="70918925" w14:textId="77777777" w:rsidR="000A4C4A" w:rsidRPr="00696D8F" w:rsidRDefault="000A4C4A" w:rsidP="00A24A3B">
            <w:pPr>
              <w:pStyle w:val="Tabletext1"/>
              <w:jc w:val="right"/>
            </w:pPr>
          </w:p>
        </w:tc>
        <w:tc>
          <w:tcPr>
            <w:tcW w:w="522" w:type="pct"/>
            <w:tcBorders>
              <w:left w:val="nil"/>
            </w:tcBorders>
            <w:noWrap/>
            <w:vAlign w:val="center"/>
            <w:hideMark/>
          </w:tcPr>
          <w:p w14:paraId="1A4752F8" w14:textId="77777777" w:rsidR="000A4C4A" w:rsidRPr="00696D8F" w:rsidRDefault="000A4C4A" w:rsidP="00A24A3B">
            <w:pPr>
              <w:pStyle w:val="Tabletext1"/>
              <w:jc w:val="right"/>
            </w:pPr>
          </w:p>
        </w:tc>
      </w:tr>
      <w:tr w:rsidR="000A4C4A" w:rsidRPr="00696D8F" w14:paraId="503F06BC" w14:textId="77777777" w:rsidTr="00A24A3B">
        <w:trPr>
          <w:trHeight w:val="255"/>
        </w:trPr>
        <w:tc>
          <w:tcPr>
            <w:tcW w:w="2906" w:type="pct"/>
            <w:noWrap/>
            <w:hideMark/>
          </w:tcPr>
          <w:p w14:paraId="5D0441C6" w14:textId="77777777" w:rsidR="000A4C4A" w:rsidRPr="00696D8F" w:rsidRDefault="000A4C4A" w:rsidP="00680D08">
            <w:pPr>
              <w:pStyle w:val="Tabletext1"/>
              <w:ind w:left="284"/>
            </w:pPr>
            <w:r w:rsidRPr="00696D8F">
              <w:t>0.015</w:t>
            </w:r>
          </w:p>
        </w:tc>
        <w:tc>
          <w:tcPr>
            <w:tcW w:w="550" w:type="pct"/>
            <w:noWrap/>
            <w:vAlign w:val="center"/>
            <w:hideMark/>
          </w:tcPr>
          <w:p w14:paraId="075C40E5" w14:textId="77777777" w:rsidR="000A4C4A" w:rsidRPr="00696D8F" w:rsidRDefault="000A4C4A" w:rsidP="00A24A3B">
            <w:pPr>
              <w:pStyle w:val="Tabletext1"/>
              <w:ind w:left="0"/>
              <w:jc w:val="right"/>
            </w:pPr>
            <w:r w:rsidRPr="00F12B91">
              <w:t>$75,651</w:t>
            </w:r>
          </w:p>
        </w:tc>
        <w:tc>
          <w:tcPr>
            <w:tcW w:w="472" w:type="pct"/>
            <w:noWrap/>
            <w:vAlign w:val="center"/>
            <w:hideMark/>
          </w:tcPr>
          <w:p w14:paraId="79323D3F" w14:textId="77777777" w:rsidR="000A4C4A" w:rsidRPr="00696D8F" w:rsidRDefault="000A4C4A" w:rsidP="00A24A3B">
            <w:pPr>
              <w:pStyle w:val="Tabletext1"/>
              <w:ind w:left="0"/>
              <w:jc w:val="right"/>
            </w:pPr>
            <w:r w:rsidRPr="00F12B91">
              <w:t>0.3025</w:t>
            </w:r>
          </w:p>
        </w:tc>
        <w:tc>
          <w:tcPr>
            <w:tcW w:w="550" w:type="pct"/>
            <w:noWrap/>
            <w:vAlign w:val="center"/>
            <w:hideMark/>
          </w:tcPr>
          <w:p w14:paraId="17649299" w14:textId="77777777" w:rsidR="000A4C4A" w:rsidRPr="00696D8F" w:rsidRDefault="000A4C4A" w:rsidP="00A24A3B">
            <w:pPr>
              <w:pStyle w:val="Tabletext1"/>
              <w:ind w:left="0"/>
              <w:jc w:val="right"/>
            </w:pPr>
            <w:r w:rsidRPr="00F12B91">
              <w:t>$250,127</w:t>
            </w:r>
          </w:p>
        </w:tc>
        <w:tc>
          <w:tcPr>
            <w:tcW w:w="522" w:type="pct"/>
            <w:noWrap/>
            <w:vAlign w:val="center"/>
            <w:hideMark/>
          </w:tcPr>
          <w:p w14:paraId="0858C30A" w14:textId="77777777" w:rsidR="000A4C4A" w:rsidRPr="00696D8F" w:rsidRDefault="000A4C4A" w:rsidP="00A24A3B">
            <w:pPr>
              <w:pStyle w:val="Tabletext1"/>
              <w:ind w:left="0"/>
              <w:jc w:val="right"/>
            </w:pPr>
            <w:r w:rsidRPr="00F12B91">
              <w:t>166%</w:t>
            </w:r>
          </w:p>
        </w:tc>
      </w:tr>
      <w:tr w:rsidR="000A4C4A" w:rsidRPr="00696D8F" w14:paraId="2817FE08" w14:textId="77777777" w:rsidTr="00A24A3B">
        <w:trPr>
          <w:trHeight w:val="255"/>
        </w:trPr>
        <w:tc>
          <w:tcPr>
            <w:tcW w:w="2906" w:type="pct"/>
            <w:tcBorders>
              <w:right w:val="nil"/>
            </w:tcBorders>
            <w:noWrap/>
            <w:hideMark/>
          </w:tcPr>
          <w:p w14:paraId="1CF24BAA" w14:textId="77777777" w:rsidR="000A4C4A" w:rsidRPr="00696D8F" w:rsidRDefault="000A4C4A" w:rsidP="00A24A3B">
            <w:pPr>
              <w:pStyle w:val="Tabletext1"/>
              <w:ind w:left="0"/>
            </w:pPr>
            <w:r w:rsidRPr="00696D8F">
              <w:t>Treatment to in remission - off treatment health state (base case: 2.09%)</w:t>
            </w:r>
          </w:p>
        </w:tc>
        <w:tc>
          <w:tcPr>
            <w:tcW w:w="550" w:type="pct"/>
            <w:tcBorders>
              <w:left w:val="nil"/>
              <w:right w:val="nil"/>
            </w:tcBorders>
            <w:noWrap/>
            <w:vAlign w:val="center"/>
            <w:hideMark/>
          </w:tcPr>
          <w:p w14:paraId="164D8BC8" w14:textId="77777777" w:rsidR="000A4C4A" w:rsidRPr="00696D8F" w:rsidRDefault="000A4C4A" w:rsidP="00A24A3B">
            <w:pPr>
              <w:pStyle w:val="Tabletext1"/>
              <w:jc w:val="right"/>
            </w:pPr>
          </w:p>
        </w:tc>
        <w:tc>
          <w:tcPr>
            <w:tcW w:w="472" w:type="pct"/>
            <w:tcBorders>
              <w:left w:val="nil"/>
              <w:right w:val="nil"/>
            </w:tcBorders>
            <w:noWrap/>
            <w:vAlign w:val="center"/>
            <w:hideMark/>
          </w:tcPr>
          <w:p w14:paraId="37F83506" w14:textId="77777777" w:rsidR="000A4C4A" w:rsidRPr="00696D8F" w:rsidRDefault="000A4C4A" w:rsidP="00A24A3B">
            <w:pPr>
              <w:pStyle w:val="Tabletext1"/>
              <w:jc w:val="right"/>
            </w:pPr>
          </w:p>
        </w:tc>
        <w:tc>
          <w:tcPr>
            <w:tcW w:w="550" w:type="pct"/>
            <w:tcBorders>
              <w:left w:val="nil"/>
              <w:right w:val="nil"/>
            </w:tcBorders>
            <w:noWrap/>
            <w:vAlign w:val="center"/>
            <w:hideMark/>
          </w:tcPr>
          <w:p w14:paraId="4816F7F4" w14:textId="77777777" w:rsidR="000A4C4A" w:rsidRPr="00696D8F" w:rsidRDefault="000A4C4A" w:rsidP="00A24A3B">
            <w:pPr>
              <w:pStyle w:val="Tabletext1"/>
              <w:jc w:val="right"/>
            </w:pPr>
          </w:p>
        </w:tc>
        <w:tc>
          <w:tcPr>
            <w:tcW w:w="522" w:type="pct"/>
            <w:tcBorders>
              <w:left w:val="nil"/>
            </w:tcBorders>
            <w:noWrap/>
            <w:vAlign w:val="center"/>
            <w:hideMark/>
          </w:tcPr>
          <w:p w14:paraId="34331E23" w14:textId="77777777" w:rsidR="000A4C4A" w:rsidRPr="00696D8F" w:rsidRDefault="000A4C4A" w:rsidP="00A24A3B">
            <w:pPr>
              <w:pStyle w:val="Tabletext1"/>
              <w:jc w:val="right"/>
            </w:pPr>
          </w:p>
        </w:tc>
      </w:tr>
      <w:tr w:rsidR="000A4C4A" w:rsidRPr="00696D8F" w14:paraId="1F330309" w14:textId="77777777" w:rsidTr="00A24A3B">
        <w:trPr>
          <w:trHeight w:val="255"/>
        </w:trPr>
        <w:tc>
          <w:tcPr>
            <w:tcW w:w="2906" w:type="pct"/>
            <w:noWrap/>
            <w:hideMark/>
          </w:tcPr>
          <w:p w14:paraId="3B79402A" w14:textId="77777777" w:rsidR="000A4C4A" w:rsidRPr="00696D8F" w:rsidRDefault="000A4C4A" w:rsidP="00680D08">
            <w:pPr>
              <w:pStyle w:val="Tabletext1"/>
              <w:ind w:left="284"/>
            </w:pPr>
            <w:r>
              <w:t>0.57</w:t>
            </w:r>
            <w:r w:rsidRPr="00696D8F">
              <w:t>%</w:t>
            </w:r>
          </w:p>
        </w:tc>
        <w:tc>
          <w:tcPr>
            <w:tcW w:w="550" w:type="pct"/>
            <w:noWrap/>
          </w:tcPr>
          <w:p w14:paraId="359F5B22" w14:textId="77777777" w:rsidR="000A4C4A" w:rsidRPr="00696D8F" w:rsidRDefault="000A4C4A" w:rsidP="00A24A3B">
            <w:pPr>
              <w:pStyle w:val="Tabletext1"/>
              <w:ind w:left="0"/>
              <w:jc w:val="right"/>
            </w:pPr>
            <w:r w:rsidRPr="00784B91">
              <w:t>$6,747</w:t>
            </w:r>
          </w:p>
        </w:tc>
        <w:tc>
          <w:tcPr>
            <w:tcW w:w="472" w:type="pct"/>
            <w:noWrap/>
          </w:tcPr>
          <w:p w14:paraId="3D77F2F4" w14:textId="77777777" w:rsidR="000A4C4A" w:rsidRPr="00696D8F" w:rsidRDefault="000A4C4A" w:rsidP="00A24A3B">
            <w:pPr>
              <w:pStyle w:val="Tabletext1"/>
              <w:ind w:left="0"/>
              <w:jc w:val="right"/>
            </w:pPr>
            <w:r w:rsidRPr="00784B91">
              <w:t>0.9414</w:t>
            </w:r>
          </w:p>
        </w:tc>
        <w:tc>
          <w:tcPr>
            <w:tcW w:w="550" w:type="pct"/>
            <w:noWrap/>
          </w:tcPr>
          <w:p w14:paraId="3DB05F0C" w14:textId="77777777" w:rsidR="000A4C4A" w:rsidRPr="00696D8F" w:rsidRDefault="000A4C4A" w:rsidP="00A24A3B">
            <w:pPr>
              <w:pStyle w:val="Tabletext1"/>
              <w:ind w:left="0"/>
              <w:jc w:val="right"/>
            </w:pPr>
            <w:r w:rsidRPr="00784B91">
              <w:t>$7,167</w:t>
            </w:r>
          </w:p>
        </w:tc>
        <w:tc>
          <w:tcPr>
            <w:tcW w:w="522" w:type="pct"/>
            <w:noWrap/>
          </w:tcPr>
          <w:p w14:paraId="323B121F" w14:textId="77777777" w:rsidR="000A4C4A" w:rsidRPr="00696D8F" w:rsidRDefault="000A4C4A" w:rsidP="00A24A3B">
            <w:pPr>
              <w:pStyle w:val="Tabletext1"/>
              <w:ind w:left="0"/>
              <w:jc w:val="right"/>
            </w:pPr>
            <w:r w:rsidRPr="00784B91">
              <w:t>-92%</w:t>
            </w:r>
          </w:p>
        </w:tc>
      </w:tr>
      <w:tr w:rsidR="000A4C4A" w:rsidRPr="00696D8F" w14:paraId="6E991B93" w14:textId="77777777" w:rsidTr="00A24A3B">
        <w:trPr>
          <w:trHeight w:val="255"/>
        </w:trPr>
        <w:tc>
          <w:tcPr>
            <w:tcW w:w="2906" w:type="pct"/>
            <w:tcBorders>
              <w:bottom w:val="single" w:sz="4" w:space="0" w:color="auto"/>
            </w:tcBorders>
            <w:noWrap/>
            <w:hideMark/>
          </w:tcPr>
          <w:p w14:paraId="03082699" w14:textId="77777777" w:rsidR="000A4C4A" w:rsidRPr="00696D8F" w:rsidRDefault="000A4C4A" w:rsidP="00680D08">
            <w:pPr>
              <w:pStyle w:val="Tabletext1"/>
              <w:ind w:left="284"/>
            </w:pPr>
            <w:r w:rsidRPr="00696D8F">
              <w:t>6.12%</w:t>
            </w:r>
          </w:p>
        </w:tc>
        <w:tc>
          <w:tcPr>
            <w:tcW w:w="550" w:type="pct"/>
            <w:tcBorders>
              <w:bottom w:val="single" w:sz="4" w:space="0" w:color="auto"/>
            </w:tcBorders>
            <w:noWrap/>
            <w:vAlign w:val="center"/>
            <w:hideMark/>
          </w:tcPr>
          <w:p w14:paraId="6ABD6324" w14:textId="77777777" w:rsidR="000A4C4A" w:rsidRPr="00696D8F" w:rsidRDefault="000A4C4A" w:rsidP="00A24A3B">
            <w:pPr>
              <w:pStyle w:val="Tabletext1"/>
              <w:ind w:left="0"/>
              <w:jc w:val="right"/>
            </w:pPr>
            <w:r w:rsidRPr="00F12B91">
              <w:t>$54,845</w:t>
            </w:r>
          </w:p>
        </w:tc>
        <w:tc>
          <w:tcPr>
            <w:tcW w:w="472" w:type="pct"/>
            <w:tcBorders>
              <w:bottom w:val="single" w:sz="4" w:space="0" w:color="auto"/>
            </w:tcBorders>
            <w:noWrap/>
            <w:vAlign w:val="center"/>
            <w:hideMark/>
          </w:tcPr>
          <w:p w14:paraId="7E9158AF" w14:textId="77777777" w:rsidR="000A4C4A" w:rsidRPr="00696D8F" w:rsidRDefault="000A4C4A" w:rsidP="00A24A3B">
            <w:pPr>
              <w:pStyle w:val="Tabletext1"/>
              <w:ind w:left="0"/>
              <w:jc w:val="right"/>
            </w:pPr>
            <w:r w:rsidRPr="00F12B91">
              <w:t>0.4826</w:t>
            </w:r>
          </w:p>
        </w:tc>
        <w:tc>
          <w:tcPr>
            <w:tcW w:w="550" w:type="pct"/>
            <w:tcBorders>
              <w:bottom w:val="single" w:sz="4" w:space="0" w:color="auto"/>
            </w:tcBorders>
            <w:noWrap/>
            <w:vAlign w:val="center"/>
            <w:hideMark/>
          </w:tcPr>
          <w:p w14:paraId="2904250A" w14:textId="77777777" w:rsidR="000A4C4A" w:rsidRPr="00696D8F" w:rsidRDefault="000A4C4A" w:rsidP="00A24A3B">
            <w:pPr>
              <w:pStyle w:val="Tabletext1"/>
              <w:ind w:left="0"/>
              <w:jc w:val="right"/>
            </w:pPr>
            <w:r w:rsidRPr="00F12B91">
              <w:t>$113,655</w:t>
            </w:r>
          </w:p>
        </w:tc>
        <w:tc>
          <w:tcPr>
            <w:tcW w:w="522" w:type="pct"/>
            <w:tcBorders>
              <w:bottom w:val="single" w:sz="4" w:space="0" w:color="auto"/>
            </w:tcBorders>
            <w:noWrap/>
            <w:vAlign w:val="center"/>
            <w:hideMark/>
          </w:tcPr>
          <w:p w14:paraId="1F0DC707" w14:textId="77777777" w:rsidR="000A4C4A" w:rsidRPr="00696D8F" w:rsidRDefault="000A4C4A" w:rsidP="00A24A3B">
            <w:pPr>
              <w:pStyle w:val="Tabletext1"/>
              <w:ind w:left="0"/>
              <w:jc w:val="right"/>
            </w:pPr>
            <w:r w:rsidRPr="00F12B91">
              <w:t>21%</w:t>
            </w:r>
          </w:p>
        </w:tc>
      </w:tr>
      <w:tr w:rsidR="000A4C4A" w:rsidRPr="00696D8F" w14:paraId="0D4DE1AD" w14:textId="77777777" w:rsidTr="00A24A3B">
        <w:trPr>
          <w:trHeight w:val="255"/>
        </w:trPr>
        <w:tc>
          <w:tcPr>
            <w:tcW w:w="2906" w:type="pct"/>
            <w:tcBorders>
              <w:right w:val="nil"/>
            </w:tcBorders>
            <w:noWrap/>
            <w:hideMark/>
          </w:tcPr>
          <w:p w14:paraId="02C3D3E9" w14:textId="77777777" w:rsidR="000A4C4A" w:rsidRPr="00F3307B" w:rsidRDefault="000A4C4A" w:rsidP="00A24A3B">
            <w:pPr>
              <w:pStyle w:val="Tabletext1"/>
              <w:ind w:left="0"/>
              <w:rPr>
                <w:b/>
              </w:rPr>
            </w:pPr>
            <w:r w:rsidRPr="00F3307B">
              <w:rPr>
                <w:b/>
              </w:rPr>
              <w:t xml:space="preserve">Number of </w:t>
            </w:r>
            <w:r>
              <w:rPr>
                <w:b/>
              </w:rPr>
              <w:t xml:space="preserve">plasma </w:t>
            </w:r>
            <w:r w:rsidRPr="00F3307B">
              <w:rPr>
                <w:b/>
              </w:rPr>
              <w:t>exchanges per maintenance treatment (base case: 1.5)</w:t>
            </w:r>
          </w:p>
        </w:tc>
        <w:tc>
          <w:tcPr>
            <w:tcW w:w="550" w:type="pct"/>
            <w:tcBorders>
              <w:left w:val="nil"/>
              <w:right w:val="nil"/>
            </w:tcBorders>
            <w:noWrap/>
            <w:vAlign w:val="center"/>
            <w:hideMark/>
          </w:tcPr>
          <w:p w14:paraId="2DA54EB6" w14:textId="77777777" w:rsidR="000A4C4A" w:rsidRPr="00696D8F" w:rsidRDefault="000A4C4A" w:rsidP="00A24A3B">
            <w:pPr>
              <w:pStyle w:val="Tabletext1"/>
              <w:ind w:left="0"/>
              <w:jc w:val="right"/>
            </w:pPr>
          </w:p>
        </w:tc>
        <w:tc>
          <w:tcPr>
            <w:tcW w:w="472" w:type="pct"/>
            <w:tcBorders>
              <w:left w:val="nil"/>
              <w:right w:val="nil"/>
            </w:tcBorders>
            <w:noWrap/>
            <w:vAlign w:val="center"/>
            <w:hideMark/>
          </w:tcPr>
          <w:p w14:paraId="39C97762" w14:textId="77777777" w:rsidR="000A4C4A" w:rsidRPr="00696D8F" w:rsidRDefault="000A4C4A" w:rsidP="00A24A3B">
            <w:pPr>
              <w:pStyle w:val="Tabletext1"/>
              <w:ind w:left="0"/>
              <w:jc w:val="right"/>
            </w:pPr>
          </w:p>
        </w:tc>
        <w:tc>
          <w:tcPr>
            <w:tcW w:w="550" w:type="pct"/>
            <w:tcBorders>
              <w:left w:val="nil"/>
              <w:right w:val="nil"/>
            </w:tcBorders>
            <w:noWrap/>
            <w:vAlign w:val="center"/>
            <w:hideMark/>
          </w:tcPr>
          <w:p w14:paraId="00F5BE3A" w14:textId="77777777" w:rsidR="000A4C4A" w:rsidRPr="00696D8F" w:rsidRDefault="000A4C4A" w:rsidP="00A24A3B">
            <w:pPr>
              <w:pStyle w:val="Tabletext1"/>
              <w:ind w:left="0"/>
              <w:jc w:val="right"/>
            </w:pPr>
          </w:p>
        </w:tc>
        <w:tc>
          <w:tcPr>
            <w:tcW w:w="522" w:type="pct"/>
            <w:tcBorders>
              <w:left w:val="nil"/>
            </w:tcBorders>
            <w:noWrap/>
            <w:vAlign w:val="center"/>
            <w:hideMark/>
          </w:tcPr>
          <w:p w14:paraId="6E8F5F74" w14:textId="77777777" w:rsidR="000A4C4A" w:rsidRPr="00696D8F" w:rsidRDefault="000A4C4A" w:rsidP="00A24A3B">
            <w:pPr>
              <w:pStyle w:val="Tabletext1"/>
              <w:ind w:left="0"/>
              <w:jc w:val="right"/>
            </w:pPr>
          </w:p>
        </w:tc>
      </w:tr>
      <w:tr w:rsidR="000A4C4A" w:rsidRPr="00696D8F" w14:paraId="0EA20646" w14:textId="77777777" w:rsidTr="00A24A3B">
        <w:trPr>
          <w:trHeight w:val="255"/>
        </w:trPr>
        <w:tc>
          <w:tcPr>
            <w:tcW w:w="2906" w:type="pct"/>
            <w:noWrap/>
            <w:hideMark/>
          </w:tcPr>
          <w:p w14:paraId="7FD76483" w14:textId="77777777" w:rsidR="000A4C4A" w:rsidRPr="00696D8F" w:rsidRDefault="000A4C4A" w:rsidP="00680D08">
            <w:pPr>
              <w:pStyle w:val="Tabletext1"/>
              <w:ind w:left="284"/>
            </w:pPr>
            <w:r w:rsidRPr="00696D8F">
              <w:t>1</w:t>
            </w:r>
          </w:p>
        </w:tc>
        <w:tc>
          <w:tcPr>
            <w:tcW w:w="550" w:type="pct"/>
            <w:noWrap/>
            <w:vAlign w:val="center"/>
            <w:hideMark/>
          </w:tcPr>
          <w:p w14:paraId="0537FE6A" w14:textId="77777777" w:rsidR="000A4C4A" w:rsidRPr="00696D8F" w:rsidRDefault="000A4C4A" w:rsidP="00A24A3B">
            <w:pPr>
              <w:pStyle w:val="Tabletext1"/>
              <w:ind w:left="0"/>
              <w:jc w:val="right"/>
            </w:pPr>
            <w:r w:rsidRPr="00F12B91">
              <w:t>$73,833</w:t>
            </w:r>
          </w:p>
        </w:tc>
        <w:tc>
          <w:tcPr>
            <w:tcW w:w="472" w:type="pct"/>
            <w:noWrap/>
            <w:vAlign w:val="center"/>
            <w:hideMark/>
          </w:tcPr>
          <w:p w14:paraId="5027CFB2" w14:textId="77777777" w:rsidR="000A4C4A" w:rsidRPr="00696D8F" w:rsidRDefault="000A4C4A" w:rsidP="00A24A3B">
            <w:pPr>
              <w:pStyle w:val="Tabletext1"/>
              <w:ind w:left="0"/>
              <w:jc w:val="right"/>
            </w:pPr>
            <w:r w:rsidRPr="00F12B91">
              <w:t>0.5233</w:t>
            </w:r>
          </w:p>
        </w:tc>
        <w:tc>
          <w:tcPr>
            <w:tcW w:w="550" w:type="pct"/>
            <w:noWrap/>
            <w:vAlign w:val="center"/>
            <w:hideMark/>
          </w:tcPr>
          <w:p w14:paraId="2257B96E" w14:textId="77777777" w:rsidR="000A4C4A" w:rsidRPr="00696D8F" w:rsidRDefault="000A4C4A" w:rsidP="00A24A3B">
            <w:pPr>
              <w:pStyle w:val="Tabletext1"/>
              <w:ind w:left="0"/>
              <w:jc w:val="right"/>
            </w:pPr>
            <w:r w:rsidRPr="00F12B91">
              <w:t>$141,078</w:t>
            </w:r>
          </w:p>
        </w:tc>
        <w:tc>
          <w:tcPr>
            <w:tcW w:w="522" w:type="pct"/>
            <w:noWrap/>
            <w:vAlign w:val="center"/>
            <w:hideMark/>
          </w:tcPr>
          <w:p w14:paraId="1A717BAB" w14:textId="77777777" w:rsidR="000A4C4A" w:rsidRPr="00696D8F" w:rsidRDefault="000A4C4A" w:rsidP="00A24A3B">
            <w:pPr>
              <w:pStyle w:val="Tabletext1"/>
              <w:ind w:left="0"/>
              <w:jc w:val="right"/>
            </w:pPr>
            <w:r w:rsidRPr="00F12B91">
              <w:t>50%</w:t>
            </w:r>
          </w:p>
        </w:tc>
      </w:tr>
      <w:tr w:rsidR="000A4C4A" w:rsidRPr="00696D8F" w14:paraId="05166B35" w14:textId="77777777" w:rsidTr="00A24A3B">
        <w:trPr>
          <w:trHeight w:val="255"/>
        </w:trPr>
        <w:tc>
          <w:tcPr>
            <w:tcW w:w="2906" w:type="pct"/>
            <w:tcBorders>
              <w:bottom w:val="single" w:sz="4" w:space="0" w:color="auto"/>
            </w:tcBorders>
            <w:noWrap/>
            <w:hideMark/>
          </w:tcPr>
          <w:p w14:paraId="78D752EA" w14:textId="77777777" w:rsidR="000A4C4A" w:rsidRPr="00696D8F" w:rsidRDefault="000A4C4A" w:rsidP="00680D08">
            <w:pPr>
              <w:pStyle w:val="Tabletext1"/>
              <w:ind w:left="284"/>
            </w:pPr>
            <w:r w:rsidRPr="00696D8F">
              <w:t>2</w:t>
            </w:r>
          </w:p>
        </w:tc>
        <w:tc>
          <w:tcPr>
            <w:tcW w:w="550" w:type="pct"/>
            <w:tcBorders>
              <w:bottom w:val="single" w:sz="4" w:space="0" w:color="auto"/>
            </w:tcBorders>
            <w:noWrap/>
            <w:vAlign w:val="center"/>
            <w:hideMark/>
          </w:tcPr>
          <w:p w14:paraId="7794D0A4" w14:textId="77777777" w:rsidR="000A4C4A" w:rsidRPr="00696D8F" w:rsidRDefault="000A4C4A" w:rsidP="00A24A3B">
            <w:pPr>
              <w:pStyle w:val="Tabletext1"/>
              <w:ind w:left="0"/>
              <w:jc w:val="right"/>
            </w:pPr>
            <w:r w:rsidRPr="00F12B91">
              <w:t>$26,150</w:t>
            </w:r>
          </w:p>
        </w:tc>
        <w:tc>
          <w:tcPr>
            <w:tcW w:w="472" w:type="pct"/>
            <w:tcBorders>
              <w:bottom w:val="single" w:sz="4" w:space="0" w:color="auto"/>
            </w:tcBorders>
            <w:noWrap/>
            <w:vAlign w:val="center"/>
            <w:hideMark/>
          </w:tcPr>
          <w:p w14:paraId="23152AAD" w14:textId="77777777" w:rsidR="000A4C4A" w:rsidRPr="00696D8F" w:rsidRDefault="000A4C4A" w:rsidP="00A24A3B">
            <w:pPr>
              <w:pStyle w:val="Tabletext1"/>
              <w:ind w:left="0"/>
              <w:jc w:val="right"/>
            </w:pPr>
            <w:r w:rsidRPr="00F12B91">
              <w:t>0.5399</w:t>
            </w:r>
          </w:p>
        </w:tc>
        <w:tc>
          <w:tcPr>
            <w:tcW w:w="550" w:type="pct"/>
            <w:tcBorders>
              <w:bottom w:val="single" w:sz="4" w:space="0" w:color="auto"/>
            </w:tcBorders>
            <w:noWrap/>
            <w:vAlign w:val="center"/>
            <w:hideMark/>
          </w:tcPr>
          <w:p w14:paraId="7E12F580" w14:textId="77777777" w:rsidR="000A4C4A" w:rsidRPr="00696D8F" w:rsidRDefault="000A4C4A" w:rsidP="00A24A3B">
            <w:pPr>
              <w:pStyle w:val="Tabletext1"/>
              <w:ind w:left="0"/>
              <w:jc w:val="right"/>
            </w:pPr>
            <w:r w:rsidRPr="00F12B91">
              <w:t>$48,437</w:t>
            </w:r>
          </w:p>
        </w:tc>
        <w:tc>
          <w:tcPr>
            <w:tcW w:w="522" w:type="pct"/>
            <w:tcBorders>
              <w:bottom w:val="single" w:sz="4" w:space="0" w:color="auto"/>
            </w:tcBorders>
            <w:noWrap/>
            <w:vAlign w:val="center"/>
            <w:hideMark/>
          </w:tcPr>
          <w:p w14:paraId="38613AB8" w14:textId="77777777" w:rsidR="000A4C4A" w:rsidRPr="00696D8F" w:rsidRDefault="000A4C4A" w:rsidP="00A24A3B">
            <w:pPr>
              <w:pStyle w:val="Tabletext1"/>
              <w:ind w:left="0"/>
              <w:jc w:val="right"/>
            </w:pPr>
            <w:r w:rsidRPr="00F12B91">
              <w:t>-48%</w:t>
            </w:r>
          </w:p>
        </w:tc>
      </w:tr>
      <w:tr w:rsidR="000A4C4A" w:rsidRPr="00696D8F" w14:paraId="35CB6F2D" w14:textId="77777777" w:rsidTr="00A24A3B">
        <w:trPr>
          <w:trHeight w:val="315"/>
        </w:trPr>
        <w:tc>
          <w:tcPr>
            <w:tcW w:w="2906" w:type="pct"/>
            <w:tcBorders>
              <w:right w:val="nil"/>
            </w:tcBorders>
            <w:noWrap/>
            <w:hideMark/>
          </w:tcPr>
          <w:p w14:paraId="481B72DF" w14:textId="77777777" w:rsidR="000A4C4A" w:rsidRPr="00F3307B" w:rsidRDefault="000A4C4A" w:rsidP="00A24A3B">
            <w:pPr>
              <w:pStyle w:val="Tabletext1"/>
              <w:ind w:left="0"/>
              <w:rPr>
                <w:b/>
              </w:rPr>
            </w:pPr>
            <w:r w:rsidRPr="00F3307B">
              <w:rPr>
                <w:b/>
              </w:rPr>
              <w:t>P</w:t>
            </w:r>
            <w:r>
              <w:rPr>
                <w:b/>
              </w:rPr>
              <w:t>E</w:t>
            </w:r>
            <w:r w:rsidRPr="00F3307B">
              <w:rPr>
                <w:b/>
              </w:rPr>
              <w:t xml:space="preserve"> administration cost (base case: $1,477)</w:t>
            </w:r>
          </w:p>
        </w:tc>
        <w:tc>
          <w:tcPr>
            <w:tcW w:w="550" w:type="pct"/>
            <w:tcBorders>
              <w:left w:val="nil"/>
              <w:right w:val="nil"/>
            </w:tcBorders>
            <w:noWrap/>
            <w:vAlign w:val="center"/>
            <w:hideMark/>
          </w:tcPr>
          <w:p w14:paraId="6012ABB4" w14:textId="77777777" w:rsidR="000A4C4A" w:rsidRPr="00696D8F" w:rsidRDefault="000A4C4A" w:rsidP="00A24A3B">
            <w:pPr>
              <w:pStyle w:val="Tabletext1"/>
              <w:ind w:left="0"/>
              <w:jc w:val="right"/>
            </w:pPr>
          </w:p>
        </w:tc>
        <w:tc>
          <w:tcPr>
            <w:tcW w:w="472" w:type="pct"/>
            <w:tcBorders>
              <w:left w:val="nil"/>
              <w:right w:val="nil"/>
            </w:tcBorders>
            <w:noWrap/>
            <w:vAlign w:val="center"/>
            <w:hideMark/>
          </w:tcPr>
          <w:p w14:paraId="4751F84C" w14:textId="77777777" w:rsidR="000A4C4A" w:rsidRPr="00696D8F" w:rsidRDefault="000A4C4A" w:rsidP="00A24A3B">
            <w:pPr>
              <w:pStyle w:val="Tabletext1"/>
              <w:ind w:left="0"/>
              <w:jc w:val="right"/>
            </w:pPr>
          </w:p>
        </w:tc>
        <w:tc>
          <w:tcPr>
            <w:tcW w:w="550" w:type="pct"/>
            <w:tcBorders>
              <w:left w:val="nil"/>
              <w:right w:val="nil"/>
            </w:tcBorders>
            <w:noWrap/>
            <w:vAlign w:val="center"/>
            <w:hideMark/>
          </w:tcPr>
          <w:p w14:paraId="2EAF68A2" w14:textId="77777777" w:rsidR="000A4C4A" w:rsidRPr="00696D8F" w:rsidRDefault="000A4C4A" w:rsidP="00A24A3B">
            <w:pPr>
              <w:pStyle w:val="Tabletext1"/>
              <w:ind w:left="0"/>
              <w:jc w:val="right"/>
            </w:pPr>
          </w:p>
        </w:tc>
        <w:tc>
          <w:tcPr>
            <w:tcW w:w="522" w:type="pct"/>
            <w:tcBorders>
              <w:left w:val="nil"/>
            </w:tcBorders>
            <w:noWrap/>
            <w:vAlign w:val="center"/>
            <w:hideMark/>
          </w:tcPr>
          <w:p w14:paraId="1A4DCD58" w14:textId="77777777" w:rsidR="000A4C4A" w:rsidRPr="00696D8F" w:rsidRDefault="000A4C4A" w:rsidP="00A24A3B">
            <w:pPr>
              <w:pStyle w:val="Tabletext1"/>
              <w:ind w:left="0"/>
              <w:jc w:val="right"/>
            </w:pPr>
          </w:p>
        </w:tc>
      </w:tr>
      <w:tr w:rsidR="000A4C4A" w:rsidRPr="00696D8F" w14:paraId="394955FE" w14:textId="77777777" w:rsidTr="00A24A3B">
        <w:trPr>
          <w:trHeight w:val="300"/>
        </w:trPr>
        <w:tc>
          <w:tcPr>
            <w:tcW w:w="2906" w:type="pct"/>
            <w:tcBorders>
              <w:bottom w:val="single" w:sz="4" w:space="0" w:color="auto"/>
            </w:tcBorders>
            <w:noWrap/>
            <w:hideMark/>
          </w:tcPr>
          <w:p w14:paraId="5874F2C1" w14:textId="77777777" w:rsidR="000A4C4A" w:rsidRPr="00696D8F" w:rsidRDefault="000A4C4A" w:rsidP="00680D08">
            <w:pPr>
              <w:pStyle w:val="Tabletext1"/>
              <w:ind w:left="284"/>
            </w:pPr>
            <w:r w:rsidRPr="00696D8F">
              <w:t>$738</w:t>
            </w:r>
          </w:p>
        </w:tc>
        <w:tc>
          <w:tcPr>
            <w:tcW w:w="550" w:type="pct"/>
            <w:tcBorders>
              <w:bottom w:val="single" w:sz="4" w:space="0" w:color="auto"/>
            </w:tcBorders>
            <w:noWrap/>
            <w:vAlign w:val="center"/>
            <w:hideMark/>
          </w:tcPr>
          <w:p w14:paraId="1991B50D" w14:textId="77777777" w:rsidR="000A4C4A" w:rsidRPr="00696D8F" w:rsidRDefault="000A4C4A" w:rsidP="00A24A3B">
            <w:pPr>
              <w:pStyle w:val="Tabletext1"/>
              <w:ind w:left="0"/>
              <w:jc w:val="right"/>
            </w:pPr>
            <w:r w:rsidRPr="00F12B91">
              <w:t>$83,317</w:t>
            </w:r>
          </w:p>
        </w:tc>
        <w:tc>
          <w:tcPr>
            <w:tcW w:w="472" w:type="pct"/>
            <w:tcBorders>
              <w:bottom w:val="single" w:sz="4" w:space="0" w:color="auto"/>
            </w:tcBorders>
            <w:noWrap/>
            <w:vAlign w:val="center"/>
            <w:hideMark/>
          </w:tcPr>
          <w:p w14:paraId="05DB6C86" w14:textId="77777777" w:rsidR="000A4C4A" w:rsidRPr="00696D8F" w:rsidRDefault="000A4C4A" w:rsidP="00A24A3B">
            <w:pPr>
              <w:pStyle w:val="Tabletext1"/>
              <w:ind w:left="0"/>
              <w:jc w:val="right"/>
            </w:pPr>
            <w:r w:rsidRPr="00F12B91">
              <w:t>0.5316</w:t>
            </w:r>
          </w:p>
        </w:tc>
        <w:tc>
          <w:tcPr>
            <w:tcW w:w="550" w:type="pct"/>
            <w:tcBorders>
              <w:bottom w:val="single" w:sz="4" w:space="0" w:color="auto"/>
            </w:tcBorders>
            <w:noWrap/>
            <w:vAlign w:val="center"/>
            <w:hideMark/>
          </w:tcPr>
          <w:p w14:paraId="4DDEF804" w14:textId="77777777" w:rsidR="000A4C4A" w:rsidRPr="00696D8F" w:rsidRDefault="000A4C4A" w:rsidP="00A24A3B">
            <w:pPr>
              <w:pStyle w:val="Tabletext1"/>
              <w:ind w:left="0"/>
              <w:jc w:val="right"/>
            </w:pPr>
            <w:r w:rsidRPr="00F12B91">
              <w:t>$156,726</w:t>
            </w:r>
          </w:p>
        </w:tc>
        <w:tc>
          <w:tcPr>
            <w:tcW w:w="522" w:type="pct"/>
            <w:tcBorders>
              <w:bottom w:val="single" w:sz="4" w:space="0" w:color="auto"/>
            </w:tcBorders>
            <w:noWrap/>
            <w:vAlign w:val="center"/>
            <w:hideMark/>
          </w:tcPr>
          <w:p w14:paraId="7DDD9927" w14:textId="77777777" w:rsidR="000A4C4A" w:rsidRPr="00696D8F" w:rsidRDefault="000A4C4A" w:rsidP="00A24A3B">
            <w:pPr>
              <w:pStyle w:val="Tabletext1"/>
              <w:ind w:left="0"/>
              <w:jc w:val="right"/>
            </w:pPr>
            <w:r w:rsidRPr="00F12B91">
              <w:t>67%</w:t>
            </w:r>
          </w:p>
        </w:tc>
      </w:tr>
      <w:tr w:rsidR="000A4C4A" w:rsidRPr="00696D8F" w14:paraId="3A52F93D" w14:textId="77777777" w:rsidTr="00A24A3B">
        <w:trPr>
          <w:trHeight w:val="255"/>
        </w:trPr>
        <w:tc>
          <w:tcPr>
            <w:tcW w:w="2906" w:type="pct"/>
            <w:tcBorders>
              <w:right w:val="nil"/>
            </w:tcBorders>
            <w:noWrap/>
            <w:hideMark/>
          </w:tcPr>
          <w:p w14:paraId="4D74CF9C" w14:textId="77777777" w:rsidR="000A4C4A" w:rsidRPr="00F3307B" w:rsidRDefault="000A4C4A" w:rsidP="00A24A3B">
            <w:pPr>
              <w:pStyle w:val="Tabletext1"/>
              <w:ind w:left="0"/>
              <w:rPr>
                <w:b/>
              </w:rPr>
            </w:pPr>
            <w:r w:rsidRPr="007C0935">
              <w:rPr>
                <w:b/>
              </w:rPr>
              <w:t>Utility gain with PE treatment</w:t>
            </w:r>
            <w:r w:rsidRPr="00F3307B">
              <w:rPr>
                <w:b/>
              </w:rPr>
              <w:t xml:space="preserve"> (base case: 0.12)</w:t>
            </w:r>
          </w:p>
        </w:tc>
        <w:tc>
          <w:tcPr>
            <w:tcW w:w="550" w:type="pct"/>
            <w:tcBorders>
              <w:left w:val="nil"/>
              <w:right w:val="nil"/>
            </w:tcBorders>
            <w:noWrap/>
            <w:vAlign w:val="center"/>
            <w:hideMark/>
          </w:tcPr>
          <w:p w14:paraId="154D6173" w14:textId="77777777" w:rsidR="000A4C4A" w:rsidRPr="00696D8F" w:rsidRDefault="000A4C4A" w:rsidP="00A24A3B">
            <w:pPr>
              <w:pStyle w:val="Tabletext1"/>
              <w:ind w:left="0"/>
              <w:jc w:val="right"/>
            </w:pPr>
          </w:p>
        </w:tc>
        <w:tc>
          <w:tcPr>
            <w:tcW w:w="472" w:type="pct"/>
            <w:tcBorders>
              <w:left w:val="nil"/>
              <w:right w:val="nil"/>
            </w:tcBorders>
            <w:noWrap/>
            <w:vAlign w:val="center"/>
            <w:hideMark/>
          </w:tcPr>
          <w:p w14:paraId="54A04115" w14:textId="77777777" w:rsidR="000A4C4A" w:rsidRPr="00696D8F" w:rsidRDefault="000A4C4A" w:rsidP="00A24A3B">
            <w:pPr>
              <w:pStyle w:val="Tabletext1"/>
              <w:ind w:left="0"/>
              <w:jc w:val="right"/>
            </w:pPr>
          </w:p>
        </w:tc>
        <w:tc>
          <w:tcPr>
            <w:tcW w:w="550" w:type="pct"/>
            <w:tcBorders>
              <w:left w:val="nil"/>
              <w:right w:val="nil"/>
            </w:tcBorders>
            <w:noWrap/>
            <w:vAlign w:val="center"/>
            <w:hideMark/>
          </w:tcPr>
          <w:p w14:paraId="22EDA756" w14:textId="77777777" w:rsidR="000A4C4A" w:rsidRPr="00696D8F" w:rsidRDefault="000A4C4A" w:rsidP="00A24A3B">
            <w:pPr>
              <w:pStyle w:val="Tabletext1"/>
              <w:ind w:left="0"/>
              <w:jc w:val="right"/>
            </w:pPr>
          </w:p>
        </w:tc>
        <w:tc>
          <w:tcPr>
            <w:tcW w:w="522" w:type="pct"/>
            <w:tcBorders>
              <w:left w:val="nil"/>
            </w:tcBorders>
            <w:noWrap/>
            <w:vAlign w:val="center"/>
            <w:hideMark/>
          </w:tcPr>
          <w:p w14:paraId="12394684" w14:textId="77777777" w:rsidR="000A4C4A" w:rsidRPr="00696D8F" w:rsidRDefault="000A4C4A" w:rsidP="00A24A3B">
            <w:pPr>
              <w:pStyle w:val="Tabletext1"/>
              <w:ind w:left="0"/>
              <w:jc w:val="right"/>
            </w:pPr>
          </w:p>
        </w:tc>
      </w:tr>
      <w:tr w:rsidR="000A4C4A" w:rsidRPr="00696D8F" w14:paraId="1BD59495" w14:textId="77777777" w:rsidTr="00A24A3B">
        <w:trPr>
          <w:trHeight w:val="255"/>
        </w:trPr>
        <w:tc>
          <w:tcPr>
            <w:tcW w:w="2906" w:type="pct"/>
            <w:noWrap/>
            <w:hideMark/>
          </w:tcPr>
          <w:p w14:paraId="1C307759" w14:textId="77777777" w:rsidR="000A4C4A" w:rsidRPr="00696D8F" w:rsidRDefault="000A4C4A" w:rsidP="00680D08">
            <w:pPr>
              <w:pStyle w:val="Tabletext1"/>
              <w:ind w:left="284"/>
            </w:pPr>
            <w:r w:rsidRPr="00696D8F">
              <w:t>0</w:t>
            </w:r>
            <w:r>
              <w:t>.0</w:t>
            </w:r>
          </w:p>
        </w:tc>
        <w:tc>
          <w:tcPr>
            <w:tcW w:w="550" w:type="pct"/>
            <w:noWrap/>
            <w:vAlign w:val="center"/>
            <w:hideMark/>
          </w:tcPr>
          <w:p w14:paraId="0A5F512D" w14:textId="77777777" w:rsidR="000A4C4A" w:rsidRPr="00696D8F" w:rsidRDefault="000A4C4A" w:rsidP="00A24A3B">
            <w:pPr>
              <w:pStyle w:val="Tabletext1"/>
              <w:ind w:left="0"/>
              <w:jc w:val="right"/>
            </w:pPr>
            <w:r w:rsidRPr="00F12B91">
              <w:t>$49,991</w:t>
            </w:r>
          </w:p>
        </w:tc>
        <w:tc>
          <w:tcPr>
            <w:tcW w:w="472" w:type="pct"/>
            <w:noWrap/>
            <w:vAlign w:val="center"/>
            <w:hideMark/>
          </w:tcPr>
          <w:p w14:paraId="05B9D589" w14:textId="77777777" w:rsidR="000A4C4A" w:rsidRPr="00696D8F" w:rsidRDefault="000A4C4A" w:rsidP="00A24A3B">
            <w:pPr>
              <w:pStyle w:val="Tabletext1"/>
              <w:ind w:left="0"/>
              <w:jc w:val="right"/>
            </w:pPr>
            <w:r w:rsidRPr="00F12B91">
              <w:t>0.7654</w:t>
            </w:r>
          </w:p>
        </w:tc>
        <w:tc>
          <w:tcPr>
            <w:tcW w:w="550" w:type="pct"/>
            <w:noWrap/>
            <w:vAlign w:val="center"/>
            <w:hideMark/>
          </w:tcPr>
          <w:p w14:paraId="4541A65C" w14:textId="77777777" w:rsidR="000A4C4A" w:rsidRPr="00696D8F" w:rsidRDefault="000A4C4A" w:rsidP="00A24A3B">
            <w:pPr>
              <w:pStyle w:val="Tabletext1"/>
              <w:ind w:left="0"/>
              <w:jc w:val="right"/>
            </w:pPr>
            <w:r w:rsidRPr="00F12B91">
              <w:t>$65,316</w:t>
            </w:r>
          </w:p>
        </w:tc>
        <w:tc>
          <w:tcPr>
            <w:tcW w:w="522" w:type="pct"/>
            <w:noWrap/>
            <w:vAlign w:val="center"/>
            <w:hideMark/>
          </w:tcPr>
          <w:p w14:paraId="0297FD1B" w14:textId="77777777" w:rsidR="000A4C4A" w:rsidRPr="00696D8F" w:rsidRDefault="000A4C4A" w:rsidP="00A24A3B">
            <w:pPr>
              <w:pStyle w:val="Tabletext1"/>
              <w:ind w:left="0"/>
              <w:jc w:val="right"/>
            </w:pPr>
            <w:r w:rsidRPr="00F12B91">
              <w:t>-31%</w:t>
            </w:r>
          </w:p>
        </w:tc>
      </w:tr>
    </w:tbl>
    <w:p w14:paraId="6BB1CC34" w14:textId="77777777" w:rsidR="000A4C4A" w:rsidRDefault="000A4C4A" w:rsidP="000A4C4A">
      <w:pPr>
        <w:pStyle w:val="Tablenotes1"/>
      </w:pPr>
      <w:r>
        <w:t>Ig = immunoglobulin;</w:t>
      </w:r>
      <w:r w:rsidRPr="00EF530F">
        <w:t xml:space="preserve"> ICER = incremental cost-effectiveness ratio; Ig = immunoglobulin; Inc = Incremental;</w:t>
      </w:r>
      <w:r>
        <w:t xml:space="preserve"> IV = intravenous;</w:t>
      </w:r>
      <w:r w:rsidRPr="00EF530F">
        <w:t xml:space="preserve"> kg = kilograms; </w:t>
      </w:r>
      <w:r>
        <w:t xml:space="preserve">PE = plasma exchange; </w:t>
      </w:r>
      <w:r w:rsidRPr="00EF530F">
        <w:t>QALY = quality-adjusted life years</w:t>
      </w:r>
    </w:p>
    <w:p w14:paraId="37784B33" w14:textId="3C58953A" w:rsidR="00CB0278" w:rsidRDefault="00BD38A5" w:rsidP="00CB0278">
      <w:pPr>
        <w:pStyle w:val="BodyTextSTD"/>
        <w:rPr>
          <w:rFonts w:eastAsia="Calibri"/>
        </w:rPr>
      </w:pPr>
      <w:r>
        <w:rPr>
          <w:rFonts w:eastAsia="Calibri"/>
        </w:rPr>
        <w:t>Due to the lack of evidence, most treatment effect parameter values (i.e</w:t>
      </w:r>
      <w:r w:rsidR="004019DA">
        <w:rPr>
          <w:rFonts w:eastAsia="Calibri"/>
        </w:rPr>
        <w:t>.</w:t>
      </w:r>
      <w:r>
        <w:rPr>
          <w:rFonts w:eastAsia="Calibri"/>
        </w:rPr>
        <w:t xml:space="preserve"> except treatment costs and treatment associated severe adverse events) in the base-case are assumed similar for Ig and PE, based on the clinical claim of non-inferior efficacy. The cost of Ig and the administration cost per PE procedure are the key cost drivers in the model. Any reduction in the Ig doses either by increasing the interval length between doses or decreasing the maintenance dose (such as with weaning off trial or using lower maintenance dose of 0.4g/kg) favours Ig and reduces the ICERs substantially. Reducing the administration cost per PE procedure by 50% favours PE and increases the ICER by 67%. When the number of </w:t>
      </w:r>
      <w:r w:rsidR="004019DA">
        <w:rPr>
          <w:rFonts w:eastAsia="Calibri"/>
        </w:rPr>
        <w:t>PEs</w:t>
      </w:r>
      <w:r>
        <w:rPr>
          <w:rFonts w:eastAsia="Calibri"/>
        </w:rPr>
        <w:t xml:space="preserve"> are decreased to one per </w:t>
      </w:r>
      <w:r w:rsidR="004019DA">
        <w:rPr>
          <w:rFonts w:eastAsia="Calibri"/>
        </w:rPr>
        <w:t>four </w:t>
      </w:r>
      <w:r>
        <w:rPr>
          <w:rFonts w:eastAsia="Calibri"/>
        </w:rPr>
        <w:t xml:space="preserve">weeks the ICER increases by 50% due to significant reduction in costs associated with PE. In contrast, when the number of plasma exchanges increases to two per </w:t>
      </w:r>
      <w:r w:rsidR="004019DA">
        <w:rPr>
          <w:rFonts w:eastAsia="Calibri"/>
        </w:rPr>
        <w:t>four </w:t>
      </w:r>
      <w:r>
        <w:rPr>
          <w:rFonts w:eastAsia="Calibri"/>
        </w:rPr>
        <w:t xml:space="preserve">weeks, the ICER reduces by 48%. The base case assumes the utility gain with Ig and PE treatment is same (0.12); reducing the utility gain with PE treatment naturally reduces the ICER. The base case modelled time horizon is </w:t>
      </w:r>
      <w:r w:rsidR="004019DA">
        <w:rPr>
          <w:rFonts w:eastAsia="Calibri"/>
        </w:rPr>
        <w:t xml:space="preserve">10 </w:t>
      </w:r>
      <w:r>
        <w:rPr>
          <w:rFonts w:eastAsia="Calibri"/>
        </w:rPr>
        <w:t>years; decreasing the time horizon below five years increases the ICERs substantially. Varying the transition probabilities (treatment response, remission probability, relapse probability and adverse events) for Ig or PE all have a substantial impact on the ICERs.</w:t>
      </w:r>
    </w:p>
    <w:p w14:paraId="23F3D29F" w14:textId="23DE843F" w:rsidR="00CC6DE8" w:rsidRDefault="00CC6DE8" w:rsidP="00411915">
      <w:pPr>
        <w:pStyle w:val="Heading5"/>
        <w:rPr>
          <w:rFonts w:eastAsia="Calibri"/>
        </w:rPr>
      </w:pPr>
      <w:r>
        <w:rPr>
          <w:rFonts w:eastAsia="Calibri"/>
        </w:rPr>
        <w:t>Ig versus BSC</w:t>
      </w:r>
    </w:p>
    <w:p w14:paraId="2A8421E1" w14:textId="19FA25CF" w:rsidR="00CC6DE8" w:rsidRPr="00C14B45" w:rsidRDefault="000A4C4A" w:rsidP="00CB0278">
      <w:pPr>
        <w:pStyle w:val="BodyTextSTD"/>
        <w:rPr>
          <w:rFonts w:eastAsia="Calibri"/>
        </w:rPr>
      </w:pPr>
      <w:r>
        <w:rPr>
          <w:rFonts w:eastAsia="Calibri"/>
        </w:rPr>
        <w:t>S</w:t>
      </w:r>
      <w:r w:rsidRPr="003446E3">
        <w:rPr>
          <w:rFonts w:eastAsia="Calibri"/>
        </w:rPr>
        <w:t>ensitivity analyses conducted ar</w:t>
      </w:r>
      <w:r w:rsidR="00D6140A">
        <w:rPr>
          <w:rFonts w:eastAsia="Calibri"/>
        </w:rPr>
        <w:t>ound areas of uncertainty in this</w:t>
      </w:r>
      <w:r w:rsidRPr="003446E3">
        <w:rPr>
          <w:rFonts w:eastAsia="Calibri"/>
        </w:rPr>
        <w:t xml:space="preserve"> model are presented in</w:t>
      </w:r>
      <w:r w:rsidR="007354FD">
        <w:rPr>
          <w:rFonts w:eastAsia="Calibri"/>
        </w:rPr>
        <w:t xml:space="preserve"> </w:t>
      </w:r>
      <w:r>
        <w:rPr>
          <w:rFonts w:eastAsia="Calibri"/>
        </w:rPr>
        <w:fldChar w:fldCharType="begin"/>
      </w:r>
      <w:r>
        <w:rPr>
          <w:rFonts w:eastAsia="Calibri"/>
        </w:rPr>
        <w:instrText xml:space="preserve"> REF _Ref68077419 \h </w:instrText>
      </w:r>
      <w:r>
        <w:rPr>
          <w:rFonts w:eastAsia="Calibri"/>
        </w:rPr>
      </w:r>
      <w:r>
        <w:rPr>
          <w:rFonts w:eastAsia="Calibri"/>
        </w:rPr>
        <w:fldChar w:fldCharType="separate"/>
      </w:r>
      <w:r w:rsidR="004B3EA2">
        <w:t xml:space="preserve">Table </w:t>
      </w:r>
      <w:r w:rsidR="004B3EA2">
        <w:rPr>
          <w:noProof/>
        </w:rPr>
        <w:t>88</w:t>
      </w:r>
      <w:r>
        <w:rPr>
          <w:rFonts w:eastAsia="Calibri"/>
        </w:rPr>
        <w:fldChar w:fldCharType="end"/>
      </w:r>
      <w:r w:rsidRPr="003446E3">
        <w:rPr>
          <w:rFonts w:eastAsia="Calibri"/>
        </w:rPr>
        <w:t>,</w:t>
      </w:r>
      <w:r w:rsidR="00AA0577">
        <w:rPr>
          <w:rFonts w:eastAsia="Calibri"/>
        </w:rPr>
        <w:t xml:space="preserve"> </w:t>
      </w:r>
      <w:r w:rsidRPr="009667AB">
        <w:rPr>
          <w:rFonts w:eastAsia="Calibri"/>
          <w:b/>
        </w:rPr>
        <w:t>Appendix G</w:t>
      </w:r>
      <w:r w:rsidRPr="003446E3">
        <w:rPr>
          <w:rFonts w:eastAsia="Calibri"/>
        </w:rPr>
        <w:t>.</w:t>
      </w:r>
    </w:p>
    <w:p w14:paraId="7B171FA7" w14:textId="77777777" w:rsidR="001F5B33" w:rsidRDefault="00CE348F" w:rsidP="00CE348F">
      <w:pPr>
        <w:pStyle w:val="Heading1"/>
      </w:pPr>
      <w:bookmarkStart w:id="397" w:name="_Toc69305603"/>
      <w:r>
        <w:t>Section E</w:t>
      </w:r>
      <w:bookmarkEnd w:id="397"/>
    </w:p>
    <w:p w14:paraId="41264839" w14:textId="5ACECE65" w:rsidR="00CB034B" w:rsidRDefault="00CB034B" w:rsidP="00CB034B">
      <w:pPr>
        <w:pStyle w:val="BodyTextSTD"/>
      </w:pPr>
      <w:r w:rsidRPr="007E4E80">
        <w:t xml:space="preserve">A market-based approach has been used to estimate the financial implications of Ig in </w:t>
      </w:r>
      <w:r>
        <w:t>CIDP</w:t>
      </w:r>
      <w:r w:rsidRPr="007E4E80">
        <w:t xml:space="preserve">, based on current utilisation of Ig products in patients with </w:t>
      </w:r>
      <w:r>
        <w:t>CIDP</w:t>
      </w:r>
      <w:r w:rsidRPr="007E4E80">
        <w:t>. As data available on utilisation were only available for u</w:t>
      </w:r>
      <w:r>
        <w:t>se under the Criteria</w:t>
      </w:r>
      <w:r w:rsidRPr="007E4E80">
        <w:t xml:space="preserve"> </w:t>
      </w:r>
      <w:r w:rsidR="00103CA5">
        <w:t xml:space="preserve">V2 </w:t>
      </w:r>
      <w:r>
        <w:t>or when patients were transitioning to the Criteria</w:t>
      </w:r>
      <w:r w:rsidR="00103CA5">
        <w:t xml:space="preserve"> V3</w:t>
      </w:r>
      <w:r>
        <w:t xml:space="preserve">, </w:t>
      </w:r>
      <w:r w:rsidRPr="007E4E80">
        <w:t xml:space="preserve">the impact of transitioning to the Criteria </w:t>
      </w:r>
      <w:r w:rsidR="00103CA5" w:rsidRPr="007E4E80">
        <w:t xml:space="preserve">V3 </w:t>
      </w:r>
      <w:r w:rsidRPr="007E4E80">
        <w:t>could not be captured in the analysis. There is also uncertainty as to whether the trends observed in the past would continue in the future.</w:t>
      </w:r>
    </w:p>
    <w:p w14:paraId="74AD849A" w14:textId="77777777" w:rsidR="00CB034B" w:rsidRDefault="00CB034B" w:rsidP="00CB034B">
      <w:pPr>
        <w:pStyle w:val="Heading2"/>
      </w:pPr>
      <w:bookmarkStart w:id="398" w:name="_Toc69305604"/>
      <w:r w:rsidRPr="00606652">
        <w:t>E.1.</w:t>
      </w:r>
      <w:r w:rsidRPr="00606652">
        <w:tab/>
        <w:t>JUSTIFICATION OF THE SELECTION OF SOURCES OF DATA</w:t>
      </w:r>
      <w:bookmarkEnd w:id="398"/>
    </w:p>
    <w:p w14:paraId="3FC4F63D" w14:textId="77777777" w:rsidR="00CB034B" w:rsidRPr="00E07567" w:rsidRDefault="00CB034B" w:rsidP="00CB034B">
      <w:pPr>
        <w:pStyle w:val="BodyTextSTD"/>
      </w:pPr>
      <w:r w:rsidRPr="00E07567">
        <w:t xml:space="preserve">The primary sources of data used in the estimates of the financial impact of Ig in </w:t>
      </w:r>
      <w:r>
        <w:t>CIDP</w:t>
      </w:r>
      <w:r w:rsidRPr="00E07567">
        <w:t xml:space="preserve"> are:</w:t>
      </w:r>
    </w:p>
    <w:p w14:paraId="02276A64" w14:textId="2C89464D" w:rsidR="00CB034B" w:rsidRPr="00E07567" w:rsidRDefault="00CB034B" w:rsidP="00CB034B">
      <w:pPr>
        <w:pStyle w:val="BodyTextSTD"/>
        <w:numPr>
          <w:ilvl w:val="0"/>
          <w:numId w:val="41"/>
        </w:numPr>
      </w:pPr>
      <w:r w:rsidRPr="00E07567">
        <w:t>NBA</w:t>
      </w:r>
      <w:r>
        <w:t xml:space="preserve"> </w:t>
      </w:r>
      <w:r w:rsidR="00B727D6">
        <w:fldChar w:fldCharType="begin"/>
      </w:r>
      <w:r w:rsidR="00B727D6">
        <w:instrText xml:space="preserve"> ADDIN EN.CITE &lt;EndNote&gt;&lt;Cite ExcludeAuth="1"&gt;&lt;Author&gt;NBA&lt;/Author&gt;&lt;Year&gt;2021&lt;/Year&gt;&lt;RecNum&gt;1965&lt;/RecNum&gt;&lt;DisplayText&gt;(2021a)&lt;/DisplayText&gt;&lt;record&gt;&lt;rec-number&gt;1965&lt;/rec-number&gt;&lt;foreign-keys&gt;&lt;key app="EN" db-id="xtr5xfx2xf0wd7e0s2qvst2ietxxf0tpzr9v" timestamp="1616109208"&gt;1965&lt;/key&gt;&lt;/foreign-keys&gt;&lt;ref-type name="Web Page"&gt;12&lt;/ref-type&gt;&lt;contributors&gt;&lt;authors&gt;&lt;author&gt;NBA&lt;/author&gt;&lt;/authors&gt;&lt;/contributors&gt;&lt;titles&gt;&lt;title&gt;Data Analysis and Reporting, National Blood Authority Australia&lt;/title&gt;&lt;/titles&gt;&lt;dates&gt;&lt;year&gt;2021&lt;/year&gt;&lt;/dates&gt;&lt;publisher&gt;National Blood Authority&lt;/publisher&gt;&lt;urls&gt;&lt;related-urls&gt;&lt;url&gt;https://www.blood.gov.au/data-analysis-reporting&lt;/url&gt;&lt;/related-urls&gt;&lt;/urls&gt;&lt;access-date&gt;18 March 2021&lt;/access-date&gt;&lt;/record&gt;&lt;/Cite&gt;&lt;/EndNote&gt;</w:instrText>
      </w:r>
      <w:r w:rsidR="00B727D6">
        <w:fldChar w:fldCharType="separate"/>
      </w:r>
      <w:r w:rsidR="00B727D6">
        <w:rPr>
          <w:noProof/>
        </w:rPr>
        <w:t>(</w:t>
      </w:r>
      <w:hyperlink w:anchor="_ENREF_50" w:tooltip="NBA, 2021 #1965" w:history="1">
        <w:r w:rsidR="00D726F6">
          <w:rPr>
            <w:noProof/>
          </w:rPr>
          <w:t>2021a</w:t>
        </w:r>
      </w:hyperlink>
      <w:r w:rsidR="00B727D6">
        <w:rPr>
          <w:noProof/>
        </w:rPr>
        <w:t>)</w:t>
      </w:r>
      <w:r w:rsidR="00B727D6">
        <w:fldChar w:fldCharType="end"/>
      </w:r>
      <w:r w:rsidRPr="00E07567">
        <w:t xml:space="preserve"> National reports on the issue and use of Ig, which report the number of patients and Ig use</w:t>
      </w:r>
      <w:r>
        <w:t xml:space="preserve"> </w:t>
      </w:r>
      <w:r w:rsidRPr="00E07567">
        <w:t>from 20</w:t>
      </w:r>
      <w:r>
        <w:t>09–</w:t>
      </w:r>
      <w:r w:rsidRPr="00E07567">
        <w:t>1</w:t>
      </w:r>
      <w:r>
        <w:t>0</w:t>
      </w:r>
      <w:r w:rsidRPr="00E07567">
        <w:t xml:space="preserve"> to 201</w:t>
      </w:r>
      <w:r>
        <w:t>7–</w:t>
      </w:r>
      <w:r w:rsidRPr="00E07567">
        <w:t>1</w:t>
      </w:r>
      <w:r>
        <w:t>8</w:t>
      </w:r>
      <w:r w:rsidRPr="00E07567">
        <w:t>.</w:t>
      </w:r>
    </w:p>
    <w:p w14:paraId="3D2924D7" w14:textId="295AB21E" w:rsidR="00CB034B" w:rsidRPr="00E07567" w:rsidRDefault="00CB034B" w:rsidP="00CB034B">
      <w:pPr>
        <w:pStyle w:val="BodyTextSTD"/>
        <w:numPr>
          <w:ilvl w:val="0"/>
          <w:numId w:val="41"/>
        </w:numPr>
      </w:pPr>
      <w:r w:rsidRPr="00E07567">
        <w:t xml:space="preserve">The 'HTA Data </w:t>
      </w:r>
      <w:r>
        <w:t>31 Dec 2020</w:t>
      </w:r>
      <w:r w:rsidRPr="00E07567">
        <w:t>.xlsx' workb</w:t>
      </w:r>
      <w:r>
        <w:t xml:space="preserve">ook provided by the Department </w:t>
      </w:r>
      <w:r w:rsidR="00B727D6">
        <w:fldChar w:fldCharType="begin"/>
      </w:r>
      <w:r w:rsidR="00B727D6">
        <w:instrText xml:space="preserve"> ADDIN EN.CITE &lt;EndNote&gt;&lt;Cite&gt;&lt;Author&gt;NBA&lt;/Author&gt;&lt;Year&gt;2021&lt;/Year&gt;&lt;RecNum&gt;1955&lt;/RecNum&gt;&lt;DisplayText&gt;(NBA 2021b)&lt;/DisplayText&gt;&lt;record&gt;&lt;rec-number&gt;1955&lt;/rec-number&gt;&lt;foreign-keys&gt;&lt;key app="EN" db-id="xtr5xfx2xf0wd7e0s2qvst2ietxxf0tpzr9v" timestamp="1614733867"&gt;1955&lt;/key&gt;&lt;/foreign-keys&gt;&lt;ref-type name="Personal Communication"&gt;26&lt;/ref-type&gt;&lt;contributors&gt;&lt;authors&gt;&lt;author&gt;NBA,&lt;/author&gt;&lt;/authors&gt;&lt;secondary-authors&gt;&lt;author&gt;Deaprtment of Health&lt;/author&gt;&lt;/secondary-authors&gt;&lt;/contributors&gt;&lt;titles&gt;&lt;title&gt;Summary of BloodSTAR Data for IVIg use in patiets with CIDP Provided by National Blood Authority (NBA) for MSAC Application 1564.1&lt;/title&gt;&lt;/titles&gt;&lt;edition&gt;summary level data from BloodStar for CIDP.&lt;/edition&gt;&lt;dates&gt;&lt;year&gt;2021&lt;/year&gt;&lt;pub-dates&gt;&lt;date&gt;11 February 2021&lt;/date&gt;&lt;/pub-dates&gt;&lt;/dates&gt;&lt;work-type&gt;Summary level data&lt;/work-type&gt;&lt;urls&gt;&lt;/urls&gt;&lt;/record&gt;&lt;/Cite&gt;&lt;/EndNote&gt;</w:instrText>
      </w:r>
      <w:r w:rsidR="00B727D6">
        <w:fldChar w:fldCharType="separate"/>
      </w:r>
      <w:r w:rsidR="00B727D6">
        <w:rPr>
          <w:noProof/>
        </w:rPr>
        <w:t>(</w:t>
      </w:r>
      <w:hyperlink w:anchor="_ENREF_51" w:tooltip="NBA, 2021 #1955" w:history="1">
        <w:r w:rsidR="00D726F6">
          <w:rPr>
            <w:noProof/>
          </w:rPr>
          <w:t>NBA 2021b</w:t>
        </w:r>
      </w:hyperlink>
      <w:r w:rsidR="00B727D6">
        <w:rPr>
          <w:noProof/>
        </w:rPr>
        <w:t>)</w:t>
      </w:r>
      <w:r w:rsidR="00B727D6">
        <w:fldChar w:fldCharType="end"/>
      </w:r>
      <w:r>
        <w:t xml:space="preserve"> –</w:t>
      </w:r>
      <w:r w:rsidRPr="00E07567">
        <w:t xml:space="preserve"> which reports use, by indication</w:t>
      </w:r>
      <w:r>
        <w:t xml:space="preserve"> and delivery mode (IVIg and SCIg)</w:t>
      </w:r>
      <w:r w:rsidRPr="00E07567">
        <w:t>, for the full financial year</w:t>
      </w:r>
      <w:r>
        <w:t>s 2017–</w:t>
      </w:r>
      <w:r w:rsidRPr="00E07567">
        <w:t>18</w:t>
      </w:r>
      <w:r>
        <w:t xml:space="preserve"> to 2019–20,</w:t>
      </w:r>
      <w:r w:rsidRPr="00E07567">
        <w:t xml:space="preserve"> and for the</w:t>
      </w:r>
      <w:r>
        <w:t xml:space="preserve"> 2020–21</w:t>
      </w:r>
      <w:r w:rsidRPr="00E07567">
        <w:t xml:space="preserve"> partial year to December 31, 20</w:t>
      </w:r>
      <w:r>
        <w:t>20.</w:t>
      </w:r>
    </w:p>
    <w:p w14:paraId="6E7733E2" w14:textId="05B3B7A1" w:rsidR="00CB034B" w:rsidRPr="00E07567" w:rsidRDefault="00CB034B" w:rsidP="00CB034B">
      <w:pPr>
        <w:pStyle w:val="BodyTextSTD"/>
      </w:pPr>
      <w:r w:rsidRPr="00E07567">
        <w:t xml:space="preserve">The data available from these sources are summarised in </w:t>
      </w:r>
      <w:r w:rsidRPr="00E07567">
        <w:fldChar w:fldCharType="begin"/>
      </w:r>
      <w:r w:rsidRPr="00E07567">
        <w:instrText xml:space="preserve"> REF _Ref9868003 \h  \* MERGEFORMAT </w:instrText>
      </w:r>
      <w:r w:rsidRPr="00E07567">
        <w:fldChar w:fldCharType="separate"/>
      </w:r>
      <w:r w:rsidR="004B3EA2" w:rsidRPr="00E07567">
        <w:t xml:space="preserve">Table </w:t>
      </w:r>
      <w:r w:rsidR="004B3EA2">
        <w:t>64</w:t>
      </w:r>
      <w:r w:rsidRPr="00E07567">
        <w:fldChar w:fldCharType="end"/>
      </w:r>
      <w:r w:rsidRPr="00E07567">
        <w:t xml:space="preserve">. </w:t>
      </w:r>
    </w:p>
    <w:p w14:paraId="6E0E4588" w14:textId="1C206C6D" w:rsidR="00CB034B" w:rsidRPr="00E07567" w:rsidRDefault="00CB034B" w:rsidP="00CB034B">
      <w:pPr>
        <w:pStyle w:val="Caption"/>
      </w:pPr>
      <w:bookmarkStart w:id="399" w:name="_Ref9868003"/>
      <w:bookmarkStart w:id="400" w:name="_Toc13645594"/>
      <w:bookmarkStart w:id="401" w:name="_Toc15561989"/>
      <w:bookmarkStart w:id="402" w:name="_Toc23768939"/>
      <w:bookmarkStart w:id="403" w:name="_Toc69305705"/>
      <w:r w:rsidRPr="00E07567">
        <w:t xml:space="preserve">Table </w:t>
      </w:r>
      <w:r w:rsidRPr="00E07567">
        <w:rPr>
          <w:noProof/>
        </w:rPr>
        <w:fldChar w:fldCharType="begin"/>
      </w:r>
      <w:r w:rsidRPr="00E07567">
        <w:rPr>
          <w:noProof/>
        </w:rPr>
        <w:instrText xml:space="preserve"> SEQ Table \* ARABIC </w:instrText>
      </w:r>
      <w:r w:rsidRPr="00E07567">
        <w:rPr>
          <w:noProof/>
        </w:rPr>
        <w:fldChar w:fldCharType="separate"/>
      </w:r>
      <w:r w:rsidR="004B3EA2">
        <w:rPr>
          <w:noProof/>
        </w:rPr>
        <w:t>64</w:t>
      </w:r>
      <w:r w:rsidRPr="00E07567">
        <w:rPr>
          <w:noProof/>
        </w:rPr>
        <w:fldChar w:fldCharType="end"/>
      </w:r>
      <w:bookmarkEnd w:id="399"/>
      <w:r w:rsidRPr="00E07567">
        <w:tab/>
      </w:r>
      <w:bookmarkEnd w:id="400"/>
      <w:r w:rsidRPr="00E07567">
        <w:t xml:space="preserve">Number of patients and grams issued for patients </w:t>
      </w:r>
      <w:r>
        <w:t>with CIDP</w:t>
      </w:r>
      <w:r w:rsidRPr="00E07567">
        <w:t xml:space="preserve"> who received Ig, 2011-12 to 2017-18</w:t>
      </w:r>
      <w:bookmarkEnd w:id="401"/>
      <w:bookmarkEnd w:id="402"/>
      <w:bookmarkEnd w:id="403"/>
    </w:p>
    <w:tbl>
      <w:tblPr>
        <w:tblStyle w:val="TableGrid1"/>
        <w:tblW w:w="5000" w:type="pct"/>
        <w:tblLook w:val="04A0" w:firstRow="1" w:lastRow="0" w:firstColumn="1" w:lastColumn="0" w:noHBand="0" w:noVBand="1"/>
        <w:tblCaption w:val="Number of patients and grams issued for patients with CIDP who received Ig, 2011-12 to 2017-18"/>
        <w:tblDescription w:val="Number of patients and grams issued for patients with CIDP who received Ig, 2011-12 to 2017-18"/>
      </w:tblPr>
      <w:tblGrid>
        <w:gridCol w:w="2632"/>
        <w:gridCol w:w="1064"/>
        <w:gridCol w:w="1064"/>
        <w:gridCol w:w="1064"/>
        <w:gridCol w:w="1066"/>
        <w:gridCol w:w="1066"/>
        <w:gridCol w:w="1060"/>
      </w:tblGrid>
      <w:tr w:rsidR="00CB034B" w:rsidRPr="00E07567" w14:paraId="60F81D47" w14:textId="77777777" w:rsidTr="008E718E">
        <w:trPr>
          <w:cnfStyle w:val="100000000000" w:firstRow="1" w:lastRow="0" w:firstColumn="0" w:lastColumn="0" w:oddVBand="0" w:evenVBand="0" w:oddHBand="0" w:evenHBand="0" w:firstRowFirstColumn="0" w:firstRowLastColumn="0" w:lastRowFirstColumn="0" w:lastRowLastColumn="0"/>
          <w:cantSplit/>
          <w:trHeight w:val="300"/>
          <w:tblHeader/>
        </w:trPr>
        <w:tc>
          <w:tcPr>
            <w:tcW w:w="1460" w:type="pct"/>
            <w:tcBorders>
              <w:bottom w:val="single" w:sz="4" w:space="0" w:color="auto"/>
            </w:tcBorders>
            <w:noWrap/>
            <w:hideMark/>
          </w:tcPr>
          <w:p w14:paraId="348E69EB" w14:textId="77777777" w:rsidR="00CB034B" w:rsidRPr="00E07567" w:rsidRDefault="00CB034B" w:rsidP="008E718E">
            <w:pPr>
              <w:pStyle w:val="TableHeading"/>
            </w:pPr>
          </w:p>
        </w:tc>
        <w:tc>
          <w:tcPr>
            <w:tcW w:w="590" w:type="pct"/>
            <w:tcBorders>
              <w:bottom w:val="single" w:sz="4" w:space="0" w:color="auto"/>
            </w:tcBorders>
            <w:noWrap/>
          </w:tcPr>
          <w:p w14:paraId="56822B6B" w14:textId="77777777" w:rsidR="00CB034B" w:rsidRPr="00E07567" w:rsidRDefault="00CB034B" w:rsidP="008E718E">
            <w:pPr>
              <w:pStyle w:val="TableHeading"/>
              <w:rPr>
                <w:rFonts w:cs="Calibri"/>
                <w:color w:val="000000"/>
              </w:rPr>
            </w:pPr>
            <w:r w:rsidRPr="006A4588">
              <w:t>2009–10</w:t>
            </w:r>
          </w:p>
        </w:tc>
        <w:tc>
          <w:tcPr>
            <w:tcW w:w="590" w:type="pct"/>
            <w:tcBorders>
              <w:bottom w:val="single" w:sz="4" w:space="0" w:color="auto"/>
            </w:tcBorders>
            <w:noWrap/>
          </w:tcPr>
          <w:p w14:paraId="5AC899E9" w14:textId="77777777" w:rsidR="00CB034B" w:rsidRPr="00E07567" w:rsidRDefault="00CB034B" w:rsidP="008E718E">
            <w:pPr>
              <w:pStyle w:val="TableHeading"/>
              <w:rPr>
                <w:rFonts w:cs="Calibri"/>
                <w:color w:val="000000"/>
              </w:rPr>
            </w:pPr>
            <w:r w:rsidRPr="006A4588">
              <w:t>2010–11</w:t>
            </w:r>
          </w:p>
        </w:tc>
        <w:tc>
          <w:tcPr>
            <w:tcW w:w="590" w:type="pct"/>
            <w:tcBorders>
              <w:bottom w:val="single" w:sz="4" w:space="0" w:color="auto"/>
            </w:tcBorders>
            <w:noWrap/>
          </w:tcPr>
          <w:p w14:paraId="5CC56B04" w14:textId="77777777" w:rsidR="00CB034B" w:rsidRPr="00E07567" w:rsidRDefault="00CB034B" w:rsidP="008E718E">
            <w:pPr>
              <w:pStyle w:val="TableHeading"/>
              <w:rPr>
                <w:rFonts w:cs="Calibri"/>
                <w:color w:val="000000"/>
              </w:rPr>
            </w:pPr>
            <w:r>
              <w:rPr>
                <w:rFonts w:cs="Calibri"/>
                <w:color w:val="000000"/>
              </w:rPr>
              <w:t>2011–</w:t>
            </w:r>
            <w:r w:rsidRPr="00E07567">
              <w:rPr>
                <w:rFonts w:cs="Calibri"/>
                <w:color w:val="000000"/>
              </w:rPr>
              <w:t>12</w:t>
            </w:r>
          </w:p>
        </w:tc>
        <w:tc>
          <w:tcPr>
            <w:tcW w:w="591" w:type="pct"/>
            <w:tcBorders>
              <w:bottom w:val="single" w:sz="4" w:space="0" w:color="auto"/>
            </w:tcBorders>
            <w:noWrap/>
          </w:tcPr>
          <w:p w14:paraId="1CA75D75" w14:textId="77777777" w:rsidR="00CB034B" w:rsidRPr="00E07567" w:rsidRDefault="00CB034B" w:rsidP="008E718E">
            <w:pPr>
              <w:pStyle w:val="TableHeading"/>
              <w:rPr>
                <w:rFonts w:cs="Calibri"/>
                <w:color w:val="000000"/>
              </w:rPr>
            </w:pPr>
            <w:r>
              <w:rPr>
                <w:rFonts w:cs="Calibri"/>
                <w:color w:val="000000"/>
              </w:rPr>
              <w:t>2012–</w:t>
            </w:r>
            <w:r w:rsidRPr="00E07567">
              <w:rPr>
                <w:rFonts w:cs="Calibri"/>
                <w:color w:val="000000"/>
              </w:rPr>
              <w:t>13</w:t>
            </w:r>
          </w:p>
        </w:tc>
        <w:tc>
          <w:tcPr>
            <w:tcW w:w="591" w:type="pct"/>
            <w:tcBorders>
              <w:bottom w:val="single" w:sz="4" w:space="0" w:color="auto"/>
            </w:tcBorders>
            <w:noWrap/>
          </w:tcPr>
          <w:p w14:paraId="5BB925A6" w14:textId="77777777" w:rsidR="00CB034B" w:rsidRPr="00E07567" w:rsidRDefault="00CB034B" w:rsidP="008E718E">
            <w:pPr>
              <w:pStyle w:val="TableHeading"/>
              <w:rPr>
                <w:rFonts w:cs="Calibri"/>
                <w:color w:val="000000"/>
              </w:rPr>
            </w:pPr>
            <w:r>
              <w:rPr>
                <w:rFonts w:cs="Calibri"/>
                <w:color w:val="000000"/>
              </w:rPr>
              <w:t>2013–</w:t>
            </w:r>
            <w:r w:rsidRPr="00E07567">
              <w:rPr>
                <w:rFonts w:cs="Calibri"/>
                <w:color w:val="000000"/>
              </w:rPr>
              <w:t>14</w:t>
            </w:r>
          </w:p>
        </w:tc>
        <w:tc>
          <w:tcPr>
            <w:tcW w:w="588" w:type="pct"/>
            <w:tcBorders>
              <w:bottom w:val="single" w:sz="4" w:space="0" w:color="auto"/>
            </w:tcBorders>
            <w:noWrap/>
          </w:tcPr>
          <w:p w14:paraId="68E62A78" w14:textId="77777777" w:rsidR="00CB034B" w:rsidRPr="00E07567" w:rsidRDefault="00CB034B" w:rsidP="008E718E">
            <w:pPr>
              <w:pStyle w:val="TableHeading"/>
              <w:rPr>
                <w:rFonts w:cs="Calibri"/>
                <w:color w:val="000000"/>
              </w:rPr>
            </w:pPr>
            <w:r w:rsidRPr="00E07567">
              <w:rPr>
                <w:rFonts w:cs="Calibri"/>
                <w:color w:val="000000"/>
              </w:rPr>
              <w:t>2014</w:t>
            </w:r>
            <w:r>
              <w:rPr>
                <w:rFonts w:cs="Calibri"/>
                <w:color w:val="000000"/>
              </w:rPr>
              <w:t>–</w:t>
            </w:r>
            <w:r w:rsidRPr="00E07567">
              <w:rPr>
                <w:rFonts w:cs="Calibri"/>
                <w:color w:val="000000"/>
              </w:rPr>
              <w:t>15</w:t>
            </w:r>
          </w:p>
        </w:tc>
      </w:tr>
      <w:tr w:rsidR="00CB034B" w:rsidRPr="00E07567" w14:paraId="40BF0D56" w14:textId="77777777" w:rsidTr="008E718E">
        <w:trPr>
          <w:cantSplit/>
          <w:trHeight w:val="300"/>
        </w:trPr>
        <w:tc>
          <w:tcPr>
            <w:tcW w:w="1460" w:type="pct"/>
            <w:noWrap/>
            <w:hideMark/>
          </w:tcPr>
          <w:p w14:paraId="298804E9" w14:textId="77777777" w:rsidR="00CB034B" w:rsidRPr="00E07567" w:rsidRDefault="00CB034B" w:rsidP="008E718E">
            <w:pPr>
              <w:pStyle w:val="Tabletext1"/>
            </w:pPr>
            <w:r w:rsidRPr="00E07567">
              <w:t>Ig grams issued</w:t>
            </w:r>
          </w:p>
        </w:tc>
        <w:tc>
          <w:tcPr>
            <w:tcW w:w="590" w:type="pct"/>
            <w:noWrap/>
          </w:tcPr>
          <w:p w14:paraId="6231297F" w14:textId="77777777" w:rsidR="00CB034B" w:rsidRPr="00E07567" w:rsidRDefault="00CB034B" w:rsidP="008E718E">
            <w:pPr>
              <w:pStyle w:val="Tabletext1"/>
              <w:jc w:val="right"/>
            </w:pPr>
            <w:r w:rsidRPr="006A4588">
              <w:t>541,206</w:t>
            </w:r>
          </w:p>
        </w:tc>
        <w:tc>
          <w:tcPr>
            <w:tcW w:w="590" w:type="pct"/>
            <w:noWrap/>
          </w:tcPr>
          <w:p w14:paraId="1311D896" w14:textId="77777777" w:rsidR="00CB034B" w:rsidRPr="00E07567" w:rsidRDefault="00CB034B" w:rsidP="008E718E">
            <w:pPr>
              <w:pStyle w:val="Tabletext1"/>
              <w:jc w:val="right"/>
            </w:pPr>
            <w:r w:rsidRPr="006A4588">
              <w:t>599,181</w:t>
            </w:r>
          </w:p>
        </w:tc>
        <w:tc>
          <w:tcPr>
            <w:tcW w:w="590" w:type="pct"/>
            <w:noWrap/>
          </w:tcPr>
          <w:p w14:paraId="2EAEB81A" w14:textId="77777777" w:rsidR="00CB034B" w:rsidRPr="00E07567" w:rsidRDefault="00CB034B" w:rsidP="008E718E">
            <w:pPr>
              <w:pStyle w:val="Tabletext1"/>
              <w:jc w:val="right"/>
            </w:pPr>
            <w:r w:rsidRPr="0025106B">
              <w:t>677,458</w:t>
            </w:r>
          </w:p>
        </w:tc>
        <w:tc>
          <w:tcPr>
            <w:tcW w:w="591" w:type="pct"/>
            <w:noWrap/>
          </w:tcPr>
          <w:p w14:paraId="7FD98D77" w14:textId="77777777" w:rsidR="00CB034B" w:rsidRPr="00E07567" w:rsidRDefault="00CB034B" w:rsidP="008E718E">
            <w:pPr>
              <w:pStyle w:val="Tabletext1"/>
              <w:jc w:val="right"/>
            </w:pPr>
            <w:r w:rsidRPr="00800C7C">
              <w:t>758,271</w:t>
            </w:r>
          </w:p>
        </w:tc>
        <w:tc>
          <w:tcPr>
            <w:tcW w:w="591" w:type="pct"/>
            <w:noWrap/>
          </w:tcPr>
          <w:p w14:paraId="58150E22" w14:textId="77777777" w:rsidR="00CB034B" w:rsidRPr="00E07567" w:rsidRDefault="00CB034B" w:rsidP="008E718E">
            <w:pPr>
              <w:pStyle w:val="Tabletext1"/>
              <w:jc w:val="right"/>
            </w:pPr>
            <w:r w:rsidRPr="00800C7C">
              <w:t>857,533</w:t>
            </w:r>
          </w:p>
        </w:tc>
        <w:tc>
          <w:tcPr>
            <w:tcW w:w="588" w:type="pct"/>
            <w:noWrap/>
          </w:tcPr>
          <w:p w14:paraId="3ACC0A97" w14:textId="77777777" w:rsidR="00CB034B" w:rsidRPr="00E07567" w:rsidRDefault="00CB034B" w:rsidP="008E718E">
            <w:pPr>
              <w:pStyle w:val="Tabletext1"/>
              <w:jc w:val="right"/>
            </w:pPr>
            <w:r w:rsidRPr="00800C7C">
              <w:t>974,258</w:t>
            </w:r>
          </w:p>
        </w:tc>
      </w:tr>
      <w:tr w:rsidR="00CB034B" w:rsidRPr="00E07567" w14:paraId="6BEFFBE3" w14:textId="77777777" w:rsidTr="008E718E">
        <w:trPr>
          <w:cantSplit/>
          <w:trHeight w:val="300"/>
        </w:trPr>
        <w:tc>
          <w:tcPr>
            <w:tcW w:w="1460" w:type="pct"/>
            <w:tcBorders>
              <w:bottom w:val="single" w:sz="4" w:space="0" w:color="auto"/>
            </w:tcBorders>
            <w:noWrap/>
          </w:tcPr>
          <w:p w14:paraId="7C6F64D8" w14:textId="77777777" w:rsidR="00CB034B" w:rsidRPr="00E07567" w:rsidRDefault="00CB034B" w:rsidP="008E718E">
            <w:pPr>
              <w:pStyle w:val="Tabletext1"/>
            </w:pPr>
            <w:r w:rsidRPr="00E07567">
              <w:t>Number of patients</w:t>
            </w:r>
          </w:p>
        </w:tc>
        <w:tc>
          <w:tcPr>
            <w:tcW w:w="590" w:type="pct"/>
            <w:tcBorders>
              <w:bottom w:val="single" w:sz="4" w:space="0" w:color="auto"/>
            </w:tcBorders>
            <w:noWrap/>
          </w:tcPr>
          <w:p w14:paraId="587CB30B" w14:textId="77777777" w:rsidR="00CB034B" w:rsidRPr="00E07567" w:rsidRDefault="00CB034B" w:rsidP="008E718E">
            <w:pPr>
              <w:pStyle w:val="Tabletext1"/>
              <w:jc w:val="right"/>
            </w:pPr>
            <w:r>
              <w:t>NR</w:t>
            </w:r>
          </w:p>
        </w:tc>
        <w:tc>
          <w:tcPr>
            <w:tcW w:w="590" w:type="pct"/>
            <w:tcBorders>
              <w:bottom w:val="single" w:sz="4" w:space="0" w:color="auto"/>
            </w:tcBorders>
            <w:noWrap/>
          </w:tcPr>
          <w:p w14:paraId="42EDA182" w14:textId="77777777" w:rsidR="00CB034B" w:rsidRPr="00E07567" w:rsidRDefault="00CB034B" w:rsidP="008E718E">
            <w:pPr>
              <w:pStyle w:val="Tabletext1"/>
              <w:jc w:val="right"/>
            </w:pPr>
            <w:r>
              <w:t>NR</w:t>
            </w:r>
          </w:p>
        </w:tc>
        <w:tc>
          <w:tcPr>
            <w:tcW w:w="590" w:type="pct"/>
            <w:tcBorders>
              <w:bottom w:val="single" w:sz="4" w:space="0" w:color="auto"/>
            </w:tcBorders>
            <w:noWrap/>
          </w:tcPr>
          <w:p w14:paraId="3159E360" w14:textId="77777777" w:rsidR="00CB034B" w:rsidRPr="00E07567" w:rsidRDefault="00CB034B" w:rsidP="008E718E">
            <w:pPr>
              <w:pStyle w:val="Tabletext1"/>
              <w:jc w:val="right"/>
            </w:pPr>
            <w:r w:rsidRPr="00800C7C">
              <w:t>1,551</w:t>
            </w:r>
          </w:p>
        </w:tc>
        <w:tc>
          <w:tcPr>
            <w:tcW w:w="591" w:type="pct"/>
            <w:tcBorders>
              <w:bottom w:val="single" w:sz="4" w:space="0" w:color="auto"/>
            </w:tcBorders>
            <w:noWrap/>
          </w:tcPr>
          <w:p w14:paraId="6074A9F9" w14:textId="77777777" w:rsidR="00CB034B" w:rsidRPr="00E07567" w:rsidRDefault="00CB034B" w:rsidP="008E718E">
            <w:pPr>
              <w:pStyle w:val="Tabletext1"/>
              <w:jc w:val="right"/>
            </w:pPr>
            <w:r w:rsidRPr="00800C7C">
              <w:t>1,754</w:t>
            </w:r>
          </w:p>
        </w:tc>
        <w:tc>
          <w:tcPr>
            <w:tcW w:w="591" w:type="pct"/>
            <w:tcBorders>
              <w:bottom w:val="single" w:sz="4" w:space="0" w:color="auto"/>
            </w:tcBorders>
            <w:noWrap/>
          </w:tcPr>
          <w:p w14:paraId="76A995F6" w14:textId="77777777" w:rsidR="00CB034B" w:rsidRPr="00E07567" w:rsidRDefault="00CB034B" w:rsidP="008E718E">
            <w:pPr>
              <w:pStyle w:val="Tabletext1"/>
              <w:jc w:val="right"/>
            </w:pPr>
            <w:r w:rsidRPr="00800C7C">
              <w:t>1,903</w:t>
            </w:r>
          </w:p>
        </w:tc>
        <w:tc>
          <w:tcPr>
            <w:tcW w:w="588" w:type="pct"/>
            <w:tcBorders>
              <w:bottom w:val="single" w:sz="4" w:space="0" w:color="auto"/>
            </w:tcBorders>
            <w:noWrap/>
          </w:tcPr>
          <w:p w14:paraId="62EAFCC5" w14:textId="77777777" w:rsidR="00CB034B" w:rsidRPr="00E07567" w:rsidRDefault="00CB034B" w:rsidP="008E718E">
            <w:pPr>
              <w:pStyle w:val="Tabletext1"/>
              <w:jc w:val="right"/>
            </w:pPr>
            <w:r w:rsidRPr="00800C7C">
              <w:t>2,054</w:t>
            </w:r>
          </w:p>
        </w:tc>
      </w:tr>
      <w:tr w:rsidR="00CB034B" w:rsidRPr="00E07567" w14:paraId="5C1ACF91" w14:textId="77777777" w:rsidTr="008E718E">
        <w:trPr>
          <w:cantSplit/>
          <w:trHeight w:val="300"/>
        </w:trPr>
        <w:tc>
          <w:tcPr>
            <w:tcW w:w="1460" w:type="pct"/>
            <w:noWrap/>
          </w:tcPr>
          <w:p w14:paraId="709F2A00" w14:textId="77777777" w:rsidR="00CB034B" w:rsidRPr="00E07567" w:rsidRDefault="00CB034B" w:rsidP="008E718E">
            <w:pPr>
              <w:pStyle w:val="Tabletext1"/>
            </w:pPr>
          </w:p>
        </w:tc>
        <w:tc>
          <w:tcPr>
            <w:tcW w:w="590" w:type="pct"/>
            <w:noWrap/>
          </w:tcPr>
          <w:p w14:paraId="251B29A1" w14:textId="77777777" w:rsidR="00CB034B" w:rsidRPr="0025106B" w:rsidRDefault="00CB034B" w:rsidP="008E718E">
            <w:pPr>
              <w:pStyle w:val="Tabletext1"/>
              <w:rPr>
                <w:b/>
              </w:rPr>
            </w:pPr>
            <w:r w:rsidRPr="0025106B">
              <w:rPr>
                <w:rFonts w:cs="Calibri"/>
                <w:b/>
                <w:color w:val="000000"/>
              </w:rPr>
              <w:t>2015–16</w:t>
            </w:r>
          </w:p>
        </w:tc>
        <w:tc>
          <w:tcPr>
            <w:tcW w:w="590" w:type="pct"/>
            <w:noWrap/>
          </w:tcPr>
          <w:p w14:paraId="1E18C10F" w14:textId="77777777" w:rsidR="00CB034B" w:rsidRPr="0025106B" w:rsidRDefault="00CB034B" w:rsidP="008E718E">
            <w:pPr>
              <w:pStyle w:val="Tabletext1"/>
              <w:rPr>
                <w:b/>
              </w:rPr>
            </w:pPr>
            <w:r w:rsidRPr="0025106B">
              <w:rPr>
                <w:rFonts w:cs="Calibri"/>
                <w:b/>
                <w:color w:val="000000"/>
              </w:rPr>
              <w:t>2016–17</w:t>
            </w:r>
          </w:p>
        </w:tc>
        <w:tc>
          <w:tcPr>
            <w:tcW w:w="590" w:type="pct"/>
            <w:noWrap/>
          </w:tcPr>
          <w:p w14:paraId="36B31F70" w14:textId="77777777" w:rsidR="00CB034B" w:rsidRPr="00BB243C" w:rsidRDefault="00CB034B" w:rsidP="008E718E">
            <w:pPr>
              <w:pStyle w:val="Tabletext1"/>
              <w:rPr>
                <w:b/>
              </w:rPr>
            </w:pPr>
            <w:r w:rsidRPr="00BB243C">
              <w:rPr>
                <w:rFonts w:cs="Calibri"/>
                <w:b/>
                <w:color w:val="000000"/>
              </w:rPr>
              <w:t>2017–18</w:t>
            </w:r>
          </w:p>
        </w:tc>
        <w:tc>
          <w:tcPr>
            <w:tcW w:w="591" w:type="pct"/>
            <w:noWrap/>
          </w:tcPr>
          <w:p w14:paraId="10C9CE01" w14:textId="77777777" w:rsidR="00CB034B" w:rsidRPr="00E07567" w:rsidRDefault="00CB034B" w:rsidP="008E718E">
            <w:pPr>
              <w:pStyle w:val="Tabletext1"/>
            </w:pPr>
            <w:r w:rsidRPr="00BB243C">
              <w:rPr>
                <w:b/>
              </w:rPr>
              <w:t>2018–19</w:t>
            </w:r>
          </w:p>
        </w:tc>
        <w:tc>
          <w:tcPr>
            <w:tcW w:w="591" w:type="pct"/>
            <w:noWrap/>
          </w:tcPr>
          <w:p w14:paraId="28F0A653" w14:textId="77777777" w:rsidR="00CB034B" w:rsidRPr="00E07567" w:rsidRDefault="00CB034B" w:rsidP="008E718E">
            <w:pPr>
              <w:pStyle w:val="Tabletext1"/>
            </w:pPr>
            <w:r w:rsidRPr="00BB243C">
              <w:rPr>
                <w:b/>
              </w:rPr>
              <w:t>2019–20</w:t>
            </w:r>
          </w:p>
        </w:tc>
        <w:tc>
          <w:tcPr>
            <w:tcW w:w="588" w:type="pct"/>
            <w:noWrap/>
          </w:tcPr>
          <w:p w14:paraId="33298D34" w14:textId="77777777" w:rsidR="00CB034B" w:rsidRPr="00EC6C69" w:rsidRDefault="00CB034B" w:rsidP="008E718E">
            <w:pPr>
              <w:pStyle w:val="Tabletext1"/>
              <w:rPr>
                <w:b/>
              </w:rPr>
            </w:pPr>
            <w:r w:rsidRPr="00EC6C69">
              <w:rPr>
                <w:b/>
              </w:rPr>
              <w:t>2020–21</w:t>
            </w:r>
          </w:p>
        </w:tc>
      </w:tr>
      <w:tr w:rsidR="00CB034B" w:rsidRPr="00E07567" w14:paraId="4473573D" w14:textId="77777777" w:rsidTr="008E718E">
        <w:trPr>
          <w:cantSplit/>
          <w:trHeight w:val="300"/>
        </w:trPr>
        <w:tc>
          <w:tcPr>
            <w:tcW w:w="1460" w:type="pct"/>
            <w:noWrap/>
          </w:tcPr>
          <w:p w14:paraId="0B99D90D" w14:textId="77777777" w:rsidR="00CB034B" w:rsidRPr="00E07567" w:rsidRDefault="00CB034B" w:rsidP="008E718E">
            <w:pPr>
              <w:pStyle w:val="Tabletext1"/>
            </w:pPr>
            <w:r w:rsidRPr="00E07567">
              <w:t>Ig grams issued</w:t>
            </w:r>
          </w:p>
        </w:tc>
        <w:tc>
          <w:tcPr>
            <w:tcW w:w="590" w:type="pct"/>
            <w:noWrap/>
          </w:tcPr>
          <w:p w14:paraId="2828865D" w14:textId="77777777" w:rsidR="00CB034B" w:rsidRPr="00E07567" w:rsidRDefault="00CB034B" w:rsidP="008E718E">
            <w:pPr>
              <w:pStyle w:val="Tabletext1"/>
              <w:jc w:val="right"/>
              <w:rPr>
                <w:rFonts w:cs="Calibri"/>
                <w:color w:val="000000"/>
              </w:rPr>
            </w:pPr>
            <w:r w:rsidRPr="00800C7C">
              <w:t>1,071,135</w:t>
            </w:r>
          </w:p>
        </w:tc>
        <w:tc>
          <w:tcPr>
            <w:tcW w:w="590" w:type="pct"/>
            <w:noWrap/>
          </w:tcPr>
          <w:p w14:paraId="35B771EE" w14:textId="77777777" w:rsidR="00CB034B" w:rsidRPr="00E07567" w:rsidRDefault="00CB034B" w:rsidP="008E718E">
            <w:pPr>
              <w:pStyle w:val="Tabletext1"/>
              <w:jc w:val="right"/>
            </w:pPr>
            <w:r w:rsidRPr="00800C7C">
              <w:t>1,171,581</w:t>
            </w:r>
          </w:p>
        </w:tc>
        <w:tc>
          <w:tcPr>
            <w:tcW w:w="590" w:type="pct"/>
            <w:noWrap/>
          </w:tcPr>
          <w:p w14:paraId="599A90A0" w14:textId="77777777" w:rsidR="00CB034B" w:rsidRPr="00E07567" w:rsidRDefault="00CB034B" w:rsidP="008E718E">
            <w:pPr>
              <w:pStyle w:val="Tabletext1"/>
              <w:jc w:val="right"/>
            </w:pPr>
            <w:r w:rsidRPr="007009BE">
              <w:t>1,290,730</w:t>
            </w:r>
          </w:p>
        </w:tc>
        <w:tc>
          <w:tcPr>
            <w:tcW w:w="591" w:type="pct"/>
            <w:noWrap/>
          </w:tcPr>
          <w:p w14:paraId="19AB29D0" w14:textId="77777777" w:rsidR="00CB034B" w:rsidRPr="00E07567" w:rsidRDefault="00CB034B" w:rsidP="008E718E">
            <w:pPr>
              <w:pStyle w:val="Tabletext1"/>
              <w:jc w:val="right"/>
            </w:pPr>
            <w:r w:rsidRPr="007009BE">
              <w:t>1,359,604</w:t>
            </w:r>
          </w:p>
        </w:tc>
        <w:tc>
          <w:tcPr>
            <w:tcW w:w="591" w:type="pct"/>
            <w:noWrap/>
          </w:tcPr>
          <w:p w14:paraId="566FC250" w14:textId="77777777" w:rsidR="00CB034B" w:rsidRPr="00E07567" w:rsidRDefault="00CB034B" w:rsidP="008E718E">
            <w:pPr>
              <w:pStyle w:val="Tabletext1"/>
              <w:jc w:val="right"/>
            </w:pPr>
            <w:r w:rsidRPr="007009BE">
              <w:t>1,494,448</w:t>
            </w:r>
          </w:p>
        </w:tc>
        <w:tc>
          <w:tcPr>
            <w:tcW w:w="588" w:type="pct"/>
            <w:shd w:val="clear" w:color="auto" w:fill="D9D9D9" w:themeFill="background1" w:themeFillShade="D9"/>
            <w:noWrap/>
          </w:tcPr>
          <w:p w14:paraId="187E6848" w14:textId="77777777" w:rsidR="00CB034B" w:rsidRPr="00E07567" w:rsidRDefault="00CB034B" w:rsidP="008E718E">
            <w:pPr>
              <w:pStyle w:val="Tabletext1"/>
              <w:jc w:val="right"/>
            </w:pPr>
            <w:r w:rsidRPr="00EC6C69">
              <w:t>825,641</w:t>
            </w:r>
          </w:p>
        </w:tc>
      </w:tr>
      <w:tr w:rsidR="00CB034B" w:rsidRPr="00E07567" w14:paraId="6DE331CB" w14:textId="77777777" w:rsidTr="008E718E">
        <w:trPr>
          <w:cantSplit/>
          <w:trHeight w:val="300"/>
        </w:trPr>
        <w:tc>
          <w:tcPr>
            <w:tcW w:w="1460" w:type="pct"/>
            <w:noWrap/>
          </w:tcPr>
          <w:p w14:paraId="17E6AB22" w14:textId="77777777" w:rsidR="00CB034B" w:rsidRPr="00E07567" w:rsidRDefault="00CB034B" w:rsidP="008E718E">
            <w:pPr>
              <w:pStyle w:val="Tabletext1"/>
            </w:pPr>
            <w:r w:rsidRPr="00E07567">
              <w:t>Number of patients</w:t>
            </w:r>
          </w:p>
        </w:tc>
        <w:tc>
          <w:tcPr>
            <w:tcW w:w="590" w:type="pct"/>
            <w:noWrap/>
          </w:tcPr>
          <w:p w14:paraId="07400761" w14:textId="77777777" w:rsidR="00CB034B" w:rsidRPr="00E07567" w:rsidRDefault="00CB034B" w:rsidP="008E718E">
            <w:pPr>
              <w:pStyle w:val="Tabletext1"/>
              <w:jc w:val="right"/>
              <w:rPr>
                <w:rFonts w:cs="Calibri"/>
                <w:color w:val="000000"/>
              </w:rPr>
            </w:pPr>
            <w:r w:rsidRPr="00800C7C">
              <w:t>2,250</w:t>
            </w:r>
          </w:p>
        </w:tc>
        <w:tc>
          <w:tcPr>
            <w:tcW w:w="590" w:type="pct"/>
            <w:noWrap/>
          </w:tcPr>
          <w:p w14:paraId="3E67C76A" w14:textId="77777777" w:rsidR="00CB034B" w:rsidRPr="00E07567" w:rsidRDefault="00CB034B" w:rsidP="008E718E">
            <w:pPr>
              <w:pStyle w:val="Tabletext1"/>
              <w:jc w:val="right"/>
            </w:pPr>
            <w:r w:rsidRPr="00800C7C">
              <w:t>2,379</w:t>
            </w:r>
          </w:p>
        </w:tc>
        <w:tc>
          <w:tcPr>
            <w:tcW w:w="590" w:type="pct"/>
            <w:noWrap/>
          </w:tcPr>
          <w:p w14:paraId="2E5A09AC" w14:textId="77777777" w:rsidR="00CB034B" w:rsidRPr="00E07567" w:rsidRDefault="00CB034B" w:rsidP="008E718E">
            <w:pPr>
              <w:pStyle w:val="Tabletext1"/>
              <w:jc w:val="right"/>
            </w:pPr>
            <w:r w:rsidRPr="007009BE">
              <w:t>2,595</w:t>
            </w:r>
          </w:p>
        </w:tc>
        <w:tc>
          <w:tcPr>
            <w:tcW w:w="591" w:type="pct"/>
            <w:noWrap/>
          </w:tcPr>
          <w:p w14:paraId="4F31CEFF" w14:textId="77777777" w:rsidR="00CB034B" w:rsidRPr="00E07567" w:rsidRDefault="00CB034B" w:rsidP="008E718E">
            <w:pPr>
              <w:pStyle w:val="Tabletext1"/>
              <w:jc w:val="right"/>
            </w:pPr>
            <w:r w:rsidRPr="007009BE">
              <w:t>2,682</w:t>
            </w:r>
          </w:p>
        </w:tc>
        <w:tc>
          <w:tcPr>
            <w:tcW w:w="591" w:type="pct"/>
            <w:noWrap/>
          </w:tcPr>
          <w:p w14:paraId="44DED95D" w14:textId="77777777" w:rsidR="00CB034B" w:rsidRPr="00E07567" w:rsidRDefault="00CB034B" w:rsidP="008E718E">
            <w:pPr>
              <w:pStyle w:val="Tabletext1"/>
              <w:jc w:val="right"/>
            </w:pPr>
            <w:r w:rsidRPr="007009BE">
              <w:t>2,712</w:t>
            </w:r>
          </w:p>
        </w:tc>
        <w:tc>
          <w:tcPr>
            <w:tcW w:w="588" w:type="pct"/>
            <w:shd w:val="clear" w:color="auto" w:fill="D9D9D9" w:themeFill="background1" w:themeFillShade="D9"/>
            <w:noWrap/>
          </w:tcPr>
          <w:p w14:paraId="34459EA0" w14:textId="77777777" w:rsidR="00CB034B" w:rsidRPr="00E07567" w:rsidRDefault="00CB034B" w:rsidP="008E718E">
            <w:pPr>
              <w:pStyle w:val="Tabletext1"/>
              <w:jc w:val="right"/>
            </w:pPr>
            <w:r>
              <w:t>2,507</w:t>
            </w:r>
          </w:p>
        </w:tc>
      </w:tr>
    </w:tbl>
    <w:p w14:paraId="3FFA3880" w14:textId="77777777" w:rsidR="00CB034B" w:rsidRPr="00E07567" w:rsidRDefault="00CB034B" w:rsidP="00CB034B">
      <w:pPr>
        <w:pStyle w:val="Tablenotes0"/>
        <w:rPr>
          <w:rFonts w:eastAsiaTheme="minorHAnsi"/>
        </w:rPr>
      </w:pPr>
      <w:r>
        <w:rPr>
          <w:rFonts w:eastAsiaTheme="minorHAnsi"/>
        </w:rPr>
        <w:t>CIDP = chronic inflammatory demyelinating polyneuropathy</w:t>
      </w:r>
      <w:r>
        <w:t>; Ig =immunoglobulin</w:t>
      </w:r>
      <w:r w:rsidRPr="00E07567">
        <w:rPr>
          <w:rFonts w:eastAsiaTheme="minorHAnsi"/>
        </w:rPr>
        <w:t xml:space="preserve">; </w:t>
      </w:r>
      <w:r>
        <w:rPr>
          <w:rFonts w:eastAsiaTheme="minorHAnsi"/>
        </w:rPr>
        <w:t>NBA = National Blood Authority; NR = not reported.</w:t>
      </w:r>
    </w:p>
    <w:p w14:paraId="7D5654CC" w14:textId="219E39F2" w:rsidR="00CB034B" w:rsidRPr="00E07567" w:rsidRDefault="00CB034B" w:rsidP="00CB034B">
      <w:pPr>
        <w:pStyle w:val="Tablenotes0"/>
        <w:spacing w:after="360"/>
        <w:rPr>
          <w:rFonts w:eastAsiaTheme="minorHAnsi"/>
        </w:rPr>
      </w:pPr>
      <w:r w:rsidRPr="00E07567">
        <w:rPr>
          <w:rFonts w:eastAsiaTheme="minorHAnsi"/>
        </w:rPr>
        <w:t xml:space="preserve">Source: NBA </w:t>
      </w:r>
      <w:r w:rsidR="00B727D6">
        <w:rPr>
          <w:rFonts w:eastAsiaTheme="minorHAnsi"/>
        </w:rPr>
        <w:fldChar w:fldCharType="begin"/>
      </w:r>
      <w:r w:rsidR="00B727D6">
        <w:rPr>
          <w:rFonts w:eastAsiaTheme="minorHAnsi"/>
        </w:rPr>
        <w:instrText xml:space="preserve"> ADDIN EN.CITE &lt;EndNote&gt;&lt;Cite ExcludeAuth="1"&gt;&lt;Author&gt;NBA&lt;/Author&gt;&lt;Year&gt;2021&lt;/Year&gt;&lt;RecNum&gt;1965&lt;/RecNum&gt;&lt;DisplayText&gt;(2021a)&lt;/DisplayText&gt;&lt;record&gt;&lt;rec-number&gt;1965&lt;/rec-number&gt;&lt;foreign-keys&gt;&lt;key app="EN" db-id="xtr5xfx2xf0wd7e0s2qvst2ietxxf0tpzr9v" timestamp="1616109208"&gt;1965&lt;/key&gt;&lt;/foreign-keys&gt;&lt;ref-type name="Web Page"&gt;12&lt;/ref-type&gt;&lt;contributors&gt;&lt;authors&gt;&lt;author&gt;NBA&lt;/author&gt;&lt;/authors&gt;&lt;/contributors&gt;&lt;titles&gt;&lt;title&gt;Data Analysis and Reporting, National Blood Authority Australia&lt;/title&gt;&lt;/titles&gt;&lt;dates&gt;&lt;year&gt;2021&lt;/year&gt;&lt;/dates&gt;&lt;publisher&gt;National Blood Authority&lt;/publisher&gt;&lt;urls&gt;&lt;related-urls&gt;&lt;url&gt;https://www.blood.gov.au/data-analysis-reporting&lt;/url&gt;&lt;/related-urls&gt;&lt;/urls&gt;&lt;access-date&gt;18 March 2021&lt;/access-date&gt;&lt;/record&gt;&lt;/Cite&gt;&lt;/EndNote&gt;</w:instrText>
      </w:r>
      <w:r w:rsidR="00B727D6">
        <w:rPr>
          <w:rFonts w:eastAsiaTheme="minorHAnsi"/>
        </w:rPr>
        <w:fldChar w:fldCharType="separate"/>
      </w:r>
      <w:r w:rsidR="00B727D6">
        <w:rPr>
          <w:rFonts w:eastAsiaTheme="minorHAnsi"/>
          <w:noProof/>
        </w:rPr>
        <w:t>(</w:t>
      </w:r>
      <w:hyperlink w:anchor="_ENREF_50" w:tooltip="NBA, 2021 #1965" w:history="1">
        <w:r w:rsidR="00D726F6">
          <w:rPr>
            <w:rFonts w:eastAsiaTheme="minorHAnsi"/>
            <w:noProof/>
          </w:rPr>
          <w:t>2021a</w:t>
        </w:r>
      </w:hyperlink>
      <w:r w:rsidR="00B727D6">
        <w:rPr>
          <w:rFonts w:eastAsiaTheme="minorHAnsi"/>
          <w:noProof/>
        </w:rPr>
        <w:t>)</w:t>
      </w:r>
      <w:r w:rsidR="00B727D6">
        <w:rPr>
          <w:rFonts w:eastAsiaTheme="minorHAnsi"/>
        </w:rPr>
        <w:fldChar w:fldCharType="end"/>
      </w:r>
      <w:r w:rsidRPr="00E07567">
        <w:rPr>
          <w:rFonts w:eastAsiaTheme="minorHAnsi"/>
        </w:rPr>
        <w:t xml:space="preserve"> National Reports on the issue and use of immunoglob</w:t>
      </w:r>
      <w:r>
        <w:rPr>
          <w:rFonts w:eastAsiaTheme="minorHAnsi"/>
        </w:rPr>
        <w:t xml:space="preserve">ulin (Ig), 2009–2010, 2010–11, 2011–12, 2012–13, 2013–14, 2014-15, </w:t>
      </w:r>
      <w:r w:rsidRPr="00E07567">
        <w:rPr>
          <w:rFonts w:eastAsiaTheme="minorHAnsi"/>
        </w:rPr>
        <w:t>2015-16</w:t>
      </w:r>
      <w:r>
        <w:rPr>
          <w:rFonts w:eastAsiaTheme="minorHAnsi"/>
        </w:rPr>
        <w:t xml:space="preserve"> and 2016–17,</w:t>
      </w:r>
      <w:r w:rsidRPr="00E07567">
        <w:rPr>
          <w:rFonts w:eastAsiaTheme="minorHAnsi"/>
        </w:rPr>
        <w:t xml:space="preserve"> and the 'HTA Data </w:t>
      </w:r>
      <w:r>
        <w:rPr>
          <w:rFonts w:eastAsiaTheme="minorHAnsi"/>
        </w:rPr>
        <w:t>31Dec 2020.</w:t>
      </w:r>
      <w:r w:rsidRPr="00E07567">
        <w:rPr>
          <w:rFonts w:eastAsiaTheme="minorHAnsi"/>
        </w:rPr>
        <w:t>xlsx' workbook provided by the Department</w:t>
      </w:r>
      <w:r>
        <w:rPr>
          <w:rFonts w:eastAsiaTheme="minorHAnsi"/>
        </w:rPr>
        <w:t xml:space="preserve"> </w:t>
      </w:r>
      <w:r w:rsidR="00B727D6">
        <w:rPr>
          <w:rFonts w:eastAsiaTheme="minorHAnsi"/>
        </w:rPr>
        <w:fldChar w:fldCharType="begin"/>
      </w:r>
      <w:r w:rsidR="00B727D6">
        <w:rPr>
          <w:rFonts w:eastAsiaTheme="minorHAnsi"/>
        </w:rPr>
        <w:instrText xml:space="preserve"> ADDIN EN.CITE &lt;EndNote&gt;&lt;Cite&gt;&lt;Author&gt;NBA&lt;/Author&gt;&lt;Year&gt;2021&lt;/Year&gt;&lt;RecNum&gt;1955&lt;/RecNum&gt;&lt;DisplayText&gt;(NBA 2021b)&lt;/DisplayText&gt;&lt;record&gt;&lt;rec-number&gt;1955&lt;/rec-number&gt;&lt;foreign-keys&gt;&lt;key app="EN" db-id="xtr5xfx2xf0wd7e0s2qvst2ietxxf0tpzr9v" timestamp="1614733867"&gt;1955&lt;/key&gt;&lt;/foreign-keys&gt;&lt;ref-type name="Personal Communication"&gt;26&lt;/ref-type&gt;&lt;contributors&gt;&lt;authors&gt;&lt;author&gt;NBA,&lt;/author&gt;&lt;/authors&gt;&lt;secondary-authors&gt;&lt;author&gt;Deaprtment of Health&lt;/author&gt;&lt;/secondary-authors&gt;&lt;/contributors&gt;&lt;titles&gt;&lt;title&gt;Summary of BloodSTAR Data for IVIg use in patiets with CIDP Provided by National Blood Authority (NBA) for MSAC Application 1564.1&lt;/title&gt;&lt;/titles&gt;&lt;edition&gt;summary level data from BloodStar for CIDP.&lt;/edition&gt;&lt;dates&gt;&lt;year&gt;2021&lt;/year&gt;&lt;pub-dates&gt;&lt;date&gt;11 February 2021&lt;/date&gt;&lt;/pub-dates&gt;&lt;/dates&gt;&lt;work-type&gt;Summary level data&lt;/work-type&gt;&lt;urls&gt;&lt;/urls&gt;&lt;/record&gt;&lt;/Cite&gt;&lt;/EndNote&gt;</w:instrText>
      </w:r>
      <w:r w:rsidR="00B727D6">
        <w:rPr>
          <w:rFonts w:eastAsiaTheme="minorHAnsi"/>
        </w:rPr>
        <w:fldChar w:fldCharType="separate"/>
      </w:r>
      <w:r w:rsidR="00B727D6">
        <w:rPr>
          <w:rFonts w:eastAsiaTheme="minorHAnsi"/>
          <w:noProof/>
        </w:rPr>
        <w:t>(</w:t>
      </w:r>
      <w:hyperlink w:anchor="_ENREF_51" w:tooltip="NBA, 2021 #1955" w:history="1">
        <w:r w:rsidR="00D726F6">
          <w:rPr>
            <w:rFonts w:eastAsiaTheme="minorHAnsi"/>
            <w:noProof/>
          </w:rPr>
          <w:t>NBA 2021b</w:t>
        </w:r>
      </w:hyperlink>
      <w:r w:rsidR="00B727D6">
        <w:rPr>
          <w:rFonts w:eastAsiaTheme="minorHAnsi"/>
          <w:noProof/>
        </w:rPr>
        <w:t>)</w:t>
      </w:r>
      <w:r w:rsidR="00B727D6">
        <w:rPr>
          <w:rFonts w:eastAsiaTheme="minorHAnsi"/>
        </w:rPr>
        <w:fldChar w:fldCharType="end"/>
      </w:r>
      <w:r w:rsidRPr="00E07567">
        <w:rPr>
          <w:rFonts w:eastAsiaTheme="minorHAnsi"/>
        </w:rPr>
        <w:t>.</w:t>
      </w:r>
      <w:r>
        <w:rPr>
          <w:rFonts w:eastAsiaTheme="minorHAnsi"/>
        </w:rPr>
        <w:t xml:space="preserve"> Shaded cells represent only six months data were available.</w:t>
      </w:r>
    </w:p>
    <w:p w14:paraId="74000F31" w14:textId="02239BE0" w:rsidR="00CB034B" w:rsidRPr="007A2566" w:rsidRDefault="00CB034B" w:rsidP="00CB034B">
      <w:pPr>
        <w:pStyle w:val="Heading2"/>
      </w:pPr>
      <w:bookmarkStart w:id="404" w:name="_Toc214091270"/>
      <w:bookmarkStart w:id="405" w:name="_Toc341796094"/>
      <w:bookmarkStart w:id="406" w:name="_Toc15561887"/>
      <w:bookmarkStart w:id="407" w:name="_Toc23768064"/>
      <w:bookmarkStart w:id="408" w:name="_Toc69305605"/>
      <w:bookmarkStart w:id="409" w:name="_Toc379118300"/>
      <w:bookmarkStart w:id="410" w:name="_Toc381796483"/>
      <w:r>
        <w:t>E.2.</w:t>
      </w:r>
      <w:r>
        <w:tab/>
      </w:r>
      <w:r w:rsidRPr="007A2566">
        <w:t xml:space="preserve">Use and Costs of </w:t>
      </w:r>
      <w:bookmarkEnd w:id="404"/>
      <w:bookmarkEnd w:id="405"/>
      <w:r w:rsidRPr="007A2566">
        <w:t xml:space="preserve">Ig for </w:t>
      </w:r>
      <w:bookmarkEnd w:id="406"/>
      <w:bookmarkEnd w:id="407"/>
      <w:r>
        <w:t>CIDP</w:t>
      </w:r>
      <w:bookmarkEnd w:id="408"/>
    </w:p>
    <w:p w14:paraId="4153B905" w14:textId="2E647700" w:rsidR="00CB034B" w:rsidRDefault="00CB034B" w:rsidP="00CB034B">
      <w:pPr>
        <w:pStyle w:val="Heading3"/>
      </w:pPr>
      <w:bookmarkStart w:id="411" w:name="_Toc14431176"/>
      <w:bookmarkStart w:id="412" w:name="_Toc16671576"/>
      <w:bookmarkStart w:id="413" w:name="_Toc69305606"/>
      <w:bookmarkEnd w:id="409"/>
      <w:bookmarkEnd w:id="410"/>
      <w:r>
        <w:t>Estimated number of patients who receive Ig</w:t>
      </w:r>
      <w:bookmarkEnd w:id="411"/>
      <w:bookmarkEnd w:id="412"/>
      <w:bookmarkEnd w:id="413"/>
    </w:p>
    <w:p w14:paraId="5C9CB672" w14:textId="77777777" w:rsidR="00D52D1A" w:rsidRDefault="00D52D1A" w:rsidP="00D52D1A">
      <w:pPr>
        <w:pStyle w:val="BodyTextSTD"/>
      </w:pPr>
      <w:r>
        <w:t>T</w:t>
      </w:r>
      <w:r w:rsidRPr="00E07567">
        <w:t>he current eligible population and their extent of Ig use is well-defined in the BloodSTAR database, therefore a ground-up epidemiological approach to estimating the size of the relevant population is not required.</w:t>
      </w:r>
    </w:p>
    <w:p w14:paraId="43EDD626" w14:textId="7FAB09CB" w:rsidR="00CB034B" w:rsidRDefault="00CB034B" w:rsidP="00CB034B">
      <w:pPr>
        <w:pStyle w:val="BodyTextSTD"/>
        <w:rPr>
          <w:rStyle w:val="BodyTextSTDChar"/>
        </w:rPr>
      </w:pPr>
      <w:r w:rsidRPr="00E07567">
        <w:t>National reports on the issue and use of immunoglobulin</w:t>
      </w:r>
      <w:r>
        <w:t xml:space="preserve"> provide</w:t>
      </w:r>
      <w:r w:rsidR="00F3307B">
        <w:t xml:space="preserve"> data on</w:t>
      </w:r>
      <w:r>
        <w:t xml:space="preserve"> </w:t>
      </w:r>
      <w:r w:rsidRPr="00E07567">
        <w:t>Ig use</w:t>
      </w:r>
      <w:r>
        <w:t xml:space="preserve"> under Criteria</w:t>
      </w:r>
      <w:r w:rsidR="00D52D1A">
        <w:t xml:space="preserve"> V2</w:t>
      </w:r>
      <w:r>
        <w:t xml:space="preserve"> </w:t>
      </w:r>
      <w:r w:rsidRPr="00E07567">
        <w:t>from 20</w:t>
      </w:r>
      <w:r>
        <w:t>09–</w:t>
      </w:r>
      <w:r w:rsidRPr="00E07567">
        <w:t>1</w:t>
      </w:r>
      <w:r>
        <w:t>0</w:t>
      </w:r>
      <w:r w:rsidRPr="00E07567">
        <w:t xml:space="preserve"> to 201</w:t>
      </w:r>
      <w:r>
        <w:t>7–</w:t>
      </w:r>
      <w:r w:rsidRPr="00E07567">
        <w:t>1</w:t>
      </w:r>
      <w:r>
        <w:t xml:space="preserve">8 </w:t>
      </w:r>
      <w:r w:rsidR="00B727D6">
        <w:fldChar w:fldCharType="begin"/>
      </w:r>
      <w:r w:rsidR="00B727D6">
        <w:instrText xml:space="preserve"> ADDIN EN.CITE &lt;EndNote&gt;&lt;Cite&gt;&lt;Author&gt;NBA&lt;/Author&gt;&lt;Year&gt;2021&lt;/Year&gt;&lt;RecNum&gt;1965&lt;/RecNum&gt;&lt;DisplayText&gt;(NBA 2021a)&lt;/DisplayText&gt;&lt;record&gt;&lt;rec-number&gt;1965&lt;/rec-number&gt;&lt;foreign-keys&gt;&lt;key app="EN" db-id="xtr5xfx2xf0wd7e0s2qvst2ietxxf0tpzr9v" timestamp="1616109208"&gt;1965&lt;/key&gt;&lt;/foreign-keys&gt;&lt;ref-type name="Web Page"&gt;12&lt;/ref-type&gt;&lt;contributors&gt;&lt;authors&gt;&lt;author&gt;NBA&lt;/author&gt;&lt;/authors&gt;&lt;/contributors&gt;&lt;titles&gt;&lt;title&gt;Data Analysis and Reporting, National Blood Authority Australia&lt;/title&gt;&lt;/titles&gt;&lt;dates&gt;&lt;year&gt;2021&lt;/year&gt;&lt;/dates&gt;&lt;publisher&gt;National Blood Authority&lt;/publisher&gt;&lt;urls&gt;&lt;related-urls&gt;&lt;url&gt;https://www.blood.gov.au/data-analysis-reporting&lt;/url&gt;&lt;/related-urls&gt;&lt;/urls&gt;&lt;access-date&gt;18 March 2021&lt;/access-date&gt;&lt;/record&gt;&lt;/Cite&gt;&lt;/EndNote&gt;</w:instrText>
      </w:r>
      <w:r w:rsidR="00B727D6">
        <w:fldChar w:fldCharType="separate"/>
      </w:r>
      <w:r w:rsidR="00B727D6">
        <w:rPr>
          <w:noProof/>
        </w:rPr>
        <w:t>(</w:t>
      </w:r>
      <w:hyperlink w:anchor="_ENREF_50" w:tooltip="NBA, 2021 #1965" w:history="1">
        <w:r w:rsidR="00D726F6">
          <w:rPr>
            <w:noProof/>
          </w:rPr>
          <w:t>NBA 2021a</w:t>
        </w:r>
      </w:hyperlink>
      <w:r w:rsidR="00B727D6">
        <w:rPr>
          <w:noProof/>
        </w:rPr>
        <w:t>)</w:t>
      </w:r>
      <w:r w:rsidR="00B727D6">
        <w:fldChar w:fldCharType="end"/>
      </w:r>
      <w:r>
        <w:t xml:space="preserve">. </w:t>
      </w:r>
      <w:r w:rsidRPr="007E4E80">
        <w:t>The NBA provided data to the Department of Health on the issue and use of Ig to CIDP patients in Australia</w:t>
      </w:r>
      <w:r>
        <w:t xml:space="preserve"> from years 2017–18 to 2020–21 (</w:t>
      </w:r>
      <w:r w:rsidR="00F3307B">
        <w:t xml:space="preserve">but </w:t>
      </w:r>
      <w:r>
        <w:t>only six months data for the last year)</w:t>
      </w:r>
      <w:r w:rsidR="00B727D6">
        <w:fldChar w:fldCharType="begin"/>
      </w:r>
      <w:r w:rsidR="00B727D6">
        <w:instrText xml:space="preserve"> ADDIN EN.CITE &lt;EndNote&gt;&lt;Cite&gt;&lt;Author&gt;NBA&lt;/Author&gt;&lt;Year&gt;2021&lt;/Year&gt;&lt;RecNum&gt;1955&lt;/RecNum&gt;&lt;DisplayText&gt;(NBA 2021b)&lt;/DisplayText&gt;&lt;record&gt;&lt;rec-number&gt;1955&lt;/rec-number&gt;&lt;foreign-keys&gt;&lt;key app="EN" db-id="xtr5xfx2xf0wd7e0s2qvst2ietxxf0tpzr9v" timestamp="1614733867"&gt;1955&lt;/key&gt;&lt;/foreign-keys&gt;&lt;ref-type name="Personal Communication"&gt;26&lt;/ref-type&gt;&lt;contributors&gt;&lt;authors&gt;&lt;author&gt;NBA,&lt;/author&gt;&lt;/authors&gt;&lt;secondary-authors&gt;&lt;author&gt;Deaprtment of Health&lt;/author&gt;&lt;/secondary-authors&gt;&lt;/contributors&gt;&lt;titles&gt;&lt;title&gt;Summary of BloodSTAR Data for IVIg use in patiets with CIDP Provided by National Blood Authority (NBA) for MSAC Application 1564.1&lt;/title&gt;&lt;/titles&gt;&lt;edition&gt;summary level data from BloodStar for CIDP.&lt;/edition&gt;&lt;dates&gt;&lt;year&gt;2021&lt;/year&gt;&lt;pub-dates&gt;&lt;date&gt;11 February 2021&lt;/date&gt;&lt;/pub-dates&gt;&lt;/dates&gt;&lt;work-type&gt;Summary level data&lt;/work-type&gt;&lt;urls&gt;&lt;/urls&gt;&lt;/record&gt;&lt;/Cite&gt;&lt;/EndNote&gt;</w:instrText>
      </w:r>
      <w:r w:rsidR="00B727D6">
        <w:fldChar w:fldCharType="separate"/>
      </w:r>
      <w:r w:rsidR="00B727D6">
        <w:rPr>
          <w:noProof/>
        </w:rPr>
        <w:t>(</w:t>
      </w:r>
      <w:hyperlink w:anchor="_ENREF_51" w:tooltip="NBA, 2021 #1955" w:history="1">
        <w:r w:rsidR="00D726F6">
          <w:rPr>
            <w:noProof/>
          </w:rPr>
          <w:t>NBA 2021b</w:t>
        </w:r>
      </w:hyperlink>
      <w:r w:rsidR="00B727D6">
        <w:rPr>
          <w:noProof/>
        </w:rPr>
        <w:t>)</w:t>
      </w:r>
      <w:r w:rsidR="00B727D6">
        <w:fldChar w:fldCharType="end"/>
      </w:r>
      <w:r>
        <w:rPr>
          <w:rStyle w:val="BodyTextSTDChar"/>
        </w:rPr>
        <w:t xml:space="preserve">. </w:t>
      </w:r>
      <w:r w:rsidR="00F3307B">
        <w:rPr>
          <w:rStyle w:val="BodyTextSTDChar"/>
        </w:rPr>
        <w:t xml:space="preserve">This included </w:t>
      </w:r>
      <w:r>
        <w:rPr>
          <w:rStyle w:val="BodyTextSTDChar"/>
        </w:rPr>
        <w:t>d</w:t>
      </w:r>
      <w:r w:rsidRPr="00FC32E1">
        <w:rPr>
          <w:rStyle w:val="BodyTextSTDChar"/>
        </w:rPr>
        <w:t xml:space="preserve">isaggregated </w:t>
      </w:r>
      <w:r>
        <w:rPr>
          <w:rStyle w:val="BodyTextSTDChar"/>
        </w:rPr>
        <w:t xml:space="preserve">Ig use </w:t>
      </w:r>
      <w:r w:rsidRPr="00FC32E1">
        <w:rPr>
          <w:rStyle w:val="BodyTextSTDChar"/>
        </w:rPr>
        <w:t>across the C</w:t>
      </w:r>
      <w:r>
        <w:rPr>
          <w:rStyle w:val="BodyTextSTDChar"/>
        </w:rPr>
        <w:t>riteria</w:t>
      </w:r>
      <w:r w:rsidR="00D52D1A">
        <w:rPr>
          <w:rStyle w:val="BodyTextSTDChar"/>
        </w:rPr>
        <w:t xml:space="preserve"> V2</w:t>
      </w:r>
      <w:r>
        <w:rPr>
          <w:rStyle w:val="BodyTextSTDChar"/>
        </w:rPr>
        <w:t xml:space="preserve"> </w:t>
      </w:r>
      <w:r w:rsidRPr="00FC32E1">
        <w:rPr>
          <w:rStyle w:val="BodyTextSTDChar"/>
        </w:rPr>
        <w:t xml:space="preserve">and </w:t>
      </w:r>
      <w:r w:rsidR="00D52D1A">
        <w:rPr>
          <w:rStyle w:val="BodyTextSTDChar"/>
        </w:rPr>
        <w:t xml:space="preserve">the </w:t>
      </w:r>
      <w:r>
        <w:rPr>
          <w:rStyle w:val="BodyTextSTDChar"/>
        </w:rPr>
        <w:t xml:space="preserve">Criteria </w:t>
      </w:r>
      <w:r w:rsidR="00D52D1A">
        <w:rPr>
          <w:rStyle w:val="BodyTextSTDChar"/>
        </w:rPr>
        <w:t xml:space="preserve">V3 </w:t>
      </w:r>
      <w:r>
        <w:rPr>
          <w:rStyle w:val="BodyTextSTDChar"/>
        </w:rPr>
        <w:t>in years 2018–19 and 2019–20</w:t>
      </w:r>
      <w:r w:rsidRPr="00FC32E1">
        <w:rPr>
          <w:rStyle w:val="BodyTextSTDChar"/>
        </w:rPr>
        <w:t xml:space="preserve">. </w:t>
      </w:r>
      <w:r>
        <w:rPr>
          <w:rStyle w:val="BodyTextSTDChar"/>
        </w:rPr>
        <w:t xml:space="preserve">In addition, the use of SCIg is reported for years 2019–20 and </w:t>
      </w:r>
      <w:r w:rsidR="00F3307B">
        <w:rPr>
          <w:rStyle w:val="BodyTextSTDChar"/>
        </w:rPr>
        <w:t xml:space="preserve">the </w:t>
      </w:r>
      <w:r>
        <w:rPr>
          <w:rStyle w:val="BodyTextSTDChar"/>
        </w:rPr>
        <w:t xml:space="preserve">partial year 2020–21. The Criteria </w:t>
      </w:r>
      <w:r w:rsidR="00D52D1A">
        <w:rPr>
          <w:rStyle w:val="BodyTextSTDChar"/>
        </w:rPr>
        <w:t xml:space="preserve">V3 </w:t>
      </w:r>
      <w:r>
        <w:rPr>
          <w:rStyle w:val="BodyTextSTDChar"/>
        </w:rPr>
        <w:t xml:space="preserve">was introduced in October 2018 and the use of SCIg for CIDP was funded in </w:t>
      </w:r>
      <w:r w:rsidR="004014EE">
        <w:rPr>
          <w:rStyle w:val="BodyTextSTDChar"/>
        </w:rPr>
        <w:t xml:space="preserve">August </w:t>
      </w:r>
      <w:r>
        <w:rPr>
          <w:rStyle w:val="BodyTextSTDChar"/>
        </w:rPr>
        <w:t xml:space="preserve">2019. It is uncertain how the changes in eligibility and dosing (from Version 2 to Version 3 of the Criteria) and funding of SCIg </w:t>
      </w:r>
      <w:r w:rsidR="00900DF3">
        <w:rPr>
          <w:rStyle w:val="BodyTextSTDChar"/>
        </w:rPr>
        <w:t>(d</w:t>
      </w:r>
      <w:r w:rsidR="001236DF">
        <w:rPr>
          <w:rStyle w:val="BodyTextSTDChar"/>
        </w:rPr>
        <w:t>iscussed</w:t>
      </w:r>
      <w:r w:rsidR="00900DF3">
        <w:rPr>
          <w:rStyle w:val="BodyTextSTDChar"/>
        </w:rPr>
        <w:t xml:space="preserve"> below) </w:t>
      </w:r>
      <w:r>
        <w:rPr>
          <w:rStyle w:val="BodyTextSTDChar"/>
        </w:rPr>
        <w:t>in addition to IVIg would impact the projected future Ig use for patients with CIDP.</w:t>
      </w:r>
    </w:p>
    <w:p w14:paraId="47F733D9" w14:textId="12C11704" w:rsidR="00CB034B" w:rsidRDefault="00CB034B" w:rsidP="00CB034B">
      <w:pPr>
        <w:pStyle w:val="BodyTextSTD"/>
      </w:pPr>
      <w:bookmarkStart w:id="414" w:name="_Toc379118301"/>
      <w:bookmarkStart w:id="415" w:name="_Toc381796484"/>
      <w:r w:rsidRPr="00DC0BC0">
        <w:t xml:space="preserve">The total number of patients with CIDP receiving Ig has increased from 1,551 in 2011–12 to 2,250 in 2015–16 and 2,712 in 2019–20. The rate of growth for CIDP patients were </w:t>
      </w:r>
      <w:r>
        <w:t>3.4</w:t>
      </w:r>
      <w:r w:rsidRPr="00DC0BC0">
        <w:t xml:space="preserve">% and </w:t>
      </w:r>
      <w:r>
        <w:t>1.1</w:t>
      </w:r>
      <w:r w:rsidRPr="00DC0BC0">
        <w:t>% for the years 2018–19 and 2019–20 respectively.</w:t>
      </w:r>
      <w:r>
        <w:t xml:space="preserve"> It is uncertain if this reduction in growth rate is attributed to the introduction of Version 3 Criteria or patient numbers switching from alternate therapies have stabilised. Due to non-linear trend observed in the growth of the number of patients using Ig over the past 10 years, p</w:t>
      </w:r>
      <w:r w:rsidRPr="00DC0BC0">
        <w:t xml:space="preserve">atient numbers were projected using </w:t>
      </w:r>
      <w:r>
        <w:t>non-</w:t>
      </w:r>
      <w:r w:rsidRPr="00DC0BC0">
        <w:t>linear</w:t>
      </w:r>
      <w:r w:rsidRPr="00E07567">
        <w:t xml:space="preserve"> extrapolations </w:t>
      </w:r>
      <w:r>
        <w:t xml:space="preserve">(second order polynomial) </w:t>
      </w:r>
      <w:r w:rsidRPr="00E07567">
        <w:t xml:space="preserve">fitted to the observed data presented in </w:t>
      </w:r>
      <w:r w:rsidRPr="00E07567">
        <w:fldChar w:fldCharType="begin"/>
      </w:r>
      <w:r w:rsidRPr="00E07567">
        <w:instrText xml:space="preserve"> REF _Ref9868003 \h  \* MERGEFORMAT </w:instrText>
      </w:r>
      <w:r w:rsidRPr="00E07567">
        <w:fldChar w:fldCharType="separate"/>
      </w:r>
      <w:r w:rsidR="004B3EA2" w:rsidRPr="00E07567">
        <w:t xml:space="preserve">Table </w:t>
      </w:r>
      <w:r w:rsidR="004B3EA2">
        <w:t>64</w:t>
      </w:r>
      <w:r w:rsidRPr="00E07567">
        <w:fldChar w:fldCharType="end"/>
      </w:r>
      <w:r w:rsidRPr="00E07567">
        <w:t xml:space="preserve"> (</w:t>
      </w:r>
      <w:r>
        <w:fldChar w:fldCharType="begin"/>
      </w:r>
      <w:r>
        <w:instrText xml:space="preserve"> REF _Ref67059055 \h </w:instrText>
      </w:r>
      <w:r>
        <w:fldChar w:fldCharType="separate"/>
      </w:r>
      <w:r w:rsidR="004B3EA2">
        <w:t xml:space="preserve">Figure </w:t>
      </w:r>
      <w:r w:rsidR="004B3EA2">
        <w:rPr>
          <w:noProof/>
        </w:rPr>
        <w:t>14</w:t>
      </w:r>
      <w:r>
        <w:fldChar w:fldCharType="end"/>
      </w:r>
      <w:r w:rsidRPr="00E07567">
        <w:t xml:space="preserve">). The projected estimated </w:t>
      </w:r>
      <w:r>
        <w:t xml:space="preserve">number of </w:t>
      </w:r>
      <w:r w:rsidRPr="00E07567">
        <w:t>patients</w:t>
      </w:r>
      <w:r>
        <w:t xml:space="preserve"> with CIDP requesting </w:t>
      </w:r>
      <w:r w:rsidRPr="00E07567">
        <w:t xml:space="preserve">Ig are presented in </w:t>
      </w:r>
      <w:r w:rsidRPr="00E07567">
        <w:fldChar w:fldCharType="begin"/>
      </w:r>
      <w:r w:rsidRPr="00E07567">
        <w:instrText xml:space="preserve"> REF _Ref10797587 \h </w:instrText>
      </w:r>
      <w:r>
        <w:instrText xml:space="preserve"> \* MERGEFORMAT </w:instrText>
      </w:r>
      <w:r w:rsidRPr="00E07567">
        <w:fldChar w:fldCharType="separate"/>
      </w:r>
      <w:r w:rsidR="004B3EA2" w:rsidRPr="00E07567">
        <w:t xml:space="preserve">Table </w:t>
      </w:r>
      <w:r w:rsidR="004B3EA2">
        <w:rPr>
          <w:noProof/>
        </w:rPr>
        <w:t>65</w:t>
      </w:r>
      <w:r w:rsidRPr="00E07567">
        <w:fldChar w:fldCharType="end"/>
      </w:r>
      <w:r w:rsidRPr="00E07567">
        <w:t xml:space="preserve">. </w:t>
      </w:r>
    </w:p>
    <w:p w14:paraId="718CD928" w14:textId="75158390" w:rsidR="00CB034B" w:rsidRPr="00E07567" w:rsidRDefault="00D52D1A" w:rsidP="00CB034B">
      <w:r>
        <w:rPr>
          <w:noProof/>
        </w:rPr>
        <w:drawing>
          <wp:inline distT="0" distB="0" distL="0" distR="0" wp14:anchorId="74F4D801" wp14:editId="42284DE8">
            <wp:extent cx="5736566" cy="2813982"/>
            <wp:effectExtent l="0" t="0" r="0" b="5715"/>
            <wp:docPr id="28" name="Picture 28" descr="Number of patients with CIDP requiring Ig therapy; projected patient numbers to 2025–2026" title="Number of patients with CIDP requiring Ig therapy; projected patient numbers to 2025–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0406" cy="2835487"/>
                    </a:xfrm>
                    <a:prstGeom prst="rect">
                      <a:avLst/>
                    </a:prstGeom>
                    <a:noFill/>
                  </pic:spPr>
                </pic:pic>
              </a:graphicData>
            </a:graphic>
          </wp:inline>
        </w:drawing>
      </w:r>
    </w:p>
    <w:p w14:paraId="4373BEC1" w14:textId="45AEE12E" w:rsidR="00CB034B" w:rsidRPr="00E07567" w:rsidRDefault="00CB034B" w:rsidP="00CB034B">
      <w:pPr>
        <w:pStyle w:val="Caption"/>
      </w:pPr>
      <w:bookmarkStart w:id="416" w:name="_Ref67059055"/>
      <w:bookmarkStart w:id="417" w:name="_Toc69305746"/>
      <w:r>
        <w:t xml:space="preserve">Figure </w:t>
      </w:r>
      <w:r w:rsidR="00003BA5">
        <w:fldChar w:fldCharType="begin"/>
      </w:r>
      <w:r w:rsidR="00003BA5">
        <w:instrText xml:space="preserve"> SEQ Figure \* ARABIC </w:instrText>
      </w:r>
      <w:r w:rsidR="00003BA5">
        <w:fldChar w:fldCharType="separate"/>
      </w:r>
      <w:r w:rsidR="004B3EA2">
        <w:rPr>
          <w:noProof/>
        </w:rPr>
        <w:t>14</w:t>
      </w:r>
      <w:r w:rsidR="00003BA5">
        <w:rPr>
          <w:noProof/>
        </w:rPr>
        <w:fldChar w:fldCharType="end"/>
      </w:r>
      <w:bookmarkEnd w:id="416"/>
      <w:r>
        <w:tab/>
        <w:t>Number of p</w:t>
      </w:r>
      <w:r w:rsidRPr="00C229F1">
        <w:t xml:space="preserve">atients </w:t>
      </w:r>
      <w:r>
        <w:t xml:space="preserve">with CIDP </w:t>
      </w:r>
      <w:r w:rsidRPr="00C229F1">
        <w:t xml:space="preserve">requiring </w:t>
      </w:r>
      <w:r>
        <w:t>I</w:t>
      </w:r>
      <w:r w:rsidRPr="00C229F1">
        <w:t>g</w:t>
      </w:r>
      <w:r>
        <w:t xml:space="preserve"> therapy</w:t>
      </w:r>
      <w:r w:rsidRPr="00C229F1">
        <w:t>; p</w:t>
      </w:r>
      <w:r>
        <w:t>rojected patient numbers to 2025–2026</w:t>
      </w:r>
      <w:bookmarkEnd w:id="417"/>
    </w:p>
    <w:p w14:paraId="4A69C941" w14:textId="77777777" w:rsidR="00CB034B" w:rsidRPr="00E07567" w:rsidRDefault="00CB034B" w:rsidP="00CB034B">
      <w:pPr>
        <w:pStyle w:val="Tablenotes1"/>
      </w:pPr>
      <w:r>
        <w:t>CIDP</w:t>
      </w:r>
      <w:r w:rsidRPr="00E07567">
        <w:t xml:space="preserve"> = </w:t>
      </w:r>
      <w:r>
        <w:t xml:space="preserve">chronic </w:t>
      </w:r>
      <w:r w:rsidRPr="004320AE">
        <w:t>inflammatory demyelinating polyneuropathy</w:t>
      </w:r>
      <w:r>
        <w:t>; Ig =immunoglobulin</w:t>
      </w:r>
      <w:r w:rsidRPr="00E07567">
        <w:t>.</w:t>
      </w:r>
    </w:p>
    <w:p w14:paraId="575AA5F8" w14:textId="77777777" w:rsidR="00CB034B" w:rsidRPr="00E07567" w:rsidRDefault="00CB034B" w:rsidP="00CB034B">
      <w:pPr>
        <w:pStyle w:val="Tablenotes1"/>
        <w:spacing w:after="360"/>
      </w:pPr>
      <w:r w:rsidRPr="00E07567">
        <w:t>Source: ‘Estimated patient numbers’ worksheet in ‘</w:t>
      </w:r>
      <w:r>
        <w:t>MSAC 1564.1</w:t>
      </w:r>
      <w:r w:rsidRPr="00E07567">
        <w:t xml:space="preserve"> Financials.xlsx’ workbook.</w:t>
      </w:r>
    </w:p>
    <w:p w14:paraId="4B9DEF63" w14:textId="61C1D286" w:rsidR="00CB034B" w:rsidRPr="00E07567" w:rsidRDefault="00CB034B" w:rsidP="00CB034B">
      <w:pPr>
        <w:pStyle w:val="Caption"/>
      </w:pPr>
      <w:bookmarkStart w:id="418" w:name="_Ref10797587"/>
      <w:bookmarkStart w:id="419" w:name="_Toc13645596"/>
      <w:bookmarkStart w:id="420" w:name="_Toc15561990"/>
      <w:bookmarkStart w:id="421" w:name="_Toc23768940"/>
      <w:bookmarkStart w:id="422" w:name="_Toc69305706"/>
      <w:r w:rsidRPr="00E07567">
        <w:t xml:space="preserve">Table </w:t>
      </w:r>
      <w:r w:rsidRPr="00E07567">
        <w:rPr>
          <w:noProof/>
        </w:rPr>
        <w:fldChar w:fldCharType="begin"/>
      </w:r>
      <w:r w:rsidRPr="00E07567">
        <w:rPr>
          <w:noProof/>
        </w:rPr>
        <w:instrText xml:space="preserve"> SEQ Table \* ARABIC </w:instrText>
      </w:r>
      <w:r w:rsidRPr="00E07567">
        <w:rPr>
          <w:noProof/>
        </w:rPr>
        <w:fldChar w:fldCharType="separate"/>
      </w:r>
      <w:r w:rsidR="004B3EA2">
        <w:rPr>
          <w:noProof/>
        </w:rPr>
        <w:t>65</w:t>
      </w:r>
      <w:r w:rsidRPr="00E07567">
        <w:rPr>
          <w:noProof/>
        </w:rPr>
        <w:fldChar w:fldCharType="end"/>
      </w:r>
      <w:bookmarkEnd w:id="418"/>
      <w:r w:rsidRPr="00E07567">
        <w:tab/>
        <w:t>Number of patients</w:t>
      </w:r>
      <w:r>
        <w:t xml:space="preserve"> with CIDP</w:t>
      </w:r>
      <w:r w:rsidRPr="00E07567">
        <w:t xml:space="preserve"> projected to receiv</w:t>
      </w:r>
      <w:r>
        <w:t>e Ig</w:t>
      </w:r>
      <w:r w:rsidRPr="00E07567">
        <w:t>, 20</w:t>
      </w:r>
      <w:r>
        <w:t>21–22</w:t>
      </w:r>
      <w:r w:rsidRPr="00E07567">
        <w:t xml:space="preserve"> to 202</w:t>
      </w:r>
      <w:r>
        <w:t>5–26</w:t>
      </w:r>
      <w:bookmarkEnd w:id="419"/>
      <w:bookmarkEnd w:id="420"/>
      <w:bookmarkEnd w:id="421"/>
      <w:bookmarkEnd w:id="422"/>
    </w:p>
    <w:tbl>
      <w:tblPr>
        <w:tblStyle w:val="TableGrid1"/>
        <w:tblW w:w="5000" w:type="pct"/>
        <w:tblLook w:val="04A0" w:firstRow="1" w:lastRow="0" w:firstColumn="1" w:lastColumn="0" w:noHBand="0" w:noVBand="1"/>
        <w:tblCaption w:val="Number of patients with CIDP projected to receive Ig, 2021–22 to 2025–26-24"/>
        <w:tblDescription w:val="Number of patients with CIDP projected to receive Ig, 2021–22 to 2025–26"/>
      </w:tblPr>
      <w:tblGrid>
        <w:gridCol w:w="2123"/>
        <w:gridCol w:w="1378"/>
        <w:gridCol w:w="1379"/>
        <w:gridCol w:w="1379"/>
        <w:gridCol w:w="1379"/>
        <w:gridCol w:w="1378"/>
      </w:tblGrid>
      <w:tr w:rsidR="00CB034B" w:rsidRPr="00E07567" w14:paraId="587309B3" w14:textId="77777777" w:rsidTr="008E718E">
        <w:trPr>
          <w:cnfStyle w:val="100000000000" w:firstRow="1" w:lastRow="0" w:firstColumn="0" w:lastColumn="0" w:oddVBand="0" w:evenVBand="0" w:oddHBand="0" w:evenHBand="0" w:firstRowFirstColumn="0" w:firstRowLastColumn="0" w:lastRowFirstColumn="0" w:lastRowLastColumn="0"/>
          <w:cantSplit/>
          <w:trHeight w:val="300"/>
          <w:tblHeader/>
        </w:trPr>
        <w:tc>
          <w:tcPr>
            <w:tcW w:w="1177" w:type="pct"/>
          </w:tcPr>
          <w:p w14:paraId="04F59012" w14:textId="77777777" w:rsidR="00CB034B" w:rsidRPr="00E07567" w:rsidRDefault="00CB034B" w:rsidP="008E718E">
            <w:pPr>
              <w:pStyle w:val="TableHeading"/>
            </w:pPr>
          </w:p>
        </w:tc>
        <w:tc>
          <w:tcPr>
            <w:tcW w:w="764" w:type="pct"/>
            <w:tcBorders>
              <w:bottom w:val="single" w:sz="4" w:space="0" w:color="auto"/>
            </w:tcBorders>
            <w:noWrap/>
            <w:hideMark/>
          </w:tcPr>
          <w:p w14:paraId="5BA4B39E" w14:textId="77777777" w:rsidR="00CB034B" w:rsidRPr="00E07567" w:rsidRDefault="00CB034B" w:rsidP="008E718E">
            <w:pPr>
              <w:pStyle w:val="TableHeading"/>
            </w:pPr>
            <w:r w:rsidRPr="00F6448E">
              <w:t>2021–22</w:t>
            </w:r>
          </w:p>
        </w:tc>
        <w:tc>
          <w:tcPr>
            <w:tcW w:w="765" w:type="pct"/>
            <w:tcBorders>
              <w:bottom w:val="single" w:sz="4" w:space="0" w:color="auto"/>
            </w:tcBorders>
            <w:noWrap/>
            <w:hideMark/>
          </w:tcPr>
          <w:p w14:paraId="588B8D43" w14:textId="77777777" w:rsidR="00CB034B" w:rsidRPr="00E07567" w:rsidRDefault="00CB034B" w:rsidP="008E718E">
            <w:pPr>
              <w:pStyle w:val="TableHeading"/>
            </w:pPr>
            <w:r w:rsidRPr="00F6448E">
              <w:t>2022–23</w:t>
            </w:r>
          </w:p>
        </w:tc>
        <w:tc>
          <w:tcPr>
            <w:tcW w:w="765" w:type="pct"/>
            <w:tcBorders>
              <w:bottom w:val="single" w:sz="4" w:space="0" w:color="auto"/>
            </w:tcBorders>
            <w:noWrap/>
            <w:hideMark/>
          </w:tcPr>
          <w:p w14:paraId="7CB72D83" w14:textId="77777777" w:rsidR="00CB034B" w:rsidRPr="00E07567" w:rsidRDefault="00CB034B" w:rsidP="008E718E">
            <w:pPr>
              <w:pStyle w:val="TableHeading"/>
            </w:pPr>
            <w:r w:rsidRPr="00F6448E">
              <w:t>2023–24</w:t>
            </w:r>
          </w:p>
        </w:tc>
        <w:tc>
          <w:tcPr>
            <w:tcW w:w="765" w:type="pct"/>
            <w:tcBorders>
              <w:bottom w:val="single" w:sz="4" w:space="0" w:color="auto"/>
            </w:tcBorders>
            <w:noWrap/>
            <w:hideMark/>
          </w:tcPr>
          <w:p w14:paraId="1A59E331" w14:textId="77777777" w:rsidR="00CB034B" w:rsidRPr="00E07567" w:rsidRDefault="00CB034B" w:rsidP="008E718E">
            <w:pPr>
              <w:pStyle w:val="TableHeading"/>
            </w:pPr>
            <w:r w:rsidRPr="00F6448E">
              <w:t>2024–25</w:t>
            </w:r>
          </w:p>
        </w:tc>
        <w:tc>
          <w:tcPr>
            <w:tcW w:w="764" w:type="pct"/>
            <w:tcBorders>
              <w:bottom w:val="single" w:sz="4" w:space="0" w:color="auto"/>
            </w:tcBorders>
            <w:noWrap/>
            <w:hideMark/>
          </w:tcPr>
          <w:p w14:paraId="056D9829" w14:textId="77777777" w:rsidR="00CB034B" w:rsidRPr="00E07567" w:rsidRDefault="00CB034B" w:rsidP="008E718E">
            <w:pPr>
              <w:pStyle w:val="TableHeading"/>
            </w:pPr>
            <w:r w:rsidRPr="00F6448E">
              <w:t>2025–26</w:t>
            </w:r>
          </w:p>
        </w:tc>
      </w:tr>
      <w:tr w:rsidR="00CB034B" w:rsidRPr="00E07567" w14:paraId="6ECCC7FC" w14:textId="77777777" w:rsidTr="008E718E">
        <w:trPr>
          <w:cantSplit/>
          <w:trHeight w:val="300"/>
        </w:trPr>
        <w:tc>
          <w:tcPr>
            <w:tcW w:w="1177" w:type="pct"/>
          </w:tcPr>
          <w:p w14:paraId="504809B1" w14:textId="77777777" w:rsidR="00CB034B" w:rsidRPr="00E07567" w:rsidRDefault="00CB034B" w:rsidP="008E718E">
            <w:pPr>
              <w:pStyle w:val="Tabletext1"/>
              <w:rPr>
                <w:rFonts w:cs="Calibri"/>
                <w:color w:val="000000"/>
              </w:rPr>
            </w:pPr>
            <w:r>
              <w:rPr>
                <w:rFonts w:cs="Calibri"/>
                <w:color w:val="000000"/>
              </w:rPr>
              <w:t>Number of patients</w:t>
            </w:r>
          </w:p>
        </w:tc>
        <w:tc>
          <w:tcPr>
            <w:tcW w:w="764" w:type="pct"/>
            <w:tcBorders>
              <w:top w:val="single" w:sz="4" w:space="0" w:color="auto"/>
              <w:left w:val="nil"/>
              <w:bottom w:val="single" w:sz="4" w:space="0" w:color="auto"/>
              <w:right w:val="single" w:sz="4" w:space="0" w:color="auto"/>
            </w:tcBorders>
            <w:shd w:val="clear" w:color="auto" w:fill="auto"/>
            <w:noWrap/>
          </w:tcPr>
          <w:p w14:paraId="76A8BA31" w14:textId="77777777" w:rsidR="00CB034B" w:rsidRPr="00E07567" w:rsidRDefault="00CB034B" w:rsidP="008E718E">
            <w:pPr>
              <w:pStyle w:val="Tabletext1"/>
            </w:pPr>
            <w:r w:rsidRPr="00101B27">
              <w:t>2,934</w:t>
            </w:r>
          </w:p>
        </w:tc>
        <w:tc>
          <w:tcPr>
            <w:tcW w:w="765" w:type="pct"/>
            <w:tcBorders>
              <w:top w:val="single" w:sz="4" w:space="0" w:color="auto"/>
              <w:left w:val="single" w:sz="4" w:space="0" w:color="auto"/>
              <w:bottom w:val="single" w:sz="4" w:space="0" w:color="auto"/>
              <w:right w:val="single" w:sz="4" w:space="0" w:color="auto"/>
            </w:tcBorders>
            <w:shd w:val="clear" w:color="auto" w:fill="auto"/>
            <w:noWrap/>
          </w:tcPr>
          <w:p w14:paraId="41FBE369" w14:textId="77777777" w:rsidR="00CB034B" w:rsidRPr="00E07567" w:rsidRDefault="00CB034B" w:rsidP="008E718E">
            <w:pPr>
              <w:pStyle w:val="Tabletext1"/>
            </w:pPr>
            <w:r w:rsidRPr="00101B27">
              <w:t>3,003</w:t>
            </w:r>
          </w:p>
        </w:tc>
        <w:tc>
          <w:tcPr>
            <w:tcW w:w="765" w:type="pct"/>
            <w:tcBorders>
              <w:top w:val="single" w:sz="4" w:space="0" w:color="auto"/>
              <w:left w:val="single" w:sz="4" w:space="0" w:color="auto"/>
              <w:bottom w:val="single" w:sz="4" w:space="0" w:color="auto"/>
              <w:right w:val="single" w:sz="4" w:space="0" w:color="auto"/>
            </w:tcBorders>
            <w:shd w:val="clear" w:color="auto" w:fill="auto"/>
            <w:noWrap/>
          </w:tcPr>
          <w:p w14:paraId="7750057D" w14:textId="77777777" w:rsidR="00CB034B" w:rsidRPr="00E07567" w:rsidRDefault="00CB034B" w:rsidP="008E718E">
            <w:pPr>
              <w:pStyle w:val="Tabletext1"/>
            </w:pPr>
            <w:r w:rsidRPr="00101B27">
              <w:t>3,059</w:t>
            </w:r>
          </w:p>
        </w:tc>
        <w:tc>
          <w:tcPr>
            <w:tcW w:w="765" w:type="pct"/>
            <w:tcBorders>
              <w:top w:val="single" w:sz="4" w:space="0" w:color="auto"/>
              <w:left w:val="single" w:sz="4" w:space="0" w:color="auto"/>
              <w:bottom w:val="single" w:sz="4" w:space="0" w:color="auto"/>
              <w:right w:val="single" w:sz="4" w:space="0" w:color="auto"/>
            </w:tcBorders>
            <w:shd w:val="clear" w:color="auto" w:fill="auto"/>
            <w:noWrap/>
          </w:tcPr>
          <w:p w14:paraId="53EF7E27" w14:textId="77777777" w:rsidR="00CB034B" w:rsidRPr="00E07567" w:rsidRDefault="00CB034B" w:rsidP="008E718E">
            <w:pPr>
              <w:pStyle w:val="Tabletext1"/>
            </w:pPr>
            <w:r w:rsidRPr="00101B27">
              <w:t>3,102</w:t>
            </w:r>
          </w:p>
        </w:tc>
        <w:tc>
          <w:tcPr>
            <w:tcW w:w="764" w:type="pct"/>
            <w:tcBorders>
              <w:top w:val="single" w:sz="4" w:space="0" w:color="auto"/>
              <w:left w:val="single" w:sz="4" w:space="0" w:color="auto"/>
              <w:bottom w:val="single" w:sz="4" w:space="0" w:color="auto"/>
              <w:right w:val="single" w:sz="4" w:space="0" w:color="auto"/>
            </w:tcBorders>
            <w:shd w:val="clear" w:color="auto" w:fill="auto"/>
            <w:noWrap/>
          </w:tcPr>
          <w:p w14:paraId="25C76DD2" w14:textId="77777777" w:rsidR="00CB034B" w:rsidRPr="00E07567" w:rsidRDefault="00CB034B" w:rsidP="008E718E">
            <w:pPr>
              <w:pStyle w:val="Tabletext1"/>
            </w:pPr>
            <w:r w:rsidRPr="00101B27">
              <w:t>3,133</w:t>
            </w:r>
          </w:p>
        </w:tc>
      </w:tr>
    </w:tbl>
    <w:p w14:paraId="4120FF50" w14:textId="77777777" w:rsidR="00CB034B" w:rsidRPr="00E07567" w:rsidRDefault="00CB034B" w:rsidP="00CB034B">
      <w:pPr>
        <w:pStyle w:val="Tablenotes1"/>
      </w:pPr>
      <w:r>
        <w:t>CIDP</w:t>
      </w:r>
      <w:r w:rsidRPr="00E07567">
        <w:t xml:space="preserve"> = </w:t>
      </w:r>
      <w:r>
        <w:t xml:space="preserve">chronic </w:t>
      </w:r>
      <w:r w:rsidRPr="004320AE">
        <w:t>inflammatory demyelinating polyneuropathy</w:t>
      </w:r>
      <w:r>
        <w:t>; Ig =immunoglobulin</w:t>
      </w:r>
      <w:r w:rsidRPr="00E07567">
        <w:t>.</w:t>
      </w:r>
    </w:p>
    <w:p w14:paraId="29EF8824" w14:textId="77777777" w:rsidR="00CB034B" w:rsidRPr="00E07567" w:rsidRDefault="00CB034B" w:rsidP="00CB034B">
      <w:pPr>
        <w:pStyle w:val="Tablenotes1"/>
      </w:pPr>
      <w:r w:rsidRPr="00E07567">
        <w:t>Source: ‘Estimated patient numbers’ worksheet in ‘</w:t>
      </w:r>
      <w:r>
        <w:t>MSAC 1564.1</w:t>
      </w:r>
      <w:r w:rsidRPr="00E07567">
        <w:t xml:space="preserve"> Financials.xlsx’ workbook.</w:t>
      </w:r>
    </w:p>
    <w:p w14:paraId="492E3169" w14:textId="1CF1E72D" w:rsidR="00613DB7" w:rsidRPr="00E07567" w:rsidRDefault="00613DB7" w:rsidP="00613DB7">
      <w:pPr>
        <w:pStyle w:val="Heading4"/>
      </w:pPr>
      <w:bookmarkStart w:id="423" w:name="_Toc15561888"/>
      <w:bookmarkStart w:id="424" w:name="_Toc23768065"/>
      <w:r>
        <w:t>Use of Ig for IV and SC administration</w:t>
      </w:r>
    </w:p>
    <w:p w14:paraId="5A9FAAC0" w14:textId="3BE7108E" w:rsidR="0037263D" w:rsidRDefault="00D56B6A" w:rsidP="00613DB7">
      <w:pPr>
        <w:pStyle w:val="BodyTextSTD"/>
      </w:pPr>
      <w:r>
        <w:t>In Australia, t</w:t>
      </w:r>
      <w:r w:rsidR="00613DB7" w:rsidRPr="00A60354">
        <w:t xml:space="preserve">he majority of patients who currently receive Ig for </w:t>
      </w:r>
      <w:r w:rsidR="00613DB7">
        <w:t>CIDP</w:t>
      </w:r>
      <w:r w:rsidR="00613DB7" w:rsidRPr="00A60354">
        <w:t xml:space="preserve"> do so by intravenous infusion.</w:t>
      </w:r>
      <w:r w:rsidR="00613DB7">
        <w:t xml:space="preserve"> SCIg was approved in </w:t>
      </w:r>
      <w:r w:rsidR="003654FD">
        <w:t xml:space="preserve">August </w:t>
      </w:r>
      <w:r w:rsidR="00613DB7">
        <w:t>2019 for use for the treatment of CIDP under the national blood arrangements pending the outcome of a current Health Technology Assessment review evaluating the use of immunoglobulin in the treatment of CIDP</w:t>
      </w:r>
      <w:r w:rsidR="00613DB7">
        <w:rPr>
          <w:rStyle w:val="FootnoteReference"/>
        </w:rPr>
        <w:footnoteReference w:id="10"/>
      </w:r>
      <w:r w:rsidR="00613DB7">
        <w:t>. There was an uptake of 2.3% in 2019–20 (from November 2019 to June 2020), which had increased to around 4.7% in 2020–21 (July to December 2020)</w:t>
      </w:r>
      <w:r w:rsidR="00613DB7" w:rsidRPr="001C2D49">
        <w:t xml:space="preserve"> </w:t>
      </w:r>
      <w:r w:rsidR="00613DB7">
        <w:t xml:space="preserve">for SCIg for CIDP </w:t>
      </w:r>
      <w:r w:rsidR="00B727D6">
        <w:fldChar w:fldCharType="begin"/>
      </w:r>
      <w:r w:rsidR="00B727D6">
        <w:instrText xml:space="preserve"> ADDIN EN.CITE &lt;EndNote&gt;&lt;Cite&gt;&lt;Author&gt;NBA&lt;/Author&gt;&lt;Year&gt;2021&lt;/Year&gt;&lt;RecNum&gt;1955&lt;/RecNum&gt;&lt;DisplayText&gt;(NBA 2021b)&lt;/DisplayText&gt;&lt;record&gt;&lt;rec-number&gt;1955&lt;/rec-number&gt;&lt;foreign-keys&gt;&lt;key app="EN" db-id="xtr5xfx2xf0wd7e0s2qvst2ietxxf0tpzr9v" timestamp="1614733867"&gt;1955&lt;/key&gt;&lt;/foreign-keys&gt;&lt;ref-type name="Personal Communication"&gt;26&lt;/ref-type&gt;&lt;contributors&gt;&lt;authors&gt;&lt;author&gt;NBA,&lt;/author&gt;&lt;/authors&gt;&lt;secondary-authors&gt;&lt;author&gt;Deaprtment of Health&lt;/author&gt;&lt;/secondary-authors&gt;&lt;/contributors&gt;&lt;titles&gt;&lt;title&gt;Summary of BloodSTAR Data for IVIg use in patiets with CIDP Provided by National Blood Authority (NBA) for MSAC Application 1564.1&lt;/title&gt;&lt;/titles&gt;&lt;edition&gt;summary level data from BloodStar for CIDP.&lt;/edition&gt;&lt;dates&gt;&lt;year&gt;2021&lt;/year&gt;&lt;pub-dates&gt;&lt;date&gt;11 February 2021&lt;/date&gt;&lt;/pub-dates&gt;&lt;/dates&gt;&lt;work-type&gt;Summary level data&lt;/work-type&gt;&lt;urls&gt;&lt;/urls&gt;&lt;/record&gt;&lt;/Cite&gt;&lt;/EndNote&gt;</w:instrText>
      </w:r>
      <w:r w:rsidR="00B727D6">
        <w:fldChar w:fldCharType="separate"/>
      </w:r>
      <w:r w:rsidR="00B727D6">
        <w:rPr>
          <w:noProof/>
        </w:rPr>
        <w:t>(</w:t>
      </w:r>
      <w:hyperlink w:anchor="_ENREF_51" w:tooltip="NBA, 2021 #1955" w:history="1">
        <w:r w:rsidR="00D726F6">
          <w:rPr>
            <w:noProof/>
          </w:rPr>
          <w:t>NBA 2021b</w:t>
        </w:r>
      </w:hyperlink>
      <w:r w:rsidR="00B727D6">
        <w:rPr>
          <w:noProof/>
        </w:rPr>
        <w:t>)</w:t>
      </w:r>
      <w:r w:rsidR="00B727D6">
        <w:fldChar w:fldCharType="end"/>
      </w:r>
      <w:r w:rsidR="00613DB7">
        <w:t xml:space="preserve">. It is uncertain to what extent the increase in SCIg uptake is attributed to </w:t>
      </w:r>
      <w:r w:rsidR="00613DB7" w:rsidRPr="00A60354">
        <w:t>the COVID-19 pandemic</w:t>
      </w:r>
      <w:r w:rsidR="00613DB7">
        <w:t>, or patient preference</w:t>
      </w:r>
      <w:r w:rsidR="00605064">
        <w:t xml:space="preserve"> for </w:t>
      </w:r>
      <w:r w:rsidR="00613DB7">
        <w:t xml:space="preserve">home-based treatment. </w:t>
      </w:r>
      <w:r w:rsidR="00166455" w:rsidRPr="00166455">
        <w:t xml:space="preserve"> </w:t>
      </w:r>
      <w:r w:rsidR="00166455">
        <w:t>In Criteria V3 the minimum and maximum doses are equivalent (IVIg 0.4-2g/kg, 2-6 weekly and SC 0.2-1g/kg weekly, both with a maximum of 2g</w:t>
      </w:r>
      <w:r w:rsidR="008D63A0">
        <w:t>/kg</w:t>
      </w:r>
      <w:r w:rsidR="00166455">
        <w:t>/</w:t>
      </w:r>
      <w:r w:rsidR="008D63A0">
        <w:t>4-weeks</w:t>
      </w:r>
      <w:r w:rsidR="00166455">
        <w:t>). The mean d</w:t>
      </w:r>
      <w:r>
        <w:t xml:space="preserve">ose equivalence </w:t>
      </w:r>
      <w:r w:rsidR="00166455">
        <w:t xml:space="preserve">of </w:t>
      </w:r>
      <w:r w:rsidR="007354FD">
        <w:t xml:space="preserve">IV </w:t>
      </w:r>
      <w:r w:rsidR="00166455">
        <w:t xml:space="preserve">and SC Ig in practice </w:t>
      </w:r>
      <w:r>
        <w:t xml:space="preserve">is not </w:t>
      </w:r>
      <w:r w:rsidR="00056CEC">
        <w:t xml:space="preserve">well </w:t>
      </w:r>
      <w:r>
        <w:t>defined</w:t>
      </w:r>
      <w:r w:rsidR="00900DF3">
        <w:t>; i</w:t>
      </w:r>
      <w:r>
        <w:t xml:space="preserve">n the US a SC:IV </w:t>
      </w:r>
      <w:r w:rsidR="00900DF3">
        <w:t xml:space="preserve">dose </w:t>
      </w:r>
      <w:r>
        <w:t>ratio of 1.37:1 is recommended, whereas the European Union approves a 1:1 rat</w:t>
      </w:r>
      <w:r w:rsidR="00550BCB">
        <w:t>io</w:t>
      </w:r>
      <w:r w:rsidR="00B4526A">
        <w:t xml:space="preserve">. </w:t>
      </w:r>
      <w:r w:rsidR="00E91673">
        <w:t xml:space="preserve">In a small UK study of </w:t>
      </w:r>
      <w:r w:rsidR="008E6F07">
        <w:t>eight</w:t>
      </w:r>
      <w:r w:rsidR="00E91673">
        <w:t xml:space="preserve"> patients with CIDP/</w:t>
      </w:r>
      <w:r w:rsidR="000E387B" w:rsidRPr="000E387B">
        <w:t xml:space="preserve"> multifocal motor neuropathy</w:t>
      </w:r>
      <w:r w:rsidR="000E387B">
        <w:t xml:space="preserve"> </w:t>
      </w:r>
      <w:r w:rsidR="00B727D6">
        <w:fldChar w:fldCharType="begin"/>
      </w:r>
      <w:r w:rsidR="00B727D6">
        <w:instrText xml:space="preserve"> ADDIN EN.CITE &lt;EndNote&gt;&lt;Cite&gt;&lt;Author&gt;Hadden&lt;/Author&gt;&lt;Year&gt;2015&lt;/Year&gt;&lt;RecNum&gt;1967&lt;/RecNum&gt;&lt;DisplayText&gt;(Hadden &amp;amp; Marreno 2015)&lt;/DisplayText&gt;&lt;record&gt;&lt;rec-number&gt;1967&lt;/rec-number&gt;&lt;foreign-keys&gt;&lt;key app="EN" db-id="xtr5xfx2xf0wd7e0s2qvst2ietxxf0tpzr9v" timestamp="1617256182"&gt;1967&lt;/key&gt;&lt;/foreign-keys&gt;&lt;ref-type name="Journal Article"&gt;17&lt;/ref-type&gt;&lt;contributors&gt;&lt;authors&gt;&lt;author&gt;Hadden, Robert D. M.&lt;/author&gt;&lt;author&gt;Marreno, Fabrizio&lt;/author&gt;&lt;/authors&gt;&lt;/contributors&gt;&lt;titles&gt;&lt;title&gt;Switch from intravenous to subcutaneous immunoglobulin in CIDP and MMN: improved tolerability and patient satisfaction&lt;/title&gt;&lt;secondary-title&gt;Therapeutic advances in neurological disorders&lt;/secondary-title&gt;&lt;alt-title&gt;Ther Adv Neurol Disord&lt;/alt-title&gt;&lt;/titles&gt;&lt;periodical&gt;&lt;full-title&gt;Therapeutic advances in neurological disorders&lt;/full-title&gt;&lt;abbr-1&gt;Ther Adv Neurol Disord&lt;/abbr-1&gt;&lt;/periodical&gt;&lt;alt-periodical&gt;&lt;full-title&gt;Therapeutic advances in neurological disorders&lt;/full-title&gt;&lt;abbr-1&gt;Ther Adv Neurol Disord&lt;/abbr-1&gt;&lt;/alt-periodical&gt;&lt;pages&gt;14-19&lt;/pages&gt;&lt;volume&gt;8&lt;/volume&gt;&lt;number&gt;1&lt;/number&gt;&lt;keywords&gt;&lt;keyword&gt;chronic inflammatory demyelinating polyradiculoneuropathy&lt;/keyword&gt;&lt;keyword&gt;intravenous immunoglobulins&lt;/keyword&gt;&lt;keyword&gt;multifocal motor neuropathy&lt;/keyword&gt;&lt;keyword&gt;subcutaneous immunoglobulins&lt;/keyword&gt;&lt;/keywords&gt;&lt;dates&gt;&lt;year&gt;2015&lt;/year&gt;&lt;/dates&gt;&lt;publisher&gt;SAGE Publications&lt;/publisher&gt;&lt;isbn&gt;1756-2856&amp;#xD;1756-2864&lt;/isbn&gt;&lt;accession-num&gt;25584070&lt;/accession-num&gt;&lt;urls&gt;&lt;related-urls&gt;&lt;url&gt;https://pubmed.ncbi.nlm.nih.gov/25584070&lt;/url&gt;&lt;url&gt;https://www.ncbi.nlm.nih.gov/pmc/articles/PMC4286942/&lt;/url&gt;&lt;/related-urls&gt;&lt;/urls&gt;&lt;electronic-resource-num&gt;10.1177/1756285614563056&lt;/electronic-resource-num&gt;&lt;remote-database-name&gt;PubMed&lt;/remote-database-name&gt;&lt;language&gt;eng&lt;/language&gt;&lt;/record&gt;&lt;/Cite&gt;&lt;/EndNote&gt;</w:instrText>
      </w:r>
      <w:r w:rsidR="00B727D6">
        <w:fldChar w:fldCharType="separate"/>
      </w:r>
      <w:r w:rsidR="00B727D6">
        <w:rPr>
          <w:noProof/>
        </w:rPr>
        <w:t>(</w:t>
      </w:r>
      <w:hyperlink w:anchor="_ENREF_23" w:tooltip="Hadden, 2015 #1967" w:history="1">
        <w:r w:rsidR="00D726F6">
          <w:rPr>
            <w:noProof/>
          </w:rPr>
          <w:t>Hadden &amp; Marreno 2015</w:t>
        </w:r>
      </w:hyperlink>
      <w:r w:rsidR="00B727D6">
        <w:rPr>
          <w:noProof/>
        </w:rPr>
        <w:t>)</w:t>
      </w:r>
      <w:r w:rsidR="00B727D6">
        <w:fldChar w:fldCharType="end"/>
      </w:r>
      <w:r w:rsidR="000E387B">
        <w:t xml:space="preserve"> </w:t>
      </w:r>
      <w:r w:rsidR="00E91673">
        <w:t xml:space="preserve">who switched from IVIg to SCIg, the </w:t>
      </w:r>
      <w:r w:rsidR="00166455">
        <w:t>ratio was 1.024:1</w:t>
      </w:r>
      <w:r w:rsidR="00900DF3">
        <w:t>, and a</w:t>
      </w:r>
      <w:r w:rsidR="00B4526A">
        <w:t xml:space="preserve"> </w:t>
      </w:r>
      <w:r w:rsidR="00166455">
        <w:t xml:space="preserve">larger </w:t>
      </w:r>
      <w:r w:rsidR="00B4526A">
        <w:t xml:space="preserve">US analysis of </w:t>
      </w:r>
      <w:r w:rsidR="00900DF3">
        <w:t xml:space="preserve">real-world data </w:t>
      </w:r>
      <w:r w:rsidR="00166455">
        <w:t xml:space="preserve">in 278 </w:t>
      </w:r>
      <w:r w:rsidR="00E91673">
        <w:t xml:space="preserve">switching patients </w:t>
      </w:r>
      <w:r w:rsidR="00166455">
        <w:t>(albeit</w:t>
      </w:r>
      <w:r w:rsidR="00E91673">
        <w:t xml:space="preserve">, Primary Immunodeficiency Disease patients, not CIDP) indicated a stabilised </w:t>
      </w:r>
      <w:r w:rsidR="00B4526A">
        <w:t xml:space="preserve">ratio </w:t>
      </w:r>
      <w:r w:rsidR="00E91673">
        <w:t xml:space="preserve">of 1.05:1, four months after switching. Updated </w:t>
      </w:r>
      <w:r w:rsidR="00232471">
        <w:t xml:space="preserve">BloodStar utilisation data </w:t>
      </w:r>
      <w:r w:rsidR="00B727D6">
        <w:fldChar w:fldCharType="begin"/>
      </w:r>
      <w:r w:rsidR="00B727D6">
        <w:instrText xml:space="preserve"> ADDIN EN.CITE &lt;EndNote&gt;&lt;Cite&gt;&lt;Author&gt;Department of Health&lt;/Author&gt;&lt;Year&gt;2021&lt;/Year&gt;&lt;RecNum&gt;1968&lt;/RecNum&gt;&lt;DisplayText&gt;(Department of Health 2021b)&lt;/DisplayText&gt;&lt;record&gt;&lt;rec-number&gt;1968&lt;/rec-number&gt;&lt;foreign-keys&gt;&lt;key app="EN" db-id="xtr5xfx2xf0wd7e0s2qvst2ietxxf0tpzr9v" timestamp="1617256406"&gt;1968&lt;/key&gt;&lt;/foreign-keys&gt;&lt;ref-type name="Personal Communication"&gt;26&lt;/ref-type&gt;&lt;contributors&gt;&lt;authors&gt;&lt;author&gt;Department of Health,&lt;/author&gt;&lt;/authors&gt;&lt;/contributors&gt;&lt;titles&gt;&lt;title&gt;Updated utilisation analysis of BloodSTAR Data Provided by National Blood Authority (NBA) and Collected under Criteria V3 for MSAC Application 1564.1 performed by the DUSC and PMR Section of TAAD&lt;/title&gt;&lt;/titles&gt;&lt;edition&gt;De-identified,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2020&lt;/edition&gt;&lt;dates&gt;&lt;year&gt;2021&lt;/year&gt;&lt;pub-dates&gt;&lt;date&gt;31 March 2021&lt;/date&gt;&lt;/pub-dates&gt;&lt;/dates&gt;&lt;work-type&gt;Data analysis&lt;/work-type&gt;&lt;urls&gt;&lt;/urls&gt;&lt;/record&gt;&lt;/Cite&gt;&lt;/EndNote&gt;</w:instrText>
      </w:r>
      <w:r w:rsidR="00B727D6">
        <w:fldChar w:fldCharType="separate"/>
      </w:r>
      <w:r w:rsidR="00B727D6">
        <w:rPr>
          <w:noProof/>
        </w:rPr>
        <w:t>(</w:t>
      </w:r>
      <w:hyperlink w:anchor="_ENREF_13" w:tooltip="Department of Health, 2021 #1968" w:history="1">
        <w:r w:rsidR="00D726F6">
          <w:rPr>
            <w:noProof/>
          </w:rPr>
          <w:t>Department of Health 2021b</w:t>
        </w:r>
      </w:hyperlink>
      <w:r w:rsidR="00B727D6">
        <w:rPr>
          <w:noProof/>
        </w:rPr>
        <w:t>)</w:t>
      </w:r>
      <w:r w:rsidR="00B727D6">
        <w:fldChar w:fldCharType="end"/>
      </w:r>
      <w:r w:rsidR="00232471">
        <w:t xml:space="preserve"> </w:t>
      </w:r>
      <w:r w:rsidR="00E91673">
        <w:t xml:space="preserve">presented in </w:t>
      </w:r>
      <w:r w:rsidR="00232471">
        <w:fldChar w:fldCharType="begin"/>
      </w:r>
      <w:r w:rsidR="00232471">
        <w:instrText xml:space="preserve"> REF _Ref68166156 \h </w:instrText>
      </w:r>
      <w:r w:rsidR="00232471">
        <w:fldChar w:fldCharType="separate"/>
      </w:r>
      <w:r w:rsidR="004B3EA2">
        <w:t xml:space="preserve">Table </w:t>
      </w:r>
      <w:r w:rsidR="004B3EA2">
        <w:rPr>
          <w:noProof/>
        </w:rPr>
        <w:t>78</w:t>
      </w:r>
      <w:r w:rsidR="00232471">
        <w:fldChar w:fldCharType="end"/>
      </w:r>
      <w:r w:rsidR="00232471">
        <w:t xml:space="preserve">, </w:t>
      </w:r>
      <w:r w:rsidR="00E91673" w:rsidRPr="00514C96">
        <w:rPr>
          <w:b/>
        </w:rPr>
        <w:t xml:space="preserve">Appendix </w:t>
      </w:r>
      <w:r w:rsidR="008D63A0" w:rsidRPr="00514C96">
        <w:rPr>
          <w:b/>
        </w:rPr>
        <w:t>G</w:t>
      </w:r>
      <w:r w:rsidR="00514C96">
        <w:rPr>
          <w:b/>
        </w:rPr>
        <w:t xml:space="preserve">, </w:t>
      </w:r>
      <w:r w:rsidR="00E91673">
        <w:t>identifies that the average Ig use per patient is lower when patients receiving SCIg are excluded, suggesting higher doses are used in SCIg patients in Australia</w:t>
      </w:r>
      <w:r w:rsidR="007D63A9">
        <w:t>.</w:t>
      </w:r>
      <w:r w:rsidR="00E91673">
        <w:t xml:space="preserve"> </w:t>
      </w:r>
      <w:r w:rsidR="007D63A9">
        <w:t>H</w:t>
      </w:r>
      <w:r w:rsidR="00E91673">
        <w:t xml:space="preserve">owever this is based on a small, </w:t>
      </w:r>
      <w:r w:rsidR="00F60CD9">
        <w:t xml:space="preserve">non-comparative, </w:t>
      </w:r>
      <w:r w:rsidR="00E91673">
        <w:t>short-term data set</w:t>
      </w:r>
      <w:r w:rsidR="00F60CD9">
        <w:t xml:space="preserve"> and so should be interpreted with caution (the higher average dose </w:t>
      </w:r>
      <w:r w:rsidR="00902AA8">
        <w:t xml:space="preserve">appears to be driven, at least in part, by the particularly </w:t>
      </w:r>
      <w:r w:rsidR="00F60CD9">
        <w:t>large</w:t>
      </w:r>
      <w:r w:rsidR="00902AA8">
        <w:t xml:space="preserve"> maximum</w:t>
      </w:r>
      <w:r w:rsidR="00F60CD9">
        <w:t xml:space="preserve"> dose</w:t>
      </w:r>
      <w:r w:rsidR="00902AA8">
        <w:t xml:space="preserve"> in a single patient). </w:t>
      </w:r>
      <w:r w:rsidR="0037263D">
        <w:t xml:space="preserve">Overall, the impact of dosing route on total Ig use is uncertain, but it appears more likely </w:t>
      </w:r>
      <w:r w:rsidR="00F770CA">
        <w:t>subcutaneous</w:t>
      </w:r>
      <w:r w:rsidR="0037263D">
        <w:t xml:space="preserve"> administration would be associated with increased use rather than decreased use. This is discussed further below.</w:t>
      </w:r>
    </w:p>
    <w:p w14:paraId="65468C04" w14:textId="065AAA84" w:rsidR="00CB034B" w:rsidRPr="00E07567" w:rsidRDefault="0037263D" w:rsidP="00CB034B">
      <w:pPr>
        <w:pStyle w:val="Heading3"/>
      </w:pPr>
      <w:bookmarkStart w:id="425" w:name="_Toc69305607"/>
      <w:r>
        <w:t>In addition the distribution of Ig use between IVIg and SCIg administration will have impact on the costs associated with Ig administration, this is detailed further in Section E.3.</w:t>
      </w:r>
      <w:r w:rsidR="00CB034B" w:rsidRPr="00E07567">
        <w:t>Estimated use and cost per patient who receives Ig</w:t>
      </w:r>
      <w:bookmarkEnd w:id="423"/>
      <w:bookmarkEnd w:id="424"/>
      <w:bookmarkEnd w:id="425"/>
    </w:p>
    <w:p w14:paraId="5E766578" w14:textId="77777777" w:rsidR="00CB034B" w:rsidRPr="00E07567" w:rsidRDefault="00CB034B" w:rsidP="00CB034B">
      <w:pPr>
        <w:pStyle w:val="Heading4"/>
      </w:pPr>
      <w:r w:rsidRPr="00E07567">
        <w:t>Average grams per patient per year</w:t>
      </w:r>
    </w:p>
    <w:p w14:paraId="7F1F9BA2" w14:textId="6CA8C7B1" w:rsidR="00CB034B" w:rsidRPr="00E07567" w:rsidRDefault="00F3307B" w:rsidP="00CB034B">
      <w:pPr>
        <w:jc w:val="both"/>
      </w:pPr>
      <w:r>
        <w:t>The annual i</w:t>
      </w:r>
      <w:r w:rsidR="00CB034B">
        <w:t xml:space="preserve">ncrease in </w:t>
      </w:r>
      <w:r w:rsidR="00D907BA">
        <w:t xml:space="preserve">total </w:t>
      </w:r>
      <w:r w:rsidR="00CB034B">
        <w:t xml:space="preserve">Ig use for patients with CIDP has </w:t>
      </w:r>
      <w:r>
        <w:t>been</w:t>
      </w:r>
      <w:r w:rsidR="00CB034B">
        <w:t xml:space="preserve"> around 10% for the years 2009–10 to 2019–20, except for year 2018–19 (</w:t>
      </w:r>
      <w:r>
        <w:t xml:space="preserve">where only a </w:t>
      </w:r>
      <w:r w:rsidR="00CB034B">
        <w:t>5% increase from 2017–18</w:t>
      </w:r>
      <w:r>
        <w:t xml:space="preserve"> was observed</w:t>
      </w:r>
      <w:r w:rsidR="00CB034B">
        <w:t xml:space="preserve">). </w:t>
      </w:r>
      <w:r w:rsidR="00FA096F">
        <w:t xml:space="preserve">Total </w:t>
      </w:r>
      <w:r w:rsidR="00CB034B">
        <w:t xml:space="preserve">Ig use </w:t>
      </w:r>
      <w:r w:rsidR="00FA096F">
        <w:t xml:space="preserve">(in grams) </w:t>
      </w:r>
      <w:r w:rsidR="00CB034B">
        <w:t xml:space="preserve">was projected using linear extrapolation fitted to the observed </w:t>
      </w:r>
      <w:r w:rsidR="00CB034B" w:rsidRPr="00E07567">
        <w:t xml:space="preserve">data presented in </w:t>
      </w:r>
      <w:r w:rsidR="00CB034B" w:rsidRPr="00E07567">
        <w:fldChar w:fldCharType="begin"/>
      </w:r>
      <w:r w:rsidR="00CB034B" w:rsidRPr="00E07567">
        <w:instrText xml:space="preserve"> REF _Ref9868003 \h  \* MERGEFORMAT </w:instrText>
      </w:r>
      <w:r w:rsidR="00CB034B" w:rsidRPr="00E07567">
        <w:fldChar w:fldCharType="separate"/>
      </w:r>
      <w:r w:rsidR="004B3EA2" w:rsidRPr="00E07567">
        <w:t xml:space="preserve">Table </w:t>
      </w:r>
      <w:r w:rsidR="004B3EA2">
        <w:t>64</w:t>
      </w:r>
      <w:r w:rsidR="00CB034B" w:rsidRPr="00E07567">
        <w:fldChar w:fldCharType="end"/>
      </w:r>
      <w:r w:rsidR="00CB034B">
        <w:t xml:space="preserve"> (</w:t>
      </w:r>
      <w:r w:rsidR="00CB034B">
        <w:fldChar w:fldCharType="begin"/>
      </w:r>
      <w:r w:rsidR="00CB034B">
        <w:instrText xml:space="preserve"> REF _Ref67078049 \h </w:instrText>
      </w:r>
      <w:r w:rsidR="00CB034B">
        <w:fldChar w:fldCharType="separate"/>
      </w:r>
      <w:r w:rsidR="004B3EA2" w:rsidRPr="00E07567">
        <w:t xml:space="preserve">Figure </w:t>
      </w:r>
      <w:r w:rsidR="004B3EA2">
        <w:rPr>
          <w:noProof/>
        </w:rPr>
        <w:t>15</w:t>
      </w:r>
      <w:r w:rsidR="00CB034B">
        <w:fldChar w:fldCharType="end"/>
      </w:r>
      <w:r w:rsidR="00CB034B">
        <w:t>)</w:t>
      </w:r>
      <w:r w:rsidR="00D907BA">
        <w:t>. T</w:t>
      </w:r>
      <w:r w:rsidR="00FA096F">
        <w:t xml:space="preserve">his extrapolation will capture any trend due to changes in </w:t>
      </w:r>
      <w:r w:rsidR="00CB034B" w:rsidRPr="00E07567">
        <w:t>patient weight and</w:t>
      </w:r>
      <w:r w:rsidR="00D907BA">
        <w:t>/or</w:t>
      </w:r>
      <w:r w:rsidR="00CB034B" w:rsidRPr="00E07567">
        <w:t xml:space="preserve"> dose</w:t>
      </w:r>
      <w:r w:rsidR="00FA096F">
        <w:t xml:space="preserve"> that</w:t>
      </w:r>
      <w:r w:rsidR="00CB034B" w:rsidRPr="00E07567">
        <w:t xml:space="preserve"> </w:t>
      </w:r>
      <w:r w:rsidR="00D907BA">
        <w:t xml:space="preserve">has occurred </w:t>
      </w:r>
      <w:r w:rsidR="00CB034B" w:rsidRPr="00E07567">
        <w:t xml:space="preserve">over </w:t>
      </w:r>
      <w:r w:rsidR="00D907BA">
        <w:t xml:space="preserve">the observed </w:t>
      </w:r>
      <w:r w:rsidR="00CB034B" w:rsidRPr="00E07567">
        <w:t>time</w:t>
      </w:r>
      <w:r w:rsidR="00D907BA">
        <w:t xml:space="preserve"> period, in addition to the growth in patient numbers</w:t>
      </w:r>
      <w:r w:rsidR="00CB034B" w:rsidRPr="00E07567">
        <w:t xml:space="preserve">. The projected grams of </w:t>
      </w:r>
      <w:r w:rsidR="00D907BA">
        <w:t xml:space="preserve">total </w:t>
      </w:r>
      <w:r w:rsidR="00CB034B" w:rsidRPr="00E07567">
        <w:t xml:space="preserve">IVIg use for </w:t>
      </w:r>
      <w:r w:rsidR="00CB034B">
        <w:t>CIDP</w:t>
      </w:r>
      <w:r w:rsidR="00D907BA">
        <w:t xml:space="preserve"> in Australia</w:t>
      </w:r>
      <w:r w:rsidR="00CB034B" w:rsidRPr="00E07567">
        <w:t xml:space="preserve"> are presented in </w:t>
      </w:r>
      <w:r w:rsidR="00CB034B" w:rsidRPr="00E07567">
        <w:fldChar w:fldCharType="begin"/>
      </w:r>
      <w:r w:rsidR="00CB034B" w:rsidRPr="00E07567">
        <w:instrText xml:space="preserve"> REF _Ref12448852 \h  \* MERGEFORMAT </w:instrText>
      </w:r>
      <w:r w:rsidR="00CB034B" w:rsidRPr="00E07567">
        <w:fldChar w:fldCharType="separate"/>
      </w:r>
      <w:r w:rsidR="004B3EA2" w:rsidRPr="00E07567">
        <w:t xml:space="preserve">Table </w:t>
      </w:r>
      <w:r w:rsidR="004B3EA2">
        <w:rPr>
          <w:noProof/>
        </w:rPr>
        <w:t>66</w:t>
      </w:r>
      <w:r w:rsidR="00CB034B" w:rsidRPr="00E07567">
        <w:fldChar w:fldCharType="end"/>
      </w:r>
      <w:r w:rsidR="00CB034B" w:rsidRPr="00E07567">
        <w:t xml:space="preserve">. </w:t>
      </w:r>
    </w:p>
    <w:p w14:paraId="7AA29D65" w14:textId="77777777" w:rsidR="00CB034B" w:rsidRPr="00E07567" w:rsidRDefault="00CB034B" w:rsidP="00CB034B">
      <w:pPr>
        <w:spacing w:after="0" w:line="240" w:lineRule="auto"/>
        <w:contextualSpacing/>
      </w:pPr>
      <w:r>
        <w:rPr>
          <w:noProof/>
        </w:rPr>
        <w:drawing>
          <wp:inline distT="0" distB="0" distL="0" distR="0" wp14:anchorId="6C1F526B" wp14:editId="683C808A">
            <wp:extent cx="5732890" cy="2744769"/>
            <wp:effectExtent l="0" t="0" r="1270" b="0"/>
            <wp:docPr id="22" name="Picture 22" descr="Ig for CIDP, use projections to 2025–2026" title="Ig for CIDP, use projections to 2025–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8905" cy="2781163"/>
                    </a:xfrm>
                    <a:prstGeom prst="rect">
                      <a:avLst/>
                    </a:prstGeom>
                    <a:noFill/>
                  </pic:spPr>
                </pic:pic>
              </a:graphicData>
            </a:graphic>
          </wp:inline>
        </w:drawing>
      </w:r>
    </w:p>
    <w:p w14:paraId="4B7D1C29" w14:textId="2887572A" w:rsidR="00CB034B" w:rsidRPr="00E07567" w:rsidRDefault="00CB034B" w:rsidP="00CB034B">
      <w:pPr>
        <w:pStyle w:val="Caption"/>
      </w:pPr>
      <w:bookmarkStart w:id="426" w:name="_Ref67078049"/>
      <w:bookmarkStart w:id="427" w:name="_Toc13645624"/>
      <w:bookmarkStart w:id="428" w:name="_Toc15562024"/>
      <w:bookmarkStart w:id="429" w:name="_Toc23768977"/>
      <w:bookmarkStart w:id="430" w:name="_Toc69305747"/>
      <w:r w:rsidRPr="00E07567">
        <w:t xml:space="preserve">Figure </w:t>
      </w:r>
      <w:r w:rsidR="00003BA5">
        <w:fldChar w:fldCharType="begin"/>
      </w:r>
      <w:r w:rsidR="00003BA5">
        <w:instrText xml:space="preserve"> SEQ Figure \* ARABIC </w:instrText>
      </w:r>
      <w:r w:rsidR="00003BA5">
        <w:fldChar w:fldCharType="separate"/>
      </w:r>
      <w:r w:rsidR="004B3EA2">
        <w:rPr>
          <w:noProof/>
        </w:rPr>
        <w:t>15</w:t>
      </w:r>
      <w:r w:rsidR="00003BA5">
        <w:rPr>
          <w:noProof/>
        </w:rPr>
        <w:fldChar w:fldCharType="end"/>
      </w:r>
      <w:bookmarkEnd w:id="426"/>
      <w:r>
        <w:tab/>
      </w:r>
      <w:r w:rsidRPr="00E07567">
        <w:t xml:space="preserve">Ig for </w:t>
      </w:r>
      <w:r>
        <w:t>CIDP</w:t>
      </w:r>
      <w:r w:rsidRPr="00E07567">
        <w:t>, use projections</w:t>
      </w:r>
      <w:bookmarkEnd w:id="427"/>
      <w:r w:rsidRPr="00E07567">
        <w:t xml:space="preserve"> to </w:t>
      </w:r>
      <w:bookmarkEnd w:id="428"/>
      <w:bookmarkEnd w:id="429"/>
      <w:r>
        <w:t>2025–2026</w:t>
      </w:r>
      <w:bookmarkEnd w:id="430"/>
    </w:p>
    <w:p w14:paraId="19AE1D19" w14:textId="77777777" w:rsidR="00CB034B" w:rsidRPr="00E07567" w:rsidRDefault="00CB034B" w:rsidP="00CB034B">
      <w:pPr>
        <w:pStyle w:val="Tablenotes1"/>
      </w:pPr>
      <w:r>
        <w:t>CIDP</w:t>
      </w:r>
      <w:r w:rsidRPr="00E07567">
        <w:t xml:space="preserve"> = </w:t>
      </w:r>
      <w:r>
        <w:t xml:space="preserve">chronic </w:t>
      </w:r>
      <w:r w:rsidRPr="004320AE">
        <w:t>inflammatory demyelinating polyneuropathy</w:t>
      </w:r>
      <w:r>
        <w:t>; Ig =immunoglobulin</w:t>
      </w:r>
      <w:r w:rsidRPr="00E07567">
        <w:t>.</w:t>
      </w:r>
    </w:p>
    <w:p w14:paraId="479F1782" w14:textId="77777777" w:rsidR="00CB034B" w:rsidRPr="00E07567" w:rsidRDefault="00CB034B" w:rsidP="00CB034B">
      <w:pPr>
        <w:pStyle w:val="Tablenotes1"/>
      </w:pPr>
      <w:r w:rsidRPr="00E07567">
        <w:t>Source: ‘Estimated grams issued’ worksheet in ‘</w:t>
      </w:r>
      <w:r>
        <w:t>MSAC 1564.1</w:t>
      </w:r>
      <w:r w:rsidRPr="00E07567">
        <w:t xml:space="preserve"> Financials.xlsx’ </w:t>
      </w:r>
      <w:r>
        <w:t>workbook.</w:t>
      </w:r>
    </w:p>
    <w:p w14:paraId="3D559E62" w14:textId="6315E842" w:rsidR="00CB034B" w:rsidRPr="00E07567" w:rsidRDefault="00CB034B" w:rsidP="00CB034B">
      <w:pPr>
        <w:pStyle w:val="Caption"/>
      </w:pPr>
      <w:bookmarkStart w:id="431" w:name="_Ref12448852"/>
      <w:bookmarkStart w:id="432" w:name="_Toc13645597"/>
      <w:bookmarkStart w:id="433" w:name="_Toc15561991"/>
      <w:bookmarkStart w:id="434" w:name="_Toc23768941"/>
      <w:bookmarkStart w:id="435" w:name="_Toc69305707"/>
      <w:r w:rsidRPr="00E07567">
        <w:t xml:space="preserve">Table </w:t>
      </w:r>
      <w:r w:rsidRPr="00E07567">
        <w:rPr>
          <w:noProof/>
        </w:rPr>
        <w:fldChar w:fldCharType="begin"/>
      </w:r>
      <w:r w:rsidRPr="00E07567">
        <w:rPr>
          <w:noProof/>
        </w:rPr>
        <w:instrText xml:space="preserve"> SEQ Table \* ARABIC </w:instrText>
      </w:r>
      <w:r w:rsidRPr="00E07567">
        <w:rPr>
          <w:noProof/>
        </w:rPr>
        <w:fldChar w:fldCharType="separate"/>
      </w:r>
      <w:r w:rsidR="004B3EA2">
        <w:rPr>
          <w:noProof/>
        </w:rPr>
        <w:t>66</w:t>
      </w:r>
      <w:r w:rsidRPr="00E07567">
        <w:rPr>
          <w:noProof/>
        </w:rPr>
        <w:fldChar w:fldCharType="end"/>
      </w:r>
      <w:bookmarkEnd w:id="431"/>
      <w:r w:rsidRPr="00E07567">
        <w:tab/>
        <w:t>Projected number of Ig grams issued</w:t>
      </w:r>
      <w:r>
        <w:t xml:space="preserve"> for CIDP</w:t>
      </w:r>
      <w:r w:rsidRPr="00E07567">
        <w:t xml:space="preserve">, </w:t>
      </w:r>
      <w:bookmarkEnd w:id="432"/>
      <w:bookmarkEnd w:id="433"/>
      <w:bookmarkEnd w:id="434"/>
      <w:r w:rsidRPr="00E07567">
        <w:t>20</w:t>
      </w:r>
      <w:r>
        <w:t>21–22</w:t>
      </w:r>
      <w:r w:rsidRPr="00E07567">
        <w:t xml:space="preserve"> to 202</w:t>
      </w:r>
      <w:r>
        <w:t>5–26</w:t>
      </w:r>
      <w:bookmarkEnd w:id="435"/>
    </w:p>
    <w:tbl>
      <w:tblPr>
        <w:tblStyle w:val="TableGrid1"/>
        <w:tblW w:w="5000" w:type="pct"/>
        <w:tblLook w:val="04A0" w:firstRow="1" w:lastRow="0" w:firstColumn="1" w:lastColumn="0" w:noHBand="0" w:noVBand="1"/>
        <w:tblCaption w:val="Projected number of Ig grams issued for CIDP, 2021–22 to 2025–26"/>
        <w:tblDescription w:val="Projected number of Ig grams issued for CIDP, 2021–22 to 2025–26"/>
      </w:tblPr>
      <w:tblGrid>
        <w:gridCol w:w="2264"/>
        <w:gridCol w:w="1350"/>
        <w:gridCol w:w="1351"/>
        <w:gridCol w:w="1351"/>
        <w:gridCol w:w="1351"/>
        <w:gridCol w:w="1349"/>
      </w:tblGrid>
      <w:tr w:rsidR="00CB034B" w:rsidRPr="00E07567" w14:paraId="625973F2" w14:textId="77777777" w:rsidTr="008E718E">
        <w:trPr>
          <w:cnfStyle w:val="100000000000" w:firstRow="1" w:lastRow="0" w:firstColumn="0" w:lastColumn="0" w:oddVBand="0" w:evenVBand="0" w:oddHBand="0" w:evenHBand="0" w:firstRowFirstColumn="0" w:firstRowLastColumn="0" w:lastRowFirstColumn="0" w:lastRowLastColumn="0"/>
          <w:cantSplit/>
          <w:trHeight w:val="300"/>
          <w:tblHeader/>
        </w:trPr>
        <w:tc>
          <w:tcPr>
            <w:tcW w:w="1256" w:type="pct"/>
          </w:tcPr>
          <w:p w14:paraId="18A9EC5F" w14:textId="77777777" w:rsidR="00CB034B" w:rsidRPr="00E07567" w:rsidRDefault="00CB034B" w:rsidP="008E718E">
            <w:pPr>
              <w:pStyle w:val="TableHeading"/>
            </w:pPr>
          </w:p>
        </w:tc>
        <w:tc>
          <w:tcPr>
            <w:tcW w:w="749" w:type="pct"/>
            <w:tcBorders>
              <w:bottom w:val="single" w:sz="4" w:space="0" w:color="auto"/>
            </w:tcBorders>
            <w:noWrap/>
            <w:hideMark/>
          </w:tcPr>
          <w:p w14:paraId="49DDB906" w14:textId="77777777" w:rsidR="00CB034B" w:rsidRPr="00E07567" w:rsidRDefault="00CB034B" w:rsidP="008E718E">
            <w:pPr>
              <w:pStyle w:val="TableHeading"/>
              <w:jc w:val="center"/>
            </w:pPr>
            <w:r w:rsidRPr="00F6448E">
              <w:t>2021–22</w:t>
            </w:r>
          </w:p>
        </w:tc>
        <w:tc>
          <w:tcPr>
            <w:tcW w:w="749" w:type="pct"/>
            <w:tcBorders>
              <w:bottom w:val="single" w:sz="4" w:space="0" w:color="auto"/>
            </w:tcBorders>
            <w:noWrap/>
            <w:hideMark/>
          </w:tcPr>
          <w:p w14:paraId="5A100414" w14:textId="77777777" w:rsidR="00CB034B" w:rsidRPr="00E07567" w:rsidRDefault="00CB034B" w:rsidP="008E718E">
            <w:pPr>
              <w:pStyle w:val="TableHeading"/>
              <w:jc w:val="center"/>
            </w:pPr>
            <w:r w:rsidRPr="00F6448E">
              <w:t>2022–23</w:t>
            </w:r>
          </w:p>
        </w:tc>
        <w:tc>
          <w:tcPr>
            <w:tcW w:w="749" w:type="pct"/>
            <w:tcBorders>
              <w:bottom w:val="single" w:sz="4" w:space="0" w:color="auto"/>
            </w:tcBorders>
            <w:noWrap/>
            <w:hideMark/>
          </w:tcPr>
          <w:p w14:paraId="3379587F" w14:textId="77777777" w:rsidR="00CB034B" w:rsidRPr="00E07567" w:rsidRDefault="00CB034B" w:rsidP="008E718E">
            <w:pPr>
              <w:pStyle w:val="TableHeading"/>
              <w:jc w:val="center"/>
            </w:pPr>
            <w:r w:rsidRPr="00F6448E">
              <w:t>2023–24</w:t>
            </w:r>
          </w:p>
        </w:tc>
        <w:tc>
          <w:tcPr>
            <w:tcW w:w="749" w:type="pct"/>
            <w:tcBorders>
              <w:bottom w:val="single" w:sz="4" w:space="0" w:color="auto"/>
            </w:tcBorders>
            <w:noWrap/>
            <w:hideMark/>
          </w:tcPr>
          <w:p w14:paraId="5144C2D2" w14:textId="77777777" w:rsidR="00CB034B" w:rsidRPr="00E07567" w:rsidRDefault="00CB034B" w:rsidP="008E718E">
            <w:pPr>
              <w:pStyle w:val="TableHeading"/>
              <w:jc w:val="center"/>
            </w:pPr>
            <w:r w:rsidRPr="00F6448E">
              <w:t>2024–25</w:t>
            </w:r>
          </w:p>
        </w:tc>
        <w:tc>
          <w:tcPr>
            <w:tcW w:w="748" w:type="pct"/>
            <w:tcBorders>
              <w:bottom w:val="single" w:sz="4" w:space="0" w:color="auto"/>
            </w:tcBorders>
            <w:noWrap/>
            <w:hideMark/>
          </w:tcPr>
          <w:p w14:paraId="55F2E574" w14:textId="77777777" w:rsidR="00CB034B" w:rsidRPr="00E07567" w:rsidRDefault="00CB034B" w:rsidP="008E718E">
            <w:pPr>
              <w:pStyle w:val="TableHeading"/>
              <w:jc w:val="center"/>
            </w:pPr>
            <w:r w:rsidRPr="00F6448E">
              <w:t>2025–26</w:t>
            </w:r>
          </w:p>
        </w:tc>
      </w:tr>
      <w:tr w:rsidR="00CB034B" w:rsidRPr="00E07567" w14:paraId="791C44B6" w14:textId="77777777" w:rsidTr="008E718E">
        <w:trPr>
          <w:cantSplit/>
          <w:trHeight w:val="300"/>
        </w:trPr>
        <w:tc>
          <w:tcPr>
            <w:tcW w:w="1256" w:type="pct"/>
          </w:tcPr>
          <w:p w14:paraId="1CC1FED5" w14:textId="77777777" w:rsidR="00CB034B" w:rsidRPr="00E07567" w:rsidRDefault="00CB034B" w:rsidP="008E718E">
            <w:pPr>
              <w:pStyle w:val="Tabletext1"/>
              <w:rPr>
                <w:rFonts w:cs="Calibri"/>
                <w:color w:val="000000"/>
              </w:rPr>
            </w:pPr>
            <w:r>
              <w:rPr>
                <w:b/>
              </w:rPr>
              <w:t>Projected Ig grams issued</w:t>
            </w:r>
          </w:p>
        </w:tc>
        <w:tc>
          <w:tcPr>
            <w:tcW w:w="749" w:type="pct"/>
            <w:tcBorders>
              <w:top w:val="single" w:sz="4" w:space="0" w:color="auto"/>
              <w:left w:val="nil"/>
              <w:bottom w:val="single" w:sz="4" w:space="0" w:color="auto"/>
              <w:right w:val="single" w:sz="4" w:space="0" w:color="auto"/>
            </w:tcBorders>
            <w:shd w:val="clear" w:color="auto" w:fill="auto"/>
            <w:noWrap/>
          </w:tcPr>
          <w:p w14:paraId="5959E4C7" w14:textId="77777777" w:rsidR="00CB034B" w:rsidRPr="00E07567" w:rsidRDefault="00CB034B" w:rsidP="008E718E">
            <w:pPr>
              <w:pStyle w:val="Tabletext1"/>
              <w:jc w:val="right"/>
              <w:rPr>
                <w:rFonts w:cs="Calibri"/>
                <w:color w:val="000000"/>
              </w:rPr>
            </w:pPr>
            <w:r w:rsidRPr="00864539">
              <w:t>1,661,542</w:t>
            </w:r>
          </w:p>
        </w:tc>
        <w:tc>
          <w:tcPr>
            <w:tcW w:w="749" w:type="pct"/>
            <w:tcBorders>
              <w:top w:val="single" w:sz="4" w:space="0" w:color="auto"/>
              <w:left w:val="single" w:sz="4" w:space="0" w:color="auto"/>
              <w:bottom w:val="single" w:sz="4" w:space="0" w:color="auto"/>
              <w:right w:val="single" w:sz="4" w:space="0" w:color="auto"/>
            </w:tcBorders>
            <w:shd w:val="clear" w:color="auto" w:fill="auto"/>
            <w:noWrap/>
          </w:tcPr>
          <w:p w14:paraId="68AA975C" w14:textId="77777777" w:rsidR="00CB034B" w:rsidRPr="00E07567" w:rsidRDefault="00CB034B" w:rsidP="008E718E">
            <w:pPr>
              <w:pStyle w:val="Tabletext1"/>
              <w:jc w:val="right"/>
              <w:rPr>
                <w:rFonts w:cs="Calibri"/>
                <w:color w:val="000000"/>
              </w:rPr>
            </w:pPr>
            <w:r w:rsidRPr="00864539">
              <w:t>1,758,705</w:t>
            </w:r>
          </w:p>
        </w:tc>
        <w:tc>
          <w:tcPr>
            <w:tcW w:w="749" w:type="pct"/>
            <w:tcBorders>
              <w:top w:val="single" w:sz="4" w:space="0" w:color="auto"/>
              <w:left w:val="single" w:sz="4" w:space="0" w:color="auto"/>
              <w:bottom w:val="single" w:sz="4" w:space="0" w:color="auto"/>
              <w:right w:val="single" w:sz="4" w:space="0" w:color="auto"/>
            </w:tcBorders>
            <w:shd w:val="clear" w:color="auto" w:fill="auto"/>
            <w:noWrap/>
          </w:tcPr>
          <w:p w14:paraId="737D81EE" w14:textId="77777777" w:rsidR="00CB034B" w:rsidRPr="00E07567" w:rsidRDefault="00CB034B" w:rsidP="008E718E">
            <w:pPr>
              <w:pStyle w:val="Tabletext1"/>
              <w:jc w:val="right"/>
              <w:rPr>
                <w:rFonts w:cs="Calibri"/>
                <w:color w:val="000000"/>
              </w:rPr>
            </w:pPr>
            <w:r w:rsidRPr="00864539">
              <w:t>1,855,868</w:t>
            </w:r>
          </w:p>
        </w:tc>
        <w:tc>
          <w:tcPr>
            <w:tcW w:w="749" w:type="pct"/>
            <w:tcBorders>
              <w:top w:val="single" w:sz="4" w:space="0" w:color="auto"/>
              <w:left w:val="single" w:sz="4" w:space="0" w:color="auto"/>
              <w:bottom w:val="single" w:sz="4" w:space="0" w:color="auto"/>
              <w:right w:val="single" w:sz="4" w:space="0" w:color="auto"/>
            </w:tcBorders>
            <w:shd w:val="clear" w:color="auto" w:fill="auto"/>
            <w:noWrap/>
          </w:tcPr>
          <w:p w14:paraId="30EE7BAD" w14:textId="77777777" w:rsidR="00CB034B" w:rsidRPr="00E07567" w:rsidRDefault="00CB034B" w:rsidP="008E718E">
            <w:pPr>
              <w:pStyle w:val="Tabletext1"/>
              <w:jc w:val="right"/>
              <w:rPr>
                <w:rFonts w:cs="Calibri"/>
                <w:color w:val="000000"/>
              </w:rPr>
            </w:pPr>
            <w:r w:rsidRPr="00864539">
              <w:t>1,953,031</w:t>
            </w:r>
          </w:p>
        </w:tc>
        <w:tc>
          <w:tcPr>
            <w:tcW w:w="748" w:type="pct"/>
            <w:tcBorders>
              <w:top w:val="single" w:sz="4" w:space="0" w:color="auto"/>
              <w:left w:val="single" w:sz="4" w:space="0" w:color="auto"/>
              <w:bottom w:val="single" w:sz="4" w:space="0" w:color="auto"/>
              <w:right w:val="single" w:sz="4" w:space="0" w:color="auto"/>
            </w:tcBorders>
            <w:shd w:val="clear" w:color="auto" w:fill="auto"/>
            <w:noWrap/>
          </w:tcPr>
          <w:p w14:paraId="480B6B32" w14:textId="77777777" w:rsidR="00CB034B" w:rsidRPr="00E07567" w:rsidRDefault="00CB034B" w:rsidP="008E718E">
            <w:pPr>
              <w:pStyle w:val="Tabletext1"/>
              <w:jc w:val="right"/>
              <w:rPr>
                <w:rFonts w:cs="Calibri"/>
                <w:color w:val="000000"/>
              </w:rPr>
            </w:pPr>
            <w:r w:rsidRPr="00864539">
              <w:t>2,050,194</w:t>
            </w:r>
          </w:p>
        </w:tc>
      </w:tr>
    </w:tbl>
    <w:p w14:paraId="4C84FB5E" w14:textId="77777777" w:rsidR="00CB034B" w:rsidRPr="00E07567" w:rsidRDefault="00CB034B" w:rsidP="00CB034B">
      <w:pPr>
        <w:pStyle w:val="Tablenotes1"/>
      </w:pPr>
      <w:r>
        <w:t>CIDP</w:t>
      </w:r>
      <w:r w:rsidRPr="00E07567">
        <w:t xml:space="preserve"> = </w:t>
      </w:r>
      <w:r>
        <w:t xml:space="preserve">chronic </w:t>
      </w:r>
      <w:r w:rsidRPr="004320AE">
        <w:t>inflammatory demyelinating polyneuropathy</w:t>
      </w:r>
      <w:r>
        <w:t>; Ig =immunoglobulin</w:t>
      </w:r>
      <w:r w:rsidRPr="00E07567">
        <w:t>.</w:t>
      </w:r>
    </w:p>
    <w:p w14:paraId="24AC2BBA" w14:textId="77777777" w:rsidR="00CB034B" w:rsidRPr="00E07567" w:rsidRDefault="00CB034B" w:rsidP="00CB034B">
      <w:pPr>
        <w:pStyle w:val="Tablenotes1"/>
      </w:pPr>
      <w:r w:rsidRPr="00E07567">
        <w:t>Source: ‘Estimated grams issued’ worksheet in ‘</w:t>
      </w:r>
      <w:r>
        <w:t>MSAC 1564.1</w:t>
      </w:r>
      <w:r w:rsidRPr="00E07567">
        <w:t xml:space="preserve"> Financials.xlsx’ </w:t>
      </w:r>
      <w:r>
        <w:t>workbook.</w:t>
      </w:r>
    </w:p>
    <w:p w14:paraId="7C164B98" w14:textId="45B00B27" w:rsidR="00CB034B" w:rsidRPr="00E07567" w:rsidRDefault="00CB034B" w:rsidP="00CB034B">
      <w:pPr>
        <w:jc w:val="both"/>
      </w:pPr>
      <w:r>
        <w:t>The a</w:t>
      </w:r>
      <w:r w:rsidRPr="004E0B09">
        <w:t>verage Ig use</w:t>
      </w:r>
      <w:r>
        <w:t xml:space="preserve"> (g)</w:t>
      </w:r>
      <w:r w:rsidRPr="004E0B09">
        <w:t xml:space="preserve"> per Australian CIDP patient annually has increased from 437</w:t>
      </w:r>
      <w:r w:rsidR="007D63A9">
        <w:t xml:space="preserve"> </w:t>
      </w:r>
      <w:r w:rsidRPr="004E0B09">
        <w:t>g in 2011–12 to 5</w:t>
      </w:r>
      <w:r>
        <w:t>51</w:t>
      </w:r>
      <w:r w:rsidR="007D63A9">
        <w:t xml:space="preserve"> </w:t>
      </w:r>
      <w:r w:rsidRPr="004E0B09">
        <w:t>g in 2019–20</w:t>
      </w:r>
      <w:r w:rsidR="00D62CAF">
        <w:t xml:space="preserve">; </w:t>
      </w:r>
      <w:r w:rsidRPr="00E07567">
        <w:t xml:space="preserve">the overall trend </w:t>
      </w:r>
      <w:r w:rsidR="00D62CAF">
        <w:t xml:space="preserve">showing </w:t>
      </w:r>
      <w:r w:rsidRPr="00E07567">
        <w:t>rising</w:t>
      </w:r>
      <w:r w:rsidR="00D62CAF">
        <w:t xml:space="preserve"> doses</w:t>
      </w:r>
      <w:r w:rsidR="003D400A">
        <w:t>.</w:t>
      </w:r>
      <w:r w:rsidRPr="00E07567">
        <w:t xml:space="preserve"> </w:t>
      </w:r>
      <w:r>
        <w:t xml:space="preserve">The estimated </w:t>
      </w:r>
      <w:r w:rsidRPr="00E07567">
        <w:t xml:space="preserve">average number of grams of Ig issued per patient for </w:t>
      </w:r>
      <w:r>
        <w:t>CIDP</w:t>
      </w:r>
      <w:r w:rsidRPr="00E07567">
        <w:t xml:space="preserve"> using the </w:t>
      </w:r>
      <w:r w:rsidR="00D62CAF">
        <w:t xml:space="preserve">independently extrapolated </w:t>
      </w:r>
      <w:r w:rsidRPr="00E07567">
        <w:t xml:space="preserve">number of grams issued and projected patient numbers, </w:t>
      </w:r>
      <w:r w:rsidR="00A1305F">
        <w:t xml:space="preserve">equates to a projection of higher use per patient </w:t>
      </w:r>
      <w:r>
        <w:t>than the project</w:t>
      </w:r>
      <w:r w:rsidR="00A1305F">
        <w:t xml:space="preserve">ion of the single variable ‘use per patient’, </w:t>
      </w:r>
      <w:r w:rsidRPr="00E07567">
        <w:t>(</w:t>
      </w:r>
      <w:r w:rsidRPr="00E07567">
        <w:fldChar w:fldCharType="begin"/>
      </w:r>
      <w:r w:rsidRPr="00E07567">
        <w:instrText xml:space="preserve"> REF _Ref9933803 \h  \* MERGEFORMAT </w:instrText>
      </w:r>
      <w:r w:rsidRPr="00E07567">
        <w:fldChar w:fldCharType="separate"/>
      </w:r>
      <w:r w:rsidR="004B3EA2" w:rsidRPr="00E07567">
        <w:t xml:space="preserve">Table </w:t>
      </w:r>
      <w:r w:rsidR="004B3EA2">
        <w:rPr>
          <w:noProof/>
        </w:rPr>
        <w:t>67</w:t>
      </w:r>
      <w:r w:rsidRPr="00E07567">
        <w:fldChar w:fldCharType="end"/>
      </w:r>
      <w:r w:rsidRPr="00E07567">
        <w:t xml:space="preserve">). </w:t>
      </w:r>
    </w:p>
    <w:p w14:paraId="7E5EFBED" w14:textId="6BE457DB" w:rsidR="00CB034B" w:rsidRPr="00E07567" w:rsidRDefault="00CB034B" w:rsidP="00CB034B">
      <w:pPr>
        <w:pStyle w:val="Caption"/>
      </w:pPr>
      <w:bookmarkStart w:id="436" w:name="_Ref9933803"/>
      <w:bookmarkStart w:id="437" w:name="_Toc13645598"/>
      <w:bookmarkStart w:id="438" w:name="_Toc15561992"/>
      <w:bookmarkStart w:id="439" w:name="_Toc23768942"/>
      <w:bookmarkStart w:id="440" w:name="_Toc69305708"/>
      <w:bookmarkStart w:id="441" w:name="OLE_LINK2"/>
      <w:bookmarkStart w:id="442" w:name="OLE_LINK3"/>
      <w:r w:rsidRPr="00E07567">
        <w:t xml:space="preserve">Table </w:t>
      </w:r>
      <w:r w:rsidRPr="00E07567">
        <w:rPr>
          <w:noProof/>
        </w:rPr>
        <w:fldChar w:fldCharType="begin"/>
      </w:r>
      <w:r w:rsidRPr="00E07567">
        <w:rPr>
          <w:noProof/>
        </w:rPr>
        <w:instrText xml:space="preserve"> SEQ Table \* ARABIC </w:instrText>
      </w:r>
      <w:r w:rsidRPr="00E07567">
        <w:rPr>
          <w:noProof/>
        </w:rPr>
        <w:fldChar w:fldCharType="separate"/>
      </w:r>
      <w:r w:rsidR="004B3EA2">
        <w:rPr>
          <w:noProof/>
        </w:rPr>
        <w:t>67</w:t>
      </w:r>
      <w:r w:rsidRPr="00E07567">
        <w:rPr>
          <w:noProof/>
        </w:rPr>
        <w:fldChar w:fldCharType="end"/>
      </w:r>
      <w:bookmarkEnd w:id="436"/>
      <w:r w:rsidRPr="00E07567">
        <w:tab/>
        <w:t>Average Ig use (g</w:t>
      </w:r>
      <w:r>
        <w:t>rams</w:t>
      </w:r>
      <w:r w:rsidRPr="00E07567">
        <w:t>) per patient per year</w:t>
      </w:r>
      <w:bookmarkEnd w:id="437"/>
      <w:bookmarkEnd w:id="438"/>
      <w:bookmarkEnd w:id="439"/>
      <w:bookmarkEnd w:id="440"/>
    </w:p>
    <w:tbl>
      <w:tblPr>
        <w:tblStyle w:val="TableGrid1"/>
        <w:tblW w:w="5000" w:type="pct"/>
        <w:tblLook w:val="04A0" w:firstRow="1" w:lastRow="0" w:firstColumn="1" w:lastColumn="0" w:noHBand="0" w:noVBand="1"/>
        <w:tblCaption w:val="Average Ig use (g) per patient per year"/>
        <w:tblDescription w:val="Average Ig use (grams) per patient per year"/>
      </w:tblPr>
      <w:tblGrid>
        <w:gridCol w:w="2688"/>
        <w:gridCol w:w="1277"/>
        <w:gridCol w:w="1132"/>
        <w:gridCol w:w="994"/>
        <w:gridCol w:w="992"/>
        <w:gridCol w:w="992"/>
        <w:gridCol w:w="941"/>
      </w:tblGrid>
      <w:tr w:rsidR="00CB034B" w:rsidRPr="00E07567" w14:paraId="39315793" w14:textId="77777777" w:rsidTr="001236DF">
        <w:trPr>
          <w:cnfStyle w:val="100000000000" w:firstRow="1" w:lastRow="0" w:firstColumn="0" w:lastColumn="0" w:oddVBand="0" w:evenVBand="0" w:oddHBand="0" w:evenHBand="0" w:firstRowFirstColumn="0" w:firstRowLastColumn="0" w:lastRowFirstColumn="0" w:lastRowLastColumn="0"/>
          <w:cantSplit/>
          <w:trHeight w:val="300"/>
          <w:tblHeader/>
        </w:trPr>
        <w:tc>
          <w:tcPr>
            <w:tcW w:w="1491" w:type="pct"/>
          </w:tcPr>
          <w:p w14:paraId="1CF3C117" w14:textId="77777777" w:rsidR="00CB034B" w:rsidRPr="00E07567" w:rsidRDefault="00CB034B" w:rsidP="008E718E">
            <w:pPr>
              <w:pStyle w:val="TableHeading"/>
            </w:pPr>
          </w:p>
        </w:tc>
        <w:tc>
          <w:tcPr>
            <w:tcW w:w="708" w:type="pct"/>
            <w:tcBorders>
              <w:bottom w:val="single" w:sz="4" w:space="0" w:color="auto"/>
            </w:tcBorders>
            <w:noWrap/>
          </w:tcPr>
          <w:p w14:paraId="4E434AEC" w14:textId="77777777" w:rsidR="00CB034B" w:rsidRPr="00E07567" w:rsidRDefault="00CB034B" w:rsidP="008E718E">
            <w:pPr>
              <w:pStyle w:val="TableHeading"/>
              <w:jc w:val="center"/>
            </w:pPr>
            <w:r>
              <w:t>Av 2011–20</w:t>
            </w:r>
            <w:r w:rsidRPr="00E07567">
              <w:t>*</w:t>
            </w:r>
          </w:p>
          <w:p w14:paraId="069E2916" w14:textId="77777777" w:rsidR="00CB034B" w:rsidRPr="00E07567" w:rsidRDefault="00CB034B" w:rsidP="008E718E">
            <w:pPr>
              <w:pStyle w:val="TableHeading"/>
              <w:jc w:val="center"/>
            </w:pPr>
            <w:r w:rsidRPr="00E07567">
              <w:t>[observed]</w:t>
            </w:r>
          </w:p>
        </w:tc>
        <w:tc>
          <w:tcPr>
            <w:tcW w:w="628" w:type="pct"/>
            <w:tcBorders>
              <w:bottom w:val="single" w:sz="4" w:space="0" w:color="auto"/>
            </w:tcBorders>
            <w:noWrap/>
          </w:tcPr>
          <w:p w14:paraId="7C9AF34D" w14:textId="77777777" w:rsidR="00CB034B" w:rsidRPr="00E07567" w:rsidRDefault="00CB034B" w:rsidP="008E718E">
            <w:pPr>
              <w:pStyle w:val="TableHeading"/>
              <w:jc w:val="center"/>
            </w:pPr>
            <w:r w:rsidRPr="00F6448E">
              <w:t>2021–22</w:t>
            </w:r>
          </w:p>
        </w:tc>
        <w:tc>
          <w:tcPr>
            <w:tcW w:w="551" w:type="pct"/>
            <w:tcBorders>
              <w:bottom w:val="single" w:sz="4" w:space="0" w:color="auto"/>
            </w:tcBorders>
            <w:noWrap/>
          </w:tcPr>
          <w:p w14:paraId="5F74C7A8" w14:textId="77777777" w:rsidR="00CB034B" w:rsidRPr="00E07567" w:rsidRDefault="00CB034B" w:rsidP="008E718E">
            <w:pPr>
              <w:pStyle w:val="TableHeading"/>
              <w:jc w:val="center"/>
            </w:pPr>
            <w:r w:rsidRPr="00F6448E">
              <w:t>2022–23</w:t>
            </w:r>
          </w:p>
        </w:tc>
        <w:tc>
          <w:tcPr>
            <w:tcW w:w="550" w:type="pct"/>
            <w:tcBorders>
              <w:bottom w:val="single" w:sz="4" w:space="0" w:color="auto"/>
            </w:tcBorders>
            <w:noWrap/>
          </w:tcPr>
          <w:p w14:paraId="1E1C6D72" w14:textId="77777777" w:rsidR="00CB034B" w:rsidRPr="00E07567" w:rsidRDefault="00CB034B" w:rsidP="008E718E">
            <w:pPr>
              <w:pStyle w:val="TableHeading"/>
              <w:jc w:val="center"/>
            </w:pPr>
            <w:r w:rsidRPr="00F6448E">
              <w:t>2023–24</w:t>
            </w:r>
          </w:p>
        </w:tc>
        <w:tc>
          <w:tcPr>
            <w:tcW w:w="550" w:type="pct"/>
            <w:tcBorders>
              <w:bottom w:val="single" w:sz="4" w:space="0" w:color="auto"/>
            </w:tcBorders>
            <w:noWrap/>
          </w:tcPr>
          <w:p w14:paraId="439F7A17" w14:textId="77777777" w:rsidR="00CB034B" w:rsidRPr="00E07567" w:rsidRDefault="00CB034B" w:rsidP="008E718E">
            <w:pPr>
              <w:pStyle w:val="TableHeading"/>
              <w:jc w:val="center"/>
            </w:pPr>
            <w:r w:rsidRPr="00F6448E">
              <w:t>2024–25</w:t>
            </w:r>
          </w:p>
        </w:tc>
        <w:tc>
          <w:tcPr>
            <w:tcW w:w="522" w:type="pct"/>
            <w:tcBorders>
              <w:bottom w:val="single" w:sz="4" w:space="0" w:color="auto"/>
            </w:tcBorders>
          </w:tcPr>
          <w:p w14:paraId="581BAFBA" w14:textId="77777777" w:rsidR="00CB034B" w:rsidRPr="00E07567" w:rsidRDefault="00CB034B" w:rsidP="008E718E">
            <w:pPr>
              <w:pStyle w:val="TableHeading"/>
              <w:jc w:val="center"/>
            </w:pPr>
            <w:r w:rsidRPr="00F6448E">
              <w:t>2025–26</w:t>
            </w:r>
          </w:p>
        </w:tc>
      </w:tr>
      <w:tr w:rsidR="00CB034B" w:rsidRPr="00E07567" w14:paraId="74172A55" w14:textId="77777777" w:rsidTr="001236DF">
        <w:trPr>
          <w:cantSplit/>
          <w:trHeight w:val="300"/>
        </w:trPr>
        <w:tc>
          <w:tcPr>
            <w:tcW w:w="1491" w:type="pct"/>
          </w:tcPr>
          <w:p w14:paraId="34F9768C" w14:textId="79CBABA1" w:rsidR="00CB034B" w:rsidRPr="00E07567" w:rsidRDefault="00CB034B" w:rsidP="008E718E">
            <w:pPr>
              <w:pStyle w:val="Tabletext1"/>
              <w:rPr>
                <w:rFonts w:cs="Calibri"/>
                <w:color w:val="000000"/>
              </w:rPr>
            </w:pPr>
            <w:r>
              <w:t>Ig use (g</w:t>
            </w:r>
            <w:r w:rsidR="00A1305F">
              <w:t xml:space="preserve"> per patient</w:t>
            </w:r>
            <w:r>
              <w:t>), projected</w:t>
            </w:r>
            <w:r w:rsidR="00D907BA">
              <w:t xml:space="preserve"> trend</w:t>
            </w:r>
          </w:p>
        </w:tc>
        <w:tc>
          <w:tcPr>
            <w:tcW w:w="708" w:type="pct"/>
            <w:tcBorders>
              <w:top w:val="single" w:sz="4" w:space="0" w:color="auto"/>
              <w:bottom w:val="single" w:sz="4" w:space="0" w:color="auto"/>
              <w:right w:val="single" w:sz="4" w:space="0" w:color="auto"/>
            </w:tcBorders>
            <w:noWrap/>
          </w:tcPr>
          <w:p w14:paraId="6145B206" w14:textId="307D097C" w:rsidR="00CB034B" w:rsidRPr="00E07567" w:rsidRDefault="00D907BA" w:rsidP="00D907BA">
            <w:pPr>
              <w:pStyle w:val="Tabletext1"/>
              <w:jc w:val="center"/>
              <w:rPr>
                <w:rFonts w:cs="Calibri"/>
                <w:color w:val="000000"/>
              </w:rPr>
            </w:pPr>
            <w:r>
              <w:t>437–551</w:t>
            </w:r>
          </w:p>
        </w:tc>
        <w:tc>
          <w:tcPr>
            <w:tcW w:w="628" w:type="pct"/>
            <w:tcBorders>
              <w:top w:val="single" w:sz="4" w:space="0" w:color="auto"/>
              <w:left w:val="single" w:sz="4" w:space="0" w:color="auto"/>
              <w:bottom w:val="single" w:sz="4" w:space="0" w:color="auto"/>
              <w:right w:val="single" w:sz="4" w:space="0" w:color="auto"/>
            </w:tcBorders>
            <w:shd w:val="clear" w:color="auto" w:fill="auto"/>
            <w:noWrap/>
          </w:tcPr>
          <w:p w14:paraId="49CB6FDD" w14:textId="77777777" w:rsidR="00CB034B" w:rsidRPr="00E07567" w:rsidRDefault="00CB034B" w:rsidP="008E718E">
            <w:pPr>
              <w:pStyle w:val="Tabletext1"/>
              <w:jc w:val="center"/>
              <w:rPr>
                <w:rFonts w:cs="Calibri"/>
                <w:color w:val="000000"/>
              </w:rPr>
            </w:pPr>
            <w:r w:rsidRPr="00260B5A">
              <w:t>559</w:t>
            </w:r>
          </w:p>
        </w:tc>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1C8F4967" w14:textId="77777777" w:rsidR="00CB034B" w:rsidRPr="00E07567" w:rsidRDefault="00CB034B" w:rsidP="008E718E">
            <w:pPr>
              <w:pStyle w:val="Tabletext1"/>
              <w:jc w:val="center"/>
              <w:rPr>
                <w:rFonts w:cs="Calibri"/>
                <w:color w:val="000000"/>
              </w:rPr>
            </w:pPr>
            <w:r w:rsidRPr="00260B5A">
              <w:t>572</w:t>
            </w:r>
          </w:p>
        </w:tc>
        <w:tc>
          <w:tcPr>
            <w:tcW w:w="550" w:type="pct"/>
            <w:tcBorders>
              <w:top w:val="single" w:sz="4" w:space="0" w:color="auto"/>
              <w:left w:val="single" w:sz="4" w:space="0" w:color="auto"/>
              <w:bottom w:val="single" w:sz="4" w:space="0" w:color="auto"/>
              <w:right w:val="single" w:sz="4" w:space="0" w:color="auto"/>
            </w:tcBorders>
            <w:shd w:val="clear" w:color="auto" w:fill="auto"/>
            <w:noWrap/>
          </w:tcPr>
          <w:p w14:paraId="3FFFBF46" w14:textId="77777777" w:rsidR="00CB034B" w:rsidRPr="00E07567" w:rsidRDefault="00CB034B" w:rsidP="008E718E">
            <w:pPr>
              <w:pStyle w:val="Tabletext1"/>
              <w:jc w:val="center"/>
              <w:rPr>
                <w:rFonts w:cs="Calibri"/>
                <w:color w:val="000000"/>
              </w:rPr>
            </w:pPr>
            <w:r w:rsidRPr="00260B5A">
              <w:t>585</w:t>
            </w:r>
          </w:p>
        </w:tc>
        <w:tc>
          <w:tcPr>
            <w:tcW w:w="550" w:type="pct"/>
            <w:tcBorders>
              <w:top w:val="single" w:sz="4" w:space="0" w:color="auto"/>
              <w:left w:val="single" w:sz="4" w:space="0" w:color="auto"/>
              <w:bottom w:val="single" w:sz="4" w:space="0" w:color="auto"/>
              <w:right w:val="single" w:sz="4" w:space="0" w:color="auto"/>
            </w:tcBorders>
            <w:shd w:val="clear" w:color="auto" w:fill="auto"/>
            <w:noWrap/>
          </w:tcPr>
          <w:p w14:paraId="5159A583" w14:textId="77777777" w:rsidR="00CB034B" w:rsidRPr="00E07567" w:rsidRDefault="00CB034B" w:rsidP="008E718E">
            <w:pPr>
              <w:pStyle w:val="Tabletext1"/>
              <w:jc w:val="center"/>
              <w:rPr>
                <w:rFonts w:cs="Calibri"/>
                <w:color w:val="000000"/>
              </w:rPr>
            </w:pPr>
            <w:r w:rsidRPr="00260B5A">
              <w:t>599</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772F7E8F" w14:textId="77777777" w:rsidR="00CB034B" w:rsidRPr="00E07567" w:rsidRDefault="00CB034B" w:rsidP="008E718E">
            <w:pPr>
              <w:pStyle w:val="Tabletext1"/>
              <w:jc w:val="center"/>
            </w:pPr>
            <w:r w:rsidRPr="00260B5A">
              <w:t>612</w:t>
            </w:r>
          </w:p>
        </w:tc>
      </w:tr>
      <w:tr w:rsidR="00CB034B" w:rsidRPr="00E07567" w14:paraId="62BDA197" w14:textId="77777777" w:rsidTr="001236DF">
        <w:trPr>
          <w:cantSplit/>
          <w:trHeight w:val="300"/>
        </w:trPr>
        <w:tc>
          <w:tcPr>
            <w:tcW w:w="1491" w:type="pct"/>
          </w:tcPr>
          <w:p w14:paraId="37BFFEC8" w14:textId="27E60907" w:rsidR="00CB034B" w:rsidRDefault="00CB034B" w:rsidP="00A1305F">
            <w:pPr>
              <w:pStyle w:val="Tabletext1"/>
            </w:pPr>
            <w:r>
              <w:t>Ig use (g)</w:t>
            </w:r>
            <w:r w:rsidR="00A1305F">
              <w:t xml:space="preserve"> per patient</w:t>
            </w:r>
            <w:r>
              <w:t>, calculated</w:t>
            </w:r>
            <w:r w:rsidR="00D907BA">
              <w:t xml:space="preserve"> using independent extrapolations of patient numbers and total grams used</w:t>
            </w:r>
            <w:r w:rsidR="00A1305F">
              <w:t xml:space="preserve"> (in Tables 65 and 66)</w:t>
            </w:r>
            <w:r>
              <w:t>*</w:t>
            </w:r>
          </w:p>
        </w:tc>
        <w:tc>
          <w:tcPr>
            <w:tcW w:w="708" w:type="pct"/>
            <w:tcBorders>
              <w:top w:val="single" w:sz="4" w:space="0" w:color="auto"/>
              <w:bottom w:val="single" w:sz="4" w:space="0" w:color="auto"/>
              <w:right w:val="single" w:sz="4" w:space="0" w:color="auto"/>
            </w:tcBorders>
            <w:noWrap/>
          </w:tcPr>
          <w:p w14:paraId="5B9E1AE4" w14:textId="77777777" w:rsidR="00CB034B" w:rsidRPr="00E07567" w:rsidRDefault="00CB034B" w:rsidP="008E718E">
            <w:pPr>
              <w:pStyle w:val="Tabletext1"/>
              <w:jc w:val="center"/>
            </w:pPr>
            <w:r>
              <w:t>-</w:t>
            </w:r>
          </w:p>
        </w:tc>
        <w:tc>
          <w:tcPr>
            <w:tcW w:w="628" w:type="pct"/>
            <w:tcBorders>
              <w:top w:val="single" w:sz="4" w:space="0" w:color="auto"/>
              <w:left w:val="single" w:sz="4" w:space="0" w:color="auto"/>
              <w:bottom w:val="single" w:sz="4" w:space="0" w:color="auto"/>
              <w:right w:val="single" w:sz="4" w:space="0" w:color="auto"/>
            </w:tcBorders>
            <w:shd w:val="clear" w:color="auto" w:fill="auto"/>
            <w:noWrap/>
          </w:tcPr>
          <w:p w14:paraId="5B7A8DAB" w14:textId="77777777" w:rsidR="00CB034B" w:rsidRPr="00E07567" w:rsidRDefault="00CB034B" w:rsidP="008E718E">
            <w:pPr>
              <w:pStyle w:val="Tabletext1"/>
              <w:jc w:val="center"/>
            </w:pPr>
            <w:r w:rsidRPr="00D90788">
              <w:t>566</w:t>
            </w:r>
          </w:p>
        </w:tc>
        <w:tc>
          <w:tcPr>
            <w:tcW w:w="551" w:type="pct"/>
            <w:tcBorders>
              <w:top w:val="single" w:sz="4" w:space="0" w:color="auto"/>
              <w:left w:val="single" w:sz="4" w:space="0" w:color="auto"/>
              <w:bottom w:val="single" w:sz="4" w:space="0" w:color="auto"/>
              <w:right w:val="single" w:sz="4" w:space="0" w:color="auto"/>
            </w:tcBorders>
            <w:shd w:val="clear" w:color="auto" w:fill="auto"/>
            <w:noWrap/>
          </w:tcPr>
          <w:p w14:paraId="0799C818" w14:textId="77777777" w:rsidR="00CB034B" w:rsidRPr="00E07567" w:rsidRDefault="00CB034B" w:rsidP="008E718E">
            <w:pPr>
              <w:pStyle w:val="Tabletext1"/>
              <w:jc w:val="center"/>
            </w:pPr>
            <w:r w:rsidRPr="00D90788">
              <w:t>586</w:t>
            </w:r>
          </w:p>
        </w:tc>
        <w:tc>
          <w:tcPr>
            <w:tcW w:w="550" w:type="pct"/>
            <w:tcBorders>
              <w:top w:val="single" w:sz="4" w:space="0" w:color="auto"/>
              <w:left w:val="single" w:sz="4" w:space="0" w:color="auto"/>
              <w:bottom w:val="single" w:sz="4" w:space="0" w:color="auto"/>
              <w:right w:val="single" w:sz="4" w:space="0" w:color="auto"/>
            </w:tcBorders>
            <w:shd w:val="clear" w:color="auto" w:fill="auto"/>
            <w:noWrap/>
          </w:tcPr>
          <w:p w14:paraId="319DF492" w14:textId="77777777" w:rsidR="00CB034B" w:rsidRPr="00E07567" w:rsidRDefault="00CB034B" w:rsidP="008E718E">
            <w:pPr>
              <w:pStyle w:val="Tabletext1"/>
              <w:jc w:val="center"/>
            </w:pPr>
            <w:r w:rsidRPr="00D90788">
              <w:t>607</w:t>
            </w:r>
          </w:p>
        </w:tc>
        <w:tc>
          <w:tcPr>
            <w:tcW w:w="550" w:type="pct"/>
            <w:tcBorders>
              <w:top w:val="single" w:sz="4" w:space="0" w:color="auto"/>
              <w:left w:val="single" w:sz="4" w:space="0" w:color="auto"/>
              <w:bottom w:val="single" w:sz="4" w:space="0" w:color="auto"/>
              <w:right w:val="single" w:sz="4" w:space="0" w:color="auto"/>
            </w:tcBorders>
            <w:shd w:val="clear" w:color="auto" w:fill="auto"/>
            <w:noWrap/>
          </w:tcPr>
          <w:p w14:paraId="13BC5331" w14:textId="77777777" w:rsidR="00CB034B" w:rsidRPr="00E07567" w:rsidRDefault="00CB034B" w:rsidP="008E718E">
            <w:pPr>
              <w:pStyle w:val="Tabletext1"/>
              <w:jc w:val="center"/>
            </w:pPr>
            <w:r w:rsidRPr="00D90788">
              <w:t>630</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3AD04396" w14:textId="77777777" w:rsidR="00CB034B" w:rsidRPr="00E07567" w:rsidRDefault="00CB034B" w:rsidP="008E718E">
            <w:pPr>
              <w:pStyle w:val="Tabletext1"/>
              <w:jc w:val="center"/>
            </w:pPr>
            <w:r w:rsidRPr="00D90788">
              <w:t>654</w:t>
            </w:r>
          </w:p>
        </w:tc>
      </w:tr>
    </w:tbl>
    <w:p w14:paraId="1FECFE5E" w14:textId="77FAE201" w:rsidR="00CB034B" w:rsidRDefault="00CB034B" w:rsidP="00CB034B">
      <w:pPr>
        <w:pStyle w:val="Tablenotes1"/>
      </w:pPr>
      <w:r>
        <w:t>*Ig use calculated by dividing projected Ig grams issued (</w:t>
      </w:r>
      <w:r>
        <w:fldChar w:fldCharType="begin"/>
      </w:r>
      <w:r>
        <w:instrText xml:space="preserve"> REF _Ref12448852 \h </w:instrText>
      </w:r>
      <w:r>
        <w:fldChar w:fldCharType="separate"/>
      </w:r>
      <w:r w:rsidR="004B3EA2" w:rsidRPr="00E07567">
        <w:t xml:space="preserve">Table </w:t>
      </w:r>
      <w:r w:rsidR="004B3EA2">
        <w:rPr>
          <w:noProof/>
        </w:rPr>
        <w:t>66</w:t>
      </w:r>
      <w:r>
        <w:fldChar w:fldCharType="end"/>
      </w:r>
      <w:r>
        <w:t>) by projected number of patients (</w:t>
      </w:r>
      <w:r>
        <w:fldChar w:fldCharType="begin"/>
      </w:r>
      <w:r>
        <w:instrText xml:space="preserve"> REF _Ref10797587 \h </w:instrText>
      </w:r>
      <w:r>
        <w:fldChar w:fldCharType="separate"/>
      </w:r>
      <w:r w:rsidR="004B3EA2" w:rsidRPr="00E07567">
        <w:t xml:space="preserve">Table </w:t>
      </w:r>
      <w:r w:rsidR="004B3EA2">
        <w:rPr>
          <w:noProof/>
        </w:rPr>
        <w:t>65</w:t>
      </w:r>
      <w:r>
        <w:fldChar w:fldCharType="end"/>
      </w:r>
      <w:r>
        <w:t>).</w:t>
      </w:r>
    </w:p>
    <w:p w14:paraId="61E70DD3" w14:textId="77777777" w:rsidR="00CB034B" w:rsidRPr="00E07567" w:rsidRDefault="00CB034B" w:rsidP="00CB034B">
      <w:pPr>
        <w:pStyle w:val="Tablenotes1"/>
      </w:pPr>
      <w:r>
        <w:t>Av = Average; CIDP</w:t>
      </w:r>
      <w:r w:rsidRPr="00E07567">
        <w:t xml:space="preserve"> = </w:t>
      </w:r>
      <w:r>
        <w:t xml:space="preserve">chronic </w:t>
      </w:r>
      <w:r w:rsidRPr="004320AE">
        <w:t>inflammatory demyelinating polyneuropathy</w:t>
      </w:r>
      <w:r>
        <w:t>; Ig =immunoglobulin</w:t>
      </w:r>
      <w:r w:rsidRPr="00E07567">
        <w:t>.</w:t>
      </w:r>
    </w:p>
    <w:p w14:paraId="780A41E6" w14:textId="3EC61938" w:rsidR="00CB034B" w:rsidRDefault="00CB034B" w:rsidP="00CB034B">
      <w:pPr>
        <w:pStyle w:val="Tablenotes1"/>
      </w:pPr>
      <w:r w:rsidRPr="00E07567">
        <w:t>Source: ‘</w:t>
      </w:r>
      <w:r>
        <w:t>Average dose projections</w:t>
      </w:r>
      <w:r w:rsidRPr="00E07567">
        <w:t>’ worksheet in ‘</w:t>
      </w:r>
      <w:r>
        <w:t>MSAC 1564.1</w:t>
      </w:r>
      <w:r w:rsidRPr="00E07567">
        <w:t xml:space="preserve"> Financials.xlsx’ </w:t>
      </w:r>
      <w:r>
        <w:t>workbook</w:t>
      </w:r>
    </w:p>
    <w:p w14:paraId="6DADAA5F" w14:textId="343EC7D0" w:rsidR="00AA3728" w:rsidRDefault="00A1305F" w:rsidP="00CB034B">
      <w:pPr>
        <w:pStyle w:val="Heading4"/>
      </w:pPr>
      <w:r>
        <w:t>For the purposes of estimating financial impact in this Assessment, t</w:t>
      </w:r>
      <w:r w:rsidR="0037263D">
        <w:t xml:space="preserve">he </w:t>
      </w:r>
      <w:r w:rsidR="00AD0D42">
        <w:t>estimated</w:t>
      </w:r>
      <w:r w:rsidR="0037263D">
        <w:t xml:space="preserve"> total Ig use in Australia is based on </w:t>
      </w:r>
      <w:r>
        <w:t xml:space="preserve">the projection of total Ig use, reflecting the </w:t>
      </w:r>
      <w:r w:rsidR="008D63A0">
        <w:t xml:space="preserve">ongoing </w:t>
      </w:r>
      <w:r>
        <w:t xml:space="preserve">expectation of </w:t>
      </w:r>
      <w:r w:rsidR="008D63A0">
        <w:t>increasing</w:t>
      </w:r>
      <w:r>
        <w:t xml:space="preserve"> </w:t>
      </w:r>
      <w:r w:rsidR="008D63A0">
        <w:t xml:space="preserve">average </w:t>
      </w:r>
      <w:r>
        <w:t>Ig use per patient</w:t>
      </w:r>
      <w:r w:rsidR="0037263D">
        <w:t xml:space="preserve">. </w:t>
      </w:r>
      <w:r>
        <w:t xml:space="preserve">This approach is most likely to capture </w:t>
      </w:r>
      <w:r w:rsidR="008D63A0">
        <w:t xml:space="preserve">any </w:t>
      </w:r>
      <w:r>
        <w:t xml:space="preserve">impact of increasing </w:t>
      </w:r>
      <w:r w:rsidR="008D63A0">
        <w:t xml:space="preserve">Ig </w:t>
      </w:r>
      <w:r>
        <w:t xml:space="preserve">use </w:t>
      </w:r>
      <w:r w:rsidR="008D63A0">
        <w:t xml:space="preserve">associated with </w:t>
      </w:r>
      <w:r>
        <w:t>SCIg</w:t>
      </w:r>
      <w:r w:rsidR="0037263D">
        <w:t>.</w:t>
      </w:r>
      <w:bookmarkEnd w:id="441"/>
      <w:bookmarkEnd w:id="442"/>
    </w:p>
    <w:p w14:paraId="3C8F0420" w14:textId="19CD2268" w:rsidR="00CB034B" w:rsidRPr="00E07567" w:rsidRDefault="00CB034B" w:rsidP="00CB034B">
      <w:pPr>
        <w:pStyle w:val="Heading4"/>
      </w:pPr>
      <w:r w:rsidRPr="00E07567">
        <w:t>Average cost per gram of Ig</w:t>
      </w:r>
    </w:p>
    <w:p w14:paraId="559E04EF" w14:textId="77777777" w:rsidR="00CB034B" w:rsidRPr="00E07567" w:rsidRDefault="00CB034B" w:rsidP="00CB034B">
      <w:pPr>
        <w:pStyle w:val="BodyTextSTD"/>
      </w:pPr>
      <w:r w:rsidRPr="00E07567">
        <w:t>The base case financial estimates will assume the cost per gram of Ig of $60.41 (see Section D.4.2). As per Section D, sensitivity analyses will be conducted assuming:</w:t>
      </w:r>
    </w:p>
    <w:p w14:paraId="2A301F57" w14:textId="792445C3" w:rsidR="00CB034B" w:rsidRPr="00E07567" w:rsidRDefault="00CB034B" w:rsidP="00CB034B">
      <w:pPr>
        <w:pStyle w:val="BodyTextSTD"/>
        <w:numPr>
          <w:ilvl w:val="0"/>
          <w:numId w:val="43"/>
        </w:numPr>
      </w:pPr>
      <w:r w:rsidRPr="00E07567">
        <w:t xml:space="preserve">The highest cost of Ig </w:t>
      </w:r>
      <w:r w:rsidR="00483694">
        <w:t xml:space="preserve">per gram </w:t>
      </w:r>
      <w:r w:rsidRPr="00E07567">
        <w:t>(i.e. domestic Ig including plasma, $140.18)</w:t>
      </w:r>
    </w:p>
    <w:p w14:paraId="132F1045" w14:textId="13C572D0" w:rsidR="00CB034B" w:rsidRPr="00E07567" w:rsidRDefault="00CB034B" w:rsidP="00CB034B">
      <w:pPr>
        <w:pStyle w:val="BodyTextSTD"/>
        <w:numPr>
          <w:ilvl w:val="0"/>
          <w:numId w:val="43"/>
        </w:numPr>
      </w:pPr>
      <w:r w:rsidRPr="00E07567">
        <w:t>The lowest cost of Ig</w:t>
      </w:r>
      <w:r w:rsidR="00483694">
        <w:t xml:space="preserve"> per gram </w:t>
      </w:r>
      <w:r w:rsidRPr="00E07567">
        <w:t>(i.e. imported IVIg, $44.94)</w:t>
      </w:r>
    </w:p>
    <w:p w14:paraId="0F8FDB5F" w14:textId="5298A9E4" w:rsidR="00CB034B" w:rsidRPr="00E07567" w:rsidRDefault="00CB034B" w:rsidP="00CB034B">
      <w:pPr>
        <w:pStyle w:val="BodyTextSTD"/>
        <w:numPr>
          <w:ilvl w:val="0"/>
          <w:numId w:val="43"/>
        </w:numPr>
      </w:pPr>
      <w:r w:rsidRPr="00E07567">
        <w:t>Average cost of Ig</w:t>
      </w:r>
      <w:r w:rsidR="00483694">
        <w:t xml:space="preserve"> per gram</w:t>
      </w:r>
      <w:r w:rsidRPr="00E07567">
        <w:t>, weighted across all indications, $94.51</w:t>
      </w:r>
    </w:p>
    <w:p w14:paraId="1CDF76BF" w14:textId="1C6229F7" w:rsidR="00CB034B" w:rsidRPr="00E07567" w:rsidRDefault="00CB034B" w:rsidP="00CB034B">
      <w:pPr>
        <w:pStyle w:val="BodyTextSTD"/>
        <w:numPr>
          <w:ilvl w:val="0"/>
          <w:numId w:val="43"/>
        </w:numPr>
      </w:pPr>
      <w:r w:rsidRPr="00E07567">
        <w:t>The weighted average cost of Ig</w:t>
      </w:r>
      <w:r w:rsidR="00483694">
        <w:t xml:space="preserve"> per gram</w:t>
      </w:r>
      <w:r w:rsidRPr="00E07567">
        <w:t xml:space="preserve"> (mixed of domestic and imported product) used for </w:t>
      </w:r>
      <w:r>
        <w:t>CIDP</w:t>
      </w:r>
      <w:r w:rsidRPr="00E07567">
        <w:t xml:space="preserve"> in Australia which is $</w:t>
      </w:r>
      <w:r>
        <w:t>71.86</w:t>
      </w:r>
      <w:r w:rsidRPr="00E07567">
        <w:t xml:space="preserve">, based on the ‘HTA Data </w:t>
      </w:r>
      <w:r>
        <w:t>Dec 2020</w:t>
      </w:r>
      <w:r w:rsidRPr="00E07567">
        <w:t>.xlsx' workbook</w:t>
      </w:r>
      <w:r w:rsidR="007D63A9">
        <w:t>.</w:t>
      </w:r>
    </w:p>
    <w:p w14:paraId="43DB4FCF" w14:textId="77777777" w:rsidR="00CB034B" w:rsidRPr="00E07567" w:rsidRDefault="00CB034B" w:rsidP="00CB034B">
      <w:pPr>
        <w:pStyle w:val="BodyTextSTD"/>
      </w:pPr>
      <w:r w:rsidRPr="00E07567">
        <w:t>Prices per gram are assumed to remain constant over the projected period.</w:t>
      </w:r>
    </w:p>
    <w:p w14:paraId="4F918A8B" w14:textId="77777777" w:rsidR="00CB034B" w:rsidRPr="00E07567" w:rsidRDefault="00CB034B" w:rsidP="00CB034B">
      <w:pPr>
        <w:pStyle w:val="Heading3"/>
      </w:pPr>
      <w:bookmarkStart w:id="443" w:name="_Toc69305608"/>
      <w:r w:rsidRPr="00E07567">
        <w:t>Estimated cost of Ig</w:t>
      </w:r>
      <w:bookmarkEnd w:id="443"/>
    </w:p>
    <w:p w14:paraId="1D7CE83D" w14:textId="08AF60C7" w:rsidR="00CB034B" w:rsidRPr="00E07567" w:rsidRDefault="00CB034B" w:rsidP="00CB034B">
      <w:pPr>
        <w:pStyle w:val="BodyTextSTD"/>
      </w:pPr>
      <w:r w:rsidRPr="00E07567">
        <w:t xml:space="preserve">Projected costs </w:t>
      </w:r>
      <w:r>
        <w:t>of Ig therapy for</w:t>
      </w:r>
      <w:r w:rsidRPr="00E07567">
        <w:t xml:space="preserve"> </w:t>
      </w:r>
      <w:r>
        <w:t>CIDP</w:t>
      </w:r>
      <w:r w:rsidRPr="00E07567">
        <w:t xml:space="preserve"> are presented in </w:t>
      </w:r>
      <w:r w:rsidRPr="00E07567">
        <w:fldChar w:fldCharType="begin"/>
      </w:r>
      <w:r w:rsidRPr="00E07567">
        <w:instrText xml:space="preserve"> REF _Ref9939196 \h </w:instrText>
      </w:r>
      <w:r>
        <w:instrText xml:space="preserve"> \* MERGEFORMAT </w:instrText>
      </w:r>
      <w:r w:rsidRPr="00E07567">
        <w:fldChar w:fldCharType="separate"/>
      </w:r>
      <w:r w:rsidR="004B3EA2" w:rsidRPr="00E07567">
        <w:t xml:space="preserve">Table </w:t>
      </w:r>
      <w:r w:rsidR="004B3EA2">
        <w:rPr>
          <w:noProof/>
        </w:rPr>
        <w:t>68</w:t>
      </w:r>
      <w:r w:rsidRPr="00E07567">
        <w:fldChar w:fldCharType="end"/>
      </w:r>
      <w:r w:rsidRPr="00E07567">
        <w:t>.</w:t>
      </w:r>
    </w:p>
    <w:p w14:paraId="5BE63BA8" w14:textId="7A79167D" w:rsidR="00CB034B" w:rsidRPr="00E07567" w:rsidRDefault="00CB034B" w:rsidP="00CB034B">
      <w:pPr>
        <w:pStyle w:val="Caption"/>
        <w:keepLines/>
      </w:pPr>
      <w:bookmarkStart w:id="444" w:name="_Ref9939196"/>
      <w:bookmarkStart w:id="445" w:name="_Toc13645599"/>
      <w:bookmarkStart w:id="446" w:name="_Toc15561993"/>
      <w:bookmarkStart w:id="447" w:name="_Toc23768943"/>
      <w:bookmarkStart w:id="448" w:name="_Toc69305709"/>
      <w:r w:rsidRPr="00E07567">
        <w:t xml:space="preserve">Table </w:t>
      </w:r>
      <w:r w:rsidRPr="00E07567">
        <w:rPr>
          <w:noProof/>
        </w:rPr>
        <w:fldChar w:fldCharType="begin"/>
      </w:r>
      <w:r w:rsidRPr="00E07567">
        <w:rPr>
          <w:noProof/>
        </w:rPr>
        <w:instrText xml:space="preserve"> SEQ Table \* ARABIC </w:instrText>
      </w:r>
      <w:r w:rsidRPr="00E07567">
        <w:rPr>
          <w:noProof/>
        </w:rPr>
        <w:fldChar w:fldCharType="separate"/>
      </w:r>
      <w:r w:rsidR="004B3EA2">
        <w:rPr>
          <w:noProof/>
        </w:rPr>
        <w:t>68</w:t>
      </w:r>
      <w:r w:rsidRPr="00E07567">
        <w:rPr>
          <w:noProof/>
        </w:rPr>
        <w:fldChar w:fldCharType="end"/>
      </w:r>
      <w:bookmarkEnd w:id="444"/>
      <w:r w:rsidRPr="00E07567">
        <w:tab/>
      </w:r>
      <w:r w:rsidR="00483694">
        <w:t>Projected</w:t>
      </w:r>
      <w:r w:rsidR="00FA096F">
        <w:t xml:space="preserve"> c</w:t>
      </w:r>
      <w:r w:rsidRPr="00E07567">
        <w:t xml:space="preserve">ost of Ig for </w:t>
      </w:r>
      <w:r>
        <w:t>CIDP</w:t>
      </w:r>
      <w:r w:rsidRPr="00E07567">
        <w:t>, 20</w:t>
      </w:r>
      <w:r>
        <w:t>21–22 to 2025–26</w:t>
      </w:r>
      <w:bookmarkEnd w:id="445"/>
      <w:bookmarkEnd w:id="446"/>
      <w:bookmarkEnd w:id="447"/>
      <w:bookmarkEnd w:id="448"/>
    </w:p>
    <w:tbl>
      <w:tblPr>
        <w:tblStyle w:val="TableGrid1"/>
        <w:tblW w:w="5000" w:type="pct"/>
        <w:tblLayout w:type="fixed"/>
        <w:tblLook w:val="04A0" w:firstRow="1" w:lastRow="0" w:firstColumn="1" w:lastColumn="0" w:noHBand="0" w:noVBand="1"/>
        <w:tblCaption w:val="Expected cost of Ig for CIDP, 2021–22 to 2025–26"/>
        <w:tblDescription w:val="Expected cost of Ig for CIDP, 2021–22 to 2025–26"/>
      </w:tblPr>
      <w:tblGrid>
        <w:gridCol w:w="2829"/>
        <w:gridCol w:w="1237"/>
        <w:gridCol w:w="1237"/>
        <w:gridCol w:w="1237"/>
        <w:gridCol w:w="1237"/>
        <w:gridCol w:w="1239"/>
      </w:tblGrid>
      <w:tr w:rsidR="00CB034B" w:rsidRPr="0092127F" w14:paraId="6B43FDC7" w14:textId="77777777" w:rsidTr="008E718E">
        <w:trPr>
          <w:cnfStyle w:val="100000000000" w:firstRow="1" w:lastRow="0" w:firstColumn="0" w:lastColumn="0" w:oddVBand="0" w:evenVBand="0" w:oddHBand="0" w:evenHBand="0" w:firstRowFirstColumn="0" w:firstRowLastColumn="0" w:lastRowFirstColumn="0" w:lastRowLastColumn="0"/>
          <w:cantSplit/>
          <w:trHeight w:val="300"/>
          <w:tblHeader/>
        </w:trPr>
        <w:tc>
          <w:tcPr>
            <w:tcW w:w="1569" w:type="pct"/>
            <w:noWrap/>
            <w:hideMark/>
          </w:tcPr>
          <w:p w14:paraId="2A8B9185" w14:textId="77777777" w:rsidR="00CB034B" w:rsidRPr="0092127F" w:rsidRDefault="00CB034B" w:rsidP="008E718E">
            <w:pPr>
              <w:pStyle w:val="TableHeading"/>
            </w:pPr>
          </w:p>
        </w:tc>
        <w:tc>
          <w:tcPr>
            <w:tcW w:w="686" w:type="pct"/>
            <w:noWrap/>
            <w:hideMark/>
          </w:tcPr>
          <w:p w14:paraId="475A6DF6" w14:textId="77777777" w:rsidR="00CB034B" w:rsidRPr="0092127F" w:rsidRDefault="00CB034B" w:rsidP="008E718E">
            <w:pPr>
              <w:pStyle w:val="TableHeading"/>
            </w:pPr>
            <w:r w:rsidRPr="0092127F">
              <w:t>2021–22</w:t>
            </w:r>
          </w:p>
        </w:tc>
        <w:tc>
          <w:tcPr>
            <w:tcW w:w="686" w:type="pct"/>
            <w:noWrap/>
            <w:hideMark/>
          </w:tcPr>
          <w:p w14:paraId="73395D9E" w14:textId="77777777" w:rsidR="00CB034B" w:rsidRPr="0092127F" w:rsidRDefault="00CB034B" w:rsidP="008E718E">
            <w:pPr>
              <w:pStyle w:val="TableHeading"/>
            </w:pPr>
            <w:r w:rsidRPr="0092127F">
              <w:t>2022–23</w:t>
            </w:r>
          </w:p>
        </w:tc>
        <w:tc>
          <w:tcPr>
            <w:tcW w:w="686" w:type="pct"/>
            <w:noWrap/>
            <w:hideMark/>
          </w:tcPr>
          <w:p w14:paraId="7AC95BC6" w14:textId="77777777" w:rsidR="00CB034B" w:rsidRPr="0092127F" w:rsidRDefault="00CB034B" w:rsidP="008E718E">
            <w:pPr>
              <w:pStyle w:val="TableHeading"/>
            </w:pPr>
            <w:r w:rsidRPr="0092127F">
              <w:t>2023–24</w:t>
            </w:r>
          </w:p>
        </w:tc>
        <w:tc>
          <w:tcPr>
            <w:tcW w:w="686" w:type="pct"/>
            <w:noWrap/>
            <w:hideMark/>
          </w:tcPr>
          <w:p w14:paraId="19D2B1FE" w14:textId="77777777" w:rsidR="00CB034B" w:rsidRPr="0092127F" w:rsidRDefault="00CB034B" w:rsidP="008E718E">
            <w:pPr>
              <w:pStyle w:val="TableHeading"/>
            </w:pPr>
            <w:r w:rsidRPr="0092127F">
              <w:t>2024–25</w:t>
            </w:r>
          </w:p>
        </w:tc>
        <w:tc>
          <w:tcPr>
            <w:tcW w:w="687" w:type="pct"/>
            <w:noWrap/>
            <w:hideMark/>
          </w:tcPr>
          <w:p w14:paraId="430328E0" w14:textId="77777777" w:rsidR="00CB034B" w:rsidRPr="0092127F" w:rsidRDefault="00CB034B" w:rsidP="008E718E">
            <w:pPr>
              <w:pStyle w:val="TableHeading"/>
            </w:pPr>
            <w:r w:rsidRPr="0092127F">
              <w:t>2025–26</w:t>
            </w:r>
          </w:p>
        </w:tc>
      </w:tr>
      <w:tr w:rsidR="00CB034B" w:rsidRPr="0092127F" w14:paraId="2FB23B63" w14:textId="77777777" w:rsidTr="008E718E">
        <w:trPr>
          <w:cantSplit/>
          <w:trHeight w:val="300"/>
        </w:trPr>
        <w:tc>
          <w:tcPr>
            <w:tcW w:w="1569" w:type="pct"/>
            <w:tcBorders>
              <w:top w:val="nil"/>
              <w:left w:val="single" w:sz="8" w:space="0" w:color="auto"/>
              <w:bottom w:val="single" w:sz="4" w:space="0" w:color="auto"/>
              <w:right w:val="single" w:sz="8" w:space="0" w:color="auto"/>
            </w:tcBorders>
            <w:shd w:val="clear" w:color="auto" w:fill="auto"/>
            <w:noWrap/>
            <w:vAlign w:val="center"/>
            <w:hideMark/>
          </w:tcPr>
          <w:p w14:paraId="2A6BA46B" w14:textId="77777777" w:rsidR="00CB034B" w:rsidRPr="0092127F" w:rsidRDefault="00CB034B" w:rsidP="008E718E">
            <w:pPr>
              <w:pStyle w:val="Tabletext1"/>
            </w:pPr>
            <w:r w:rsidRPr="0092127F">
              <w:rPr>
                <w:color w:val="000000"/>
              </w:rPr>
              <w:t>Cost per gram of Ig</w:t>
            </w:r>
          </w:p>
        </w:tc>
        <w:tc>
          <w:tcPr>
            <w:tcW w:w="686" w:type="pct"/>
            <w:tcBorders>
              <w:bottom w:val="single" w:sz="4" w:space="0" w:color="auto"/>
            </w:tcBorders>
            <w:noWrap/>
            <w:hideMark/>
          </w:tcPr>
          <w:p w14:paraId="7E8F70B6" w14:textId="77777777" w:rsidR="00CB034B" w:rsidRPr="0092127F" w:rsidRDefault="00CB034B" w:rsidP="008E718E">
            <w:pPr>
              <w:pStyle w:val="Tabletext1"/>
              <w:jc w:val="right"/>
            </w:pPr>
            <w:r w:rsidRPr="0092127F">
              <w:t>$60.41</w:t>
            </w:r>
          </w:p>
        </w:tc>
        <w:tc>
          <w:tcPr>
            <w:tcW w:w="686" w:type="pct"/>
            <w:tcBorders>
              <w:bottom w:val="single" w:sz="4" w:space="0" w:color="auto"/>
            </w:tcBorders>
            <w:noWrap/>
            <w:hideMark/>
          </w:tcPr>
          <w:p w14:paraId="5FE40022" w14:textId="77777777" w:rsidR="00CB034B" w:rsidRPr="0092127F" w:rsidRDefault="00CB034B" w:rsidP="008E718E">
            <w:pPr>
              <w:pStyle w:val="Tabletext1"/>
              <w:jc w:val="right"/>
            </w:pPr>
            <w:r w:rsidRPr="002E70B8">
              <w:t>$60.41</w:t>
            </w:r>
          </w:p>
        </w:tc>
        <w:tc>
          <w:tcPr>
            <w:tcW w:w="686" w:type="pct"/>
            <w:tcBorders>
              <w:bottom w:val="single" w:sz="4" w:space="0" w:color="auto"/>
            </w:tcBorders>
            <w:noWrap/>
            <w:hideMark/>
          </w:tcPr>
          <w:p w14:paraId="48E608AB" w14:textId="77777777" w:rsidR="00CB034B" w:rsidRPr="0092127F" w:rsidRDefault="00CB034B" w:rsidP="008E718E">
            <w:pPr>
              <w:pStyle w:val="Tabletext1"/>
              <w:jc w:val="right"/>
            </w:pPr>
            <w:r w:rsidRPr="002E70B8">
              <w:t>$60.41</w:t>
            </w:r>
          </w:p>
        </w:tc>
        <w:tc>
          <w:tcPr>
            <w:tcW w:w="686" w:type="pct"/>
            <w:tcBorders>
              <w:bottom w:val="single" w:sz="4" w:space="0" w:color="auto"/>
            </w:tcBorders>
            <w:noWrap/>
            <w:hideMark/>
          </w:tcPr>
          <w:p w14:paraId="3BE76CAD" w14:textId="77777777" w:rsidR="00CB034B" w:rsidRPr="0092127F" w:rsidRDefault="00CB034B" w:rsidP="008E718E">
            <w:pPr>
              <w:pStyle w:val="Tabletext1"/>
              <w:jc w:val="right"/>
            </w:pPr>
            <w:r w:rsidRPr="002E70B8">
              <w:t>$60.41</w:t>
            </w:r>
          </w:p>
        </w:tc>
        <w:tc>
          <w:tcPr>
            <w:tcW w:w="687" w:type="pct"/>
            <w:tcBorders>
              <w:bottom w:val="single" w:sz="4" w:space="0" w:color="auto"/>
            </w:tcBorders>
            <w:noWrap/>
            <w:hideMark/>
          </w:tcPr>
          <w:p w14:paraId="3840F98C" w14:textId="77777777" w:rsidR="00CB034B" w:rsidRPr="0092127F" w:rsidRDefault="00CB034B" w:rsidP="008E718E">
            <w:pPr>
              <w:pStyle w:val="Tabletext1"/>
              <w:jc w:val="right"/>
            </w:pPr>
            <w:r w:rsidRPr="002E70B8">
              <w:t>$60.41</w:t>
            </w:r>
          </w:p>
        </w:tc>
      </w:tr>
      <w:tr w:rsidR="00CB034B" w:rsidRPr="0092127F" w14:paraId="4C1C71ED" w14:textId="77777777" w:rsidTr="008E718E">
        <w:trPr>
          <w:cantSplit/>
          <w:trHeight w:val="300"/>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D2266" w14:textId="77777777" w:rsidR="00CB034B" w:rsidRPr="0092127F" w:rsidRDefault="00CB034B" w:rsidP="008E718E">
            <w:pPr>
              <w:pStyle w:val="Tabletext1"/>
              <w:rPr>
                <w:color w:val="000000"/>
              </w:rPr>
            </w:pPr>
            <w:r w:rsidRPr="0092127F">
              <w:rPr>
                <w:color w:val="000000"/>
              </w:rPr>
              <w:t>Total number of patients</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1E3D904D" w14:textId="77777777" w:rsidR="00CB034B" w:rsidRPr="0092127F" w:rsidRDefault="00CB034B" w:rsidP="008E718E">
            <w:pPr>
              <w:pStyle w:val="Tabletext1"/>
              <w:jc w:val="right"/>
              <w:rPr>
                <w:color w:val="000000"/>
              </w:rPr>
            </w:pPr>
            <w:r w:rsidRPr="008448D7">
              <w:t>2,934</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3AD5AD5E" w14:textId="77777777" w:rsidR="00CB034B" w:rsidRPr="0092127F" w:rsidRDefault="00CB034B" w:rsidP="008E718E">
            <w:pPr>
              <w:pStyle w:val="Tabletext1"/>
              <w:jc w:val="right"/>
              <w:rPr>
                <w:color w:val="000000"/>
              </w:rPr>
            </w:pPr>
            <w:r w:rsidRPr="008448D7">
              <w:t>3,003</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3268CF5C" w14:textId="77777777" w:rsidR="00CB034B" w:rsidRPr="0092127F" w:rsidRDefault="00CB034B" w:rsidP="008E718E">
            <w:pPr>
              <w:pStyle w:val="Tabletext1"/>
              <w:jc w:val="right"/>
              <w:rPr>
                <w:color w:val="000000"/>
              </w:rPr>
            </w:pPr>
            <w:r w:rsidRPr="008448D7">
              <w:t>3,059</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79E7B896" w14:textId="77777777" w:rsidR="00CB034B" w:rsidRPr="0092127F" w:rsidRDefault="00CB034B" w:rsidP="008E718E">
            <w:pPr>
              <w:pStyle w:val="Tabletext1"/>
              <w:jc w:val="right"/>
              <w:rPr>
                <w:color w:val="000000"/>
              </w:rPr>
            </w:pPr>
            <w:r w:rsidRPr="008448D7">
              <w:t>3,102</w:t>
            </w:r>
          </w:p>
        </w:tc>
        <w:tc>
          <w:tcPr>
            <w:tcW w:w="687" w:type="pct"/>
            <w:tcBorders>
              <w:top w:val="single" w:sz="4" w:space="0" w:color="auto"/>
              <w:left w:val="single" w:sz="4" w:space="0" w:color="auto"/>
              <w:bottom w:val="single" w:sz="4" w:space="0" w:color="auto"/>
              <w:right w:val="single" w:sz="4" w:space="0" w:color="auto"/>
            </w:tcBorders>
            <w:shd w:val="clear" w:color="auto" w:fill="auto"/>
            <w:noWrap/>
          </w:tcPr>
          <w:p w14:paraId="49A14D39" w14:textId="77777777" w:rsidR="00CB034B" w:rsidRPr="0092127F" w:rsidRDefault="00CB034B" w:rsidP="008E718E">
            <w:pPr>
              <w:pStyle w:val="Tabletext1"/>
              <w:jc w:val="right"/>
              <w:rPr>
                <w:color w:val="000000"/>
              </w:rPr>
            </w:pPr>
            <w:r w:rsidRPr="008448D7">
              <w:t>3,133</w:t>
            </w:r>
          </w:p>
        </w:tc>
      </w:tr>
      <w:tr w:rsidR="00CB034B" w:rsidRPr="0092127F" w14:paraId="526AA058" w14:textId="77777777" w:rsidTr="008E718E">
        <w:trPr>
          <w:cantSplit/>
          <w:trHeight w:val="300"/>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B725A" w14:textId="740ED953" w:rsidR="00CB034B" w:rsidRPr="0092127F" w:rsidRDefault="00CB034B" w:rsidP="008E718E">
            <w:pPr>
              <w:pStyle w:val="Tabletext1"/>
              <w:rPr>
                <w:color w:val="000000"/>
              </w:rPr>
            </w:pPr>
            <w:r w:rsidRPr="0092127F">
              <w:rPr>
                <w:color w:val="000000"/>
              </w:rPr>
              <w:t>Total number of Ig grams issued</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3B6EDE0F" w14:textId="77777777" w:rsidR="00CB034B" w:rsidRPr="0092127F" w:rsidRDefault="00CB034B" w:rsidP="008E718E">
            <w:pPr>
              <w:pStyle w:val="Tabletext1"/>
              <w:jc w:val="right"/>
              <w:rPr>
                <w:color w:val="000000"/>
              </w:rPr>
            </w:pPr>
            <w:r w:rsidRPr="008448D7">
              <w:t>1,661,542</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2749A690" w14:textId="77777777" w:rsidR="00CB034B" w:rsidRPr="0092127F" w:rsidRDefault="00CB034B" w:rsidP="008E718E">
            <w:pPr>
              <w:pStyle w:val="Tabletext1"/>
              <w:jc w:val="right"/>
              <w:rPr>
                <w:color w:val="000000"/>
              </w:rPr>
            </w:pPr>
            <w:r w:rsidRPr="008448D7">
              <w:t>1,758,705</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4F87B63B" w14:textId="77777777" w:rsidR="00CB034B" w:rsidRPr="0092127F" w:rsidRDefault="00CB034B" w:rsidP="008E718E">
            <w:pPr>
              <w:pStyle w:val="Tabletext1"/>
              <w:jc w:val="right"/>
              <w:rPr>
                <w:color w:val="000000"/>
              </w:rPr>
            </w:pPr>
            <w:r w:rsidRPr="008448D7">
              <w:t>1,855,868</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2466E00F" w14:textId="77777777" w:rsidR="00CB034B" w:rsidRPr="0092127F" w:rsidRDefault="00CB034B" w:rsidP="008E718E">
            <w:pPr>
              <w:pStyle w:val="Tabletext1"/>
              <w:jc w:val="right"/>
              <w:rPr>
                <w:color w:val="000000"/>
              </w:rPr>
            </w:pPr>
            <w:r w:rsidRPr="008448D7">
              <w:t>1,953,031</w:t>
            </w:r>
          </w:p>
        </w:tc>
        <w:tc>
          <w:tcPr>
            <w:tcW w:w="687" w:type="pct"/>
            <w:tcBorders>
              <w:top w:val="single" w:sz="4" w:space="0" w:color="auto"/>
              <w:left w:val="single" w:sz="4" w:space="0" w:color="auto"/>
              <w:bottom w:val="single" w:sz="4" w:space="0" w:color="auto"/>
              <w:right w:val="single" w:sz="4" w:space="0" w:color="auto"/>
            </w:tcBorders>
            <w:shd w:val="clear" w:color="auto" w:fill="auto"/>
            <w:noWrap/>
          </w:tcPr>
          <w:p w14:paraId="19AE6523" w14:textId="77777777" w:rsidR="00CB034B" w:rsidRPr="0092127F" w:rsidRDefault="00CB034B" w:rsidP="008E718E">
            <w:pPr>
              <w:pStyle w:val="Tabletext1"/>
              <w:jc w:val="right"/>
              <w:rPr>
                <w:color w:val="000000"/>
              </w:rPr>
            </w:pPr>
            <w:r w:rsidRPr="008448D7">
              <w:t>2,050,194</w:t>
            </w:r>
          </w:p>
        </w:tc>
      </w:tr>
      <w:tr w:rsidR="00CB034B" w:rsidRPr="0092127F" w14:paraId="52380459" w14:textId="77777777" w:rsidTr="008E718E">
        <w:trPr>
          <w:cantSplit/>
          <w:trHeight w:val="300"/>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62563" w14:textId="77777777" w:rsidR="00CB034B" w:rsidRPr="0092127F" w:rsidRDefault="00CB034B" w:rsidP="008E718E">
            <w:pPr>
              <w:pStyle w:val="Tabletext1"/>
              <w:rPr>
                <w:color w:val="000000"/>
              </w:rPr>
            </w:pPr>
            <w:r w:rsidRPr="0092127F">
              <w:rPr>
                <w:color w:val="000000"/>
              </w:rPr>
              <w:t>Total cost of Ig</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1E252381" w14:textId="77777777" w:rsidR="00CB034B" w:rsidRPr="0092127F" w:rsidRDefault="00CB034B" w:rsidP="008E718E">
            <w:pPr>
              <w:pStyle w:val="Tabletext1"/>
              <w:jc w:val="right"/>
              <w:rPr>
                <w:color w:val="000000"/>
              </w:rPr>
            </w:pPr>
            <w:r w:rsidRPr="008448D7">
              <w:t>$100,373,758</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11CFCBDB" w14:textId="77777777" w:rsidR="00CB034B" w:rsidRPr="0092127F" w:rsidRDefault="00CB034B" w:rsidP="008E718E">
            <w:pPr>
              <w:pStyle w:val="Tabletext1"/>
              <w:jc w:val="right"/>
              <w:rPr>
                <w:color w:val="000000"/>
              </w:rPr>
            </w:pPr>
            <w:r w:rsidRPr="008448D7">
              <w:t>$106,243,380</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6BCC48AD" w14:textId="77777777" w:rsidR="00CB034B" w:rsidRPr="0092127F" w:rsidRDefault="00CB034B" w:rsidP="008E718E">
            <w:pPr>
              <w:pStyle w:val="Tabletext1"/>
              <w:jc w:val="right"/>
              <w:rPr>
                <w:color w:val="000000"/>
              </w:rPr>
            </w:pPr>
            <w:r w:rsidRPr="008448D7">
              <w:t>$112,113,002</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170D16ED" w14:textId="77777777" w:rsidR="00CB034B" w:rsidRPr="0092127F" w:rsidRDefault="00CB034B" w:rsidP="008E718E">
            <w:pPr>
              <w:pStyle w:val="Tabletext1"/>
              <w:jc w:val="right"/>
              <w:rPr>
                <w:color w:val="000000"/>
              </w:rPr>
            </w:pPr>
            <w:r w:rsidRPr="008448D7">
              <w:t>$117,982,625</w:t>
            </w:r>
          </w:p>
        </w:tc>
        <w:tc>
          <w:tcPr>
            <w:tcW w:w="687" w:type="pct"/>
            <w:tcBorders>
              <w:top w:val="single" w:sz="4" w:space="0" w:color="auto"/>
              <w:left w:val="single" w:sz="4" w:space="0" w:color="auto"/>
              <w:bottom w:val="single" w:sz="4" w:space="0" w:color="auto"/>
              <w:right w:val="single" w:sz="4" w:space="0" w:color="auto"/>
            </w:tcBorders>
            <w:shd w:val="clear" w:color="auto" w:fill="auto"/>
            <w:noWrap/>
          </w:tcPr>
          <w:p w14:paraId="6C354229" w14:textId="77777777" w:rsidR="00CB034B" w:rsidRPr="0092127F" w:rsidRDefault="00CB034B" w:rsidP="008E718E">
            <w:pPr>
              <w:pStyle w:val="Tabletext1"/>
              <w:jc w:val="right"/>
              <w:rPr>
                <w:color w:val="000000"/>
              </w:rPr>
            </w:pPr>
            <w:r w:rsidRPr="008448D7">
              <w:t>$123,852,247</w:t>
            </w:r>
          </w:p>
        </w:tc>
      </w:tr>
      <w:tr w:rsidR="00CB034B" w:rsidRPr="0092127F" w14:paraId="40F0CC38" w14:textId="77777777" w:rsidTr="008E718E">
        <w:trPr>
          <w:cantSplit/>
          <w:trHeight w:val="300"/>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A213" w14:textId="62E85A22" w:rsidR="00CB034B" w:rsidRPr="0092127F" w:rsidRDefault="00CB034B" w:rsidP="008E718E">
            <w:pPr>
              <w:pStyle w:val="Tabletext1"/>
              <w:rPr>
                <w:color w:val="000000"/>
              </w:rPr>
            </w:pPr>
            <w:r w:rsidRPr="0092127F">
              <w:rPr>
                <w:color w:val="000000"/>
              </w:rPr>
              <w:t>Cost of Ig to the Commonwealth</w:t>
            </w:r>
            <w:r w:rsidR="00483694">
              <w:rPr>
                <w:color w:val="000000"/>
              </w:rPr>
              <w:t xml:space="preserve"> </w:t>
            </w:r>
            <w:r w:rsidRPr="0092127F">
              <w:rPr>
                <w:color w:val="000000"/>
                <w:vertAlign w:val="superscript"/>
              </w:rPr>
              <w:t>a</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3B558147" w14:textId="77777777" w:rsidR="00CB034B" w:rsidRPr="0092127F" w:rsidRDefault="00CB034B" w:rsidP="008E718E">
            <w:pPr>
              <w:pStyle w:val="Tabletext1"/>
              <w:jc w:val="right"/>
              <w:rPr>
                <w:color w:val="000000"/>
              </w:rPr>
            </w:pPr>
            <w:r w:rsidRPr="00DF5ACC">
              <w:t>$63,235,467</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5A4D5A7B" w14:textId="77777777" w:rsidR="00CB034B" w:rsidRPr="0092127F" w:rsidRDefault="00CB034B" w:rsidP="008E718E">
            <w:pPr>
              <w:pStyle w:val="Tabletext1"/>
              <w:jc w:val="right"/>
              <w:rPr>
                <w:color w:val="000000"/>
              </w:rPr>
            </w:pPr>
            <w:r w:rsidRPr="00DF5ACC">
              <w:t>$66,933,329</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64950AC8" w14:textId="77777777" w:rsidR="00CB034B" w:rsidRPr="0092127F" w:rsidRDefault="00CB034B" w:rsidP="008E718E">
            <w:pPr>
              <w:pStyle w:val="Tabletext1"/>
              <w:jc w:val="right"/>
              <w:rPr>
                <w:color w:val="000000"/>
              </w:rPr>
            </w:pPr>
            <w:r w:rsidRPr="00DF5ACC">
              <w:t>$70,631,191</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44CB7C4A" w14:textId="77777777" w:rsidR="00CB034B" w:rsidRPr="0092127F" w:rsidRDefault="00CB034B" w:rsidP="008E718E">
            <w:pPr>
              <w:pStyle w:val="Tabletext1"/>
              <w:jc w:val="right"/>
              <w:rPr>
                <w:color w:val="000000"/>
              </w:rPr>
            </w:pPr>
            <w:r w:rsidRPr="00DF5ACC">
              <w:t>$74,329,054</w:t>
            </w:r>
          </w:p>
        </w:tc>
        <w:tc>
          <w:tcPr>
            <w:tcW w:w="687" w:type="pct"/>
            <w:tcBorders>
              <w:top w:val="single" w:sz="4" w:space="0" w:color="auto"/>
              <w:left w:val="single" w:sz="4" w:space="0" w:color="auto"/>
              <w:bottom w:val="single" w:sz="4" w:space="0" w:color="auto"/>
              <w:right w:val="single" w:sz="4" w:space="0" w:color="auto"/>
            </w:tcBorders>
            <w:shd w:val="clear" w:color="auto" w:fill="auto"/>
            <w:noWrap/>
          </w:tcPr>
          <w:p w14:paraId="4D6BF05C" w14:textId="77777777" w:rsidR="00CB034B" w:rsidRPr="0092127F" w:rsidRDefault="00CB034B" w:rsidP="008E718E">
            <w:pPr>
              <w:pStyle w:val="Tabletext1"/>
              <w:jc w:val="right"/>
              <w:rPr>
                <w:color w:val="000000"/>
              </w:rPr>
            </w:pPr>
            <w:r w:rsidRPr="00DF5ACC">
              <w:t>$78,026,916</w:t>
            </w:r>
          </w:p>
        </w:tc>
      </w:tr>
      <w:tr w:rsidR="00CB034B" w:rsidRPr="0092127F" w14:paraId="5245675E" w14:textId="77777777" w:rsidTr="008E718E">
        <w:trPr>
          <w:cantSplit/>
          <w:trHeight w:val="300"/>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74F2A" w14:textId="3DA772BB" w:rsidR="00CB034B" w:rsidRPr="0092127F" w:rsidRDefault="00CB034B" w:rsidP="008E718E">
            <w:pPr>
              <w:pStyle w:val="Tabletext1"/>
              <w:rPr>
                <w:color w:val="000000"/>
              </w:rPr>
            </w:pPr>
            <w:r w:rsidRPr="0092127F">
              <w:rPr>
                <w:color w:val="000000"/>
              </w:rPr>
              <w:t>Cost of Ig to the States</w:t>
            </w:r>
            <w:r w:rsidR="00483694">
              <w:rPr>
                <w:color w:val="000000"/>
              </w:rPr>
              <w:t xml:space="preserve"> </w:t>
            </w:r>
            <w:r w:rsidRPr="0092127F">
              <w:rPr>
                <w:color w:val="000000"/>
                <w:vertAlign w:val="superscript"/>
              </w:rPr>
              <w:t>a</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0F0501C3" w14:textId="77777777" w:rsidR="00CB034B" w:rsidRPr="0092127F" w:rsidRDefault="00CB034B" w:rsidP="008E718E">
            <w:pPr>
              <w:pStyle w:val="Tabletext1"/>
              <w:jc w:val="right"/>
              <w:rPr>
                <w:color w:val="000000"/>
              </w:rPr>
            </w:pPr>
            <w:r w:rsidRPr="00DF5ACC">
              <w:t>$37,138,290</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4E2140EC" w14:textId="77777777" w:rsidR="00CB034B" w:rsidRPr="0092127F" w:rsidRDefault="00CB034B" w:rsidP="008E718E">
            <w:pPr>
              <w:pStyle w:val="Tabletext1"/>
              <w:jc w:val="right"/>
              <w:rPr>
                <w:color w:val="000000"/>
              </w:rPr>
            </w:pPr>
            <w:r w:rsidRPr="00DF5ACC">
              <w:t>$39,310,051</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6CC48894" w14:textId="77777777" w:rsidR="00CB034B" w:rsidRPr="0092127F" w:rsidRDefault="00CB034B" w:rsidP="008E718E">
            <w:pPr>
              <w:pStyle w:val="Tabletext1"/>
              <w:jc w:val="right"/>
              <w:rPr>
                <w:color w:val="000000"/>
              </w:rPr>
            </w:pPr>
            <w:r w:rsidRPr="00DF5ACC">
              <w:t>$41,481,811</w:t>
            </w:r>
          </w:p>
        </w:tc>
        <w:tc>
          <w:tcPr>
            <w:tcW w:w="686" w:type="pct"/>
            <w:tcBorders>
              <w:top w:val="single" w:sz="4" w:space="0" w:color="auto"/>
              <w:left w:val="single" w:sz="4" w:space="0" w:color="auto"/>
              <w:bottom w:val="single" w:sz="4" w:space="0" w:color="auto"/>
              <w:right w:val="single" w:sz="4" w:space="0" w:color="auto"/>
            </w:tcBorders>
            <w:shd w:val="clear" w:color="auto" w:fill="auto"/>
            <w:noWrap/>
          </w:tcPr>
          <w:p w14:paraId="4AB896B8" w14:textId="77777777" w:rsidR="00CB034B" w:rsidRPr="0092127F" w:rsidRDefault="00CB034B" w:rsidP="008E718E">
            <w:pPr>
              <w:pStyle w:val="Tabletext1"/>
              <w:jc w:val="right"/>
              <w:rPr>
                <w:color w:val="000000"/>
              </w:rPr>
            </w:pPr>
            <w:r w:rsidRPr="00DF5ACC">
              <w:t>$43,653,571</w:t>
            </w:r>
          </w:p>
        </w:tc>
        <w:tc>
          <w:tcPr>
            <w:tcW w:w="687" w:type="pct"/>
            <w:tcBorders>
              <w:top w:val="single" w:sz="4" w:space="0" w:color="auto"/>
              <w:left w:val="single" w:sz="4" w:space="0" w:color="auto"/>
              <w:bottom w:val="single" w:sz="4" w:space="0" w:color="auto"/>
              <w:right w:val="single" w:sz="4" w:space="0" w:color="auto"/>
            </w:tcBorders>
            <w:shd w:val="clear" w:color="auto" w:fill="auto"/>
            <w:noWrap/>
          </w:tcPr>
          <w:p w14:paraId="267ADB8D" w14:textId="77777777" w:rsidR="00CB034B" w:rsidRPr="0092127F" w:rsidRDefault="00CB034B" w:rsidP="008E718E">
            <w:pPr>
              <w:pStyle w:val="Tabletext1"/>
              <w:jc w:val="right"/>
              <w:rPr>
                <w:color w:val="000000"/>
              </w:rPr>
            </w:pPr>
            <w:r w:rsidRPr="00DF5ACC">
              <w:t>$45,825,331</w:t>
            </w:r>
          </w:p>
        </w:tc>
      </w:tr>
    </w:tbl>
    <w:p w14:paraId="4B9B755D" w14:textId="77777777" w:rsidR="00CB034B" w:rsidRDefault="00CB034B" w:rsidP="00CB034B">
      <w:pPr>
        <w:pStyle w:val="Tablenotes0"/>
        <w:rPr>
          <w:vertAlign w:val="superscript"/>
        </w:rPr>
      </w:pPr>
      <w:r>
        <w:t>CIDP</w:t>
      </w:r>
      <w:r w:rsidRPr="00E07567">
        <w:t xml:space="preserve"> = </w:t>
      </w:r>
      <w:r>
        <w:t xml:space="preserve">chronic </w:t>
      </w:r>
      <w:r w:rsidRPr="004320AE">
        <w:t>inflammatory demyelinating polyneuropathy</w:t>
      </w:r>
      <w:r>
        <w:t>; Ig =immunoglobulin</w:t>
      </w:r>
      <w:r w:rsidRPr="00E07567">
        <w:rPr>
          <w:vertAlign w:val="superscript"/>
        </w:rPr>
        <w:t xml:space="preserve"> </w:t>
      </w:r>
    </w:p>
    <w:p w14:paraId="25F24010" w14:textId="77777777" w:rsidR="00CB034B" w:rsidRPr="00E07567" w:rsidRDefault="00CB034B" w:rsidP="00CB034B">
      <w:pPr>
        <w:pStyle w:val="Tablenotes0"/>
      </w:pPr>
      <w:r w:rsidRPr="00E07567">
        <w:rPr>
          <w:vertAlign w:val="superscript"/>
        </w:rPr>
        <w:t>a</w:t>
      </w:r>
      <w:r w:rsidRPr="00E07567">
        <w:t xml:space="preserve"> Under the National Blood Agreement, products are funded 63% by the Commonwealth and 37% by the states and territories.</w:t>
      </w:r>
    </w:p>
    <w:p w14:paraId="59906008" w14:textId="77777777" w:rsidR="00CB034B" w:rsidRPr="00527492" w:rsidRDefault="00CB034B" w:rsidP="00CB034B">
      <w:pPr>
        <w:pStyle w:val="Heading2"/>
      </w:pPr>
      <w:bookmarkStart w:id="449" w:name="_Toc15561889"/>
      <w:bookmarkStart w:id="450" w:name="_Toc23768066"/>
      <w:bookmarkStart w:id="451" w:name="_Toc69305609"/>
      <w:r w:rsidRPr="00527492">
        <w:t>E.3.</w:t>
      </w:r>
      <w:r w:rsidRPr="00527492">
        <w:tab/>
        <w:t>Changes in Use and Cost of</w:t>
      </w:r>
      <w:bookmarkEnd w:id="414"/>
      <w:bookmarkEnd w:id="415"/>
      <w:r w:rsidRPr="00527492">
        <w:t xml:space="preserve"> Other Medical Services</w:t>
      </w:r>
      <w:bookmarkEnd w:id="449"/>
      <w:bookmarkEnd w:id="450"/>
      <w:bookmarkEnd w:id="451"/>
      <w:r w:rsidRPr="00527492">
        <w:t xml:space="preserve"> </w:t>
      </w:r>
    </w:p>
    <w:p w14:paraId="12C0F1EB" w14:textId="77777777" w:rsidR="00CB034B" w:rsidRDefault="00CB034B" w:rsidP="00CB034B">
      <w:pPr>
        <w:pStyle w:val="Heading3"/>
      </w:pPr>
      <w:bookmarkStart w:id="452" w:name="_Toc69305610"/>
      <w:bookmarkStart w:id="453" w:name="_Toc379118302"/>
      <w:bookmarkStart w:id="454" w:name="_Toc381796485"/>
      <w:r>
        <w:t>Additional costs due to Ig administration</w:t>
      </w:r>
      <w:bookmarkEnd w:id="452"/>
    </w:p>
    <w:p w14:paraId="1492FC4C" w14:textId="343DB021" w:rsidR="00CB034B" w:rsidRDefault="00CB034B" w:rsidP="00CB034B">
      <w:pPr>
        <w:pStyle w:val="BodyTextSTD"/>
      </w:pPr>
      <w:r>
        <w:t>P</w:t>
      </w:r>
      <w:r w:rsidRPr="00E07567">
        <w:t>atients utilising IVIg require hospitalisation outpatient/day stay services for IVIg administration and this is a direct additional cost associated with therap</w:t>
      </w:r>
      <w:r w:rsidR="00197098">
        <w:t>y. As in Section D.4, IVIg adm</w:t>
      </w:r>
      <w:r w:rsidRPr="00E07567">
        <w:t xml:space="preserve">inistration costs are estimated assuming the infusion is provided in a hospital outpatient setting, under the service </w:t>
      </w:r>
      <w:r>
        <w:t>categ</w:t>
      </w:r>
      <w:r w:rsidRPr="00E07567">
        <w:t>ory of 10.13 (minor medical procedures), which includes infusions. The NWAU calculator 20</w:t>
      </w:r>
      <w:r>
        <w:t>20</w:t>
      </w:r>
      <w:r w:rsidRPr="00E07567">
        <w:t>-2</w:t>
      </w:r>
      <w:r>
        <w:t>1</w:t>
      </w:r>
      <w:r w:rsidRPr="00E07567">
        <w:t xml:space="preserve"> (IHPA)</w:t>
      </w:r>
      <w:r w:rsidRPr="00E07567">
        <w:rPr>
          <w:rStyle w:val="FootnoteReference"/>
        </w:rPr>
        <w:footnoteReference w:id="11"/>
      </w:r>
      <w:r w:rsidRPr="00E07567">
        <w:t xml:space="preserve"> estimated cost of this service is $</w:t>
      </w:r>
      <w:r>
        <w:t>693</w:t>
      </w:r>
      <w:r w:rsidRPr="00E07567">
        <w:t xml:space="preserve"> per episode.</w:t>
      </w:r>
      <w:r>
        <w:t xml:space="preserve"> Although SCIg is home-based program (after appropriate patient training) weekly SCIg infusions, in contrast to monthly IVIg, is associated with increased consumable costs such as syringes, lines and an infusion pump </w:t>
      </w:r>
      <w:r w:rsidR="00B727D6">
        <w:fldChar w:fldCharType="begin">
          <w:fldData xml:space="preserve">PEVuZE5vdGU+PENpdGU+PEF1dGhvcj5XaW5kZWdnZXI8L0F1dGhvcj48WWVhcj4yMDIwPC9ZZWFy
PjxSZWNOdW0+NDE8L1JlY051bT48RGlzcGxheVRleHQ+KFdpbmRlZ2dlciBldCBhbC4gMjAxOSwg
MjAyMCk8L0Rpc3BsYXlUZXh0PjxyZWNvcmQ+PHJlYy1udW1iZXI+NDE8L3JlYy1udW1iZXI+PGZv
cmVpZ24ta2V5cz48a2V5IGFwcD0iRU4iIGRiLWlkPSJ4dHI1eGZ4MnhmMHdkN2UwczJxdnN0Mmll
dHh4ZjB0cHpyOXYiIHRpbWVzdGFtcD0iMTYwMTI3NjI0MSI+NDE8L2tleT48L2ZvcmVpZ24ta2V5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cnM+PC9jb250cmlidXRvcnM+PGF1dGgtYWRkcmVzcz5TY2hvb2wgb2YgSGVhbHRoIGFuZCBTcG9y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</w:fldData>
        </w:fldChar>
      </w:r>
      <w:r w:rsidR="00B727D6">
        <w:instrText xml:space="preserve"> ADDIN EN.CITE </w:instrText>
      </w:r>
      <w:r w:rsidR="00B727D6">
        <w:fldChar w:fldCharType="begin">
          <w:fldData xml:space="preserve">PEVuZE5vdGU+PENpdGU+PEF1dGhvcj5XaW5kZWdnZXI8L0F1dGhvcj48WWVhcj4yMDIwPC9ZZWFy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</w:fldData>
        </w:fldChar>
      </w:r>
      <w:r w:rsidR="00B727D6">
        <w:instrText xml:space="preserve"> ADDIN EN.CITE.DATA </w:instrText>
      </w:r>
      <w:r w:rsidR="00B727D6">
        <w:fldChar w:fldCharType="end"/>
      </w:r>
      <w:r w:rsidR="00B727D6">
        <w:fldChar w:fldCharType="separate"/>
      </w:r>
      <w:r w:rsidR="00B727D6">
        <w:rPr>
          <w:noProof/>
        </w:rPr>
        <w:t>(</w:t>
      </w:r>
      <w:hyperlink w:anchor="_ENREF_83" w:tooltip="Windegger, 2019 #42" w:history="1">
        <w:r w:rsidR="00D726F6">
          <w:rPr>
            <w:noProof/>
          </w:rPr>
          <w:t>Windegger et al. 2019</w:t>
        </w:r>
      </w:hyperlink>
      <w:r w:rsidR="00B727D6">
        <w:rPr>
          <w:noProof/>
        </w:rPr>
        <w:t xml:space="preserve">, </w:t>
      </w:r>
      <w:hyperlink w:anchor="_ENREF_84" w:tooltip="Windegger, 2020 #41" w:history="1">
        <w:r w:rsidR="00D726F6">
          <w:rPr>
            <w:noProof/>
          </w:rPr>
          <w:t>2020</w:t>
        </w:r>
      </w:hyperlink>
      <w:r w:rsidR="00B727D6">
        <w:rPr>
          <w:noProof/>
        </w:rPr>
        <w:t>)</w:t>
      </w:r>
      <w:r w:rsidR="00B727D6">
        <w:fldChar w:fldCharType="end"/>
      </w:r>
      <w:r>
        <w:t xml:space="preserve">. Under national blood arrangements, participating hospital are required to provide access to all resources and takes full accountability for the management and use of the SCIg product, at no additional cost to patients. </w:t>
      </w:r>
    </w:p>
    <w:p w14:paraId="65E5B152" w14:textId="0B7C3F32" w:rsidR="00CB034B" w:rsidRDefault="00FA096F" w:rsidP="00CB034B">
      <w:pPr>
        <w:pStyle w:val="BodyTextSTD"/>
      </w:pPr>
      <w:r>
        <w:t>The b</w:t>
      </w:r>
      <w:r w:rsidR="00CB034B">
        <w:t xml:space="preserve">ase-case </w:t>
      </w:r>
      <w:r>
        <w:t xml:space="preserve">financial </w:t>
      </w:r>
      <w:r w:rsidR="00CB034B">
        <w:t xml:space="preserve">assumes that the SCIg uptake in patients with CIDP will increase from 5% in 2021-2022 to 15% in 2025–26. Resource use for SCIg was sourced from an Australian cost-utility study </w:t>
      </w:r>
      <w:r w:rsidR="00B727D6">
        <w:fldChar w:fldCharType="begin">
          <w:fldData xml:space="preserve">PEVuZE5vdGU+PENpdGU+PEF1dGhvcj5XaW5kZWdnZXI8L0F1dGhvcj48WWVhcj4yMDE5PC9ZZWFy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</w:fldData>
        </w:fldChar>
      </w:r>
      <w:r w:rsidR="00B727D6">
        <w:instrText xml:space="preserve"> ADDIN EN.CITE </w:instrText>
      </w:r>
      <w:r w:rsidR="00B727D6">
        <w:fldChar w:fldCharType="begin">
          <w:fldData xml:space="preserve">PEVuZE5vdGU+PENpdGU+PEF1dGhvcj5XaW5kZWdnZXI8L0F1dGhvcj48WWVhcj4yMDE5PC9ZZWFy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3" w:tooltip="Windegger, 2019 #42" w:history="1">
        <w:r w:rsidR="00D726F6">
          <w:rPr>
            <w:noProof/>
          </w:rPr>
          <w:t>Windegger et al. 2019</w:t>
        </w:r>
      </w:hyperlink>
      <w:r w:rsidR="00B727D6">
        <w:rPr>
          <w:noProof/>
        </w:rPr>
        <w:t>)</w:t>
      </w:r>
      <w:r w:rsidR="00B727D6">
        <w:fldChar w:fldCharType="end"/>
      </w:r>
      <w:r w:rsidR="00CB034B">
        <w:t xml:space="preserve"> </w:t>
      </w:r>
      <w:r w:rsidR="00CB034B" w:rsidRPr="009E3554">
        <w:t xml:space="preserve">comparing </w:t>
      </w:r>
      <w:r w:rsidR="007D63A9">
        <w:t>IVIg</w:t>
      </w:r>
      <w:r w:rsidR="007D63A9" w:rsidRPr="009E3554">
        <w:t xml:space="preserve"> </w:t>
      </w:r>
      <w:r w:rsidR="00CB034B" w:rsidRPr="009E3554">
        <w:t>v</w:t>
      </w:r>
      <w:r w:rsidR="00CB034B">
        <w:t>ersu</w:t>
      </w:r>
      <w:r w:rsidR="00CB034B" w:rsidRPr="009E3554">
        <w:t xml:space="preserve">s </w:t>
      </w:r>
      <w:r w:rsidR="007D63A9">
        <w:t>SCIg</w:t>
      </w:r>
      <w:r w:rsidR="00CB034B" w:rsidRPr="009E3554">
        <w:t xml:space="preserve"> replacement therapy in Australia</w:t>
      </w:r>
      <w:r w:rsidR="00CB034B">
        <w:t xml:space="preserve"> in patients with secondary immunodeficiency. According to this study most patients use the Springfusor® SCIg infusion pump (Go Medical Industries Pty Ltd, Subiaco, WA, Australia) ($100 for approximately 100 infusions</w:t>
      </w:r>
      <w:r>
        <w:t>;</w:t>
      </w:r>
      <w:r w:rsidR="00CB034B">
        <w:t xml:space="preserve"> </w:t>
      </w:r>
      <w:r>
        <w:t xml:space="preserve">equating to </w:t>
      </w:r>
      <w:r w:rsidR="00CB034B">
        <w:t>$1 per infusion). A</w:t>
      </w:r>
      <w:r>
        <w:t xml:space="preserve">n average </w:t>
      </w:r>
      <w:r w:rsidR="00CB034B">
        <w:t xml:space="preserve">of three training sessions </w:t>
      </w:r>
      <w:r>
        <w:t xml:space="preserve">(approximately 2.5 hours each) </w:t>
      </w:r>
      <w:r w:rsidR="00CB034B">
        <w:t>is required for patients to reach competency at SCIg self-administration, which accrues direct and indirect outpatient</w:t>
      </w:r>
      <w:r>
        <w:t>/</w:t>
      </w:r>
      <w:r w:rsidR="00CB034B">
        <w:t>ward cost</w:t>
      </w:r>
      <w:r w:rsidR="0059308D">
        <w:t>s</w:t>
      </w:r>
      <w:r w:rsidR="00CB034B">
        <w:t xml:space="preserve">. The cost of consumables (syringes, needles, cannula, infusion lines, alcohol wipes) was estimated at $90.48/month on SCIg </w:t>
      </w:r>
      <w:r w:rsidR="00B727D6">
        <w:fldChar w:fldCharType="begin">
          <w:fldData xml:space="preserve">PEVuZE5vdGU+PENpdGU+PEF1dGhvcj5XaW5kZWdnZXI8L0F1dGhvcj48WWVhcj4yMDE5PC9ZZWFy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</w:fldData>
        </w:fldChar>
      </w:r>
      <w:r w:rsidR="00B727D6">
        <w:instrText xml:space="preserve"> ADDIN EN.CITE </w:instrText>
      </w:r>
      <w:r w:rsidR="00B727D6">
        <w:fldChar w:fldCharType="begin">
          <w:fldData xml:space="preserve">PEVuZE5vdGU+PENpdGU+PEF1dGhvcj5XaW5kZWdnZXI8L0F1dGhvcj48WWVhcj4yMDE5PC9ZZWFy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3" w:tooltip="Windegger, 2019 #42" w:history="1">
        <w:r w:rsidR="00D726F6">
          <w:rPr>
            <w:noProof/>
          </w:rPr>
          <w:t>Windegger et al. 2019</w:t>
        </w:r>
      </w:hyperlink>
      <w:r w:rsidR="00B727D6">
        <w:rPr>
          <w:noProof/>
        </w:rPr>
        <w:t>)</w:t>
      </w:r>
      <w:r w:rsidR="00B727D6">
        <w:fldChar w:fldCharType="end"/>
      </w:r>
      <w:r w:rsidR="00CB034B">
        <w:t xml:space="preserve">. In addition, </w:t>
      </w:r>
      <w:r w:rsidR="00CB034B" w:rsidRPr="00AD0806">
        <w:t>approximately 15 min</w:t>
      </w:r>
      <w:r w:rsidR="00CB034B">
        <w:t>utes</w:t>
      </w:r>
      <w:r w:rsidR="00CB034B" w:rsidRPr="00AD0806">
        <w:t xml:space="preserve"> of nursing staff time</w:t>
      </w:r>
      <w:r w:rsidR="00CB034B">
        <w:t xml:space="preserve"> each week (or around an hour visit once a month) is required</w:t>
      </w:r>
      <w:r w:rsidR="00CB034B" w:rsidRPr="00AD0806">
        <w:t xml:space="preserve"> for review and the product pick up</w:t>
      </w:r>
      <w:r w:rsidR="00CB034B">
        <w:t xml:space="preserve"> for SCIg</w:t>
      </w:r>
      <w:r w:rsidR="00CB034B" w:rsidRPr="00AD0806">
        <w:t>.</w:t>
      </w:r>
      <w:r w:rsidR="00CB034B">
        <w:t xml:space="preserve"> Resource use and costs associated with SCIg are summarised in </w:t>
      </w:r>
      <w:r w:rsidR="00CB034B">
        <w:fldChar w:fldCharType="begin"/>
      </w:r>
      <w:r w:rsidR="00CB034B">
        <w:instrText xml:space="preserve"> REF _Ref67302914 \h </w:instrText>
      </w:r>
      <w:r w:rsidR="00CB034B">
        <w:fldChar w:fldCharType="separate"/>
      </w:r>
      <w:r w:rsidR="004B3EA2">
        <w:t xml:space="preserve">Table </w:t>
      </w:r>
      <w:r w:rsidR="004B3EA2">
        <w:rPr>
          <w:noProof/>
        </w:rPr>
        <w:t>69</w:t>
      </w:r>
      <w:r w:rsidR="00CB034B">
        <w:fldChar w:fldCharType="end"/>
      </w:r>
      <w:r w:rsidR="00CB034B">
        <w:t>. T</w:t>
      </w:r>
      <w:r w:rsidR="0059308D">
        <w:t>he t</w:t>
      </w:r>
      <w:r w:rsidR="00CB034B">
        <w:t>otal SCIg administration cost per patient per year is estimated at $6,703.</w:t>
      </w:r>
    </w:p>
    <w:p w14:paraId="37D07C18" w14:textId="6C53D0E8" w:rsidR="00CB034B" w:rsidRDefault="00CB034B" w:rsidP="00CB034B">
      <w:pPr>
        <w:pStyle w:val="Caption"/>
      </w:pPr>
      <w:bookmarkStart w:id="455" w:name="_Ref67302914"/>
      <w:bookmarkStart w:id="456" w:name="_Toc69305710"/>
      <w:r>
        <w:t xml:space="preserve">Table </w:t>
      </w:r>
      <w:r w:rsidR="00003BA5">
        <w:fldChar w:fldCharType="begin"/>
      </w:r>
      <w:r w:rsidR="00003BA5">
        <w:instrText xml:space="preserve"> SEQ Table \* ARABIC </w:instrText>
      </w:r>
      <w:r w:rsidR="00003BA5">
        <w:fldChar w:fldCharType="separate"/>
      </w:r>
      <w:r w:rsidR="004B3EA2">
        <w:rPr>
          <w:noProof/>
        </w:rPr>
        <w:t>69</w:t>
      </w:r>
      <w:r w:rsidR="00003BA5">
        <w:rPr>
          <w:noProof/>
        </w:rPr>
        <w:fldChar w:fldCharType="end"/>
      </w:r>
      <w:bookmarkEnd w:id="455"/>
      <w:r>
        <w:tab/>
        <w:t>Resource use and costs associated with SCIg administration per patient per year</w:t>
      </w:r>
      <w:bookmarkEnd w:id="456"/>
    </w:p>
    <w:tbl>
      <w:tblPr>
        <w:tblStyle w:val="OPTUMTableNormal"/>
        <w:tblW w:w="5000" w:type="pct"/>
        <w:tblLayout w:type="fixed"/>
        <w:tblLook w:val="04A0" w:firstRow="1" w:lastRow="0" w:firstColumn="1" w:lastColumn="0" w:noHBand="0" w:noVBand="1"/>
        <w:tblCaption w:val="Resource use and costs associated with SCIg administration per patient per year"/>
        <w:tblDescription w:val="Resource use and costs associated with SCIg administration per patient per year"/>
      </w:tblPr>
      <w:tblGrid>
        <w:gridCol w:w="2688"/>
        <w:gridCol w:w="992"/>
        <w:gridCol w:w="994"/>
        <w:gridCol w:w="4342"/>
      </w:tblGrid>
      <w:tr w:rsidR="00CB034B" w:rsidRPr="008B11D3" w14:paraId="4F9672BD" w14:textId="77777777" w:rsidTr="00BB43B6">
        <w:trPr>
          <w:cnfStyle w:val="100000000000" w:firstRow="1" w:lastRow="0" w:firstColumn="0" w:lastColumn="0" w:oddVBand="0" w:evenVBand="0" w:oddHBand="0" w:evenHBand="0" w:firstRowFirstColumn="0" w:firstRowLastColumn="0" w:lastRowFirstColumn="0" w:lastRowLastColumn="0"/>
          <w:trHeight w:val="300"/>
          <w:tblHeader/>
        </w:trPr>
        <w:tc>
          <w:tcPr>
            <w:tcW w:w="1491" w:type="pct"/>
            <w:noWrap/>
          </w:tcPr>
          <w:p w14:paraId="54356E5F" w14:textId="77777777" w:rsidR="00CB034B" w:rsidRPr="008B11D3" w:rsidRDefault="00CB034B" w:rsidP="008E718E">
            <w:pPr>
              <w:pStyle w:val="TableHeading"/>
            </w:pPr>
            <w:r>
              <w:t>Resource</w:t>
            </w:r>
          </w:p>
        </w:tc>
        <w:tc>
          <w:tcPr>
            <w:tcW w:w="550" w:type="pct"/>
          </w:tcPr>
          <w:p w14:paraId="20D8218F" w14:textId="77777777" w:rsidR="00CB034B" w:rsidRPr="008B11D3" w:rsidRDefault="00CB034B" w:rsidP="008E718E">
            <w:pPr>
              <w:pStyle w:val="TableHeading"/>
            </w:pPr>
            <w:r>
              <w:t>Unit cost</w:t>
            </w:r>
          </w:p>
        </w:tc>
        <w:tc>
          <w:tcPr>
            <w:tcW w:w="551" w:type="pct"/>
            <w:noWrap/>
          </w:tcPr>
          <w:p w14:paraId="1E8C25C5" w14:textId="77777777" w:rsidR="00CB034B" w:rsidRPr="008B11D3" w:rsidRDefault="00CB034B" w:rsidP="008E718E">
            <w:pPr>
              <w:pStyle w:val="TableHeading"/>
            </w:pPr>
            <w:r>
              <w:t>Cost</w:t>
            </w:r>
          </w:p>
        </w:tc>
        <w:tc>
          <w:tcPr>
            <w:tcW w:w="2408" w:type="pct"/>
            <w:noWrap/>
          </w:tcPr>
          <w:p w14:paraId="0191C09A" w14:textId="77777777" w:rsidR="00CB034B" w:rsidRPr="008B11D3" w:rsidRDefault="00CB034B" w:rsidP="008E718E">
            <w:pPr>
              <w:pStyle w:val="TableHeading"/>
            </w:pPr>
            <w:r>
              <w:t>Source</w:t>
            </w:r>
          </w:p>
        </w:tc>
      </w:tr>
      <w:tr w:rsidR="00CB034B" w:rsidRPr="008B11D3" w14:paraId="78EE70D5" w14:textId="77777777" w:rsidTr="008E718E">
        <w:trPr>
          <w:trHeight w:val="300"/>
        </w:trPr>
        <w:tc>
          <w:tcPr>
            <w:tcW w:w="1491" w:type="pct"/>
            <w:noWrap/>
            <w:hideMark/>
          </w:tcPr>
          <w:p w14:paraId="59BCAF9A" w14:textId="52E78D58" w:rsidR="00CB034B" w:rsidRPr="008B11D3" w:rsidRDefault="00CB034B" w:rsidP="008E718E">
            <w:pPr>
              <w:pStyle w:val="Tabletext1"/>
            </w:pPr>
            <w:r w:rsidRPr="008B11D3">
              <w:t>Springfusor</w:t>
            </w:r>
            <w:r w:rsidR="003334FD" w:rsidRPr="003334FD">
              <w:rPr>
                <w:vertAlign w:val="superscript"/>
              </w:rPr>
              <w:t>®</w:t>
            </w:r>
            <w:r w:rsidRPr="008B11D3">
              <w:t xml:space="preserve"> pump</w:t>
            </w:r>
          </w:p>
        </w:tc>
        <w:tc>
          <w:tcPr>
            <w:tcW w:w="550" w:type="pct"/>
          </w:tcPr>
          <w:p w14:paraId="36A97E50" w14:textId="77777777" w:rsidR="00CB034B" w:rsidRPr="008B11D3" w:rsidRDefault="00CB034B" w:rsidP="008E718E">
            <w:pPr>
              <w:pStyle w:val="Tabletext1"/>
              <w:jc w:val="right"/>
            </w:pPr>
            <w:r>
              <w:t>$1</w:t>
            </w:r>
          </w:p>
        </w:tc>
        <w:tc>
          <w:tcPr>
            <w:tcW w:w="551" w:type="pct"/>
            <w:noWrap/>
            <w:hideMark/>
          </w:tcPr>
          <w:p w14:paraId="1F5F94F6" w14:textId="77777777" w:rsidR="00CB034B" w:rsidRPr="008B11D3" w:rsidRDefault="00CB034B" w:rsidP="008E718E">
            <w:pPr>
              <w:pStyle w:val="Tabletext1"/>
              <w:jc w:val="right"/>
            </w:pPr>
            <w:r w:rsidRPr="008B11D3">
              <w:t>$52</w:t>
            </w:r>
          </w:p>
        </w:tc>
        <w:tc>
          <w:tcPr>
            <w:tcW w:w="2408" w:type="pct"/>
            <w:noWrap/>
            <w:hideMark/>
          </w:tcPr>
          <w:p w14:paraId="30E2694D" w14:textId="77777777" w:rsidR="00CB034B" w:rsidRPr="008B11D3" w:rsidRDefault="00CB034B" w:rsidP="008E718E">
            <w:pPr>
              <w:pStyle w:val="Tabletext1"/>
            </w:pPr>
            <w:r>
              <w:t xml:space="preserve">$100 for pump that gives approximately </w:t>
            </w:r>
            <w:r w:rsidRPr="008B11D3">
              <w:t>100 infusions</w:t>
            </w:r>
            <w:r>
              <w:t xml:space="preserve"> ($1 per infusion). Cost estimated for 52 weekly infusions.</w:t>
            </w:r>
          </w:p>
        </w:tc>
      </w:tr>
      <w:tr w:rsidR="00CB034B" w:rsidRPr="008B11D3" w14:paraId="4114C5F4" w14:textId="77777777" w:rsidTr="008E718E">
        <w:trPr>
          <w:trHeight w:val="300"/>
        </w:trPr>
        <w:tc>
          <w:tcPr>
            <w:tcW w:w="1491" w:type="pct"/>
            <w:noWrap/>
            <w:hideMark/>
          </w:tcPr>
          <w:p w14:paraId="6E6B8E9E" w14:textId="77777777" w:rsidR="00CB034B" w:rsidRPr="008B11D3" w:rsidRDefault="00CB034B" w:rsidP="008E718E">
            <w:pPr>
              <w:pStyle w:val="Tabletext1"/>
            </w:pPr>
            <w:r>
              <w:t>Initial training cost of SC</w:t>
            </w:r>
            <w:r w:rsidRPr="008B11D3">
              <w:t>Ig</w:t>
            </w:r>
          </w:p>
        </w:tc>
        <w:tc>
          <w:tcPr>
            <w:tcW w:w="550" w:type="pct"/>
          </w:tcPr>
          <w:p w14:paraId="2F4B2B53" w14:textId="77777777" w:rsidR="00CB034B" w:rsidRPr="008B11D3" w:rsidRDefault="00CB034B" w:rsidP="008E718E">
            <w:pPr>
              <w:pStyle w:val="Tabletext1"/>
              <w:jc w:val="right"/>
            </w:pPr>
            <w:r>
              <w:t>$371</w:t>
            </w:r>
          </w:p>
        </w:tc>
        <w:tc>
          <w:tcPr>
            <w:tcW w:w="551" w:type="pct"/>
            <w:noWrap/>
            <w:hideMark/>
          </w:tcPr>
          <w:p w14:paraId="71C9E697" w14:textId="77777777" w:rsidR="00CB034B" w:rsidRPr="008B11D3" w:rsidRDefault="00CB034B" w:rsidP="008E718E">
            <w:pPr>
              <w:pStyle w:val="Tabletext1"/>
              <w:jc w:val="right"/>
            </w:pPr>
            <w:r w:rsidRPr="008B11D3">
              <w:t>$1,113</w:t>
            </w:r>
          </w:p>
        </w:tc>
        <w:tc>
          <w:tcPr>
            <w:tcW w:w="2408" w:type="pct"/>
            <w:noWrap/>
            <w:hideMark/>
          </w:tcPr>
          <w:p w14:paraId="69A02E15" w14:textId="77777777" w:rsidR="00CB034B" w:rsidRPr="008B11D3" w:rsidRDefault="00CB034B" w:rsidP="008E718E">
            <w:pPr>
              <w:pStyle w:val="Tabletext1"/>
            </w:pPr>
            <w:r>
              <w:t>3</w:t>
            </w:r>
            <w:r w:rsidRPr="008B11D3">
              <w:t xml:space="preserve"> </w:t>
            </w:r>
            <w:r>
              <w:t xml:space="preserve">mean </w:t>
            </w:r>
            <w:r w:rsidRPr="008B11D3">
              <w:t>ward/nursing sessions</w:t>
            </w:r>
            <w:r>
              <w:t xml:space="preserve"> required </w:t>
            </w:r>
            <w:r w:rsidRPr="008E5457">
              <w:t>for patients to reach competency at SCIg self</w:t>
            </w:r>
            <w:r w:rsidRPr="008E5457">
              <w:rPr>
                <w:rFonts w:ascii="Cambria Math" w:hAnsi="Cambria Math" w:cs="Cambria Math"/>
              </w:rPr>
              <w:t>‐</w:t>
            </w:r>
            <w:r w:rsidRPr="008E5457">
              <w:t>administration</w:t>
            </w:r>
            <w:r>
              <w:t xml:space="preserve"> (</w:t>
            </w:r>
            <w:r w:rsidRPr="008B11D3">
              <w:t>Tier 2; Clinical Nurse Specialist Interventions Classes 40.48</w:t>
            </w:r>
            <w:r>
              <w:t>)</w:t>
            </w:r>
          </w:p>
        </w:tc>
      </w:tr>
      <w:tr w:rsidR="00CB034B" w:rsidRPr="008B11D3" w14:paraId="5A3D9484" w14:textId="77777777" w:rsidTr="008E718E">
        <w:trPr>
          <w:trHeight w:val="300"/>
        </w:trPr>
        <w:tc>
          <w:tcPr>
            <w:tcW w:w="1491" w:type="pct"/>
            <w:noWrap/>
            <w:hideMark/>
          </w:tcPr>
          <w:p w14:paraId="54FAF1D0" w14:textId="77777777" w:rsidR="00CB034B" w:rsidRPr="008B11D3" w:rsidRDefault="00CB034B" w:rsidP="008E718E">
            <w:pPr>
              <w:pStyle w:val="Tabletext1"/>
            </w:pPr>
            <w:r w:rsidRPr="008B11D3">
              <w:t>Consumables (syringe, needle, lines, etc)</w:t>
            </w:r>
          </w:p>
        </w:tc>
        <w:tc>
          <w:tcPr>
            <w:tcW w:w="550" w:type="pct"/>
          </w:tcPr>
          <w:p w14:paraId="3A1BA00A" w14:textId="77777777" w:rsidR="00CB034B" w:rsidRPr="008B11D3" w:rsidRDefault="00CB034B" w:rsidP="008E718E">
            <w:pPr>
              <w:pStyle w:val="Tabletext1"/>
              <w:jc w:val="right"/>
            </w:pPr>
            <w:r>
              <w:t>$90.48</w:t>
            </w:r>
          </w:p>
        </w:tc>
        <w:tc>
          <w:tcPr>
            <w:tcW w:w="551" w:type="pct"/>
            <w:noWrap/>
            <w:hideMark/>
          </w:tcPr>
          <w:p w14:paraId="50D7738D" w14:textId="77777777" w:rsidR="00CB034B" w:rsidRPr="008B11D3" w:rsidRDefault="00CB034B" w:rsidP="008E718E">
            <w:pPr>
              <w:pStyle w:val="Tabletext1"/>
              <w:jc w:val="right"/>
            </w:pPr>
            <w:r w:rsidRPr="008B11D3">
              <w:t>$1,08</w:t>
            </w:r>
            <w:r>
              <w:t>6</w:t>
            </w:r>
          </w:p>
        </w:tc>
        <w:tc>
          <w:tcPr>
            <w:tcW w:w="2408" w:type="pct"/>
            <w:noWrap/>
            <w:hideMark/>
          </w:tcPr>
          <w:p w14:paraId="7478D2D8" w14:textId="38911730" w:rsidR="00CB034B" w:rsidRPr="008B11D3" w:rsidRDefault="00CB034B" w:rsidP="00D726F6">
            <w:pPr>
              <w:pStyle w:val="Tabletext1"/>
            </w:pPr>
            <w:r>
              <w:t xml:space="preserve">$90.48 per month for 12 months </w:t>
            </w:r>
            <w:r w:rsidR="00B727D6">
              <w:fldChar w:fldCharType="begin">
                <w:fldData xml:space="preserve">PEVuZE5vdGU+PENpdGU+PEF1dGhvcj5XaW5kZWdnZXI8L0F1dGhvcj48WWVhcj4yMDE5PC9ZZWFy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</w:fldData>
              </w:fldChar>
            </w:r>
            <w:r w:rsidR="00B727D6">
              <w:instrText xml:space="preserve"> ADDIN EN.CITE </w:instrText>
            </w:r>
            <w:r w:rsidR="00B727D6">
              <w:fldChar w:fldCharType="begin">
                <w:fldData xml:space="preserve">PEVuZE5vdGU+PENpdGU+PEF1dGhvcj5XaW5kZWdnZXI8L0F1dGhvcj48WWVhcj4yMDE5PC9ZZWFy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3" w:tooltip="Windegger, 2019 #42" w:history="1">
              <w:r w:rsidR="00D726F6">
                <w:rPr>
                  <w:noProof/>
                </w:rPr>
                <w:t>Windegger et al. 2019</w:t>
              </w:r>
            </w:hyperlink>
            <w:r w:rsidR="00B727D6">
              <w:rPr>
                <w:noProof/>
              </w:rPr>
              <w:t>)</w:t>
            </w:r>
            <w:r w:rsidR="00B727D6">
              <w:fldChar w:fldCharType="end"/>
            </w:r>
          </w:p>
        </w:tc>
      </w:tr>
      <w:tr w:rsidR="00CB034B" w:rsidRPr="008B11D3" w14:paraId="7B04CD24" w14:textId="77777777" w:rsidTr="008E718E">
        <w:trPr>
          <w:trHeight w:val="300"/>
        </w:trPr>
        <w:tc>
          <w:tcPr>
            <w:tcW w:w="1491" w:type="pct"/>
            <w:tcBorders>
              <w:bottom w:val="single" w:sz="4" w:space="0" w:color="auto"/>
            </w:tcBorders>
            <w:noWrap/>
            <w:hideMark/>
          </w:tcPr>
          <w:p w14:paraId="07776319" w14:textId="77777777" w:rsidR="00CB034B" w:rsidRPr="008B11D3" w:rsidRDefault="00CB034B" w:rsidP="008E718E">
            <w:pPr>
              <w:pStyle w:val="Tabletext1"/>
            </w:pPr>
            <w:r>
              <w:t>M</w:t>
            </w:r>
            <w:r w:rsidRPr="008B11D3">
              <w:t>onthly review and product pick up</w:t>
            </w:r>
          </w:p>
        </w:tc>
        <w:tc>
          <w:tcPr>
            <w:tcW w:w="550" w:type="pct"/>
            <w:tcBorders>
              <w:bottom w:val="single" w:sz="4" w:space="0" w:color="auto"/>
            </w:tcBorders>
          </w:tcPr>
          <w:p w14:paraId="0A217314" w14:textId="77777777" w:rsidR="00CB034B" w:rsidRPr="008B11D3" w:rsidRDefault="00CB034B" w:rsidP="008E718E">
            <w:pPr>
              <w:pStyle w:val="Tabletext1"/>
              <w:jc w:val="right"/>
            </w:pPr>
            <w:r>
              <w:t>$371</w:t>
            </w:r>
          </w:p>
        </w:tc>
        <w:tc>
          <w:tcPr>
            <w:tcW w:w="551" w:type="pct"/>
            <w:tcBorders>
              <w:bottom w:val="single" w:sz="4" w:space="0" w:color="auto"/>
            </w:tcBorders>
            <w:noWrap/>
            <w:hideMark/>
          </w:tcPr>
          <w:p w14:paraId="40487432" w14:textId="77777777" w:rsidR="00CB034B" w:rsidRPr="008B11D3" w:rsidRDefault="00CB034B" w:rsidP="008E718E">
            <w:pPr>
              <w:pStyle w:val="Tabletext1"/>
              <w:jc w:val="right"/>
            </w:pPr>
            <w:r w:rsidRPr="008B11D3">
              <w:t>$4,452</w:t>
            </w:r>
          </w:p>
        </w:tc>
        <w:tc>
          <w:tcPr>
            <w:tcW w:w="2408" w:type="pct"/>
            <w:tcBorders>
              <w:bottom w:val="single" w:sz="4" w:space="0" w:color="auto"/>
            </w:tcBorders>
          </w:tcPr>
          <w:p w14:paraId="369E8944" w14:textId="313364DB" w:rsidR="00CB034B" w:rsidRPr="008B11D3" w:rsidRDefault="00CB034B" w:rsidP="00D726F6">
            <w:pPr>
              <w:pStyle w:val="Tabletext1"/>
            </w:pPr>
            <w:r>
              <w:t>12 reviews a year (</w:t>
            </w:r>
            <w:r w:rsidRPr="008B11D3">
              <w:t>Tier 2; Clinical Nurse Specialist Interventions Classes 40.48</w:t>
            </w:r>
            <w:r>
              <w:t xml:space="preserve"> </w:t>
            </w:r>
            <w:r w:rsidR="00B727D6">
              <w:fldChar w:fldCharType="begin"/>
            </w:r>
            <w:r w:rsidR="00B727D6">
              <w:instrText xml:space="preserve"> ADDIN EN.CITE &lt;EndNote&gt;&lt;Cite&gt;&lt;Author&gt;IHPA&lt;/Author&gt;&lt;Year&gt;2021&lt;/Year&gt;&lt;RecNum&gt;1961&lt;/RecNum&gt;&lt;DisplayText&gt;(IHPA 2021)&lt;/DisplayText&gt;&lt;record&gt;&lt;rec-number&gt;1961&lt;/rec-number&gt;&lt;foreign-keys&gt;&lt;key app="EN" db-id="xtr5xfx2xf0wd7e0s2qvst2ietxxf0tpzr9v" timestamp="1615261212"&gt;1961&lt;/key&gt;&lt;/foreign-keys&gt;&lt;ref-type name="Report"&gt;27&lt;/ref-type&gt;&lt;contributors&gt;&lt;authors&gt;&lt;author&gt;IHPA,&lt;/author&gt;&lt;/authors&gt;&lt;tertiary-authors&gt;&lt;author&gt;The Independent Hospital Pricing Authority &lt;/author&gt;&lt;/tertiary-authors&gt;&lt;/contributors&gt;&lt;titles&gt;&lt;title&gt;NATIONAL HOSPITAL COST DATA COLLECTION, COST WEIGHTS FOR AR-DRG VERSION 10.0, Round 23 (2018-19), Public Sector&lt;/title&gt;&lt;/titles&gt;&lt;dates&gt;&lt;year&gt;2021&lt;/year&gt;&lt;/dates&gt;&lt;publisher&gt;The Independent Hospital Pricing Authority &lt;/publisher&gt;&lt;urls&gt;&lt;/urls&gt;&lt;/record&gt;&lt;/Cite&gt;&lt;/EndNote&gt;</w:instrText>
            </w:r>
            <w:r w:rsidR="00B727D6">
              <w:fldChar w:fldCharType="separate"/>
            </w:r>
            <w:r w:rsidR="00B727D6">
              <w:rPr>
                <w:noProof/>
              </w:rPr>
              <w:t>(</w:t>
            </w:r>
            <w:hyperlink w:anchor="_ENREF_30" w:tooltip="IHPA, 2021 #1961" w:history="1">
              <w:r w:rsidR="00D726F6">
                <w:rPr>
                  <w:noProof/>
                </w:rPr>
                <w:t>IHPA 2021</w:t>
              </w:r>
            </w:hyperlink>
            <w:r w:rsidR="00B727D6">
              <w:rPr>
                <w:noProof/>
              </w:rPr>
              <w:t>)</w:t>
            </w:r>
            <w:r w:rsidR="00B727D6">
              <w:fldChar w:fldCharType="end"/>
            </w:r>
            <w:r>
              <w:t>)</w:t>
            </w:r>
          </w:p>
        </w:tc>
      </w:tr>
      <w:tr w:rsidR="00CB034B" w:rsidRPr="008B11D3" w14:paraId="21F6E863" w14:textId="77777777" w:rsidTr="008E718E">
        <w:trPr>
          <w:trHeight w:val="300"/>
        </w:trPr>
        <w:tc>
          <w:tcPr>
            <w:tcW w:w="1491" w:type="pct"/>
            <w:tcBorders>
              <w:right w:val="nil"/>
            </w:tcBorders>
            <w:noWrap/>
            <w:hideMark/>
          </w:tcPr>
          <w:p w14:paraId="023EDD4F" w14:textId="77777777" w:rsidR="00CB034B" w:rsidRPr="008B11D3" w:rsidRDefault="00CB034B" w:rsidP="008E718E">
            <w:pPr>
              <w:pStyle w:val="Tabletext1"/>
            </w:pPr>
            <w:r w:rsidRPr="008B11D3">
              <w:t>Total administration cost</w:t>
            </w:r>
            <w:r>
              <w:t xml:space="preserve"> per year</w:t>
            </w:r>
          </w:p>
        </w:tc>
        <w:tc>
          <w:tcPr>
            <w:tcW w:w="550" w:type="pct"/>
            <w:tcBorders>
              <w:left w:val="nil"/>
            </w:tcBorders>
          </w:tcPr>
          <w:p w14:paraId="40BCE3A9" w14:textId="77777777" w:rsidR="00CB034B" w:rsidRPr="008B11D3" w:rsidRDefault="00CB034B" w:rsidP="008E718E">
            <w:pPr>
              <w:pStyle w:val="Tabletext1"/>
              <w:jc w:val="right"/>
            </w:pPr>
          </w:p>
        </w:tc>
        <w:tc>
          <w:tcPr>
            <w:tcW w:w="551" w:type="pct"/>
            <w:tcBorders>
              <w:right w:val="nil"/>
            </w:tcBorders>
            <w:noWrap/>
            <w:hideMark/>
          </w:tcPr>
          <w:p w14:paraId="29769A92" w14:textId="77777777" w:rsidR="00CB034B" w:rsidRPr="00A37266" w:rsidRDefault="00CB034B" w:rsidP="008E718E">
            <w:pPr>
              <w:pStyle w:val="Tabletext1"/>
              <w:jc w:val="right"/>
              <w:rPr>
                <w:b/>
              </w:rPr>
            </w:pPr>
            <w:r w:rsidRPr="00A37266">
              <w:rPr>
                <w:b/>
              </w:rPr>
              <w:t>$6,703</w:t>
            </w:r>
          </w:p>
        </w:tc>
        <w:tc>
          <w:tcPr>
            <w:tcW w:w="2408" w:type="pct"/>
            <w:tcBorders>
              <w:left w:val="nil"/>
            </w:tcBorders>
            <w:noWrap/>
            <w:hideMark/>
          </w:tcPr>
          <w:p w14:paraId="4614AB28" w14:textId="77777777" w:rsidR="00CB034B" w:rsidRPr="008B11D3" w:rsidRDefault="00CB034B" w:rsidP="008E718E">
            <w:pPr>
              <w:pStyle w:val="Tabletext1"/>
              <w:rPr>
                <w:rFonts w:ascii="Times New Roman" w:hAnsi="Times New Roman" w:cs="Times New Roman"/>
              </w:rPr>
            </w:pPr>
          </w:p>
        </w:tc>
      </w:tr>
    </w:tbl>
    <w:p w14:paraId="183DE30D" w14:textId="77777777" w:rsidR="00CB034B" w:rsidRDefault="00CB034B" w:rsidP="00CB034B">
      <w:pPr>
        <w:pStyle w:val="TableNotes2"/>
      </w:pPr>
      <w:r>
        <w:t>SCIg = subcutaneous immunoglobulin</w:t>
      </w:r>
    </w:p>
    <w:p w14:paraId="193C2F55" w14:textId="6C7169B2" w:rsidR="00CB034B" w:rsidRPr="002B474F" w:rsidRDefault="00CB034B" w:rsidP="00CB034B">
      <w:pPr>
        <w:pStyle w:val="TableNotes2"/>
      </w:pPr>
      <w:r>
        <w:t xml:space="preserve">Source: </w:t>
      </w:r>
      <w:r w:rsidR="00B727D6">
        <w:fldChar w:fldCharType="begin">
          <w:fldData xml:space="preserve">PEVuZE5vdGU+PENpdGU+PEF1dGhvcj5JSFBBPC9BdXRob3I+PFllYXI+MjAyMTwvWWVhcj48UmVj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==
</w:fldData>
        </w:fldChar>
      </w:r>
      <w:r w:rsidR="00B727D6">
        <w:instrText xml:space="preserve"> ADDIN EN.CITE </w:instrText>
      </w:r>
      <w:r w:rsidR="00B727D6">
        <w:fldChar w:fldCharType="begin">
          <w:fldData xml:space="preserve">PEVuZE5vdGU+PENpdGU+PEF1dGhvcj5JSFBBPC9BdXRob3I+PFllYXI+MjAyMTwvWWVhcj48UmVj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==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30" w:tooltip="IHPA, 2021 #1961" w:history="1">
        <w:r w:rsidR="00D726F6">
          <w:rPr>
            <w:noProof/>
          </w:rPr>
          <w:t>IHPA 2021</w:t>
        </w:r>
      </w:hyperlink>
      <w:r w:rsidR="00B727D6">
        <w:rPr>
          <w:noProof/>
        </w:rPr>
        <w:t xml:space="preserve">; </w:t>
      </w:r>
      <w:hyperlink w:anchor="_ENREF_83" w:tooltip="Windegger, 2019 #42" w:history="1">
        <w:r w:rsidR="00D726F6">
          <w:rPr>
            <w:noProof/>
          </w:rPr>
          <w:t>Windegger et al. 2019</w:t>
        </w:r>
      </w:hyperlink>
      <w:r w:rsidR="00B727D6">
        <w:rPr>
          <w:noProof/>
        </w:rPr>
        <w:t>)</w:t>
      </w:r>
      <w:r w:rsidR="00B727D6">
        <w:fldChar w:fldCharType="end"/>
      </w:r>
    </w:p>
    <w:p w14:paraId="34F09FE7" w14:textId="0E11D506" w:rsidR="00CB034B" w:rsidRDefault="00CB034B" w:rsidP="00CB034B">
      <w:pPr>
        <w:pStyle w:val="BodyTextSTD"/>
      </w:pPr>
      <w:r>
        <w:t>The average number of Ig treatment episodes per year has been derived from data provided by the NBA (</w:t>
      </w:r>
      <w:r>
        <w:fldChar w:fldCharType="begin"/>
      </w:r>
      <w:r>
        <w:instrText xml:space="preserve"> REF _Ref14263806 \h  \* MERGEFORMAT </w:instrText>
      </w:r>
      <w:r>
        <w:fldChar w:fldCharType="separate"/>
      </w:r>
      <w:r w:rsidR="004B3EA2">
        <w:t xml:space="preserve">Table </w:t>
      </w:r>
      <w:r w:rsidR="004B3EA2">
        <w:rPr>
          <w:noProof/>
        </w:rPr>
        <w:t>70</w:t>
      </w:r>
      <w:r>
        <w:fldChar w:fldCharType="end"/>
      </w:r>
      <w:r>
        <w:t>). It is unclear how the weekly SCIg treatment episodes are accounted for in these data (partial year 2019–20 only)</w:t>
      </w:r>
      <w:r w:rsidR="008D63A0">
        <w:t xml:space="preserve">, </w:t>
      </w:r>
      <w:r>
        <w:t>it is assumed that these data do not account for the SCIg treatment episodes. The average of data from three years is used to approximate the average number of IV</w:t>
      </w:r>
      <w:r w:rsidR="003334FD">
        <w:t>Ig</w:t>
      </w:r>
      <w:r>
        <w:t xml:space="preserve"> infusions per year (13.89) to estimate the additional cost associated with IVIg administration. </w:t>
      </w:r>
    </w:p>
    <w:p w14:paraId="0E333A76" w14:textId="3F90DC23" w:rsidR="00CB034B" w:rsidRDefault="00CB034B" w:rsidP="00CB034B">
      <w:pPr>
        <w:pStyle w:val="Caption"/>
      </w:pPr>
      <w:bookmarkStart w:id="457" w:name="_Ref14263806"/>
      <w:bookmarkStart w:id="458" w:name="_Toc14348904"/>
      <w:bookmarkStart w:id="459" w:name="_Toc14429610"/>
      <w:bookmarkStart w:id="460" w:name="_Toc16671668"/>
      <w:bookmarkStart w:id="461" w:name="_Toc69305711"/>
      <w:r>
        <w:t xml:space="preserve">Table </w:t>
      </w:r>
      <w:r>
        <w:rPr>
          <w:noProof/>
        </w:rPr>
        <w:fldChar w:fldCharType="begin"/>
      </w:r>
      <w:r>
        <w:rPr>
          <w:noProof/>
        </w:rPr>
        <w:instrText xml:space="preserve"> SEQ Table \* ARABIC </w:instrText>
      </w:r>
      <w:r>
        <w:rPr>
          <w:noProof/>
        </w:rPr>
        <w:fldChar w:fldCharType="separate"/>
      </w:r>
      <w:r w:rsidR="004B3EA2">
        <w:rPr>
          <w:noProof/>
        </w:rPr>
        <w:t>70</w:t>
      </w:r>
      <w:r>
        <w:rPr>
          <w:noProof/>
        </w:rPr>
        <w:fldChar w:fldCharType="end"/>
      </w:r>
      <w:bookmarkEnd w:id="457"/>
      <w:r>
        <w:tab/>
        <w:t>Average number of treatment episodes per year</w:t>
      </w:r>
      <w:bookmarkEnd w:id="458"/>
      <w:bookmarkEnd w:id="459"/>
      <w:bookmarkEnd w:id="460"/>
      <w:bookmarkEnd w:id="461"/>
    </w:p>
    <w:tbl>
      <w:tblPr>
        <w:tblStyle w:val="TableGrid1"/>
        <w:tblW w:w="5000" w:type="pct"/>
        <w:tblLook w:val="04A0" w:firstRow="1" w:lastRow="0" w:firstColumn="1" w:lastColumn="0" w:noHBand="0" w:noVBand="1"/>
        <w:tblCaption w:val="Average number of treatment episodes per year"/>
        <w:tblDescription w:val="Average number of treatment episodes per year"/>
      </w:tblPr>
      <w:tblGrid>
        <w:gridCol w:w="3397"/>
        <w:gridCol w:w="5619"/>
      </w:tblGrid>
      <w:tr w:rsidR="00CB034B" w:rsidRPr="004F159E" w14:paraId="1BC9B095" w14:textId="77777777" w:rsidTr="008E718E">
        <w:trPr>
          <w:cnfStyle w:val="100000000000" w:firstRow="1" w:lastRow="0" w:firstColumn="0" w:lastColumn="0" w:oddVBand="0" w:evenVBand="0" w:oddHBand="0" w:evenHBand="0" w:firstRowFirstColumn="0" w:firstRowLastColumn="0" w:lastRowFirstColumn="0" w:lastRowLastColumn="0"/>
          <w:cantSplit/>
          <w:trHeight w:val="300"/>
          <w:tblHeader/>
        </w:trPr>
        <w:tc>
          <w:tcPr>
            <w:tcW w:w="1884" w:type="pct"/>
          </w:tcPr>
          <w:p w14:paraId="5E5676AA" w14:textId="77777777" w:rsidR="00CB034B" w:rsidRPr="004F159E" w:rsidRDefault="00CB034B" w:rsidP="008E718E">
            <w:pPr>
              <w:pStyle w:val="TableHeading"/>
            </w:pPr>
          </w:p>
        </w:tc>
        <w:tc>
          <w:tcPr>
            <w:tcW w:w="3116" w:type="pct"/>
          </w:tcPr>
          <w:p w14:paraId="361341A2" w14:textId="77777777" w:rsidR="00CB034B" w:rsidRPr="004F159E" w:rsidRDefault="00CB034B" w:rsidP="008E718E">
            <w:pPr>
              <w:pStyle w:val="TableHeading"/>
              <w:jc w:val="center"/>
            </w:pPr>
            <w:r>
              <w:t>Average number of treatment episodes per year</w:t>
            </w:r>
          </w:p>
        </w:tc>
      </w:tr>
      <w:tr w:rsidR="00CB034B" w:rsidRPr="004F159E" w14:paraId="61086492" w14:textId="77777777" w:rsidTr="008E718E">
        <w:trPr>
          <w:cantSplit/>
          <w:trHeight w:val="300"/>
        </w:trPr>
        <w:tc>
          <w:tcPr>
            <w:tcW w:w="1884" w:type="pct"/>
          </w:tcPr>
          <w:p w14:paraId="2387F79B" w14:textId="77777777" w:rsidR="00CB034B" w:rsidRPr="004F159E" w:rsidRDefault="00CB034B" w:rsidP="008E718E">
            <w:pPr>
              <w:pStyle w:val="Tabletext1"/>
              <w:rPr>
                <w:rFonts w:cs="Calibri"/>
                <w:color w:val="000000"/>
              </w:rPr>
            </w:pPr>
            <w:r>
              <w:rPr>
                <w:rFonts w:cs="Calibri"/>
                <w:color w:val="000000"/>
              </w:rPr>
              <w:t>2017–18</w:t>
            </w:r>
          </w:p>
        </w:tc>
        <w:tc>
          <w:tcPr>
            <w:tcW w:w="3116" w:type="pct"/>
          </w:tcPr>
          <w:p w14:paraId="3232C6FB" w14:textId="77777777" w:rsidR="00CB034B" w:rsidRPr="005A2A6A" w:rsidRDefault="00CB034B" w:rsidP="008E718E">
            <w:pPr>
              <w:pStyle w:val="Tabletext1"/>
              <w:jc w:val="center"/>
            </w:pPr>
            <w:r>
              <w:t>13.22</w:t>
            </w:r>
          </w:p>
        </w:tc>
      </w:tr>
      <w:tr w:rsidR="00CB034B" w:rsidRPr="004F159E" w14:paraId="426C0380" w14:textId="77777777" w:rsidTr="008E718E">
        <w:trPr>
          <w:cantSplit/>
          <w:trHeight w:val="300"/>
        </w:trPr>
        <w:tc>
          <w:tcPr>
            <w:tcW w:w="1884" w:type="pct"/>
          </w:tcPr>
          <w:p w14:paraId="1A0729A1" w14:textId="77777777" w:rsidR="00CB034B" w:rsidRPr="004F159E" w:rsidRDefault="00CB034B" w:rsidP="008E718E">
            <w:pPr>
              <w:pStyle w:val="Tabletext1"/>
              <w:rPr>
                <w:rFonts w:cs="Calibri"/>
                <w:color w:val="000000"/>
              </w:rPr>
            </w:pPr>
            <w:r>
              <w:rPr>
                <w:rFonts w:cs="Calibri"/>
                <w:color w:val="000000"/>
              </w:rPr>
              <w:t>2018–19</w:t>
            </w:r>
          </w:p>
        </w:tc>
        <w:tc>
          <w:tcPr>
            <w:tcW w:w="3116" w:type="pct"/>
          </w:tcPr>
          <w:p w14:paraId="1FD4D13E" w14:textId="77777777" w:rsidR="00CB034B" w:rsidRPr="005A2A6A" w:rsidRDefault="00CB034B" w:rsidP="008E718E">
            <w:pPr>
              <w:pStyle w:val="Tabletext1"/>
              <w:jc w:val="center"/>
            </w:pPr>
            <w:r>
              <w:t>13.79</w:t>
            </w:r>
          </w:p>
        </w:tc>
      </w:tr>
      <w:tr w:rsidR="00CB034B" w:rsidRPr="004F159E" w14:paraId="595B44E7" w14:textId="77777777" w:rsidTr="008E718E">
        <w:trPr>
          <w:cantSplit/>
          <w:trHeight w:val="300"/>
        </w:trPr>
        <w:tc>
          <w:tcPr>
            <w:tcW w:w="1884" w:type="pct"/>
          </w:tcPr>
          <w:p w14:paraId="44CF2662" w14:textId="77777777" w:rsidR="00CB034B" w:rsidRPr="004F159E" w:rsidRDefault="00CB034B" w:rsidP="008E718E">
            <w:pPr>
              <w:pStyle w:val="Tabletext1"/>
              <w:rPr>
                <w:rFonts w:cs="Calibri"/>
                <w:color w:val="000000"/>
              </w:rPr>
            </w:pPr>
            <w:r>
              <w:rPr>
                <w:rFonts w:cs="Calibri"/>
                <w:color w:val="000000"/>
              </w:rPr>
              <w:t>2019–20</w:t>
            </w:r>
          </w:p>
        </w:tc>
        <w:tc>
          <w:tcPr>
            <w:tcW w:w="3116" w:type="pct"/>
          </w:tcPr>
          <w:p w14:paraId="5A00521F" w14:textId="77777777" w:rsidR="00CB034B" w:rsidRPr="005A2A6A" w:rsidRDefault="00CB034B" w:rsidP="008E718E">
            <w:pPr>
              <w:pStyle w:val="Tabletext1"/>
              <w:jc w:val="center"/>
            </w:pPr>
            <w:r>
              <w:t>14.64</w:t>
            </w:r>
          </w:p>
        </w:tc>
      </w:tr>
      <w:tr w:rsidR="00CB034B" w:rsidRPr="004F159E" w14:paraId="25CE6DC1" w14:textId="77777777" w:rsidTr="008E718E">
        <w:trPr>
          <w:cantSplit/>
          <w:trHeight w:val="300"/>
        </w:trPr>
        <w:tc>
          <w:tcPr>
            <w:tcW w:w="1884" w:type="pct"/>
          </w:tcPr>
          <w:p w14:paraId="1D6F435D" w14:textId="77777777" w:rsidR="00CB034B" w:rsidRDefault="00CB034B" w:rsidP="008E718E">
            <w:pPr>
              <w:pStyle w:val="Tabletext1"/>
              <w:rPr>
                <w:rFonts w:cs="Calibri"/>
                <w:color w:val="000000"/>
              </w:rPr>
            </w:pPr>
            <w:r>
              <w:rPr>
                <w:rFonts w:cs="Calibri"/>
                <w:color w:val="000000"/>
              </w:rPr>
              <w:t>Average</w:t>
            </w:r>
          </w:p>
        </w:tc>
        <w:tc>
          <w:tcPr>
            <w:tcW w:w="3116" w:type="pct"/>
          </w:tcPr>
          <w:p w14:paraId="5077FA69" w14:textId="77777777" w:rsidR="00CB034B" w:rsidRPr="00BE4D57" w:rsidRDefault="00CB034B" w:rsidP="008E718E">
            <w:pPr>
              <w:pStyle w:val="Tabletext1"/>
              <w:jc w:val="center"/>
              <w:rPr>
                <w:b/>
              </w:rPr>
            </w:pPr>
            <w:r w:rsidRPr="00BE4D57">
              <w:rPr>
                <w:b/>
              </w:rPr>
              <w:t>13.89</w:t>
            </w:r>
          </w:p>
        </w:tc>
      </w:tr>
    </w:tbl>
    <w:p w14:paraId="7B555642" w14:textId="77777777" w:rsidR="00CB034B" w:rsidRDefault="00CB034B" w:rsidP="00CB034B">
      <w:pPr>
        <w:pStyle w:val="Tablenotes0"/>
        <w:rPr>
          <w:vertAlign w:val="superscript"/>
        </w:rPr>
      </w:pPr>
      <w:r>
        <w:t>CIDP</w:t>
      </w:r>
      <w:r w:rsidRPr="00E07567">
        <w:t xml:space="preserve"> = </w:t>
      </w:r>
      <w:r>
        <w:t xml:space="preserve">chronic </w:t>
      </w:r>
      <w:r w:rsidRPr="004320AE">
        <w:t>inflammatory demyelinating polyneuropathy</w:t>
      </w:r>
      <w:r>
        <w:t>; Ig =immunoglobulin</w:t>
      </w:r>
      <w:r w:rsidRPr="00E07567">
        <w:rPr>
          <w:vertAlign w:val="superscript"/>
        </w:rPr>
        <w:t xml:space="preserve"> </w:t>
      </w:r>
    </w:p>
    <w:p w14:paraId="13DB1751" w14:textId="77777777" w:rsidR="00CB034B" w:rsidRPr="00BB70DD" w:rsidRDefault="00CB034B" w:rsidP="00CB034B">
      <w:pPr>
        <w:pStyle w:val="Tablenotes0"/>
        <w:rPr>
          <w:vertAlign w:val="superscript"/>
        </w:rPr>
      </w:pPr>
      <w:r>
        <w:t>Source: ‘NBA Ig use’ worksheet in ‘MSAC 1564.1 Financials.xlsx’ workbook.</w:t>
      </w:r>
    </w:p>
    <w:p w14:paraId="571A4349" w14:textId="57468F59" w:rsidR="00CB034B" w:rsidRDefault="00CB034B" w:rsidP="00CB034B">
      <w:pPr>
        <w:pStyle w:val="BodyTextSTD"/>
      </w:pPr>
      <w:r w:rsidRPr="00E07567">
        <w:t>The additional healthcare costs associated with IVIg administration are estimated in</w:t>
      </w:r>
      <w:r>
        <w:t xml:space="preserve"> </w:t>
      </w:r>
      <w:r>
        <w:fldChar w:fldCharType="begin"/>
      </w:r>
      <w:r>
        <w:instrText xml:space="preserve"> REF _Ref67304344 \h </w:instrText>
      </w:r>
      <w:r>
        <w:fldChar w:fldCharType="separate"/>
      </w:r>
      <w:r w:rsidR="004B3EA2">
        <w:t xml:space="preserve">Table </w:t>
      </w:r>
      <w:r w:rsidR="004B3EA2">
        <w:rPr>
          <w:noProof/>
        </w:rPr>
        <w:t>71</w:t>
      </w:r>
      <w:r>
        <w:fldChar w:fldCharType="end"/>
      </w:r>
      <w:r>
        <w:t>.</w:t>
      </w:r>
      <w:r w:rsidRPr="00E9785C">
        <w:t xml:space="preserve"> </w:t>
      </w:r>
      <w:r>
        <w:t>The estimated additional costs due to administration increase from $27.8 million in 2021-22 to $28.8 million in 2025-26. Administration costs are all assumed to be incurred by the States</w:t>
      </w:r>
      <w:r w:rsidR="0032482D">
        <w:t xml:space="preserve"> and </w:t>
      </w:r>
      <w:r w:rsidR="007763A2">
        <w:t>Territories</w:t>
      </w:r>
      <w:r>
        <w:t>.</w:t>
      </w:r>
    </w:p>
    <w:p w14:paraId="25941E97" w14:textId="27EEEEA7" w:rsidR="00CB034B" w:rsidRDefault="00CB034B" w:rsidP="00CB034B">
      <w:pPr>
        <w:pStyle w:val="Caption"/>
      </w:pPr>
      <w:bookmarkStart w:id="462" w:name="_Ref67304344"/>
      <w:bookmarkStart w:id="463" w:name="_Toc14348905"/>
      <w:bookmarkStart w:id="464" w:name="_Toc14429611"/>
      <w:bookmarkStart w:id="465" w:name="_Toc16671669"/>
      <w:bookmarkStart w:id="466" w:name="_Toc69305712"/>
      <w:r>
        <w:t xml:space="preserve">Table </w:t>
      </w:r>
      <w:r>
        <w:rPr>
          <w:noProof/>
        </w:rPr>
        <w:fldChar w:fldCharType="begin"/>
      </w:r>
      <w:r>
        <w:rPr>
          <w:noProof/>
        </w:rPr>
        <w:instrText xml:space="preserve"> SEQ Table \* ARABIC </w:instrText>
      </w:r>
      <w:r>
        <w:rPr>
          <w:noProof/>
        </w:rPr>
        <w:fldChar w:fldCharType="separate"/>
      </w:r>
      <w:r w:rsidR="004B3EA2">
        <w:rPr>
          <w:noProof/>
        </w:rPr>
        <w:t>71</w:t>
      </w:r>
      <w:r>
        <w:rPr>
          <w:noProof/>
        </w:rPr>
        <w:fldChar w:fldCharType="end"/>
      </w:r>
      <w:bookmarkEnd w:id="462"/>
      <w:r>
        <w:tab/>
        <w:t>Additional costs due to Ig administration</w:t>
      </w:r>
      <w:bookmarkEnd w:id="463"/>
      <w:bookmarkEnd w:id="464"/>
      <w:bookmarkEnd w:id="465"/>
      <w:bookmarkEnd w:id="466"/>
    </w:p>
    <w:tbl>
      <w:tblPr>
        <w:tblStyle w:val="TableGrid1"/>
        <w:tblW w:w="5000" w:type="pct"/>
        <w:tblLayout w:type="fixed"/>
        <w:tblLook w:val="04A0" w:firstRow="1" w:lastRow="0" w:firstColumn="1" w:lastColumn="0" w:noHBand="0" w:noVBand="1"/>
        <w:tblCaption w:val="Additional costs due to Ig administration"/>
        <w:tblDescription w:val="Additional costs due to Ig administration"/>
      </w:tblPr>
      <w:tblGrid>
        <w:gridCol w:w="2829"/>
        <w:gridCol w:w="1237"/>
        <w:gridCol w:w="1237"/>
        <w:gridCol w:w="1237"/>
        <w:gridCol w:w="1237"/>
        <w:gridCol w:w="1239"/>
      </w:tblGrid>
      <w:tr w:rsidR="00CB034B" w:rsidRPr="002C55F2" w14:paraId="39705FBF" w14:textId="77777777" w:rsidTr="006A47E1">
        <w:trPr>
          <w:cnfStyle w:val="100000000000" w:firstRow="1" w:lastRow="0" w:firstColumn="0" w:lastColumn="0" w:oddVBand="0" w:evenVBand="0" w:oddHBand="0" w:evenHBand="0" w:firstRowFirstColumn="0" w:firstRowLastColumn="0" w:lastRowFirstColumn="0" w:lastRowLastColumn="0"/>
          <w:trHeight w:val="300"/>
          <w:tblHeader/>
        </w:trPr>
        <w:tc>
          <w:tcPr>
            <w:tcW w:w="1569" w:type="pct"/>
            <w:noWrap/>
          </w:tcPr>
          <w:p w14:paraId="3E663CE1" w14:textId="77777777" w:rsidR="00CB034B" w:rsidRPr="002C55F2" w:rsidRDefault="00CB034B" w:rsidP="008E718E">
            <w:pPr>
              <w:pStyle w:val="TableHeading"/>
            </w:pPr>
          </w:p>
        </w:tc>
        <w:tc>
          <w:tcPr>
            <w:tcW w:w="686" w:type="pct"/>
            <w:noWrap/>
          </w:tcPr>
          <w:p w14:paraId="733A5C27" w14:textId="77777777" w:rsidR="00CB034B" w:rsidRPr="002C55F2" w:rsidRDefault="00CB034B" w:rsidP="008E718E">
            <w:pPr>
              <w:pStyle w:val="TableHeading"/>
            </w:pPr>
            <w:r w:rsidRPr="0092127F">
              <w:t>2021–22</w:t>
            </w:r>
          </w:p>
        </w:tc>
        <w:tc>
          <w:tcPr>
            <w:tcW w:w="686" w:type="pct"/>
            <w:noWrap/>
          </w:tcPr>
          <w:p w14:paraId="20EE2AE6" w14:textId="77777777" w:rsidR="00CB034B" w:rsidRPr="002C55F2" w:rsidRDefault="00CB034B" w:rsidP="008E718E">
            <w:pPr>
              <w:pStyle w:val="TableHeading"/>
            </w:pPr>
            <w:r w:rsidRPr="0092127F">
              <w:t>2022–23</w:t>
            </w:r>
          </w:p>
        </w:tc>
        <w:tc>
          <w:tcPr>
            <w:tcW w:w="686" w:type="pct"/>
            <w:noWrap/>
          </w:tcPr>
          <w:p w14:paraId="6BF06E3A" w14:textId="77777777" w:rsidR="00CB034B" w:rsidRPr="002C55F2" w:rsidRDefault="00CB034B" w:rsidP="008E718E">
            <w:pPr>
              <w:pStyle w:val="TableHeading"/>
              <w:rPr>
                <w:rFonts w:ascii="Times New Roman" w:hAnsi="Times New Roman" w:cs="Times New Roman"/>
              </w:rPr>
            </w:pPr>
            <w:r w:rsidRPr="0092127F">
              <w:t>2023–24</w:t>
            </w:r>
          </w:p>
        </w:tc>
        <w:tc>
          <w:tcPr>
            <w:tcW w:w="686" w:type="pct"/>
            <w:noWrap/>
          </w:tcPr>
          <w:p w14:paraId="01C19B83" w14:textId="77777777" w:rsidR="00CB034B" w:rsidRPr="002C55F2" w:rsidRDefault="00CB034B" w:rsidP="008E718E">
            <w:pPr>
              <w:pStyle w:val="TableHeading"/>
              <w:rPr>
                <w:rFonts w:ascii="Times New Roman" w:hAnsi="Times New Roman" w:cs="Times New Roman"/>
              </w:rPr>
            </w:pPr>
            <w:r w:rsidRPr="0092127F">
              <w:t>2024–25</w:t>
            </w:r>
          </w:p>
        </w:tc>
        <w:tc>
          <w:tcPr>
            <w:tcW w:w="687" w:type="pct"/>
            <w:noWrap/>
          </w:tcPr>
          <w:p w14:paraId="7B77AE8D" w14:textId="77777777" w:rsidR="00CB034B" w:rsidRPr="002C55F2" w:rsidRDefault="00CB034B" w:rsidP="008E718E">
            <w:pPr>
              <w:pStyle w:val="TableHeading"/>
              <w:rPr>
                <w:rFonts w:ascii="Times New Roman" w:hAnsi="Times New Roman" w:cs="Times New Roman"/>
              </w:rPr>
            </w:pPr>
            <w:r w:rsidRPr="0092127F">
              <w:t>2025–26</w:t>
            </w:r>
          </w:p>
        </w:tc>
      </w:tr>
      <w:tr w:rsidR="00CB034B" w:rsidRPr="002C55F2" w14:paraId="63F4DA09" w14:textId="77777777" w:rsidTr="006A47E1">
        <w:trPr>
          <w:trHeight w:val="300"/>
        </w:trPr>
        <w:tc>
          <w:tcPr>
            <w:tcW w:w="1569" w:type="pct"/>
            <w:tcBorders>
              <w:bottom w:val="single" w:sz="4" w:space="0" w:color="auto"/>
            </w:tcBorders>
            <w:noWrap/>
          </w:tcPr>
          <w:p w14:paraId="2715EAFE" w14:textId="1BB9A601" w:rsidR="00CB034B" w:rsidRPr="00844B1A" w:rsidRDefault="00CB034B" w:rsidP="008E718E">
            <w:pPr>
              <w:pStyle w:val="Tabletext1"/>
            </w:pPr>
            <w:r w:rsidRPr="0092127F">
              <w:rPr>
                <w:color w:val="000000"/>
              </w:rPr>
              <w:t>Total number of patients</w:t>
            </w:r>
            <w:r>
              <w:rPr>
                <w:color w:val="000000"/>
              </w:rPr>
              <w:t xml:space="preserve"> expected to use Ig (</w:t>
            </w:r>
            <w:r>
              <w:rPr>
                <w:color w:val="000000"/>
              </w:rPr>
              <w:fldChar w:fldCharType="begin"/>
            </w:r>
            <w:r>
              <w:rPr>
                <w:color w:val="000000"/>
              </w:rPr>
              <w:instrText xml:space="preserve"> REF _Ref10797587 \h </w:instrText>
            </w:r>
            <w:r w:rsidR="0059308D">
              <w:rPr>
                <w:color w:val="000000"/>
              </w:rPr>
              <w:instrText xml:space="preserve"> \* MERGEFORMAT </w:instrText>
            </w:r>
            <w:r>
              <w:rPr>
                <w:color w:val="000000"/>
              </w:rPr>
            </w:r>
            <w:r>
              <w:rPr>
                <w:color w:val="000000"/>
              </w:rPr>
              <w:fldChar w:fldCharType="separate"/>
            </w:r>
            <w:r w:rsidR="004B3EA2" w:rsidRPr="00E07567">
              <w:t xml:space="preserve">Table </w:t>
            </w:r>
            <w:r w:rsidR="004B3EA2">
              <w:rPr>
                <w:noProof/>
              </w:rPr>
              <w:t>65</w:t>
            </w:r>
            <w:r>
              <w:rPr>
                <w:color w:val="000000"/>
              </w:rPr>
              <w:fldChar w:fldCharType="end"/>
            </w:r>
            <w:r>
              <w:rPr>
                <w:color w:val="000000"/>
              </w:rPr>
              <w:t>)</w:t>
            </w:r>
          </w:p>
        </w:tc>
        <w:tc>
          <w:tcPr>
            <w:tcW w:w="686" w:type="pct"/>
            <w:tcBorders>
              <w:bottom w:val="single" w:sz="4" w:space="0" w:color="auto"/>
            </w:tcBorders>
            <w:noWrap/>
          </w:tcPr>
          <w:p w14:paraId="0EE4EC7E" w14:textId="77777777" w:rsidR="00CB034B" w:rsidRPr="00844B1A" w:rsidRDefault="00CB034B" w:rsidP="0059308D">
            <w:pPr>
              <w:pStyle w:val="Tabletext1"/>
              <w:jc w:val="right"/>
            </w:pPr>
            <w:r w:rsidRPr="008448D7">
              <w:t>2,934</w:t>
            </w:r>
          </w:p>
        </w:tc>
        <w:tc>
          <w:tcPr>
            <w:tcW w:w="686" w:type="pct"/>
            <w:tcBorders>
              <w:bottom w:val="single" w:sz="4" w:space="0" w:color="auto"/>
            </w:tcBorders>
            <w:noWrap/>
          </w:tcPr>
          <w:p w14:paraId="7F51458F" w14:textId="77777777" w:rsidR="00CB034B" w:rsidRPr="00844B1A" w:rsidRDefault="00CB034B" w:rsidP="0059308D">
            <w:pPr>
              <w:pStyle w:val="Tabletext1"/>
              <w:jc w:val="right"/>
            </w:pPr>
            <w:r w:rsidRPr="008448D7">
              <w:t>3,003</w:t>
            </w:r>
          </w:p>
        </w:tc>
        <w:tc>
          <w:tcPr>
            <w:tcW w:w="686" w:type="pct"/>
            <w:tcBorders>
              <w:bottom w:val="single" w:sz="4" w:space="0" w:color="auto"/>
            </w:tcBorders>
            <w:noWrap/>
          </w:tcPr>
          <w:p w14:paraId="6BE66A18" w14:textId="77777777" w:rsidR="00CB034B" w:rsidRPr="00844B1A" w:rsidRDefault="00CB034B" w:rsidP="0059308D">
            <w:pPr>
              <w:pStyle w:val="Tabletext1"/>
              <w:jc w:val="right"/>
            </w:pPr>
            <w:r w:rsidRPr="008448D7">
              <w:t>3,059</w:t>
            </w:r>
          </w:p>
        </w:tc>
        <w:tc>
          <w:tcPr>
            <w:tcW w:w="686" w:type="pct"/>
            <w:tcBorders>
              <w:bottom w:val="single" w:sz="4" w:space="0" w:color="auto"/>
            </w:tcBorders>
            <w:noWrap/>
          </w:tcPr>
          <w:p w14:paraId="01811156" w14:textId="77777777" w:rsidR="00CB034B" w:rsidRPr="00844B1A" w:rsidRDefault="00CB034B" w:rsidP="0059308D">
            <w:pPr>
              <w:pStyle w:val="Tabletext1"/>
              <w:jc w:val="right"/>
            </w:pPr>
            <w:r w:rsidRPr="008448D7">
              <w:t>3,102</w:t>
            </w:r>
          </w:p>
        </w:tc>
        <w:tc>
          <w:tcPr>
            <w:tcW w:w="687" w:type="pct"/>
            <w:tcBorders>
              <w:bottom w:val="single" w:sz="4" w:space="0" w:color="auto"/>
            </w:tcBorders>
            <w:noWrap/>
          </w:tcPr>
          <w:p w14:paraId="4F82B209" w14:textId="77777777" w:rsidR="00CB034B" w:rsidRPr="00844B1A" w:rsidRDefault="00CB034B" w:rsidP="0059308D">
            <w:pPr>
              <w:pStyle w:val="Tabletext1"/>
              <w:jc w:val="right"/>
            </w:pPr>
            <w:r w:rsidRPr="008448D7">
              <w:t>3,133</w:t>
            </w:r>
          </w:p>
        </w:tc>
      </w:tr>
      <w:tr w:rsidR="00CB034B" w:rsidRPr="002C55F2" w14:paraId="312BDA4E" w14:textId="77777777" w:rsidTr="006A47E1">
        <w:trPr>
          <w:trHeight w:val="300"/>
        </w:trPr>
        <w:tc>
          <w:tcPr>
            <w:tcW w:w="1569" w:type="pct"/>
            <w:tcBorders>
              <w:right w:val="nil"/>
            </w:tcBorders>
            <w:noWrap/>
            <w:vAlign w:val="center"/>
          </w:tcPr>
          <w:p w14:paraId="435D7D9C" w14:textId="77777777" w:rsidR="00CB034B" w:rsidRPr="0059308D" w:rsidRDefault="00CB034B" w:rsidP="008E718E">
            <w:pPr>
              <w:pStyle w:val="Tabletext1"/>
              <w:rPr>
                <w:b/>
                <w:color w:val="000000"/>
              </w:rPr>
            </w:pPr>
            <w:r w:rsidRPr="0059308D">
              <w:rPr>
                <w:b/>
                <w:color w:val="000000"/>
              </w:rPr>
              <w:t>SCIg</w:t>
            </w:r>
          </w:p>
        </w:tc>
        <w:tc>
          <w:tcPr>
            <w:tcW w:w="686" w:type="pct"/>
            <w:tcBorders>
              <w:left w:val="nil"/>
              <w:right w:val="nil"/>
            </w:tcBorders>
            <w:noWrap/>
          </w:tcPr>
          <w:p w14:paraId="74A8AA8D" w14:textId="77777777" w:rsidR="00CB034B" w:rsidRPr="008448D7" w:rsidRDefault="00CB034B" w:rsidP="008E718E">
            <w:pPr>
              <w:pStyle w:val="Tabletext1"/>
            </w:pPr>
          </w:p>
        </w:tc>
        <w:tc>
          <w:tcPr>
            <w:tcW w:w="686" w:type="pct"/>
            <w:tcBorders>
              <w:left w:val="nil"/>
              <w:right w:val="nil"/>
            </w:tcBorders>
            <w:noWrap/>
          </w:tcPr>
          <w:p w14:paraId="05A3DE1C" w14:textId="77777777" w:rsidR="00CB034B" w:rsidRPr="008448D7" w:rsidRDefault="00CB034B" w:rsidP="008E718E">
            <w:pPr>
              <w:pStyle w:val="Tabletext1"/>
            </w:pPr>
          </w:p>
        </w:tc>
        <w:tc>
          <w:tcPr>
            <w:tcW w:w="686" w:type="pct"/>
            <w:tcBorders>
              <w:left w:val="nil"/>
              <w:right w:val="nil"/>
            </w:tcBorders>
            <w:noWrap/>
          </w:tcPr>
          <w:p w14:paraId="7A8C8773" w14:textId="77777777" w:rsidR="00CB034B" w:rsidRPr="008448D7" w:rsidRDefault="00CB034B" w:rsidP="008E718E">
            <w:pPr>
              <w:pStyle w:val="Tabletext1"/>
            </w:pPr>
          </w:p>
        </w:tc>
        <w:tc>
          <w:tcPr>
            <w:tcW w:w="686" w:type="pct"/>
            <w:tcBorders>
              <w:left w:val="nil"/>
              <w:right w:val="nil"/>
            </w:tcBorders>
            <w:noWrap/>
          </w:tcPr>
          <w:p w14:paraId="7C353837" w14:textId="77777777" w:rsidR="00CB034B" w:rsidRPr="008448D7" w:rsidRDefault="00CB034B" w:rsidP="008E718E">
            <w:pPr>
              <w:pStyle w:val="Tabletext1"/>
            </w:pPr>
          </w:p>
        </w:tc>
        <w:tc>
          <w:tcPr>
            <w:tcW w:w="687" w:type="pct"/>
            <w:tcBorders>
              <w:left w:val="nil"/>
            </w:tcBorders>
            <w:noWrap/>
          </w:tcPr>
          <w:p w14:paraId="20BA967C" w14:textId="77777777" w:rsidR="00CB034B" w:rsidRPr="008448D7" w:rsidRDefault="00CB034B" w:rsidP="008E718E">
            <w:pPr>
              <w:pStyle w:val="Tabletext1"/>
            </w:pPr>
          </w:p>
        </w:tc>
      </w:tr>
      <w:tr w:rsidR="00CB034B" w:rsidRPr="002C55F2" w14:paraId="0C95FB78" w14:textId="77777777" w:rsidTr="006A47E1">
        <w:trPr>
          <w:trHeight w:val="300"/>
        </w:trPr>
        <w:tc>
          <w:tcPr>
            <w:tcW w:w="1569" w:type="pct"/>
            <w:noWrap/>
            <w:hideMark/>
          </w:tcPr>
          <w:p w14:paraId="7A62B235" w14:textId="5305FFE7" w:rsidR="00CB034B" w:rsidRPr="006A47E1" w:rsidRDefault="00CB034B" w:rsidP="003334FD">
            <w:pPr>
              <w:pStyle w:val="Tabletext1"/>
              <w:rPr>
                <w:vertAlign w:val="superscript"/>
              </w:rPr>
            </w:pPr>
            <w:r>
              <w:t>Number of patients switching to SCIg (5–15%)</w:t>
            </w:r>
            <w:r w:rsidR="003334FD">
              <w:t xml:space="preserve"> </w:t>
            </w:r>
            <w:r w:rsidR="003334FD">
              <w:rPr>
                <w:vertAlign w:val="superscript"/>
              </w:rPr>
              <w:t>a</w:t>
            </w:r>
          </w:p>
        </w:tc>
        <w:tc>
          <w:tcPr>
            <w:tcW w:w="686" w:type="pct"/>
            <w:noWrap/>
          </w:tcPr>
          <w:p w14:paraId="375B8D38" w14:textId="77777777" w:rsidR="00CB034B" w:rsidRPr="002C55F2" w:rsidRDefault="00CB034B" w:rsidP="008E718E">
            <w:pPr>
              <w:pStyle w:val="Tabletext1"/>
              <w:jc w:val="right"/>
            </w:pPr>
            <w:r w:rsidRPr="00B1474D">
              <w:t>147</w:t>
            </w:r>
          </w:p>
        </w:tc>
        <w:tc>
          <w:tcPr>
            <w:tcW w:w="686" w:type="pct"/>
            <w:noWrap/>
          </w:tcPr>
          <w:p w14:paraId="4E4581D2" w14:textId="77777777" w:rsidR="00CB034B" w:rsidRPr="002C55F2" w:rsidRDefault="00CB034B" w:rsidP="008E718E">
            <w:pPr>
              <w:pStyle w:val="Tabletext1"/>
              <w:jc w:val="right"/>
            </w:pPr>
            <w:r w:rsidRPr="00B1474D">
              <w:t>225</w:t>
            </w:r>
          </w:p>
        </w:tc>
        <w:tc>
          <w:tcPr>
            <w:tcW w:w="686" w:type="pct"/>
            <w:noWrap/>
          </w:tcPr>
          <w:p w14:paraId="5B924561" w14:textId="77777777" w:rsidR="00CB034B" w:rsidRPr="002C55F2" w:rsidRDefault="00CB034B" w:rsidP="008E718E">
            <w:pPr>
              <w:pStyle w:val="Tabletext1"/>
              <w:jc w:val="right"/>
            </w:pPr>
            <w:r w:rsidRPr="00B1474D">
              <w:t>306</w:t>
            </w:r>
          </w:p>
        </w:tc>
        <w:tc>
          <w:tcPr>
            <w:tcW w:w="686" w:type="pct"/>
            <w:noWrap/>
          </w:tcPr>
          <w:p w14:paraId="157C9041" w14:textId="77777777" w:rsidR="00CB034B" w:rsidRPr="002C55F2" w:rsidRDefault="00CB034B" w:rsidP="008E718E">
            <w:pPr>
              <w:pStyle w:val="Tabletext1"/>
              <w:jc w:val="right"/>
            </w:pPr>
            <w:r w:rsidRPr="00B1474D">
              <w:t>388</w:t>
            </w:r>
          </w:p>
        </w:tc>
        <w:tc>
          <w:tcPr>
            <w:tcW w:w="687" w:type="pct"/>
            <w:noWrap/>
          </w:tcPr>
          <w:p w14:paraId="66B6C44F" w14:textId="77777777" w:rsidR="00CB034B" w:rsidRPr="002C55F2" w:rsidRDefault="00CB034B" w:rsidP="008E718E">
            <w:pPr>
              <w:pStyle w:val="Tabletext1"/>
              <w:jc w:val="right"/>
            </w:pPr>
            <w:r w:rsidRPr="00B1474D">
              <w:t>470</w:t>
            </w:r>
          </w:p>
        </w:tc>
      </w:tr>
      <w:tr w:rsidR="00CB034B" w:rsidRPr="002C55F2" w14:paraId="1EACE080" w14:textId="77777777" w:rsidTr="006A47E1">
        <w:trPr>
          <w:trHeight w:val="300"/>
        </w:trPr>
        <w:tc>
          <w:tcPr>
            <w:tcW w:w="1569" w:type="pct"/>
            <w:tcBorders>
              <w:bottom w:val="single" w:sz="4" w:space="0" w:color="auto"/>
            </w:tcBorders>
            <w:noWrap/>
          </w:tcPr>
          <w:p w14:paraId="70DCEC3A" w14:textId="0AE3604B" w:rsidR="00CB034B" w:rsidRPr="00844B1A" w:rsidRDefault="00CB034B" w:rsidP="008E718E">
            <w:pPr>
              <w:pStyle w:val="Tabletext1"/>
            </w:pPr>
            <w:r>
              <w:t>Cost associated wi</w:t>
            </w:r>
            <w:r w:rsidRPr="00967EE4">
              <w:t>th SCIg administration</w:t>
            </w:r>
            <w:r>
              <w:t xml:space="preserve"> ($6,703 per patient</w:t>
            </w:r>
            <w:r w:rsidR="003334FD">
              <w:t xml:space="preserve"> per year</w:t>
            </w:r>
            <w:r>
              <w:t>)</w:t>
            </w:r>
          </w:p>
        </w:tc>
        <w:tc>
          <w:tcPr>
            <w:tcW w:w="686" w:type="pct"/>
            <w:tcBorders>
              <w:bottom w:val="single" w:sz="4" w:space="0" w:color="auto"/>
            </w:tcBorders>
            <w:noWrap/>
          </w:tcPr>
          <w:p w14:paraId="665F71C4" w14:textId="77777777" w:rsidR="00CB034B" w:rsidRPr="00844B1A" w:rsidRDefault="00CB034B" w:rsidP="008E718E">
            <w:pPr>
              <w:pStyle w:val="Tabletext1"/>
              <w:jc w:val="right"/>
            </w:pPr>
            <w:r w:rsidRPr="00967EE4">
              <w:t>$983,405</w:t>
            </w:r>
          </w:p>
        </w:tc>
        <w:tc>
          <w:tcPr>
            <w:tcW w:w="686" w:type="pct"/>
            <w:tcBorders>
              <w:bottom w:val="single" w:sz="4" w:space="0" w:color="auto"/>
            </w:tcBorders>
            <w:noWrap/>
          </w:tcPr>
          <w:p w14:paraId="769C606A" w14:textId="77777777" w:rsidR="00CB034B" w:rsidRPr="00844B1A" w:rsidRDefault="00CB034B" w:rsidP="008E718E">
            <w:pPr>
              <w:pStyle w:val="Tabletext1"/>
              <w:jc w:val="right"/>
            </w:pPr>
            <w:r w:rsidRPr="00967EE4">
              <w:t>$1,509,727</w:t>
            </w:r>
          </w:p>
        </w:tc>
        <w:tc>
          <w:tcPr>
            <w:tcW w:w="686" w:type="pct"/>
            <w:tcBorders>
              <w:bottom w:val="single" w:sz="4" w:space="0" w:color="auto"/>
            </w:tcBorders>
            <w:noWrap/>
          </w:tcPr>
          <w:p w14:paraId="682BB825" w14:textId="77777777" w:rsidR="00CB034B" w:rsidRPr="00844B1A" w:rsidRDefault="00CB034B" w:rsidP="008E718E">
            <w:pPr>
              <w:pStyle w:val="Tabletext1"/>
              <w:jc w:val="right"/>
            </w:pPr>
            <w:r w:rsidRPr="00967EE4">
              <w:t>$2,050,527</w:t>
            </w:r>
          </w:p>
        </w:tc>
        <w:tc>
          <w:tcPr>
            <w:tcW w:w="686" w:type="pct"/>
            <w:tcBorders>
              <w:bottom w:val="single" w:sz="4" w:space="0" w:color="auto"/>
            </w:tcBorders>
            <w:noWrap/>
          </w:tcPr>
          <w:p w14:paraId="7044442C" w14:textId="77777777" w:rsidR="00CB034B" w:rsidRPr="00844B1A" w:rsidRDefault="00CB034B" w:rsidP="008E718E">
            <w:pPr>
              <w:pStyle w:val="Tabletext1"/>
              <w:jc w:val="right"/>
            </w:pPr>
            <w:r w:rsidRPr="00967EE4">
              <w:t>$2,599,353</w:t>
            </w:r>
          </w:p>
        </w:tc>
        <w:tc>
          <w:tcPr>
            <w:tcW w:w="687" w:type="pct"/>
            <w:tcBorders>
              <w:bottom w:val="single" w:sz="4" w:space="0" w:color="auto"/>
            </w:tcBorders>
            <w:noWrap/>
          </w:tcPr>
          <w:p w14:paraId="05F838EF" w14:textId="77777777" w:rsidR="00CB034B" w:rsidRPr="00844B1A" w:rsidRDefault="00CB034B" w:rsidP="008E718E">
            <w:pPr>
              <w:pStyle w:val="Tabletext1"/>
              <w:jc w:val="right"/>
            </w:pPr>
            <w:r w:rsidRPr="00967EE4">
              <w:t>$3,149,753</w:t>
            </w:r>
          </w:p>
        </w:tc>
      </w:tr>
      <w:tr w:rsidR="00CB034B" w:rsidRPr="002C55F2" w14:paraId="1D07D66B" w14:textId="77777777" w:rsidTr="006A47E1">
        <w:trPr>
          <w:trHeight w:val="300"/>
        </w:trPr>
        <w:tc>
          <w:tcPr>
            <w:tcW w:w="1569" w:type="pct"/>
            <w:tcBorders>
              <w:right w:val="nil"/>
            </w:tcBorders>
            <w:noWrap/>
          </w:tcPr>
          <w:p w14:paraId="692D4066" w14:textId="77777777" w:rsidR="00CB034B" w:rsidRPr="0059308D" w:rsidRDefault="00CB034B" w:rsidP="008E718E">
            <w:pPr>
              <w:pStyle w:val="Tabletext1"/>
              <w:rPr>
                <w:b/>
              </w:rPr>
            </w:pPr>
            <w:r w:rsidRPr="0059308D">
              <w:rPr>
                <w:b/>
              </w:rPr>
              <w:t>IVIg</w:t>
            </w:r>
          </w:p>
        </w:tc>
        <w:tc>
          <w:tcPr>
            <w:tcW w:w="686" w:type="pct"/>
            <w:tcBorders>
              <w:left w:val="nil"/>
              <w:right w:val="nil"/>
            </w:tcBorders>
            <w:noWrap/>
          </w:tcPr>
          <w:p w14:paraId="080C8836" w14:textId="77777777" w:rsidR="00CB034B" w:rsidRPr="00844B1A" w:rsidRDefault="00CB034B" w:rsidP="008E718E">
            <w:pPr>
              <w:pStyle w:val="Tabletext1"/>
              <w:jc w:val="right"/>
            </w:pPr>
          </w:p>
        </w:tc>
        <w:tc>
          <w:tcPr>
            <w:tcW w:w="686" w:type="pct"/>
            <w:tcBorders>
              <w:left w:val="nil"/>
              <w:right w:val="nil"/>
            </w:tcBorders>
            <w:noWrap/>
          </w:tcPr>
          <w:p w14:paraId="63D23C75" w14:textId="77777777" w:rsidR="00CB034B" w:rsidRPr="00844B1A" w:rsidRDefault="00CB034B" w:rsidP="008E718E">
            <w:pPr>
              <w:pStyle w:val="Tabletext1"/>
              <w:jc w:val="right"/>
            </w:pPr>
          </w:p>
        </w:tc>
        <w:tc>
          <w:tcPr>
            <w:tcW w:w="686" w:type="pct"/>
            <w:tcBorders>
              <w:left w:val="nil"/>
              <w:right w:val="nil"/>
            </w:tcBorders>
            <w:noWrap/>
          </w:tcPr>
          <w:p w14:paraId="1366413A" w14:textId="77777777" w:rsidR="00CB034B" w:rsidRPr="00844B1A" w:rsidRDefault="00CB034B" w:rsidP="008E718E">
            <w:pPr>
              <w:pStyle w:val="Tabletext1"/>
              <w:jc w:val="right"/>
            </w:pPr>
          </w:p>
        </w:tc>
        <w:tc>
          <w:tcPr>
            <w:tcW w:w="686" w:type="pct"/>
            <w:tcBorders>
              <w:left w:val="nil"/>
              <w:right w:val="nil"/>
            </w:tcBorders>
            <w:noWrap/>
          </w:tcPr>
          <w:p w14:paraId="54E1170D" w14:textId="77777777" w:rsidR="00CB034B" w:rsidRPr="00844B1A" w:rsidRDefault="00CB034B" w:rsidP="008E718E">
            <w:pPr>
              <w:pStyle w:val="Tabletext1"/>
              <w:jc w:val="right"/>
            </w:pPr>
          </w:p>
        </w:tc>
        <w:tc>
          <w:tcPr>
            <w:tcW w:w="687" w:type="pct"/>
            <w:tcBorders>
              <w:left w:val="nil"/>
            </w:tcBorders>
            <w:noWrap/>
          </w:tcPr>
          <w:p w14:paraId="5A3E246A" w14:textId="77777777" w:rsidR="00CB034B" w:rsidRPr="00844B1A" w:rsidRDefault="00CB034B" w:rsidP="008E718E">
            <w:pPr>
              <w:pStyle w:val="Tabletext1"/>
              <w:jc w:val="right"/>
            </w:pPr>
          </w:p>
        </w:tc>
      </w:tr>
      <w:tr w:rsidR="00CB034B" w:rsidRPr="002C55F2" w14:paraId="43E82C92" w14:textId="77777777" w:rsidTr="006A47E1">
        <w:trPr>
          <w:trHeight w:val="300"/>
        </w:trPr>
        <w:tc>
          <w:tcPr>
            <w:tcW w:w="1569" w:type="pct"/>
            <w:noWrap/>
          </w:tcPr>
          <w:p w14:paraId="50B98D87" w14:textId="77777777" w:rsidR="00CB034B" w:rsidRPr="00844B1A" w:rsidRDefault="00CB034B" w:rsidP="008E718E">
            <w:pPr>
              <w:pStyle w:val="Tabletext1"/>
            </w:pPr>
            <w:r>
              <w:t>Number of patients receiving IVIg</w:t>
            </w:r>
          </w:p>
        </w:tc>
        <w:tc>
          <w:tcPr>
            <w:tcW w:w="686" w:type="pct"/>
            <w:noWrap/>
          </w:tcPr>
          <w:p w14:paraId="797758E5" w14:textId="77777777" w:rsidR="00CB034B" w:rsidRPr="00844B1A" w:rsidRDefault="00CB034B" w:rsidP="008E718E">
            <w:pPr>
              <w:pStyle w:val="Tabletext1"/>
              <w:jc w:val="right"/>
            </w:pPr>
            <w:r w:rsidRPr="00B66550">
              <w:t>2,788</w:t>
            </w:r>
          </w:p>
        </w:tc>
        <w:tc>
          <w:tcPr>
            <w:tcW w:w="686" w:type="pct"/>
            <w:noWrap/>
          </w:tcPr>
          <w:p w14:paraId="729A35C2" w14:textId="77777777" w:rsidR="00CB034B" w:rsidRPr="00844B1A" w:rsidRDefault="00CB034B" w:rsidP="008E718E">
            <w:pPr>
              <w:pStyle w:val="Tabletext1"/>
              <w:jc w:val="right"/>
            </w:pPr>
            <w:r w:rsidRPr="00B66550">
              <w:t>2,778</w:t>
            </w:r>
          </w:p>
        </w:tc>
        <w:tc>
          <w:tcPr>
            <w:tcW w:w="686" w:type="pct"/>
            <w:noWrap/>
          </w:tcPr>
          <w:p w14:paraId="210D5B53" w14:textId="77777777" w:rsidR="00CB034B" w:rsidRPr="00844B1A" w:rsidRDefault="00CB034B" w:rsidP="008E718E">
            <w:pPr>
              <w:pStyle w:val="Tabletext1"/>
              <w:jc w:val="right"/>
            </w:pPr>
            <w:r w:rsidRPr="00B66550">
              <w:t>2,753</w:t>
            </w:r>
          </w:p>
        </w:tc>
        <w:tc>
          <w:tcPr>
            <w:tcW w:w="686" w:type="pct"/>
            <w:noWrap/>
          </w:tcPr>
          <w:p w14:paraId="18753EC5" w14:textId="77777777" w:rsidR="00CB034B" w:rsidRPr="00844B1A" w:rsidRDefault="00CB034B" w:rsidP="008E718E">
            <w:pPr>
              <w:pStyle w:val="Tabletext1"/>
              <w:jc w:val="right"/>
            </w:pPr>
            <w:r w:rsidRPr="00B66550">
              <w:t>2,715</w:t>
            </w:r>
          </w:p>
        </w:tc>
        <w:tc>
          <w:tcPr>
            <w:tcW w:w="687" w:type="pct"/>
            <w:noWrap/>
          </w:tcPr>
          <w:p w14:paraId="64F5C735" w14:textId="77777777" w:rsidR="00CB034B" w:rsidRPr="00844B1A" w:rsidRDefault="00CB034B" w:rsidP="008E718E">
            <w:pPr>
              <w:pStyle w:val="Tabletext1"/>
              <w:jc w:val="right"/>
            </w:pPr>
            <w:r w:rsidRPr="00B66550">
              <w:t>2,663</w:t>
            </w:r>
          </w:p>
        </w:tc>
      </w:tr>
      <w:tr w:rsidR="00CB034B" w:rsidRPr="002C55F2" w14:paraId="71CDFA8E" w14:textId="77777777" w:rsidTr="006A47E1">
        <w:trPr>
          <w:trHeight w:val="300"/>
        </w:trPr>
        <w:tc>
          <w:tcPr>
            <w:tcW w:w="1569" w:type="pct"/>
            <w:noWrap/>
            <w:hideMark/>
          </w:tcPr>
          <w:p w14:paraId="18DA34DF" w14:textId="41095D95" w:rsidR="00CB034B" w:rsidRPr="002C55F2" w:rsidRDefault="00CB034B" w:rsidP="003334FD">
            <w:pPr>
              <w:pStyle w:val="Tabletext1"/>
            </w:pPr>
            <w:r w:rsidRPr="00F93BE2">
              <w:t xml:space="preserve">Cost associated with </w:t>
            </w:r>
            <w:r>
              <w:t>IV</w:t>
            </w:r>
            <w:r w:rsidRPr="00F93BE2">
              <w:t>Ig due to infusion administration</w:t>
            </w:r>
            <w:r>
              <w:t xml:space="preserve"> (</w:t>
            </w:r>
            <w:r w:rsidR="003334FD">
              <w:t xml:space="preserve">$9,623 </w:t>
            </w:r>
            <w:r>
              <w:t xml:space="preserve">per </w:t>
            </w:r>
            <w:r w:rsidR="003334FD">
              <w:t>patient per year</w:t>
            </w:r>
            <w:r>
              <w:t>)</w:t>
            </w:r>
            <w:r w:rsidR="003334FD">
              <w:t xml:space="preserve"> </w:t>
            </w:r>
            <w:r w:rsidR="003334FD">
              <w:rPr>
                <w:vertAlign w:val="superscript"/>
              </w:rPr>
              <w:t>b</w:t>
            </w:r>
          </w:p>
        </w:tc>
        <w:tc>
          <w:tcPr>
            <w:tcW w:w="686" w:type="pct"/>
            <w:noWrap/>
            <w:hideMark/>
          </w:tcPr>
          <w:p w14:paraId="062AFD06" w14:textId="77777777" w:rsidR="00CB034B" w:rsidRPr="002C55F2" w:rsidRDefault="00CB034B" w:rsidP="008E718E">
            <w:pPr>
              <w:pStyle w:val="Tabletext1"/>
              <w:jc w:val="right"/>
            </w:pPr>
            <w:r w:rsidRPr="00B66550">
              <w:t>$26,824,338</w:t>
            </w:r>
          </w:p>
        </w:tc>
        <w:tc>
          <w:tcPr>
            <w:tcW w:w="686" w:type="pct"/>
            <w:noWrap/>
            <w:hideMark/>
          </w:tcPr>
          <w:p w14:paraId="3A397086" w14:textId="77777777" w:rsidR="00CB034B" w:rsidRPr="002C55F2" w:rsidRDefault="00CB034B" w:rsidP="008E718E">
            <w:pPr>
              <w:pStyle w:val="Tabletext1"/>
              <w:jc w:val="right"/>
            </w:pPr>
            <w:r w:rsidRPr="00B66550">
              <w:t>$26,731,409</w:t>
            </w:r>
          </w:p>
        </w:tc>
        <w:tc>
          <w:tcPr>
            <w:tcW w:w="686" w:type="pct"/>
            <w:noWrap/>
            <w:hideMark/>
          </w:tcPr>
          <w:p w14:paraId="489E9800" w14:textId="77777777" w:rsidR="00CB034B" w:rsidRPr="002C55F2" w:rsidRDefault="00CB034B" w:rsidP="008E718E">
            <w:pPr>
              <w:pStyle w:val="Tabletext1"/>
              <w:jc w:val="right"/>
            </w:pPr>
            <w:r w:rsidRPr="00B66550">
              <w:t>$26,494,204</w:t>
            </w:r>
          </w:p>
        </w:tc>
        <w:tc>
          <w:tcPr>
            <w:tcW w:w="686" w:type="pct"/>
            <w:noWrap/>
            <w:hideMark/>
          </w:tcPr>
          <w:p w14:paraId="073A113E" w14:textId="77777777" w:rsidR="00CB034B" w:rsidRPr="002C55F2" w:rsidRDefault="00CB034B" w:rsidP="008E718E">
            <w:pPr>
              <w:pStyle w:val="Tabletext1"/>
              <w:jc w:val="right"/>
            </w:pPr>
            <w:r w:rsidRPr="00B66550">
              <w:t>$26,121,984</w:t>
            </w:r>
          </w:p>
        </w:tc>
        <w:tc>
          <w:tcPr>
            <w:tcW w:w="687" w:type="pct"/>
            <w:noWrap/>
            <w:hideMark/>
          </w:tcPr>
          <w:p w14:paraId="59B437D0" w14:textId="77777777" w:rsidR="00CB034B" w:rsidRPr="002C55F2" w:rsidRDefault="00CB034B" w:rsidP="008E718E">
            <w:pPr>
              <w:pStyle w:val="Tabletext1"/>
              <w:jc w:val="right"/>
            </w:pPr>
            <w:r w:rsidRPr="00B66550">
              <w:t>$25,624,011</w:t>
            </w:r>
          </w:p>
        </w:tc>
      </w:tr>
      <w:tr w:rsidR="00CB034B" w:rsidRPr="002C55F2" w14:paraId="1C47EF43" w14:textId="77777777" w:rsidTr="006A47E1">
        <w:trPr>
          <w:trHeight w:val="300"/>
        </w:trPr>
        <w:tc>
          <w:tcPr>
            <w:tcW w:w="1569" w:type="pct"/>
            <w:noWrap/>
            <w:hideMark/>
          </w:tcPr>
          <w:p w14:paraId="06120B2E" w14:textId="77777777" w:rsidR="00CB034B" w:rsidRPr="004146E3" w:rsidRDefault="00CB034B" w:rsidP="008E718E">
            <w:pPr>
              <w:pStyle w:val="Tabletext1"/>
              <w:rPr>
                <w:b/>
              </w:rPr>
            </w:pPr>
            <w:r w:rsidRPr="00452C1E">
              <w:rPr>
                <w:b/>
              </w:rPr>
              <w:t>Total Ig administration costs (State Hospital Budgets)</w:t>
            </w:r>
          </w:p>
        </w:tc>
        <w:tc>
          <w:tcPr>
            <w:tcW w:w="686" w:type="pct"/>
            <w:noWrap/>
          </w:tcPr>
          <w:p w14:paraId="7D43A545" w14:textId="77777777" w:rsidR="00CB034B" w:rsidRPr="008E5457" w:rsidRDefault="00CB034B" w:rsidP="008E718E">
            <w:pPr>
              <w:pStyle w:val="Tabletext1"/>
              <w:jc w:val="right"/>
              <w:rPr>
                <w:b/>
              </w:rPr>
            </w:pPr>
            <w:r w:rsidRPr="008E5457">
              <w:rPr>
                <w:b/>
              </w:rPr>
              <w:t>$27,807,744</w:t>
            </w:r>
          </w:p>
        </w:tc>
        <w:tc>
          <w:tcPr>
            <w:tcW w:w="686" w:type="pct"/>
            <w:noWrap/>
          </w:tcPr>
          <w:p w14:paraId="272845CC" w14:textId="77777777" w:rsidR="00CB034B" w:rsidRPr="008E5457" w:rsidRDefault="00CB034B" w:rsidP="008E718E">
            <w:pPr>
              <w:pStyle w:val="Tabletext1"/>
              <w:jc w:val="right"/>
              <w:rPr>
                <w:b/>
              </w:rPr>
            </w:pPr>
            <w:r w:rsidRPr="008E5457">
              <w:rPr>
                <w:b/>
              </w:rPr>
              <w:t>$28,241,137</w:t>
            </w:r>
          </w:p>
        </w:tc>
        <w:tc>
          <w:tcPr>
            <w:tcW w:w="686" w:type="pct"/>
            <w:noWrap/>
          </w:tcPr>
          <w:p w14:paraId="4F0A7528" w14:textId="77777777" w:rsidR="00CB034B" w:rsidRPr="008E5457" w:rsidRDefault="00CB034B" w:rsidP="008E718E">
            <w:pPr>
              <w:pStyle w:val="Tabletext1"/>
              <w:jc w:val="right"/>
              <w:rPr>
                <w:b/>
              </w:rPr>
            </w:pPr>
            <w:r w:rsidRPr="008E5457">
              <w:rPr>
                <w:b/>
              </w:rPr>
              <w:t>$28,544,731</w:t>
            </w:r>
          </w:p>
        </w:tc>
        <w:tc>
          <w:tcPr>
            <w:tcW w:w="686" w:type="pct"/>
            <w:noWrap/>
          </w:tcPr>
          <w:p w14:paraId="5F3D5566" w14:textId="77777777" w:rsidR="00CB034B" w:rsidRPr="008E5457" w:rsidRDefault="00CB034B" w:rsidP="008E718E">
            <w:pPr>
              <w:pStyle w:val="Tabletext1"/>
              <w:jc w:val="right"/>
              <w:rPr>
                <w:b/>
              </w:rPr>
            </w:pPr>
            <w:r w:rsidRPr="008E5457">
              <w:rPr>
                <w:b/>
              </w:rPr>
              <w:t>$28,721,337</w:t>
            </w:r>
          </w:p>
        </w:tc>
        <w:tc>
          <w:tcPr>
            <w:tcW w:w="687" w:type="pct"/>
            <w:noWrap/>
          </w:tcPr>
          <w:p w14:paraId="4F020A0A" w14:textId="77777777" w:rsidR="00CB034B" w:rsidRPr="008E5457" w:rsidRDefault="00CB034B" w:rsidP="008E718E">
            <w:pPr>
              <w:pStyle w:val="Tabletext1"/>
              <w:jc w:val="right"/>
              <w:rPr>
                <w:b/>
              </w:rPr>
            </w:pPr>
            <w:r w:rsidRPr="008E5457">
              <w:rPr>
                <w:b/>
              </w:rPr>
              <w:t>$28,773,765</w:t>
            </w:r>
          </w:p>
        </w:tc>
      </w:tr>
    </w:tbl>
    <w:p w14:paraId="5B88A43B" w14:textId="63A9C6E1" w:rsidR="003334FD" w:rsidRDefault="003334FD" w:rsidP="00CB034B">
      <w:pPr>
        <w:pStyle w:val="Tablenotes1"/>
      </w:pPr>
      <w:r>
        <w:rPr>
          <w:vertAlign w:val="superscript"/>
        </w:rPr>
        <w:t>a</w:t>
      </w:r>
      <w:r w:rsidR="00CB034B">
        <w:t xml:space="preserve"> SCIg uptake assumed at 5% in the base year; increasing 2.5% each year to reach 15% share in 2025–26</w:t>
      </w:r>
    </w:p>
    <w:p w14:paraId="0EB297B6" w14:textId="6389A6B7" w:rsidR="00CB034B" w:rsidRDefault="003334FD" w:rsidP="00CB034B">
      <w:pPr>
        <w:pStyle w:val="Tablenotes1"/>
      </w:pPr>
      <w:r>
        <w:rPr>
          <w:vertAlign w:val="superscript"/>
        </w:rPr>
        <w:t>b</w:t>
      </w:r>
      <w:r>
        <w:t xml:space="preserve"> Cost calculated as</w:t>
      </w:r>
      <w:r w:rsidR="002812A5">
        <w:t xml:space="preserve"> a</w:t>
      </w:r>
      <w:r>
        <w:t xml:space="preserve"> product of</w:t>
      </w:r>
      <w:r w:rsidR="00613DB7">
        <w:t xml:space="preserve"> the</w:t>
      </w:r>
      <w:r>
        <w:t xml:space="preserve"> cost per </w:t>
      </w:r>
      <w:r w:rsidR="002812A5">
        <w:t>IVIg administration ($693) and number of infusions per patient per year (13.89)</w:t>
      </w:r>
      <w:r w:rsidR="00CB034B">
        <w:t>.</w:t>
      </w:r>
    </w:p>
    <w:p w14:paraId="7472E7B2" w14:textId="77777777" w:rsidR="00CB034B" w:rsidRDefault="00CB034B" w:rsidP="00CB034B">
      <w:pPr>
        <w:pStyle w:val="Tablenotes1"/>
      </w:pPr>
      <w:r>
        <w:t xml:space="preserve">Ig = immunoglobulin; </w:t>
      </w:r>
      <w:r w:rsidRPr="00E07567">
        <w:t>IVIg = intravenous immunoglobulin</w:t>
      </w:r>
      <w:r>
        <w:t>; SCIg = subcutaneous immunoglobulin.</w:t>
      </w:r>
    </w:p>
    <w:p w14:paraId="772F9BE9" w14:textId="77777777" w:rsidR="00CB034B" w:rsidRDefault="00CB034B" w:rsidP="00CB034B">
      <w:pPr>
        <w:pStyle w:val="Heading3"/>
      </w:pPr>
      <w:bookmarkStart w:id="467" w:name="_Toc69305611"/>
      <w:r w:rsidRPr="00BF39EA">
        <w:t xml:space="preserve">Changes in costs associated with Ig due to a reduction in </w:t>
      </w:r>
      <w:r>
        <w:t>comparator services</w:t>
      </w:r>
      <w:bookmarkEnd w:id="467"/>
    </w:p>
    <w:p w14:paraId="787D2A69" w14:textId="576578E7" w:rsidR="00CB034B" w:rsidRDefault="00CB034B" w:rsidP="00CB034B">
      <w:pPr>
        <w:jc w:val="both"/>
      </w:pPr>
      <w:r>
        <w:t>I</w:t>
      </w:r>
      <w:r w:rsidRPr="00E07567">
        <w:t xml:space="preserve">t is highly uncertain to what extent existing Ig availability for use for </w:t>
      </w:r>
      <w:r>
        <w:t>CIDP</w:t>
      </w:r>
      <w:r w:rsidRPr="00E07567">
        <w:t xml:space="preserve"> replaces the nominated comparator therapies and associated cost off-sets. There are a broad range of comparator therapies patients wo</w:t>
      </w:r>
      <w:r>
        <w:t xml:space="preserve">uld utilise in the absence of </w:t>
      </w:r>
      <w:r w:rsidRPr="00E07567">
        <w:t xml:space="preserve">Ig, and in many cases at least some of these </w:t>
      </w:r>
      <w:r>
        <w:t xml:space="preserve">are used concurrently with Ig. </w:t>
      </w:r>
      <w:r w:rsidRPr="00E07567">
        <w:t>No evidence was found that could be used as a basis to project the extent to which patterns of use of these would change if Ig was not available.</w:t>
      </w:r>
      <w:r>
        <w:t xml:space="preserve"> Therefore, the cost-offsets associated with reduction in comparator services are not quantified</w:t>
      </w:r>
      <w:r w:rsidR="00F05840">
        <w:t xml:space="preserve"> but no significant change in current comparator resource use is anticipated with ongoing Ig use</w:t>
      </w:r>
      <w:r>
        <w:t>.</w:t>
      </w:r>
    </w:p>
    <w:p w14:paraId="74D0E638" w14:textId="77777777" w:rsidR="00CB034B" w:rsidRDefault="00CB034B" w:rsidP="00CB034B">
      <w:pPr>
        <w:pStyle w:val="Heading2"/>
        <w:jc w:val="both"/>
      </w:pPr>
      <w:bookmarkStart w:id="468" w:name="_Toc11854777"/>
      <w:bookmarkStart w:id="469" w:name="_Toc14431179"/>
      <w:bookmarkStart w:id="470" w:name="_Toc16671579"/>
      <w:bookmarkStart w:id="471" w:name="_Toc69305612"/>
      <w:r>
        <w:t>E.4.</w:t>
      </w:r>
      <w:r>
        <w:tab/>
        <w:t>Financial i</w:t>
      </w:r>
      <w:r w:rsidRPr="00183E4D">
        <w:t>mplications</w:t>
      </w:r>
      <w:r>
        <w:t xml:space="preserve"> for</w:t>
      </w:r>
      <w:r w:rsidRPr="00183E4D">
        <w:t xml:space="preserve"> </w:t>
      </w:r>
      <w:r>
        <w:t>government health budgets</w:t>
      </w:r>
      <w:bookmarkEnd w:id="468"/>
      <w:bookmarkEnd w:id="469"/>
      <w:bookmarkEnd w:id="470"/>
      <w:bookmarkEnd w:id="471"/>
      <w:r w:rsidRPr="00183E4D">
        <w:t xml:space="preserve"> </w:t>
      </w:r>
    </w:p>
    <w:p w14:paraId="0D1CD7BA" w14:textId="6E562298" w:rsidR="00CB034B" w:rsidRPr="00037A0F" w:rsidRDefault="00CB034B" w:rsidP="00CB034B">
      <w:pPr>
        <w:pStyle w:val="BodyTextSTD"/>
      </w:pPr>
      <w:r w:rsidRPr="00037A0F">
        <w:t xml:space="preserve">The net financial implications for government budgets associated with the funding of Ig for CIDP are presented in </w:t>
      </w:r>
      <w:r w:rsidRPr="00037A0F">
        <w:fldChar w:fldCharType="begin"/>
      </w:r>
      <w:r w:rsidRPr="00037A0F">
        <w:instrText xml:space="preserve"> REF _Ref13664229 \h  \* MERGEFORMAT </w:instrText>
      </w:r>
      <w:r w:rsidRPr="00037A0F">
        <w:fldChar w:fldCharType="separate"/>
      </w:r>
      <w:r w:rsidR="004B3EA2">
        <w:t>Table 72</w:t>
      </w:r>
      <w:r w:rsidRPr="00037A0F">
        <w:fldChar w:fldCharType="end"/>
      </w:r>
      <w:r w:rsidRPr="00037A0F">
        <w:t>.</w:t>
      </w:r>
    </w:p>
    <w:p w14:paraId="268CA4E8" w14:textId="38E52364" w:rsidR="00CB034B" w:rsidRDefault="00CB034B" w:rsidP="00CB034B">
      <w:pPr>
        <w:pStyle w:val="Caption"/>
      </w:pPr>
      <w:bookmarkStart w:id="472" w:name="_Ref13664229"/>
      <w:bookmarkStart w:id="473" w:name="_Toc14348907"/>
      <w:bookmarkStart w:id="474" w:name="_Toc14429613"/>
      <w:bookmarkStart w:id="475" w:name="_Toc16671671"/>
      <w:bookmarkStart w:id="476" w:name="_Toc69305713"/>
      <w:r>
        <w:t xml:space="preserve">Table </w:t>
      </w:r>
      <w:r>
        <w:rPr>
          <w:noProof/>
        </w:rPr>
        <w:fldChar w:fldCharType="begin"/>
      </w:r>
      <w:r>
        <w:rPr>
          <w:noProof/>
        </w:rPr>
        <w:instrText xml:space="preserve"> SEQ Table \* ARABIC </w:instrText>
      </w:r>
      <w:r>
        <w:rPr>
          <w:noProof/>
        </w:rPr>
        <w:fldChar w:fldCharType="separate"/>
      </w:r>
      <w:r w:rsidR="004B3EA2">
        <w:rPr>
          <w:noProof/>
        </w:rPr>
        <w:t>72</w:t>
      </w:r>
      <w:r>
        <w:rPr>
          <w:noProof/>
        </w:rPr>
        <w:fldChar w:fldCharType="end"/>
      </w:r>
      <w:bookmarkEnd w:id="472"/>
      <w:r>
        <w:tab/>
        <w:t xml:space="preserve">Net financial implications to government associated with Ig for </w:t>
      </w:r>
      <w:bookmarkEnd w:id="473"/>
      <w:bookmarkEnd w:id="474"/>
      <w:bookmarkEnd w:id="475"/>
      <w:r>
        <w:t>CIDP</w:t>
      </w:r>
      <w:bookmarkEnd w:id="476"/>
    </w:p>
    <w:tbl>
      <w:tblPr>
        <w:tblStyle w:val="TableGrid1"/>
        <w:tblW w:w="5000" w:type="pct"/>
        <w:tblLayout w:type="fixed"/>
        <w:tblLook w:val="04A0" w:firstRow="1" w:lastRow="0" w:firstColumn="1" w:lastColumn="0" w:noHBand="0" w:noVBand="1"/>
        <w:tblCaption w:val="Net financial implications to government associated with Ig for CIDP"/>
        <w:tblDescription w:val="Net financial implications to government associated with Ig for CIDP"/>
      </w:tblPr>
      <w:tblGrid>
        <w:gridCol w:w="2829"/>
        <w:gridCol w:w="1237"/>
        <w:gridCol w:w="1237"/>
        <w:gridCol w:w="1237"/>
        <w:gridCol w:w="1237"/>
        <w:gridCol w:w="1239"/>
      </w:tblGrid>
      <w:tr w:rsidR="00CB034B" w:rsidRPr="002C55F2" w14:paraId="552AE205" w14:textId="77777777" w:rsidTr="008E718E">
        <w:trPr>
          <w:cnfStyle w:val="100000000000" w:firstRow="1" w:lastRow="0" w:firstColumn="0" w:lastColumn="0" w:oddVBand="0" w:evenVBand="0" w:oddHBand="0" w:evenHBand="0" w:firstRowFirstColumn="0" w:firstRowLastColumn="0" w:lastRowFirstColumn="0" w:lastRowLastColumn="0"/>
          <w:trHeight w:val="300"/>
          <w:tblHeader/>
        </w:trPr>
        <w:tc>
          <w:tcPr>
            <w:tcW w:w="1569" w:type="pct"/>
            <w:tcBorders>
              <w:bottom w:val="single" w:sz="4" w:space="0" w:color="auto"/>
            </w:tcBorders>
            <w:noWrap/>
          </w:tcPr>
          <w:p w14:paraId="7C9F23CE" w14:textId="77777777" w:rsidR="00CB034B" w:rsidRPr="002C55F2" w:rsidRDefault="00CB034B" w:rsidP="008E718E">
            <w:pPr>
              <w:pStyle w:val="TableHeading"/>
              <w:jc w:val="center"/>
            </w:pPr>
          </w:p>
        </w:tc>
        <w:tc>
          <w:tcPr>
            <w:tcW w:w="686" w:type="pct"/>
            <w:tcBorders>
              <w:bottom w:val="single" w:sz="4" w:space="0" w:color="auto"/>
            </w:tcBorders>
            <w:noWrap/>
          </w:tcPr>
          <w:p w14:paraId="002D99A4" w14:textId="77777777" w:rsidR="00CB034B" w:rsidRPr="002C55F2" w:rsidRDefault="00CB034B" w:rsidP="008E718E">
            <w:pPr>
              <w:pStyle w:val="TableHeading"/>
              <w:jc w:val="center"/>
            </w:pPr>
            <w:r w:rsidRPr="006464CC">
              <w:t>2021–22</w:t>
            </w:r>
          </w:p>
        </w:tc>
        <w:tc>
          <w:tcPr>
            <w:tcW w:w="686" w:type="pct"/>
            <w:tcBorders>
              <w:bottom w:val="single" w:sz="4" w:space="0" w:color="auto"/>
            </w:tcBorders>
            <w:noWrap/>
          </w:tcPr>
          <w:p w14:paraId="706BC92B" w14:textId="77777777" w:rsidR="00CB034B" w:rsidRPr="002C55F2" w:rsidRDefault="00CB034B" w:rsidP="008E718E">
            <w:pPr>
              <w:pStyle w:val="TableHeading"/>
              <w:jc w:val="center"/>
            </w:pPr>
            <w:r w:rsidRPr="006464CC">
              <w:t>2022–23</w:t>
            </w:r>
          </w:p>
        </w:tc>
        <w:tc>
          <w:tcPr>
            <w:tcW w:w="686" w:type="pct"/>
            <w:tcBorders>
              <w:bottom w:val="single" w:sz="4" w:space="0" w:color="auto"/>
            </w:tcBorders>
            <w:noWrap/>
          </w:tcPr>
          <w:p w14:paraId="72117759" w14:textId="77777777" w:rsidR="00CB034B" w:rsidRPr="002C55F2" w:rsidRDefault="00CB034B" w:rsidP="008E718E">
            <w:pPr>
              <w:pStyle w:val="TableHeading"/>
              <w:jc w:val="center"/>
              <w:rPr>
                <w:rFonts w:ascii="Times New Roman" w:hAnsi="Times New Roman" w:cs="Times New Roman"/>
              </w:rPr>
            </w:pPr>
            <w:r w:rsidRPr="006464CC">
              <w:t>2023–24</w:t>
            </w:r>
          </w:p>
        </w:tc>
        <w:tc>
          <w:tcPr>
            <w:tcW w:w="686" w:type="pct"/>
            <w:tcBorders>
              <w:bottom w:val="single" w:sz="4" w:space="0" w:color="auto"/>
            </w:tcBorders>
            <w:noWrap/>
          </w:tcPr>
          <w:p w14:paraId="231C7BCF" w14:textId="77777777" w:rsidR="00CB034B" w:rsidRPr="002C55F2" w:rsidRDefault="00CB034B" w:rsidP="008E718E">
            <w:pPr>
              <w:pStyle w:val="TableHeading"/>
              <w:jc w:val="center"/>
              <w:rPr>
                <w:rFonts w:ascii="Times New Roman" w:hAnsi="Times New Roman" w:cs="Times New Roman"/>
              </w:rPr>
            </w:pPr>
            <w:r w:rsidRPr="006464CC">
              <w:t>2024–25</w:t>
            </w:r>
          </w:p>
        </w:tc>
        <w:tc>
          <w:tcPr>
            <w:tcW w:w="687" w:type="pct"/>
            <w:tcBorders>
              <w:bottom w:val="single" w:sz="4" w:space="0" w:color="auto"/>
            </w:tcBorders>
            <w:noWrap/>
          </w:tcPr>
          <w:p w14:paraId="16C66C06" w14:textId="77777777" w:rsidR="00CB034B" w:rsidRPr="002C55F2" w:rsidRDefault="00CB034B" w:rsidP="008E718E">
            <w:pPr>
              <w:pStyle w:val="TableHeading"/>
              <w:jc w:val="center"/>
              <w:rPr>
                <w:rFonts w:ascii="Times New Roman" w:hAnsi="Times New Roman" w:cs="Times New Roman"/>
              </w:rPr>
            </w:pPr>
            <w:r w:rsidRPr="006464CC">
              <w:t>2025–26</w:t>
            </w:r>
          </w:p>
        </w:tc>
      </w:tr>
      <w:tr w:rsidR="00CB034B" w:rsidRPr="001B1EEE" w14:paraId="2B7FE05F" w14:textId="77777777" w:rsidTr="008E718E">
        <w:trPr>
          <w:trHeight w:val="300"/>
        </w:trPr>
        <w:tc>
          <w:tcPr>
            <w:tcW w:w="1569" w:type="pct"/>
            <w:tcBorders>
              <w:bottom w:val="nil"/>
            </w:tcBorders>
            <w:noWrap/>
          </w:tcPr>
          <w:p w14:paraId="692DAA5D" w14:textId="5E6F5008" w:rsidR="00CB034B" w:rsidRPr="00F05840" w:rsidRDefault="00F05840" w:rsidP="008E718E">
            <w:pPr>
              <w:pStyle w:val="TableHeading"/>
            </w:pPr>
            <w:bookmarkStart w:id="477" w:name="_Hlk13665069"/>
            <w:r>
              <w:t>C</w:t>
            </w:r>
            <w:r w:rsidR="00CB034B" w:rsidRPr="00F05840">
              <w:t>ost of Ig</w:t>
            </w:r>
          </w:p>
        </w:tc>
        <w:tc>
          <w:tcPr>
            <w:tcW w:w="686" w:type="pct"/>
            <w:tcBorders>
              <w:bottom w:val="nil"/>
            </w:tcBorders>
            <w:noWrap/>
          </w:tcPr>
          <w:p w14:paraId="17ED95BE" w14:textId="77777777" w:rsidR="00CB034B" w:rsidRPr="00F05840" w:rsidRDefault="00CB034B" w:rsidP="008E718E">
            <w:pPr>
              <w:pStyle w:val="TableHeading"/>
              <w:keepNext w:val="0"/>
              <w:jc w:val="right"/>
            </w:pPr>
            <w:r w:rsidRPr="00F05840">
              <w:t>$100,373,758</w:t>
            </w:r>
          </w:p>
        </w:tc>
        <w:tc>
          <w:tcPr>
            <w:tcW w:w="686" w:type="pct"/>
            <w:tcBorders>
              <w:bottom w:val="nil"/>
            </w:tcBorders>
            <w:noWrap/>
          </w:tcPr>
          <w:p w14:paraId="10965957" w14:textId="77777777" w:rsidR="00CB034B" w:rsidRPr="00F05840" w:rsidRDefault="00CB034B" w:rsidP="008E718E">
            <w:pPr>
              <w:pStyle w:val="TableHeading"/>
              <w:keepNext w:val="0"/>
              <w:jc w:val="right"/>
            </w:pPr>
            <w:r w:rsidRPr="00F05840">
              <w:t>$106,243,380</w:t>
            </w:r>
          </w:p>
        </w:tc>
        <w:tc>
          <w:tcPr>
            <w:tcW w:w="686" w:type="pct"/>
            <w:tcBorders>
              <w:bottom w:val="nil"/>
            </w:tcBorders>
            <w:noWrap/>
          </w:tcPr>
          <w:p w14:paraId="72EE24BC" w14:textId="77777777" w:rsidR="00CB034B" w:rsidRPr="00F05840" w:rsidRDefault="00CB034B" w:rsidP="008E718E">
            <w:pPr>
              <w:pStyle w:val="TableHeading"/>
              <w:keepNext w:val="0"/>
              <w:jc w:val="right"/>
            </w:pPr>
            <w:r w:rsidRPr="00F05840">
              <w:t>$112,113,002</w:t>
            </w:r>
          </w:p>
        </w:tc>
        <w:tc>
          <w:tcPr>
            <w:tcW w:w="686" w:type="pct"/>
            <w:tcBorders>
              <w:bottom w:val="nil"/>
            </w:tcBorders>
            <w:noWrap/>
          </w:tcPr>
          <w:p w14:paraId="35044119" w14:textId="77777777" w:rsidR="00CB034B" w:rsidRPr="00F05840" w:rsidRDefault="00CB034B" w:rsidP="008E718E">
            <w:pPr>
              <w:pStyle w:val="TableHeading"/>
              <w:keepNext w:val="0"/>
              <w:jc w:val="right"/>
            </w:pPr>
            <w:r w:rsidRPr="00F05840">
              <w:t>$117,982,625</w:t>
            </w:r>
          </w:p>
        </w:tc>
        <w:tc>
          <w:tcPr>
            <w:tcW w:w="687" w:type="pct"/>
            <w:tcBorders>
              <w:bottom w:val="nil"/>
            </w:tcBorders>
            <w:noWrap/>
          </w:tcPr>
          <w:p w14:paraId="7F423F35" w14:textId="77777777" w:rsidR="00CB034B" w:rsidRPr="00F05840" w:rsidRDefault="00CB034B" w:rsidP="008E718E">
            <w:pPr>
              <w:pStyle w:val="TableHeading"/>
              <w:keepNext w:val="0"/>
              <w:jc w:val="right"/>
            </w:pPr>
            <w:r w:rsidRPr="00F05840">
              <w:t>$123,852,247</w:t>
            </w:r>
          </w:p>
        </w:tc>
      </w:tr>
      <w:tr w:rsidR="00CB034B" w:rsidRPr="001B1EEE" w14:paraId="6A657CF4" w14:textId="77777777" w:rsidTr="008E718E">
        <w:trPr>
          <w:trHeight w:val="300"/>
        </w:trPr>
        <w:tc>
          <w:tcPr>
            <w:tcW w:w="1569" w:type="pct"/>
            <w:tcBorders>
              <w:top w:val="nil"/>
              <w:bottom w:val="nil"/>
            </w:tcBorders>
            <w:noWrap/>
          </w:tcPr>
          <w:p w14:paraId="63CF69C3" w14:textId="77777777" w:rsidR="00CB034B" w:rsidRPr="001B1EEE" w:rsidRDefault="00CB034B" w:rsidP="008E718E">
            <w:pPr>
              <w:pStyle w:val="TableHeading"/>
              <w:rPr>
                <w:b w:val="0"/>
              </w:rPr>
            </w:pPr>
            <w:r w:rsidRPr="001B1EEE">
              <w:rPr>
                <w:b w:val="0"/>
              </w:rPr>
              <w:t>Cost of Ig to the Commonwealth</w:t>
            </w:r>
          </w:p>
        </w:tc>
        <w:tc>
          <w:tcPr>
            <w:tcW w:w="686" w:type="pct"/>
            <w:tcBorders>
              <w:top w:val="nil"/>
              <w:bottom w:val="nil"/>
            </w:tcBorders>
            <w:noWrap/>
          </w:tcPr>
          <w:p w14:paraId="27194219" w14:textId="77777777" w:rsidR="00CB034B" w:rsidRPr="00A96C7C" w:rsidRDefault="00CB034B" w:rsidP="008E718E">
            <w:pPr>
              <w:pStyle w:val="TableHeading"/>
              <w:keepNext w:val="0"/>
              <w:jc w:val="right"/>
              <w:rPr>
                <w:b w:val="0"/>
              </w:rPr>
            </w:pPr>
            <w:r w:rsidRPr="00A96C7C">
              <w:rPr>
                <w:b w:val="0"/>
              </w:rPr>
              <w:t>$63,235,467</w:t>
            </w:r>
          </w:p>
        </w:tc>
        <w:tc>
          <w:tcPr>
            <w:tcW w:w="686" w:type="pct"/>
            <w:tcBorders>
              <w:top w:val="nil"/>
              <w:bottom w:val="nil"/>
            </w:tcBorders>
            <w:noWrap/>
          </w:tcPr>
          <w:p w14:paraId="0F096DE9" w14:textId="77777777" w:rsidR="00CB034B" w:rsidRPr="00A96C7C" w:rsidRDefault="00CB034B" w:rsidP="008E718E">
            <w:pPr>
              <w:pStyle w:val="TableHeading"/>
              <w:keepNext w:val="0"/>
              <w:jc w:val="right"/>
              <w:rPr>
                <w:b w:val="0"/>
              </w:rPr>
            </w:pPr>
            <w:r w:rsidRPr="00A96C7C">
              <w:rPr>
                <w:b w:val="0"/>
              </w:rPr>
              <w:t>$66,933,329</w:t>
            </w:r>
          </w:p>
        </w:tc>
        <w:tc>
          <w:tcPr>
            <w:tcW w:w="686" w:type="pct"/>
            <w:tcBorders>
              <w:top w:val="nil"/>
              <w:bottom w:val="nil"/>
            </w:tcBorders>
            <w:noWrap/>
          </w:tcPr>
          <w:p w14:paraId="77CA394A" w14:textId="77777777" w:rsidR="00CB034B" w:rsidRPr="00A96C7C" w:rsidRDefault="00CB034B" w:rsidP="008E718E">
            <w:pPr>
              <w:pStyle w:val="TableHeading"/>
              <w:keepNext w:val="0"/>
              <w:jc w:val="right"/>
              <w:rPr>
                <w:b w:val="0"/>
              </w:rPr>
            </w:pPr>
            <w:r w:rsidRPr="00A96C7C">
              <w:rPr>
                <w:b w:val="0"/>
              </w:rPr>
              <w:t>$70,631,191</w:t>
            </w:r>
          </w:p>
        </w:tc>
        <w:tc>
          <w:tcPr>
            <w:tcW w:w="686" w:type="pct"/>
            <w:tcBorders>
              <w:top w:val="nil"/>
              <w:bottom w:val="nil"/>
            </w:tcBorders>
            <w:noWrap/>
          </w:tcPr>
          <w:p w14:paraId="2404CE2F" w14:textId="77777777" w:rsidR="00CB034B" w:rsidRPr="00A96C7C" w:rsidRDefault="00CB034B" w:rsidP="008E718E">
            <w:pPr>
              <w:pStyle w:val="TableHeading"/>
              <w:keepNext w:val="0"/>
              <w:jc w:val="right"/>
              <w:rPr>
                <w:b w:val="0"/>
              </w:rPr>
            </w:pPr>
            <w:r w:rsidRPr="00A96C7C">
              <w:rPr>
                <w:b w:val="0"/>
              </w:rPr>
              <w:t>$74,329,054</w:t>
            </w:r>
          </w:p>
        </w:tc>
        <w:tc>
          <w:tcPr>
            <w:tcW w:w="687" w:type="pct"/>
            <w:tcBorders>
              <w:top w:val="nil"/>
              <w:bottom w:val="nil"/>
            </w:tcBorders>
            <w:noWrap/>
          </w:tcPr>
          <w:p w14:paraId="6766B61E" w14:textId="77777777" w:rsidR="00CB034B" w:rsidRPr="00A96C7C" w:rsidRDefault="00CB034B" w:rsidP="008E718E">
            <w:pPr>
              <w:pStyle w:val="TableHeading"/>
              <w:keepNext w:val="0"/>
              <w:jc w:val="right"/>
              <w:rPr>
                <w:b w:val="0"/>
              </w:rPr>
            </w:pPr>
            <w:r w:rsidRPr="00A96C7C">
              <w:rPr>
                <w:b w:val="0"/>
              </w:rPr>
              <w:t>$78,026,916</w:t>
            </w:r>
          </w:p>
        </w:tc>
      </w:tr>
      <w:tr w:rsidR="00CB034B" w:rsidRPr="001B1EEE" w14:paraId="3A09224F" w14:textId="77777777" w:rsidTr="008E718E">
        <w:trPr>
          <w:trHeight w:val="300"/>
        </w:trPr>
        <w:tc>
          <w:tcPr>
            <w:tcW w:w="1569" w:type="pct"/>
            <w:tcBorders>
              <w:top w:val="nil"/>
              <w:bottom w:val="single" w:sz="4" w:space="0" w:color="auto"/>
            </w:tcBorders>
            <w:noWrap/>
          </w:tcPr>
          <w:p w14:paraId="52779799" w14:textId="77777777" w:rsidR="00CB034B" w:rsidRPr="001B1EEE" w:rsidRDefault="00CB034B" w:rsidP="008E718E">
            <w:pPr>
              <w:pStyle w:val="TableHeading"/>
              <w:keepNext w:val="0"/>
              <w:rPr>
                <w:b w:val="0"/>
              </w:rPr>
            </w:pPr>
            <w:r w:rsidRPr="001B1EEE">
              <w:rPr>
                <w:b w:val="0"/>
              </w:rPr>
              <w:t>Cost of Ig to the States</w:t>
            </w:r>
          </w:p>
        </w:tc>
        <w:tc>
          <w:tcPr>
            <w:tcW w:w="686" w:type="pct"/>
            <w:tcBorders>
              <w:top w:val="nil"/>
              <w:bottom w:val="single" w:sz="4" w:space="0" w:color="auto"/>
            </w:tcBorders>
            <w:noWrap/>
          </w:tcPr>
          <w:p w14:paraId="50FFA531" w14:textId="77777777" w:rsidR="00CB034B" w:rsidRPr="00A96C7C" w:rsidRDefault="00CB034B" w:rsidP="008E718E">
            <w:pPr>
              <w:pStyle w:val="TableHeading"/>
              <w:keepNext w:val="0"/>
              <w:jc w:val="right"/>
              <w:rPr>
                <w:b w:val="0"/>
              </w:rPr>
            </w:pPr>
            <w:r w:rsidRPr="00A96C7C">
              <w:rPr>
                <w:b w:val="0"/>
              </w:rPr>
              <w:t>$37,138,290</w:t>
            </w:r>
          </w:p>
        </w:tc>
        <w:tc>
          <w:tcPr>
            <w:tcW w:w="686" w:type="pct"/>
            <w:tcBorders>
              <w:top w:val="nil"/>
              <w:bottom w:val="single" w:sz="4" w:space="0" w:color="auto"/>
            </w:tcBorders>
            <w:noWrap/>
          </w:tcPr>
          <w:p w14:paraId="7A71361E" w14:textId="77777777" w:rsidR="00CB034B" w:rsidRPr="00A96C7C" w:rsidRDefault="00CB034B" w:rsidP="008E718E">
            <w:pPr>
              <w:pStyle w:val="TableHeading"/>
              <w:keepNext w:val="0"/>
              <w:jc w:val="right"/>
              <w:rPr>
                <w:b w:val="0"/>
              </w:rPr>
            </w:pPr>
            <w:r w:rsidRPr="00A96C7C">
              <w:rPr>
                <w:b w:val="0"/>
              </w:rPr>
              <w:t>$39,310,051</w:t>
            </w:r>
          </w:p>
        </w:tc>
        <w:tc>
          <w:tcPr>
            <w:tcW w:w="686" w:type="pct"/>
            <w:tcBorders>
              <w:top w:val="nil"/>
              <w:bottom w:val="single" w:sz="4" w:space="0" w:color="auto"/>
            </w:tcBorders>
            <w:noWrap/>
          </w:tcPr>
          <w:p w14:paraId="64361DA0" w14:textId="77777777" w:rsidR="00CB034B" w:rsidRPr="00A96C7C" w:rsidRDefault="00CB034B" w:rsidP="008E718E">
            <w:pPr>
              <w:pStyle w:val="TableHeading"/>
              <w:keepNext w:val="0"/>
              <w:jc w:val="right"/>
              <w:rPr>
                <w:b w:val="0"/>
              </w:rPr>
            </w:pPr>
            <w:r w:rsidRPr="00A96C7C">
              <w:rPr>
                <w:b w:val="0"/>
              </w:rPr>
              <w:t>$41,481,811</w:t>
            </w:r>
          </w:p>
        </w:tc>
        <w:tc>
          <w:tcPr>
            <w:tcW w:w="686" w:type="pct"/>
            <w:tcBorders>
              <w:top w:val="nil"/>
              <w:bottom w:val="single" w:sz="4" w:space="0" w:color="auto"/>
            </w:tcBorders>
            <w:noWrap/>
          </w:tcPr>
          <w:p w14:paraId="0B1B5F5E" w14:textId="77777777" w:rsidR="00CB034B" w:rsidRPr="00A96C7C" w:rsidRDefault="00CB034B" w:rsidP="008E718E">
            <w:pPr>
              <w:pStyle w:val="TableHeading"/>
              <w:keepNext w:val="0"/>
              <w:jc w:val="right"/>
              <w:rPr>
                <w:b w:val="0"/>
              </w:rPr>
            </w:pPr>
            <w:r w:rsidRPr="00A96C7C">
              <w:rPr>
                <w:b w:val="0"/>
              </w:rPr>
              <w:t>$43,653,571</w:t>
            </w:r>
          </w:p>
        </w:tc>
        <w:tc>
          <w:tcPr>
            <w:tcW w:w="687" w:type="pct"/>
            <w:tcBorders>
              <w:top w:val="nil"/>
              <w:bottom w:val="single" w:sz="4" w:space="0" w:color="auto"/>
            </w:tcBorders>
            <w:noWrap/>
          </w:tcPr>
          <w:p w14:paraId="34263D44" w14:textId="77777777" w:rsidR="00CB034B" w:rsidRPr="00A96C7C" w:rsidRDefault="00CB034B" w:rsidP="008E718E">
            <w:pPr>
              <w:pStyle w:val="TableHeading"/>
              <w:keepNext w:val="0"/>
              <w:jc w:val="right"/>
              <w:rPr>
                <w:b w:val="0"/>
              </w:rPr>
            </w:pPr>
            <w:r w:rsidRPr="00A96C7C">
              <w:rPr>
                <w:b w:val="0"/>
              </w:rPr>
              <w:t>$45,825,331</w:t>
            </w:r>
          </w:p>
        </w:tc>
      </w:tr>
      <w:tr w:rsidR="00CB034B" w:rsidRPr="001B1EEE" w14:paraId="0C03F07F" w14:textId="77777777" w:rsidTr="008E718E">
        <w:trPr>
          <w:trHeight w:val="300"/>
        </w:trPr>
        <w:tc>
          <w:tcPr>
            <w:tcW w:w="1569" w:type="pct"/>
            <w:tcBorders>
              <w:top w:val="nil"/>
              <w:bottom w:val="single" w:sz="4" w:space="0" w:color="auto"/>
            </w:tcBorders>
            <w:noWrap/>
          </w:tcPr>
          <w:p w14:paraId="0B760AEB" w14:textId="77777777" w:rsidR="00CB034B" w:rsidRPr="001B1EEE" w:rsidRDefault="00CB034B" w:rsidP="008E718E">
            <w:pPr>
              <w:pStyle w:val="TableHeading"/>
              <w:keepNext w:val="0"/>
              <w:rPr>
                <w:b w:val="0"/>
              </w:rPr>
            </w:pPr>
            <w:r w:rsidRPr="00680DD5">
              <w:rPr>
                <w:b w:val="0"/>
              </w:rPr>
              <w:t>Cost of Ig administration to the States</w:t>
            </w:r>
          </w:p>
        </w:tc>
        <w:tc>
          <w:tcPr>
            <w:tcW w:w="686" w:type="pct"/>
            <w:tcBorders>
              <w:top w:val="nil"/>
              <w:bottom w:val="single" w:sz="4" w:space="0" w:color="auto"/>
            </w:tcBorders>
            <w:noWrap/>
          </w:tcPr>
          <w:p w14:paraId="4A8D8128" w14:textId="77777777" w:rsidR="00CB034B" w:rsidRPr="00A96C7C" w:rsidRDefault="00CB034B" w:rsidP="008E718E">
            <w:pPr>
              <w:pStyle w:val="TableHeading"/>
              <w:keepNext w:val="0"/>
              <w:jc w:val="right"/>
              <w:rPr>
                <w:b w:val="0"/>
              </w:rPr>
            </w:pPr>
            <w:r w:rsidRPr="00A96C7C">
              <w:rPr>
                <w:b w:val="0"/>
              </w:rPr>
              <w:t>$27,807,744</w:t>
            </w:r>
          </w:p>
        </w:tc>
        <w:tc>
          <w:tcPr>
            <w:tcW w:w="686" w:type="pct"/>
            <w:tcBorders>
              <w:top w:val="nil"/>
              <w:bottom w:val="single" w:sz="4" w:space="0" w:color="auto"/>
            </w:tcBorders>
            <w:noWrap/>
          </w:tcPr>
          <w:p w14:paraId="31A0C6AE" w14:textId="77777777" w:rsidR="00CB034B" w:rsidRPr="00A96C7C" w:rsidRDefault="00CB034B" w:rsidP="008E718E">
            <w:pPr>
              <w:pStyle w:val="TableHeading"/>
              <w:keepNext w:val="0"/>
              <w:jc w:val="right"/>
              <w:rPr>
                <w:b w:val="0"/>
              </w:rPr>
            </w:pPr>
            <w:r w:rsidRPr="00A96C7C">
              <w:rPr>
                <w:b w:val="0"/>
              </w:rPr>
              <w:t>$28,241,137</w:t>
            </w:r>
          </w:p>
        </w:tc>
        <w:tc>
          <w:tcPr>
            <w:tcW w:w="686" w:type="pct"/>
            <w:tcBorders>
              <w:top w:val="nil"/>
              <w:bottom w:val="single" w:sz="4" w:space="0" w:color="auto"/>
            </w:tcBorders>
            <w:noWrap/>
          </w:tcPr>
          <w:p w14:paraId="7FF2D14E" w14:textId="77777777" w:rsidR="00CB034B" w:rsidRPr="00A96C7C" w:rsidRDefault="00CB034B" w:rsidP="008E718E">
            <w:pPr>
              <w:pStyle w:val="TableHeading"/>
              <w:keepNext w:val="0"/>
              <w:jc w:val="right"/>
              <w:rPr>
                <w:b w:val="0"/>
              </w:rPr>
            </w:pPr>
            <w:r w:rsidRPr="00A96C7C">
              <w:rPr>
                <w:b w:val="0"/>
              </w:rPr>
              <w:t>$28,544,731</w:t>
            </w:r>
          </w:p>
        </w:tc>
        <w:tc>
          <w:tcPr>
            <w:tcW w:w="686" w:type="pct"/>
            <w:tcBorders>
              <w:top w:val="nil"/>
              <w:bottom w:val="single" w:sz="4" w:space="0" w:color="auto"/>
            </w:tcBorders>
            <w:noWrap/>
          </w:tcPr>
          <w:p w14:paraId="2154A436" w14:textId="77777777" w:rsidR="00CB034B" w:rsidRPr="00A96C7C" w:rsidRDefault="00CB034B" w:rsidP="008E718E">
            <w:pPr>
              <w:pStyle w:val="TableHeading"/>
              <w:keepNext w:val="0"/>
              <w:jc w:val="right"/>
              <w:rPr>
                <w:b w:val="0"/>
              </w:rPr>
            </w:pPr>
            <w:r w:rsidRPr="00A96C7C">
              <w:rPr>
                <w:b w:val="0"/>
              </w:rPr>
              <w:t>$28,721,337</w:t>
            </w:r>
          </w:p>
        </w:tc>
        <w:tc>
          <w:tcPr>
            <w:tcW w:w="687" w:type="pct"/>
            <w:tcBorders>
              <w:top w:val="nil"/>
              <w:bottom w:val="single" w:sz="4" w:space="0" w:color="auto"/>
            </w:tcBorders>
            <w:noWrap/>
          </w:tcPr>
          <w:p w14:paraId="472C5D4B" w14:textId="77777777" w:rsidR="00CB034B" w:rsidRPr="00A96C7C" w:rsidRDefault="00CB034B" w:rsidP="008E718E">
            <w:pPr>
              <w:pStyle w:val="TableHeading"/>
              <w:keepNext w:val="0"/>
              <w:jc w:val="right"/>
              <w:rPr>
                <w:b w:val="0"/>
              </w:rPr>
            </w:pPr>
            <w:r w:rsidRPr="00A96C7C">
              <w:rPr>
                <w:b w:val="0"/>
              </w:rPr>
              <w:t>$28,773,765</w:t>
            </w:r>
          </w:p>
        </w:tc>
      </w:tr>
      <w:bookmarkEnd w:id="477"/>
      <w:tr w:rsidR="00CB034B" w:rsidRPr="002C55F2" w14:paraId="4FD1475F" w14:textId="77777777" w:rsidTr="008E718E">
        <w:trPr>
          <w:trHeight w:val="300"/>
        </w:trPr>
        <w:tc>
          <w:tcPr>
            <w:tcW w:w="1569" w:type="pct"/>
            <w:tcBorders>
              <w:bottom w:val="nil"/>
            </w:tcBorders>
            <w:noWrap/>
          </w:tcPr>
          <w:p w14:paraId="0E2E0158" w14:textId="78AFC0D9" w:rsidR="00CB034B" w:rsidRPr="001B1EEE" w:rsidRDefault="00F05840" w:rsidP="008E718E">
            <w:pPr>
              <w:pStyle w:val="TableHeading"/>
            </w:pPr>
            <w:r>
              <w:t>Total</w:t>
            </w:r>
            <w:r w:rsidR="00CB034B" w:rsidRPr="001B1EEE">
              <w:t xml:space="preserve"> cost</w:t>
            </w:r>
          </w:p>
        </w:tc>
        <w:tc>
          <w:tcPr>
            <w:tcW w:w="686" w:type="pct"/>
            <w:tcBorders>
              <w:bottom w:val="nil"/>
            </w:tcBorders>
            <w:noWrap/>
          </w:tcPr>
          <w:p w14:paraId="15F65235" w14:textId="77777777" w:rsidR="00CB034B" w:rsidRPr="00A96C7C" w:rsidRDefault="00CB034B" w:rsidP="008E718E">
            <w:pPr>
              <w:pStyle w:val="TableHeading"/>
              <w:keepNext w:val="0"/>
              <w:jc w:val="right"/>
            </w:pPr>
            <w:r w:rsidRPr="00A96C7C">
              <w:t>$128,181,501</w:t>
            </w:r>
          </w:p>
        </w:tc>
        <w:tc>
          <w:tcPr>
            <w:tcW w:w="686" w:type="pct"/>
            <w:tcBorders>
              <w:bottom w:val="nil"/>
            </w:tcBorders>
            <w:noWrap/>
          </w:tcPr>
          <w:p w14:paraId="25BC6870" w14:textId="77777777" w:rsidR="00CB034B" w:rsidRPr="00A96C7C" w:rsidRDefault="00CB034B" w:rsidP="008E718E">
            <w:pPr>
              <w:pStyle w:val="TableHeading"/>
              <w:keepNext w:val="0"/>
              <w:jc w:val="right"/>
            </w:pPr>
            <w:r w:rsidRPr="00A96C7C">
              <w:t>$134,484,517</w:t>
            </w:r>
          </w:p>
        </w:tc>
        <w:tc>
          <w:tcPr>
            <w:tcW w:w="686" w:type="pct"/>
            <w:tcBorders>
              <w:bottom w:val="nil"/>
            </w:tcBorders>
            <w:noWrap/>
          </w:tcPr>
          <w:p w14:paraId="47FF5878" w14:textId="77777777" w:rsidR="00CB034B" w:rsidRPr="00A96C7C" w:rsidRDefault="00CB034B" w:rsidP="008E718E">
            <w:pPr>
              <w:pStyle w:val="TableHeading"/>
              <w:keepNext w:val="0"/>
              <w:jc w:val="right"/>
            </w:pPr>
            <w:r w:rsidRPr="00A96C7C">
              <w:t>$140,657,733</w:t>
            </w:r>
          </w:p>
        </w:tc>
        <w:tc>
          <w:tcPr>
            <w:tcW w:w="686" w:type="pct"/>
            <w:tcBorders>
              <w:bottom w:val="nil"/>
            </w:tcBorders>
            <w:noWrap/>
          </w:tcPr>
          <w:p w14:paraId="29F1CDE2" w14:textId="77777777" w:rsidR="00CB034B" w:rsidRPr="00A96C7C" w:rsidRDefault="00CB034B" w:rsidP="008E718E">
            <w:pPr>
              <w:pStyle w:val="TableHeading"/>
              <w:keepNext w:val="0"/>
              <w:jc w:val="right"/>
            </w:pPr>
            <w:r w:rsidRPr="00A96C7C">
              <w:t>$146,703,962</w:t>
            </w:r>
          </w:p>
        </w:tc>
        <w:tc>
          <w:tcPr>
            <w:tcW w:w="687" w:type="pct"/>
            <w:tcBorders>
              <w:bottom w:val="nil"/>
            </w:tcBorders>
            <w:noWrap/>
          </w:tcPr>
          <w:p w14:paraId="3C742C38" w14:textId="77777777" w:rsidR="00CB034B" w:rsidRPr="00A96C7C" w:rsidRDefault="00CB034B" w:rsidP="008E718E">
            <w:pPr>
              <w:pStyle w:val="TableHeading"/>
              <w:keepNext w:val="0"/>
              <w:jc w:val="right"/>
            </w:pPr>
            <w:r w:rsidRPr="00A96C7C">
              <w:t>$152,626,012</w:t>
            </w:r>
          </w:p>
        </w:tc>
      </w:tr>
      <w:tr w:rsidR="00CB034B" w:rsidRPr="002C55F2" w14:paraId="305556BB" w14:textId="77777777" w:rsidTr="008E718E">
        <w:trPr>
          <w:trHeight w:val="300"/>
        </w:trPr>
        <w:tc>
          <w:tcPr>
            <w:tcW w:w="1569" w:type="pct"/>
            <w:tcBorders>
              <w:top w:val="nil"/>
              <w:bottom w:val="nil"/>
            </w:tcBorders>
            <w:noWrap/>
          </w:tcPr>
          <w:p w14:paraId="2AABD7FD" w14:textId="77777777" w:rsidR="00CB034B" w:rsidRPr="001B1EEE" w:rsidRDefault="00CB034B" w:rsidP="008E718E">
            <w:pPr>
              <w:pStyle w:val="TableHeading"/>
              <w:rPr>
                <w:b w:val="0"/>
              </w:rPr>
            </w:pPr>
            <w:r w:rsidRPr="001B1EEE">
              <w:rPr>
                <w:b w:val="0"/>
              </w:rPr>
              <w:t>Net cost to the Commonwealth</w:t>
            </w:r>
          </w:p>
        </w:tc>
        <w:tc>
          <w:tcPr>
            <w:tcW w:w="686" w:type="pct"/>
            <w:tcBorders>
              <w:top w:val="nil"/>
              <w:bottom w:val="nil"/>
            </w:tcBorders>
            <w:noWrap/>
          </w:tcPr>
          <w:p w14:paraId="1D89BB89" w14:textId="77777777" w:rsidR="00CB034B" w:rsidRPr="00A96C7C" w:rsidRDefault="00CB034B" w:rsidP="008E718E">
            <w:pPr>
              <w:pStyle w:val="TableHeading"/>
              <w:keepNext w:val="0"/>
              <w:jc w:val="right"/>
              <w:rPr>
                <w:b w:val="0"/>
              </w:rPr>
            </w:pPr>
            <w:r w:rsidRPr="00A96C7C">
              <w:rPr>
                <w:b w:val="0"/>
              </w:rPr>
              <w:t>$63,235,467</w:t>
            </w:r>
          </w:p>
        </w:tc>
        <w:tc>
          <w:tcPr>
            <w:tcW w:w="686" w:type="pct"/>
            <w:tcBorders>
              <w:top w:val="nil"/>
              <w:bottom w:val="nil"/>
            </w:tcBorders>
            <w:noWrap/>
          </w:tcPr>
          <w:p w14:paraId="47EC3A34" w14:textId="77777777" w:rsidR="00CB034B" w:rsidRPr="00A96C7C" w:rsidRDefault="00CB034B" w:rsidP="008E718E">
            <w:pPr>
              <w:pStyle w:val="TableHeading"/>
              <w:keepNext w:val="0"/>
              <w:jc w:val="right"/>
              <w:rPr>
                <w:b w:val="0"/>
              </w:rPr>
            </w:pPr>
            <w:r w:rsidRPr="00A96C7C">
              <w:rPr>
                <w:b w:val="0"/>
              </w:rPr>
              <w:t>$66,933,329</w:t>
            </w:r>
          </w:p>
        </w:tc>
        <w:tc>
          <w:tcPr>
            <w:tcW w:w="686" w:type="pct"/>
            <w:tcBorders>
              <w:top w:val="nil"/>
              <w:bottom w:val="nil"/>
            </w:tcBorders>
            <w:noWrap/>
          </w:tcPr>
          <w:p w14:paraId="4C81C903" w14:textId="77777777" w:rsidR="00CB034B" w:rsidRPr="00A96C7C" w:rsidRDefault="00CB034B" w:rsidP="008E718E">
            <w:pPr>
              <w:pStyle w:val="TableHeading"/>
              <w:keepNext w:val="0"/>
              <w:jc w:val="right"/>
              <w:rPr>
                <w:b w:val="0"/>
              </w:rPr>
            </w:pPr>
            <w:r w:rsidRPr="00A96C7C">
              <w:rPr>
                <w:b w:val="0"/>
              </w:rPr>
              <w:t>$70,631,191</w:t>
            </w:r>
          </w:p>
        </w:tc>
        <w:tc>
          <w:tcPr>
            <w:tcW w:w="686" w:type="pct"/>
            <w:tcBorders>
              <w:top w:val="nil"/>
              <w:bottom w:val="nil"/>
            </w:tcBorders>
            <w:noWrap/>
          </w:tcPr>
          <w:p w14:paraId="2A09560D" w14:textId="77777777" w:rsidR="00CB034B" w:rsidRPr="00A96C7C" w:rsidRDefault="00CB034B" w:rsidP="008E718E">
            <w:pPr>
              <w:pStyle w:val="TableHeading"/>
              <w:keepNext w:val="0"/>
              <w:jc w:val="right"/>
              <w:rPr>
                <w:b w:val="0"/>
              </w:rPr>
            </w:pPr>
            <w:r w:rsidRPr="00A96C7C">
              <w:rPr>
                <w:b w:val="0"/>
              </w:rPr>
              <w:t>$74,329,054</w:t>
            </w:r>
          </w:p>
        </w:tc>
        <w:tc>
          <w:tcPr>
            <w:tcW w:w="687" w:type="pct"/>
            <w:tcBorders>
              <w:top w:val="nil"/>
              <w:bottom w:val="nil"/>
            </w:tcBorders>
            <w:noWrap/>
          </w:tcPr>
          <w:p w14:paraId="43370205" w14:textId="77777777" w:rsidR="00CB034B" w:rsidRPr="00A96C7C" w:rsidRDefault="00CB034B" w:rsidP="008E718E">
            <w:pPr>
              <w:pStyle w:val="TableHeading"/>
              <w:keepNext w:val="0"/>
              <w:jc w:val="right"/>
              <w:rPr>
                <w:b w:val="0"/>
              </w:rPr>
            </w:pPr>
            <w:r w:rsidRPr="00A96C7C">
              <w:rPr>
                <w:b w:val="0"/>
              </w:rPr>
              <w:t>$78,026,916</w:t>
            </w:r>
          </w:p>
        </w:tc>
      </w:tr>
      <w:tr w:rsidR="00CB034B" w:rsidRPr="002C55F2" w14:paraId="67439408" w14:textId="77777777" w:rsidTr="008E718E">
        <w:trPr>
          <w:trHeight w:val="300"/>
        </w:trPr>
        <w:tc>
          <w:tcPr>
            <w:tcW w:w="1569" w:type="pct"/>
            <w:tcBorders>
              <w:top w:val="nil"/>
            </w:tcBorders>
            <w:noWrap/>
          </w:tcPr>
          <w:p w14:paraId="54ED0066" w14:textId="77777777" w:rsidR="00CB034B" w:rsidRPr="001B1EEE" w:rsidRDefault="00CB034B" w:rsidP="008E718E">
            <w:pPr>
              <w:pStyle w:val="TableHeading"/>
              <w:keepNext w:val="0"/>
              <w:rPr>
                <w:b w:val="0"/>
              </w:rPr>
            </w:pPr>
            <w:r w:rsidRPr="001B1EEE">
              <w:rPr>
                <w:b w:val="0"/>
              </w:rPr>
              <w:t>Net cost to States</w:t>
            </w:r>
          </w:p>
        </w:tc>
        <w:tc>
          <w:tcPr>
            <w:tcW w:w="686" w:type="pct"/>
            <w:tcBorders>
              <w:top w:val="nil"/>
            </w:tcBorders>
            <w:noWrap/>
          </w:tcPr>
          <w:p w14:paraId="2335394D" w14:textId="77777777" w:rsidR="00CB034B" w:rsidRPr="00A96C7C" w:rsidRDefault="00CB034B" w:rsidP="008E718E">
            <w:pPr>
              <w:pStyle w:val="TableHeading"/>
              <w:keepNext w:val="0"/>
              <w:jc w:val="right"/>
              <w:rPr>
                <w:b w:val="0"/>
              </w:rPr>
            </w:pPr>
            <w:r w:rsidRPr="00A96C7C">
              <w:rPr>
                <w:b w:val="0"/>
              </w:rPr>
              <w:t>$64,946,034</w:t>
            </w:r>
          </w:p>
        </w:tc>
        <w:tc>
          <w:tcPr>
            <w:tcW w:w="686" w:type="pct"/>
            <w:tcBorders>
              <w:top w:val="nil"/>
            </w:tcBorders>
            <w:noWrap/>
          </w:tcPr>
          <w:p w14:paraId="4BE3F632" w14:textId="77777777" w:rsidR="00CB034B" w:rsidRPr="00A96C7C" w:rsidRDefault="00CB034B" w:rsidP="008E718E">
            <w:pPr>
              <w:pStyle w:val="TableHeading"/>
              <w:keepNext w:val="0"/>
              <w:jc w:val="right"/>
              <w:rPr>
                <w:b w:val="0"/>
              </w:rPr>
            </w:pPr>
            <w:r w:rsidRPr="00A96C7C">
              <w:rPr>
                <w:b w:val="0"/>
              </w:rPr>
              <w:t>$67,551,187</w:t>
            </w:r>
          </w:p>
        </w:tc>
        <w:tc>
          <w:tcPr>
            <w:tcW w:w="686" w:type="pct"/>
            <w:tcBorders>
              <w:top w:val="nil"/>
            </w:tcBorders>
            <w:noWrap/>
          </w:tcPr>
          <w:p w14:paraId="0368B0FD" w14:textId="77777777" w:rsidR="00CB034B" w:rsidRPr="00A96C7C" w:rsidRDefault="00CB034B" w:rsidP="008E718E">
            <w:pPr>
              <w:pStyle w:val="TableHeading"/>
              <w:keepNext w:val="0"/>
              <w:jc w:val="right"/>
              <w:rPr>
                <w:b w:val="0"/>
              </w:rPr>
            </w:pPr>
            <w:r w:rsidRPr="00A96C7C">
              <w:rPr>
                <w:b w:val="0"/>
              </w:rPr>
              <w:t>$70,026,542</w:t>
            </w:r>
          </w:p>
        </w:tc>
        <w:tc>
          <w:tcPr>
            <w:tcW w:w="686" w:type="pct"/>
            <w:tcBorders>
              <w:top w:val="nil"/>
            </w:tcBorders>
            <w:noWrap/>
          </w:tcPr>
          <w:p w14:paraId="625A7EB3" w14:textId="77777777" w:rsidR="00CB034B" w:rsidRPr="00A96C7C" w:rsidRDefault="00CB034B" w:rsidP="008E718E">
            <w:pPr>
              <w:pStyle w:val="TableHeading"/>
              <w:keepNext w:val="0"/>
              <w:jc w:val="right"/>
              <w:rPr>
                <w:b w:val="0"/>
              </w:rPr>
            </w:pPr>
            <w:r w:rsidRPr="00A96C7C">
              <w:rPr>
                <w:b w:val="0"/>
              </w:rPr>
              <w:t>$72,374,908</w:t>
            </w:r>
          </w:p>
        </w:tc>
        <w:tc>
          <w:tcPr>
            <w:tcW w:w="687" w:type="pct"/>
            <w:tcBorders>
              <w:top w:val="nil"/>
            </w:tcBorders>
            <w:noWrap/>
          </w:tcPr>
          <w:p w14:paraId="44BB79FC" w14:textId="77777777" w:rsidR="00CB034B" w:rsidRPr="00A96C7C" w:rsidRDefault="00CB034B" w:rsidP="008E718E">
            <w:pPr>
              <w:pStyle w:val="TableHeading"/>
              <w:keepNext w:val="0"/>
              <w:jc w:val="right"/>
              <w:rPr>
                <w:b w:val="0"/>
              </w:rPr>
            </w:pPr>
            <w:r w:rsidRPr="00A96C7C">
              <w:rPr>
                <w:b w:val="0"/>
              </w:rPr>
              <w:t>$74,599,096</w:t>
            </w:r>
          </w:p>
        </w:tc>
      </w:tr>
    </w:tbl>
    <w:p w14:paraId="2692EECB" w14:textId="77777777" w:rsidR="00CB034B" w:rsidRDefault="00CB034B" w:rsidP="00CB034B">
      <w:pPr>
        <w:pStyle w:val="Tablenotes1"/>
      </w:pPr>
      <w:r>
        <w:t>CIDP</w:t>
      </w:r>
      <w:r w:rsidRPr="00E07567">
        <w:t xml:space="preserve"> = </w:t>
      </w:r>
      <w:r>
        <w:t xml:space="preserve">chronic </w:t>
      </w:r>
      <w:r w:rsidRPr="004320AE">
        <w:t>inflammatory demyelinating polyneuropathy</w:t>
      </w:r>
      <w:r>
        <w:t>; Ig = immunoglobulin.</w:t>
      </w:r>
    </w:p>
    <w:p w14:paraId="6DDFAD32" w14:textId="77777777" w:rsidR="00CB034B" w:rsidRDefault="00CB034B" w:rsidP="00CB034B">
      <w:pPr>
        <w:pStyle w:val="Heading2"/>
        <w:jc w:val="both"/>
      </w:pPr>
      <w:bookmarkStart w:id="478" w:name="_Toc11854780"/>
      <w:bookmarkStart w:id="479" w:name="_Toc14431180"/>
      <w:bookmarkStart w:id="480" w:name="_Toc16671580"/>
      <w:bookmarkStart w:id="481" w:name="_Toc69305613"/>
      <w:r>
        <w:t>E.5.</w:t>
      </w:r>
      <w:r>
        <w:tab/>
        <w:t>Identification, estimation and reduction of uncertainty</w:t>
      </w:r>
      <w:bookmarkEnd w:id="478"/>
      <w:bookmarkEnd w:id="479"/>
      <w:bookmarkEnd w:id="480"/>
      <w:bookmarkEnd w:id="481"/>
    </w:p>
    <w:p w14:paraId="390453FF" w14:textId="1AB3E77C" w:rsidR="00CB034B" w:rsidRDefault="00CB034B" w:rsidP="00CB034B">
      <w:pPr>
        <w:pStyle w:val="BodyTextSTD"/>
      </w:pPr>
      <w:r>
        <w:t xml:space="preserve">Sensitivity analyses exploring uncertainty in the assumptions used to determine the financial implications are presented in </w:t>
      </w:r>
      <w:r>
        <w:fldChar w:fldCharType="begin"/>
      </w:r>
      <w:r>
        <w:instrText xml:space="preserve"> REF _Ref13667009 \h  \* MERGEFORMAT </w:instrText>
      </w:r>
      <w:r>
        <w:fldChar w:fldCharType="separate"/>
      </w:r>
      <w:r w:rsidR="004B3EA2">
        <w:t xml:space="preserve">Table </w:t>
      </w:r>
      <w:r w:rsidR="004B3EA2">
        <w:rPr>
          <w:noProof/>
        </w:rPr>
        <w:t>73</w:t>
      </w:r>
      <w:r>
        <w:fldChar w:fldCharType="end"/>
      </w:r>
      <w:r>
        <w:t xml:space="preserve">. As expected, the cost of Ig is the main driver in the financial analysis; higher cost per gram of Ig results in higher budget impact and the lower cost of Ig per gram reduces the net cost to the Government. </w:t>
      </w:r>
    </w:p>
    <w:p w14:paraId="761728C9" w14:textId="6EF25A25" w:rsidR="00CB034B" w:rsidRDefault="00CB034B" w:rsidP="00CB034B">
      <w:pPr>
        <w:pStyle w:val="Caption"/>
      </w:pPr>
      <w:bookmarkStart w:id="482" w:name="_Ref13667009"/>
      <w:bookmarkStart w:id="483" w:name="_Toc14348908"/>
      <w:bookmarkStart w:id="484" w:name="_Toc14429614"/>
      <w:bookmarkStart w:id="485" w:name="_Toc16671672"/>
      <w:bookmarkStart w:id="486" w:name="_Toc69305714"/>
      <w:r>
        <w:t xml:space="preserve">Table </w:t>
      </w:r>
      <w:r>
        <w:rPr>
          <w:noProof/>
        </w:rPr>
        <w:fldChar w:fldCharType="begin"/>
      </w:r>
      <w:r>
        <w:rPr>
          <w:noProof/>
        </w:rPr>
        <w:instrText xml:space="preserve"> SEQ Table \* ARABIC </w:instrText>
      </w:r>
      <w:r>
        <w:rPr>
          <w:noProof/>
        </w:rPr>
        <w:fldChar w:fldCharType="separate"/>
      </w:r>
      <w:r w:rsidR="004B3EA2">
        <w:rPr>
          <w:noProof/>
        </w:rPr>
        <w:t>73</w:t>
      </w:r>
      <w:r>
        <w:rPr>
          <w:noProof/>
        </w:rPr>
        <w:fldChar w:fldCharType="end"/>
      </w:r>
      <w:bookmarkEnd w:id="482"/>
      <w:r>
        <w:tab/>
        <w:t>Sensitivity analyses around the financial implication estimates</w:t>
      </w:r>
      <w:bookmarkEnd w:id="483"/>
      <w:bookmarkEnd w:id="484"/>
      <w:bookmarkEnd w:id="485"/>
      <w:bookmarkEnd w:id="486"/>
    </w:p>
    <w:tbl>
      <w:tblPr>
        <w:tblStyle w:val="TableGrid1"/>
        <w:tblW w:w="5000" w:type="pct"/>
        <w:tblLayout w:type="fixed"/>
        <w:tblLook w:val="04A0" w:firstRow="1" w:lastRow="0" w:firstColumn="1" w:lastColumn="0" w:noHBand="0" w:noVBand="1"/>
        <w:tblCaption w:val="Sensitivity analyses around the financial implication estimates"/>
        <w:tblDescription w:val="Sensitivity analyses around the financial implication estimates"/>
      </w:tblPr>
      <w:tblGrid>
        <w:gridCol w:w="2829"/>
        <w:gridCol w:w="1237"/>
        <w:gridCol w:w="1237"/>
        <w:gridCol w:w="1237"/>
        <w:gridCol w:w="1237"/>
        <w:gridCol w:w="1239"/>
      </w:tblGrid>
      <w:tr w:rsidR="00CB034B" w:rsidRPr="004B711C" w14:paraId="1A6358AB" w14:textId="77777777" w:rsidTr="008E718E">
        <w:trPr>
          <w:cnfStyle w:val="100000000000" w:firstRow="1" w:lastRow="0" w:firstColumn="0" w:lastColumn="0" w:oddVBand="0" w:evenVBand="0" w:oddHBand="0" w:evenHBand="0" w:firstRowFirstColumn="0" w:firstRowLastColumn="0" w:lastRowFirstColumn="0" w:lastRowLastColumn="0"/>
          <w:trHeight w:val="300"/>
          <w:tblHeader/>
        </w:trPr>
        <w:tc>
          <w:tcPr>
            <w:tcW w:w="1569" w:type="pct"/>
            <w:tcBorders>
              <w:bottom w:val="single" w:sz="4" w:space="0" w:color="auto"/>
            </w:tcBorders>
            <w:noWrap/>
          </w:tcPr>
          <w:p w14:paraId="7184AE56" w14:textId="77777777" w:rsidR="00CB034B" w:rsidRPr="004B711C" w:rsidRDefault="00CB034B" w:rsidP="008E718E">
            <w:pPr>
              <w:pStyle w:val="TableHeading"/>
            </w:pPr>
          </w:p>
        </w:tc>
        <w:tc>
          <w:tcPr>
            <w:tcW w:w="686" w:type="pct"/>
            <w:tcBorders>
              <w:bottom w:val="single" w:sz="4" w:space="0" w:color="auto"/>
            </w:tcBorders>
            <w:noWrap/>
          </w:tcPr>
          <w:p w14:paraId="0A211B3F" w14:textId="77777777" w:rsidR="00CB034B" w:rsidRPr="004B711C" w:rsidRDefault="00CB034B" w:rsidP="008E718E">
            <w:pPr>
              <w:pStyle w:val="TableHeading"/>
            </w:pPr>
            <w:r w:rsidRPr="00215E86">
              <w:t>2021–22</w:t>
            </w:r>
          </w:p>
        </w:tc>
        <w:tc>
          <w:tcPr>
            <w:tcW w:w="686" w:type="pct"/>
            <w:tcBorders>
              <w:bottom w:val="single" w:sz="4" w:space="0" w:color="auto"/>
            </w:tcBorders>
            <w:noWrap/>
          </w:tcPr>
          <w:p w14:paraId="331EF90F" w14:textId="77777777" w:rsidR="00CB034B" w:rsidRPr="004B711C" w:rsidRDefault="00CB034B" w:rsidP="008E718E">
            <w:pPr>
              <w:pStyle w:val="TableHeading"/>
            </w:pPr>
            <w:r w:rsidRPr="00215E86">
              <w:t>2022–23</w:t>
            </w:r>
          </w:p>
        </w:tc>
        <w:tc>
          <w:tcPr>
            <w:tcW w:w="686" w:type="pct"/>
            <w:tcBorders>
              <w:bottom w:val="single" w:sz="4" w:space="0" w:color="auto"/>
            </w:tcBorders>
            <w:noWrap/>
          </w:tcPr>
          <w:p w14:paraId="46457EA1" w14:textId="77777777" w:rsidR="00CB034B" w:rsidRPr="004B711C" w:rsidRDefault="00CB034B" w:rsidP="008E718E">
            <w:pPr>
              <w:pStyle w:val="TableHeading"/>
            </w:pPr>
            <w:r w:rsidRPr="00215E86">
              <w:t>2023–24</w:t>
            </w:r>
          </w:p>
        </w:tc>
        <w:tc>
          <w:tcPr>
            <w:tcW w:w="686" w:type="pct"/>
            <w:tcBorders>
              <w:bottom w:val="single" w:sz="4" w:space="0" w:color="auto"/>
            </w:tcBorders>
            <w:noWrap/>
          </w:tcPr>
          <w:p w14:paraId="7317B995" w14:textId="77777777" w:rsidR="00CB034B" w:rsidRPr="004B711C" w:rsidRDefault="00CB034B" w:rsidP="008E718E">
            <w:pPr>
              <w:pStyle w:val="TableHeading"/>
            </w:pPr>
            <w:r w:rsidRPr="00215E86">
              <w:t>2024–25</w:t>
            </w:r>
          </w:p>
        </w:tc>
        <w:tc>
          <w:tcPr>
            <w:tcW w:w="687" w:type="pct"/>
            <w:tcBorders>
              <w:bottom w:val="single" w:sz="4" w:space="0" w:color="auto"/>
            </w:tcBorders>
            <w:noWrap/>
          </w:tcPr>
          <w:p w14:paraId="703773D3" w14:textId="77777777" w:rsidR="00CB034B" w:rsidRPr="004B711C" w:rsidRDefault="00CB034B" w:rsidP="008E718E">
            <w:pPr>
              <w:pStyle w:val="TableHeading"/>
            </w:pPr>
            <w:r w:rsidRPr="00215E86">
              <w:t>2025–26</w:t>
            </w:r>
          </w:p>
        </w:tc>
      </w:tr>
      <w:tr w:rsidR="00CB034B" w:rsidRPr="004B711C" w14:paraId="1E95A9CD" w14:textId="77777777" w:rsidTr="008E718E">
        <w:trPr>
          <w:cnfStyle w:val="100000000000" w:firstRow="1" w:lastRow="0" w:firstColumn="0" w:lastColumn="0" w:oddVBand="0" w:evenVBand="0" w:oddHBand="0" w:evenHBand="0" w:firstRowFirstColumn="0" w:firstRowLastColumn="0" w:lastRowFirstColumn="0" w:lastRowLastColumn="0"/>
          <w:trHeight w:val="300"/>
          <w:tblHeader/>
        </w:trPr>
        <w:tc>
          <w:tcPr>
            <w:tcW w:w="1569" w:type="pct"/>
            <w:tcBorders>
              <w:bottom w:val="single" w:sz="4" w:space="0" w:color="auto"/>
            </w:tcBorders>
            <w:noWrap/>
          </w:tcPr>
          <w:p w14:paraId="704D6B10" w14:textId="0A8E3E48" w:rsidR="00CB034B" w:rsidRPr="004B711C" w:rsidRDefault="00CB034B" w:rsidP="008E718E">
            <w:pPr>
              <w:pStyle w:val="TableHeading"/>
            </w:pPr>
            <w:r w:rsidRPr="004B711C">
              <w:t>Base</w:t>
            </w:r>
            <w:r w:rsidR="001236DF">
              <w:t xml:space="preserve"> case</w:t>
            </w:r>
            <w:r w:rsidRPr="004B711C">
              <w:t xml:space="preserve"> financial implications</w:t>
            </w:r>
          </w:p>
        </w:tc>
        <w:tc>
          <w:tcPr>
            <w:tcW w:w="686" w:type="pct"/>
            <w:tcBorders>
              <w:bottom w:val="single" w:sz="4" w:space="0" w:color="auto"/>
            </w:tcBorders>
            <w:noWrap/>
          </w:tcPr>
          <w:p w14:paraId="651147EF" w14:textId="77777777" w:rsidR="00CB034B" w:rsidRPr="004B711C" w:rsidRDefault="00CB034B" w:rsidP="008E718E">
            <w:pPr>
              <w:pStyle w:val="TableHeading"/>
            </w:pPr>
            <w:r w:rsidRPr="004B711C">
              <w:t>$128,181,501</w:t>
            </w:r>
          </w:p>
        </w:tc>
        <w:tc>
          <w:tcPr>
            <w:tcW w:w="686" w:type="pct"/>
            <w:tcBorders>
              <w:bottom w:val="single" w:sz="4" w:space="0" w:color="auto"/>
            </w:tcBorders>
            <w:noWrap/>
          </w:tcPr>
          <w:p w14:paraId="6301973B" w14:textId="77777777" w:rsidR="00CB034B" w:rsidRPr="004B711C" w:rsidRDefault="00CB034B" w:rsidP="008E718E">
            <w:pPr>
              <w:pStyle w:val="TableHeading"/>
            </w:pPr>
            <w:r w:rsidRPr="004B711C">
              <w:t>$134,484,517</w:t>
            </w:r>
          </w:p>
        </w:tc>
        <w:tc>
          <w:tcPr>
            <w:tcW w:w="686" w:type="pct"/>
            <w:tcBorders>
              <w:bottom w:val="single" w:sz="4" w:space="0" w:color="auto"/>
            </w:tcBorders>
            <w:noWrap/>
          </w:tcPr>
          <w:p w14:paraId="4F13927E" w14:textId="77777777" w:rsidR="00CB034B" w:rsidRPr="004B711C" w:rsidRDefault="00CB034B" w:rsidP="008E718E">
            <w:pPr>
              <w:pStyle w:val="TableHeading"/>
            </w:pPr>
            <w:r w:rsidRPr="004B711C">
              <w:t>$140,657,733</w:t>
            </w:r>
          </w:p>
        </w:tc>
        <w:tc>
          <w:tcPr>
            <w:tcW w:w="686" w:type="pct"/>
            <w:tcBorders>
              <w:bottom w:val="single" w:sz="4" w:space="0" w:color="auto"/>
            </w:tcBorders>
            <w:noWrap/>
          </w:tcPr>
          <w:p w14:paraId="3CE7C05E" w14:textId="77777777" w:rsidR="00CB034B" w:rsidRPr="004B711C" w:rsidRDefault="00CB034B" w:rsidP="008E718E">
            <w:pPr>
              <w:pStyle w:val="TableHeading"/>
            </w:pPr>
            <w:r w:rsidRPr="004B711C">
              <w:t>$146,703,962</w:t>
            </w:r>
          </w:p>
        </w:tc>
        <w:tc>
          <w:tcPr>
            <w:tcW w:w="687" w:type="pct"/>
            <w:tcBorders>
              <w:bottom w:val="single" w:sz="4" w:space="0" w:color="auto"/>
            </w:tcBorders>
            <w:noWrap/>
          </w:tcPr>
          <w:p w14:paraId="21CBB2C3" w14:textId="77777777" w:rsidR="00CB034B" w:rsidRPr="004B711C" w:rsidRDefault="00CB034B" w:rsidP="008E718E">
            <w:pPr>
              <w:pStyle w:val="TableHeading"/>
            </w:pPr>
            <w:r w:rsidRPr="004B711C">
              <w:t>$152,626,012</w:t>
            </w:r>
          </w:p>
        </w:tc>
      </w:tr>
      <w:tr w:rsidR="00CB034B" w:rsidRPr="004B711C" w14:paraId="0433EB0C" w14:textId="77777777" w:rsidTr="008E718E">
        <w:trPr>
          <w:trHeight w:val="300"/>
        </w:trPr>
        <w:tc>
          <w:tcPr>
            <w:tcW w:w="5000" w:type="pct"/>
            <w:gridSpan w:val="6"/>
            <w:tcBorders>
              <w:top w:val="single" w:sz="4" w:space="0" w:color="auto"/>
              <w:bottom w:val="single" w:sz="4" w:space="0" w:color="auto"/>
            </w:tcBorders>
            <w:noWrap/>
          </w:tcPr>
          <w:p w14:paraId="6E9FD178" w14:textId="77777777" w:rsidR="00CB034B" w:rsidRPr="004B711C" w:rsidRDefault="00CB034B" w:rsidP="008E718E">
            <w:pPr>
              <w:pStyle w:val="Tabletext1"/>
            </w:pPr>
            <w:r w:rsidRPr="004B711C">
              <w:t>Cost of Ig (base case: $60.41 per gram)</w:t>
            </w:r>
          </w:p>
        </w:tc>
      </w:tr>
      <w:tr w:rsidR="00CB034B" w:rsidRPr="004B711C" w14:paraId="0FF43DFE" w14:textId="77777777" w:rsidTr="008E718E">
        <w:trPr>
          <w:trHeight w:val="300"/>
        </w:trPr>
        <w:tc>
          <w:tcPr>
            <w:tcW w:w="1569" w:type="pct"/>
            <w:tcBorders>
              <w:top w:val="single" w:sz="4" w:space="0" w:color="auto"/>
              <w:bottom w:val="nil"/>
            </w:tcBorders>
            <w:noWrap/>
          </w:tcPr>
          <w:p w14:paraId="56CCE7FA" w14:textId="77777777" w:rsidR="00CB034B" w:rsidRPr="004B711C" w:rsidRDefault="00CB034B" w:rsidP="008E718E">
            <w:pPr>
              <w:pStyle w:val="Tabletext1"/>
            </w:pPr>
            <w:r w:rsidRPr="004B711C">
              <w:t>High cost of Ig, $140.18</w:t>
            </w:r>
          </w:p>
        </w:tc>
        <w:tc>
          <w:tcPr>
            <w:tcW w:w="686" w:type="pct"/>
            <w:tcBorders>
              <w:top w:val="single" w:sz="4" w:space="0" w:color="auto"/>
              <w:bottom w:val="nil"/>
            </w:tcBorders>
            <w:noWrap/>
          </w:tcPr>
          <w:p w14:paraId="0DEC39A4" w14:textId="77777777" w:rsidR="00CB034B" w:rsidRPr="004B711C" w:rsidRDefault="00CB034B" w:rsidP="008E718E">
            <w:pPr>
              <w:pStyle w:val="Tabletext1"/>
            </w:pPr>
            <w:r w:rsidRPr="004B711C">
              <w:t>$260,722,714</w:t>
            </w:r>
          </w:p>
        </w:tc>
        <w:tc>
          <w:tcPr>
            <w:tcW w:w="686" w:type="pct"/>
            <w:tcBorders>
              <w:top w:val="single" w:sz="4" w:space="0" w:color="auto"/>
              <w:bottom w:val="nil"/>
            </w:tcBorders>
            <w:noWrap/>
          </w:tcPr>
          <w:p w14:paraId="3A6BF78F" w14:textId="77777777" w:rsidR="00CB034B" w:rsidRPr="004B711C" w:rsidRDefault="00CB034B" w:rsidP="008E718E">
            <w:pPr>
              <w:pStyle w:val="Tabletext1"/>
            </w:pPr>
            <w:r w:rsidRPr="004B711C">
              <w:t>$274,776,429</w:t>
            </w:r>
          </w:p>
        </w:tc>
        <w:tc>
          <w:tcPr>
            <w:tcW w:w="686" w:type="pct"/>
            <w:tcBorders>
              <w:top w:val="single" w:sz="4" w:space="0" w:color="auto"/>
              <w:bottom w:val="nil"/>
            </w:tcBorders>
            <w:noWrap/>
          </w:tcPr>
          <w:p w14:paraId="5B04FE84" w14:textId="77777777" w:rsidR="00CB034B" w:rsidRPr="004B711C" w:rsidRDefault="00CB034B" w:rsidP="008E718E">
            <w:pPr>
              <w:pStyle w:val="Tabletext1"/>
            </w:pPr>
            <w:r w:rsidRPr="004B711C">
              <w:t>$288,700,345</w:t>
            </w:r>
          </w:p>
        </w:tc>
        <w:tc>
          <w:tcPr>
            <w:tcW w:w="686" w:type="pct"/>
            <w:tcBorders>
              <w:top w:val="single" w:sz="4" w:space="0" w:color="auto"/>
              <w:bottom w:val="nil"/>
            </w:tcBorders>
            <w:noWrap/>
          </w:tcPr>
          <w:p w14:paraId="69A4F86D" w14:textId="77777777" w:rsidR="00CB034B" w:rsidRPr="004B711C" w:rsidRDefault="00CB034B" w:rsidP="008E718E">
            <w:pPr>
              <w:pStyle w:val="Tabletext1"/>
            </w:pPr>
            <w:r w:rsidRPr="004B711C">
              <w:t>$302,497,273</w:t>
            </w:r>
          </w:p>
        </w:tc>
        <w:tc>
          <w:tcPr>
            <w:tcW w:w="687" w:type="pct"/>
            <w:tcBorders>
              <w:top w:val="single" w:sz="4" w:space="0" w:color="auto"/>
              <w:bottom w:val="nil"/>
            </w:tcBorders>
            <w:noWrap/>
          </w:tcPr>
          <w:p w14:paraId="78DB4BB4" w14:textId="77777777" w:rsidR="00CB034B" w:rsidRPr="004B711C" w:rsidRDefault="00CB034B" w:rsidP="008E718E">
            <w:pPr>
              <w:pStyle w:val="Tabletext1"/>
            </w:pPr>
            <w:r w:rsidRPr="004B711C">
              <w:t>$316,170,024</w:t>
            </w:r>
          </w:p>
        </w:tc>
      </w:tr>
      <w:tr w:rsidR="00CB034B" w:rsidRPr="004B711C" w14:paraId="41ED1CA4" w14:textId="77777777" w:rsidTr="008E718E">
        <w:trPr>
          <w:trHeight w:val="300"/>
        </w:trPr>
        <w:tc>
          <w:tcPr>
            <w:tcW w:w="1569" w:type="pct"/>
            <w:tcBorders>
              <w:top w:val="nil"/>
              <w:bottom w:val="nil"/>
            </w:tcBorders>
            <w:noWrap/>
          </w:tcPr>
          <w:p w14:paraId="27FAE7A8" w14:textId="77777777" w:rsidR="00CB034B" w:rsidRPr="004B711C" w:rsidRDefault="00CB034B" w:rsidP="008E718E">
            <w:pPr>
              <w:pStyle w:val="Tabletext1"/>
            </w:pPr>
            <w:r w:rsidRPr="004B711C">
              <w:t>Low cost of Ig, $44.94</w:t>
            </w:r>
          </w:p>
        </w:tc>
        <w:tc>
          <w:tcPr>
            <w:tcW w:w="686" w:type="pct"/>
            <w:tcBorders>
              <w:top w:val="nil"/>
              <w:bottom w:val="nil"/>
            </w:tcBorders>
            <w:noWrap/>
          </w:tcPr>
          <w:p w14:paraId="5F95DC37" w14:textId="77777777" w:rsidR="00CB034B" w:rsidRPr="004B711C" w:rsidRDefault="00CB034B" w:rsidP="008E718E">
            <w:pPr>
              <w:pStyle w:val="Tabletext1"/>
            </w:pPr>
            <w:r w:rsidRPr="004B711C">
              <w:t>$102,477,445</w:t>
            </w:r>
          </w:p>
        </w:tc>
        <w:tc>
          <w:tcPr>
            <w:tcW w:w="686" w:type="pct"/>
            <w:tcBorders>
              <w:top w:val="nil"/>
              <w:bottom w:val="nil"/>
            </w:tcBorders>
            <w:noWrap/>
          </w:tcPr>
          <w:p w14:paraId="132E0F10" w14:textId="77777777" w:rsidR="00CB034B" w:rsidRPr="004B711C" w:rsidRDefault="00CB034B" w:rsidP="008E718E">
            <w:pPr>
              <w:pStyle w:val="Tabletext1"/>
            </w:pPr>
            <w:r w:rsidRPr="004B711C">
              <w:t>$107,277,348</w:t>
            </w:r>
          </w:p>
        </w:tc>
        <w:tc>
          <w:tcPr>
            <w:tcW w:w="686" w:type="pct"/>
            <w:tcBorders>
              <w:top w:val="nil"/>
              <w:bottom w:val="nil"/>
            </w:tcBorders>
            <w:noWrap/>
          </w:tcPr>
          <w:p w14:paraId="69048D8F" w14:textId="77777777" w:rsidR="00CB034B" w:rsidRPr="004B711C" w:rsidRDefault="00CB034B" w:rsidP="008E718E">
            <w:pPr>
              <w:pStyle w:val="Tabletext1"/>
            </w:pPr>
            <w:r w:rsidRPr="004B711C">
              <w:t>$111,947,451</w:t>
            </w:r>
          </w:p>
        </w:tc>
        <w:tc>
          <w:tcPr>
            <w:tcW w:w="686" w:type="pct"/>
            <w:tcBorders>
              <w:top w:val="nil"/>
              <w:bottom w:val="nil"/>
            </w:tcBorders>
            <w:noWrap/>
          </w:tcPr>
          <w:p w14:paraId="6EB7A25B" w14:textId="77777777" w:rsidR="00CB034B" w:rsidRPr="004B711C" w:rsidRDefault="00CB034B" w:rsidP="008E718E">
            <w:pPr>
              <w:pStyle w:val="Tabletext1"/>
            </w:pPr>
            <w:r w:rsidRPr="004B711C">
              <w:t>$116,490,566</w:t>
            </w:r>
          </w:p>
        </w:tc>
        <w:tc>
          <w:tcPr>
            <w:tcW w:w="687" w:type="pct"/>
            <w:tcBorders>
              <w:top w:val="nil"/>
              <w:bottom w:val="nil"/>
            </w:tcBorders>
            <w:noWrap/>
          </w:tcPr>
          <w:p w14:paraId="15DC5D1F" w14:textId="77777777" w:rsidR="00CB034B" w:rsidRPr="004B711C" w:rsidRDefault="00CB034B" w:rsidP="008E718E">
            <w:pPr>
              <w:pStyle w:val="Tabletext1"/>
            </w:pPr>
            <w:r w:rsidRPr="004B711C">
              <w:t>$120,909,504</w:t>
            </w:r>
          </w:p>
        </w:tc>
      </w:tr>
      <w:tr w:rsidR="00CB034B" w:rsidRPr="004B711C" w14:paraId="23235624" w14:textId="77777777" w:rsidTr="008E718E">
        <w:trPr>
          <w:trHeight w:val="300"/>
        </w:trPr>
        <w:tc>
          <w:tcPr>
            <w:tcW w:w="1569" w:type="pct"/>
            <w:tcBorders>
              <w:top w:val="nil"/>
              <w:bottom w:val="nil"/>
            </w:tcBorders>
            <w:noWrap/>
          </w:tcPr>
          <w:p w14:paraId="4070AA20" w14:textId="77777777" w:rsidR="00CB034B" w:rsidRPr="004B711C" w:rsidRDefault="00CB034B" w:rsidP="008E718E">
            <w:pPr>
              <w:pStyle w:val="Tabletext1"/>
            </w:pPr>
            <w:r w:rsidRPr="004B711C">
              <w:t>Weighted average of Ig across all indications, $94.51</w:t>
            </w:r>
          </w:p>
        </w:tc>
        <w:tc>
          <w:tcPr>
            <w:tcW w:w="686" w:type="pct"/>
            <w:tcBorders>
              <w:top w:val="nil"/>
              <w:bottom w:val="nil"/>
            </w:tcBorders>
            <w:noWrap/>
          </w:tcPr>
          <w:p w14:paraId="3D3B72B4" w14:textId="77777777" w:rsidR="00CB034B" w:rsidRPr="004B711C" w:rsidRDefault="00CB034B" w:rsidP="008E718E">
            <w:pPr>
              <w:pStyle w:val="Tabletext1"/>
            </w:pPr>
            <w:r w:rsidRPr="004B711C">
              <w:t>$184,834,531</w:t>
            </w:r>
          </w:p>
        </w:tc>
        <w:tc>
          <w:tcPr>
            <w:tcW w:w="686" w:type="pct"/>
            <w:tcBorders>
              <w:top w:val="nil"/>
              <w:bottom w:val="nil"/>
            </w:tcBorders>
            <w:noWrap/>
          </w:tcPr>
          <w:p w14:paraId="2CAC3E81" w14:textId="77777777" w:rsidR="00CB034B" w:rsidRPr="004B711C" w:rsidRDefault="00CB034B" w:rsidP="008E718E">
            <w:pPr>
              <w:pStyle w:val="Tabletext1"/>
            </w:pPr>
            <w:r w:rsidRPr="004B711C">
              <w:t>$194,450,483</w:t>
            </w:r>
          </w:p>
        </w:tc>
        <w:tc>
          <w:tcPr>
            <w:tcW w:w="686" w:type="pct"/>
            <w:tcBorders>
              <w:top w:val="nil"/>
              <w:bottom w:val="nil"/>
            </w:tcBorders>
            <w:noWrap/>
          </w:tcPr>
          <w:p w14:paraId="66E6AFE8" w14:textId="77777777" w:rsidR="00CB034B" w:rsidRPr="004B711C" w:rsidRDefault="00CB034B" w:rsidP="008E718E">
            <w:pPr>
              <w:pStyle w:val="Tabletext1"/>
            </w:pPr>
            <w:r w:rsidRPr="004B711C">
              <w:t>$203,936,636</w:t>
            </w:r>
          </w:p>
        </w:tc>
        <w:tc>
          <w:tcPr>
            <w:tcW w:w="686" w:type="pct"/>
            <w:tcBorders>
              <w:top w:val="nil"/>
              <w:bottom w:val="nil"/>
            </w:tcBorders>
            <w:noWrap/>
          </w:tcPr>
          <w:p w14:paraId="3AF73757" w14:textId="77777777" w:rsidR="00CB034B" w:rsidRPr="004B711C" w:rsidRDefault="00CB034B" w:rsidP="008E718E">
            <w:pPr>
              <w:pStyle w:val="Tabletext1"/>
            </w:pPr>
            <w:r w:rsidRPr="004B711C">
              <w:t>$213,295,801</w:t>
            </w:r>
          </w:p>
        </w:tc>
        <w:tc>
          <w:tcPr>
            <w:tcW w:w="687" w:type="pct"/>
            <w:tcBorders>
              <w:top w:val="nil"/>
              <w:bottom w:val="nil"/>
            </w:tcBorders>
            <w:noWrap/>
          </w:tcPr>
          <w:p w14:paraId="3912D933" w14:textId="77777777" w:rsidR="00CB034B" w:rsidRPr="004B711C" w:rsidRDefault="00CB034B" w:rsidP="008E718E">
            <w:pPr>
              <w:pStyle w:val="Tabletext1"/>
            </w:pPr>
            <w:r w:rsidRPr="004B711C">
              <w:t>$222,530,788</w:t>
            </w:r>
          </w:p>
        </w:tc>
      </w:tr>
      <w:tr w:rsidR="00CB034B" w:rsidRPr="004B711C" w14:paraId="3C20547A" w14:textId="77777777" w:rsidTr="008E718E">
        <w:trPr>
          <w:trHeight w:val="300"/>
        </w:trPr>
        <w:tc>
          <w:tcPr>
            <w:tcW w:w="1569" w:type="pct"/>
            <w:tcBorders>
              <w:top w:val="nil"/>
              <w:bottom w:val="nil"/>
            </w:tcBorders>
            <w:noWrap/>
          </w:tcPr>
          <w:p w14:paraId="1DAC6A0A" w14:textId="77777777" w:rsidR="00CB034B" w:rsidRPr="004B711C" w:rsidRDefault="00CB034B" w:rsidP="008E718E">
            <w:pPr>
              <w:pStyle w:val="Tabletext1"/>
            </w:pPr>
            <w:r w:rsidRPr="004B711C">
              <w:t>Weighted average across the CIDP, $71.86 a</w:t>
            </w:r>
          </w:p>
        </w:tc>
        <w:tc>
          <w:tcPr>
            <w:tcW w:w="686" w:type="pct"/>
            <w:tcBorders>
              <w:top w:val="nil"/>
              <w:bottom w:val="nil"/>
            </w:tcBorders>
            <w:noWrap/>
          </w:tcPr>
          <w:p w14:paraId="7A6CB5A1" w14:textId="77777777" w:rsidR="00CB034B" w:rsidRPr="004B711C" w:rsidRDefault="00CB034B" w:rsidP="008E718E">
            <w:pPr>
              <w:pStyle w:val="Tabletext1"/>
            </w:pPr>
            <w:r w:rsidRPr="004B711C">
              <w:t>$147,210,848</w:t>
            </w:r>
          </w:p>
        </w:tc>
        <w:tc>
          <w:tcPr>
            <w:tcW w:w="686" w:type="pct"/>
            <w:tcBorders>
              <w:top w:val="nil"/>
              <w:bottom w:val="nil"/>
            </w:tcBorders>
            <w:noWrap/>
          </w:tcPr>
          <w:p w14:paraId="3780E3F0" w14:textId="77777777" w:rsidR="00CB034B" w:rsidRPr="004B711C" w:rsidRDefault="00CB034B" w:rsidP="008E718E">
            <w:pPr>
              <w:pStyle w:val="Tabletext1"/>
            </w:pPr>
            <w:r w:rsidRPr="004B711C">
              <w:t>$154,626,655</w:t>
            </w:r>
          </w:p>
        </w:tc>
        <w:tc>
          <w:tcPr>
            <w:tcW w:w="686" w:type="pct"/>
            <w:tcBorders>
              <w:top w:val="nil"/>
              <w:bottom w:val="nil"/>
            </w:tcBorders>
            <w:noWrap/>
          </w:tcPr>
          <w:p w14:paraId="66B5512A" w14:textId="77777777" w:rsidR="00CB034B" w:rsidRPr="004B711C" w:rsidRDefault="00CB034B" w:rsidP="008E718E">
            <w:pPr>
              <w:pStyle w:val="Tabletext1"/>
            </w:pPr>
            <w:r w:rsidRPr="004B711C">
              <w:t>$161,912,663</w:t>
            </w:r>
          </w:p>
        </w:tc>
        <w:tc>
          <w:tcPr>
            <w:tcW w:w="686" w:type="pct"/>
            <w:tcBorders>
              <w:top w:val="nil"/>
              <w:bottom w:val="nil"/>
            </w:tcBorders>
            <w:noWrap/>
          </w:tcPr>
          <w:p w14:paraId="54F7B670" w14:textId="77777777" w:rsidR="00CB034B" w:rsidRPr="004B711C" w:rsidRDefault="00CB034B" w:rsidP="008E718E">
            <w:pPr>
              <w:pStyle w:val="Tabletext1"/>
            </w:pPr>
            <w:r w:rsidRPr="004B711C">
              <w:t>$169,071,683</w:t>
            </w:r>
          </w:p>
        </w:tc>
        <w:tc>
          <w:tcPr>
            <w:tcW w:w="687" w:type="pct"/>
            <w:tcBorders>
              <w:top w:val="nil"/>
              <w:bottom w:val="nil"/>
            </w:tcBorders>
            <w:noWrap/>
          </w:tcPr>
          <w:p w14:paraId="3E1EBC08" w14:textId="77777777" w:rsidR="00CB034B" w:rsidRPr="004B711C" w:rsidRDefault="00CB034B" w:rsidP="008E718E">
            <w:pPr>
              <w:pStyle w:val="Tabletext1"/>
            </w:pPr>
            <w:r w:rsidRPr="004B711C">
              <w:t>$176,106,525</w:t>
            </w:r>
          </w:p>
        </w:tc>
      </w:tr>
      <w:tr w:rsidR="00CB034B" w:rsidRPr="004B711C" w14:paraId="5092AA12" w14:textId="77777777" w:rsidTr="008E718E">
        <w:trPr>
          <w:trHeight w:val="300"/>
        </w:trPr>
        <w:tc>
          <w:tcPr>
            <w:tcW w:w="5000" w:type="pct"/>
            <w:gridSpan w:val="6"/>
            <w:tcBorders>
              <w:bottom w:val="single" w:sz="4" w:space="0" w:color="auto"/>
            </w:tcBorders>
            <w:noWrap/>
          </w:tcPr>
          <w:p w14:paraId="3F55906E" w14:textId="77777777" w:rsidR="00CB034B" w:rsidRPr="004B711C" w:rsidRDefault="00CB034B" w:rsidP="008E718E">
            <w:pPr>
              <w:pStyle w:val="Tabletext1"/>
            </w:pPr>
            <w:r w:rsidRPr="004B711C">
              <w:t>Growth rate of Ig use (base case: average 5.4%)</w:t>
            </w:r>
          </w:p>
        </w:tc>
      </w:tr>
      <w:tr w:rsidR="00CB034B" w:rsidRPr="004B711C" w14:paraId="291F8AD7" w14:textId="77777777" w:rsidTr="008E718E">
        <w:trPr>
          <w:trHeight w:val="300"/>
        </w:trPr>
        <w:tc>
          <w:tcPr>
            <w:tcW w:w="1569" w:type="pct"/>
            <w:tcBorders>
              <w:bottom w:val="nil"/>
            </w:tcBorders>
            <w:noWrap/>
          </w:tcPr>
          <w:p w14:paraId="259353C6" w14:textId="77777777" w:rsidR="00CB034B" w:rsidRPr="004B711C" w:rsidRDefault="00CB034B" w:rsidP="008E718E">
            <w:pPr>
              <w:pStyle w:val="Tabletext1"/>
            </w:pPr>
            <w:r w:rsidRPr="004B711C">
              <w:t>5%</w:t>
            </w:r>
          </w:p>
        </w:tc>
        <w:tc>
          <w:tcPr>
            <w:tcW w:w="686" w:type="pct"/>
            <w:tcBorders>
              <w:bottom w:val="nil"/>
            </w:tcBorders>
            <w:noWrap/>
          </w:tcPr>
          <w:p w14:paraId="2001A79A" w14:textId="77777777" w:rsidR="00CB034B" w:rsidRPr="004B711C" w:rsidRDefault="00CB034B" w:rsidP="008E718E">
            <w:pPr>
              <w:pStyle w:val="Tabletext1"/>
            </w:pPr>
            <w:r w:rsidRPr="004B711C">
              <w:t>$127,341,007</w:t>
            </w:r>
          </w:p>
        </w:tc>
        <w:tc>
          <w:tcPr>
            <w:tcW w:w="686" w:type="pct"/>
            <w:tcBorders>
              <w:bottom w:val="nil"/>
            </w:tcBorders>
            <w:noWrap/>
          </w:tcPr>
          <w:p w14:paraId="7A877C29" w14:textId="77777777" w:rsidR="00CB034B" w:rsidRPr="004B711C" w:rsidRDefault="00CB034B" w:rsidP="008E718E">
            <w:pPr>
              <w:pStyle w:val="Tabletext1"/>
            </w:pPr>
            <w:r w:rsidRPr="004B711C">
              <w:t>$132,751,063</w:t>
            </w:r>
          </w:p>
        </w:tc>
        <w:tc>
          <w:tcPr>
            <w:tcW w:w="686" w:type="pct"/>
            <w:tcBorders>
              <w:bottom w:val="nil"/>
            </w:tcBorders>
            <w:noWrap/>
          </w:tcPr>
          <w:p w14:paraId="3AB31A18" w14:textId="77777777" w:rsidR="00CB034B" w:rsidRPr="004B711C" w:rsidRDefault="00CB034B" w:rsidP="008E718E">
            <w:pPr>
              <w:pStyle w:val="Tabletext1"/>
            </w:pPr>
            <w:r w:rsidRPr="004B711C">
              <w:t>$138,280,153</w:t>
            </w:r>
          </w:p>
        </w:tc>
        <w:tc>
          <w:tcPr>
            <w:tcW w:w="686" w:type="pct"/>
            <w:tcBorders>
              <w:bottom w:val="nil"/>
            </w:tcBorders>
            <w:noWrap/>
          </w:tcPr>
          <w:p w14:paraId="03FCE576" w14:textId="77777777" w:rsidR="00CB034B" w:rsidRPr="004B711C" w:rsidRDefault="00CB034B" w:rsidP="008E718E">
            <w:pPr>
              <w:pStyle w:val="Tabletext1"/>
            </w:pPr>
            <w:r w:rsidRPr="004B711C">
              <w:t>$143,943,530</w:t>
            </w:r>
          </w:p>
        </w:tc>
        <w:tc>
          <w:tcPr>
            <w:tcW w:w="687" w:type="pct"/>
            <w:tcBorders>
              <w:bottom w:val="nil"/>
            </w:tcBorders>
            <w:noWrap/>
          </w:tcPr>
          <w:p w14:paraId="17FB9212" w14:textId="77777777" w:rsidR="00CB034B" w:rsidRPr="004B711C" w:rsidRDefault="00CB034B" w:rsidP="008E718E">
            <w:pPr>
              <w:pStyle w:val="Tabletext1"/>
            </w:pPr>
            <w:r w:rsidRPr="004B711C">
              <w:t>$149,757,068</w:t>
            </w:r>
          </w:p>
        </w:tc>
      </w:tr>
      <w:tr w:rsidR="00CB034B" w:rsidRPr="004B711C" w14:paraId="0B0177D3" w14:textId="77777777" w:rsidTr="008E718E">
        <w:trPr>
          <w:trHeight w:val="300"/>
        </w:trPr>
        <w:tc>
          <w:tcPr>
            <w:tcW w:w="1569" w:type="pct"/>
            <w:tcBorders>
              <w:top w:val="nil"/>
              <w:bottom w:val="nil"/>
            </w:tcBorders>
            <w:noWrap/>
          </w:tcPr>
          <w:p w14:paraId="3A1E2CD4" w14:textId="77777777" w:rsidR="00CB034B" w:rsidRPr="004B711C" w:rsidRDefault="00CB034B" w:rsidP="008E718E">
            <w:pPr>
              <w:pStyle w:val="Tabletext1"/>
            </w:pPr>
            <w:r w:rsidRPr="004B711C">
              <w:t>6%</w:t>
            </w:r>
          </w:p>
        </w:tc>
        <w:tc>
          <w:tcPr>
            <w:tcW w:w="686" w:type="pct"/>
            <w:tcBorders>
              <w:top w:val="nil"/>
              <w:bottom w:val="nil"/>
            </w:tcBorders>
            <w:noWrap/>
          </w:tcPr>
          <w:p w14:paraId="32AA88DF" w14:textId="77777777" w:rsidR="00CB034B" w:rsidRPr="004B711C" w:rsidRDefault="00CB034B" w:rsidP="008E718E">
            <w:pPr>
              <w:pStyle w:val="Tabletext1"/>
            </w:pPr>
            <w:r w:rsidRPr="004B711C">
              <w:t>$129,245,906</w:t>
            </w:r>
          </w:p>
        </w:tc>
        <w:tc>
          <w:tcPr>
            <w:tcW w:w="686" w:type="pct"/>
            <w:tcBorders>
              <w:top w:val="nil"/>
              <w:bottom w:val="nil"/>
            </w:tcBorders>
            <w:noWrap/>
          </w:tcPr>
          <w:p w14:paraId="5351B445" w14:textId="77777777" w:rsidR="00CB034B" w:rsidRPr="004B711C" w:rsidRDefault="00CB034B" w:rsidP="008E718E">
            <w:pPr>
              <w:pStyle w:val="Tabletext1"/>
            </w:pPr>
            <w:r w:rsidRPr="004B711C">
              <w:t>$135,765,589</w:t>
            </w:r>
          </w:p>
        </w:tc>
        <w:tc>
          <w:tcPr>
            <w:tcW w:w="686" w:type="pct"/>
            <w:tcBorders>
              <w:top w:val="nil"/>
              <w:bottom w:val="nil"/>
            </w:tcBorders>
            <w:noWrap/>
          </w:tcPr>
          <w:p w14:paraId="007D8C11" w14:textId="77777777" w:rsidR="00CB034B" w:rsidRPr="004B711C" w:rsidRDefault="00CB034B" w:rsidP="008E718E">
            <w:pPr>
              <w:pStyle w:val="Tabletext1"/>
            </w:pPr>
            <w:r w:rsidRPr="004B711C">
              <w:t>$142,520,651</w:t>
            </w:r>
          </w:p>
        </w:tc>
        <w:tc>
          <w:tcPr>
            <w:tcW w:w="686" w:type="pct"/>
            <w:tcBorders>
              <w:top w:val="nil"/>
              <w:bottom w:val="nil"/>
            </w:tcBorders>
            <w:noWrap/>
          </w:tcPr>
          <w:p w14:paraId="6B732936" w14:textId="77777777" w:rsidR="00CB034B" w:rsidRPr="004B711C" w:rsidRDefault="00CB034B" w:rsidP="008E718E">
            <w:pPr>
              <w:pStyle w:val="Tabletext1"/>
            </w:pPr>
            <w:r w:rsidRPr="004B711C">
              <w:t>$149,535,812</w:t>
            </w:r>
          </w:p>
        </w:tc>
        <w:tc>
          <w:tcPr>
            <w:tcW w:w="687" w:type="pct"/>
            <w:tcBorders>
              <w:top w:val="nil"/>
              <w:bottom w:val="nil"/>
            </w:tcBorders>
            <w:noWrap/>
          </w:tcPr>
          <w:p w14:paraId="3C00EFEF" w14:textId="77777777" w:rsidR="00CB034B" w:rsidRPr="004B711C" w:rsidRDefault="00CB034B" w:rsidP="008E718E">
            <w:pPr>
              <w:pStyle w:val="Tabletext1"/>
            </w:pPr>
            <w:r w:rsidRPr="004B711C">
              <w:t>$156,837,108</w:t>
            </w:r>
          </w:p>
        </w:tc>
      </w:tr>
      <w:tr w:rsidR="00CB034B" w:rsidRPr="004B711C" w14:paraId="67104259" w14:textId="77777777" w:rsidTr="008E718E">
        <w:trPr>
          <w:trHeight w:val="300"/>
        </w:trPr>
        <w:tc>
          <w:tcPr>
            <w:tcW w:w="1569" w:type="pct"/>
            <w:tcBorders>
              <w:top w:val="nil"/>
              <w:bottom w:val="single" w:sz="4" w:space="0" w:color="auto"/>
            </w:tcBorders>
            <w:noWrap/>
          </w:tcPr>
          <w:p w14:paraId="525E7E84" w14:textId="77777777" w:rsidR="00CB034B" w:rsidRPr="004B711C" w:rsidRDefault="00CB034B" w:rsidP="008E718E">
            <w:pPr>
              <w:pStyle w:val="Tabletext1"/>
            </w:pPr>
            <w:r w:rsidRPr="004B711C">
              <w:t>8%</w:t>
            </w:r>
          </w:p>
        </w:tc>
        <w:tc>
          <w:tcPr>
            <w:tcW w:w="686" w:type="pct"/>
            <w:tcBorders>
              <w:top w:val="nil"/>
              <w:bottom w:val="single" w:sz="4" w:space="0" w:color="auto"/>
            </w:tcBorders>
            <w:noWrap/>
          </w:tcPr>
          <w:p w14:paraId="0E2875E2" w14:textId="77777777" w:rsidR="00CB034B" w:rsidRPr="004B711C" w:rsidRDefault="00CB034B" w:rsidP="008E718E">
            <w:pPr>
              <w:pStyle w:val="Tabletext1"/>
            </w:pPr>
            <w:r w:rsidRPr="004B711C">
              <w:t>$133,109,873</w:t>
            </w:r>
          </w:p>
        </w:tc>
        <w:tc>
          <w:tcPr>
            <w:tcW w:w="686" w:type="pct"/>
            <w:tcBorders>
              <w:top w:val="nil"/>
              <w:bottom w:val="single" w:sz="4" w:space="0" w:color="auto"/>
            </w:tcBorders>
            <w:noWrap/>
          </w:tcPr>
          <w:p w14:paraId="413F101B" w14:textId="77777777" w:rsidR="00CB034B" w:rsidRPr="004B711C" w:rsidRDefault="00CB034B" w:rsidP="008E718E">
            <w:pPr>
              <w:pStyle w:val="Tabletext1"/>
            </w:pPr>
            <w:r w:rsidRPr="004B711C">
              <w:t>$141,967,437</w:t>
            </w:r>
          </w:p>
        </w:tc>
        <w:tc>
          <w:tcPr>
            <w:tcW w:w="686" w:type="pct"/>
            <w:tcBorders>
              <w:top w:val="nil"/>
              <w:bottom w:val="single" w:sz="4" w:space="0" w:color="auto"/>
            </w:tcBorders>
            <w:noWrap/>
          </w:tcPr>
          <w:p w14:paraId="2B59ADB5" w14:textId="77777777" w:rsidR="00CB034B" w:rsidRPr="004B711C" w:rsidRDefault="00CB034B" w:rsidP="008E718E">
            <w:pPr>
              <w:pStyle w:val="Tabletext1"/>
            </w:pPr>
            <w:r w:rsidRPr="004B711C">
              <w:t>$151,369,135</w:t>
            </w:r>
          </w:p>
        </w:tc>
        <w:tc>
          <w:tcPr>
            <w:tcW w:w="686" w:type="pct"/>
            <w:tcBorders>
              <w:top w:val="nil"/>
              <w:bottom w:val="single" w:sz="4" w:space="0" w:color="auto"/>
            </w:tcBorders>
            <w:noWrap/>
          </w:tcPr>
          <w:p w14:paraId="2A69C0B0" w14:textId="77777777" w:rsidR="00CB034B" w:rsidRPr="004B711C" w:rsidRDefault="00CB034B" w:rsidP="008E718E">
            <w:pPr>
              <w:pStyle w:val="Tabletext1"/>
            </w:pPr>
            <w:r w:rsidRPr="004B711C">
              <w:t>$161,371,693</w:t>
            </w:r>
          </w:p>
        </w:tc>
        <w:tc>
          <w:tcPr>
            <w:tcW w:w="687" w:type="pct"/>
            <w:tcBorders>
              <w:top w:val="nil"/>
              <w:bottom w:val="single" w:sz="4" w:space="0" w:color="auto"/>
            </w:tcBorders>
            <w:noWrap/>
          </w:tcPr>
          <w:p w14:paraId="3611E1CD" w14:textId="77777777" w:rsidR="00CB034B" w:rsidRPr="004B711C" w:rsidRDefault="00CB034B" w:rsidP="008E718E">
            <w:pPr>
              <w:pStyle w:val="Tabletext1"/>
            </w:pPr>
            <w:r w:rsidRPr="004B711C">
              <w:t>$172,036,150</w:t>
            </w:r>
          </w:p>
        </w:tc>
      </w:tr>
      <w:tr w:rsidR="00CB034B" w:rsidRPr="004B711C" w14:paraId="034B539B" w14:textId="77777777" w:rsidTr="008E718E">
        <w:trPr>
          <w:trHeight w:val="300"/>
        </w:trPr>
        <w:tc>
          <w:tcPr>
            <w:tcW w:w="5000" w:type="pct"/>
            <w:gridSpan w:val="6"/>
            <w:tcBorders>
              <w:top w:val="single" w:sz="4" w:space="0" w:color="auto"/>
              <w:bottom w:val="single" w:sz="4" w:space="0" w:color="auto"/>
            </w:tcBorders>
            <w:noWrap/>
          </w:tcPr>
          <w:p w14:paraId="75CE381B" w14:textId="77777777" w:rsidR="00CB034B" w:rsidRPr="004B711C" w:rsidRDefault="00CB034B" w:rsidP="008E718E">
            <w:pPr>
              <w:pStyle w:val="Tabletext1"/>
            </w:pPr>
            <w:r w:rsidRPr="004B711C">
              <w:t>Administration cost per IV infusion (base-case: $693)</w:t>
            </w:r>
          </w:p>
        </w:tc>
      </w:tr>
      <w:tr w:rsidR="00CB034B" w:rsidRPr="004B711C" w14:paraId="25E2CE59" w14:textId="77777777" w:rsidTr="008E718E">
        <w:trPr>
          <w:trHeight w:val="300"/>
        </w:trPr>
        <w:tc>
          <w:tcPr>
            <w:tcW w:w="1569" w:type="pct"/>
            <w:tcBorders>
              <w:top w:val="single" w:sz="4" w:space="0" w:color="auto"/>
              <w:bottom w:val="single" w:sz="4" w:space="0" w:color="auto"/>
            </w:tcBorders>
            <w:noWrap/>
          </w:tcPr>
          <w:p w14:paraId="7BD31515" w14:textId="77777777" w:rsidR="00CB034B" w:rsidRPr="007D398F" w:rsidRDefault="00CB034B" w:rsidP="008E718E">
            <w:pPr>
              <w:pStyle w:val="Tabletext1"/>
              <w:rPr>
                <w:vertAlign w:val="superscript"/>
              </w:rPr>
            </w:pPr>
            <w:r w:rsidRPr="007D398F">
              <w:t>$214 per infusion</w:t>
            </w:r>
            <w:r>
              <w:t xml:space="preserve"> </w:t>
            </w:r>
            <w:r>
              <w:rPr>
                <w:vertAlign w:val="superscript"/>
              </w:rPr>
              <w:t>b</w:t>
            </w:r>
          </w:p>
        </w:tc>
        <w:tc>
          <w:tcPr>
            <w:tcW w:w="686" w:type="pct"/>
            <w:tcBorders>
              <w:top w:val="single" w:sz="4" w:space="0" w:color="auto"/>
              <w:bottom w:val="single" w:sz="4" w:space="0" w:color="auto"/>
            </w:tcBorders>
            <w:noWrap/>
          </w:tcPr>
          <w:p w14:paraId="6BDCB42D" w14:textId="77777777" w:rsidR="00CB034B" w:rsidRPr="004B711C" w:rsidRDefault="00CB034B" w:rsidP="008E718E">
            <w:pPr>
              <w:pStyle w:val="Tabletext1"/>
            </w:pPr>
            <w:r w:rsidRPr="003137F2">
              <w:t>$109,646,774</w:t>
            </w:r>
          </w:p>
        </w:tc>
        <w:tc>
          <w:tcPr>
            <w:tcW w:w="686" w:type="pct"/>
            <w:tcBorders>
              <w:top w:val="single" w:sz="4" w:space="0" w:color="auto"/>
              <w:bottom w:val="single" w:sz="4" w:space="0" w:color="auto"/>
            </w:tcBorders>
            <w:noWrap/>
          </w:tcPr>
          <w:p w14:paraId="0CF90256" w14:textId="77777777" w:rsidR="00CB034B" w:rsidRPr="004B711C" w:rsidRDefault="00CB034B" w:rsidP="008E718E">
            <w:pPr>
              <w:pStyle w:val="Tabletext1"/>
            </w:pPr>
            <w:r w:rsidRPr="003137F2">
              <w:t>$116,014,000</w:t>
            </w:r>
          </w:p>
        </w:tc>
        <w:tc>
          <w:tcPr>
            <w:tcW w:w="686" w:type="pct"/>
            <w:tcBorders>
              <w:top w:val="single" w:sz="4" w:space="0" w:color="auto"/>
              <w:bottom w:val="single" w:sz="4" w:space="0" w:color="auto"/>
            </w:tcBorders>
            <w:noWrap/>
          </w:tcPr>
          <w:p w14:paraId="47DB4494" w14:textId="77777777" w:rsidR="00CB034B" w:rsidRPr="004B711C" w:rsidRDefault="00CB034B" w:rsidP="008E718E">
            <w:pPr>
              <w:pStyle w:val="Tabletext1"/>
            </w:pPr>
            <w:r w:rsidRPr="003137F2">
              <w:t>$122,351,118</w:t>
            </w:r>
          </w:p>
        </w:tc>
        <w:tc>
          <w:tcPr>
            <w:tcW w:w="686" w:type="pct"/>
            <w:tcBorders>
              <w:top w:val="single" w:sz="4" w:space="0" w:color="auto"/>
              <w:bottom w:val="single" w:sz="4" w:space="0" w:color="auto"/>
            </w:tcBorders>
            <w:noWrap/>
          </w:tcPr>
          <w:p w14:paraId="41E2C977" w14:textId="77777777" w:rsidR="00CB034B" w:rsidRPr="004B711C" w:rsidRDefault="00CB034B" w:rsidP="008E718E">
            <w:pPr>
              <w:pStyle w:val="Tabletext1"/>
            </w:pPr>
            <w:r w:rsidRPr="003137F2">
              <w:t>$128,654,537</w:t>
            </w:r>
          </w:p>
        </w:tc>
        <w:tc>
          <w:tcPr>
            <w:tcW w:w="687" w:type="pct"/>
            <w:tcBorders>
              <w:top w:val="single" w:sz="4" w:space="0" w:color="auto"/>
              <w:bottom w:val="single" w:sz="4" w:space="0" w:color="auto"/>
            </w:tcBorders>
            <w:noWrap/>
          </w:tcPr>
          <w:p w14:paraId="3457C30E" w14:textId="77777777" w:rsidR="00CB034B" w:rsidRPr="004B711C" w:rsidRDefault="00CB034B" w:rsidP="008E718E">
            <w:pPr>
              <w:pStyle w:val="Tabletext1"/>
            </w:pPr>
            <w:r w:rsidRPr="003137F2">
              <w:t>$134,920,670</w:t>
            </w:r>
          </w:p>
        </w:tc>
      </w:tr>
      <w:tr w:rsidR="00CB034B" w:rsidRPr="004B711C" w14:paraId="37067881" w14:textId="77777777" w:rsidTr="008E718E">
        <w:trPr>
          <w:trHeight w:val="300"/>
        </w:trPr>
        <w:tc>
          <w:tcPr>
            <w:tcW w:w="5000" w:type="pct"/>
            <w:gridSpan w:val="6"/>
            <w:tcBorders>
              <w:top w:val="single" w:sz="4" w:space="0" w:color="auto"/>
              <w:bottom w:val="single" w:sz="4" w:space="0" w:color="auto"/>
            </w:tcBorders>
            <w:noWrap/>
          </w:tcPr>
          <w:p w14:paraId="0912F325" w14:textId="77777777" w:rsidR="00CB034B" w:rsidRPr="004B711C" w:rsidRDefault="00CB034B" w:rsidP="008E718E">
            <w:pPr>
              <w:pStyle w:val="Tabletext1"/>
            </w:pPr>
            <w:r w:rsidRPr="004B711C">
              <w:t>Number of patients receiving Ig (base-case: projections assuming curved growth)</w:t>
            </w:r>
          </w:p>
        </w:tc>
      </w:tr>
      <w:tr w:rsidR="00CB034B" w:rsidRPr="004B711C" w14:paraId="7D56C572" w14:textId="77777777" w:rsidTr="008E718E">
        <w:trPr>
          <w:trHeight w:val="300"/>
        </w:trPr>
        <w:tc>
          <w:tcPr>
            <w:tcW w:w="1569" w:type="pct"/>
            <w:tcBorders>
              <w:top w:val="single" w:sz="4" w:space="0" w:color="auto"/>
              <w:bottom w:val="single" w:sz="4" w:space="0" w:color="auto"/>
            </w:tcBorders>
            <w:noWrap/>
          </w:tcPr>
          <w:p w14:paraId="0E49D132" w14:textId="77777777" w:rsidR="00CB034B" w:rsidRPr="004B711C" w:rsidRDefault="00CB034B" w:rsidP="008E718E">
            <w:pPr>
              <w:pStyle w:val="Tabletext1"/>
            </w:pPr>
            <w:r w:rsidRPr="004B711C">
              <w:t>Numbers projected using linear growth</w:t>
            </w:r>
          </w:p>
        </w:tc>
        <w:tc>
          <w:tcPr>
            <w:tcW w:w="686" w:type="pct"/>
            <w:tcBorders>
              <w:top w:val="single" w:sz="4" w:space="0" w:color="auto"/>
              <w:bottom w:val="single" w:sz="4" w:space="0" w:color="auto"/>
            </w:tcBorders>
            <w:noWrap/>
          </w:tcPr>
          <w:p w14:paraId="40EB26F5" w14:textId="77777777" w:rsidR="00CB034B" w:rsidRPr="004B711C" w:rsidRDefault="00CB034B" w:rsidP="008E718E">
            <w:pPr>
              <w:pStyle w:val="Tabletext1"/>
            </w:pPr>
            <w:r w:rsidRPr="00933A67">
              <w:t>$129,965,580</w:t>
            </w:r>
          </w:p>
        </w:tc>
        <w:tc>
          <w:tcPr>
            <w:tcW w:w="686" w:type="pct"/>
            <w:tcBorders>
              <w:top w:val="single" w:sz="4" w:space="0" w:color="auto"/>
              <w:bottom w:val="single" w:sz="4" w:space="0" w:color="auto"/>
            </w:tcBorders>
            <w:noWrap/>
          </w:tcPr>
          <w:p w14:paraId="18425CE6" w14:textId="77777777" w:rsidR="00CB034B" w:rsidRPr="004B711C" w:rsidRDefault="00CB034B" w:rsidP="008E718E">
            <w:pPr>
              <w:pStyle w:val="Tabletext1"/>
            </w:pPr>
            <w:r w:rsidRPr="00933A67">
              <w:t>$137,039,285</w:t>
            </w:r>
          </w:p>
        </w:tc>
        <w:tc>
          <w:tcPr>
            <w:tcW w:w="686" w:type="pct"/>
            <w:tcBorders>
              <w:top w:val="single" w:sz="4" w:space="0" w:color="auto"/>
              <w:bottom w:val="single" w:sz="4" w:space="0" w:color="auto"/>
            </w:tcBorders>
            <w:noWrap/>
          </w:tcPr>
          <w:p w14:paraId="44F29981" w14:textId="77777777" w:rsidR="00CB034B" w:rsidRPr="004B711C" w:rsidRDefault="00CB034B" w:rsidP="008E718E">
            <w:pPr>
              <w:pStyle w:val="Tabletext1"/>
            </w:pPr>
            <w:r w:rsidRPr="00933A67">
              <w:t>$144,090,757</w:t>
            </w:r>
          </w:p>
        </w:tc>
        <w:tc>
          <w:tcPr>
            <w:tcW w:w="686" w:type="pct"/>
            <w:tcBorders>
              <w:top w:val="single" w:sz="4" w:space="0" w:color="auto"/>
              <w:bottom w:val="single" w:sz="4" w:space="0" w:color="auto"/>
            </w:tcBorders>
            <w:noWrap/>
          </w:tcPr>
          <w:p w14:paraId="29F7BB50" w14:textId="77777777" w:rsidR="00CB034B" w:rsidRPr="004B711C" w:rsidRDefault="00CB034B" w:rsidP="008E718E">
            <w:pPr>
              <w:pStyle w:val="Tabletext1"/>
            </w:pPr>
            <w:r w:rsidRPr="00933A67">
              <w:t>$151,119,996</w:t>
            </w:r>
          </w:p>
        </w:tc>
        <w:tc>
          <w:tcPr>
            <w:tcW w:w="687" w:type="pct"/>
            <w:tcBorders>
              <w:top w:val="single" w:sz="4" w:space="0" w:color="auto"/>
              <w:bottom w:val="single" w:sz="4" w:space="0" w:color="auto"/>
            </w:tcBorders>
            <w:noWrap/>
          </w:tcPr>
          <w:p w14:paraId="1FD9B08D" w14:textId="77777777" w:rsidR="00CB034B" w:rsidRPr="004B711C" w:rsidRDefault="00CB034B" w:rsidP="008E718E">
            <w:pPr>
              <w:pStyle w:val="Tabletext1"/>
            </w:pPr>
            <w:r w:rsidRPr="00933A67">
              <w:t>$158,127,003</w:t>
            </w:r>
          </w:p>
        </w:tc>
      </w:tr>
      <w:tr w:rsidR="00CB034B" w:rsidRPr="004B711C" w14:paraId="5D7A4752" w14:textId="77777777" w:rsidTr="008E718E">
        <w:trPr>
          <w:trHeight w:val="300"/>
        </w:trPr>
        <w:tc>
          <w:tcPr>
            <w:tcW w:w="5000" w:type="pct"/>
            <w:gridSpan w:val="6"/>
            <w:tcBorders>
              <w:top w:val="single" w:sz="4" w:space="0" w:color="auto"/>
              <w:bottom w:val="single" w:sz="4" w:space="0" w:color="auto"/>
            </w:tcBorders>
            <w:noWrap/>
          </w:tcPr>
          <w:p w14:paraId="04E19769" w14:textId="77777777" w:rsidR="00CB034B" w:rsidRPr="004B711C" w:rsidRDefault="00CB034B" w:rsidP="008E718E">
            <w:pPr>
              <w:pStyle w:val="Tabletext1"/>
            </w:pPr>
            <w:r w:rsidRPr="004B711C">
              <w:t>Switch to SCIg (base-case: 2.5% increase every year)</w:t>
            </w:r>
          </w:p>
        </w:tc>
      </w:tr>
      <w:tr w:rsidR="00CB034B" w:rsidRPr="004B711C" w14:paraId="21CDA4D6" w14:textId="77777777" w:rsidTr="008E718E">
        <w:trPr>
          <w:trHeight w:val="300"/>
        </w:trPr>
        <w:tc>
          <w:tcPr>
            <w:tcW w:w="1569" w:type="pct"/>
            <w:tcBorders>
              <w:top w:val="single" w:sz="4" w:space="0" w:color="auto"/>
              <w:bottom w:val="single" w:sz="4" w:space="0" w:color="auto"/>
            </w:tcBorders>
            <w:noWrap/>
          </w:tcPr>
          <w:p w14:paraId="370F0D20" w14:textId="77777777" w:rsidR="00CB034B" w:rsidRPr="004B711C" w:rsidRDefault="00CB034B" w:rsidP="008E718E">
            <w:pPr>
              <w:pStyle w:val="Tabletext1"/>
            </w:pPr>
            <w:r w:rsidRPr="007F4FE4">
              <w:t>Flat 5% SCIg use</w:t>
            </w:r>
          </w:p>
        </w:tc>
        <w:tc>
          <w:tcPr>
            <w:tcW w:w="686" w:type="pct"/>
            <w:tcBorders>
              <w:top w:val="single" w:sz="4" w:space="0" w:color="auto"/>
              <w:bottom w:val="single" w:sz="4" w:space="0" w:color="auto"/>
            </w:tcBorders>
            <w:noWrap/>
          </w:tcPr>
          <w:p w14:paraId="57775386" w14:textId="77777777" w:rsidR="00CB034B" w:rsidRPr="004B711C" w:rsidRDefault="00CB034B" w:rsidP="008E718E">
            <w:pPr>
              <w:pStyle w:val="Tabletext1"/>
            </w:pPr>
            <w:r w:rsidRPr="007F4FE4">
              <w:t>$128,181,501</w:t>
            </w:r>
          </w:p>
        </w:tc>
        <w:tc>
          <w:tcPr>
            <w:tcW w:w="686" w:type="pct"/>
            <w:tcBorders>
              <w:top w:val="single" w:sz="4" w:space="0" w:color="auto"/>
              <w:bottom w:val="single" w:sz="4" w:space="0" w:color="auto"/>
            </w:tcBorders>
            <w:noWrap/>
          </w:tcPr>
          <w:p w14:paraId="17CC1FC9" w14:textId="77777777" w:rsidR="00CB034B" w:rsidRPr="004B711C" w:rsidRDefault="00CB034B" w:rsidP="008E718E">
            <w:pPr>
              <w:pStyle w:val="Tabletext1"/>
            </w:pPr>
            <w:r w:rsidRPr="007F4FE4">
              <w:t>$134,703,745</w:t>
            </w:r>
          </w:p>
        </w:tc>
        <w:tc>
          <w:tcPr>
            <w:tcW w:w="686" w:type="pct"/>
            <w:tcBorders>
              <w:top w:val="single" w:sz="4" w:space="0" w:color="auto"/>
              <w:bottom w:val="single" w:sz="4" w:space="0" w:color="auto"/>
            </w:tcBorders>
            <w:noWrap/>
          </w:tcPr>
          <w:p w14:paraId="0CEC2F46" w14:textId="77777777" w:rsidR="00CB034B" w:rsidRPr="004B711C" w:rsidRDefault="00CB034B" w:rsidP="008E718E">
            <w:pPr>
              <w:pStyle w:val="Tabletext1"/>
            </w:pPr>
            <w:r w:rsidRPr="007F4FE4">
              <w:t>$141,104,370</w:t>
            </w:r>
          </w:p>
        </w:tc>
        <w:tc>
          <w:tcPr>
            <w:tcW w:w="686" w:type="pct"/>
            <w:tcBorders>
              <w:top w:val="single" w:sz="4" w:space="0" w:color="auto"/>
              <w:bottom w:val="single" w:sz="4" w:space="0" w:color="auto"/>
            </w:tcBorders>
            <w:noWrap/>
          </w:tcPr>
          <w:p w14:paraId="5BDE4E52" w14:textId="77777777" w:rsidR="00CB034B" w:rsidRPr="004B711C" w:rsidRDefault="00CB034B" w:rsidP="008E718E">
            <w:pPr>
              <w:pStyle w:val="Tabletext1"/>
            </w:pPr>
            <w:r w:rsidRPr="007F4FE4">
              <w:t>$147,383,377</w:t>
            </w:r>
          </w:p>
        </w:tc>
        <w:tc>
          <w:tcPr>
            <w:tcW w:w="687" w:type="pct"/>
            <w:tcBorders>
              <w:top w:val="single" w:sz="4" w:space="0" w:color="auto"/>
              <w:bottom w:val="single" w:sz="4" w:space="0" w:color="auto"/>
            </w:tcBorders>
            <w:noWrap/>
          </w:tcPr>
          <w:p w14:paraId="7A6F7AF9" w14:textId="77777777" w:rsidR="00CB034B" w:rsidRPr="004B711C" w:rsidRDefault="00CB034B" w:rsidP="008E718E">
            <w:pPr>
              <w:pStyle w:val="Tabletext1"/>
            </w:pPr>
            <w:r w:rsidRPr="007F4FE4">
              <w:t>$153,540,766</w:t>
            </w:r>
          </w:p>
        </w:tc>
      </w:tr>
      <w:tr w:rsidR="00CB034B" w:rsidRPr="004B711C" w14:paraId="7EB9BB55" w14:textId="77777777" w:rsidTr="008E718E">
        <w:trPr>
          <w:trHeight w:val="300"/>
        </w:trPr>
        <w:tc>
          <w:tcPr>
            <w:tcW w:w="1569" w:type="pct"/>
            <w:tcBorders>
              <w:top w:val="single" w:sz="4" w:space="0" w:color="auto"/>
              <w:bottom w:val="single" w:sz="4" w:space="0" w:color="auto"/>
            </w:tcBorders>
            <w:noWrap/>
          </w:tcPr>
          <w:p w14:paraId="69395B50" w14:textId="77777777" w:rsidR="00CB034B" w:rsidRPr="004B711C" w:rsidRDefault="00CB034B" w:rsidP="008E718E">
            <w:pPr>
              <w:pStyle w:val="Tabletext1"/>
            </w:pPr>
            <w:r w:rsidRPr="007F4FE4">
              <w:t>5% increase every year</w:t>
            </w:r>
          </w:p>
        </w:tc>
        <w:tc>
          <w:tcPr>
            <w:tcW w:w="686" w:type="pct"/>
            <w:tcBorders>
              <w:top w:val="single" w:sz="4" w:space="0" w:color="auto"/>
              <w:bottom w:val="single" w:sz="4" w:space="0" w:color="auto"/>
            </w:tcBorders>
            <w:noWrap/>
          </w:tcPr>
          <w:p w14:paraId="58710765" w14:textId="77777777" w:rsidR="00CB034B" w:rsidRPr="004B711C" w:rsidRDefault="00CB034B" w:rsidP="008E718E">
            <w:pPr>
              <w:pStyle w:val="Tabletext1"/>
            </w:pPr>
            <w:r w:rsidRPr="007F4FE4">
              <w:t>$128,181,501</w:t>
            </w:r>
          </w:p>
        </w:tc>
        <w:tc>
          <w:tcPr>
            <w:tcW w:w="686" w:type="pct"/>
            <w:tcBorders>
              <w:top w:val="single" w:sz="4" w:space="0" w:color="auto"/>
              <w:bottom w:val="single" w:sz="4" w:space="0" w:color="auto"/>
            </w:tcBorders>
            <w:noWrap/>
          </w:tcPr>
          <w:p w14:paraId="033586C9" w14:textId="77777777" w:rsidR="00CB034B" w:rsidRPr="004B711C" w:rsidRDefault="00CB034B" w:rsidP="008E718E">
            <w:pPr>
              <w:pStyle w:val="Tabletext1"/>
            </w:pPr>
            <w:r w:rsidRPr="007F4FE4">
              <w:t>$134,265,289</w:t>
            </w:r>
          </w:p>
        </w:tc>
        <w:tc>
          <w:tcPr>
            <w:tcW w:w="686" w:type="pct"/>
            <w:tcBorders>
              <w:top w:val="single" w:sz="4" w:space="0" w:color="auto"/>
              <w:bottom w:val="single" w:sz="4" w:space="0" w:color="auto"/>
            </w:tcBorders>
            <w:noWrap/>
          </w:tcPr>
          <w:p w14:paraId="37807F5F" w14:textId="77777777" w:rsidR="00CB034B" w:rsidRPr="004B711C" w:rsidRDefault="00CB034B" w:rsidP="008E718E">
            <w:pPr>
              <w:pStyle w:val="Tabletext1"/>
            </w:pPr>
            <w:r w:rsidRPr="007F4FE4">
              <w:t>$140,211,096</w:t>
            </w:r>
          </w:p>
        </w:tc>
        <w:tc>
          <w:tcPr>
            <w:tcW w:w="686" w:type="pct"/>
            <w:tcBorders>
              <w:top w:val="single" w:sz="4" w:space="0" w:color="auto"/>
              <w:bottom w:val="single" w:sz="4" w:space="0" w:color="auto"/>
            </w:tcBorders>
            <w:noWrap/>
          </w:tcPr>
          <w:p w14:paraId="57A33BC0" w14:textId="77777777" w:rsidR="00CB034B" w:rsidRPr="004B711C" w:rsidRDefault="00CB034B" w:rsidP="008E718E">
            <w:pPr>
              <w:pStyle w:val="Tabletext1"/>
            </w:pPr>
            <w:r w:rsidRPr="007F4FE4">
              <w:t>$146,024,546</w:t>
            </w:r>
          </w:p>
        </w:tc>
        <w:tc>
          <w:tcPr>
            <w:tcW w:w="687" w:type="pct"/>
            <w:tcBorders>
              <w:top w:val="single" w:sz="4" w:space="0" w:color="auto"/>
              <w:bottom w:val="single" w:sz="4" w:space="0" w:color="auto"/>
            </w:tcBorders>
            <w:noWrap/>
          </w:tcPr>
          <w:p w14:paraId="2C38163C" w14:textId="77777777" w:rsidR="00CB034B" w:rsidRPr="004B711C" w:rsidRDefault="00CB034B" w:rsidP="008E718E">
            <w:pPr>
              <w:pStyle w:val="Tabletext1"/>
            </w:pPr>
            <w:r w:rsidRPr="007F4FE4">
              <w:t>$151,711,258</w:t>
            </w:r>
          </w:p>
        </w:tc>
      </w:tr>
    </w:tbl>
    <w:p w14:paraId="3654AD48" w14:textId="1CFDA1C8" w:rsidR="00CB034B" w:rsidRDefault="00CB034B" w:rsidP="00CB034B">
      <w:pPr>
        <w:pStyle w:val="Tablenotes1"/>
      </w:pPr>
      <w:r w:rsidRPr="008474CF">
        <w:rPr>
          <w:vertAlign w:val="superscript"/>
        </w:rPr>
        <w:t>a</w:t>
      </w:r>
      <w:r>
        <w:t xml:space="preserve"> For estimation of the average weighted price per gram within the CIDP indications see </w:t>
      </w:r>
      <w:r>
        <w:fldChar w:fldCharType="begin"/>
      </w:r>
      <w:r>
        <w:instrText xml:space="preserve"> REF _Ref16607859 \h </w:instrText>
      </w:r>
      <w:r>
        <w:fldChar w:fldCharType="separate"/>
      </w:r>
      <w:r w:rsidR="004B3EA2" w:rsidRPr="008474CF">
        <w:t xml:space="preserve">Table </w:t>
      </w:r>
      <w:r w:rsidR="004B3EA2">
        <w:rPr>
          <w:noProof/>
        </w:rPr>
        <w:t>89</w:t>
      </w:r>
      <w:r>
        <w:fldChar w:fldCharType="end"/>
      </w:r>
      <w:r>
        <w:t>, Appendix H.</w:t>
      </w:r>
    </w:p>
    <w:p w14:paraId="6988714E" w14:textId="4934327F" w:rsidR="00CB034B" w:rsidRDefault="00CB034B" w:rsidP="00CB034B">
      <w:pPr>
        <w:pStyle w:val="Tablenotes1"/>
      </w:pPr>
      <w:r>
        <w:rPr>
          <w:vertAlign w:val="superscript"/>
        </w:rPr>
        <w:t xml:space="preserve">b </w:t>
      </w:r>
      <w:r w:rsidRPr="007D398F">
        <w:t>Windegger et al reported $53.54 per week for IVIg</w:t>
      </w:r>
      <w:r>
        <w:t xml:space="preserve"> ward costs </w:t>
      </w:r>
      <w:r w:rsidR="00B727D6">
        <w:fldChar w:fldCharType="begin">
          <w:fldData xml:space="preserve">PEVuZE5vdGU+PENpdGU+PEF1dGhvcj5XaW5kZWdnZXI8L0F1dGhvcj48WWVhcj4yMDE5PC9ZZWFy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</w:fldData>
        </w:fldChar>
      </w:r>
      <w:r w:rsidR="00B727D6">
        <w:instrText xml:space="preserve"> ADDIN EN.CITE </w:instrText>
      </w:r>
      <w:r w:rsidR="00B727D6">
        <w:fldChar w:fldCharType="begin">
          <w:fldData xml:space="preserve">PEVuZE5vdGU+PENpdGU+PEF1dGhvcj5XaW5kZWdnZXI8L0F1dGhvcj48WWVhcj4yMDE5PC9ZZWFy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</w:fldData>
        </w:fldChar>
      </w:r>
      <w:r w:rsidR="00B727D6">
        <w:instrText xml:space="preserve"> ADDIN EN.CITE.DATA </w:instrText>
      </w:r>
      <w:r w:rsidR="00B727D6">
        <w:fldChar w:fldCharType="end"/>
      </w:r>
      <w:r w:rsidR="00B727D6">
        <w:fldChar w:fldCharType="separate"/>
      </w:r>
      <w:r w:rsidR="00B727D6">
        <w:rPr>
          <w:noProof/>
        </w:rPr>
        <w:t>(</w:t>
      </w:r>
      <w:hyperlink w:anchor="_ENREF_83" w:tooltip="Windegger, 2019 #42" w:history="1">
        <w:r w:rsidR="00D726F6">
          <w:rPr>
            <w:noProof/>
          </w:rPr>
          <w:t>Windegger et al. 2019</w:t>
        </w:r>
      </w:hyperlink>
      <w:r w:rsidR="00B727D6">
        <w:rPr>
          <w:noProof/>
        </w:rPr>
        <w:t>)</w:t>
      </w:r>
      <w:r w:rsidR="00B727D6">
        <w:fldChar w:fldCharType="end"/>
      </w:r>
      <w:r w:rsidRPr="007D398F">
        <w:t>, that is $214 for infusion</w:t>
      </w:r>
      <w:r>
        <w:t>s</w:t>
      </w:r>
      <w:r w:rsidRPr="007D398F">
        <w:t xml:space="preserve"> every 4 weeks</w:t>
      </w:r>
      <w:r>
        <w:t>.</w:t>
      </w:r>
    </w:p>
    <w:p w14:paraId="326FA87C" w14:textId="77777777" w:rsidR="00CB034B" w:rsidRDefault="00CB034B" w:rsidP="00CB034B">
      <w:pPr>
        <w:pStyle w:val="Tablenotes1"/>
      </w:pPr>
      <w:r>
        <w:t xml:space="preserve">Ig = immunoglobulin; </w:t>
      </w:r>
      <w:r w:rsidRPr="00E07567">
        <w:t>IVIg = intravenous immunoglobulin</w:t>
      </w:r>
      <w:r>
        <w:t>; SCIg = subcutaneous immunoglobulin.</w:t>
      </w:r>
    </w:p>
    <w:p w14:paraId="62843749" w14:textId="04311AE5" w:rsidR="004E596E" w:rsidRDefault="004E596E" w:rsidP="0040453B">
      <w:pPr>
        <w:pStyle w:val="Heading1"/>
      </w:pPr>
      <w:bookmarkStart w:id="487" w:name="_Toc69305614"/>
      <w:bookmarkStart w:id="488" w:name="_Toc379118100"/>
      <w:bookmarkStart w:id="489" w:name="_Toc381796499"/>
      <w:bookmarkEnd w:id="453"/>
      <w:bookmarkEnd w:id="454"/>
      <w:r>
        <w:t>Appendix A</w:t>
      </w:r>
      <w:r>
        <w:tab/>
        <w:t>Clinical experts and assessment group</w:t>
      </w:r>
      <w:bookmarkEnd w:id="487"/>
      <w:r>
        <w:t xml:space="preserve"> </w:t>
      </w:r>
    </w:p>
    <w:p w14:paraId="0549E103" w14:textId="77777777" w:rsidR="004E596E" w:rsidRPr="00125920" w:rsidRDefault="004E596E" w:rsidP="004E596E">
      <w:pPr>
        <w:keepNext/>
        <w:spacing w:before="240"/>
        <w:outlineLvl w:val="1"/>
        <w:rPr>
          <w:b/>
          <w:smallCaps/>
          <w:sz w:val="28"/>
        </w:rPr>
      </w:pPr>
      <w:bookmarkStart w:id="490" w:name="_Toc379118099"/>
      <w:bookmarkStart w:id="491" w:name="_Toc381796498"/>
      <w:bookmarkStart w:id="492" w:name="_Toc69305615"/>
      <w:r w:rsidRPr="00125920">
        <w:rPr>
          <w:b/>
          <w:smallCaps/>
          <w:sz w:val="28"/>
        </w:rPr>
        <w:t>Assessment group</w:t>
      </w:r>
      <w:bookmarkEnd w:id="490"/>
      <w:bookmarkEnd w:id="491"/>
      <w:bookmarkEnd w:id="492"/>
      <w:r w:rsidRPr="00125920">
        <w:rPr>
          <w:b/>
          <w:smallCaps/>
          <w:sz w:val="28"/>
        </w:rPr>
        <w:t xml:space="preserve"> </w:t>
      </w:r>
    </w:p>
    <w:p w14:paraId="7E49DC5E" w14:textId="77777777" w:rsidR="004E596E" w:rsidRPr="00125920" w:rsidRDefault="004E596E" w:rsidP="004E596E">
      <w:pPr>
        <w:spacing w:line="240" w:lineRule="auto"/>
        <w:jc w:val="both"/>
        <w:rPr>
          <w:b/>
        </w:rPr>
      </w:pPr>
      <w:r>
        <w:rPr>
          <w:b/>
        </w:rPr>
        <w:t xml:space="preserve">Adelaide Health Technology Assessment </w:t>
      </w:r>
      <w:r w:rsidRPr="00125920">
        <w:rPr>
          <w:b/>
        </w:rPr>
        <w:t>(</w:t>
      </w:r>
      <w:r>
        <w:rPr>
          <w:b/>
        </w:rPr>
        <w:t>AHTA</w:t>
      </w:r>
      <w:r w:rsidRPr="00125920">
        <w:rPr>
          <w:b/>
        </w:rPr>
        <w:t>)</w:t>
      </w:r>
    </w:p>
    <w:p w14:paraId="72980FC3" w14:textId="77777777" w:rsidR="004E596E" w:rsidRPr="00125920" w:rsidRDefault="004E596E" w:rsidP="00BD440B">
      <w:pPr>
        <w:tabs>
          <w:tab w:val="left" w:pos="4111"/>
        </w:tabs>
        <w:spacing w:after="40"/>
        <w:jc w:val="both"/>
        <w:rPr>
          <w:u w:val="single"/>
          <w:shd w:val="clear" w:color="auto" w:fill="C0C0C1"/>
        </w:rPr>
      </w:pPr>
      <w:r w:rsidRPr="00BD440B">
        <w:rPr>
          <w:u w:val="single"/>
        </w:rPr>
        <w:t>Name</w:t>
      </w:r>
      <w:r w:rsidRPr="00BD440B">
        <w:tab/>
      </w:r>
      <w:r w:rsidRPr="00BD440B">
        <w:rPr>
          <w:u w:val="single"/>
        </w:rPr>
        <w:t>Position</w:t>
      </w:r>
    </w:p>
    <w:p w14:paraId="4EA1915E" w14:textId="77777777" w:rsidR="004E596E" w:rsidRDefault="004E596E" w:rsidP="00BD440B">
      <w:pPr>
        <w:tabs>
          <w:tab w:val="left" w:pos="4111"/>
        </w:tabs>
        <w:jc w:val="both"/>
      </w:pPr>
      <w:r w:rsidRPr="0040453B">
        <w:t>Ruchi Mittal</w:t>
      </w:r>
      <w:r w:rsidRPr="0040453B">
        <w:tab/>
        <w:t xml:space="preserve">Senior </w:t>
      </w:r>
      <w:r w:rsidR="0081253A">
        <w:t>Health E</w:t>
      </w:r>
      <w:r w:rsidRPr="0040453B">
        <w:t>conomist</w:t>
      </w:r>
    </w:p>
    <w:p w14:paraId="2752A1C9" w14:textId="77777777" w:rsidR="0040453B" w:rsidRPr="00125920" w:rsidRDefault="0040453B" w:rsidP="0040453B">
      <w:pPr>
        <w:tabs>
          <w:tab w:val="left" w:pos="4111"/>
        </w:tabs>
        <w:jc w:val="both"/>
        <w:rPr>
          <w:shd w:val="clear" w:color="auto" w:fill="C0C0C1"/>
        </w:rPr>
      </w:pPr>
      <w:r w:rsidRPr="00BD440B">
        <w:t>Joanne Milverton</w:t>
      </w:r>
      <w:r w:rsidRPr="00BD440B">
        <w:tab/>
        <w:t>Senior Health Technology Assessment Analyst</w:t>
      </w:r>
    </w:p>
    <w:p w14:paraId="28155F4F" w14:textId="77777777" w:rsidR="0040453B" w:rsidRPr="00125920" w:rsidRDefault="0040453B" w:rsidP="0040453B">
      <w:pPr>
        <w:tabs>
          <w:tab w:val="left" w:pos="4111"/>
        </w:tabs>
        <w:jc w:val="both"/>
        <w:rPr>
          <w:shd w:val="clear" w:color="auto" w:fill="C0C0C1"/>
        </w:rPr>
      </w:pPr>
      <w:r w:rsidRPr="0040453B">
        <w:t>Camille Schubert</w:t>
      </w:r>
      <w:r w:rsidRPr="0040453B">
        <w:tab/>
        <w:t xml:space="preserve">Team Leader </w:t>
      </w:r>
      <w:r w:rsidR="0081253A">
        <w:t>–</w:t>
      </w:r>
      <w:r w:rsidRPr="0040453B">
        <w:t xml:space="preserve"> </w:t>
      </w:r>
      <w:r w:rsidR="0081253A">
        <w:t xml:space="preserve">Health </w:t>
      </w:r>
      <w:r w:rsidRPr="0040453B">
        <w:t>Economics</w:t>
      </w:r>
    </w:p>
    <w:p w14:paraId="56F61185" w14:textId="77777777" w:rsidR="004E596E" w:rsidRDefault="004E596E" w:rsidP="00BD440B">
      <w:pPr>
        <w:tabs>
          <w:tab w:val="left" w:pos="4111"/>
        </w:tabs>
        <w:jc w:val="both"/>
      </w:pPr>
      <w:r w:rsidRPr="0040453B">
        <w:t>Jacqueline Parsons</w:t>
      </w:r>
      <w:r w:rsidRPr="0040453B">
        <w:tab/>
        <w:t>Team Leader - Special Projects</w:t>
      </w:r>
    </w:p>
    <w:p w14:paraId="390B0185" w14:textId="77777777" w:rsidR="004E596E" w:rsidRPr="00125920" w:rsidRDefault="004E596E" w:rsidP="004E596E">
      <w:pPr>
        <w:tabs>
          <w:tab w:val="left" w:pos="4111"/>
        </w:tabs>
        <w:jc w:val="both"/>
      </w:pPr>
    </w:p>
    <w:p w14:paraId="76461BDD" w14:textId="77777777" w:rsidR="004E596E" w:rsidRPr="00125920" w:rsidRDefault="004E596E" w:rsidP="004E596E">
      <w:pPr>
        <w:spacing w:line="240" w:lineRule="auto"/>
        <w:jc w:val="both"/>
        <w:rPr>
          <w:b/>
          <w:sz w:val="28"/>
          <w:szCs w:val="28"/>
        </w:rPr>
      </w:pPr>
      <w:bookmarkStart w:id="493" w:name="_Toc352254679"/>
      <w:bookmarkStart w:id="494" w:name="_Toc352672951"/>
      <w:bookmarkStart w:id="495" w:name="_Toc352761736"/>
      <w:r w:rsidRPr="00125920">
        <w:rPr>
          <w:b/>
          <w:sz w:val="28"/>
          <w:szCs w:val="28"/>
        </w:rPr>
        <w:t>Noted conflicts of interest</w:t>
      </w:r>
      <w:bookmarkEnd w:id="493"/>
      <w:bookmarkEnd w:id="494"/>
      <w:bookmarkEnd w:id="495"/>
    </w:p>
    <w:p w14:paraId="7AA7D13C" w14:textId="77777777" w:rsidR="004E596E" w:rsidRPr="00125920" w:rsidRDefault="004E596E" w:rsidP="004E596E">
      <w:pPr>
        <w:spacing w:line="240" w:lineRule="auto"/>
        <w:jc w:val="both"/>
      </w:pPr>
      <w:r w:rsidRPr="00125920">
        <w:t>There were no conflicts of interest.</w:t>
      </w:r>
    </w:p>
    <w:p w14:paraId="1312F6FE" w14:textId="77777777" w:rsidR="004E596E" w:rsidRDefault="004E596E" w:rsidP="0040453B"/>
    <w:p w14:paraId="599A1C0E" w14:textId="77777777" w:rsidR="004E596E" w:rsidRDefault="004E596E" w:rsidP="0040453B">
      <w:r>
        <w:br w:type="page"/>
      </w:r>
    </w:p>
    <w:p w14:paraId="08331E41" w14:textId="69B90A20" w:rsidR="007A7960" w:rsidRPr="00E3331A" w:rsidRDefault="00193B87" w:rsidP="00DF343F">
      <w:pPr>
        <w:pStyle w:val="Heading1"/>
        <w:jc w:val="both"/>
      </w:pPr>
      <w:bookmarkStart w:id="496" w:name="_Toc69305616"/>
      <w:r w:rsidRPr="00E3331A">
        <w:t xml:space="preserve">Appendix </w:t>
      </w:r>
      <w:r w:rsidR="00171CCE">
        <w:rPr>
          <w:noProof/>
        </w:rPr>
        <w:t>B</w:t>
      </w:r>
      <w:r w:rsidR="00871F61" w:rsidRPr="00E3331A">
        <w:tab/>
        <w:t>Search strategies</w:t>
      </w:r>
      <w:bookmarkEnd w:id="488"/>
      <w:bookmarkEnd w:id="489"/>
      <w:bookmarkEnd w:id="496"/>
    </w:p>
    <w:p w14:paraId="2C1C5CEF" w14:textId="77777777" w:rsidR="00E40E41" w:rsidRDefault="00E40E41" w:rsidP="00C84382">
      <w:pPr>
        <w:pStyle w:val="Heading2"/>
      </w:pPr>
      <w:bookmarkStart w:id="497" w:name="_Toc294256148"/>
      <w:bookmarkStart w:id="498" w:name="_Toc301358577"/>
      <w:bookmarkStart w:id="499" w:name="_Toc303677590"/>
      <w:bookmarkStart w:id="500" w:name="_Toc303677762"/>
      <w:bookmarkStart w:id="501" w:name="_Toc381796500"/>
      <w:bookmarkStart w:id="502" w:name="_Toc69305617"/>
      <w:r w:rsidRPr="00E3331A">
        <w:t>Bibliographic databases</w:t>
      </w:r>
      <w:bookmarkEnd w:id="497"/>
      <w:bookmarkEnd w:id="498"/>
      <w:bookmarkEnd w:id="499"/>
      <w:bookmarkEnd w:id="500"/>
      <w:bookmarkEnd w:id="501"/>
      <w:r w:rsidR="00B66B89">
        <w:t xml:space="preserve"> and study selection criteria for the safety and effectiveness of IVIg for CIDP</w:t>
      </w:r>
      <w:bookmarkEnd w:id="502"/>
    </w:p>
    <w:p w14:paraId="572614F0" w14:textId="02457A53" w:rsidR="00B66B89" w:rsidRPr="00B66B89" w:rsidRDefault="00B66B89" w:rsidP="00B66B89">
      <w:pPr>
        <w:pStyle w:val="Caption"/>
      </w:pPr>
      <w:bookmarkStart w:id="503" w:name="_Toc69305715"/>
      <w:r>
        <w:t xml:space="preserve">Table </w:t>
      </w:r>
      <w:r w:rsidR="00003BA5">
        <w:fldChar w:fldCharType="begin"/>
      </w:r>
      <w:r w:rsidR="00003BA5">
        <w:instrText xml:space="preserve"> SEQ Table \* ARABIC </w:instrText>
      </w:r>
      <w:r w:rsidR="00003BA5">
        <w:fldChar w:fldCharType="separate"/>
      </w:r>
      <w:r w:rsidR="004B3EA2">
        <w:rPr>
          <w:noProof/>
        </w:rPr>
        <w:t>74</w:t>
      </w:r>
      <w:r w:rsidR="00003BA5">
        <w:rPr>
          <w:noProof/>
        </w:rPr>
        <w:fldChar w:fldCharType="end"/>
      </w:r>
      <w:r>
        <w:t xml:space="preserve"> </w:t>
      </w:r>
      <w:r>
        <w:tab/>
        <w:t>Bibliographic databases used in the literature search</w:t>
      </w:r>
      <w:bookmarkEnd w:id="503"/>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ibliographic databases used in the literature search"/>
        <w:tblDescription w:val="Bibliographic databases used in the literature search"/>
      </w:tblPr>
      <w:tblGrid>
        <w:gridCol w:w="5783"/>
        <w:gridCol w:w="3261"/>
      </w:tblGrid>
      <w:tr w:rsidR="0021273B" w:rsidRPr="00E3331A" w14:paraId="25E34869" w14:textId="77777777" w:rsidTr="00B66B89">
        <w:trPr>
          <w:trHeight w:val="303"/>
        </w:trPr>
        <w:tc>
          <w:tcPr>
            <w:tcW w:w="5783" w:type="dxa"/>
          </w:tcPr>
          <w:p w14:paraId="6AFE2C67" w14:textId="77777777" w:rsidR="0021273B" w:rsidRPr="00E3331A" w:rsidRDefault="0021273B" w:rsidP="00591A6D">
            <w:pPr>
              <w:pStyle w:val="TableHeading"/>
            </w:pPr>
            <w:r w:rsidRPr="00E3331A">
              <w:t>Electronic database</w:t>
            </w:r>
          </w:p>
        </w:tc>
        <w:tc>
          <w:tcPr>
            <w:tcW w:w="3261" w:type="dxa"/>
          </w:tcPr>
          <w:p w14:paraId="33FA56DE" w14:textId="77777777" w:rsidR="0021273B" w:rsidRPr="00E3331A" w:rsidRDefault="0021273B" w:rsidP="00591A6D">
            <w:pPr>
              <w:pStyle w:val="TableHeading"/>
            </w:pPr>
            <w:r w:rsidRPr="00E3331A">
              <w:t>Time period</w:t>
            </w:r>
            <w:r w:rsidR="00591A6D" w:rsidRPr="00E3331A">
              <w:t xml:space="preserve"> searched</w:t>
            </w:r>
          </w:p>
        </w:tc>
      </w:tr>
      <w:tr w:rsidR="0021273B" w:rsidRPr="00E3331A" w14:paraId="5702BBB3" w14:textId="77777777" w:rsidTr="00B66B89">
        <w:tc>
          <w:tcPr>
            <w:tcW w:w="5783" w:type="dxa"/>
            <w:shd w:val="clear" w:color="auto" w:fill="auto"/>
          </w:tcPr>
          <w:p w14:paraId="1B5D9BBE" w14:textId="77777777" w:rsidR="0021273B" w:rsidRPr="00E3331A" w:rsidRDefault="003E1B16" w:rsidP="0040453B">
            <w:pPr>
              <w:pStyle w:val="Tabletext1"/>
              <w:rPr>
                <w:vanish/>
                <w:color w:val="C00000"/>
              </w:rPr>
            </w:pPr>
            <w:r w:rsidRPr="00E3331A">
              <w:t>Embase</w:t>
            </w:r>
          </w:p>
        </w:tc>
        <w:tc>
          <w:tcPr>
            <w:tcW w:w="3261" w:type="dxa"/>
            <w:shd w:val="clear" w:color="auto" w:fill="auto"/>
          </w:tcPr>
          <w:p w14:paraId="712C9951" w14:textId="77777777" w:rsidR="0021273B" w:rsidRPr="00E3331A" w:rsidRDefault="00B65F4E" w:rsidP="004E596E">
            <w:pPr>
              <w:pStyle w:val="Tabletext1"/>
            </w:pPr>
            <w:r w:rsidRPr="00E3331A">
              <w:t xml:space="preserve">Inception to </w:t>
            </w:r>
            <w:r w:rsidR="004E596E">
              <w:t>07</w:t>
            </w:r>
            <w:r w:rsidR="004E596E" w:rsidRPr="00E3331A">
              <w:t xml:space="preserve"> </w:t>
            </w:r>
            <w:r w:rsidR="004E596E">
              <w:t>October</w:t>
            </w:r>
            <w:r w:rsidR="004E596E" w:rsidRPr="00E3331A">
              <w:t xml:space="preserve"> </w:t>
            </w:r>
            <w:r w:rsidRPr="00E3331A">
              <w:t>20</w:t>
            </w:r>
            <w:r w:rsidR="004E596E">
              <w:t>20</w:t>
            </w:r>
          </w:p>
        </w:tc>
      </w:tr>
      <w:tr w:rsidR="003E1B16" w:rsidRPr="00E3331A" w14:paraId="6964770E" w14:textId="77777777" w:rsidTr="00B66B89">
        <w:tc>
          <w:tcPr>
            <w:tcW w:w="5783" w:type="dxa"/>
            <w:tcBorders>
              <w:top w:val="single" w:sz="4" w:space="0" w:color="auto"/>
              <w:left w:val="single" w:sz="4" w:space="0" w:color="auto"/>
              <w:bottom w:val="single" w:sz="4" w:space="0" w:color="auto"/>
              <w:right w:val="single" w:sz="4" w:space="0" w:color="auto"/>
            </w:tcBorders>
            <w:shd w:val="clear" w:color="auto" w:fill="auto"/>
          </w:tcPr>
          <w:p w14:paraId="1EE7A4DC" w14:textId="77777777" w:rsidR="003E1B16" w:rsidRPr="00E3331A" w:rsidRDefault="00B65F4E" w:rsidP="00F53814">
            <w:pPr>
              <w:pStyle w:val="Tabletext1"/>
            </w:pPr>
            <w:r w:rsidRPr="00E3331A">
              <w:t>PubMed</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7AC55CD" w14:textId="77777777" w:rsidR="003E1B16" w:rsidRPr="00E3331A" w:rsidRDefault="00B65F4E" w:rsidP="004E596E">
            <w:pPr>
              <w:pStyle w:val="Tabletext1"/>
            </w:pPr>
            <w:r w:rsidRPr="00E3331A">
              <w:t xml:space="preserve">Inception to </w:t>
            </w:r>
            <w:r w:rsidR="004E596E">
              <w:t>07</w:t>
            </w:r>
            <w:r w:rsidR="004E596E" w:rsidRPr="00E3331A">
              <w:t xml:space="preserve"> </w:t>
            </w:r>
            <w:r w:rsidR="004E596E">
              <w:t>October</w:t>
            </w:r>
            <w:r w:rsidR="004E596E" w:rsidRPr="00E3331A">
              <w:t xml:space="preserve"> </w:t>
            </w:r>
            <w:r w:rsidRPr="00E3331A">
              <w:t>20</w:t>
            </w:r>
            <w:r w:rsidR="004E596E">
              <w:t>20</w:t>
            </w:r>
          </w:p>
        </w:tc>
      </w:tr>
      <w:tr w:rsidR="004E596E" w:rsidRPr="00E3331A" w14:paraId="4F11A64D" w14:textId="77777777" w:rsidTr="00B66B89">
        <w:tc>
          <w:tcPr>
            <w:tcW w:w="5783" w:type="dxa"/>
            <w:tcBorders>
              <w:top w:val="single" w:sz="4" w:space="0" w:color="auto"/>
              <w:left w:val="single" w:sz="4" w:space="0" w:color="auto"/>
              <w:bottom w:val="single" w:sz="4" w:space="0" w:color="auto"/>
              <w:right w:val="single" w:sz="4" w:space="0" w:color="auto"/>
            </w:tcBorders>
            <w:shd w:val="clear" w:color="auto" w:fill="auto"/>
          </w:tcPr>
          <w:p w14:paraId="4E384F44" w14:textId="77777777" w:rsidR="004E596E" w:rsidRPr="00E3331A" w:rsidRDefault="0040453B" w:rsidP="00F53814">
            <w:pPr>
              <w:pStyle w:val="Tabletext1"/>
            </w:pPr>
            <w:r>
              <w:t>clinicaltrials.gov</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145D538" w14:textId="77777777" w:rsidR="004E596E" w:rsidRPr="00E3331A" w:rsidRDefault="0040453B" w:rsidP="00F53814">
            <w:pPr>
              <w:pStyle w:val="Tabletext1"/>
            </w:pPr>
            <w:r>
              <w:t>Inception to 07 October 2020</w:t>
            </w:r>
          </w:p>
        </w:tc>
      </w:tr>
    </w:tbl>
    <w:p w14:paraId="7325B375" w14:textId="77777777" w:rsidR="00214C6A" w:rsidRDefault="00214C6A" w:rsidP="00CE2A67"/>
    <w:p w14:paraId="08628765" w14:textId="5EFA85A5" w:rsidR="00B66B89" w:rsidRPr="00E3331A" w:rsidRDefault="00B66B89" w:rsidP="00B66B89">
      <w:pPr>
        <w:pStyle w:val="Caption"/>
      </w:pPr>
      <w:bookmarkStart w:id="504" w:name="_Ref9847419"/>
      <w:bookmarkStart w:id="505" w:name="_Ref57810142"/>
      <w:bookmarkStart w:id="506" w:name="_Toc69305716"/>
      <w:r w:rsidRPr="00E3331A">
        <w:t xml:space="preserve">Table </w:t>
      </w:r>
      <w:r w:rsidRPr="00E3331A">
        <w:rPr>
          <w:noProof/>
        </w:rPr>
        <w:fldChar w:fldCharType="begin"/>
      </w:r>
      <w:r w:rsidRPr="00E3331A">
        <w:rPr>
          <w:noProof/>
        </w:rPr>
        <w:instrText xml:space="preserve"> SEQ Table \* ARABIC </w:instrText>
      </w:r>
      <w:r w:rsidRPr="00E3331A">
        <w:rPr>
          <w:noProof/>
        </w:rPr>
        <w:fldChar w:fldCharType="separate"/>
      </w:r>
      <w:r w:rsidR="004B3EA2">
        <w:rPr>
          <w:noProof/>
        </w:rPr>
        <w:t>75</w:t>
      </w:r>
      <w:r w:rsidRPr="00E3331A">
        <w:rPr>
          <w:noProof/>
        </w:rPr>
        <w:fldChar w:fldCharType="end"/>
      </w:r>
      <w:bookmarkEnd w:id="504"/>
      <w:r w:rsidRPr="00E3331A">
        <w:tab/>
        <w:t>Study selection criteria</w:t>
      </w:r>
      <w:bookmarkEnd w:id="505"/>
      <w:bookmarkEnd w:id="5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udy selection criteria"/>
        <w:tblDescription w:val="Study selection criteria"/>
      </w:tblPr>
      <w:tblGrid>
        <w:gridCol w:w="2980"/>
        <w:gridCol w:w="3046"/>
        <w:gridCol w:w="2990"/>
      </w:tblGrid>
      <w:tr w:rsidR="00B66B89" w:rsidRPr="00E3331A" w14:paraId="0A001283" w14:textId="77777777" w:rsidTr="00C76D04">
        <w:trPr>
          <w:cantSplit/>
          <w:tblHeader/>
        </w:trPr>
        <w:tc>
          <w:tcPr>
            <w:tcW w:w="3080" w:type="dxa"/>
            <w:shd w:val="clear" w:color="auto" w:fill="auto"/>
          </w:tcPr>
          <w:p w14:paraId="46F0D2C8" w14:textId="77777777" w:rsidR="00B66B89" w:rsidRPr="00E3331A" w:rsidRDefault="00B66B89" w:rsidP="00C76D04">
            <w:pPr>
              <w:pStyle w:val="TableHeading"/>
            </w:pPr>
            <w:r>
              <w:t>Selection criteria</w:t>
            </w:r>
          </w:p>
        </w:tc>
        <w:tc>
          <w:tcPr>
            <w:tcW w:w="3081" w:type="dxa"/>
            <w:shd w:val="clear" w:color="auto" w:fill="auto"/>
          </w:tcPr>
          <w:p w14:paraId="1FD31920" w14:textId="77777777" w:rsidR="00B66B89" w:rsidRPr="00E3331A" w:rsidRDefault="00B66B89" w:rsidP="00C76D04">
            <w:pPr>
              <w:pStyle w:val="TableHeading"/>
            </w:pPr>
            <w:r w:rsidRPr="00E3331A">
              <w:t>Inclusion criteria</w:t>
            </w:r>
          </w:p>
        </w:tc>
        <w:tc>
          <w:tcPr>
            <w:tcW w:w="3081" w:type="dxa"/>
            <w:shd w:val="clear" w:color="auto" w:fill="auto"/>
          </w:tcPr>
          <w:p w14:paraId="0077ABA2" w14:textId="77777777" w:rsidR="00B66B89" w:rsidRPr="00E3331A" w:rsidRDefault="00B66B89" w:rsidP="00C76D04">
            <w:pPr>
              <w:pStyle w:val="TableHeading"/>
            </w:pPr>
            <w:r w:rsidRPr="00E3331A">
              <w:t>Exclusion criteria</w:t>
            </w:r>
          </w:p>
        </w:tc>
      </w:tr>
      <w:tr w:rsidR="00B66B89" w:rsidRPr="00E3331A" w14:paraId="03EA3178" w14:textId="77777777" w:rsidTr="00C76D04">
        <w:trPr>
          <w:cantSplit/>
        </w:trPr>
        <w:tc>
          <w:tcPr>
            <w:tcW w:w="3080" w:type="dxa"/>
            <w:shd w:val="clear" w:color="auto" w:fill="auto"/>
          </w:tcPr>
          <w:p w14:paraId="3FD2E8F5" w14:textId="77777777" w:rsidR="00B66B89" w:rsidRPr="00E3331A" w:rsidRDefault="00B66B89" w:rsidP="00C76D04">
            <w:pPr>
              <w:pStyle w:val="Tabletext1"/>
            </w:pPr>
            <w:r w:rsidRPr="00E3331A">
              <w:t>Population</w:t>
            </w:r>
          </w:p>
        </w:tc>
        <w:tc>
          <w:tcPr>
            <w:tcW w:w="3081" w:type="dxa"/>
            <w:shd w:val="clear" w:color="auto" w:fill="auto"/>
          </w:tcPr>
          <w:p w14:paraId="193FDB48" w14:textId="77777777" w:rsidR="00B66B89" w:rsidRPr="00E3331A" w:rsidRDefault="00B66B89" w:rsidP="00C76D04">
            <w:pPr>
              <w:pStyle w:val="Tabletext1"/>
            </w:pPr>
            <w:r w:rsidRPr="00E3331A">
              <w:t>Any patients with CIDP or IgA and IgG paraprotein neuropathies</w:t>
            </w:r>
          </w:p>
        </w:tc>
        <w:tc>
          <w:tcPr>
            <w:tcW w:w="3081" w:type="dxa"/>
            <w:shd w:val="clear" w:color="auto" w:fill="auto"/>
          </w:tcPr>
          <w:p w14:paraId="41CC13E6" w14:textId="77777777" w:rsidR="00B66B89" w:rsidRPr="00E3331A" w:rsidRDefault="00B66B89" w:rsidP="00C76D04">
            <w:pPr>
              <w:pStyle w:val="Tabletext1"/>
            </w:pPr>
            <w:r w:rsidRPr="00E3331A">
              <w:t>Other related immunological conditions (GBS, MS, IgM paraprotein neuropathy)</w:t>
            </w:r>
          </w:p>
          <w:p w14:paraId="4D2447FA" w14:textId="77777777" w:rsidR="00B66B89" w:rsidRPr="00E3331A" w:rsidRDefault="00B66B89" w:rsidP="00C76D04">
            <w:pPr>
              <w:pStyle w:val="Tabletext1"/>
            </w:pPr>
            <w:r w:rsidRPr="00E3331A">
              <w:t>Studies reporting on more than one type of immune condition where CIDP results were not reported separately.</w:t>
            </w:r>
          </w:p>
        </w:tc>
      </w:tr>
      <w:tr w:rsidR="00B66B89" w:rsidRPr="00E3331A" w14:paraId="2E0AB30D" w14:textId="77777777" w:rsidTr="00C76D04">
        <w:trPr>
          <w:cantSplit/>
        </w:trPr>
        <w:tc>
          <w:tcPr>
            <w:tcW w:w="3080" w:type="dxa"/>
            <w:shd w:val="clear" w:color="auto" w:fill="auto"/>
          </w:tcPr>
          <w:p w14:paraId="4A786E6F" w14:textId="77777777" w:rsidR="00B66B89" w:rsidRPr="00E3331A" w:rsidRDefault="00B66B89" w:rsidP="00C76D04">
            <w:pPr>
              <w:pStyle w:val="Tabletext1"/>
            </w:pPr>
            <w:r w:rsidRPr="00E3331A">
              <w:t>Intervention</w:t>
            </w:r>
          </w:p>
        </w:tc>
        <w:tc>
          <w:tcPr>
            <w:tcW w:w="3081" w:type="dxa"/>
            <w:shd w:val="clear" w:color="auto" w:fill="auto"/>
          </w:tcPr>
          <w:p w14:paraId="093167C0" w14:textId="77777777" w:rsidR="00B66B89" w:rsidRPr="00E3331A" w:rsidRDefault="00B66B89" w:rsidP="00C76D04">
            <w:pPr>
              <w:pStyle w:val="Tabletext1"/>
            </w:pPr>
            <w:r w:rsidRPr="00E3331A">
              <w:t>Any Ig treatment for CIDP</w:t>
            </w:r>
          </w:p>
        </w:tc>
        <w:tc>
          <w:tcPr>
            <w:tcW w:w="3081" w:type="dxa"/>
            <w:shd w:val="clear" w:color="auto" w:fill="auto"/>
          </w:tcPr>
          <w:p w14:paraId="4765F8E8" w14:textId="77777777" w:rsidR="00B66B89" w:rsidRPr="00E3331A" w:rsidRDefault="00B66B89" w:rsidP="00C76D04">
            <w:pPr>
              <w:pStyle w:val="Tabletext1"/>
            </w:pPr>
            <w:r>
              <w:t>Nil</w:t>
            </w:r>
          </w:p>
        </w:tc>
      </w:tr>
      <w:tr w:rsidR="00B66B89" w:rsidRPr="00E3331A" w14:paraId="7C86617F" w14:textId="77777777" w:rsidTr="00C76D04">
        <w:trPr>
          <w:cantSplit/>
        </w:trPr>
        <w:tc>
          <w:tcPr>
            <w:tcW w:w="3080" w:type="dxa"/>
            <w:shd w:val="clear" w:color="auto" w:fill="auto"/>
          </w:tcPr>
          <w:p w14:paraId="6B83BA3C" w14:textId="77777777" w:rsidR="00B66B89" w:rsidRPr="00E3331A" w:rsidRDefault="00B66B89" w:rsidP="00C76D04">
            <w:pPr>
              <w:pStyle w:val="Tabletext1"/>
            </w:pPr>
            <w:r w:rsidRPr="00E3331A">
              <w:t>Comparator</w:t>
            </w:r>
          </w:p>
        </w:tc>
        <w:tc>
          <w:tcPr>
            <w:tcW w:w="3081" w:type="dxa"/>
            <w:shd w:val="clear" w:color="auto" w:fill="auto"/>
          </w:tcPr>
          <w:p w14:paraId="378C78B3" w14:textId="77777777" w:rsidR="00B66B89" w:rsidRPr="00E3331A" w:rsidRDefault="00B66B89" w:rsidP="00C76D04">
            <w:pPr>
              <w:pStyle w:val="Tabletext1"/>
            </w:pPr>
            <w:r w:rsidRPr="00E3331A">
              <w:t>Active comparators:</w:t>
            </w:r>
          </w:p>
          <w:p w14:paraId="22FF29E5" w14:textId="77777777" w:rsidR="00B66B89" w:rsidRPr="00E3331A" w:rsidRDefault="00B66B89" w:rsidP="000B596E">
            <w:pPr>
              <w:pStyle w:val="Tabletext1"/>
              <w:numPr>
                <w:ilvl w:val="0"/>
                <w:numId w:val="16"/>
              </w:numPr>
            </w:pPr>
            <w:r w:rsidRPr="00E3331A">
              <w:t>plasma exchange</w:t>
            </w:r>
          </w:p>
          <w:p w14:paraId="31F6F8E1" w14:textId="77777777" w:rsidR="00B66B89" w:rsidRPr="00E3331A" w:rsidRDefault="00B66B89" w:rsidP="000B596E">
            <w:pPr>
              <w:pStyle w:val="Tabletext1"/>
              <w:numPr>
                <w:ilvl w:val="0"/>
                <w:numId w:val="16"/>
              </w:numPr>
            </w:pPr>
            <w:r w:rsidRPr="00E3331A">
              <w:t>corticosteroids</w:t>
            </w:r>
          </w:p>
          <w:p w14:paraId="6AB69C8A" w14:textId="77777777" w:rsidR="00B66B89" w:rsidRPr="00E3331A" w:rsidRDefault="00B66B89" w:rsidP="000B596E">
            <w:pPr>
              <w:pStyle w:val="Tabletext1"/>
              <w:numPr>
                <w:ilvl w:val="0"/>
                <w:numId w:val="16"/>
              </w:numPr>
              <w:ind w:left="612" w:hanging="252"/>
            </w:pPr>
            <w:r w:rsidRPr="00E3331A">
              <w:t xml:space="preserve">immunosuppressants including autologous transfer) </w:t>
            </w:r>
          </w:p>
          <w:p w14:paraId="7AA03AF0" w14:textId="77777777" w:rsidR="00B66B89" w:rsidRPr="00E3331A" w:rsidRDefault="00B66B89" w:rsidP="000B596E">
            <w:pPr>
              <w:pStyle w:val="Tabletext1"/>
              <w:numPr>
                <w:ilvl w:val="0"/>
                <w:numId w:val="16"/>
              </w:numPr>
            </w:pPr>
            <w:r w:rsidRPr="00E3331A">
              <w:t>any combination of these.</w:t>
            </w:r>
          </w:p>
          <w:p w14:paraId="7001FD19" w14:textId="77777777" w:rsidR="00B66B89" w:rsidRPr="00E3331A" w:rsidRDefault="00B66B89" w:rsidP="00C76D04">
            <w:pPr>
              <w:pStyle w:val="Tabletext1"/>
            </w:pPr>
            <w:r w:rsidRPr="00E3331A">
              <w:t>No treatment:</w:t>
            </w:r>
          </w:p>
          <w:p w14:paraId="1757A84A" w14:textId="77777777" w:rsidR="00B66B89" w:rsidRPr="00E3331A" w:rsidRDefault="00B66B89" w:rsidP="000B596E">
            <w:pPr>
              <w:pStyle w:val="Tabletext1"/>
              <w:numPr>
                <w:ilvl w:val="0"/>
                <w:numId w:val="17"/>
              </w:numPr>
            </w:pPr>
            <w:r w:rsidRPr="00E3331A">
              <w:t>no active treatment</w:t>
            </w:r>
          </w:p>
          <w:p w14:paraId="18DFCA45" w14:textId="77777777" w:rsidR="00B66B89" w:rsidRPr="00E3331A" w:rsidRDefault="00B66B89" w:rsidP="000B596E">
            <w:pPr>
              <w:pStyle w:val="Tabletext1"/>
              <w:numPr>
                <w:ilvl w:val="0"/>
                <w:numId w:val="17"/>
              </w:numPr>
            </w:pPr>
            <w:r w:rsidRPr="00E3331A">
              <w:t>placebo</w:t>
            </w:r>
          </w:p>
        </w:tc>
        <w:tc>
          <w:tcPr>
            <w:tcW w:w="3081" w:type="dxa"/>
            <w:shd w:val="clear" w:color="auto" w:fill="auto"/>
          </w:tcPr>
          <w:p w14:paraId="5C5F730F" w14:textId="77777777" w:rsidR="00B66B89" w:rsidRPr="00E3331A" w:rsidRDefault="00B66B89" w:rsidP="00C76D04">
            <w:pPr>
              <w:pStyle w:val="Tabletext1"/>
            </w:pPr>
            <w:r w:rsidRPr="00E3331A">
              <w:t>Etanercept, Interferons, Fc receptor inhibitors, Ig capture columns.</w:t>
            </w:r>
          </w:p>
          <w:p w14:paraId="54CDF6EA" w14:textId="77777777" w:rsidR="00B66B89" w:rsidRPr="00E3331A" w:rsidRDefault="00B66B89" w:rsidP="00C76D04">
            <w:pPr>
              <w:pStyle w:val="Tabletext1"/>
            </w:pPr>
            <w:r w:rsidRPr="00E3331A">
              <w:t xml:space="preserve">Note: studies comparing these excluded comparators to either Ig or another active comparator were selected for possible inclusion in the network meta-analysis. </w:t>
            </w:r>
          </w:p>
        </w:tc>
      </w:tr>
      <w:tr w:rsidR="00B66B89" w:rsidRPr="00E3331A" w14:paraId="6E630E52" w14:textId="77777777" w:rsidTr="00C76D04">
        <w:trPr>
          <w:cantSplit/>
        </w:trPr>
        <w:tc>
          <w:tcPr>
            <w:tcW w:w="3080" w:type="dxa"/>
            <w:shd w:val="clear" w:color="auto" w:fill="auto"/>
          </w:tcPr>
          <w:p w14:paraId="4A5733F5" w14:textId="77777777" w:rsidR="00B66B89" w:rsidRPr="00E3331A" w:rsidRDefault="00B66B89" w:rsidP="00C76D04">
            <w:pPr>
              <w:pStyle w:val="Tabletext1"/>
            </w:pPr>
            <w:r w:rsidRPr="00E3331A">
              <w:t>Outcomes</w:t>
            </w:r>
          </w:p>
        </w:tc>
        <w:tc>
          <w:tcPr>
            <w:tcW w:w="3081" w:type="dxa"/>
            <w:shd w:val="clear" w:color="auto" w:fill="auto"/>
          </w:tcPr>
          <w:p w14:paraId="0E710A5C" w14:textId="77777777" w:rsidR="00B66B89" w:rsidRPr="00E3331A" w:rsidRDefault="00B66B89" w:rsidP="00C76D04">
            <w:pPr>
              <w:pStyle w:val="Tabletext1"/>
            </w:pPr>
            <w:r w:rsidRPr="00E3331A">
              <w:t>Any treatment effect measured</w:t>
            </w:r>
          </w:p>
          <w:p w14:paraId="21A7226C" w14:textId="77777777" w:rsidR="00B66B89" w:rsidRPr="00E3331A" w:rsidRDefault="00B66B89" w:rsidP="00C76D04">
            <w:pPr>
              <w:pStyle w:val="Tabletext1"/>
            </w:pPr>
            <w:r w:rsidRPr="00E3331A">
              <w:t>Any safety outcomes</w:t>
            </w:r>
          </w:p>
        </w:tc>
        <w:tc>
          <w:tcPr>
            <w:tcW w:w="3081" w:type="dxa"/>
            <w:shd w:val="clear" w:color="auto" w:fill="auto"/>
          </w:tcPr>
          <w:p w14:paraId="23E04926" w14:textId="77777777" w:rsidR="00B66B89" w:rsidRPr="00E3331A" w:rsidRDefault="00B66B89" w:rsidP="00C76D04">
            <w:pPr>
              <w:pStyle w:val="Tabletext1"/>
            </w:pPr>
            <w:r w:rsidRPr="00E3331A">
              <w:t>Outcomes not related to effectiveness or safety</w:t>
            </w:r>
            <w:r>
              <w:t>.</w:t>
            </w:r>
          </w:p>
        </w:tc>
      </w:tr>
      <w:tr w:rsidR="00B66B89" w:rsidRPr="00E3331A" w14:paraId="18BE9F56" w14:textId="77777777" w:rsidTr="00C76D04">
        <w:trPr>
          <w:cantSplit/>
        </w:trPr>
        <w:tc>
          <w:tcPr>
            <w:tcW w:w="3080" w:type="dxa"/>
            <w:shd w:val="clear" w:color="auto" w:fill="auto"/>
          </w:tcPr>
          <w:p w14:paraId="69293F9F" w14:textId="77777777" w:rsidR="00B66B89" w:rsidRPr="00E3331A" w:rsidRDefault="00B66B89" w:rsidP="00C76D04">
            <w:pPr>
              <w:pStyle w:val="Tabletext1"/>
            </w:pPr>
            <w:r w:rsidRPr="00E3331A">
              <w:t>Study type</w:t>
            </w:r>
          </w:p>
        </w:tc>
        <w:tc>
          <w:tcPr>
            <w:tcW w:w="3081" w:type="dxa"/>
            <w:shd w:val="clear" w:color="auto" w:fill="auto"/>
          </w:tcPr>
          <w:p w14:paraId="6E7A9CE3" w14:textId="77777777" w:rsidR="00B66B89" w:rsidRPr="00E3331A" w:rsidRDefault="00B66B89" w:rsidP="00C76D04">
            <w:pPr>
              <w:pStyle w:val="Tabletext1"/>
            </w:pPr>
            <w:r w:rsidRPr="00E3331A">
              <w:t>Comparative safety and effectiveness:</w:t>
            </w:r>
          </w:p>
          <w:p w14:paraId="70E1A068" w14:textId="77777777" w:rsidR="00B66B89" w:rsidRPr="00E3331A" w:rsidRDefault="00B66B89" w:rsidP="00C76D04">
            <w:pPr>
              <w:pStyle w:val="Tabletext1"/>
            </w:pPr>
            <w:r w:rsidRPr="00E3331A">
              <w:t>Any RCT on the intervention or any comparators</w:t>
            </w:r>
          </w:p>
          <w:p w14:paraId="1AD39E02" w14:textId="77777777" w:rsidR="00B66B89" w:rsidRPr="00E3331A" w:rsidRDefault="00B66B89" w:rsidP="00C76D04">
            <w:pPr>
              <w:pStyle w:val="Tabletext1"/>
            </w:pPr>
            <w:r w:rsidRPr="00E3331A">
              <w:t>Extended assessment of harms:</w:t>
            </w:r>
          </w:p>
          <w:p w14:paraId="43617FAE" w14:textId="77777777" w:rsidR="00B66B89" w:rsidRPr="00E3331A" w:rsidRDefault="00B66B89" w:rsidP="00C76D04">
            <w:pPr>
              <w:pStyle w:val="Tabletext1"/>
            </w:pPr>
            <w:r w:rsidRPr="00E3331A">
              <w:t>Any non-randomised comparative study or case series study on the intervention and/or any comparators</w:t>
            </w:r>
          </w:p>
        </w:tc>
        <w:tc>
          <w:tcPr>
            <w:tcW w:w="3081" w:type="dxa"/>
            <w:shd w:val="clear" w:color="auto" w:fill="auto"/>
          </w:tcPr>
          <w:p w14:paraId="0E6BFE98" w14:textId="77777777" w:rsidR="00B66B89" w:rsidRPr="00E3331A" w:rsidRDefault="00B66B89" w:rsidP="00C76D04">
            <w:pPr>
              <w:pStyle w:val="Tabletext1"/>
            </w:pPr>
            <w:r w:rsidRPr="00E3331A">
              <w:t>Case reports (&lt;10 patients)</w:t>
            </w:r>
          </w:p>
          <w:p w14:paraId="6012D287" w14:textId="77777777" w:rsidR="00B66B89" w:rsidRPr="00E3331A" w:rsidRDefault="00B66B89" w:rsidP="00C76D04">
            <w:pPr>
              <w:pStyle w:val="Tabletext1"/>
            </w:pPr>
            <w:r w:rsidRPr="00E3331A">
              <w:t>Narrative reviews</w:t>
            </w:r>
          </w:p>
          <w:p w14:paraId="4D235F8E" w14:textId="77777777" w:rsidR="00B66B89" w:rsidRPr="00E3331A" w:rsidRDefault="00B66B89" w:rsidP="00C76D04">
            <w:pPr>
              <w:pStyle w:val="Tabletext1"/>
            </w:pPr>
            <w:r w:rsidRPr="00E3331A">
              <w:t>Opinion pieces</w:t>
            </w:r>
          </w:p>
          <w:p w14:paraId="6115B49C" w14:textId="77777777" w:rsidR="00B66B89" w:rsidRPr="00E3331A" w:rsidRDefault="00B66B89" w:rsidP="00C76D04">
            <w:pPr>
              <w:pStyle w:val="Tabletext1"/>
            </w:pPr>
            <w:r w:rsidRPr="00E3331A">
              <w:t>Letters</w:t>
            </w:r>
          </w:p>
        </w:tc>
      </w:tr>
    </w:tbl>
    <w:p w14:paraId="63F377D6" w14:textId="77777777" w:rsidR="00B66B89" w:rsidRPr="00E3331A" w:rsidRDefault="00B66B89" w:rsidP="00B66B89">
      <w:pPr>
        <w:pStyle w:val="Tablenotes1"/>
      </w:pPr>
      <w:r w:rsidRPr="00E3331A">
        <w:t>Abbreviations</w:t>
      </w:r>
      <w:r>
        <w:t xml:space="preserve">: CIDP = </w:t>
      </w:r>
      <w:r w:rsidRPr="003D5FA7">
        <w:t>Chronic inflammatory demyelinating polyneuropathy</w:t>
      </w:r>
      <w:r>
        <w:t xml:space="preserve">, Ig = immunoglobulin, GBS = </w:t>
      </w:r>
      <w:r w:rsidRPr="003D5FA7">
        <w:t>Guillain-Barre Syndrome</w:t>
      </w:r>
      <w:r>
        <w:t xml:space="preserve">, MS = </w:t>
      </w:r>
      <w:r w:rsidRPr="0062264E">
        <w:t>Multiple sclerosis</w:t>
      </w:r>
      <w:r>
        <w:t>, RCT = randomised controlled trial.</w:t>
      </w:r>
    </w:p>
    <w:p w14:paraId="0E494588" w14:textId="77777777" w:rsidR="00B66B89" w:rsidRDefault="00B66B89" w:rsidP="00CE2A67"/>
    <w:p w14:paraId="2BFD1E64" w14:textId="77777777" w:rsidR="00B66B89" w:rsidRPr="00E3331A" w:rsidRDefault="00B66B89" w:rsidP="00CE2A67"/>
    <w:p w14:paraId="2883ADB5" w14:textId="77777777" w:rsidR="009A3655" w:rsidRPr="00E3331A" w:rsidRDefault="009A3655" w:rsidP="00DF343F">
      <w:pPr>
        <w:pStyle w:val="Heading1"/>
        <w:jc w:val="both"/>
        <w:sectPr w:rsidR="009A3655" w:rsidRPr="00E3331A" w:rsidSect="008A06D0">
          <w:pgSz w:w="11906" w:h="16838"/>
          <w:pgMar w:top="1440" w:right="1440" w:bottom="1440" w:left="1440" w:header="720" w:footer="720" w:gutter="0"/>
          <w:paperSrc w:first="7" w:other="7"/>
          <w:cols w:space="720"/>
          <w:docGrid w:linePitch="299"/>
        </w:sectPr>
      </w:pPr>
      <w:bookmarkStart w:id="507" w:name="_Ref170808567"/>
      <w:bookmarkStart w:id="508" w:name="_Toc460813781"/>
      <w:bookmarkStart w:id="509" w:name="_Ref170792604"/>
    </w:p>
    <w:p w14:paraId="5EABC840" w14:textId="06DBADA6" w:rsidR="007A7960" w:rsidRPr="00E3331A" w:rsidRDefault="00193B87" w:rsidP="00DF343F">
      <w:pPr>
        <w:pStyle w:val="Heading1"/>
        <w:jc w:val="both"/>
      </w:pPr>
      <w:bookmarkStart w:id="510" w:name="_Ref364237249"/>
      <w:bookmarkStart w:id="511" w:name="_Ref190841600"/>
      <w:bookmarkStart w:id="512" w:name="_Toc379118101"/>
      <w:bookmarkStart w:id="513" w:name="_Toc381796504"/>
      <w:bookmarkStart w:id="514" w:name="_Toc69305618"/>
      <w:bookmarkEnd w:id="507"/>
      <w:r w:rsidRPr="00E3331A">
        <w:t xml:space="preserve">Appendix </w:t>
      </w:r>
      <w:bookmarkEnd w:id="510"/>
      <w:r w:rsidR="00171CCE">
        <w:rPr>
          <w:noProof/>
        </w:rPr>
        <w:t>C</w:t>
      </w:r>
      <w:r w:rsidR="008F59A8" w:rsidRPr="00E3331A">
        <w:tab/>
        <w:t>S</w:t>
      </w:r>
      <w:r w:rsidR="00591A6D" w:rsidRPr="00E3331A">
        <w:t>tudies included in the Systematic R</w:t>
      </w:r>
      <w:r w:rsidR="008F59A8" w:rsidRPr="00E3331A">
        <w:t>eview</w:t>
      </w:r>
      <w:bookmarkEnd w:id="508"/>
      <w:bookmarkEnd w:id="509"/>
      <w:bookmarkEnd w:id="511"/>
      <w:bookmarkEnd w:id="512"/>
      <w:bookmarkEnd w:id="513"/>
      <w:bookmarkEnd w:id="514"/>
      <w:r w:rsidR="008F59A8" w:rsidRPr="00E3331A">
        <w:t xml:space="preserve"> </w:t>
      </w:r>
    </w:p>
    <w:p w14:paraId="7F2E34BC" w14:textId="06B35DAB" w:rsidR="00BD440B" w:rsidRPr="00E3331A" w:rsidRDefault="00BD440B" w:rsidP="00BD440B">
      <w:pPr>
        <w:pStyle w:val="Caption"/>
      </w:pPr>
      <w:bookmarkStart w:id="515" w:name="_Toc69305717"/>
      <w:bookmarkStart w:id="516" w:name="_Ref192056948"/>
      <w:bookmarkStart w:id="517" w:name="_Ref169423889"/>
      <w:r w:rsidRPr="00E3331A">
        <w:t xml:space="preserve">Table </w:t>
      </w:r>
      <w:r w:rsidRPr="00E3331A">
        <w:rPr>
          <w:noProof/>
        </w:rPr>
        <w:fldChar w:fldCharType="begin"/>
      </w:r>
      <w:r w:rsidRPr="00E3331A">
        <w:rPr>
          <w:noProof/>
        </w:rPr>
        <w:instrText xml:space="preserve"> SEQ Table \* ARABIC </w:instrText>
      </w:r>
      <w:r w:rsidRPr="00E3331A">
        <w:rPr>
          <w:noProof/>
        </w:rPr>
        <w:fldChar w:fldCharType="separate"/>
      </w:r>
      <w:r w:rsidR="004B3EA2">
        <w:rPr>
          <w:noProof/>
        </w:rPr>
        <w:t>76</w:t>
      </w:r>
      <w:r w:rsidRPr="00E3331A">
        <w:rPr>
          <w:noProof/>
        </w:rPr>
        <w:fldChar w:fldCharType="end"/>
      </w:r>
      <w:r w:rsidRPr="00E3331A">
        <w:tab/>
      </w:r>
      <w:r w:rsidRPr="00E3331A">
        <w:rPr>
          <w:snapToGrid w:val="0"/>
          <w:lang w:eastAsia="en-US"/>
        </w:rPr>
        <w:t xml:space="preserve">Key features of the randomised controlled trials </w:t>
      </w:r>
      <w:r>
        <w:rPr>
          <w:snapToGrid w:val="0"/>
          <w:lang w:eastAsia="en-US"/>
        </w:rPr>
        <w:t>included for comparative safety and effectiveness</w:t>
      </w:r>
      <w:r w:rsidRPr="00E3331A">
        <w:rPr>
          <w:snapToGrid w:val="0"/>
          <w:lang w:eastAsia="en-US"/>
        </w:rPr>
        <w:t xml:space="preserve"> of </w:t>
      </w:r>
      <w:r>
        <w:rPr>
          <w:snapToGrid w:val="0"/>
          <w:lang w:eastAsia="en-US"/>
        </w:rPr>
        <w:t xml:space="preserve">Ig for </w:t>
      </w:r>
      <w:r w:rsidRPr="00E3331A">
        <w:rPr>
          <w:snapToGrid w:val="0"/>
          <w:lang w:eastAsia="en-US"/>
        </w:rPr>
        <w:t>CIDP</w:t>
      </w:r>
      <w:bookmarkEnd w:id="515"/>
      <w:r w:rsidRPr="00E3331A">
        <w:rPr>
          <w:snapToGrid w:val="0"/>
          <w:lang w:eastAsia="en-US"/>
        </w:rPr>
        <w:t xml:space="preserve"> </w:t>
      </w:r>
    </w:p>
    <w:tbl>
      <w:tblPr>
        <w:tblW w:w="47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ey features of the randomised controlled trials included for comparative safety and effectiveness of Ig for CIDP"/>
        <w:tblDescription w:val="Key features of the randomised controlled trials included for comparative safety and effectiveness of Ig for CIDP"/>
      </w:tblPr>
      <w:tblGrid>
        <w:gridCol w:w="1273"/>
        <w:gridCol w:w="1133"/>
        <w:gridCol w:w="2975"/>
        <w:gridCol w:w="2983"/>
        <w:gridCol w:w="1558"/>
        <w:gridCol w:w="1133"/>
        <w:gridCol w:w="1841"/>
        <w:gridCol w:w="1558"/>
      </w:tblGrid>
      <w:tr w:rsidR="00BD440B" w:rsidRPr="00E3331A" w14:paraId="755D9065" w14:textId="77777777" w:rsidTr="00BD440B">
        <w:trPr>
          <w:tblHeader/>
        </w:trPr>
        <w:tc>
          <w:tcPr>
            <w:tcW w:w="440" w:type="pct"/>
            <w:shd w:val="clear" w:color="auto" w:fill="auto"/>
          </w:tcPr>
          <w:p w14:paraId="2AAA094F" w14:textId="77777777" w:rsidR="00BD440B" w:rsidRPr="00E3331A" w:rsidRDefault="00BD440B" w:rsidP="00BD440B">
            <w:pPr>
              <w:pStyle w:val="Tableheading1"/>
              <w:spacing w:before="40"/>
            </w:pPr>
            <w:r w:rsidRPr="00E3331A">
              <w:t>Study ID</w:t>
            </w:r>
          </w:p>
          <w:p w14:paraId="5833DCA9" w14:textId="77777777" w:rsidR="00BD440B" w:rsidRPr="00E3331A" w:rsidRDefault="00BD440B" w:rsidP="00BD440B">
            <w:pPr>
              <w:pStyle w:val="Tableheading1"/>
              <w:spacing w:before="40"/>
            </w:pPr>
            <w:r w:rsidRPr="00E3331A">
              <w:t>Location</w:t>
            </w:r>
          </w:p>
        </w:tc>
        <w:tc>
          <w:tcPr>
            <w:tcW w:w="392" w:type="pct"/>
            <w:shd w:val="clear" w:color="auto" w:fill="auto"/>
          </w:tcPr>
          <w:p w14:paraId="58A52BBD" w14:textId="77777777" w:rsidR="00BD440B" w:rsidRDefault="00BD440B" w:rsidP="00BD440B">
            <w:pPr>
              <w:pStyle w:val="Tableheading1"/>
              <w:spacing w:before="40"/>
            </w:pPr>
            <w:r w:rsidRPr="00E3331A">
              <w:t>Study</w:t>
            </w:r>
            <w:r>
              <w:t xml:space="preserve"> design</w:t>
            </w:r>
            <w:r w:rsidRPr="00E3331A">
              <w:t xml:space="preserve"> </w:t>
            </w:r>
            <w:r>
              <w:t>Level of evidence</w:t>
            </w:r>
          </w:p>
          <w:p w14:paraId="538BE486" w14:textId="77777777" w:rsidR="00BD440B" w:rsidRPr="00E3331A" w:rsidRDefault="00BD440B" w:rsidP="00BD440B">
            <w:pPr>
              <w:pStyle w:val="Tableheading1"/>
              <w:spacing w:before="40"/>
            </w:pPr>
            <w:r>
              <w:t>ROB</w:t>
            </w:r>
          </w:p>
        </w:tc>
        <w:tc>
          <w:tcPr>
            <w:tcW w:w="1029" w:type="pct"/>
            <w:shd w:val="clear" w:color="auto" w:fill="auto"/>
          </w:tcPr>
          <w:p w14:paraId="38CAD3FA" w14:textId="77777777" w:rsidR="00BD440B" w:rsidRPr="00E3331A" w:rsidRDefault="00BD440B" w:rsidP="00BD440B">
            <w:pPr>
              <w:pStyle w:val="Tableheading1"/>
              <w:spacing w:before="40"/>
            </w:pPr>
            <w:r>
              <w:t>Eligibility criteria</w:t>
            </w:r>
          </w:p>
        </w:tc>
        <w:tc>
          <w:tcPr>
            <w:tcW w:w="1032" w:type="pct"/>
            <w:shd w:val="clear" w:color="auto" w:fill="auto"/>
          </w:tcPr>
          <w:p w14:paraId="5832FBDB" w14:textId="77777777" w:rsidR="00BD440B" w:rsidRPr="00E3331A" w:rsidRDefault="00BD440B" w:rsidP="00BD440B">
            <w:pPr>
              <w:pStyle w:val="Tableheading1"/>
              <w:spacing w:before="40"/>
            </w:pPr>
            <w:r w:rsidRPr="00E3331A">
              <w:t xml:space="preserve">Baseline characteristics </w:t>
            </w:r>
          </w:p>
        </w:tc>
        <w:tc>
          <w:tcPr>
            <w:tcW w:w="539" w:type="pct"/>
            <w:shd w:val="clear" w:color="auto" w:fill="auto"/>
          </w:tcPr>
          <w:p w14:paraId="36F4D8D3" w14:textId="77777777" w:rsidR="00BD440B" w:rsidRPr="00E3331A" w:rsidRDefault="00BD440B" w:rsidP="00BD440B">
            <w:pPr>
              <w:pStyle w:val="Tableheading1"/>
              <w:spacing w:before="40"/>
            </w:pPr>
            <w:r w:rsidRPr="00E3331A">
              <w:t>Intervention details</w:t>
            </w:r>
          </w:p>
        </w:tc>
        <w:tc>
          <w:tcPr>
            <w:tcW w:w="392" w:type="pct"/>
            <w:shd w:val="clear" w:color="auto" w:fill="auto"/>
          </w:tcPr>
          <w:p w14:paraId="6A2EEF71" w14:textId="77777777" w:rsidR="00BD440B" w:rsidRPr="00E3331A" w:rsidRDefault="00BD440B" w:rsidP="00BD440B">
            <w:pPr>
              <w:pStyle w:val="Tableheading1"/>
              <w:spacing w:before="40"/>
            </w:pPr>
            <w:r w:rsidRPr="00E3331A">
              <w:t>Comparator details</w:t>
            </w:r>
          </w:p>
        </w:tc>
        <w:tc>
          <w:tcPr>
            <w:tcW w:w="637" w:type="pct"/>
          </w:tcPr>
          <w:p w14:paraId="25A4A542" w14:textId="77777777" w:rsidR="00BD440B" w:rsidRPr="00E3331A" w:rsidRDefault="00BD440B" w:rsidP="00BD440B">
            <w:pPr>
              <w:pStyle w:val="Tableheading1"/>
              <w:spacing w:before="40"/>
            </w:pPr>
            <w:r>
              <w:t>Outcomes assessed</w:t>
            </w:r>
          </w:p>
        </w:tc>
        <w:tc>
          <w:tcPr>
            <w:tcW w:w="539" w:type="pct"/>
            <w:shd w:val="clear" w:color="auto" w:fill="auto"/>
          </w:tcPr>
          <w:p w14:paraId="38649B56" w14:textId="77777777" w:rsidR="00BD440B" w:rsidRPr="00E3331A" w:rsidRDefault="00BD440B" w:rsidP="00BD440B">
            <w:pPr>
              <w:pStyle w:val="Tableheading1"/>
              <w:spacing w:before="40"/>
            </w:pPr>
            <w:r>
              <w:t>Follow-up period</w:t>
            </w:r>
          </w:p>
          <w:p w14:paraId="06A7FB3A" w14:textId="77777777" w:rsidR="00BD440B" w:rsidRPr="00E3331A" w:rsidRDefault="00BD440B" w:rsidP="00BD440B">
            <w:pPr>
              <w:pStyle w:val="Tableheading1"/>
              <w:spacing w:before="40"/>
            </w:pPr>
            <w:r>
              <w:t>Funding source</w:t>
            </w:r>
          </w:p>
        </w:tc>
      </w:tr>
      <w:tr w:rsidR="00BD440B" w:rsidRPr="00E3331A" w14:paraId="42F59C60" w14:textId="77777777" w:rsidTr="00BD440B">
        <w:tc>
          <w:tcPr>
            <w:tcW w:w="440" w:type="pct"/>
            <w:shd w:val="clear" w:color="auto" w:fill="auto"/>
          </w:tcPr>
          <w:p w14:paraId="217978F7" w14:textId="77777777" w:rsidR="00BD440B" w:rsidRDefault="00BD440B" w:rsidP="00BD440B">
            <w:pPr>
              <w:pStyle w:val="Tablecontents"/>
              <w:spacing w:before="0"/>
              <w:jc w:val="left"/>
            </w:pPr>
            <w:r>
              <w:t>PATH study, (NCT01545076)</w:t>
            </w:r>
          </w:p>
          <w:p w14:paraId="4C226263" w14:textId="77777777" w:rsidR="00BD440B" w:rsidRDefault="00BD440B" w:rsidP="00BD440B">
            <w:pPr>
              <w:pStyle w:val="Tablecontents"/>
              <w:spacing w:before="0"/>
              <w:jc w:val="left"/>
            </w:pPr>
            <w:r>
              <w:t>Germany</w:t>
            </w:r>
          </w:p>
          <w:p w14:paraId="5E2554D1" w14:textId="77777777" w:rsidR="00BD440B" w:rsidRDefault="00BD440B" w:rsidP="00BD440B">
            <w:pPr>
              <w:pStyle w:val="Tablecontents"/>
              <w:spacing w:before="0"/>
              <w:jc w:val="left"/>
            </w:pPr>
          </w:p>
          <w:p w14:paraId="5933C27F" w14:textId="2A1D1495" w:rsidR="00BD440B" w:rsidRDefault="00B727D6" w:rsidP="00BD440B">
            <w:pPr>
              <w:pStyle w:val="Tablecontents"/>
              <w:spacing w:before="0"/>
              <w:jc w:val="left"/>
            </w:pPr>
            <w:r>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instrText xml:space="preserve"> ADDIN EN.CITE </w:instrText>
            </w:r>
            <w:r>
              <w:fldChar w:fldCharType="begin">
                <w:fldData xml:space="preserve">PEVuZE5vdGU+PENpdGU+PEF1dGhvcj5IYXJ0dW5nPC9BdXRob3I+PFllYXI+MjAxOTwvWWVhcj48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</w:fldData>
              </w:fldChar>
            </w:r>
            <w:r>
              <w:instrText xml:space="preserve"> ADDIN EN.CITE.DATA </w:instrText>
            </w:r>
            <w:r>
              <w:fldChar w:fldCharType="end"/>
            </w:r>
            <w:r>
              <w:fldChar w:fldCharType="separate"/>
            </w:r>
            <w:r>
              <w:rPr>
                <w:noProof/>
              </w:rPr>
              <w:t>(</w:t>
            </w:r>
            <w:hyperlink w:anchor="_ENREF_27" w:tooltip="Hartung, 2019 #15" w:history="1">
              <w:r w:rsidR="00D726F6">
                <w:rPr>
                  <w:noProof/>
                </w:rPr>
                <w:t>Hartung et al. 2019</w:t>
              </w:r>
            </w:hyperlink>
            <w:r>
              <w:rPr>
                <w:noProof/>
              </w:rPr>
              <w:t>)</w:t>
            </w:r>
            <w:r>
              <w:fldChar w:fldCharType="end"/>
            </w:r>
          </w:p>
          <w:p w14:paraId="31B9638B" w14:textId="77777777" w:rsidR="00BD440B" w:rsidRDefault="00BD440B" w:rsidP="00BD440B">
            <w:pPr>
              <w:pStyle w:val="Tablecontents"/>
              <w:spacing w:before="0"/>
              <w:jc w:val="left"/>
            </w:pPr>
          </w:p>
          <w:p w14:paraId="302CAA6E" w14:textId="38AB5918" w:rsidR="00BD440B" w:rsidRDefault="00B727D6" w:rsidP="00BD440B">
            <w:pPr>
              <w:pStyle w:val="Tablecontents"/>
              <w:spacing w:before="0"/>
              <w:jc w:val="left"/>
            </w:pPr>
            <w:r>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instrText xml:space="preserve"> ADDIN EN.CITE </w:instrText>
            </w:r>
            <w:r>
              <w:fldChar w:fldCharType="begin">
                <w:fldData xml:space="preserve">PEVuZE5vdGU+PENpdGU+PEF1dGhvcj52YW4gU2NoYWlrPC9BdXRob3I+PFllYXI+MjAxODwvWWVh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</w:fldData>
              </w:fldChar>
            </w:r>
            <w:r>
              <w:instrText xml:space="preserve"> ADDIN EN.CITE.DATA </w:instrText>
            </w:r>
            <w:r>
              <w:fldChar w:fldCharType="end"/>
            </w:r>
            <w:r>
              <w:fldChar w:fldCharType="separate"/>
            </w:r>
            <w:r>
              <w:rPr>
                <w:noProof/>
              </w:rPr>
              <w:t>(</w:t>
            </w:r>
            <w:hyperlink w:anchor="_ENREF_74" w:tooltip="van Schaik, 2018 #23" w:history="1">
              <w:r w:rsidR="00D726F6">
                <w:rPr>
                  <w:noProof/>
                </w:rPr>
                <w:t>van Schaik, Ivo N. et al. 2018</w:t>
              </w:r>
            </w:hyperlink>
            <w:r>
              <w:rPr>
                <w:noProof/>
              </w:rPr>
              <w:t>)</w:t>
            </w:r>
            <w:r>
              <w:fldChar w:fldCharType="end"/>
            </w:r>
          </w:p>
          <w:p w14:paraId="3C931D1F" w14:textId="77777777" w:rsidR="00BD440B" w:rsidRPr="00E3331A" w:rsidRDefault="00BD440B" w:rsidP="00BD440B">
            <w:pPr>
              <w:pStyle w:val="Tablecontents"/>
              <w:spacing w:before="0"/>
              <w:jc w:val="left"/>
            </w:pPr>
          </w:p>
        </w:tc>
        <w:tc>
          <w:tcPr>
            <w:tcW w:w="392" w:type="pct"/>
            <w:shd w:val="clear" w:color="auto" w:fill="auto"/>
          </w:tcPr>
          <w:p w14:paraId="72D0FBF6" w14:textId="77777777" w:rsidR="00BD440B" w:rsidRDefault="00BD440B" w:rsidP="00BD440B">
            <w:pPr>
              <w:pStyle w:val="Tablecontents"/>
              <w:jc w:val="left"/>
            </w:pPr>
            <w:r>
              <w:t>MC DB RCT</w:t>
            </w:r>
          </w:p>
          <w:p w14:paraId="565EF411" w14:textId="77777777" w:rsidR="00BD440B" w:rsidRDefault="00BD440B" w:rsidP="00BD440B">
            <w:pPr>
              <w:pStyle w:val="Tablecontents"/>
              <w:jc w:val="left"/>
            </w:pPr>
            <w:r>
              <w:t>II</w:t>
            </w:r>
          </w:p>
          <w:p w14:paraId="13C61901" w14:textId="77777777" w:rsidR="00BD440B" w:rsidRPr="00E3331A" w:rsidRDefault="00BD440B" w:rsidP="00BD440B">
            <w:pPr>
              <w:pStyle w:val="Tablecontents"/>
              <w:jc w:val="left"/>
            </w:pPr>
            <w:r>
              <w:t>Low</w:t>
            </w:r>
          </w:p>
        </w:tc>
        <w:tc>
          <w:tcPr>
            <w:tcW w:w="1029" w:type="pct"/>
            <w:shd w:val="clear" w:color="auto" w:fill="auto"/>
          </w:tcPr>
          <w:p w14:paraId="31B9F343" w14:textId="77777777" w:rsidR="00BD440B" w:rsidRPr="00A92432" w:rsidRDefault="00BD440B" w:rsidP="00BD440B">
            <w:pPr>
              <w:pStyle w:val="Tablecontents"/>
              <w:jc w:val="left"/>
              <w:rPr>
                <w:i/>
              </w:rPr>
            </w:pPr>
            <w:r w:rsidRPr="00A92432">
              <w:rPr>
                <w:i/>
              </w:rPr>
              <w:t>Inclusion</w:t>
            </w:r>
          </w:p>
          <w:p w14:paraId="45B61826" w14:textId="77777777" w:rsidR="00BD440B" w:rsidRPr="00E3331A" w:rsidRDefault="00BD440B" w:rsidP="00BD440B">
            <w:pPr>
              <w:pStyle w:val="Tablecontents"/>
              <w:jc w:val="left"/>
            </w:pPr>
            <w:r>
              <w:t>PATH subjects; relapse during the Ig dependency period; successful stabilisation using 10% IVIg solution (2 g/kg followed by 1g/kg every 3 weeks)</w:t>
            </w:r>
          </w:p>
        </w:tc>
        <w:tc>
          <w:tcPr>
            <w:tcW w:w="1032" w:type="pct"/>
            <w:shd w:val="clear" w:color="auto" w:fill="auto"/>
          </w:tcPr>
          <w:p w14:paraId="75C9363B" w14:textId="77777777" w:rsidR="00BD440B" w:rsidRDefault="00BD440B" w:rsidP="00BD440B">
            <w:pPr>
              <w:pStyle w:val="Tablecontents"/>
              <w:jc w:val="left"/>
            </w:pPr>
            <w:r>
              <w:t>N = 172</w:t>
            </w:r>
          </w:p>
          <w:p w14:paraId="433259C3" w14:textId="77777777" w:rsidR="00BD440B" w:rsidRDefault="00BD440B" w:rsidP="00BD440B">
            <w:pPr>
              <w:pStyle w:val="Tablecontents"/>
              <w:jc w:val="left"/>
            </w:pPr>
            <w:r>
              <w:t>Mean age (SD) y: Placebo 55.9 (12.6); SCIg 0.2g/kg 57.5 (12.0); SCIg 0.4 g/kg 56.6 (12.7)</w:t>
            </w:r>
          </w:p>
          <w:p w14:paraId="7DAA7011" w14:textId="77777777" w:rsidR="00BD440B" w:rsidRDefault="00BD440B" w:rsidP="00BD440B">
            <w:pPr>
              <w:pStyle w:val="Tablecontents"/>
              <w:jc w:val="left"/>
            </w:pPr>
            <w:r>
              <w:t>Gender (% male): placebo 64.9; SCIg 0.2 g/kg 73.7; SCIg 0.4 g/kg 53.4</w:t>
            </w:r>
          </w:p>
          <w:p w14:paraId="0E9A4167" w14:textId="77777777" w:rsidR="00BD440B" w:rsidRDefault="00BD440B" w:rsidP="00BD440B">
            <w:pPr>
              <w:pStyle w:val="Tablecontents"/>
              <w:jc w:val="left"/>
            </w:pPr>
            <w:r>
              <w:t>Definite EFNS/PNS CIDP diagnosis (%): placebo 93.0; SCIg 0.2 g/kg 89.5; SCIg 0.4 g/kg 91.4</w:t>
            </w:r>
          </w:p>
          <w:p w14:paraId="4ECBBE65" w14:textId="77777777" w:rsidR="00BD440B" w:rsidRPr="00E3331A" w:rsidRDefault="00BD440B" w:rsidP="00BD440B">
            <w:pPr>
              <w:pStyle w:val="Tablecontents"/>
              <w:jc w:val="left"/>
            </w:pPr>
            <w:r>
              <w:t xml:space="preserve">Mean baseline INCAT (SD): placebo 2.2 (1.7); SCIg 0.2 g/kg 2.3 (1.6); SCIg 0.4 g/kg 2.5 (1.8) </w:t>
            </w:r>
          </w:p>
        </w:tc>
        <w:tc>
          <w:tcPr>
            <w:tcW w:w="539" w:type="pct"/>
            <w:shd w:val="clear" w:color="auto" w:fill="auto"/>
          </w:tcPr>
          <w:p w14:paraId="79540872" w14:textId="77777777" w:rsidR="00BD440B" w:rsidRDefault="00BD440B" w:rsidP="00BD440B">
            <w:pPr>
              <w:pStyle w:val="Tablecontents"/>
              <w:jc w:val="left"/>
            </w:pPr>
            <w:r>
              <w:t>1. SCIg (IgPro 20, Hizentra)0.4 g/kg</w:t>
            </w:r>
          </w:p>
          <w:p w14:paraId="27D502DD" w14:textId="77777777" w:rsidR="00BD440B" w:rsidRPr="00E3331A" w:rsidRDefault="00BD440B" w:rsidP="00BD440B">
            <w:pPr>
              <w:pStyle w:val="Tablecontents"/>
              <w:jc w:val="left"/>
            </w:pPr>
            <w:r>
              <w:t>2. SCIg (IgPro 20, Hizentra)0.2 g/kg</w:t>
            </w:r>
          </w:p>
        </w:tc>
        <w:tc>
          <w:tcPr>
            <w:tcW w:w="392" w:type="pct"/>
            <w:shd w:val="clear" w:color="auto" w:fill="auto"/>
          </w:tcPr>
          <w:p w14:paraId="31DB9F18" w14:textId="77777777" w:rsidR="00BD440B" w:rsidRPr="00E3331A" w:rsidRDefault="00BD440B" w:rsidP="00BD440B">
            <w:pPr>
              <w:pStyle w:val="Tablecontents"/>
              <w:jc w:val="left"/>
            </w:pPr>
            <w:r>
              <w:t xml:space="preserve">Placebo </w:t>
            </w:r>
          </w:p>
        </w:tc>
        <w:tc>
          <w:tcPr>
            <w:tcW w:w="637" w:type="pct"/>
            <w:shd w:val="clear" w:color="auto" w:fill="auto"/>
          </w:tcPr>
          <w:p w14:paraId="51732825" w14:textId="77777777" w:rsidR="00BD440B" w:rsidRDefault="00BD440B" w:rsidP="00BD440B">
            <w:pPr>
              <w:pStyle w:val="Tablecontents"/>
              <w:jc w:val="left"/>
            </w:pPr>
            <w:r>
              <w:t>QoL using PROs (EQ-VAS, EQ-5D)</w:t>
            </w:r>
          </w:p>
          <w:p w14:paraId="49D7F7C5" w14:textId="77777777" w:rsidR="00BD440B" w:rsidRDefault="00BD440B" w:rsidP="00BD440B">
            <w:pPr>
              <w:pStyle w:val="Tablecontents"/>
              <w:jc w:val="left"/>
            </w:pPr>
            <w:r>
              <w:t>Treatment satisfaction (TQSM)</w:t>
            </w:r>
          </w:p>
          <w:p w14:paraId="7D4922B8" w14:textId="77777777" w:rsidR="00BD440B" w:rsidRDefault="00BD440B" w:rsidP="00BD440B">
            <w:pPr>
              <w:pStyle w:val="Tablecontents"/>
              <w:jc w:val="left"/>
            </w:pPr>
            <w:r>
              <w:t>Work impact (WPAI-GH)</w:t>
            </w:r>
          </w:p>
          <w:p w14:paraId="79C5EB18" w14:textId="77777777" w:rsidR="00BD440B" w:rsidRDefault="00BD440B" w:rsidP="00BD440B">
            <w:pPr>
              <w:pStyle w:val="Tablecontents"/>
              <w:jc w:val="left"/>
            </w:pPr>
          </w:p>
          <w:p w14:paraId="38D8FA78" w14:textId="77777777" w:rsidR="00BD440B" w:rsidRDefault="00BD440B" w:rsidP="00BD440B">
            <w:pPr>
              <w:pStyle w:val="Tablecontents"/>
              <w:jc w:val="left"/>
            </w:pPr>
            <w:r>
              <w:t>Relapse rate</w:t>
            </w:r>
          </w:p>
          <w:p w14:paraId="770DA615" w14:textId="77777777" w:rsidR="00BD440B" w:rsidRDefault="00BD440B" w:rsidP="00BD440B">
            <w:pPr>
              <w:pStyle w:val="Tablecontents"/>
              <w:jc w:val="left"/>
            </w:pPr>
            <w:r>
              <w:t>Withdrawal rate</w:t>
            </w:r>
          </w:p>
          <w:p w14:paraId="61A96152" w14:textId="77777777" w:rsidR="00BD440B" w:rsidRDefault="00BD440B" w:rsidP="00BD440B">
            <w:pPr>
              <w:pStyle w:val="Tablecontents"/>
              <w:jc w:val="left"/>
            </w:pPr>
            <w:r>
              <w:t>INCAT score</w:t>
            </w:r>
          </w:p>
          <w:p w14:paraId="3A0783FF" w14:textId="77777777" w:rsidR="00BD440B" w:rsidRDefault="00BD440B" w:rsidP="00BD440B">
            <w:pPr>
              <w:pStyle w:val="Tablecontents"/>
              <w:jc w:val="left"/>
            </w:pPr>
            <w:r>
              <w:t>Mean grip strength</w:t>
            </w:r>
          </w:p>
          <w:p w14:paraId="4D5F951E" w14:textId="77777777" w:rsidR="00BD440B" w:rsidRDefault="00BD440B" w:rsidP="00BD440B">
            <w:pPr>
              <w:pStyle w:val="Tablecontents"/>
              <w:jc w:val="left"/>
            </w:pPr>
            <w:r>
              <w:t>MRC sum score</w:t>
            </w:r>
          </w:p>
          <w:p w14:paraId="66E884AD" w14:textId="77777777" w:rsidR="00BD440B" w:rsidRDefault="00BD440B" w:rsidP="00BD440B">
            <w:pPr>
              <w:pStyle w:val="Tablecontents"/>
              <w:jc w:val="left"/>
            </w:pPr>
            <w:r>
              <w:t>IRODS</w:t>
            </w:r>
          </w:p>
          <w:p w14:paraId="0136C674" w14:textId="77777777" w:rsidR="00BD440B" w:rsidRPr="00E3331A" w:rsidRDefault="00BD440B" w:rsidP="00BD440B">
            <w:pPr>
              <w:pStyle w:val="Tablecontents"/>
              <w:jc w:val="left"/>
            </w:pPr>
            <w:r>
              <w:t>AEs</w:t>
            </w:r>
          </w:p>
        </w:tc>
        <w:tc>
          <w:tcPr>
            <w:tcW w:w="539" w:type="pct"/>
            <w:shd w:val="clear" w:color="auto" w:fill="auto"/>
          </w:tcPr>
          <w:p w14:paraId="2D680F4E" w14:textId="77777777" w:rsidR="00BD440B" w:rsidRDefault="00BD440B" w:rsidP="00BD440B">
            <w:pPr>
              <w:pStyle w:val="Tablecontents"/>
              <w:jc w:val="left"/>
            </w:pPr>
            <w:r>
              <w:t>Follow-up: weeks 9 &amp; 25</w:t>
            </w:r>
          </w:p>
          <w:p w14:paraId="0C2001E6" w14:textId="77777777" w:rsidR="00BD440B" w:rsidRPr="00E3331A" w:rsidRDefault="00BD440B" w:rsidP="00BD440B">
            <w:pPr>
              <w:pStyle w:val="Tablecontents"/>
              <w:jc w:val="left"/>
            </w:pPr>
            <w:r>
              <w:t>Funding: CSL Behring</w:t>
            </w:r>
          </w:p>
        </w:tc>
      </w:tr>
      <w:tr w:rsidR="00BD440B" w:rsidRPr="00E3331A" w14:paraId="0F08926A" w14:textId="77777777" w:rsidTr="00BD440B">
        <w:tc>
          <w:tcPr>
            <w:tcW w:w="440" w:type="pct"/>
            <w:shd w:val="clear" w:color="auto" w:fill="auto"/>
          </w:tcPr>
          <w:p w14:paraId="637CD977" w14:textId="2085B3B4" w:rsidR="00BD440B" w:rsidRDefault="00B727D6" w:rsidP="00BD440B">
            <w:pPr>
              <w:pStyle w:val="Tablecontents"/>
              <w:spacing w:before="0"/>
              <w:jc w:val="left"/>
            </w:pPr>
            <w:r>
              <w:fldChar w:fldCharType="begin">
                <w:fldData xml:space="preserve">PEVuZE5vdGU+PENpdGU+PEF1dGhvcj5LdWl0d2FhcmQ8L0F1dGhvcj48WWVhcj4yMDIwPC9ZZWFy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PEVuZE5vdGU+PENpdGU+PEF1dGhvcj5LdWl0d2FhcmQ8L0F1dGhvcj48WWVhcj4yMDIwPC9ZZWFy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w:t>
            </w:r>
            <w:hyperlink w:anchor="_ENREF_32" w:tooltip="Kuitwaard, 2020 #1294" w:history="1">
              <w:r w:rsidR="00D726F6">
                <w:rPr>
                  <w:noProof/>
                </w:rPr>
                <w:t>Kuitwaard et al. 2020a</w:t>
              </w:r>
            </w:hyperlink>
            <w:r>
              <w:rPr>
                <w:noProof/>
              </w:rPr>
              <w:t>)</w:t>
            </w:r>
            <w:r>
              <w:fldChar w:fldCharType="end"/>
            </w:r>
          </w:p>
          <w:p w14:paraId="47AF906F" w14:textId="77777777" w:rsidR="00BD440B" w:rsidRPr="00E3331A" w:rsidRDefault="00BD440B" w:rsidP="00BD440B">
            <w:pPr>
              <w:pStyle w:val="Tablecontents"/>
              <w:spacing w:before="0"/>
              <w:jc w:val="left"/>
            </w:pPr>
            <w:r>
              <w:t>Netherlands</w:t>
            </w:r>
          </w:p>
        </w:tc>
        <w:tc>
          <w:tcPr>
            <w:tcW w:w="392" w:type="pct"/>
            <w:shd w:val="clear" w:color="auto" w:fill="auto"/>
          </w:tcPr>
          <w:p w14:paraId="3544C2E0" w14:textId="77777777" w:rsidR="00BD440B" w:rsidRDefault="00BD440B" w:rsidP="00BD440B">
            <w:pPr>
              <w:pStyle w:val="Tablecontents"/>
              <w:jc w:val="left"/>
            </w:pPr>
            <w:r>
              <w:t>CO DB RCT</w:t>
            </w:r>
          </w:p>
          <w:p w14:paraId="29F4C8F8" w14:textId="77777777" w:rsidR="00BD440B" w:rsidRDefault="00BD440B" w:rsidP="00BD440B">
            <w:pPr>
              <w:pStyle w:val="Tablecontents"/>
              <w:jc w:val="left"/>
            </w:pPr>
            <w:r>
              <w:t>II</w:t>
            </w:r>
          </w:p>
          <w:p w14:paraId="2ECE9169" w14:textId="77777777" w:rsidR="00BD440B" w:rsidRPr="00E3331A" w:rsidRDefault="00BD440B" w:rsidP="00BD440B">
            <w:pPr>
              <w:pStyle w:val="Tablecontents"/>
              <w:jc w:val="left"/>
            </w:pPr>
            <w:r>
              <w:t>Moderate</w:t>
            </w:r>
          </w:p>
        </w:tc>
        <w:tc>
          <w:tcPr>
            <w:tcW w:w="1029" w:type="pct"/>
            <w:shd w:val="clear" w:color="auto" w:fill="auto"/>
          </w:tcPr>
          <w:p w14:paraId="45AD2F47" w14:textId="77777777" w:rsidR="00BD440B" w:rsidRPr="00AA4CC0" w:rsidRDefault="00BD440B" w:rsidP="00BD440B">
            <w:pPr>
              <w:pStyle w:val="Tablecontents"/>
              <w:jc w:val="left"/>
              <w:rPr>
                <w:i/>
              </w:rPr>
            </w:pPr>
            <w:r w:rsidRPr="00AA4CC0">
              <w:rPr>
                <w:i/>
              </w:rPr>
              <w:t>Inclusion</w:t>
            </w:r>
          </w:p>
          <w:p w14:paraId="1FFB913C" w14:textId="77777777" w:rsidR="00BD440B" w:rsidRDefault="00BD440B" w:rsidP="00BD440B">
            <w:pPr>
              <w:pStyle w:val="Tablecontents"/>
              <w:jc w:val="left"/>
            </w:pPr>
            <w:r>
              <w:t>Adults with CIDP based on EFNS/PNS criteria; stable dose and interval of 10% liquid IVIg maintenance therapy; deterioration based on Martin Vigorimeter following dose reduction or interval lengthening within 9 mo prior to randomisation</w:t>
            </w:r>
          </w:p>
          <w:p w14:paraId="10FF677E" w14:textId="77777777" w:rsidR="00BD440B" w:rsidRPr="00AA4CC0" w:rsidRDefault="00BD440B" w:rsidP="00BD440B">
            <w:pPr>
              <w:pStyle w:val="Tablecontents"/>
              <w:jc w:val="left"/>
              <w:rPr>
                <w:i/>
              </w:rPr>
            </w:pPr>
            <w:r w:rsidRPr="00AA4CC0">
              <w:rPr>
                <w:i/>
              </w:rPr>
              <w:t>Exclusion</w:t>
            </w:r>
          </w:p>
          <w:p w14:paraId="31320532" w14:textId="22586E0E" w:rsidR="00BD440B" w:rsidRPr="00E3331A" w:rsidRDefault="00BD440B" w:rsidP="00BD440B">
            <w:pPr>
              <w:pStyle w:val="Tablecontents"/>
              <w:jc w:val="left"/>
            </w:pPr>
            <w:r>
              <w:t>Concomitant immunosuppressants unless dose was stable in 8 wks b</w:t>
            </w:r>
            <w:r w:rsidR="0032482D">
              <w:t>e</w:t>
            </w:r>
            <w:r>
              <w:t xml:space="preserve">fore trial start; prednisone dose ≤ 20 g daily </w:t>
            </w:r>
          </w:p>
        </w:tc>
        <w:tc>
          <w:tcPr>
            <w:tcW w:w="1032" w:type="pct"/>
            <w:shd w:val="clear" w:color="auto" w:fill="auto"/>
          </w:tcPr>
          <w:p w14:paraId="66FE2062" w14:textId="77777777" w:rsidR="00BD440B" w:rsidRDefault="00BD440B" w:rsidP="00BD440B">
            <w:pPr>
              <w:pStyle w:val="Tablecontents"/>
              <w:jc w:val="left"/>
            </w:pPr>
            <w:r>
              <w:t>N = 25</w:t>
            </w:r>
          </w:p>
          <w:p w14:paraId="3E2D4BE8" w14:textId="77777777" w:rsidR="00BD440B" w:rsidRDefault="00BD440B" w:rsidP="00BD440B">
            <w:pPr>
              <w:pStyle w:val="Tablecontents"/>
              <w:jc w:val="left"/>
            </w:pPr>
            <w:r>
              <w:t>Mean age y (range): 67 (27-81)</w:t>
            </w:r>
          </w:p>
          <w:p w14:paraId="6AC5EA3B" w14:textId="77777777" w:rsidR="00BD440B" w:rsidRDefault="00BD440B" w:rsidP="00BD440B">
            <w:pPr>
              <w:pStyle w:val="Tablecontents"/>
              <w:jc w:val="left"/>
            </w:pPr>
            <w:r>
              <w:t>Gender (% male): 73</w:t>
            </w:r>
          </w:p>
          <w:p w14:paraId="45B7C94D" w14:textId="77777777" w:rsidR="00BD440B" w:rsidRDefault="00BD440B" w:rsidP="00BD440B">
            <w:pPr>
              <w:pStyle w:val="Tablecontents"/>
              <w:jc w:val="left"/>
            </w:pPr>
            <w:r>
              <w:t>Mean duration of IVIg treatment y (range): 4 (0-31)</w:t>
            </w:r>
          </w:p>
          <w:p w14:paraId="36B27028" w14:textId="77777777" w:rsidR="00BD440B" w:rsidRDefault="00BD440B" w:rsidP="00BD440B">
            <w:pPr>
              <w:pStyle w:val="Tablecontents"/>
              <w:jc w:val="left"/>
            </w:pPr>
            <w:r>
              <w:t>IVIg dose range g: 20-80 g</w:t>
            </w:r>
          </w:p>
          <w:p w14:paraId="7685788F" w14:textId="77777777" w:rsidR="00BD440B" w:rsidRPr="00E3331A" w:rsidRDefault="00BD440B" w:rsidP="00BD440B">
            <w:pPr>
              <w:pStyle w:val="Tablecontents"/>
              <w:jc w:val="left"/>
            </w:pPr>
            <w:r>
              <w:t>Dose interval range days: 14-35</w:t>
            </w:r>
          </w:p>
        </w:tc>
        <w:tc>
          <w:tcPr>
            <w:tcW w:w="539" w:type="pct"/>
            <w:shd w:val="clear" w:color="auto" w:fill="auto"/>
          </w:tcPr>
          <w:p w14:paraId="796EF178" w14:textId="4C43534E" w:rsidR="00BD440B" w:rsidRDefault="00BD440B" w:rsidP="00BD440B">
            <w:pPr>
              <w:pStyle w:val="Tablecontents"/>
              <w:jc w:val="left"/>
            </w:pPr>
            <w:r>
              <w:t xml:space="preserve">IVIg </w:t>
            </w:r>
            <w:r w:rsidR="0033744F">
              <w:t xml:space="preserve">half </w:t>
            </w:r>
            <w:r>
              <w:t>dose &amp; interval (individualised to patient)</w:t>
            </w:r>
          </w:p>
          <w:p w14:paraId="30327B9C" w14:textId="77777777" w:rsidR="00BD440B" w:rsidRPr="00E3331A" w:rsidRDefault="00BD440B" w:rsidP="00BD440B">
            <w:pPr>
              <w:pStyle w:val="Tablecontents"/>
              <w:jc w:val="left"/>
            </w:pPr>
          </w:p>
        </w:tc>
        <w:tc>
          <w:tcPr>
            <w:tcW w:w="392" w:type="pct"/>
            <w:shd w:val="clear" w:color="auto" w:fill="auto"/>
          </w:tcPr>
          <w:p w14:paraId="1BBCE29F" w14:textId="4DDFC64E" w:rsidR="00BD440B" w:rsidRPr="00E3331A" w:rsidRDefault="00BD440B" w:rsidP="0033744F">
            <w:pPr>
              <w:pStyle w:val="Tablecontents"/>
              <w:jc w:val="left"/>
            </w:pPr>
            <w:r>
              <w:t xml:space="preserve">IVIg </w:t>
            </w:r>
            <w:r w:rsidR="0033744F">
              <w:t xml:space="preserve">full </w:t>
            </w:r>
            <w:r>
              <w:t xml:space="preserve">dose &amp; interval (individualised to patient) </w:t>
            </w:r>
          </w:p>
        </w:tc>
        <w:tc>
          <w:tcPr>
            <w:tcW w:w="637" w:type="pct"/>
            <w:shd w:val="clear" w:color="auto" w:fill="auto"/>
          </w:tcPr>
          <w:p w14:paraId="384EA429" w14:textId="77777777" w:rsidR="00BD440B" w:rsidRDefault="00BD440B" w:rsidP="00BD440B">
            <w:pPr>
              <w:pStyle w:val="Tablecontents"/>
              <w:jc w:val="left"/>
            </w:pPr>
            <w:r>
              <w:t>Hand grip strength (Martin Vigorimeter)</w:t>
            </w:r>
          </w:p>
          <w:p w14:paraId="3BFC8DCA" w14:textId="77777777" w:rsidR="00BD440B" w:rsidRDefault="00BD440B" w:rsidP="00BD440B">
            <w:pPr>
              <w:pStyle w:val="Tablecontents"/>
              <w:jc w:val="left"/>
            </w:pPr>
            <w:r>
              <w:t>Health related QoL (SF-36)</w:t>
            </w:r>
          </w:p>
          <w:p w14:paraId="62D85081" w14:textId="77777777" w:rsidR="00BD440B" w:rsidRDefault="00BD440B" w:rsidP="00BD440B">
            <w:pPr>
              <w:pStyle w:val="Tablecontents"/>
              <w:jc w:val="left"/>
            </w:pPr>
            <w:r>
              <w:t>Disability (IRODS)</w:t>
            </w:r>
          </w:p>
          <w:p w14:paraId="1F9541B4" w14:textId="77777777" w:rsidR="00BD440B" w:rsidRDefault="00BD440B" w:rsidP="00BD440B">
            <w:pPr>
              <w:pStyle w:val="Tablecontents"/>
              <w:jc w:val="left"/>
            </w:pPr>
            <w:r>
              <w:t>Fatigue (RFSS)</w:t>
            </w:r>
          </w:p>
          <w:p w14:paraId="3C064BE4" w14:textId="77777777" w:rsidR="00BD440B" w:rsidRPr="00E3331A" w:rsidRDefault="00BD440B" w:rsidP="00BD440B">
            <w:pPr>
              <w:pStyle w:val="Tablecontents"/>
              <w:jc w:val="left"/>
            </w:pPr>
            <w:r>
              <w:t>SAEs</w:t>
            </w:r>
          </w:p>
        </w:tc>
        <w:tc>
          <w:tcPr>
            <w:tcW w:w="539" w:type="pct"/>
            <w:shd w:val="clear" w:color="auto" w:fill="auto"/>
          </w:tcPr>
          <w:p w14:paraId="589A37D4" w14:textId="77777777" w:rsidR="00BD440B" w:rsidRDefault="00BD440B" w:rsidP="00BD440B">
            <w:pPr>
              <w:pStyle w:val="Tablecontents"/>
              <w:jc w:val="left"/>
            </w:pPr>
            <w:r>
              <w:t>Follow-up varied per patient</w:t>
            </w:r>
            <w:r w:rsidRPr="00CD0954">
              <w:t>: 1 baseline infusion, 2x 4 blind infusions separated by 2 wash-out infusions</w:t>
            </w:r>
          </w:p>
          <w:p w14:paraId="2F5C9D3A" w14:textId="77777777" w:rsidR="00BD440B" w:rsidRPr="00E3331A" w:rsidRDefault="00BD440B" w:rsidP="00BD440B">
            <w:pPr>
              <w:pStyle w:val="Tablecontents"/>
              <w:jc w:val="left"/>
            </w:pPr>
            <w:r>
              <w:t>Fundong: Shire International GmbH, Takeda</w:t>
            </w:r>
          </w:p>
        </w:tc>
      </w:tr>
    </w:tbl>
    <w:p w14:paraId="56E5A5E7" w14:textId="77777777" w:rsidR="00BD440B" w:rsidRDefault="00BD440B" w:rsidP="00BD440B">
      <w:pPr>
        <w:pStyle w:val="Tablenotes1"/>
      </w:pPr>
      <w:r w:rsidRPr="00E3331A">
        <w:t xml:space="preserve">Abbreviations: </w:t>
      </w:r>
      <w:r>
        <w:t>AEs = adverse events;</w:t>
      </w:r>
      <w:r w:rsidRPr="00E3331A">
        <w:t xml:space="preserve"> </w:t>
      </w:r>
      <w:r>
        <w:t xml:space="preserve">CIDP = chronic; </w:t>
      </w:r>
      <w:r w:rsidRPr="00E3331A">
        <w:t>CO = crossover; DB = double blind;</w:t>
      </w:r>
      <w:r w:rsidRPr="00977A11">
        <w:t xml:space="preserve"> </w:t>
      </w:r>
      <w:r>
        <w:t xml:space="preserve">EFNS/PNS = </w:t>
      </w:r>
      <w:r w:rsidRPr="006328D3">
        <w:t>The European Federation of Neurological Societies/Peripheral Nerve Society</w:t>
      </w:r>
      <w:r>
        <w:t xml:space="preserve">; EQ-5D = EuroQoL 5-Dimension tool; EQ-VAS = EuroQoL Visual Analogue scale tool; INCAT = Infammatory Neuropathy Cause and Treatment disability scale; IVIg = intravenous immunoglobulin therapy; </w:t>
      </w:r>
      <w:r w:rsidRPr="00E3331A">
        <w:t>MC = multicentre</w:t>
      </w:r>
      <w:r>
        <w:t>; PATH = Polyneuropathy and Treament with Hizentra study;</w:t>
      </w:r>
      <w:r w:rsidRPr="00E3331A">
        <w:t xml:space="preserve"> </w:t>
      </w:r>
      <w:r>
        <w:t>PRO = patient-reported outcome; QoL = quality of life; RCT = randomised controlled trial; ROB = risk of bias; SAEs = serious adverse events; SCIg = subcutaneous immunoglobulin therapy;</w:t>
      </w:r>
      <w:r w:rsidRPr="00E3331A">
        <w:t>.</w:t>
      </w:r>
      <w:r>
        <w:t>TSQM = treatment Satisfactrion Questionnaire for Medicine tool; WPAI-GH = Work Productivityand Activity Impairment Questionnaire for General Health tool</w:t>
      </w:r>
    </w:p>
    <w:p w14:paraId="431A6E01" w14:textId="77777777" w:rsidR="00BD440B" w:rsidRPr="00E3331A" w:rsidRDefault="00BD440B" w:rsidP="00BD440B">
      <w:pPr>
        <w:pStyle w:val="Tablenotes1"/>
      </w:pPr>
    </w:p>
    <w:p w14:paraId="67FAE318" w14:textId="45B7D2A9" w:rsidR="00BD440B" w:rsidRPr="00E3331A" w:rsidRDefault="00BD440B" w:rsidP="00BD440B">
      <w:pPr>
        <w:pStyle w:val="Caption"/>
      </w:pPr>
      <w:bookmarkStart w:id="518" w:name="_Toc69305718"/>
      <w:r w:rsidRPr="00E3331A">
        <w:t xml:space="preserve">Table </w:t>
      </w:r>
      <w:r w:rsidRPr="00E3331A">
        <w:rPr>
          <w:noProof/>
        </w:rPr>
        <w:fldChar w:fldCharType="begin"/>
      </w:r>
      <w:r w:rsidRPr="00E3331A">
        <w:rPr>
          <w:noProof/>
        </w:rPr>
        <w:instrText xml:space="preserve"> SEQ Table \* ARABIC </w:instrText>
      </w:r>
      <w:r w:rsidRPr="00E3331A">
        <w:rPr>
          <w:noProof/>
        </w:rPr>
        <w:fldChar w:fldCharType="separate"/>
      </w:r>
      <w:r w:rsidR="004B3EA2">
        <w:rPr>
          <w:noProof/>
        </w:rPr>
        <w:t>77</w:t>
      </w:r>
      <w:r w:rsidRPr="00E3331A">
        <w:rPr>
          <w:noProof/>
        </w:rPr>
        <w:fldChar w:fldCharType="end"/>
      </w:r>
      <w:r w:rsidRPr="00E3331A">
        <w:rPr>
          <w:noProof/>
        </w:rPr>
        <w:tab/>
      </w:r>
      <w:r w:rsidRPr="00E3331A">
        <w:t>Studies included for the extended assessment of harms, key characteristics and safety data</w:t>
      </w:r>
      <w:bookmarkEnd w:id="518"/>
    </w:p>
    <w:tbl>
      <w:tblPr>
        <w:tblW w:w="4731" w:type="pct"/>
        <w:tblLayout w:type="fixed"/>
        <w:tblLook w:val="04A0" w:firstRow="1" w:lastRow="0" w:firstColumn="1" w:lastColumn="0" w:noHBand="0" w:noVBand="1"/>
        <w:tblCaption w:val="Studies included for the extended assessment of harms, key characteristics and safety data"/>
        <w:tblDescription w:val="Studies included for the extended assessment of harms, key characteristics and safety data"/>
      </w:tblPr>
      <w:tblGrid>
        <w:gridCol w:w="1270"/>
        <w:gridCol w:w="1277"/>
        <w:gridCol w:w="3827"/>
        <w:gridCol w:w="3120"/>
        <w:gridCol w:w="2270"/>
        <w:gridCol w:w="2548"/>
      </w:tblGrid>
      <w:tr w:rsidR="00BD440B" w:rsidRPr="00E3331A" w14:paraId="696F6420" w14:textId="77777777" w:rsidTr="00BD440B">
        <w:trPr>
          <w:trHeight w:val="300"/>
        </w:trPr>
        <w:tc>
          <w:tcPr>
            <w:tcW w:w="444" w:type="pct"/>
            <w:tcBorders>
              <w:top w:val="single" w:sz="4" w:space="0" w:color="auto"/>
              <w:left w:val="single" w:sz="4" w:space="0" w:color="auto"/>
              <w:bottom w:val="single" w:sz="4" w:space="0" w:color="auto"/>
              <w:right w:val="single" w:sz="4" w:space="0" w:color="auto"/>
            </w:tcBorders>
            <w:shd w:val="clear" w:color="auto" w:fill="auto"/>
            <w:noWrap/>
            <w:hideMark/>
          </w:tcPr>
          <w:p w14:paraId="1EE6FB8B" w14:textId="77777777" w:rsidR="00BD440B" w:rsidRPr="00E3331A" w:rsidRDefault="00BD440B" w:rsidP="00BD440B">
            <w:pPr>
              <w:spacing w:after="0" w:line="240" w:lineRule="auto"/>
              <w:rPr>
                <w:rFonts w:ascii="Arial Narrow" w:hAnsi="Arial Narrow" w:cs="Calibri"/>
                <w:b/>
                <w:bCs/>
                <w:sz w:val="18"/>
                <w:szCs w:val="18"/>
              </w:rPr>
            </w:pPr>
            <w:r w:rsidRPr="00E3331A">
              <w:rPr>
                <w:rFonts w:ascii="Arial Narrow" w:hAnsi="Arial Narrow" w:cs="Calibri"/>
                <w:b/>
                <w:bCs/>
                <w:sz w:val="18"/>
                <w:szCs w:val="18"/>
              </w:rPr>
              <w:t>Study ID</w:t>
            </w:r>
          </w:p>
          <w:p w14:paraId="1E4CC596" w14:textId="77777777" w:rsidR="00BD440B" w:rsidRPr="00E3331A" w:rsidRDefault="00BD440B" w:rsidP="00BD440B">
            <w:pPr>
              <w:spacing w:after="0" w:line="240" w:lineRule="auto"/>
              <w:rPr>
                <w:rFonts w:ascii="Arial Narrow" w:hAnsi="Arial Narrow" w:cs="Calibri"/>
                <w:b/>
                <w:bCs/>
                <w:sz w:val="18"/>
                <w:szCs w:val="18"/>
              </w:rPr>
            </w:pPr>
            <w:r>
              <w:rPr>
                <w:rFonts w:ascii="Arial Narrow" w:hAnsi="Arial Narrow" w:cs="Calibri"/>
                <w:b/>
                <w:bCs/>
                <w:sz w:val="18"/>
                <w:szCs w:val="18"/>
              </w:rPr>
              <w:t>Country</w:t>
            </w:r>
          </w:p>
        </w:tc>
        <w:tc>
          <w:tcPr>
            <w:tcW w:w="446" w:type="pct"/>
            <w:tcBorders>
              <w:top w:val="single" w:sz="4" w:space="0" w:color="auto"/>
              <w:left w:val="single" w:sz="4" w:space="0" w:color="auto"/>
              <w:bottom w:val="single" w:sz="4" w:space="0" w:color="auto"/>
              <w:right w:val="single" w:sz="4" w:space="0" w:color="auto"/>
            </w:tcBorders>
          </w:tcPr>
          <w:p w14:paraId="0244C6EA" w14:textId="77777777" w:rsidR="00BD440B" w:rsidRDefault="00BD440B" w:rsidP="00BD440B">
            <w:pPr>
              <w:spacing w:after="0" w:line="240" w:lineRule="auto"/>
              <w:rPr>
                <w:rFonts w:ascii="Arial Narrow" w:hAnsi="Arial Narrow" w:cs="Calibri"/>
                <w:b/>
                <w:bCs/>
                <w:sz w:val="18"/>
                <w:szCs w:val="18"/>
              </w:rPr>
            </w:pPr>
            <w:r>
              <w:rPr>
                <w:rFonts w:ascii="Arial Narrow" w:hAnsi="Arial Narrow" w:cs="Calibri"/>
                <w:b/>
                <w:bCs/>
                <w:sz w:val="18"/>
                <w:szCs w:val="18"/>
              </w:rPr>
              <w:t>Study design level of evidence</w:t>
            </w:r>
          </w:p>
          <w:p w14:paraId="238FB40F" w14:textId="77777777" w:rsidR="00BD440B" w:rsidRPr="00E3331A" w:rsidRDefault="00BD440B" w:rsidP="00BD440B">
            <w:pPr>
              <w:spacing w:after="0" w:line="240" w:lineRule="auto"/>
              <w:rPr>
                <w:rFonts w:ascii="Arial Narrow" w:hAnsi="Arial Narrow" w:cs="Calibri"/>
                <w:b/>
                <w:bCs/>
                <w:sz w:val="18"/>
                <w:szCs w:val="18"/>
              </w:rPr>
            </w:pPr>
            <w:r>
              <w:rPr>
                <w:rFonts w:ascii="Arial Narrow" w:hAnsi="Arial Narrow" w:cs="Calibri"/>
                <w:b/>
                <w:bCs/>
                <w:sz w:val="18"/>
                <w:szCs w:val="18"/>
              </w:rPr>
              <w:t>ROB</w:t>
            </w:r>
          </w:p>
        </w:tc>
        <w:tc>
          <w:tcPr>
            <w:tcW w:w="1337" w:type="pct"/>
            <w:tcBorders>
              <w:top w:val="single" w:sz="4" w:space="0" w:color="auto"/>
              <w:left w:val="single" w:sz="4" w:space="0" w:color="auto"/>
              <w:bottom w:val="single" w:sz="4" w:space="0" w:color="auto"/>
              <w:right w:val="single" w:sz="4" w:space="0" w:color="auto"/>
            </w:tcBorders>
            <w:shd w:val="clear" w:color="auto" w:fill="auto"/>
            <w:noWrap/>
            <w:hideMark/>
          </w:tcPr>
          <w:p w14:paraId="5AFB6E01" w14:textId="77777777" w:rsidR="00BD440B" w:rsidRDefault="00BD440B" w:rsidP="00BD440B">
            <w:pPr>
              <w:spacing w:after="0" w:line="240" w:lineRule="auto"/>
              <w:rPr>
                <w:rFonts w:ascii="Arial Narrow" w:hAnsi="Arial Narrow" w:cs="Calibri"/>
                <w:b/>
                <w:bCs/>
                <w:sz w:val="18"/>
                <w:szCs w:val="18"/>
              </w:rPr>
            </w:pPr>
            <w:r w:rsidRPr="00E3331A">
              <w:rPr>
                <w:rFonts w:ascii="Arial Narrow" w:hAnsi="Arial Narrow" w:cs="Calibri"/>
                <w:b/>
                <w:bCs/>
                <w:sz w:val="18"/>
                <w:szCs w:val="18"/>
              </w:rPr>
              <w:t>Inclusion criteria (simplified)</w:t>
            </w:r>
          </w:p>
          <w:p w14:paraId="7AB802F0" w14:textId="77777777" w:rsidR="00BD440B" w:rsidRPr="00E3331A" w:rsidRDefault="00BD440B" w:rsidP="00BD440B">
            <w:pPr>
              <w:spacing w:after="0" w:line="240" w:lineRule="auto"/>
              <w:rPr>
                <w:rFonts w:ascii="Arial Narrow" w:hAnsi="Arial Narrow" w:cs="Calibri"/>
                <w:b/>
                <w:bCs/>
                <w:sz w:val="18"/>
                <w:szCs w:val="18"/>
              </w:rPr>
            </w:pPr>
            <w:r>
              <w:rPr>
                <w:rFonts w:ascii="Arial Narrow" w:hAnsi="Arial Narrow" w:cs="Calibri"/>
                <w:b/>
                <w:bCs/>
                <w:sz w:val="18"/>
                <w:szCs w:val="18"/>
              </w:rPr>
              <w:t>Population description</w:t>
            </w:r>
          </w:p>
        </w:tc>
        <w:tc>
          <w:tcPr>
            <w:tcW w:w="1090" w:type="pct"/>
            <w:tcBorders>
              <w:top w:val="single" w:sz="4" w:space="0" w:color="auto"/>
              <w:left w:val="single" w:sz="4" w:space="0" w:color="auto"/>
              <w:bottom w:val="single" w:sz="4" w:space="0" w:color="auto"/>
              <w:right w:val="single" w:sz="4" w:space="0" w:color="auto"/>
            </w:tcBorders>
            <w:shd w:val="clear" w:color="auto" w:fill="auto"/>
            <w:noWrap/>
            <w:hideMark/>
          </w:tcPr>
          <w:p w14:paraId="0055A495" w14:textId="77777777" w:rsidR="00BD440B" w:rsidRPr="00E3331A" w:rsidRDefault="00BD440B" w:rsidP="00BD440B">
            <w:pPr>
              <w:spacing w:after="0" w:line="240" w:lineRule="auto"/>
              <w:rPr>
                <w:rFonts w:ascii="Arial Narrow" w:hAnsi="Arial Narrow" w:cs="Calibri"/>
                <w:b/>
                <w:bCs/>
                <w:sz w:val="18"/>
                <w:szCs w:val="18"/>
              </w:rPr>
            </w:pPr>
            <w:r w:rsidRPr="00E3331A">
              <w:rPr>
                <w:rFonts w:ascii="Arial Narrow" w:hAnsi="Arial Narrow" w:cs="Calibri"/>
                <w:b/>
                <w:bCs/>
                <w:sz w:val="18"/>
                <w:szCs w:val="18"/>
              </w:rPr>
              <w:t xml:space="preserve">Intervention </w:t>
            </w:r>
          </w:p>
          <w:p w14:paraId="7097911D" w14:textId="77777777" w:rsidR="00BD440B" w:rsidRPr="00E3331A" w:rsidRDefault="00BD440B" w:rsidP="00BD440B">
            <w:pPr>
              <w:spacing w:after="0" w:line="240" w:lineRule="auto"/>
              <w:rPr>
                <w:rFonts w:ascii="Arial Narrow" w:hAnsi="Arial Narrow" w:cs="Calibri"/>
                <w:b/>
                <w:bCs/>
                <w:sz w:val="18"/>
                <w:szCs w:val="18"/>
              </w:rPr>
            </w:pPr>
            <w:r w:rsidRPr="00E3331A">
              <w:rPr>
                <w:rFonts w:ascii="Arial Narrow" w:hAnsi="Arial Narrow" w:cs="Calibri"/>
                <w:b/>
                <w:bCs/>
                <w:sz w:val="18"/>
                <w:szCs w:val="18"/>
              </w:rPr>
              <w:t>Comparator (if relevant)</w:t>
            </w:r>
          </w:p>
        </w:tc>
        <w:tc>
          <w:tcPr>
            <w:tcW w:w="793" w:type="pct"/>
            <w:tcBorders>
              <w:top w:val="single" w:sz="4" w:space="0" w:color="auto"/>
              <w:left w:val="single" w:sz="4" w:space="0" w:color="auto"/>
              <w:bottom w:val="single" w:sz="4" w:space="0" w:color="auto"/>
              <w:right w:val="single" w:sz="4" w:space="0" w:color="auto"/>
            </w:tcBorders>
          </w:tcPr>
          <w:p w14:paraId="01A6ED17" w14:textId="77777777" w:rsidR="00BD440B" w:rsidRPr="00E3331A" w:rsidRDefault="00BD440B" w:rsidP="00BD440B">
            <w:pPr>
              <w:spacing w:after="0" w:line="240" w:lineRule="auto"/>
              <w:rPr>
                <w:rFonts w:ascii="Arial Narrow" w:hAnsi="Arial Narrow" w:cs="Calibri"/>
                <w:b/>
                <w:bCs/>
                <w:sz w:val="18"/>
                <w:szCs w:val="18"/>
              </w:rPr>
            </w:pPr>
            <w:r w:rsidRPr="00E3331A">
              <w:rPr>
                <w:rFonts w:ascii="Arial Narrow" w:hAnsi="Arial Narrow" w:cs="Calibri"/>
                <w:b/>
                <w:bCs/>
                <w:sz w:val="18"/>
                <w:szCs w:val="18"/>
              </w:rPr>
              <w:t>Observation period</w:t>
            </w:r>
          </w:p>
          <w:p w14:paraId="7BE24E43" w14:textId="77777777" w:rsidR="00BD440B" w:rsidRPr="00E3331A" w:rsidRDefault="00BD440B" w:rsidP="00BD440B">
            <w:pPr>
              <w:spacing w:after="0" w:line="240" w:lineRule="auto"/>
              <w:rPr>
                <w:rFonts w:ascii="Arial Narrow" w:hAnsi="Arial Narrow" w:cs="Calibri"/>
                <w:b/>
                <w:bCs/>
                <w:sz w:val="18"/>
                <w:szCs w:val="18"/>
              </w:rPr>
            </w:pPr>
            <w:r w:rsidRPr="00E3331A">
              <w:rPr>
                <w:rFonts w:ascii="Arial Narrow" w:hAnsi="Arial Narrow" w:cs="Calibri"/>
                <w:b/>
                <w:bCs/>
                <w:sz w:val="18"/>
                <w:szCs w:val="18"/>
              </w:rPr>
              <w:t>Comments regarding safety analyses</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33E16869" w14:textId="77777777" w:rsidR="00BD440B" w:rsidRPr="00E3331A" w:rsidRDefault="00BD440B" w:rsidP="00BD440B">
            <w:pPr>
              <w:tabs>
                <w:tab w:val="left" w:pos="2814"/>
              </w:tabs>
              <w:spacing w:after="0" w:line="240" w:lineRule="auto"/>
              <w:rPr>
                <w:rFonts w:ascii="Arial Narrow" w:hAnsi="Arial Narrow" w:cs="Calibri"/>
                <w:b/>
                <w:bCs/>
                <w:sz w:val="18"/>
                <w:szCs w:val="18"/>
              </w:rPr>
            </w:pPr>
            <w:r>
              <w:rPr>
                <w:rFonts w:ascii="Arial Narrow" w:hAnsi="Arial Narrow" w:cs="Calibri"/>
                <w:b/>
                <w:bCs/>
                <w:sz w:val="18"/>
                <w:szCs w:val="18"/>
              </w:rPr>
              <w:t>Outcomes</w:t>
            </w:r>
          </w:p>
        </w:tc>
      </w:tr>
      <w:tr w:rsidR="00BD440B" w:rsidRPr="00E3331A" w14:paraId="343A4EC5" w14:textId="77777777" w:rsidTr="002B0DA4">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1139C" w14:textId="77777777" w:rsidR="00BD440B" w:rsidRPr="00E3331A" w:rsidRDefault="00BD440B" w:rsidP="00BD440B">
            <w:pPr>
              <w:tabs>
                <w:tab w:val="left" w:pos="2814"/>
              </w:tabs>
              <w:spacing w:after="0" w:line="240" w:lineRule="auto"/>
              <w:rPr>
                <w:rFonts w:ascii="Arial Narrow" w:hAnsi="Arial Narrow" w:cs="Calibri"/>
                <w:color w:val="000000"/>
                <w:sz w:val="18"/>
                <w:szCs w:val="18"/>
              </w:rPr>
            </w:pPr>
            <w:r>
              <w:rPr>
                <w:rFonts w:ascii="Arial Narrow" w:hAnsi="Arial Narrow" w:cs="Calibri"/>
                <w:b/>
                <w:color w:val="000000"/>
                <w:sz w:val="18"/>
                <w:szCs w:val="18"/>
              </w:rPr>
              <w:t>Safety data for</w:t>
            </w:r>
            <w:r w:rsidRPr="00E3331A">
              <w:rPr>
                <w:rFonts w:ascii="Arial Narrow" w:hAnsi="Arial Narrow" w:cs="Calibri"/>
                <w:b/>
                <w:color w:val="000000"/>
                <w:sz w:val="18"/>
                <w:szCs w:val="18"/>
              </w:rPr>
              <w:t xml:space="preserve"> </w:t>
            </w:r>
            <w:r>
              <w:rPr>
                <w:rFonts w:ascii="Arial Narrow" w:hAnsi="Arial Narrow" w:cs="Calibri"/>
                <w:b/>
                <w:color w:val="000000"/>
                <w:sz w:val="18"/>
                <w:szCs w:val="18"/>
              </w:rPr>
              <w:t>Plasma Exchange</w:t>
            </w:r>
          </w:p>
        </w:tc>
      </w:tr>
      <w:tr w:rsidR="00BD440B" w:rsidRPr="00827A3E" w14:paraId="6C18E0EB" w14:textId="77777777" w:rsidTr="00BD440B">
        <w:trPr>
          <w:trHeight w:val="300"/>
        </w:trPr>
        <w:tc>
          <w:tcPr>
            <w:tcW w:w="444" w:type="pct"/>
            <w:tcBorders>
              <w:top w:val="single" w:sz="4" w:space="0" w:color="auto"/>
              <w:left w:val="single" w:sz="4" w:space="0" w:color="auto"/>
              <w:bottom w:val="single" w:sz="4" w:space="0" w:color="auto"/>
              <w:right w:val="single" w:sz="4" w:space="0" w:color="auto"/>
            </w:tcBorders>
            <w:shd w:val="clear" w:color="auto" w:fill="auto"/>
            <w:noWrap/>
          </w:tcPr>
          <w:p w14:paraId="3BECA239" w14:textId="3819762F" w:rsidR="00BD440B" w:rsidRPr="00827A3E" w:rsidRDefault="00B727D6"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rPr>
                <w:rFonts w:ascii="Arial Narrow" w:hAnsi="Arial Narrow" w:cs="Calibri"/>
                <w:color w:val="000000"/>
                <w:sz w:val="18"/>
                <w:szCs w:val="18"/>
              </w:rPr>
              <w:instrText xml:space="preserve"> ADDIN EN.CITE </w:instrText>
            </w:r>
            <w:r>
              <w:rPr>
                <w:rFonts w:ascii="Arial Narrow" w:hAnsi="Arial Narrow" w:cs="Calibri"/>
                <w:color w:val="000000"/>
                <w:sz w:val="18"/>
                <w:szCs w:val="18"/>
              </w:rPr>
              <w:fldChar w:fldCharType="begin">
                <w:fldData xml:space="preserve">PEVuZE5vdGU+PENpdGU+PEF1dGhvcj5PcnRpei1TYWxhczwvQXV0aG9yPjxZZWFyPjIwMTY8L1ll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</w:fldData>
              </w:fldChar>
            </w:r>
            <w:r>
              <w:rPr>
                <w:rFonts w:ascii="Arial Narrow" w:hAnsi="Arial Narrow" w:cs="Calibri"/>
                <w:color w:val="000000"/>
                <w:sz w:val="18"/>
                <w:szCs w:val="18"/>
              </w:rPr>
              <w:instrText xml:space="preserve"> ADDIN EN.CITE.DATA </w:instrText>
            </w:r>
            <w:r>
              <w:rPr>
                <w:rFonts w:ascii="Arial Narrow" w:hAnsi="Arial Narrow" w:cs="Calibri"/>
                <w:color w:val="000000"/>
                <w:sz w:val="18"/>
                <w:szCs w:val="18"/>
              </w:rPr>
            </w:r>
            <w:r>
              <w:rPr>
                <w:rFonts w:ascii="Arial Narrow" w:hAnsi="Arial Narrow" w:cs="Calibri"/>
                <w:color w:val="000000"/>
                <w:sz w:val="18"/>
                <w:szCs w:val="18"/>
              </w:rPr>
              <w:fldChar w:fldCharType="end"/>
            </w:r>
            <w:r>
              <w:rPr>
                <w:rFonts w:ascii="Arial Narrow" w:hAnsi="Arial Narrow" w:cs="Calibri"/>
                <w:color w:val="000000"/>
                <w:sz w:val="18"/>
                <w:szCs w:val="18"/>
              </w:rPr>
            </w:r>
            <w:r>
              <w:rPr>
                <w:rFonts w:ascii="Arial Narrow" w:hAnsi="Arial Narrow" w:cs="Calibri"/>
                <w:color w:val="000000"/>
                <w:sz w:val="18"/>
                <w:szCs w:val="18"/>
              </w:rPr>
              <w:fldChar w:fldCharType="separate"/>
            </w:r>
            <w:r>
              <w:rPr>
                <w:rFonts w:ascii="Arial Narrow" w:hAnsi="Arial Narrow" w:cs="Calibri"/>
                <w:noProof/>
                <w:color w:val="000000"/>
                <w:sz w:val="18"/>
                <w:szCs w:val="18"/>
              </w:rPr>
              <w:t>(</w:t>
            </w:r>
            <w:hyperlink w:anchor="_ENREF_56" w:tooltip="Ortiz-Salas, 2016 #10" w:history="1">
              <w:r w:rsidR="00D726F6">
                <w:rPr>
                  <w:rFonts w:ascii="Arial Narrow" w:hAnsi="Arial Narrow" w:cs="Calibri"/>
                  <w:noProof/>
                  <w:color w:val="000000"/>
                  <w:sz w:val="18"/>
                  <w:szCs w:val="18"/>
                </w:rPr>
                <w:t>Ortiz-Salas et al. 2016</w:t>
              </w:r>
            </w:hyperlink>
            <w:r>
              <w:rPr>
                <w:rFonts w:ascii="Arial Narrow" w:hAnsi="Arial Narrow" w:cs="Calibri"/>
                <w:noProof/>
                <w:color w:val="000000"/>
                <w:sz w:val="18"/>
                <w:szCs w:val="18"/>
              </w:rPr>
              <w:t>)</w:t>
            </w:r>
            <w:r>
              <w:rPr>
                <w:rFonts w:ascii="Arial Narrow" w:hAnsi="Arial Narrow" w:cs="Calibri"/>
                <w:color w:val="000000"/>
                <w:sz w:val="18"/>
                <w:szCs w:val="18"/>
              </w:rPr>
              <w:fldChar w:fldCharType="end"/>
            </w:r>
          </w:p>
          <w:p w14:paraId="0018499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Multinational</w:t>
            </w:r>
          </w:p>
          <w:p w14:paraId="3ECADF85" w14:textId="77777777" w:rsidR="00BD440B" w:rsidRPr="00827A3E" w:rsidRDefault="00BD440B" w:rsidP="00BD440B">
            <w:pPr>
              <w:spacing w:after="0" w:line="240" w:lineRule="auto"/>
              <w:rPr>
                <w:rFonts w:ascii="Arial Narrow" w:hAnsi="Arial Narrow" w:cs="Calibri"/>
                <w:color w:val="000000"/>
                <w:sz w:val="18"/>
                <w:szCs w:val="18"/>
              </w:rPr>
            </w:pP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07EDD2BA"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SR &amp; MA of RCTs and O</w:t>
            </w:r>
          </w:p>
          <w:p w14:paraId="49B9EFC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I</w:t>
            </w:r>
          </w:p>
          <w:p w14:paraId="7D3086B2"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Moderate</w:t>
            </w:r>
          </w:p>
        </w:tc>
        <w:tc>
          <w:tcPr>
            <w:tcW w:w="1337" w:type="pct"/>
            <w:tcBorders>
              <w:top w:val="single" w:sz="4" w:space="0" w:color="auto"/>
              <w:left w:val="single" w:sz="4" w:space="0" w:color="auto"/>
              <w:bottom w:val="single" w:sz="4" w:space="0" w:color="auto"/>
              <w:right w:val="single" w:sz="4" w:space="0" w:color="auto"/>
            </w:tcBorders>
            <w:shd w:val="clear" w:color="auto" w:fill="auto"/>
            <w:noWrap/>
          </w:tcPr>
          <w:p w14:paraId="49AC5FF6"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RCTs or analytical OS in patients with neurological diseases (GBS or MG); studies comparing IVIg with PE; studies published up to 2014</w:t>
            </w:r>
          </w:p>
          <w:p w14:paraId="74EA3F99"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Studies: k = 15 (reporting AEs)</w:t>
            </w:r>
          </w:p>
          <w:p w14:paraId="5996CB9D"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Patients: n=  5,642</w:t>
            </w:r>
          </w:p>
        </w:tc>
        <w:tc>
          <w:tcPr>
            <w:tcW w:w="1090" w:type="pct"/>
            <w:tcBorders>
              <w:top w:val="single" w:sz="4" w:space="0" w:color="auto"/>
              <w:left w:val="single" w:sz="4" w:space="0" w:color="auto"/>
              <w:bottom w:val="single" w:sz="4" w:space="0" w:color="auto"/>
              <w:right w:val="single" w:sz="4" w:space="0" w:color="auto"/>
            </w:tcBorders>
            <w:shd w:val="clear" w:color="auto" w:fill="auto"/>
            <w:noWrap/>
          </w:tcPr>
          <w:p w14:paraId="090E29C5"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IVIg</w:t>
            </w:r>
            <w:r>
              <w:rPr>
                <w:rFonts w:ascii="Arial Narrow" w:hAnsi="Arial Narrow" w:cs="Calibri"/>
                <w:color w:val="000000"/>
                <w:sz w:val="18"/>
                <w:szCs w:val="18"/>
              </w:rPr>
              <w:t>:</w:t>
            </w:r>
            <w:r w:rsidRPr="00827A3E">
              <w:rPr>
                <w:rFonts w:ascii="Arial Narrow" w:hAnsi="Arial Narrow" w:cs="Calibri"/>
                <w:color w:val="000000"/>
                <w:sz w:val="18"/>
                <w:szCs w:val="18"/>
              </w:rPr>
              <w:t xml:space="preserve"> n = 732 patients</w:t>
            </w:r>
          </w:p>
          <w:p w14:paraId="7F6514F9"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PE</w:t>
            </w:r>
            <w:r>
              <w:rPr>
                <w:rFonts w:ascii="Arial Narrow" w:hAnsi="Arial Narrow" w:cs="Calibri"/>
                <w:color w:val="000000"/>
                <w:sz w:val="18"/>
                <w:szCs w:val="18"/>
              </w:rPr>
              <w:t>:</w:t>
            </w:r>
            <w:r w:rsidRPr="00827A3E">
              <w:rPr>
                <w:rFonts w:ascii="Arial Narrow" w:hAnsi="Arial Narrow" w:cs="Calibri"/>
                <w:color w:val="000000"/>
                <w:sz w:val="18"/>
                <w:szCs w:val="18"/>
              </w:rPr>
              <w:t xml:space="preserve"> n = 1656 patients</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63E28D5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Not reported – go to individual studies</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055435D2"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AEs per patient (%)</w:t>
            </w:r>
          </w:p>
          <w:p w14:paraId="0AA16128"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p>
        </w:tc>
      </w:tr>
      <w:tr w:rsidR="00BD440B" w:rsidRPr="00827A3E" w14:paraId="55517FBA" w14:textId="77777777" w:rsidTr="00BD440B">
        <w:trPr>
          <w:trHeight w:val="300"/>
        </w:trPr>
        <w:tc>
          <w:tcPr>
            <w:tcW w:w="444" w:type="pct"/>
            <w:tcBorders>
              <w:top w:val="single" w:sz="4" w:space="0" w:color="auto"/>
              <w:left w:val="single" w:sz="4" w:space="0" w:color="auto"/>
              <w:bottom w:val="single" w:sz="4" w:space="0" w:color="auto"/>
              <w:right w:val="single" w:sz="4" w:space="0" w:color="auto"/>
            </w:tcBorders>
            <w:shd w:val="clear" w:color="auto" w:fill="auto"/>
            <w:noWrap/>
          </w:tcPr>
          <w:p w14:paraId="117989B7" w14:textId="43D7CC48" w:rsidR="00BD440B" w:rsidRPr="00827A3E" w:rsidRDefault="00B727D6"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Pr>
                <w:rFonts w:ascii="Arial Narrow" w:hAnsi="Arial Narrow" w:cs="Calibri"/>
                <w:color w:val="000000"/>
                <w:sz w:val="18"/>
                <w:szCs w:val="18"/>
              </w:rPr>
              <w:instrText xml:space="preserve"> ADDIN EN.CITE </w:instrText>
            </w:r>
            <w:r>
              <w:rPr>
                <w:rFonts w:ascii="Arial Narrow" w:hAnsi="Arial Narrow" w:cs="Calibri"/>
                <w:color w:val="000000"/>
                <w:sz w:val="18"/>
                <w:szCs w:val="18"/>
              </w:rPr>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Pr>
                <w:rFonts w:ascii="Arial Narrow" w:hAnsi="Arial Narrow" w:cs="Calibri"/>
                <w:color w:val="000000"/>
                <w:sz w:val="18"/>
                <w:szCs w:val="18"/>
              </w:rPr>
              <w:instrText xml:space="preserve"> ADDIN EN.CITE.DATA </w:instrText>
            </w:r>
            <w:r>
              <w:rPr>
                <w:rFonts w:ascii="Arial Narrow" w:hAnsi="Arial Narrow" w:cs="Calibri"/>
                <w:color w:val="000000"/>
                <w:sz w:val="18"/>
                <w:szCs w:val="18"/>
              </w:rPr>
            </w:r>
            <w:r>
              <w:rPr>
                <w:rFonts w:ascii="Arial Narrow" w:hAnsi="Arial Narrow" w:cs="Calibri"/>
                <w:color w:val="000000"/>
                <w:sz w:val="18"/>
                <w:szCs w:val="18"/>
              </w:rPr>
              <w:fldChar w:fldCharType="end"/>
            </w:r>
            <w:r>
              <w:rPr>
                <w:rFonts w:ascii="Arial Narrow" w:hAnsi="Arial Narrow" w:cs="Calibri"/>
                <w:color w:val="000000"/>
                <w:sz w:val="18"/>
                <w:szCs w:val="18"/>
              </w:rPr>
            </w:r>
            <w:r>
              <w:rPr>
                <w:rFonts w:ascii="Arial Narrow" w:hAnsi="Arial Narrow" w:cs="Calibri"/>
                <w:color w:val="000000"/>
                <w:sz w:val="18"/>
                <w:szCs w:val="18"/>
              </w:rPr>
              <w:fldChar w:fldCharType="separate"/>
            </w:r>
            <w:r>
              <w:rPr>
                <w:rFonts w:ascii="Arial Narrow" w:hAnsi="Arial Narrow" w:cs="Calibri"/>
                <w:noProof/>
                <w:color w:val="000000"/>
                <w:sz w:val="18"/>
                <w:szCs w:val="18"/>
              </w:rPr>
              <w:t>(</w:t>
            </w:r>
            <w:hyperlink w:anchor="_ENREF_46" w:tooltip="Mörtzell Henriksson, 2016 #8" w:history="1">
              <w:r w:rsidR="00D726F6">
                <w:rPr>
                  <w:rFonts w:ascii="Arial Narrow" w:hAnsi="Arial Narrow" w:cs="Calibri"/>
                  <w:noProof/>
                  <w:color w:val="000000"/>
                  <w:sz w:val="18"/>
                  <w:szCs w:val="18"/>
                </w:rPr>
                <w:t>Mörtzell Henriksson et al. 2016</w:t>
              </w:r>
            </w:hyperlink>
            <w:r>
              <w:rPr>
                <w:rFonts w:ascii="Arial Narrow" w:hAnsi="Arial Narrow" w:cs="Calibri"/>
                <w:noProof/>
                <w:color w:val="000000"/>
                <w:sz w:val="18"/>
                <w:szCs w:val="18"/>
              </w:rPr>
              <w:t>)</w:t>
            </w:r>
            <w:r>
              <w:rPr>
                <w:rFonts w:ascii="Arial Narrow" w:hAnsi="Arial Narrow" w:cs="Calibri"/>
                <w:color w:val="000000"/>
                <w:sz w:val="18"/>
                <w:szCs w:val="18"/>
              </w:rPr>
              <w:fldChar w:fldCharType="end"/>
            </w:r>
          </w:p>
          <w:p w14:paraId="7EA4EC25"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Multinational</w:t>
            </w:r>
          </w:p>
          <w:p w14:paraId="18045043" w14:textId="77777777" w:rsidR="00BD440B" w:rsidRPr="00827A3E" w:rsidRDefault="00BD440B" w:rsidP="00BD440B">
            <w:pPr>
              <w:spacing w:after="0" w:line="240" w:lineRule="auto"/>
              <w:rPr>
                <w:rFonts w:ascii="Arial Narrow" w:hAnsi="Arial Narrow" w:cs="Calibri"/>
                <w:color w:val="000000"/>
                <w:sz w:val="18"/>
                <w:szCs w:val="18"/>
              </w:rPr>
            </w:pP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7887E7E3"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R MC O</w:t>
            </w:r>
          </w:p>
          <w:p w14:paraId="10D7EF98"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IV</w:t>
            </w:r>
          </w:p>
          <w:p w14:paraId="470F6512"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Moderate</w:t>
            </w:r>
          </w:p>
        </w:tc>
        <w:tc>
          <w:tcPr>
            <w:tcW w:w="1337" w:type="pct"/>
            <w:tcBorders>
              <w:top w:val="single" w:sz="4" w:space="0" w:color="auto"/>
              <w:left w:val="single" w:sz="4" w:space="0" w:color="auto"/>
              <w:bottom w:val="single" w:sz="4" w:space="0" w:color="auto"/>
              <w:right w:val="single" w:sz="4" w:space="0" w:color="auto"/>
            </w:tcBorders>
            <w:shd w:val="clear" w:color="auto" w:fill="auto"/>
            <w:noWrap/>
          </w:tcPr>
          <w:p w14:paraId="34A54EFD" w14:textId="48C4AC84"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Data from the WAA apheresis registry (</w:t>
            </w:r>
            <w:hyperlink r:id="rId55" w:history="1">
              <w:r w:rsidRPr="00827A3E">
                <w:rPr>
                  <w:rStyle w:val="Hyperlink"/>
                  <w:rFonts w:ascii="Arial Narrow" w:hAnsi="Arial Narrow" w:cs="Calibri"/>
                  <w:sz w:val="18"/>
                  <w:szCs w:val="18"/>
                </w:rPr>
                <w:t>www.waa-registry.org</w:t>
              </w:r>
            </w:hyperlink>
            <w:r w:rsidRPr="00827A3E">
              <w:rPr>
                <w:rFonts w:ascii="Arial Narrow" w:hAnsi="Arial Narrow" w:cs="Calibri"/>
                <w:color w:val="000000"/>
                <w:sz w:val="18"/>
                <w:szCs w:val="18"/>
              </w:rPr>
              <w:t>)</w:t>
            </w:r>
          </w:p>
          <w:p w14:paraId="44D40585"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Median age (range): 55 (0 – 94) y</w:t>
            </w:r>
          </w:p>
          <w:p w14:paraId="14E48F58"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Diagnosis groups n (%)</w:t>
            </w:r>
          </w:p>
          <w:p w14:paraId="1F5BD626"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Malignancy 2,950 (41.8)</w:t>
            </w:r>
          </w:p>
          <w:p w14:paraId="2133259B"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Neurology 990 (14.0)</w:t>
            </w:r>
          </w:p>
          <w:p w14:paraId="42366ED2"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Haematology 681 (9.6)</w:t>
            </w:r>
          </w:p>
          <w:p w14:paraId="3D463B04"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Transplant and donors 576 (8.2)</w:t>
            </w:r>
          </w:p>
          <w:p w14:paraId="4A52E24B"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Rheumatology 501 (7.1)</w:t>
            </w:r>
          </w:p>
          <w:p w14:paraId="68C028EA"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Endocrinology 446 (6.3)</w:t>
            </w:r>
          </w:p>
          <w:p w14:paraId="2EEE98C3"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Other 958 (13.4)</w:t>
            </w:r>
          </w:p>
        </w:tc>
        <w:tc>
          <w:tcPr>
            <w:tcW w:w="1090" w:type="pct"/>
            <w:tcBorders>
              <w:top w:val="single" w:sz="4" w:space="0" w:color="auto"/>
              <w:left w:val="single" w:sz="4" w:space="0" w:color="auto"/>
              <w:bottom w:val="single" w:sz="4" w:space="0" w:color="auto"/>
              <w:right w:val="single" w:sz="4" w:space="0" w:color="auto"/>
            </w:tcBorders>
            <w:shd w:val="clear" w:color="auto" w:fill="auto"/>
            <w:noWrap/>
          </w:tcPr>
          <w:p w14:paraId="12673F1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PE: replacement with stored liquid plasma, fresh frozen plasma, cryoprecipitate poor plasma, solvent detergent plasma – Octoplas and Octoplas LG, and hydroxyethyl starch; rate of plasma exchange??; filtration or centrifugation methods</w:t>
            </w:r>
          </w:p>
          <w:p w14:paraId="1DEB3AEE"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Patients n 7,142</w:t>
            </w:r>
          </w:p>
          <w:p w14:paraId="64408870"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Procedures n = 50,846</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1ABF1193"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Variable</w:t>
            </w:r>
          </w:p>
          <w:p w14:paraId="2F11E28F" w14:textId="3A74C809"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Up to 3 AEs were recorded per event, and listed in order of severity (mild, moderate, severe)</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5C2D5D97"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Mild AEs per 10,000 procedures (n)</w:t>
            </w:r>
          </w:p>
          <w:p w14:paraId="536C5B4C"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Moderate AEs per 10,000 procedures (n)</w:t>
            </w:r>
          </w:p>
          <w:p w14:paraId="7EF74C98"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Severe AEs per 10,000 procedures (n)</w:t>
            </w:r>
          </w:p>
          <w:p w14:paraId="70426930" w14:textId="5E654819"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AEs for Filtration vs c</w:t>
            </w:r>
            <w:r w:rsidR="0032482D">
              <w:rPr>
                <w:rFonts w:ascii="Arial Narrow" w:hAnsi="Arial Narrow" w:cs="Calibri"/>
                <w:color w:val="000000"/>
                <w:sz w:val="18"/>
                <w:szCs w:val="18"/>
              </w:rPr>
              <w:t>en</w:t>
            </w:r>
            <w:r w:rsidRPr="00827A3E">
              <w:rPr>
                <w:rFonts w:ascii="Arial Narrow" w:hAnsi="Arial Narrow" w:cs="Calibri"/>
                <w:color w:val="000000"/>
                <w:sz w:val="18"/>
                <w:szCs w:val="18"/>
              </w:rPr>
              <w:t>trifugation</w:t>
            </w:r>
          </w:p>
          <w:p w14:paraId="3ECA4DF3"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Change of AEs over time</w:t>
            </w:r>
          </w:p>
          <w:p w14:paraId="721D3253" w14:textId="359EE91E"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Anticoagulant AEs</w:t>
            </w:r>
          </w:p>
          <w:p w14:paraId="65208C31"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Access AEs</w:t>
            </w:r>
          </w:p>
          <w:p w14:paraId="2CAF1F53"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p>
        </w:tc>
      </w:tr>
      <w:tr w:rsidR="00BD440B" w:rsidRPr="00E3331A" w14:paraId="2519BD29" w14:textId="77777777" w:rsidTr="00BD440B">
        <w:trPr>
          <w:trHeight w:val="300"/>
        </w:trPr>
        <w:tc>
          <w:tcPr>
            <w:tcW w:w="444" w:type="pct"/>
            <w:tcBorders>
              <w:top w:val="single" w:sz="4" w:space="0" w:color="auto"/>
              <w:left w:val="single" w:sz="4" w:space="0" w:color="auto"/>
              <w:bottom w:val="single" w:sz="4" w:space="0" w:color="auto"/>
              <w:right w:val="single" w:sz="4" w:space="0" w:color="auto"/>
            </w:tcBorders>
            <w:shd w:val="clear" w:color="auto" w:fill="auto"/>
            <w:noWrap/>
          </w:tcPr>
          <w:p w14:paraId="329DF4D6" w14:textId="3C1B0CEF" w:rsidR="00BD440B" w:rsidRPr="00827A3E" w:rsidRDefault="00B727D6"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fldChar w:fldCharType="begin"/>
            </w:r>
            <w:r>
              <w:rPr>
                <w:rFonts w:ascii="Arial Narrow" w:hAnsi="Arial Narrow" w:cs="Calibri"/>
                <w:color w:val="000000"/>
                <w:sz w:val="18"/>
                <w:szCs w:val="18"/>
              </w:rPr>
              <w:instrText xml:space="preserve"> ADDIN EN.CITE &lt;EndNote&gt;&lt;Cite&gt;&lt;Author&gt;Basic-Jukic&lt;/Author&gt;&lt;Year&gt;2005&lt;/Year&gt;&lt;RecNum&gt;7&lt;/RecNum&gt;&lt;DisplayText&gt;(Basic-Jukic et al. 2005)&lt;/DisplayText&gt;&lt;record&gt;&lt;rec-number&gt;7&lt;/rec-number&gt;&lt;foreign-keys&gt;&lt;key app="EN" db-id="p29e2t021fx2sker0f4p99xad5t02xpedpxr" timestamp="1605655955"&gt;7&lt;/key&gt;&lt;/foreign-keys&gt;&lt;ref-type name="Journal Article"&gt;17&lt;/ref-type&gt;&lt;contributors&gt;&lt;authors&gt;&lt;author&gt;Basic-Jukic, Nikolina&lt;/author&gt;&lt;author&gt;Kes, Petar&lt;/author&gt;&lt;author&gt;Glavas-Boras, Snjezana&lt;/author&gt;&lt;author&gt;Brunetta, Bruna&lt;/author&gt;&lt;author&gt;Bubic-Filipi, Ljubica&lt;/author&gt;&lt;author&gt;Puretic, Zvonimir&lt;/author&gt;&lt;/authors&gt;&lt;/contributors&gt;&lt;titles&gt;&lt;title&gt;Complications of Therapeutic Plasma Exchange: Experience With 4857 Treatments&lt;/title&gt;&lt;secondary-title&gt;Therapeutic Apheresis and Dialysis&lt;/secondary-title&gt;&lt;/titles&gt;&lt;periodical&gt;&lt;full-title&gt;Therapeutic Apheresis and Dialysis&lt;/full-title&gt;&lt;/periodical&gt;&lt;pages&gt;391-395&lt;/pages&gt;&lt;volume&gt;9&lt;/volume&gt;&lt;number&gt;5&lt;/number&gt;&lt;dates&gt;&lt;year&gt;2005&lt;/year&gt;&lt;/dates&gt;&lt;isbn&gt;1744-9979&lt;/isbn&gt;&lt;urls&gt;&lt;related-urls&gt;&lt;url&gt;https://onlinelibrary.wiley.com/doi/abs/10.1111/j.1744-9987.2005.00319.x&lt;/url&gt;&lt;url&gt;https://onlinelibrary.wiley.com/doi/pdfdirect/10.1111/j.1744-9987.2005.00319.x?download=true&lt;/url&gt;&lt;/related-urls&gt;&lt;/urls&gt;&lt;electronic-resource-num&gt;10.1111/j.1744-9987.2005.00319.x&lt;/electronic-resource-num&gt;&lt;/record&gt;&lt;/Cite&gt;&lt;/EndNote&gt;</w:instrText>
            </w:r>
            <w:r>
              <w:rPr>
                <w:rFonts w:ascii="Arial Narrow" w:hAnsi="Arial Narrow" w:cs="Calibri"/>
                <w:color w:val="000000"/>
                <w:sz w:val="18"/>
                <w:szCs w:val="18"/>
              </w:rPr>
              <w:fldChar w:fldCharType="separate"/>
            </w:r>
            <w:r>
              <w:rPr>
                <w:rFonts w:ascii="Arial Narrow" w:hAnsi="Arial Narrow" w:cs="Calibri"/>
                <w:noProof/>
                <w:color w:val="000000"/>
                <w:sz w:val="18"/>
                <w:szCs w:val="18"/>
              </w:rPr>
              <w:t>(</w:t>
            </w:r>
            <w:hyperlink w:anchor="_ENREF_5" w:tooltip="Basic-Jukic, 2005 #7" w:history="1">
              <w:r w:rsidR="00D726F6">
                <w:rPr>
                  <w:rFonts w:ascii="Arial Narrow" w:hAnsi="Arial Narrow" w:cs="Calibri"/>
                  <w:noProof/>
                  <w:color w:val="000000"/>
                  <w:sz w:val="18"/>
                  <w:szCs w:val="18"/>
                </w:rPr>
                <w:t>Basic-Jukic et al. 2005</w:t>
              </w:r>
            </w:hyperlink>
            <w:r>
              <w:rPr>
                <w:rFonts w:ascii="Arial Narrow" w:hAnsi="Arial Narrow" w:cs="Calibri"/>
                <w:noProof/>
                <w:color w:val="000000"/>
                <w:sz w:val="18"/>
                <w:szCs w:val="18"/>
              </w:rPr>
              <w:t>)</w:t>
            </w:r>
            <w:r>
              <w:rPr>
                <w:rFonts w:ascii="Arial Narrow" w:hAnsi="Arial Narrow" w:cs="Calibri"/>
                <w:color w:val="000000"/>
                <w:sz w:val="18"/>
                <w:szCs w:val="18"/>
              </w:rPr>
              <w:fldChar w:fldCharType="end"/>
            </w:r>
          </w:p>
          <w:p w14:paraId="70C68FA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Croatia</w:t>
            </w:r>
          </w:p>
          <w:p w14:paraId="0C81F8AD" w14:textId="77777777" w:rsidR="00BD440B" w:rsidRPr="00827A3E" w:rsidRDefault="00BD440B" w:rsidP="00BD440B">
            <w:pPr>
              <w:spacing w:after="0" w:line="240" w:lineRule="auto"/>
              <w:rPr>
                <w:rFonts w:ascii="Arial Narrow" w:hAnsi="Arial Narrow" w:cs="Calibri"/>
                <w:color w:val="000000"/>
                <w:sz w:val="18"/>
                <w:szCs w:val="18"/>
              </w:rPr>
            </w:pP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712DB3D3"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R O SC</w:t>
            </w:r>
          </w:p>
          <w:p w14:paraId="0158A19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IV</w:t>
            </w:r>
          </w:p>
          <w:p w14:paraId="403BBBC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Moderate</w:t>
            </w:r>
          </w:p>
        </w:tc>
        <w:tc>
          <w:tcPr>
            <w:tcW w:w="1337" w:type="pct"/>
            <w:tcBorders>
              <w:top w:val="single" w:sz="4" w:space="0" w:color="auto"/>
              <w:left w:val="single" w:sz="4" w:space="0" w:color="auto"/>
              <w:bottom w:val="single" w:sz="4" w:space="0" w:color="auto"/>
              <w:right w:val="single" w:sz="4" w:space="0" w:color="auto"/>
            </w:tcBorders>
            <w:shd w:val="clear" w:color="auto" w:fill="auto"/>
            <w:noWrap/>
          </w:tcPr>
          <w:p w14:paraId="4E9EA0CC"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Data on PE procedures collected between 1982 and 2003 in a single dialysis centre</w:t>
            </w:r>
          </w:p>
          <w:p w14:paraId="368B949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 xml:space="preserve">Diagnoses n </w:t>
            </w:r>
          </w:p>
          <w:p w14:paraId="23CF4C14"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MG 247</w:t>
            </w:r>
          </w:p>
          <w:p w14:paraId="62A6671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TTP/HUS 19</w:t>
            </w:r>
          </w:p>
          <w:p w14:paraId="24CDD6AB"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SLE 34</w:t>
            </w:r>
          </w:p>
          <w:p w14:paraId="07B11486"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 xml:space="preserve">GBS 60 </w:t>
            </w:r>
          </w:p>
          <w:p w14:paraId="2F6D0736"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Rapidly progressive glomerulonephritis 16</w:t>
            </w:r>
          </w:p>
          <w:p w14:paraId="04BA74BE" w14:textId="6CBDAFED"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Plasm</w:t>
            </w:r>
            <w:r w:rsidR="0032482D">
              <w:rPr>
                <w:rFonts w:ascii="Arial Narrow" w:hAnsi="Arial Narrow" w:cs="Calibri"/>
                <w:color w:val="000000"/>
                <w:sz w:val="18"/>
                <w:szCs w:val="18"/>
              </w:rPr>
              <w:t>a</w:t>
            </w:r>
            <w:r w:rsidRPr="00827A3E">
              <w:rPr>
                <w:rFonts w:ascii="Arial Narrow" w:hAnsi="Arial Narrow" w:cs="Calibri"/>
                <w:color w:val="000000"/>
                <w:sz w:val="18"/>
                <w:szCs w:val="18"/>
              </w:rPr>
              <w:t>cytoma 6</w:t>
            </w:r>
          </w:p>
          <w:p w14:paraId="001D5380"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CDIP 13</w:t>
            </w:r>
          </w:p>
          <w:p w14:paraId="00190B0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ABO-incompatible bone marrow transplant 23</w:t>
            </w:r>
          </w:p>
          <w:p w14:paraId="5BC7CD00"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Poisoning 10</w:t>
            </w:r>
          </w:p>
          <w:p w14:paraId="1B106496"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Hyperlipoproteinaemia 5</w:t>
            </w:r>
          </w:p>
          <w:p w14:paraId="5EEF9BAB"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Hyperthyreosis 7</w:t>
            </w:r>
          </w:p>
          <w:p w14:paraId="2933CC69"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Pemphigus vulgaris 4</w:t>
            </w:r>
          </w:p>
          <w:p w14:paraId="4335911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Vasculitis 4</w:t>
            </w:r>
          </w:p>
          <w:p w14:paraId="790BFAFD"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 xml:space="preserve">Other </w:t>
            </w:r>
            <w:r>
              <w:rPr>
                <w:rFonts w:ascii="Arial Narrow" w:hAnsi="Arial Narrow" w:cs="Calibri"/>
                <w:color w:val="000000"/>
                <w:sz w:val="18"/>
                <w:szCs w:val="18"/>
              </w:rPr>
              <w:t>42</w:t>
            </w:r>
          </w:p>
        </w:tc>
        <w:tc>
          <w:tcPr>
            <w:tcW w:w="1090" w:type="pct"/>
            <w:tcBorders>
              <w:top w:val="single" w:sz="4" w:space="0" w:color="auto"/>
              <w:left w:val="single" w:sz="4" w:space="0" w:color="auto"/>
              <w:bottom w:val="single" w:sz="4" w:space="0" w:color="auto"/>
              <w:right w:val="single" w:sz="4" w:space="0" w:color="auto"/>
            </w:tcBorders>
            <w:shd w:val="clear" w:color="auto" w:fill="auto"/>
            <w:noWrap/>
          </w:tcPr>
          <w:p w14:paraId="5BA8C1BB"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PE: 1-2 plasma volume exchange with 5% human albumin, or fresh frozen plasma</w:t>
            </w:r>
          </w:p>
          <w:p w14:paraId="741D0CA8"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Peripheral access where possible in the antecubital veins. Central access if necessary via central venous dual lumen catheters; membrane filtration method</w:t>
            </w:r>
          </w:p>
          <w:p w14:paraId="197B6E30"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Patients n = 509</w:t>
            </w:r>
          </w:p>
          <w:p w14:paraId="2F3EE34E"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Procedures n = 4857</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1AA30633"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Not stated</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7B31845A"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AEs n (% of treatments)</w:t>
            </w:r>
          </w:p>
          <w:p w14:paraId="35AF68E2"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Complications associated with vascular access</w:t>
            </w:r>
          </w:p>
          <w:p w14:paraId="25576711" w14:textId="77777777" w:rsidR="00BD440B" w:rsidRPr="00E3331A"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Complications associated with PE procedure</w:t>
            </w:r>
          </w:p>
        </w:tc>
      </w:tr>
      <w:tr w:rsidR="00BD440B" w:rsidRPr="00827A3E" w14:paraId="0744DAA2" w14:textId="77777777" w:rsidTr="00BD440B">
        <w:trPr>
          <w:trHeight w:val="300"/>
        </w:trPr>
        <w:tc>
          <w:tcPr>
            <w:tcW w:w="444" w:type="pct"/>
            <w:tcBorders>
              <w:top w:val="single" w:sz="4" w:space="0" w:color="auto"/>
              <w:left w:val="single" w:sz="4" w:space="0" w:color="auto"/>
              <w:bottom w:val="single" w:sz="4" w:space="0" w:color="auto"/>
              <w:right w:val="single" w:sz="4" w:space="0" w:color="auto"/>
            </w:tcBorders>
            <w:shd w:val="clear" w:color="auto" w:fill="auto"/>
            <w:noWrap/>
          </w:tcPr>
          <w:p w14:paraId="677A9A65" w14:textId="74CC0383" w:rsidR="00BD440B" w:rsidRPr="00827A3E" w:rsidRDefault="00B727D6"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fldChar w:fldCharType="begin"/>
            </w:r>
            <w:r>
              <w:rPr>
                <w:rFonts w:ascii="Arial Narrow" w:hAnsi="Arial Narrow" w:cs="Calibri"/>
                <w:color w:val="000000"/>
                <w:sz w:val="18"/>
                <w:szCs w:val="18"/>
              </w:rPr>
              <w:instrText xml:space="preserve"> ADDIN EN.CITE &lt;EndNote&gt;&lt;Cite&gt;&lt;Author&gt;Nieto-Aristizábal&lt;/Author&gt;&lt;Year&gt;2020&lt;/Year&gt;&lt;RecNum&gt;315&lt;/RecNum&gt;&lt;DisplayText&gt;(Nieto-Aristizábal, Vivas Á, et al. 2020)&lt;/DisplayText&gt;&lt;record&gt;&lt;rec-number&gt;315&lt;/rec-number&gt;&lt;foreign-keys&gt;&lt;key app="EN" db-id="xtr5xfx2xf0wd7e0s2qvst2ietxxf0tpzr9v" timestamp="1602225743"&gt;315&lt;/key&gt;&lt;/foreign-keys&gt;&lt;ref-type name="Journal Article"&gt;17&lt;/ref-type&gt;&lt;contributors&gt;&lt;authors&gt;&lt;author&gt;Nieto-Aristizábal, I.&lt;/author&gt;&lt;author&gt;Vivas Á, J.&lt;/author&gt;&lt;author&gt;Ruiz-Montaño, P.&lt;/author&gt;&lt;author&gt;Aragón, C. C.&lt;/author&gt;&lt;author&gt;Posso-Osorio, I.&lt;/author&gt;&lt;author&gt;Quiñones, J.&lt;/author&gt;&lt;author&gt;Rivillas, J. A.&lt;/author&gt;&lt;author&gt;Tobón, G. J.&lt;/author&gt;&lt;/authors&gt;&lt;/contributors&gt;&lt;auth-address&gt;GIRAT: Grupo de Investigación en Reumatología, Autoinmunidad y Medicina Traslacional, Universidad Icesi and Fundación Valle del Lili, Cra. 98 18-49, Cali, Colombia.&amp;#xD;Medical School, Universidad Icesi, Calle 18 No. 122-135, Cali, Colombia.&amp;#xD;Department of Neurology, Fundación Valle del Lili, Cra. 98 18-49, Cali, Colombia.&amp;#xD;Unit of Neuroimmunology, Fundación Valle del Lili, Cra. 98 18-49, Cali, Colombia.&lt;/auth-address&gt;&lt;titles&gt;&lt;title&gt;Therapeutic Plasma Exchange as a Treatment for Autoimmune Neurological Disease&lt;/title&gt;&lt;secondary-title&gt;Autoimmune Dis&lt;/secondary-title&gt;&lt;/titles&gt;&lt;periodical&gt;&lt;full-title&gt;Autoimmune Dis&lt;/full-title&gt;&lt;/periodical&gt;&lt;pages&gt;3484659&lt;/pages&gt;&lt;volume&gt;2020&lt;/volume&gt;&lt;edition&gt;2020/08/18&lt;/edition&gt;&lt;dates&gt;&lt;year&gt;2020&lt;/year&gt;&lt;/dates&gt;&lt;isbn&gt;2090-0422 (Print)&amp;#xD;2090-0430 (Electronic)&amp;#xD;2090-0430 (Linking)&lt;/isbn&gt;&lt;accession-num&gt;32802495&lt;/accession-num&gt;&lt;urls&gt;&lt;related-urls&gt;&lt;url&gt;https://www.ncbi.nlm.nih.gov/pmc/articles/PMC7415086/pdf/AD2020-3484659.pdf&lt;/url&gt;&lt;/related-urls&gt;&lt;/urls&gt;&lt;custom2&gt;PMC7415086&lt;/custom2&gt;&lt;electronic-resource-num&gt;10.1155/2020/3484659&lt;/electronic-resource-num&gt;&lt;remote-database-provider&gt;NLM&lt;/remote-database-provider&gt;&lt;language&gt;eng&lt;/language&gt;&lt;/record&gt;&lt;/Cite&gt;&lt;/EndNote&gt;</w:instrText>
            </w:r>
            <w:r>
              <w:rPr>
                <w:rFonts w:ascii="Arial Narrow" w:hAnsi="Arial Narrow" w:cs="Calibri"/>
                <w:color w:val="000000"/>
                <w:sz w:val="18"/>
                <w:szCs w:val="18"/>
              </w:rPr>
              <w:fldChar w:fldCharType="separate"/>
            </w:r>
            <w:r>
              <w:rPr>
                <w:rFonts w:ascii="Arial Narrow" w:hAnsi="Arial Narrow" w:cs="Calibri"/>
                <w:noProof/>
                <w:color w:val="000000"/>
                <w:sz w:val="18"/>
                <w:szCs w:val="18"/>
              </w:rPr>
              <w:t>(</w:t>
            </w:r>
            <w:hyperlink w:anchor="_ENREF_52" w:tooltip="Nieto-Aristizábal, 2020 #315" w:history="1">
              <w:r w:rsidR="00D726F6">
                <w:rPr>
                  <w:rFonts w:ascii="Arial Narrow" w:hAnsi="Arial Narrow" w:cs="Calibri"/>
                  <w:noProof/>
                  <w:color w:val="000000"/>
                  <w:sz w:val="18"/>
                  <w:szCs w:val="18"/>
                </w:rPr>
                <w:t>Nieto-Aristizábal, Vivas Á, et al. 2020</w:t>
              </w:r>
            </w:hyperlink>
            <w:r>
              <w:rPr>
                <w:rFonts w:ascii="Arial Narrow" w:hAnsi="Arial Narrow" w:cs="Calibri"/>
                <w:noProof/>
                <w:color w:val="000000"/>
                <w:sz w:val="18"/>
                <w:szCs w:val="18"/>
              </w:rPr>
              <w:t>)</w:t>
            </w:r>
            <w:r>
              <w:rPr>
                <w:rFonts w:ascii="Arial Narrow" w:hAnsi="Arial Narrow" w:cs="Calibri"/>
                <w:color w:val="000000"/>
                <w:sz w:val="18"/>
                <w:szCs w:val="18"/>
              </w:rPr>
              <w:fldChar w:fldCharType="end"/>
            </w:r>
          </w:p>
          <w:p w14:paraId="6581FFFD"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Columbia</w:t>
            </w:r>
          </w:p>
          <w:p w14:paraId="47466AF2"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 xml:space="preserve"> </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73819E2D"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R O SC</w:t>
            </w:r>
          </w:p>
          <w:p w14:paraId="4E9E2380"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IV</w:t>
            </w:r>
          </w:p>
          <w:p w14:paraId="23C4C8C8"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Moderate</w:t>
            </w:r>
          </w:p>
        </w:tc>
        <w:tc>
          <w:tcPr>
            <w:tcW w:w="1337" w:type="pct"/>
            <w:tcBorders>
              <w:top w:val="single" w:sz="4" w:space="0" w:color="auto"/>
              <w:left w:val="single" w:sz="4" w:space="0" w:color="auto"/>
              <w:bottom w:val="single" w:sz="4" w:space="0" w:color="auto"/>
              <w:right w:val="single" w:sz="4" w:space="0" w:color="auto"/>
            </w:tcBorders>
            <w:shd w:val="clear" w:color="auto" w:fill="auto"/>
            <w:noWrap/>
          </w:tcPr>
          <w:p w14:paraId="4F576DFB"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Patients receiving PE between 2011 and 2018, as prescribed by a neurologist</w:t>
            </w:r>
          </w:p>
          <w:p w14:paraId="6823216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Mean age (IQR): 50(32-64) y</w:t>
            </w:r>
          </w:p>
          <w:p w14:paraId="26C569DA" w14:textId="14520A92"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Diag</w:t>
            </w:r>
            <w:r w:rsidR="007763A2">
              <w:rPr>
                <w:rFonts w:ascii="Arial Narrow" w:hAnsi="Arial Narrow" w:cs="Calibri"/>
                <w:color w:val="000000"/>
                <w:sz w:val="18"/>
                <w:szCs w:val="18"/>
              </w:rPr>
              <w:t>n</w:t>
            </w:r>
            <w:r w:rsidRPr="00827A3E">
              <w:rPr>
                <w:rFonts w:ascii="Arial Narrow" w:hAnsi="Arial Narrow" w:cs="Calibri"/>
                <w:color w:val="000000"/>
                <w:sz w:val="18"/>
                <w:szCs w:val="18"/>
              </w:rPr>
              <w:t xml:space="preserve">oses: </w:t>
            </w:r>
          </w:p>
          <w:p w14:paraId="7E7A863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MG 70 (37.4%)</w:t>
            </w:r>
          </w:p>
          <w:p w14:paraId="3D7BEAC2"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GBS 53 (28.3%)</w:t>
            </w:r>
          </w:p>
          <w:p w14:paraId="55E9FB34"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NMOSD 35 (18.7%)</w:t>
            </w:r>
          </w:p>
          <w:p w14:paraId="0C56D4DB"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CIDP 23 (12.3%)</w:t>
            </w:r>
          </w:p>
          <w:p w14:paraId="7A309CAA"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AE 6 (3.2%)</w:t>
            </w:r>
          </w:p>
          <w:p w14:paraId="35F70E0F" w14:textId="77777777" w:rsidR="00BD440B" w:rsidRPr="00827A3E" w:rsidRDefault="00BD440B" w:rsidP="00BD440B">
            <w:pPr>
              <w:spacing w:after="0" w:line="240" w:lineRule="auto"/>
              <w:rPr>
                <w:rFonts w:ascii="Arial Narrow" w:hAnsi="Arial Narrow" w:cs="Calibri"/>
                <w:color w:val="000000"/>
                <w:sz w:val="18"/>
                <w:szCs w:val="18"/>
              </w:rPr>
            </w:pPr>
          </w:p>
        </w:tc>
        <w:tc>
          <w:tcPr>
            <w:tcW w:w="1090" w:type="pct"/>
            <w:tcBorders>
              <w:top w:val="single" w:sz="4" w:space="0" w:color="auto"/>
              <w:left w:val="single" w:sz="4" w:space="0" w:color="auto"/>
              <w:bottom w:val="single" w:sz="4" w:space="0" w:color="auto"/>
              <w:right w:val="single" w:sz="4" w:space="0" w:color="auto"/>
            </w:tcBorders>
            <w:shd w:val="clear" w:color="auto" w:fill="auto"/>
            <w:noWrap/>
          </w:tcPr>
          <w:p w14:paraId="61E3294B" w14:textId="6B330D18"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PE: anticoagulation with citrate and replacement solutions were administered in the proportions of 1:12 to 1: to 16; replacement solutions were albumin (131 patients), fresh frozen plasma (1 patient), and succinylated gelatin (45 patients); PE was by centrifugation method; catheter placement was the jugular (n = 166; 88.7%), femoral (n = 19; 9.6%) or subclavian (n = 3; 1.6%) arteries.</w:t>
            </w:r>
          </w:p>
          <w:p w14:paraId="62B405E6"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Patients n = 187</w:t>
            </w:r>
          </w:p>
          <w:p w14:paraId="2F5338B9"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 xml:space="preserve">Cycles per patient n = 5 </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26B3E7D3"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Not stated</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5ED16297"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Complications in all patients n patients (%)</w:t>
            </w:r>
          </w:p>
          <w:p w14:paraId="21C02C00" w14:textId="0B18585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Compl</w:t>
            </w:r>
            <w:r w:rsidR="007763A2">
              <w:rPr>
                <w:rFonts w:ascii="Arial Narrow" w:hAnsi="Arial Narrow" w:cs="Calibri"/>
                <w:color w:val="000000"/>
                <w:sz w:val="18"/>
                <w:szCs w:val="18"/>
              </w:rPr>
              <w:t>i</w:t>
            </w:r>
            <w:r w:rsidRPr="00827A3E">
              <w:rPr>
                <w:rFonts w:ascii="Arial Narrow" w:hAnsi="Arial Narrow" w:cs="Calibri"/>
                <w:color w:val="000000"/>
                <w:sz w:val="18"/>
                <w:szCs w:val="18"/>
              </w:rPr>
              <w:t>cations per disease group</w:t>
            </w:r>
          </w:p>
          <w:p w14:paraId="6464BA1D"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p>
        </w:tc>
      </w:tr>
      <w:tr w:rsidR="00BD440B" w:rsidRPr="00827A3E" w14:paraId="231E75C7" w14:textId="77777777" w:rsidTr="002B0DA4">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7842222" w14:textId="77777777" w:rsidR="00BD440B" w:rsidRPr="00827A3E" w:rsidRDefault="00BD440B" w:rsidP="00BD440B">
            <w:pPr>
              <w:tabs>
                <w:tab w:val="left" w:pos="2814"/>
              </w:tabs>
              <w:spacing w:after="0" w:line="240" w:lineRule="auto"/>
              <w:rPr>
                <w:rFonts w:ascii="Arial Narrow" w:hAnsi="Arial Narrow" w:cs="Calibri"/>
                <w:b/>
                <w:color w:val="000000"/>
                <w:sz w:val="18"/>
                <w:szCs w:val="18"/>
              </w:rPr>
            </w:pPr>
            <w:r w:rsidRPr="00827A3E">
              <w:rPr>
                <w:rFonts w:ascii="Arial Narrow" w:hAnsi="Arial Narrow" w:cs="Calibri"/>
                <w:b/>
                <w:color w:val="000000"/>
                <w:sz w:val="18"/>
                <w:szCs w:val="18"/>
              </w:rPr>
              <w:t>Long-term safety data for steroids</w:t>
            </w:r>
          </w:p>
        </w:tc>
      </w:tr>
      <w:tr w:rsidR="00BD440B" w:rsidRPr="00827A3E" w14:paraId="58C3438B" w14:textId="77777777" w:rsidTr="00BD440B">
        <w:trPr>
          <w:trHeight w:val="300"/>
        </w:trPr>
        <w:tc>
          <w:tcPr>
            <w:tcW w:w="444" w:type="pct"/>
            <w:tcBorders>
              <w:top w:val="single" w:sz="4" w:space="0" w:color="auto"/>
              <w:left w:val="single" w:sz="4" w:space="0" w:color="auto"/>
              <w:bottom w:val="single" w:sz="4" w:space="0" w:color="auto"/>
              <w:right w:val="single" w:sz="4" w:space="0" w:color="auto"/>
            </w:tcBorders>
            <w:shd w:val="clear" w:color="auto" w:fill="auto"/>
            <w:noWrap/>
          </w:tcPr>
          <w:p w14:paraId="62991DD8" w14:textId="51AFBEDC" w:rsidR="00BD440B" w:rsidRPr="00827A3E" w:rsidRDefault="00B727D6"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fldChar w:fldCharType="begin"/>
            </w:r>
            <w:r>
              <w:rPr>
                <w:rFonts w:ascii="Arial Narrow" w:hAnsi="Arial Narrow" w:cs="Calibri"/>
                <w:color w:val="000000"/>
                <w:sz w:val="18"/>
                <w:szCs w:val="18"/>
              </w:rPr>
              <w:instrText xml:space="preserve"> ADDIN EN.CITE &lt;EndNote&gt;&lt;Cite&gt;&lt;Author&gt;Rice&lt;/Author&gt;&lt;Year&gt;2017&lt;/Year&gt;&lt;RecNum&gt;11&lt;/RecNum&gt;&lt;DisplayText&gt;(Rice et al. 2017)&lt;/DisplayText&gt;&lt;record&gt;&lt;rec-number&gt;11&lt;/rec-number&gt;&lt;foreign-keys&gt;&lt;key app="EN" db-id="p29e2t021fx2sker0f4p99xad5t02xpedpxr" timestamp="1605656000"&gt;11&lt;/key&gt;&lt;/foreign-keys&gt;&lt;ref-type name="Journal Article"&gt;17&lt;/ref-type&gt;&lt;contributors&gt;&lt;authors&gt;&lt;author&gt;Rice, J. B.&lt;/author&gt;&lt;author&gt;White, A. G.&lt;/author&gt;&lt;author&gt;Scarpati, L. M.&lt;/author&gt;&lt;author&gt;Wan, G.&lt;/author&gt;&lt;author&gt;Nelson, W. W.&lt;/author&gt;&lt;/authors&gt;&lt;/contributors&gt;&lt;auth-address&gt;Analysis Group, Inc, Boston, Massachusetts. Electronic address: Brad.Rice@analysisgroup.com.&amp;#xD;Analysis Group, Inc, Boston, Massachusetts.&amp;#xD;Mallinckrodt Pharmaceuticals, Hampton, New Jersey.&lt;/auth-address&gt;&lt;titles&gt;&lt;title&gt;Long-term Systemic Corticosteroid Exposure: A Systematic Literature Review&lt;/title&gt;&lt;secondary-title&gt;Clin Ther&lt;/secondary-title&gt;&lt;/titles&gt;&lt;periodical&gt;&lt;full-title&gt;Clin Ther&lt;/full-title&gt;&lt;/periodical&gt;&lt;pages&gt;2216-2229&lt;/pages&gt;&lt;volume&gt;39&lt;/volume&gt;&lt;number&gt;11&lt;/number&gt;&lt;keywords&gt;&lt;keyword&gt;Adrenal Cortex Hormones/*administration &amp;amp; dosage/adverse effects/therapeutic use&lt;/keyword&gt;&lt;keyword&gt;Asthma/drug therapy&lt;/keyword&gt;&lt;keyword&gt;Costs and Cost Analysis&lt;/keyword&gt;&lt;keyword&gt;Diabetes Mellitus, Type 2/epidemiology&lt;/keyword&gt;&lt;keyword&gt;Gastrointestinal Diseases/chemically induced&lt;/keyword&gt;&lt;keyword&gt;Humans&lt;/keyword&gt;&lt;keyword&gt;Outcome Assessment, Health Care&lt;/keyword&gt;&lt;keyword&gt;Time Factors&lt;/keyword&gt;&lt;keyword&gt;adverse events&lt;/keyword&gt;&lt;keyword&gt;corticosteroids&lt;/keyword&gt;&lt;keyword&gt;costs&lt;/keyword&gt;&lt;keyword&gt;economic burden&lt;/keyword&gt;&lt;keyword&gt;long-term corticosteroid exposure&lt;/keyword&gt;&lt;/keywords&gt;&lt;dates&gt;&lt;year&gt;2017&lt;/year&gt;&lt;pub-dates&gt;&lt;date&gt;Nov&lt;/date&gt;&lt;/pub-dates&gt;&lt;/dates&gt;&lt;isbn&gt;1879-114X (Electronic)&amp;#xD;0149-2918 (Linking)&lt;/isbn&gt;&lt;accession-num&gt;29055500&lt;/accession-num&gt;&lt;urls&gt;&lt;related-urls&gt;&lt;url&gt;https://www.ncbi.nlm.nih.gov/pubmed/29055500&lt;/url&gt;&lt;/related-urls&gt;&lt;/urls&gt;&lt;electronic-resource-num&gt;10.1016/j.clinthera.2017.09.011&lt;/electronic-resource-num&gt;&lt;/record&gt;&lt;/Cite&gt;&lt;/EndNote&gt;</w:instrText>
            </w:r>
            <w:r>
              <w:rPr>
                <w:rFonts w:ascii="Arial Narrow" w:hAnsi="Arial Narrow" w:cs="Calibri"/>
                <w:color w:val="000000"/>
                <w:sz w:val="18"/>
                <w:szCs w:val="18"/>
              </w:rPr>
              <w:fldChar w:fldCharType="separate"/>
            </w:r>
            <w:r>
              <w:rPr>
                <w:rFonts w:ascii="Arial Narrow" w:hAnsi="Arial Narrow" w:cs="Calibri"/>
                <w:noProof/>
                <w:color w:val="000000"/>
                <w:sz w:val="18"/>
                <w:szCs w:val="18"/>
              </w:rPr>
              <w:t>(</w:t>
            </w:r>
            <w:hyperlink w:anchor="_ENREF_61" w:tooltip="Rice, 2017 #11" w:history="1">
              <w:r w:rsidR="00D726F6">
                <w:rPr>
                  <w:rFonts w:ascii="Arial Narrow" w:hAnsi="Arial Narrow" w:cs="Calibri"/>
                  <w:noProof/>
                  <w:color w:val="000000"/>
                  <w:sz w:val="18"/>
                  <w:szCs w:val="18"/>
                </w:rPr>
                <w:t>Rice et al. 2017</w:t>
              </w:r>
            </w:hyperlink>
            <w:r>
              <w:rPr>
                <w:rFonts w:ascii="Arial Narrow" w:hAnsi="Arial Narrow" w:cs="Calibri"/>
                <w:noProof/>
                <w:color w:val="000000"/>
                <w:sz w:val="18"/>
                <w:szCs w:val="18"/>
              </w:rPr>
              <w:t>)</w:t>
            </w:r>
            <w:r>
              <w:rPr>
                <w:rFonts w:ascii="Arial Narrow" w:hAnsi="Arial Narrow" w:cs="Calibri"/>
                <w:color w:val="000000"/>
                <w:sz w:val="18"/>
                <w:szCs w:val="18"/>
              </w:rPr>
              <w:fldChar w:fldCharType="end"/>
            </w:r>
          </w:p>
          <w:p w14:paraId="271ADD68"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The Netherlands</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4CACB4E0"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SR</w:t>
            </w:r>
          </w:p>
          <w:p w14:paraId="18A3C3E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I</w:t>
            </w:r>
          </w:p>
          <w:p w14:paraId="5D9F362E"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Moderate</w:t>
            </w:r>
          </w:p>
        </w:tc>
        <w:tc>
          <w:tcPr>
            <w:tcW w:w="1337" w:type="pct"/>
            <w:tcBorders>
              <w:top w:val="single" w:sz="4" w:space="0" w:color="auto"/>
              <w:left w:val="single" w:sz="4" w:space="0" w:color="auto"/>
              <w:bottom w:val="single" w:sz="4" w:space="0" w:color="auto"/>
              <w:right w:val="single" w:sz="4" w:space="0" w:color="auto"/>
            </w:tcBorders>
            <w:shd w:val="clear" w:color="auto" w:fill="auto"/>
            <w:noWrap/>
          </w:tcPr>
          <w:p w14:paraId="3FEE649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Articles published between 2007 and 2016</w:t>
            </w:r>
          </w:p>
          <w:p w14:paraId="3794F10F"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 xml:space="preserve">K = 32 </w:t>
            </w:r>
          </w:p>
          <w:p w14:paraId="67F092E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Studies og &gt; 40 Patients</w:t>
            </w:r>
          </w:p>
          <w:p w14:paraId="133FB80E"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Diagnoses:</w:t>
            </w:r>
          </w:p>
          <w:p w14:paraId="0E849D4C"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Autoimmun diseases 31%</w:t>
            </w:r>
          </w:p>
          <w:p w14:paraId="10932688"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Asthma 25%</w:t>
            </w:r>
          </w:p>
          <w:p w14:paraId="7839F28A"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COPD &amp; Lung diseases 19%</w:t>
            </w:r>
          </w:p>
          <w:p w14:paraId="621A8EBE"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Multiple disease areas 10%</w:t>
            </w:r>
          </w:p>
          <w:p w14:paraId="2FE2FD8B"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GC-induce osteoporosis 6%</w:t>
            </w:r>
          </w:p>
          <w:p w14:paraId="32259444" w14:textId="411B33E1"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Alcoh</w:t>
            </w:r>
            <w:r w:rsidR="007763A2">
              <w:rPr>
                <w:rFonts w:ascii="Arial Narrow" w:hAnsi="Arial Narrow" w:cs="Calibri"/>
                <w:color w:val="000000"/>
                <w:sz w:val="18"/>
                <w:szCs w:val="18"/>
              </w:rPr>
              <w:t>o</w:t>
            </w:r>
            <w:r w:rsidRPr="00827A3E">
              <w:rPr>
                <w:rFonts w:ascii="Arial Narrow" w:hAnsi="Arial Narrow" w:cs="Calibri"/>
                <w:color w:val="000000"/>
                <w:sz w:val="18"/>
                <w:szCs w:val="18"/>
              </w:rPr>
              <w:t>lic hepatitis 3%</w:t>
            </w:r>
          </w:p>
          <w:p w14:paraId="66B5B53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Allergic rhinitis 3%</w:t>
            </w:r>
          </w:p>
          <w:p w14:paraId="63F5E7E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Kidney disease 3%</w:t>
            </w:r>
          </w:p>
        </w:tc>
        <w:tc>
          <w:tcPr>
            <w:tcW w:w="1090" w:type="pct"/>
            <w:tcBorders>
              <w:top w:val="single" w:sz="4" w:space="0" w:color="auto"/>
              <w:left w:val="single" w:sz="4" w:space="0" w:color="auto"/>
              <w:bottom w:val="single" w:sz="4" w:space="0" w:color="auto"/>
              <w:right w:val="single" w:sz="4" w:space="0" w:color="auto"/>
            </w:tcBorders>
            <w:shd w:val="clear" w:color="auto" w:fill="auto"/>
            <w:noWrap/>
          </w:tcPr>
          <w:p w14:paraId="6BCD87F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 xml:space="preserve">Systemic corticosteroids </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46E5F7C8" w14:textId="503B1B1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Long-term corticosteroid use as described in indiv</w:t>
            </w:r>
            <w:r w:rsidR="007763A2">
              <w:rPr>
                <w:rFonts w:ascii="Arial Narrow" w:hAnsi="Arial Narrow" w:cs="Calibri"/>
                <w:color w:val="000000"/>
                <w:sz w:val="18"/>
                <w:szCs w:val="18"/>
              </w:rPr>
              <w:t>id</w:t>
            </w:r>
            <w:r w:rsidRPr="00827A3E">
              <w:rPr>
                <w:rFonts w:ascii="Arial Narrow" w:hAnsi="Arial Narrow" w:cs="Calibri"/>
                <w:color w:val="000000"/>
                <w:sz w:val="18"/>
                <w:szCs w:val="18"/>
              </w:rPr>
              <w:t>ual studies</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7F5F809B"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Summary of AEs</w:t>
            </w:r>
          </w:p>
          <w:p w14:paraId="0DD5A90E" w14:textId="77777777" w:rsidR="00BD440B" w:rsidRPr="00827A3E" w:rsidRDefault="00BD440B" w:rsidP="00BD440B">
            <w:pPr>
              <w:rPr>
                <w:rFonts w:ascii="Arial Narrow" w:hAnsi="Arial Narrow" w:cs="Calibri"/>
                <w:color w:val="000000"/>
                <w:sz w:val="18"/>
                <w:szCs w:val="18"/>
              </w:rPr>
            </w:pPr>
            <w:r w:rsidRPr="00827A3E">
              <w:rPr>
                <w:rFonts w:ascii="Arial Narrow" w:hAnsi="Arial Narrow" w:cs="Calibri"/>
                <w:color w:val="000000"/>
                <w:sz w:val="18"/>
                <w:szCs w:val="18"/>
              </w:rPr>
              <w:t>Economic burden of Long-term GC</w:t>
            </w:r>
          </w:p>
        </w:tc>
      </w:tr>
      <w:tr w:rsidR="00BD440B" w:rsidRPr="00827A3E" w14:paraId="4273983A" w14:textId="77777777" w:rsidTr="00BD440B">
        <w:trPr>
          <w:trHeight w:val="300"/>
        </w:trPr>
        <w:tc>
          <w:tcPr>
            <w:tcW w:w="444" w:type="pct"/>
            <w:tcBorders>
              <w:top w:val="single" w:sz="4" w:space="0" w:color="auto"/>
              <w:left w:val="single" w:sz="4" w:space="0" w:color="auto"/>
              <w:bottom w:val="single" w:sz="4" w:space="0" w:color="auto"/>
              <w:right w:val="single" w:sz="4" w:space="0" w:color="auto"/>
            </w:tcBorders>
            <w:shd w:val="clear" w:color="auto" w:fill="auto"/>
            <w:noWrap/>
          </w:tcPr>
          <w:p w14:paraId="560313F2" w14:textId="5E39EAF1" w:rsidR="00BD440B" w:rsidRPr="00827A3E" w:rsidRDefault="00B727D6"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fldChar w:fldCharType="begin"/>
            </w:r>
            <w:r>
              <w:rPr>
                <w:rFonts w:ascii="Arial Narrow" w:hAnsi="Arial Narrow" w:cs="Calibri"/>
                <w:color w:val="000000"/>
                <w:sz w:val="18"/>
                <w:szCs w:val="18"/>
              </w:rPr>
              <w:instrText xml:space="preserve"> ADDIN EN.CITE &lt;EndNote&gt;&lt;Cite&gt;&lt;Author&gt;Huscher&lt;/Author&gt;&lt;Year&gt;2009&lt;/Year&gt;&lt;RecNum&gt;12&lt;/RecNum&gt;&lt;DisplayText&gt;(Huscher et al. 2009)&lt;/DisplayText&gt;&lt;record&gt;&lt;rec-number&gt;12&lt;/rec-number&gt;&lt;foreign-keys&gt;&lt;key app="EN" db-id="p29e2t021fx2sker0f4p99xad5t02xpedpxr" timestamp="1605656036"&gt;12&lt;/key&gt;&lt;/foreign-keys&gt;&lt;ref-type name="Journal Article"&gt;17&lt;/ref-type&gt;&lt;contributors&gt;&lt;authors&gt;&lt;author&gt;Huscher, D.&lt;/author&gt;&lt;author&gt;Thiele, K.&lt;/author&gt;&lt;author&gt;Gromnica-Ihle, E.&lt;/author&gt;&lt;author&gt;Hein, G.&lt;/author&gt;&lt;author&gt;Demary, W.&lt;/author&gt;&lt;author&gt;Dreher, R.&lt;/author&gt;&lt;author&gt;Zink, A.&lt;/author&gt;&lt;author&gt;Buttgereit, F.&lt;/author&gt;&lt;/authors&gt;&lt;/contributors&gt;&lt;auth-address&gt;German Rheumatism Research Centre Berlin, Epidemiology Unit, Berlin, Germany. huscher@drfz.de&lt;/auth-address&gt;&lt;titles&gt;&lt;title&gt;Dose-related patterns of glucocorticoid-induced side effects&lt;/title&gt;&lt;secondary-title&gt;Ann Rheum Dis&lt;/secondary-title&gt;&lt;/titles&gt;&lt;periodical&gt;&lt;full-title&gt;Ann Rheum Dis&lt;/full-title&gt;&lt;/periodical&gt;&lt;pages&gt;1119-24&lt;/pages&gt;&lt;volume&gt;68&lt;/volume&gt;&lt;number&gt;7&lt;/number&gt;&lt;edition&gt;2008/08/08&lt;/edition&gt;&lt;keywords&gt;&lt;keyword&gt;Arthritis, Rheumatoid/ drug therapy&lt;/keyword&gt;&lt;keyword&gt;Data Collection&lt;/keyword&gt;&lt;keyword&gt;Dose-Response Relationship, Drug&lt;/keyword&gt;&lt;keyword&gt;Female&lt;/keyword&gt;&lt;keyword&gt;Glucocorticoids/administration &amp;amp; dosage/ adverse effects&lt;/keyword&gt;&lt;keyword&gt;Humans&lt;/keyword&gt;&lt;keyword&gt;Male&lt;/keyword&gt;&lt;keyword&gt;Middle Aged&lt;/keyword&gt;&lt;keyword&gt;Risk Factors&lt;/keyword&gt;&lt;keyword&gt;Time Factors&lt;/keyword&gt;&lt;/keywords&gt;&lt;dates&gt;&lt;year&gt;2009&lt;/year&gt;&lt;pub-dates&gt;&lt;date&gt;Jul&lt;/date&gt;&lt;/pub-dates&gt;&lt;/dates&gt;&lt;isbn&gt;1468-2060 (Electronic)&amp;#xD;0003-4967 (Linking)&lt;/isbn&gt;&lt;accession-num&gt;18684744&lt;/accession-num&gt;&lt;urls&gt;&lt;related-urls&gt;&lt;url&gt;https://ard.bmj.com/content/annrheumdis/68/7/1119.full.pdf&lt;/url&gt;&lt;/related-urls&gt;&lt;/urls&gt;&lt;electronic-resource-num&gt;10.1136/ard.2008.092163&lt;/electronic-resource-num&gt;&lt;remote-database-provider&gt;NLM&lt;/remote-database-provider&gt;&lt;language&gt;eng&lt;/language&gt;&lt;/record&gt;&lt;/Cite&gt;&lt;/EndNote&gt;</w:instrText>
            </w:r>
            <w:r>
              <w:rPr>
                <w:rFonts w:ascii="Arial Narrow" w:hAnsi="Arial Narrow" w:cs="Calibri"/>
                <w:color w:val="000000"/>
                <w:sz w:val="18"/>
                <w:szCs w:val="18"/>
              </w:rPr>
              <w:fldChar w:fldCharType="separate"/>
            </w:r>
            <w:r>
              <w:rPr>
                <w:rFonts w:ascii="Arial Narrow" w:hAnsi="Arial Narrow" w:cs="Calibri"/>
                <w:noProof/>
                <w:color w:val="000000"/>
                <w:sz w:val="18"/>
                <w:szCs w:val="18"/>
              </w:rPr>
              <w:t>(</w:t>
            </w:r>
            <w:hyperlink w:anchor="_ENREF_29" w:tooltip="Huscher, 2009 #12" w:history="1">
              <w:r w:rsidR="00D726F6">
                <w:rPr>
                  <w:rFonts w:ascii="Arial Narrow" w:hAnsi="Arial Narrow" w:cs="Calibri"/>
                  <w:noProof/>
                  <w:color w:val="000000"/>
                  <w:sz w:val="18"/>
                  <w:szCs w:val="18"/>
                </w:rPr>
                <w:t>Huscher et al. 2009</w:t>
              </w:r>
            </w:hyperlink>
            <w:r>
              <w:rPr>
                <w:rFonts w:ascii="Arial Narrow" w:hAnsi="Arial Narrow" w:cs="Calibri"/>
                <w:noProof/>
                <w:color w:val="000000"/>
                <w:sz w:val="18"/>
                <w:szCs w:val="18"/>
              </w:rPr>
              <w:t>)</w:t>
            </w:r>
            <w:r>
              <w:rPr>
                <w:rFonts w:ascii="Arial Narrow" w:hAnsi="Arial Narrow" w:cs="Calibri"/>
                <w:color w:val="000000"/>
                <w:sz w:val="18"/>
                <w:szCs w:val="18"/>
              </w:rPr>
              <w:fldChar w:fldCharType="end"/>
            </w:r>
          </w:p>
          <w:p w14:paraId="4F210CB2"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Germany</w:t>
            </w:r>
          </w:p>
          <w:p w14:paraId="41F0E414" w14:textId="77777777" w:rsidR="00BD440B" w:rsidRPr="00827A3E" w:rsidRDefault="00BD440B" w:rsidP="00BD440B">
            <w:pPr>
              <w:spacing w:after="0" w:line="240" w:lineRule="auto"/>
              <w:rPr>
                <w:rFonts w:ascii="Arial Narrow" w:hAnsi="Arial Narrow" w:cs="Calibri"/>
                <w:color w:val="000000"/>
                <w:sz w:val="18"/>
                <w:szCs w:val="18"/>
              </w:rPr>
            </w:pP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516A9DD2"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R O SC</w:t>
            </w:r>
          </w:p>
          <w:p w14:paraId="023550DE"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IV</w:t>
            </w:r>
          </w:p>
          <w:p w14:paraId="526C046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Moderate</w:t>
            </w:r>
          </w:p>
        </w:tc>
        <w:tc>
          <w:tcPr>
            <w:tcW w:w="1337" w:type="pct"/>
            <w:tcBorders>
              <w:top w:val="single" w:sz="4" w:space="0" w:color="auto"/>
              <w:left w:val="single" w:sz="4" w:space="0" w:color="auto"/>
              <w:bottom w:val="single" w:sz="4" w:space="0" w:color="auto"/>
              <w:right w:val="single" w:sz="4" w:space="0" w:color="auto"/>
            </w:tcBorders>
            <w:shd w:val="clear" w:color="auto" w:fill="auto"/>
            <w:noWrap/>
          </w:tcPr>
          <w:p w14:paraId="14F0CBC5"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Data from a RA patient database; patients taking ongoing GC &gt; 6 mo; patients with RA in the osteoporosis module</w:t>
            </w:r>
          </w:p>
          <w:p w14:paraId="74C5F67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N = 1066</w:t>
            </w:r>
          </w:p>
          <w:p w14:paraId="698D3262"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N = 472 patients taking GC for &gt; 6 months</w:t>
            </w:r>
          </w:p>
        </w:tc>
        <w:tc>
          <w:tcPr>
            <w:tcW w:w="1090" w:type="pct"/>
            <w:tcBorders>
              <w:top w:val="single" w:sz="4" w:space="0" w:color="auto"/>
              <w:left w:val="single" w:sz="4" w:space="0" w:color="auto"/>
              <w:bottom w:val="single" w:sz="4" w:space="0" w:color="auto"/>
              <w:right w:val="single" w:sz="4" w:space="0" w:color="auto"/>
            </w:tcBorders>
            <w:shd w:val="clear" w:color="auto" w:fill="auto"/>
            <w:noWrap/>
          </w:tcPr>
          <w:p w14:paraId="68D2BCE1"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Dose categorisation:</w:t>
            </w:r>
          </w:p>
          <w:p w14:paraId="77A4F76D"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&lt; 5mg/day</w:t>
            </w:r>
          </w:p>
          <w:p w14:paraId="0EB4FBD3"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5-7.5 mg/day</w:t>
            </w:r>
          </w:p>
          <w:p w14:paraId="502D7E6E"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&gt;7.5 mg/day</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7C582550"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GC treatment for &gt; 6 months</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5C9C68B8"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AEs</w:t>
            </w:r>
          </w:p>
          <w:p w14:paraId="776A4204" w14:textId="5A0F1F28"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Dose comp</w:t>
            </w:r>
            <w:r w:rsidR="007763A2">
              <w:rPr>
                <w:rFonts w:ascii="Arial Narrow" w:hAnsi="Arial Narrow" w:cs="Calibri"/>
                <w:color w:val="000000"/>
                <w:sz w:val="18"/>
                <w:szCs w:val="18"/>
              </w:rPr>
              <w:t>a</w:t>
            </w:r>
            <w:r w:rsidRPr="00827A3E">
              <w:rPr>
                <w:rFonts w:ascii="Arial Narrow" w:hAnsi="Arial Narrow" w:cs="Calibri"/>
                <w:color w:val="000000"/>
                <w:sz w:val="18"/>
                <w:szCs w:val="18"/>
              </w:rPr>
              <w:t>rison</w:t>
            </w:r>
          </w:p>
        </w:tc>
      </w:tr>
      <w:tr w:rsidR="00BD440B" w:rsidRPr="00E3331A" w14:paraId="43236717" w14:textId="77777777" w:rsidTr="00BD440B">
        <w:trPr>
          <w:trHeight w:val="300"/>
        </w:trPr>
        <w:tc>
          <w:tcPr>
            <w:tcW w:w="444" w:type="pct"/>
            <w:tcBorders>
              <w:top w:val="single" w:sz="4" w:space="0" w:color="auto"/>
              <w:left w:val="single" w:sz="4" w:space="0" w:color="auto"/>
              <w:bottom w:val="single" w:sz="4" w:space="0" w:color="auto"/>
              <w:right w:val="single" w:sz="4" w:space="0" w:color="auto"/>
            </w:tcBorders>
            <w:shd w:val="clear" w:color="auto" w:fill="auto"/>
            <w:noWrap/>
          </w:tcPr>
          <w:p w14:paraId="67A3BDD0" w14:textId="6EF70467" w:rsidR="00BD440B" w:rsidRPr="00827A3E" w:rsidRDefault="00B727D6"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rPr>
                <w:rFonts w:ascii="Arial Narrow" w:hAnsi="Arial Narrow" w:cs="Calibri"/>
                <w:color w:val="000000"/>
                <w:sz w:val="18"/>
                <w:szCs w:val="18"/>
              </w:rPr>
              <w:instrText xml:space="preserve"> ADDIN EN.CITE </w:instrText>
            </w:r>
            <w:r>
              <w:rPr>
                <w:rFonts w:ascii="Arial Narrow" w:hAnsi="Arial Narrow" w:cs="Calibri"/>
                <w:color w:val="000000"/>
                <w:sz w:val="18"/>
                <w:szCs w:val="18"/>
              </w:rPr>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rPr>
                <w:rFonts w:ascii="Arial Narrow" w:hAnsi="Arial Narrow" w:cs="Calibri"/>
                <w:color w:val="000000"/>
                <w:sz w:val="18"/>
                <w:szCs w:val="18"/>
              </w:rPr>
              <w:instrText xml:space="preserve"> ADDIN EN.CITE.DATA </w:instrText>
            </w:r>
            <w:r>
              <w:rPr>
                <w:rFonts w:ascii="Arial Narrow" w:hAnsi="Arial Narrow" w:cs="Calibri"/>
                <w:color w:val="000000"/>
                <w:sz w:val="18"/>
                <w:szCs w:val="18"/>
              </w:rPr>
            </w:r>
            <w:r>
              <w:rPr>
                <w:rFonts w:ascii="Arial Narrow" w:hAnsi="Arial Narrow" w:cs="Calibri"/>
                <w:color w:val="000000"/>
                <w:sz w:val="18"/>
                <w:szCs w:val="18"/>
              </w:rPr>
              <w:fldChar w:fldCharType="end"/>
            </w:r>
            <w:r>
              <w:rPr>
                <w:rFonts w:ascii="Arial Narrow" w:hAnsi="Arial Narrow" w:cs="Calibri"/>
                <w:color w:val="000000"/>
                <w:sz w:val="18"/>
                <w:szCs w:val="18"/>
              </w:rPr>
            </w:r>
            <w:r>
              <w:rPr>
                <w:rFonts w:ascii="Arial Narrow" w:hAnsi="Arial Narrow" w:cs="Calibri"/>
                <w:color w:val="000000"/>
                <w:sz w:val="18"/>
                <w:szCs w:val="18"/>
              </w:rPr>
              <w:fldChar w:fldCharType="separate"/>
            </w:r>
            <w:r>
              <w:rPr>
                <w:rFonts w:ascii="Arial Narrow" w:hAnsi="Arial Narrow" w:cs="Calibri"/>
                <w:noProof/>
                <w:color w:val="000000"/>
                <w:sz w:val="18"/>
                <w:szCs w:val="18"/>
              </w:rPr>
              <w:t>(</w:t>
            </w:r>
            <w:hyperlink w:anchor="_ENREF_73" w:tooltip="van Lieverloo, 2018 #13" w:history="1">
              <w:r w:rsidR="00D726F6">
                <w:rPr>
                  <w:rFonts w:ascii="Arial Narrow" w:hAnsi="Arial Narrow" w:cs="Calibri"/>
                  <w:noProof/>
                  <w:color w:val="000000"/>
                  <w:sz w:val="18"/>
                  <w:szCs w:val="18"/>
                </w:rPr>
                <w:t>van Lieverloo et al. 2018</w:t>
              </w:r>
            </w:hyperlink>
            <w:r>
              <w:rPr>
                <w:rFonts w:ascii="Arial Narrow" w:hAnsi="Arial Narrow" w:cs="Calibri"/>
                <w:noProof/>
                <w:color w:val="000000"/>
                <w:sz w:val="18"/>
                <w:szCs w:val="18"/>
              </w:rPr>
              <w:t>)</w:t>
            </w:r>
            <w:r>
              <w:rPr>
                <w:rFonts w:ascii="Arial Narrow" w:hAnsi="Arial Narrow" w:cs="Calibri"/>
                <w:color w:val="000000"/>
                <w:sz w:val="18"/>
                <w:szCs w:val="18"/>
              </w:rPr>
              <w:fldChar w:fldCharType="end"/>
            </w:r>
          </w:p>
          <w:p w14:paraId="0FB5BF1D"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Serbia</w:t>
            </w:r>
          </w:p>
          <w:p w14:paraId="4A717A40"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The Netherlands</w:t>
            </w:r>
          </w:p>
          <w:p w14:paraId="7E6BC45C"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Italy</w:t>
            </w:r>
          </w:p>
          <w:p w14:paraId="0758F8D5"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 xml:space="preserve">Moderate </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7B4EBD25"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R MC</w:t>
            </w:r>
          </w:p>
          <w:p w14:paraId="16BB365F"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IV</w:t>
            </w:r>
          </w:p>
          <w:p w14:paraId="27218CCA"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Moderate</w:t>
            </w:r>
          </w:p>
        </w:tc>
        <w:tc>
          <w:tcPr>
            <w:tcW w:w="1337" w:type="pct"/>
            <w:tcBorders>
              <w:top w:val="single" w:sz="4" w:space="0" w:color="auto"/>
              <w:left w:val="single" w:sz="4" w:space="0" w:color="auto"/>
              <w:bottom w:val="single" w:sz="4" w:space="0" w:color="auto"/>
              <w:right w:val="single" w:sz="4" w:space="0" w:color="auto"/>
            </w:tcBorders>
            <w:shd w:val="clear" w:color="auto" w:fill="auto"/>
            <w:noWrap/>
          </w:tcPr>
          <w:p w14:paraId="4D22F6A7" w14:textId="255435BE"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Data on from 3 large CIDP centres; Pat</w:t>
            </w:r>
            <w:r w:rsidR="00A301B9">
              <w:rPr>
                <w:rFonts w:ascii="Arial Narrow" w:hAnsi="Arial Narrow" w:cs="Calibri"/>
                <w:color w:val="000000"/>
                <w:sz w:val="18"/>
                <w:szCs w:val="18"/>
              </w:rPr>
              <w:t>ients</w:t>
            </w:r>
            <w:r w:rsidRPr="00827A3E">
              <w:rPr>
                <w:rFonts w:ascii="Arial Narrow" w:hAnsi="Arial Narrow" w:cs="Calibri"/>
                <w:color w:val="000000"/>
                <w:sz w:val="18"/>
                <w:szCs w:val="18"/>
              </w:rPr>
              <w:t xml:space="preserve"> with treatment naïve CIDP; patients who underwent first-line treatment with corticosteroids; definite, probable or </w:t>
            </w:r>
            <w:r w:rsidR="007763A2">
              <w:rPr>
                <w:rFonts w:ascii="Arial Narrow" w:hAnsi="Arial Narrow" w:cs="Calibri"/>
                <w:color w:val="000000"/>
                <w:sz w:val="18"/>
                <w:szCs w:val="18"/>
              </w:rPr>
              <w:t>p</w:t>
            </w:r>
            <w:r w:rsidRPr="00827A3E">
              <w:rPr>
                <w:rFonts w:ascii="Arial Narrow" w:hAnsi="Arial Narrow" w:cs="Calibri"/>
                <w:color w:val="000000"/>
                <w:sz w:val="18"/>
                <w:szCs w:val="18"/>
              </w:rPr>
              <w:t>ossible CIDP according to EFNS/PNS criteria.</w:t>
            </w:r>
          </w:p>
          <w:p w14:paraId="515D3344"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N = 125</w:t>
            </w:r>
          </w:p>
          <w:p w14:paraId="7F84A64B"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Mean age (SD): 53.4 (16) y</w:t>
            </w:r>
          </w:p>
          <w:p w14:paraId="1EEC8F59"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Median MRC cum score (range): 53 (34-60)</w:t>
            </w:r>
          </w:p>
          <w:p w14:paraId="744405CC"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CIDP subtype:</w:t>
            </w:r>
          </w:p>
          <w:p w14:paraId="709F5359"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Typical 98 (78%)</w:t>
            </w:r>
          </w:p>
          <w:p w14:paraId="2B4D816F"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Atypical 27 (22%)</w:t>
            </w:r>
          </w:p>
        </w:tc>
        <w:tc>
          <w:tcPr>
            <w:tcW w:w="1090" w:type="pct"/>
            <w:tcBorders>
              <w:top w:val="single" w:sz="4" w:space="0" w:color="auto"/>
              <w:left w:val="single" w:sz="4" w:space="0" w:color="auto"/>
              <w:bottom w:val="single" w:sz="4" w:space="0" w:color="auto"/>
              <w:right w:val="single" w:sz="4" w:space="0" w:color="auto"/>
            </w:tcBorders>
            <w:shd w:val="clear" w:color="auto" w:fill="auto"/>
            <w:noWrap/>
          </w:tcPr>
          <w:p w14:paraId="576B3BCA"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Prednisone or prednisolone n = 67 (54%)</w:t>
            </w:r>
          </w:p>
          <w:p w14:paraId="47E1A4A0"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Pulsed dexamethasone n = 37 (30%)</w:t>
            </w:r>
          </w:p>
          <w:p w14:paraId="36756BB6"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Pulsed IV MP 21 (17%)</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51B1F9EF"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5 years</w:t>
            </w:r>
          </w:p>
          <w:p w14:paraId="33CE3757" w14:textId="77777777" w:rsidR="00BD440B" w:rsidRPr="00827A3E" w:rsidRDefault="00BD440B" w:rsidP="00BD440B">
            <w:pPr>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Median duration of treatment for responders (range): 6 (2-60) months</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092DE591" w14:textId="77777777" w:rsidR="00BD440B" w:rsidRPr="00827A3E"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Moderate AEs</w:t>
            </w:r>
          </w:p>
          <w:p w14:paraId="40CCA0CD" w14:textId="77777777" w:rsidR="00BD440B" w:rsidRDefault="00BD440B" w:rsidP="00BD440B">
            <w:pPr>
              <w:tabs>
                <w:tab w:val="left" w:pos="2814"/>
              </w:tabs>
              <w:spacing w:after="0" w:line="240" w:lineRule="auto"/>
              <w:rPr>
                <w:rFonts w:ascii="Arial Narrow" w:hAnsi="Arial Narrow" w:cs="Calibri"/>
                <w:color w:val="000000"/>
                <w:sz w:val="18"/>
                <w:szCs w:val="18"/>
              </w:rPr>
            </w:pPr>
            <w:r w:rsidRPr="00827A3E">
              <w:rPr>
                <w:rFonts w:ascii="Arial Narrow" w:hAnsi="Arial Narrow" w:cs="Calibri"/>
                <w:color w:val="000000"/>
                <w:sz w:val="18"/>
                <w:szCs w:val="18"/>
              </w:rPr>
              <w:t>SAEs</w:t>
            </w:r>
          </w:p>
          <w:p w14:paraId="0541AA00" w14:textId="77777777" w:rsidR="00BD440B" w:rsidRDefault="00BD440B" w:rsidP="00BD440B">
            <w:pPr>
              <w:tabs>
                <w:tab w:val="left" w:pos="2814"/>
              </w:tabs>
              <w:spacing w:after="0" w:line="240" w:lineRule="auto"/>
              <w:rPr>
                <w:rFonts w:ascii="Arial Narrow" w:hAnsi="Arial Narrow" w:cs="Calibri"/>
                <w:color w:val="000000"/>
                <w:sz w:val="18"/>
                <w:szCs w:val="18"/>
              </w:rPr>
            </w:pPr>
          </w:p>
        </w:tc>
      </w:tr>
      <w:tr w:rsidR="00BD440B" w:rsidRPr="00E3331A" w14:paraId="12CB4610" w14:textId="77777777" w:rsidTr="00BD440B">
        <w:trPr>
          <w:trHeight w:val="300"/>
        </w:trPr>
        <w:tc>
          <w:tcPr>
            <w:tcW w:w="444" w:type="pct"/>
            <w:tcBorders>
              <w:top w:val="single" w:sz="4" w:space="0" w:color="auto"/>
              <w:left w:val="single" w:sz="4" w:space="0" w:color="auto"/>
              <w:bottom w:val="single" w:sz="4" w:space="0" w:color="auto"/>
              <w:right w:val="single" w:sz="4" w:space="0" w:color="auto"/>
            </w:tcBorders>
            <w:shd w:val="clear" w:color="auto" w:fill="auto"/>
            <w:noWrap/>
          </w:tcPr>
          <w:p w14:paraId="4036B3D3" w14:textId="1570CFFE" w:rsidR="00BD440B" w:rsidRDefault="00B727D6"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Pr>
                <w:rFonts w:ascii="Arial Narrow" w:hAnsi="Arial Narrow" w:cs="Calibri"/>
                <w:color w:val="000000"/>
                <w:sz w:val="18"/>
                <w:szCs w:val="18"/>
              </w:rPr>
              <w:instrText xml:space="preserve"> ADDIN EN.CITE </w:instrText>
            </w:r>
            <w:r>
              <w:rPr>
                <w:rFonts w:ascii="Arial Narrow" w:hAnsi="Arial Narrow" w:cs="Calibri"/>
                <w:color w:val="000000"/>
                <w:sz w:val="18"/>
                <w:szCs w:val="18"/>
              </w:rPr>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Pr>
                <w:rFonts w:ascii="Arial Narrow" w:hAnsi="Arial Narrow" w:cs="Calibri"/>
                <w:color w:val="000000"/>
                <w:sz w:val="18"/>
                <w:szCs w:val="18"/>
              </w:rPr>
              <w:instrText xml:space="preserve"> ADDIN EN.CITE.DATA </w:instrText>
            </w:r>
            <w:r>
              <w:rPr>
                <w:rFonts w:ascii="Arial Narrow" w:hAnsi="Arial Narrow" w:cs="Calibri"/>
                <w:color w:val="000000"/>
                <w:sz w:val="18"/>
                <w:szCs w:val="18"/>
              </w:rPr>
            </w:r>
            <w:r>
              <w:rPr>
                <w:rFonts w:ascii="Arial Narrow" w:hAnsi="Arial Narrow" w:cs="Calibri"/>
                <w:color w:val="000000"/>
                <w:sz w:val="18"/>
                <w:szCs w:val="18"/>
              </w:rPr>
              <w:fldChar w:fldCharType="end"/>
            </w:r>
            <w:r>
              <w:rPr>
                <w:rFonts w:ascii="Arial Narrow" w:hAnsi="Arial Narrow" w:cs="Calibri"/>
                <w:color w:val="000000"/>
                <w:sz w:val="18"/>
                <w:szCs w:val="18"/>
              </w:rPr>
            </w:r>
            <w:r>
              <w:rPr>
                <w:rFonts w:ascii="Arial Narrow" w:hAnsi="Arial Narrow" w:cs="Calibri"/>
                <w:color w:val="000000"/>
                <w:sz w:val="18"/>
                <w:szCs w:val="18"/>
              </w:rPr>
              <w:fldChar w:fldCharType="separate"/>
            </w:r>
            <w:r>
              <w:rPr>
                <w:rFonts w:ascii="Arial Narrow" w:hAnsi="Arial Narrow" w:cs="Calibri"/>
                <w:noProof/>
                <w:color w:val="000000"/>
                <w:sz w:val="18"/>
                <w:szCs w:val="18"/>
              </w:rPr>
              <w:t>(</w:t>
            </w:r>
            <w:hyperlink w:anchor="_ENREF_82" w:tooltip="Wilson, 2017 #3" w:history="1">
              <w:r w:rsidR="00D726F6">
                <w:rPr>
                  <w:rFonts w:ascii="Arial Narrow" w:hAnsi="Arial Narrow" w:cs="Calibri"/>
                  <w:noProof/>
                  <w:color w:val="000000"/>
                  <w:sz w:val="18"/>
                  <w:szCs w:val="18"/>
                </w:rPr>
                <w:t>Wilson, J. C. et al. 2017b</w:t>
              </w:r>
            </w:hyperlink>
            <w:r>
              <w:rPr>
                <w:rFonts w:ascii="Arial Narrow" w:hAnsi="Arial Narrow" w:cs="Calibri"/>
                <w:noProof/>
                <w:color w:val="000000"/>
                <w:sz w:val="18"/>
                <w:szCs w:val="18"/>
              </w:rPr>
              <w:t>)</w:t>
            </w:r>
            <w:r>
              <w:rPr>
                <w:rFonts w:ascii="Arial Narrow" w:hAnsi="Arial Narrow" w:cs="Calibri"/>
                <w:color w:val="000000"/>
                <w:sz w:val="18"/>
                <w:szCs w:val="18"/>
              </w:rPr>
              <w:fldChar w:fldCharType="end"/>
            </w:r>
          </w:p>
          <w:p w14:paraId="0D9D70A9" w14:textId="23E7FE65" w:rsidR="00BD440B" w:rsidRDefault="00B727D6"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Pr>
                <w:rFonts w:ascii="Arial Narrow" w:hAnsi="Arial Narrow" w:cs="Calibri"/>
                <w:color w:val="000000"/>
                <w:sz w:val="18"/>
                <w:szCs w:val="18"/>
              </w:rPr>
              <w:instrText xml:space="preserve"> ADDIN EN.CITE </w:instrText>
            </w:r>
            <w:r>
              <w:rPr>
                <w:rFonts w:ascii="Arial Narrow" w:hAnsi="Arial Narrow" w:cs="Calibri"/>
                <w:color w:val="000000"/>
                <w:sz w:val="18"/>
                <w:szCs w:val="18"/>
              </w:rPr>
              <w:fldChar w:fldCharType="begin">
                <w:fldData xml:space="preserve">PEVuZE5vdGU+PENpdGU+PEF1dGhvcj5XaWxzb248L0F1dGhvcj48WWVhcj4yMDE3PC9ZZWFyPjxS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</w:fldData>
              </w:fldChar>
            </w:r>
            <w:r>
              <w:rPr>
                <w:rFonts w:ascii="Arial Narrow" w:hAnsi="Arial Narrow" w:cs="Calibri"/>
                <w:color w:val="000000"/>
                <w:sz w:val="18"/>
                <w:szCs w:val="18"/>
              </w:rPr>
              <w:instrText xml:space="preserve"> ADDIN EN.CITE.DATA </w:instrText>
            </w:r>
            <w:r>
              <w:rPr>
                <w:rFonts w:ascii="Arial Narrow" w:hAnsi="Arial Narrow" w:cs="Calibri"/>
                <w:color w:val="000000"/>
                <w:sz w:val="18"/>
                <w:szCs w:val="18"/>
              </w:rPr>
            </w:r>
            <w:r>
              <w:rPr>
                <w:rFonts w:ascii="Arial Narrow" w:hAnsi="Arial Narrow" w:cs="Calibri"/>
                <w:color w:val="000000"/>
                <w:sz w:val="18"/>
                <w:szCs w:val="18"/>
              </w:rPr>
              <w:fldChar w:fldCharType="end"/>
            </w:r>
            <w:r>
              <w:rPr>
                <w:rFonts w:ascii="Arial Narrow" w:hAnsi="Arial Narrow" w:cs="Calibri"/>
                <w:color w:val="000000"/>
                <w:sz w:val="18"/>
                <w:szCs w:val="18"/>
              </w:rPr>
            </w:r>
            <w:r>
              <w:rPr>
                <w:rFonts w:ascii="Arial Narrow" w:hAnsi="Arial Narrow" w:cs="Calibri"/>
                <w:color w:val="000000"/>
                <w:sz w:val="18"/>
                <w:szCs w:val="18"/>
              </w:rPr>
              <w:fldChar w:fldCharType="separate"/>
            </w:r>
            <w:r>
              <w:rPr>
                <w:rFonts w:ascii="Arial Narrow" w:hAnsi="Arial Narrow" w:cs="Calibri"/>
                <w:noProof/>
                <w:color w:val="000000"/>
                <w:sz w:val="18"/>
                <w:szCs w:val="18"/>
              </w:rPr>
              <w:t>(</w:t>
            </w:r>
            <w:hyperlink w:anchor="_ENREF_82" w:tooltip="Wilson, 2017 #3" w:history="1">
              <w:r w:rsidR="00D726F6">
                <w:rPr>
                  <w:rFonts w:ascii="Arial Narrow" w:hAnsi="Arial Narrow" w:cs="Calibri"/>
                  <w:noProof/>
                  <w:color w:val="000000"/>
                  <w:sz w:val="18"/>
                  <w:szCs w:val="18"/>
                </w:rPr>
                <w:t>Wilson, J. C. et al. 2017b</w:t>
              </w:r>
            </w:hyperlink>
            <w:r>
              <w:rPr>
                <w:rFonts w:ascii="Arial Narrow" w:hAnsi="Arial Narrow" w:cs="Calibri"/>
                <w:noProof/>
                <w:color w:val="000000"/>
                <w:sz w:val="18"/>
                <w:szCs w:val="18"/>
              </w:rPr>
              <w:t>)</w:t>
            </w:r>
            <w:r>
              <w:rPr>
                <w:rFonts w:ascii="Arial Narrow" w:hAnsi="Arial Narrow" w:cs="Calibri"/>
                <w:color w:val="000000"/>
                <w:sz w:val="18"/>
                <w:szCs w:val="18"/>
              </w:rPr>
              <w:fldChar w:fldCharType="end"/>
            </w:r>
          </w:p>
          <w:p w14:paraId="6BF7B00D"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UK</w:t>
            </w:r>
          </w:p>
          <w:p w14:paraId="1829C674" w14:textId="77777777" w:rsidR="00BD440B" w:rsidRPr="00E3331A" w:rsidRDefault="00BD440B" w:rsidP="00BD440B">
            <w:pPr>
              <w:spacing w:after="0" w:line="240" w:lineRule="auto"/>
              <w:rPr>
                <w:rFonts w:ascii="Arial Narrow" w:hAnsi="Arial Narrow" w:cs="Calibri"/>
                <w:color w:val="000000"/>
                <w:sz w:val="18"/>
                <w:szCs w:val="18"/>
              </w:rPr>
            </w:pP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15AF20FE"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R O SC</w:t>
            </w:r>
          </w:p>
          <w:p w14:paraId="7A91635F"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NCC</w:t>
            </w:r>
          </w:p>
          <w:p w14:paraId="369E2F12"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IV</w:t>
            </w:r>
          </w:p>
          <w:p w14:paraId="6D808D3E"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Moderate</w:t>
            </w:r>
          </w:p>
        </w:tc>
        <w:tc>
          <w:tcPr>
            <w:tcW w:w="1337" w:type="pct"/>
            <w:tcBorders>
              <w:top w:val="single" w:sz="4" w:space="0" w:color="auto"/>
              <w:left w:val="single" w:sz="4" w:space="0" w:color="auto"/>
              <w:bottom w:val="single" w:sz="4" w:space="0" w:color="auto"/>
              <w:right w:val="single" w:sz="4" w:space="0" w:color="auto"/>
            </w:tcBorders>
            <w:shd w:val="clear" w:color="auto" w:fill="auto"/>
            <w:noWrap/>
          </w:tcPr>
          <w:p w14:paraId="77B77D34" w14:textId="77777777" w:rsidR="00BD440B" w:rsidRPr="00E3331A"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 xml:space="preserve">Data from a UK database CPRD on all patients 50 y and older who had GCA diagnosis and at least one prednisolone prescription within 1 month of diagnosis, 3 years medical history on the CPRD </w:t>
            </w:r>
          </w:p>
        </w:tc>
        <w:tc>
          <w:tcPr>
            <w:tcW w:w="1090" w:type="pct"/>
            <w:tcBorders>
              <w:top w:val="single" w:sz="4" w:space="0" w:color="auto"/>
              <w:left w:val="single" w:sz="4" w:space="0" w:color="auto"/>
              <w:bottom w:val="single" w:sz="4" w:space="0" w:color="auto"/>
              <w:right w:val="single" w:sz="4" w:space="0" w:color="auto"/>
            </w:tcBorders>
            <w:shd w:val="clear" w:color="auto" w:fill="auto"/>
            <w:noWrap/>
          </w:tcPr>
          <w:p w14:paraId="554B337E"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GCA n = 5011</w:t>
            </w:r>
          </w:p>
          <w:p w14:paraId="41034F80" w14:textId="77777777" w:rsidR="00BD440B" w:rsidRPr="00E3331A"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Controls (random matched comparison group) n = 5011</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370DBC77" w14:textId="77777777" w:rsidR="00BD440B" w:rsidRPr="00B811FC" w:rsidRDefault="00BD440B" w:rsidP="00BD440B">
            <w:pPr>
              <w:spacing w:after="0" w:line="240" w:lineRule="auto"/>
              <w:rPr>
                <w:rFonts w:ascii="Arial Narrow" w:hAnsi="Arial Narrow" w:cs="Calibri"/>
                <w:color w:val="000000"/>
                <w:sz w:val="18"/>
                <w:szCs w:val="18"/>
              </w:rPr>
            </w:pPr>
            <w:r w:rsidRPr="00B811FC">
              <w:rPr>
                <w:rFonts w:ascii="Arial Narrow" w:hAnsi="Arial Narrow" w:cs="Calibri"/>
                <w:color w:val="000000"/>
                <w:sz w:val="18"/>
                <w:szCs w:val="18"/>
              </w:rPr>
              <w:t>5 years</w:t>
            </w:r>
          </w:p>
          <w:p w14:paraId="2503E857" w14:textId="77777777" w:rsidR="00BD440B" w:rsidRPr="00B811FC" w:rsidRDefault="00BD440B" w:rsidP="00BD440B">
            <w:pPr>
              <w:spacing w:after="0" w:line="240" w:lineRule="auto"/>
              <w:rPr>
                <w:rFonts w:ascii="Arial Narrow" w:hAnsi="Arial Narrow" w:cs="Calibri"/>
                <w:color w:val="000000"/>
                <w:sz w:val="18"/>
                <w:szCs w:val="18"/>
              </w:rPr>
            </w:pPr>
            <w:r w:rsidRPr="00B811FC">
              <w:rPr>
                <w:rFonts w:ascii="Arial Narrow" w:hAnsi="Arial Narrow" w:cs="Calibri"/>
                <w:color w:val="000000"/>
                <w:sz w:val="18"/>
                <w:szCs w:val="18"/>
              </w:rPr>
              <w:t>Median duration of treatment for responders (range): 6 (2-60) mo</w:t>
            </w:r>
          </w:p>
          <w:p w14:paraId="21F5138B" w14:textId="77777777" w:rsidR="00BD440B" w:rsidRPr="00B811FC" w:rsidRDefault="00BD440B" w:rsidP="00BD440B">
            <w:pPr>
              <w:spacing w:after="0" w:line="240" w:lineRule="auto"/>
              <w:rPr>
                <w:rFonts w:ascii="Arial Narrow" w:hAnsi="Arial Narrow" w:cs="Calibri"/>
                <w:color w:val="000000"/>
                <w:sz w:val="18"/>
                <w:szCs w:val="18"/>
              </w:rPr>
            </w:pPr>
            <w:r w:rsidRPr="00B811FC">
              <w:rPr>
                <w:rFonts w:ascii="Arial Narrow" w:hAnsi="Arial Narrow" w:cs="Calibri"/>
                <w:color w:val="000000"/>
                <w:sz w:val="18"/>
                <w:szCs w:val="18"/>
              </w:rPr>
              <w:t>≥ 3 years</w:t>
            </w:r>
          </w:p>
          <w:p w14:paraId="51FB8F57" w14:textId="77777777" w:rsidR="00BD440B" w:rsidRPr="00E3331A" w:rsidRDefault="00BD440B" w:rsidP="00BD440B">
            <w:pPr>
              <w:spacing w:after="0" w:line="240" w:lineRule="auto"/>
              <w:rPr>
                <w:rFonts w:ascii="Arial Narrow" w:hAnsi="Arial Narrow" w:cs="Calibri"/>
                <w:color w:val="000000"/>
                <w:sz w:val="18"/>
                <w:szCs w:val="18"/>
              </w:rPr>
            </w:pPr>
            <w:r w:rsidRPr="00B811FC">
              <w:rPr>
                <w:rFonts w:ascii="Arial Narrow" w:hAnsi="Arial Narrow" w:cs="Calibri"/>
                <w:color w:val="000000"/>
                <w:sz w:val="18"/>
                <w:szCs w:val="18"/>
              </w:rPr>
              <w:t>Median prednisolone duration (IQR): cases 0.8 (1.9) y; controls 1.2 (2.1) y</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3AB6E043" w14:textId="77777777" w:rsidR="00BD440B" w:rsidRDefault="00BD440B" w:rsidP="00BD440B">
            <w:pPr>
              <w:tabs>
                <w:tab w:val="left" w:pos="2814"/>
              </w:tabs>
              <w:spacing w:after="0" w:line="240" w:lineRule="auto"/>
              <w:rPr>
                <w:rFonts w:ascii="Arial Narrow" w:hAnsi="Arial Narrow" w:cs="Calibri"/>
                <w:color w:val="000000"/>
                <w:sz w:val="18"/>
                <w:szCs w:val="18"/>
              </w:rPr>
            </w:pPr>
            <w:r>
              <w:rPr>
                <w:rFonts w:ascii="Arial Narrow" w:hAnsi="Arial Narrow" w:cs="Calibri"/>
                <w:color w:val="000000"/>
                <w:sz w:val="18"/>
                <w:szCs w:val="18"/>
              </w:rPr>
              <w:t>AEs</w:t>
            </w:r>
          </w:p>
          <w:p w14:paraId="14C63426" w14:textId="0786F017" w:rsidR="00BD440B" w:rsidRPr="00E3331A" w:rsidRDefault="00BD440B" w:rsidP="00BD440B">
            <w:pPr>
              <w:tabs>
                <w:tab w:val="left" w:pos="2814"/>
              </w:tabs>
              <w:spacing w:after="0" w:line="240" w:lineRule="auto"/>
              <w:rPr>
                <w:rFonts w:ascii="Arial Narrow" w:hAnsi="Arial Narrow" w:cs="Calibri"/>
                <w:color w:val="000000"/>
                <w:sz w:val="18"/>
                <w:szCs w:val="18"/>
              </w:rPr>
            </w:pPr>
            <w:r>
              <w:rPr>
                <w:rFonts w:ascii="Arial Narrow" w:hAnsi="Arial Narrow" w:cs="Calibri"/>
                <w:color w:val="000000"/>
                <w:sz w:val="18"/>
                <w:szCs w:val="18"/>
              </w:rPr>
              <w:t>Incid</w:t>
            </w:r>
            <w:r w:rsidR="007763A2">
              <w:rPr>
                <w:rFonts w:ascii="Arial Narrow" w:hAnsi="Arial Narrow" w:cs="Calibri"/>
                <w:color w:val="000000"/>
                <w:sz w:val="18"/>
                <w:szCs w:val="18"/>
              </w:rPr>
              <w:t>e</w:t>
            </w:r>
            <w:r>
              <w:rPr>
                <w:rFonts w:ascii="Arial Narrow" w:hAnsi="Arial Narrow" w:cs="Calibri"/>
                <w:color w:val="000000"/>
                <w:sz w:val="18"/>
                <w:szCs w:val="18"/>
              </w:rPr>
              <w:t>nce rates per age group</w:t>
            </w:r>
          </w:p>
        </w:tc>
      </w:tr>
      <w:tr w:rsidR="00BD440B" w:rsidRPr="00654DA8" w14:paraId="3B6F751B" w14:textId="77777777" w:rsidTr="002B0DA4">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B4B8664" w14:textId="77777777" w:rsidR="00BD440B" w:rsidRPr="00654DA8" w:rsidRDefault="00BD440B" w:rsidP="00BD440B">
            <w:pPr>
              <w:tabs>
                <w:tab w:val="left" w:pos="2814"/>
              </w:tabs>
              <w:spacing w:after="0" w:line="240" w:lineRule="auto"/>
              <w:rPr>
                <w:rFonts w:ascii="Arial Narrow" w:hAnsi="Arial Narrow" w:cs="Calibri"/>
                <w:b/>
                <w:color w:val="000000"/>
                <w:sz w:val="18"/>
                <w:szCs w:val="18"/>
              </w:rPr>
            </w:pPr>
            <w:r>
              <w:rPr>
                <w:rFonts w:ascii="Arial Narrow" w:hAnsi="Arial Narrow" w:cs="Calibri"/>
                <w:b/>
                <w:color w:val="000000"/>
                <w:sz w:val="18"/>
                <w:szCs w:val="18"/>
              </w:rPr>
              <w:t>Long-term safety data for intravenous immunoglobulin</w:t>
            </w:r>
            <w:r w:rsidRPr="00654DA8">
              <w:rPr>
                <w:rFonts w:ascii="Arial Narrow" w:hAnsi="Arial Narrow" w:cs="Calibri"/>
                <w:b/>
                <w:color w:val="000000"/>
                <w:sz w:val="18"/>
                <w:szCs w:val="18"/>
              </w:rPr>
              <w:t xml:space="preserve"> </w:t>
            </w:r>
          </w:p>
        </w:tc>
      </w:tr>
      <w:tr w:rsidR="00BD440B" w:rsidRPr="00E3331A" w14:paraId="437C5458" w14:textId="77777777" w:rsidTr="00BD440B">
        <w:trPr>
          <w:trHeight w:val="300"/>
        </w:trPr>
        <w:tc>
          <w:tcPr>
            <w:tcW w:w="444" w:type="pct"/>
            <w:tcBorders>
              <w:top w:val="single" w:sz="4" w:space="0" w:color="auto"/>
              <w:left w:val="single" w:sz="4" w:space="0" w:color="auto"/>
              <w:bottom w:val="single" w:sz="4" w:space="0" w:color="auto"/>
              <w:right w:val="single" w:sz="4" w:space="0" w:color="auto"/>
            </w:tcBorders>
            <w:shd w:val="clear" w:color="auto" w:fill="auto"/>
            <w:noWrap/>
          </w:tcPr>
          <w:p w14:paraId="3DEC714A" w14:textId="1617283C" w:rsidR="00BD440B" w:rsidRDefault="00B727D6"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Pr>
                <w:rFonts w:ascii="Arial Narrow" w:hAnsi="Arial Narrow" w:cs="Calibri"/>
                <w:color w:val="000000"/>
                <w:sz w:val="18"/>
                <w:szCs w:val="18"/>
              </w:rPr>
              <w:instrText xml:space="preserve"> ADDIN EN.CITE </w:instrText>
            </w:r>
            <w:r>
              <w:rPr>
                <w:rFonts w:ascii="Arial Narrow" w:hAnsi="Arial Narrow" w:cs="Calibri"/>
                <w:color w:val="000000"/>
                <w:sz w:val="18"/>
                <w:szCs w:val="18"/>
              </w:rPr>
              <w:fldChar w:fldCharType="begin">
                <w:fldData xml:space="preserve">PEVuZE5vdGU+PENpdGU+PEF1dGhvcj5XYWhlZWQ8L0F1dGhvcj48WWVhcj4yMDE5PC9ZZWFyPjxS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=
</w:fldData>
              </w:fldChar>
            </w:r>
            <w:r>
              <w:rPr>
                <w:rFonts w:ascii="Arial Narrow" w:hAnsi="Arial Narrow" w:cs="Calibri"/>
                <w:color w:val="000000"/>
                <w:sz w:val="18"/>
                <w:szCs w:val="18"/>
              </w:rPr>
              <w:instrText xml:space="preserve"> ADDIN EN.CITE.DATA </w:instrText>
            </w:r>
            <w:r>
              <w:rPr>
                <w:rFonts w:ascii="Arial Narrow" w:hAnsi="Arial Narrow" w:cs="Calibri"/>
                <w:color w:val="000000"/>
                <w:sz w:val="18"/>
                <w:szCs w:val="18"/>
              </w:rPr>
            </w:r>
            <w:r>
              <w:rPr>
                <w:rFonts w:ascii="Arial Narrow" w:hAnsi="Arial Narrow" w:cs="Calibri"/>
                <w:color w:val="000000"/>
                <w:sz w:val="18"/>
                <w:szCs w:val="18"/>
              </w:rPr>
              <w:fldChar w:fldCharType="end"/>
            </w:r>
            <w:r>
              <w:rPr>
                <w:rFonts w:ascii="Arial Narrow" w:hAnsi="Arial Narrow" w:cs="Calibri"/>
                <w:color w:val="000000"/>
                <w:sz w:val="18"/>
                <w:szCs w:val="18"/>
              </w:rPr>
            </w:r>
            <w:r>
              <w:rPr>
                <w:rFonts w:ascii="Arial Narrow" w:hAnsi="Arial Narrow" w:cs="Calibri"/>
                <w:color w:val="000000"/>
                <w:sz w:val="18"/>
                <w:szCs w:val="18"/>
              </w:rPr>
              <w:fldChar w:fldCharType="separate"/>
            </w:r>
            <w:r>
              <w:rPr>
                <w:rFonts w:ascii="Arial Narrow" w:hAnsi="Arial Narrow" w:cs="Calibri"/>
                <w:noProof/>
                <w:color w:val="000000"/>
                <w:sz w:val="18"/>
                <w:szCs w:val="18"/>
              </w:rPr>
              <w:t>(</w:t>
            </w:r>
            <w:hyperlink w:anchor="_ENREF_77" w:tooltip="Waheed, 2019 #14" w:history="1">
              <w:r w:rsidR="00D726F6">
                <w:rPr>
                  <w:rFonts w:ascii="Arial Narrow" w:hAnsi="Arial Narrow" w:cs="Calibri"/>
                  <w:noProof/>
                  <w:color w:val="000000"/>
                  <w:sz w:val="18"/>
                  <w:szCs w:val="18"/>
                </w:rPr>
                <w:t>Waheed et al. 2019</w:t>
              </w:r>
            </w:hyperlink>
            <w:r>
              <w:rPr>
                <w:rFonts w:ascii="Arial Narrow" w:hAnsi="Arial Narrow" w:cs="Calibri"/>
                <w:noProof/>
                <w:color w:val="000000"/>
                <w:sz w:val="18"/>
                <w:szCs w:val="18"/>
              </w:rPr>
              <w:t>)</w:t>
            </w:r>
            <w:r>
              <w:rPr>
                <w:rFonts w:ascii="Arial Narrow" w:hAnsi="Arial Narrow" w:cs="Calibri"/>
                <w:color w:val="000000"/>
                <w:sz w:val="18"/>
                <w:szCs w:val="18"/>
              </w:rPr>
              <w:fldChar w:fldCharType="end"/>
            </w:r>
          </w:p>
          <w:p w14:paraId="32C2ED9D"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US</w:t>
            </w:r>
          </w:p>
          <w:p w14:paraId="7B226FAE" w14:textId="77777777" w:rsidR="00BD440B" w:rsidRPr="00E3331A"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 xml:space="preserve"> </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732369A2"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R O MC</w:t>
            </w:r>
          </w:p>
          <w:p w14:paraId="30985CC5"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IV</w:t>
            </w:r>
          </w:p>
          <w:p w14:paraId="602BC137" w14:textId="77777777" w:rsidR="00BD440B" w:rsidRPr="00E3331A"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Moderate</w:t>
            </w:r>
          </w:p>
        </w:tc>
        <w:tc>
          <w:tcPr>
            <w:tcW w:w="1337" w:type="pct"/>
            <w:tcBorders>
              <w:top w:val="single" w:sz="4" w:space="0" w:color="auto"/>
              <w:left w:val="single" w:sz="4" w:space="0" w:color="auto"/>
              <w:bottom w:val="single" w:sz="4" w:space="0" w:color="auto"/>
              <w:right w:val="single" w:sz="4" w:space="0" w:color="auto"/>
            </w:tcBorders>
            <w:shd w:val="clear" w:color="auto" w:fill="auto"/>
            <w:noWrap/>
          </w:tcPr>
          <w:p w14:paraId="09A0380C"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Database provided by a infusion provider company; infusions provided in homes or pharmaceutical centres (outpatient setting); p</w:t>
            </w:r>
            <w:r w:rsidRPr="00AA4950">
              <w:rPr>
                <w:rFonts w:ascii="Arial Narrow" w:hAnsi="Arial Narrow" w:cs="Calibri"/>
                <w:color w:val="000000"/>
                <w:sz w:val="18"/>
                <w:szCs w:val="18"/>
              </w:rPr>
              <w:t>atients with neuromuscular</w:t>
            </w:r>
            <w:r>
              <w:rPr>
                <w:rFonts w:ascii="Arial Narrow" w:hAnsi="Arial Narrow" w:cs="Calibri"/>
                <w:color w:val="000000"/>
                <w:sz w:val="18"/>
                <w:szCs w:val="18"/>
              </w:rPr>
              <w:t xml:space="preserve"> disorders </w:t>
            </w:r>
          </w:p>
          <w:p w14:paraId="6292C866"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 xml:space="preserve">All patients : n = 438 </w:t>
            </w:r>
          </w:p>
          <w:p w14:paraId="341ED90E"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CIDP = 221</w:t>
            </w:r>
          </w:p>
          <w:p w14:paraId="1E79CC6C"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Infusions all: 5867</w:t>
            </w:r>
          </w:p>
          <w:p w14:paraId="41A41903" w14:textId="77777777" w:rsidR="00BD440B" w:rsidRPr="00E3331A"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Infusions CIDP: 3256</w:t>
            </w:r>
          </w:p>
        </w:tc>
        <w:tc>
          <w:tcPr>
            <w:tcW w:w="1090" w:type="pct"/>
            <w:tcBorders>
              <w:top w:val="single" w:sz="4" w:space="0" w:color="auto"/>
              <w:left w:val="single" w:sz="4" w:space="0" w:color="auto"/>
              <w:bottom w:val="single" w:sz="4" w:space="0" w:color="auto"/>
              <w:right w:val="single" w:sz="4" w:space="0" w:color="auto"/>
            </w:tcBorders>
            <w:shd w:val="clear" w:color="auto" w:fill="auto"/>
            <w:noWrap/>
          </w:tcPr>
          <w:p w14:paraId="4F605065" w14:textId="77777777" w:rsidR="00BD440B" w:rsidRPr="00E3331A"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IVIg</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3CF91765"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Dose analysis</w:t>
            </w:r>
          </w:p>
          <w:p w14:paraId="3B035C54" w14:textId="77777777" w:rsidR="00BD440B"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Number of treatment analysis</w:t>
            </w:r>
          </w:p>
          <w:p w14:paraId="0AF9C5CE" w14:textId="77777777" w:rsidR="00BD440B" w:rsidRPr="00E3331A" w:rsidRDefault="00BD440B" w:rsidP="00BD440B">
            <w:pPr>
              <w:spacing w:after="0" w:line="240" w:lineRule="auto"/>
              <w:rPr>
                <w:rFonts w:ascii="Arial Narrow" w:hAnsi="Arial Narrow" w:cs="Calibri"/>
                <w:color w:val="000000"/>
                <w:sz w:val="18"/>
                <w:szCs w:val="18"/>
              </w:rPr>
            </w:pPr>
            <w:r>
              <w:rPr>
                <w:rFonts w:ascii="Arial Narrow" w:hAnsi="Arial Narrow" w:cs="Calibri"/>
                <w:color w:val="000000"/>
                <w:sz w:val="18"/>
                <w:szCs w:val="18"/>
              </w:rPr>
              <w:t>Median follow-up (IQR): 21 (7-27) weeks</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2B2627A9" w14:textId="77777777" w:rsidR="00BD440B" w:rsidRDefault="00BD440B" w:rsidP="00BD440B">
            <w:pPr>
              <w:tabs>
                <w:tab w:val="left" w:pos="2814"/>
              </w:tabs>
              <w:spacing w:after="0" w:line="240" w:lineRule="auto"/>
              <w:rPr>
                <w:rFonts w:ascii="Arial Narrow" w:hAnsi="Arial Narrow" w:cs="Calibri"/>
                <w:color w:val="000000"/>
                <w:sz w:val="18"/>
                <w:szCs w:val="18"/>
              </w:rPr>
            </w:pPr>
            <w:r>
              <w:rPr>
                <w:rFonts w:ascii="Arial Narrow" w:hAnsi="Arial Narrow" w:cs="Calibri"/>
                <w:color w:val="000000"/>
                <w:sz w:val="18"/>
                <w:szCs w:val="18"/>
              </w:rPr>
              <w:t>AEs</w:t>
            </w:r>
          </w:p>
          <w:p w14:paraId="71CC3E3B" w14:textId="77777777" w:rsidR="00BD440B" w:rsidRPr="00E3331A" w:rsidRDefault="00BD440B" w:rsidP="00BD440B">
            <w:pPr>
              <w:tabs>
                <w:tab w:val="left" w:pos="2814"/>
              </w:tabs>
              <w:spacing w:after="0" w:line="240" w:lineRule="auto"/>
              <w:rPr>
                <w:rFonts w:ascii="Arial Narrow" w:hAnsi="Arial Narrow" w:cs="Calibri"/>
                <w:color w:val="000000"/>
                <w:sz w:val="18"/>
                <w:szCs w:val="18"/>
              </w:rPr>
            </w:pPr>
            <w:r>
              <w:rPr>
                <w:rFonts w:ascii="Arial Narrow" w:hAnsi="Arial Narrow" w:cs="Calibri"/>
                <w:color w:val="000000"/>
                <w:sz w:val="18"/>
                <w:szCs w:val="18"/>
              </w:rPr>
              <w:t>SAEs</w:t>
            </w:r>
          </w:p>
        </w:tc>
      </w:tr>
    </w:tbl>
    <w:p w14:paraId="13BC9800" w14:textId="483C3630" w:rsidR="00BD440B" w:rsidRPr="00E3331A" w:rsidRDefault="00BD440B" w:rsidP="00BD440B">
      <w:pPr>
        <w:spacing w:after="60" w:line="240" w:lineRule="auto"/>
      </w:pPr>
      <w:r>
        <w:rPr>
          <w:rFonts w:ascii="Arial Narrow" w:hAnsi="Arial Narrow" w:cs="Calibri"/>
          <w:color w:val="000000"/>
          <w:sz w:val="18"/>
          <w:szCs w:val="18"/>
        </w:rPr>
        <w:t xml:space="preserve">Abbreviations: AE = adverse event; CIDP = chronic inflammatory demyelinating polyradiculoneuropathy; CPRD = Clinical Practice Research Datalink; </w:t>
      </w:r>
      <w:r w:rsidRPr="00E3331A">
        <w:rPr>
          <w:rFonts w:ascii="Arial Narrow" w:hAnsi="Arial Narrow" w:cs="Calibri"/>
          <w:color w:val="000000"/>
          <w:sz w:val="18"/>
          <w:szCs w:val="18"/>
        </w:rPr>
        <w:t xml:space="preserve">EFNS/PNS: European Federation of Neurological Societies/Peripheral Nerve Society; </w:t>
      </w:r>
      <w:r>
        <w:rPr>
          <w:rFonts w:ascii="Arial Narrow" w:hAnsi="Arial Narrow" w:cs="Calibri"/>
          <w:color w:val="000000"/>
          <w:sz w:val="18"/>
          <w:szCs w:val="18"/>
        </w:rPr>
        <w:t>GC = glucocorticoids; GCA = giant cell arteritis; GBS = Guillain Barre syndrome; IQR = interquartile range; IVIg = intravenous immunoglobulin; IVMP = intravenous methyl prednisolone; MC = mulitcentre;  MG = myasthenia gravis; MRC = medical Research Council sum score; NCC = nested case-control study; O = observational study; PE = plasma exchange; R = retrospective study; SAE = serious adverse ev</w:t>
      </w:r>
      <w:r w:rsidR="00A301B9">
        <w:rPr>
          <w:rFonts w:ascii="Arial Narrow" w:hAnsi="Arial Narrow" w:cs="Calibri"/>
          <w:color w:val="000000"/>
          <w:sz w:val="18"/>
          <w:szCs w:val="18"/>
        </w:rPr>
        <w:t>e</w:t>
      </w:r>
      <w:r>
        <w:rPr>
          <w:rFonts w:ascii="Arial Narrow" w:hAnsi="Arial Narrow" w:cs="Calibri"/>
          <w:color w:val="000000"/>
          <w:sz w:val="18"/>
          <w:szCs w:val="18"/>
        </w:rPr>
        <w:t>nt; SC = single centre; SD = standard deviation; SLE = systemic lupus erythematos</w:t>
      </w:r>
      <w:r w:rsidR="00A301B9">
        <w:rPr>
          <w:rFonts w:ascii="Arial Narrow" w:hAnsi="Arial Narrow" w:cs="Calibri"/>
          <w:color w:val="000000"/>
          <w:sz w:val="18"/>
          <w:szCs w:val="18"/>
        </w:rPr>
        <w:t>u</w:t>
      </w:r>
      <w:r>
        <w:rPr>
          <w:rFonts w:ascii="Arial Narrow" w:hAnsi="Arial Narrow" w:cs="Calibri"/>
          <w:color w:val="000000"/>
          <w:sz w:val="18"/>
          <w:szCs w:val="18"/>
        </w:rPr>
        <w:t xml:space="preserve">s; TTP/HUS = thrombotic thrombocytopenic purpura/haemolytic uremic syndrome; </w:t>
      </w:r>
    </w:p>
    <w:p w14:paraId="451FFE48" w14:textId="77777777" w:rsidR="00BD440B" w:rsidRPr="00E3331A" w:rsidRDefault="00BD440B" w:rsidP="00BD440B">
      <w:pPr>
        <w:pStyle w:val="Tablenotes0"/>
      </w:pPr>
    </w:p>
    <w:p w14:paraId="776AF887" w14:textId="77777777" w:rsidR="00BD440B" w:rsidRPr="00E3331A" w:rsidRDefault="00BD440B" w:rsidP="00BD440B">
      <w:pPr>
        <w:pStyle w:val="Tablenotes0"/>
        <w:sectPr w:rsidR="00BD440B" w:rsidRPr="00E3331A" w:rsidSect="00D3526F">
          <w:footerReference w:type="even" r:id="rId56"/>
          <w:pgSz w:w="16838" w:h="11906" w:orient="landscape"/>
          <w:pgMar w:top="1440" w:right="851" w:bottom="1440" w:left="851" w:header="720" w:footer="720" w:gutter="0"/>
          <w:paperSrc w:first="7" w:other="7"/>
          <w:cols w:space="720"/>
        </w:sectPr>
      </w:pPr>
    </w:p>
    <w:p w14:paraId="5DCD5438" w14:textId="77777777" w:rsidR="007A7960" w:rsidRPr="00E3331A" w:rsidRDefault="00193B87" w:rsidP="00DF343F">
      <w:pPr>
        <w:pStyle w:val="Heading1"/>
        <w:jc w:val="both"/>
      </w:pPr>
      <w:bookmarkStart w:id="519" w:name="_Ref364237293"/>
      <w:bookmarkStart w:id="520" w:name="_Ref363131580"/>
      <w:bookmarkStart w:id="521" w:name="_Toc379118102"/>
      <w:bookmarkStart w:id="522" w:name="_Toc381796506"/>
      <w:bookmarkStart w:id="523" w:name="_Toc69305619"/>
      <w:r w:rsidRPr="00E3331A">
        <w:t xml:space="preserve">Appendix </w:t>
      </w:r>
      <w:bookmarkEnd w:id="519"/>
      <w:r w:rsidR="00BD440B">
        <w:rPr>
          <w:noProof/>
        </w:rPr>
        <w:t>D</w:t>
      </w:r>
      <w:r w:rsidR="00A40011" w:rsidRPr="00E3331A">
        <w:tab/>
      </w:r>
      <w:bookmarkEnd w:id="516"/>
      <w:bookmarkEnd w:id="520"/>
      <w:bookmarkEnd w:id="521"/>
      <w:bookmarkEnd w:id="522"/>
      <w:r w:rsidR="00591A6D" w:rsidRPr="00E3331A">
        <w:t xml:space="preserve">Excluded </w:t>
      </w:r>
      <w:r w:rsidR="0077418B" w:rsidRPr="00E3331A">
        <w:t>Studies</w:t>
      </w:r>
      <w:bookmarkEnd w:id="523"/>
    </w:p>
    <w:p w14:paraId="2924C7E1" w14:textId="19FBA6DF" w:rsidR="00BD440B" w:rsidRPr="00E3331A" w:rsidRDefault="00BD440B" w:rsidP="00BD440B">
      <w:pPr>
        <w:pStyle w:val="Heading2"/>
      </w:pPr>
      <w:bookmarkStart w:id="524" w:name="_Toc69305620"/>
      <w:bookmarkEnd w:id="517"/>
      <w:r>
        <w:t xml:space="preserve">Studies assessing the safety and effectiveness of Ig for </w:t>
      </w:r>
      <w:r w:rsidRPr="00E3331A">
        <w:t>CIDP excluded:</w:t>
      </w:r>
      <w:bookmarkEnd w:id="524"/>
    </w:p>
    <w:p w14:paraId="0314CCEC" w14:textId="77777777" w:rsidR="00BD440B" w:rsidRPr="00E3331A" w:rsidRDefault="00BD440B" w:rsidP="00BD440B">
      <w:pPr>
        <w:rPr>
          <w:rFonts w:cs="Times New Roman"/>
          <w:b/>
        </w:rPr>
      </w:pPr>
      <w:r>
        <w:rPr>
          <w:b/>
        </w:rPr>
        <w:t xml:space="preserve">Randomised controlled trials </w:t>
      </w:r>
      <w:r w:rsidRPr="00E3331A">
        <w:rPr>
          <w:b/>
        </w:rPr>
        <w:t xml:space="preserve">excluded due to </w:t>
      </w:r>
      <w:r>
        <w:rPr>
          <w:b/>
        </w:rPr>
        <w:t>population not meeting inclusion criteria, outcomes not of interest, or data duplicated elsewhere</w:t>
      </w:r>
    </w:p>
    <w:p w14:paraId="50062677" w14:textId="77777777" w:rsidR="00BD440B" w:rsidRDefault="00BD440B" w:rsidP="00BD440B">
      <w:pPr>
        <w:autoSpaceDE w:val="0"/>
        <w:autoSpaceDN w:val="0"/>
        <w:adjustRightInd w:val="0"/>
        <w:spacing w:after="0" w:line="240" w:lineRule="auto"/>
        <w:rPr>
          <w:rFonts w:ascii="Segoe UI" w:hAnsi="Segoe UI" w:cs="Segoe UI"/>
          <w:sz w:val="18"/>
          <w:szCs w:val="18"/>
        </w:rPr>
      </w:pPr>
      <w:r w:rsidRPr="00EC0ED6">
        <w:rPr>
          <w:rFonts w:ascii="Segoe UI" w:hAnsi="Segoe UI" w:cs="Segoe UI"/>
          <w:sz w:val="18"/>
          <w:szCs w:val="18"/>
        </w:rPr>
        <w:t>Breiner, A, Barnett Tapia, C, Lovblom, LE, Perkins, BA, Katzberg, HD &amp; Bril, V 2019, 'Randomized, controlled crossover study of IVIg for demyelinating polyneuropathy and diabetes', Neurol Neuroimmunol Neuroinflamm, vol. 6, no. 5, Sep.</w:t>
      </w:r>
    </w:p>
    <w:p w14:paraId="16FE8DEF" w14:textId="77777777" w:rsidR="00BD440B" w:rsidRPr="00EC0ED6" w:rsidRDefault="00BD440B" w:rsidP="00BD440B">
      <w:pPr>
        <w:autoSpaceDE w:val="0"/>
        <w:autoSpaceDN w:val="0"/>
        <w:adjustRightInd w:val="0"/>
        <w:spacing w:after="0" w:line="240" w:lineRule="auto"/>
        <w:rPr>
          <w:rFonts w:ascii="Segoe UI" w:hAnsi="Segoe UI" w:cs="Segoe UI"/>
          <w:sz w:val="18"/>
          <w:szCs w:val="18"/>
        </w:rPr>
      </w:pPr>
    </w:p>
    <w:p w14:paraId="3E97C71E" w14:textId="77777777" w:rsidR="00BD440B" w:rsidRDefault="00BD440B" w:rsidP="00BD440B">
      <w:pPr>
        <w:autoSpaceDE w:val="0"/>
        <w:autoSpaceDN w:val="0"/>
        <w:adjustRightInd w:val="0"/>
        <w:spacing w:after="0" w:line="240" w:lineRule="auto"/>
        <w:rPr>
          <w:rFonts w:ascii="Segoe UI" w:hAnsi="Segoe UI" w:cs="Segoe UI"/>
          <w:sz w:val="18"/>
          <w:szCs w:val="18"/>
        </w:rPr>
      </w:pPr>
      <w:r w:rsidRPr="00EC0ED6">
        <w:rPr>
          <w:rFonts w:ascii="Segoe UI" w:hAnsi="Segoe UI" w:cs="Segoe UI"/>
          <w:sz w:val="18"/>
          <w:szCs w:val="18"/>
        </w:rPr>
        <w:t>Keller, CW, Quast, I, Dalakas, MC &amp; Lünemann, JD 2019, 'IVIG efficacy in CIDP patients is not associated with terminal complement inhibition', Journal of Neuroimmunology, vol. 330, pp. 23-27.</w:t>
      </w:r>
    </w:p>
    <w:p w14:paraId="5FBE93B4" w14:textId="77777777" w:rsidR="00BD440B" w:rsidRPr="00EC0ED6" w:rsidRDefault="00BD440B" w:rsidP="00BD440B">
      <w:pPr>
        <w:autoSpaceDE w:val="0"/>
        <w:autoSpaceDN w:val="0"/>
        <w:adjustRightInd w:val="0"/>
        <w:spacing w:after="0" w:line="240" w:lineRule="auto"/>
        <w:rPr>
          <w:rFonts w:ascii="Segoe UI" w:hAnsi="Segoe UI" w:cs="Segoe UI"/>
          <w:sz w:val="18"/>
          <w:szCs w:val="18"/>
        </w:rPr>
      </w:pPr>
    </w:p>
    <w:p w14:paraId="2D353702" w14:textId="77777777" w:rsidR="00BD440B" w:rsidRDefault="00BD440B" w:rsidP="00BD440B">
      <w:pPr>
        <w:autoSpaceDE w:val="0"/>
        <w:autoSpaceDN w:val="0"/>
        <w:adjustRightInd w:val="0"/>
        <w:spacing w:after="0" w:line="240" w:lineRule="auto"/>
        <w:rPr>
          <w:rFonts w:ascii="Segoe UI" w:hAnsi="Segoe UI" w:cs="Segoe UI"/>
          <w:sz w:val="18"/>
          <w:szCs w:val="18"/>
        </w:rPr>
      </w:pPr>
      <w:r w:rsidRPr="00EC0ED6">
        <w:rPr>
          <w:rFonts w:ascii="Segoe UI" w:hAnsi="Segoe UI" w:cs="Segoe UI"/>
          <w:sz w:val="18"/>
          <w:szCs w:val="18"/>
        </w:rPr>
        <w:t>Lamb, YN, Syed, YY &amp; Dhillon, S 2019, 'Immune Globulin Subcutaneous (Human) 20% (Hizentra®): A Review in Chronic Inflammatory Demyelinating Polyneuropathy', CNS Drugs, vol. 33, no. 8, pp. 831-838.</w:t>
      </w:r>
    </w:p>
    <w:p w14:paraId="6D8C20AA" w14:textId="77777777" w:rsidR="00BD440B" w:rsidRPr="00EC0ED6" w:rsidRDefault="00BD440B" w:rsidP="00BD440B">
      <w:pPr>
        <w:autoSpaceDE w:val="0"/>
        <w:autoSpaceDN w:val="0"/>
        <w:adjustRightInd w:val="0"/>
        <w:spacing w:after="0" w:line="240" w:lineRule="auto"/>
        <w:rPr>
          <w:rFonts w:ascii="Segoe UI" w:hAnsi="Segoe UI" w:cs="Segoe UI"/>
          <w:sz w:val="18"/>
          <w:szCs w:val="18"/>
        </w:rPr>
      </w:pPr>
    </w:p>
    <w:p w14:paraId="33CE0AE7" w14:textId="77777777" w:rsidR="00BD440B" w:rsidRPr="00EC0ED6" w:rsidRDefault="00BD440B" w:rsidP="00BD440B">
      <w:pPr>
        <w:autoSpaceDE w:val="0"/>
        <w:autoSpaceDN w:val="0"/>
        <w:adjustRightInd w:val="0"/>
        <w:spacing w:after="0" w:line="240" w:lineRule="auto"/>
        <w:rPr>
          <w:rFonts w:ascii="Segoe UI" w:hAnsi="Segoe UI" w:cs="Segoe UI"/>
          <w:sz w:val="18"/>
          <w:szCs w:val="18"/>
        </w:rPr>
      </w:pPr>
      <w:r w:rsidRPr="00EC0ED6">
        <w:rPr>
          <w:rFonts w:ascii="Segoe UI" w:hAnsi="Segoe UI" w:cs="Segoe UI"/>
          <w:sz w:val="18"/>
          <w:szCs w:val="18"/>
        </w:rPr>
        <w:t>Merkies, ISJ, van Schaik, IN, Léger, JM, Bril, V, van Geloven, N, Hartung, HP, Lewis, RA, Sobue, G, Lawo, JP, Durn, BL, Cornblath, DR, De Bleecker, JL, Sommer, C, Robberecht, W, Saarela, M, Kamienowski, J, Stelmasiak, Z, Tackenberg, B &amp; Mielke, O 2019, 'Efficacy and safety of IVIG in CIDP: Combined data of the PRIMA and PATH studies', J Peripher Nerv Syst, vol. 24, no. 1, Mar, pp. 48-55.</w:t>
      </w:r>
    </w:p>
    <w:p w14:paraId="0284FE30" w14:textId="77777777" w:rsidR="00BD440B" w:rsidRDefault="00BD440B" w:rsidP="00BD440B">
      <w:pPr>
        <w:rPr>
          <w:b/>
        </w:rPr>
      </w:pPr>
    </w:p>
    <w:p w14:paraId="431828BE" w14:textId="77777777" w:rsidR="00BD440B" w:rsidRPr="00EC0ED6" w:rsidRDefault="00BD440B" w:rsidP="00BD440B">
      <w:pPr>
        <w:rPr>
          <w:b/>
        </w:rPr>
      </w:pPr>
      <w:r w:rsidRPr="00EC0ED6">
        <w:rPr>
          <w:b/>
        </w:rPr>
        <w:t>Systematic Reviews excluded due to outcomes outside the scope of this review, or were included in the original DCAR 1564 Review</w:t>
      </w:r>
    </w:p>
    <w:p w14:paraId="10DFC870" w14:textId="77777777" w:rsidR="00BD440B" w:rsidRDefault="00BD440B" w:rsidP="00BD440B">
      <w:pPr>
        <w:autoSpaceDE w:val="0"/>
        <w:autoSpaceDN w:val="0"/>
        <w:adjustRightInd w:val="0"/>
        <w:spacing w:after="0" w:line="240" w:lineRule="auto"/>
        <w:rPr>
          <w:rFonts w:ascii="Segoe UI" w:hAnsi="Segoe UI" w:cs="Segoe UI"/>
          <w:sz w:val="18"/>
          <w:szCs w:val="18"/>
        </w:rPr>
      </w:pPr>
      <w:r>
        <w:rPr>
          <w:rFonts w:ascii="Segoe UI" w:hAnsi="Segoe UI" w:cs="Segoe UI"/>
          <w:sz w:val="18"/>
          <w:szCs w:val="18"/>
        </w:rPr>
        <w:t xml:space="preserve">Michaelides, A, Hadden, RDM, Sarrigiannis, PG, Hadjivassiliou, M &amp; Zis, P 2019, 'Pain in Chronic Inflammatory Demyelinating Polyradiculoneuropathy: A Systematic Review and Meta-Analysis', </w:t>
      </w:r>
      <w:r>
        <w:rPr>
          <w:rFonts w:ascii="Segoe UI" w:hAnsi="Segoe UI" w:cs="Segoe UI"/>
          <w:i/>
          <w:iCs/>
          <w:sz w:val="18"/>
          <w:szCs w:val="18"/>
        </w:rPr>
        <w:t>Pain and Therapy</w:t>
      </w:r>
      <w:r>
        <w:rPr>
          <w:rFonts w:ascii="Segoe UI" w:hAnsi="Segoe UI" w:cs="Segoe UI"/>
          <w:sz w:val="18"/>
          <w:szCs w:val="18"/>
        </w:rPr>
        <w:t>, vol. 8, no. 2, pp. 177-185.</w:t>
      </w:r>
    </w:p>
    <w:p w14:paraId="741918C5" w14:textId="77777777" w:rsidR="00BD440B" w:rsidRDefault="00BD440B" w:rsidP="00BD440B">
      <w:pPr>
        <w:autoSpaceDE w:val="0"/>
        <w:autoSpaceDN w:val="0"/>
        <w:adjustRightInd w:val="0"/>
        <w:spacing w:after="0" w:line="240" w:lineRule="auto"/>
        <w:rPr>
          <w:rFonts w:ascii="Segoe UI" w:hAnsi="Segoe UI" w:cs="Segoe UI"/>
          <w:sz w:val="18"/>
          <w:szCs w:val="18"/>
        </w:rPr>
      </w:pPr>
    </w:p>
    <w:p w14:paraId="01D84497" w14:textId="77777777" w:rsidR="00BD440B" w:rsidRDefault="00BD440B" w:rsidP="00BD440B">
      <w:pPr>
        <w:autoSpaceDE w:val="0"/>
        <w:autoSpaceDN w:val="0"/>
        <w:adjustRightInd w:val="0"/>
        <w:spacing w:after="0" w:line="240" w:lineRule="auto"/>
        <w:rPr>
          <w:rFonts w:ascii="Segoe UI" w:hAnsi="Segoe UI" w:cs="Segoe UI"/>
          <w:sz w:val="18"/>
          <w:szCs w:val="18"/>
        </w:rPr>
      </w:pPr>
      <w:r>
        <w:rPr>
          <w:rFonts w:ascii="Segoe UI" w:hAnsi="Segoe UI" w:cs="Segoe UI"/>
          <w:sz w:val="18"/>
          <w:szCs w:val="18"/>
        </w:rPr>
        <w:t xml:space="preserve">Oaklander, AL &amp; Gimigliano, F 2019, 'Are the treatments for chronic inflammatory demyelinating polyradiculoneuropathy (CIDP) effective and safe?-A Cochrane Overview summary with commentary', </w:t>
      </w:r>
      <w:r>
        <w:rPr>
          <w:rFonts w:ascii="Segoe UI" w:hAnsi="Segoe UI" w:cs="Segoe UI"/>
          <w:i/>
          <w:iCs/>
          <w:sz w:val="18"/>
          <w:szCs w:val="18"/>
        </w:rPr>
        <w:t>NeuroRehabilitation</w:t>
      </w:r>
      <w:r>
        <w:rPr>
          <w:rFonts w:ascii="Segoe UI" w:hAnsi="Segoe UI" w:cs="Segoe UI"/>
          <w:sz w:val="18"/>
          <w:szCs w:val="18"/>
        </w:rPr>
        <w:t>, vol. 44, no. 4, pp. 609-612.</w:t>
      </w:r>
    </w:p>
    <w:p w14:paraId="60CC149E" w14:textId="77777777" w:rsidR="00BD440B" w:rsidRDefault="00BD440B" w:rsidP="00BD440B">
      <w:pPr>
        <w:autoSpaceDE w:val="0"/>
        <w:autoSpaceDN w:val="0"/>
        <w:adjustRightInd w:val="0"/>
        <w:spacing w:after="0" w:line="240" w:lineRule="auto"/>
        <w:rPr>
          <w:rFonts w:ascii="Segoe UI" w:hAnsi="Segoe UI" w:cs="Segoe UI"/>
          <w:sz w:val="18"/>
          <w:szCs w:val="18"/>
        </w:rPr>
      </w:pPr>
    </w:p>
    <w:p w14:paraId="103FE159" w14:textId="77777777" w:rsidR="00BD440B" w:rsidRDefault="00BD440B" w:rsidP="00BD440B">
      <w:pPr>
        <w:autoSpaceDE w:val="0"/>
        <w:autoSpaceDN w:val="0"/>
        <w:adjustRightInd w:val="0"/>
        <w:spacing w:after="0" w:line="240" w:lineRule="auto"/>
        <w:rPr>
          <w:rFonts w:ascii="Segoe UI" w:hAnsi="Segoe UI" w:cs="Segoe UI"/>
          <w:sz w:val="18"/>
          <w:szCs w:val="18"/>
        </w:rPr>
      </w:pPr>
      <w:r>
        <w:rPr>
          <w:rFonts w:ascii="Segoe UI" w:hAnsi="Segoe UI" w:cs="Segoe UI"/>
          <w:sz w:val="18"/>
          <w:szCs w:val="18"/>
        </w:rPr>
        <w:t xml:space="preserve">Querol, L, Crabtree, M, Herepath, M, Priedane, E, Viejo Viejo, I, Agush, S &amp; Sommerer, P 2020, 'Systematic literature review of burden of illness in chronic inflammatory demyelinating polyneuropathy (CIDP)', </w:t>
      </w:r>
      <w:r>
        <w:rPr>
          <w:rFonts w:ascii="Segoe UI" w:hAnsi="Segoe UI" w:cs="Segoe UI"/>
          <w:i/>
          <w:iCs/>
          <w:sz w:val="18"/>
          <w:szCs w:val="18"/>
        </w:rPr>
        <w:t>Journal of Neurology</w:t>
      </w:r>
      <w:r>
        <w:rPr>
          <w:rFonts w:ascii="Segoe UI" w:hAnsi="Segoe UI" w:cs="Segoe UI"/>
          <w:sz w:val="18"/>
          <w:szCs w:val="18"/>
        </w:rPr>
        <w:t>.</w:t>
      </w:r>
    </w:p>
    <w:p w14:paraId="7DB4C5AE" w14:textId="77777777" w:rsidR="00BD440B" w:rsidRDefault="00BD440B" w:rsidP="00BD440B">
      <w:pPr>
        <w:autoSpaceDE w:val="0"/>
        <w:autoSpaceDN w:val="0"/>
        <w:adjustRightInd w:val="0"/>
        <w:spacing w:after="0" w:line="240" w:lineRule="auto"/>
        <w:rPr>
          <w:rFonts w:ascii="Segoe UI" w:hAnsi="Segoe UI" w:cs="Segoe UI"/>
          <w:sz w:val="18"/>
          <w:szCs w:val="18"/>
        </w:rPr>
      </w:pPr>
    </w:p>
    <w:p w14:paraId="1B10A6D0" w14:textId="77777777" w:rsidR="00BD440B" w:rsidRDefault="00BD440B" w:rsidP="00BD440B"/>
    <w:p w14:paraId="68DC441D" w14:textId="77777777" w:rsidR="001341F5" w:rsidRDefault="001341F5" w:rsidP="003840DD">
      <w:pPr>
        <w:rPr>
          <w:rFonts w:eastAsia="Calibri"/>
          <w:lang w:eastAsia="en-US"/>
        </w:rPr>
      </w:pPr>
      <w:r w:rsidRPr="00E3331A">
        <w:rPr>
          <w:rFonts w:eastAsia="Calibri"/>
          <w:lang w:eastAsia="en-US"/>
        </w:rPr>
        <w:br w:type="page"/>
      </w:r>
    </w:p>
    <w:p w14:paraId="652E0278" w14:textId="77777777" w:rsidR="00F6383E" w:rsidRDefault="00F6383E" w:rsidP="00F6383E">
      <w:pPr>
        <w:pStyle w:val="Heading1"/>
        <w:rPr>
          <w:rFonts w:eastAsia="Calibri"/>
          <w:lang w:eastAsia="en-US"/>
        </w:rPr>
      </w:pPr>
      <w:bookmarkStart w:id="525" w:name="_Toc69305621"/>
      <w:r>
        <w:rPr>
          <w:rFonts w:eastAsia="Calibri"/>
          <w:lang w:eastAsia="en-US"/>
        </w:rPr>
        <w:t xml:space="preserve">Appendix </w:t>
      </w:r>
      <w:r w:rsidR="00BD440B">
        <w:rPr>
          <w:rFonts w:eastAsia="Calibri"/>
          <w:lang w:eastAsia="en-US"/>
        </w:rPr>
        <w:t>E</w:t>
      </w:r>
      <w:r>
        <w:rPr>
          <w:rFonts w:eastAsia="Calibri"/>
          <w:lang w:eastAsia="en-US"/>
        </w:rPr>
        <w:tab/>
        <w:t>Diagnostic Criteria for CIDP</w:t>
      </w:r>
      <w:bookmarkEnd w:id="525"/>
    </w:p>
    <w:p w14:paraId="3121B20D" w14:textId="77777777" w:rsidR="00BD440B" w:rsidRDefault="00BD440B" w:rsidP="00BD440B">
      <w:pPr>
        <w:pStyle w:val="Heading2"/>
      </w:pPr>
      <w:bookmarkStart w:id="526" w:name="_Toc69305622"/>
      <w:r>
        <w:t>Version 3 criteria for Ig management of CIDP</w:t>
      </w:r>
      <w:bookmarkEnd w:id="526"/>
    </w:p>
    <w:p w14:paraId="74B86B3F" w14:textId="116F3A7A" w:rsidR="00BD440B" w:rsidRDefault="00BD440B" w:rsidP="00BD440B">
      <w:pPr>
        <w:pStyle w:val="Tablenote"/>
      </w:pPr>
      <w:r>
        <w:t xml:space="preserve">Source: BloodStar </w:t>
      </w:r>
      <w:hyperlink r:id="rId57" w:history="1">
        <w:r w:rsidRPr="00681889">
          <w:rPr>
            <w:rStyle w:val="Hyperlink"/>
          </w:rPr>
          <w:t>https://www.criteria.blood.gov.au/MedicalCondition/View/2605</w:t>
        </w:r>
      </w:hyperlink>
      <w:r>
        <w:t xml:space="preserve"> </w:t>
      </w:r>
    </w:p>
    <w:p w14:paraId="61F73783" w14:textId="77777777" w:rsidR="00BD440B" w:rsidRDefault="00BD440B" w:rsidP="00BD440B">
      <w:pPr>
        <w:spacing w:after="0" w:line="240" w:lineRule="auto"/>
      </w:pPr>
      <w:r>
        <w:rPr>
          <w:noProof/>
        </w:rPr>
        <w:drawing>
          <wp:inline distT="0" distB="0" distL="0" distR="0" wp14:anchorId="7580B82B" wp14:editId="385B3324">
            <wp:extent cx="4924425" cy="3726325"/>
            <wp:effectExtent l="0" t="0" r="0" b="7620"/>
            <wp:docPr id="15" name="Picture 15" title="VERSION 3 CRITERIA FOR IG MANAGEMENT OF CI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45742" cy="3742456"/>
                    </a:xfrm>
                    <a:prstGeom prst="rect">
                      <a:avLst/>
                    </a:prstGeom>
                  </pic:spPr>
                </pic:pic>
              </a:graphicData>
            </a:graphic>
          </wp:inline>
        </w:drawing>
      </w:r>
    </w:p>
    <w:p w14:paraId="64197E85" w14:textId="77777777" w:rsidR="00BD440B" w:rsidRDefault="00BD440B" w:rsidP="00BD440B">
      <w:pPr>
        <w:spacing w:after="0" w:line="240" w:lineRule="auto"/>
      </w:pPr>
      <w:r>
        <w:rPr>
          <w:noProof/>
        </w:rPr>
        <w:drawing>
          <wp:inline distT="0" distB="0" distL="0" distR="0" wp14:anchorId="62DA38C7" wp14:editId="647287BB">
            <wp:extent cx="4867275" cy="3653962"/>
            <wp:effectExtent l="0" t="0" r="0" b="3810"/>
            <wp:docPr id="17" name="Picture 17" title="VERSION 3 CRITERIA FOR IG MANAGEMENT OF CI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74029" cy="3659032"/>
                    </a:xfrm>
                    <a:prstGeom prst="rect">
                      <a:avLst/>
                    </a:prstGeom>
                  </pic:spPr>
                </pic:pic>
              </a:graphicData>
            </a:graphic>
          </wp:inline>
        </w:drawing>
      </w:r>
    </w:p>
    <w:p w14:paraId="41179DAA" w14:textId="77777777" w:rsidR="00BD440B" w:rsidRDefault="00BD440B" w:rsidP="00BD440B">
      <w:pPr>
        <w:spacing w:after="0" w:line="240" w:lineRule="auto"/>
      </w:pPr>
    </w:p>
    <w:p w14:paraId="42086B6F" w14:textId="77777777" w:rsidR="00BD440B" w:rsidRDefault="00BD440B" w:rsidP="00BD440B">
      <w:pPr>
        <w:pStyle w:val="Heading2"/>
      </w:pPr>
      <w:bookmarkStart w:id="527" w:name="_Toc69305623"/>
      <w:r>
        <w:t>EFNS/PNS criteria for CIDP diagnosis</w:t>
      </w:r>
      <w:bookmarkEnd w:id="527"/>
    </w:p>
    <w:p w14:paraId="580E51A5" w14:textId="73230208" w:rsidR="00BD440B" w:rsidRPr="004020D0" w:rsidRDefault="00BD440B" w:rsidP="00BD440B">
      <w:pPr>
        <w:pStyle w:val="Tablenotes1"/>
      </w:pPr>
      <w:r>
        <w:t xml:space="preserve">Source: EFNS/PNS CIDP Guidelines. </w:t>
      </w:r>
      <w:r w:rsidRPr="004020D0">
        <w:rPr>
          <w:i/>
        </w:rPr>
        <w:t xml:space="preserve">Journal of the </w:t>
      </w:r>
      <w:r>
        <w:rPr>
          <w:i/>
        </w:rPr>
        <w:t>P</w:t>
      </w:r>
      <w:r w:rsidRPr="004020D0">
        <w:rPr>
          <w:i/>
        </w:rPr>
        <w:t>eripheral Nervous System</w:t>
      </w:r>
      <w:r>
        <w:t xml:space="preserve"> 15:1-9. 2010 </w:t>
      </w:r>
      <w:r w:rsidR="00B727D6">
        <w:fldChar w:fldCharType="begin">
          <w:fldData xml:space="preserve">PEVuZE5vdGU+PENpdGU+PEF1dGhvcj5WYW4gZGVuIEJlcmdoPC9BdXRob3I+PFllYXI+MjAxMDwv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</w:fldData>
        </w:fldChar>
      </w:r>
      <w:r w:rsidR="00B727D6">
        <w:instrText xml:space="preserve"> ADDIN EN.CITE </w:instrText>
      </w:r>
      <w:r w:rsidR="00B727D6">
        <w:fldChar w:fldCharType="begin">
          <w:fldData xml:space="preserve">PEVuZE5vdGU+PENpdGU+PEF1dGhvcj5WYW4gZGVuIEJlcmdoPC9BdXRob3I+PFllYXI+MjAxMDwv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</w:fldData>
        </w:fldChar>
      </w:r>
      <w:r w:rsidR="00B727D6">
        <w:instrText xml:space="preserve"> ADDIN EN.CITE.DATA </w:instrText>
      </w:r>
      <w:r w:rsidR="00B727D6">
        <w:fldChar w:fldCharType="end"/>
      </w:r>
      <w:r w:rsidR="00B727D6">
        <w:fldChar w:fldCharType="separate"/>
      </w:r>
      <w:r w:rsidR="00B727D6">
        <w:rPr>
          <w:noProof/>
        </w:rPr>
        <w:t>(</w:t>
      </w:r>
      <w:hyperlink w:anchor="_ENREF_71" w:tooltip="Van den Bergh, 2010 #26" w:history="1">
        <w:r w:rsidR="00D726F6">
          <w:rPr>
            <w:noProof/>
          </w:rPr>
          <w:t>Van den Bergh, PY et al. 2010</w:t>
        </w:r>
      </w:hyperlink>
      <w:r w:rsidR="00B727D6">
        <w:rPr>
          <w:noProof/>
        </w:rPr>
        <w:t>)</w:t>
      </w:r>
      <w:r w:rsidR="00B727D6">
        <w:fldChar w:fldCharType="end"/>
      </w:r>
    </w:p>
    <w:p w14:paraId="385F1C5B" w14:textId="77777777" w:rsidR="00BD440B" w:rsidRDefault="00BD440B" w:rsidP="00BD440B">
      <w:pPr>
        <w:spacing w:after="0" w:line="240" w:lineRule="auto"/>
      </w:pPr>
      <w:r>
        <w:rPr>
          <w:noProof/>
        </w:rPr>
        <w:drawing>
          <wp:inline distT="0" distB="0" distL="0" distR="0" wp14:anchorId="53ADD125" wp14:editId="70B2502C">
            <wp:extent cx="5731510" cy="3559175"/>
            <wp:effectExtent l="0" t="0" r="2540" b="3175"/>
            <wp:docPr id="14" name="Picture 14" title="EFNS/PNS CRITERIA FOR CIDP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559175"/>
                    </a:xfrm>
                    <a:prstGeom prst="rect">
                      <a:avLst/>
                    </a:prstGeom>
                  </pic:spPr>
                </pic:pic>
              </a:graphicData>
            </a:graphic>
          </wp:inline>
        </w:drawing>
      </w:r>
    </w:p>
    <w:p w14:paraId="33CF9ABD" w14:textId="77777777" w:rsidR="00F6383E" w:rsidRDefault="00BD440B">
      <w:pPr>
        <w:spacing w:after="0" w:line="240" w:lineRule="auto"/>
        <w:rPr>
          <w:rFonts w:eastAsia="Calibri"/>
          <w:lang w:eastAsia="en-US"/>
        </w:rPr>
      </w:pPr>
      <w:r>
        <w:rPr>
          <w:noProof/>
        </w:rPr>
        <w:drawing>
          <wp:inline distT="0" distB="0" distL="0" distR="0" wp14:anchorId="25A396A0" wp14:editId="4E28F07B">
            <wp:extent cx="5731510" cy="4292600"/>
            <wp:effectExtent l="0" t="0" r="2540" b="0"/>
            <wp:docPr id="16" name="Picture 16" title="EFNS/PNS CRITERIA FOR CIDP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4292600"/>
                    </a:xfrm>
                    <a:prstGeom prst="rect">
                      <a:avLst/>
                    </a:prstGeom>
                  </pic:spPr>
                </pic:pic>
              </a:graphicData>
            </a:graphic>
          </wp:inline>
        </w:drawing>
      </w:r>
      <w:r w:rsidR="00F6383E">
        <w:rPr>
          <w:rFonts w:eastAsia="Calibri"/>
          <w:lang w:eastAsia="en-US"/>
        </w:rPr>
        <w:br w:type="page"/>
      </w:r>
    </w:p>
    <w:p w14:paraId="3E7009AB" w14:textId="77777777" w:rsidR="00F6383E" w:rsidRDefault="00F6383E" w:rsidP="00F6383E">
      <w:pPr>
        <w:pStyle w:val="Heading1"/>
        <w:rPr>
          <w:rFonts w:eastAsia="Calibri"/>
          <w:lang w:eastAsia="en-US"/>
        </w:rPr>
      </w:pPr>
      <w:bookmarkStart w:id="528" w:name="_Toc69305624"/>
      <w:r>
        <w:rPr>
          <w:rFonts w:eastAsia="Calibri"/>
          <w:lang w:eastAsia="en-US"/>
        </w:rPr>
        <w:t xml:space="preserve">Appendix </w:t>
      </w:r>
      <w:r w:rsidR="00BD440B">
        <w:rPr>
          <w:rFonts w:eastAsia="Calibri"/>
          <w:lang w:eastAsia="en-US"/>
        </w:rPr>
        <w:t>F</w:t>
      </w:r>
      <w:r>
        <w:rPr>
          <w:rFonts w:eastAsia="Calibri"/>
          <w:lang w:eastAsia="en-US"/>
        </w:rPr>
        <w:tab/>
        <w:t>Clinical management algorithms</w:t>
      </w:r>
      <w:bookmarkEnd w:id="528"/>
    </w:p>
    <w:p w14:paraId="6B2FCA1F" w14:textId="77777777" w:rsidR="00F6383E" w:rsidRPr="00E3331A" w:rsidRDefault="00F6383E" w:rsidP="00F6383E">
      <w:r w:rsidRPr="00E3331A">
        <w:object w:dxaOrig="9465" w:dyaOrig="13111" w14:anchorId="2ACE7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linical pathway describing Criteria for Ig use and when to trial weaning." style="width:407.5pt;height:524.7pt" o:ole="">
            <v:imagedata r:id="rId62" o:title=""/>
          </v:shape>
          <o:OLEObject Type="Embed" ProgID="Visio.Drawing.15" ShapeID="_x0000_i1025" DrawAspect="Content" ObjectID="_1680344935" r:id="rId63"/>
        </w:object>
      </w:r>
    </w:p>
    <w:p w14:paraId="236A01C6" w14:textId="57A1FB34" w:rsidR="00F6383E" w:rsidRPr="00E3331A" w:rsidRDefault="00F6383E" w:rsidP="00F6383E">
      <w:pPr>
        <w:pStyle w:val="Caption"/>
        <w:ind w:left="1134" w:hanging="1134"/>
        <w:jc w:val="both"/>
      </w:pPr>
      <w:bookmarkStart w:id="529" w:name="_Ref10019510"/>
      <w:bookmarkStart w:id="530" w:name="_Toc69305748"/>
      <w:r w:rsidRPr="00E3331A">
        <w:t xml:space="preserve">Figure </w:t>
      </w:r>
      <w:r w:rsidRPr="00E3331A">
        <w:rPr>
          <w:noProof/>
        </w:rPr>
        <w:fldChar w:fldCharType="begin"/>
      </w:r>
      <w:r w:rsidRPr="00E3331A">
        <w:rPr>
          <w:noProof/>
        </w:rPr>
        <w:instrText xml:space="preserve"> SEQ Figure \* ARABIC </w:instrText>
      </w:r>
      <w:r w:rsidRPr="00E3331A">
        <w:rPr>
          <w:noProof/>
        </w:rPr>
        <w:fldChar w:fldCharType="separate"/>
      </w:r>
      <w:r w:rsidR="004B3EA2">
        <w:rPr>
          <w:noProof/>
        </w:rPr>
        <w:t>16</w:t>
      </w:r>
      <w:r w:rsidRPr="00E3331A">
        <w:rPr>
          <w:noProof/>
        </w:rPr>
        <w:fldChar w:fldCharType="end"/>
      </w:r>
      <w:bookmarkEnd w:id="529"/>
      <w:r w:rsidRPr="00E3331A">
        <w:tab/>
        <w:t>Current management algorithm for CIDP patients eligible for Ig therapy</w:t>
      </w:r>
      <w:bookmarkEnd w:id="530"/>
    </w:p>
    <w:p w14:paraId="34D2BBCF" w14:textId="77777777" w:rsidR="00F6383E" w:rsidRPr="00E3331A" w:rsidRDefault="00F6383E" w:rsidP="00F6383E">
      <w:pPr>
        <w:pStyle w:val="Tablenotes1"/>
      </w:pPr>
      <w:r w:rsidRPr="00E3331A">
        <w:t xml:space="preserve">Source: reproduced from Figure 1, page 28 and Figure 2, page 36 of the Referral Form. </w:t>
      </w:r>
    </w:p>
    <w:p w14:paraId="137BB47E" w14:textId="77777777" w:rsidR="00F6383E" w:rsidRPr="00E3331A" w:rsidRDefault="00F6383E" w:rsidP="00F6383E">
      <w:pPr>
        <w:pStyle w:val="Tablenotes1"/>
      </w:pPr>
      <w:r w:rsidRPr="00E3331A">
        <w:t>Abbreviations: ONLS = Overall Neuropathy Limitations Scale, MRC = Medical Research Council, SMWT = Six-minute walking test, MRS = Modified Rankin Scale, Ig = Immunoglobulin, CIDP = Chronic inflammatory demyelinating polyneuropathy, SCIg = subcutaneous immunoglobulin.</w:t>
      </w:r>
    </w:p>
    <w:p w14:paraId="0BC7F369" w14:textId="77777777" w:rsidR="00F6383E" w:rsidRPr="00E3331A" w:rsidRDefault="00F6383E" w:rsidP="00F6383E">
      <w:pPr>
        <w:spacing w:after="0" w:line="240" w:lineRule="auto"/>
      </w:pPr>
      <w:r w:rsidRPr="00E3331A">
        <w:object w:dxaOrig="8850" w:dyaOrig="9240" w14:anchorId="4CD28529">
          <v:shape id="_x0000_i1026" type="#_x0000_t75" alt="CLinical pathway describing treatment for patients when Ig is not an option" style="width:441.95pt;height:463.4pt" o:ole="">
            <v:imagedata r:id="rId64" o:title=""/>
          </v:shape>
          <o:OLEObject Type="Embed" ProgID="Visio.Drawing.15" ShapeID="_x0000_i1026" DrawAspect="Content" ObjectID="_1680344936" r:id="rId65"/>
        </w:object>
      </w:r>
    </w:p>
    <w:p w14:paraId="10D1A803" w14:textId="77777777" w:rsidR="00F6383E" w:rsidRPr="00E3331A" w:rsidRDefault="00F6383E" w:rsidP="00F6383E">
      <w:pPr>
        <w:spacing w:after="0" w:line="240" w:lineRule="auto"/>
        <w:rPr>
          <w:rFonts w:cs="Calibri"/>
          <w:sz w:val="18"/>
          <w:szCs w:val="18"/>
        </w:rPr>
      </w:pPr>
    </w:p>
    <w:p w14:paraId="56273CA7" w14:textId="74C5437C" w:rsidR="00F6383E" w:rsidRPr="00E3331A" w:rsidRDefault="00F6383E" w:rsidP="00F6383E">
      <w:pPr>
        <w:pStyle w:val="TableHeading"/>
        <w:rPr>
          <w:lang w:val="en-GB" w:eastAsia="ja-JP"/>
        </w:rPr>
      </w:pPr>
      <w:bookmarkStart w:id="531" w:name="_Toc69305749"/>
      <w:r w:rsidRPr="00E3331A">
        <w:rPr>
          <w:lang w:val="en-GB" w:eastAsia="ja-JP"/>
        </w:rPr>
        <w:t xml:space="preserve">Figure </w:t>
      </w:r>
      <w:r w:rsidRPr="00E3331A">
        <w:rPr>
          <w:lang w:val="en-GB" w:eastAsia="ja-JP"/>
        </w:rPr>
        <w:fldChar w:fldCharType="begin"/>
      </w:r>
      <w:r w:rsidRPr="00E3331A">
        <w:rPr>
          <w:lang w:val="en-GB" w:eastAsia="ja-JP"/>
        </w:rPr>
        <w:instrText xml:space="preserve"> SEQ Figure \* ARABIC </w:instrText>
      </w:r>
      <w:r w:rsidRPr="00E3331A">
        <w:rPr>
          <w:lang w:val="en-GB" w:eastAsia="ja-JP"/>
        </w:rPr>
        <w:fldChar w:fldCharType="separate"/>
      </w:r>
      <w:r w:rsidR="004B3EA2">
        <w:rPr>
          <w:noProof/>
          <w:lang w:val="en-GB" w:eastAsia="ja-JP"/>
        </w:rPr>
        <w:t>17</w:t>
      </w:r>
      <w:r w:rsidRPr="00E3331A">
        <w:rPr>
          <w:lang w:val="en-GB" w:eastAsia="ja-JP"/>
        </w:rPr>
        <w:fldChar w:fldCharType="end"/>
      </w:r>
      <w:r w:rsidRPr="00E3331A">
        <w:rPr>
          <w:lang w:val="en-GB" w:eastAsia="ja-JP"/>
        </w:rPr>
        <w:tab/>
        <w:t xml:space="preserve">Proposed algorithm for </w:t>
      </w:r>
      <w:r w:rsidRPr="00E3331A">
        <w:rPr>
          <w:noProof/>
          <w:lang w:val="en-GB" w:eastAsia="ja-JP"/>
        </w:rPr>
        <w:t>treatment</w:t>
      </w:r>
      <w:r w:rsidRPr="00E3331A">
        <w:rPr>
          <w:lang w:val="en-GB" w:eastAsia="ja-JP"/>
        </w:rPr>
        <w:t xml:space="preserve"> of patients in the absence (or failure) of Ig.</w:t>
      </w:r>
      <w:bookmarkEnd w:id="531"/>
      <w:r w:rsidRPr="00E3331A">
        <w:rPr>
          <w:lang w:val="en-GB" w:eastAsia="ja-JP"/>
        </w:rPr>
        <w:t xml:space="preserve"> </w:t>
      </w:r>
    </w:p>
    <w:p w14:paraId="3A4EAA09" w14:textId="77777777" w:rsidR="00F6383E" w:rsidRPr="00E3331A" w:rsidRDefault="00F6383E" w:rsidP="00F6383E">
      <w:pPr>
        <w:pStyle w:val="Tablenotes1"/>
      </w:pPr>
      <w:r w:rsidRPr="00E3331A">
        <w:t>Source:</w:t>
      </w:r>
      <w:r w:rsidRPr="00E3331A">
        <w:rPr>
          <w:b/>
        </w:rPr>
        <w:t xml:space="preserve"> </w:t>
      </w:r>
      <w:r w:rsidRPr="00E3331A">
        <w:t xml:space="preserve">reproduced from Figure 3 page 42 of the Referral Form. </w:t>
      </w:r>
    </w:p>
    <w:p w14:paraId="76DDED2A" w14:textId="77777777" w:rsidR="00F6383E" w:rsidRPr="00E3331A" w:rsidRDefault="00F6383E" w:rsidP="00F6383E">
      <w:pPr>
        <w:pStyle w:val="Tablenotes1"/>
      </w:pPr>
      <w:r w:rsidRPr="00E3331A">
        <w:t>Abbreviations: Ig</w:t>
      </w:r>
      <w:r w:rsidRPr="00E3331A">
        <w:rPr>
          <w:b/>
        </w:rPr>
        <w:t xml:space="preserve"> </w:t>
      </w:r>
      <w:r w:rsidRPr="00E3331A">
        <w:t>= Immunoglobulin</w:t>
      </w:r>
    </w:p>
    <w:p w14:paraId="3AE0528E" w14:textId="77777777" w:rsidR="00D61E41" w:rsidRDefault="00F6383E" w:rsidP="004C6054">
      <w:pPr>
        <w:pStyle w:val="Tablenotes1"/>
        <w:sectPr w:rsidR="00D61E41" w:rsidSect="0080059D">
          <w:headerReference w:type="even" r:id="rId66"/>
          <w:headerReference w:type="default" r:id="rId67"/>
          <w:footerReference w:type="even" r:id="rId68"/>
          <w:headerReference w:type="first" r:id="rId69"/>
          <w:pgSz w:w="11906" w:h="16838"/>
          <w:pgMar w:top="1440" w:right="1440" w:bottom="1440" w:left="1440" w:header="720" w:footer="720" w:gutter="0"/>
          <w:paperSrc w:first="7" w:other="7"/>
          <w:cols w:space="720"/>
          <w:docGrid w:linePitch="360"/>
        </w:sectPr>
      </w:pPr>
      <w:r w:rsidRPr="00755F3E">
        <w:t>Note: this algorithm may also be applicable for any patient not/no longer eligible for Ig under Version 3 of ‘the Criteria’ (i.e. reach ‘use alternate therapies’ stage on Figure 1), or for patients</w:t>
      </w:r>
      <w:r w:rsidR="004C6054">
        <w:t xml:space="preserve"> in whom Ig is contraindicated.</w:t>
      </w:r>
    </w:p>
    <w:p w14:paraId="4ACBD373" w14:textId="77777777" w:rsidR="004C6054" w:rsidRDefault="004C6054" w:rsidP="004C6054">
      <w:pPr>
        <w:pStyle w:val="Heading1"/>
        <w:rPr>
          <w:rFonts w:eastAsia="Calibri"/>
        </w:rPr>
      </w:pPr>
      <w:bookmarkStart w:id="532" w:name="_Toc69305625"/>
      <w:r>
        <w:rPr>
          <w:rFonts w:eastAsia="Calibri"/>
        </w:rPr>
        <w:t>Appendix G</w:t>
      </w:r>
      <w:r>
        <w:rPr>
          <w:rFonts w:eastAsia="Calibri"/>
        </w:rPr>
        <w:tab/>
        <w:t>Additional information for economic evaluation</w:t>
      </w:r>
      <w:bookmarkEnd w:id="532"/>
    </w:p>
    <w:p w14:paraId="5DF3382E" w14:textId="4362B2F7" w:rsidR="0009555E" w:rsidRDefault="0009555E" w:rsidP="0009555E">
      <w:pPr>
        <w:pStyle w:val="Heading2"/>
      </w:pPr>
      <w:bookmarkStart w:id="533" w:name="_Toc69305626"/>
      <w:r>
        <w:t>Data update from the Department of Health</w:t>
      </w:r>
      <w:bookmarkEnd w:id="533"/>
    </w:p>
    <w:p w14:paraId="37C925D4" w14:textId="030FB4E2" w:rsidR="0009555E" w:rsidRDefault="00F639FC" w:rsidP="0009555E">
      <w:pPr>
        <w:pStyle w:val="BodyTextSTD"/>
      </w:pPr>
      <w:r>
        <w:fldChar w:fldCharType="begin"/>
      </w:r>
      <w:r>
        <w:instrText xml:space="preserve"> REF _Ref68166156 \h </w:instrText>
      </w:r>
      <w:r>
        <w:fldChar w:fldCharType="separate"/>
      </w:r>
      <w:r w:rsidR="004B3EA2">
        <w:t xml:space="preserve">Table </w:t>
      </w:r>
      <w:r w:rsidR="004B3EA2">
        <w:rPr>
          <w:noProof/>
        </w:rPr>
        <w:t>78</w:t>
      </w:r>
      <w:r>
        <w:fldChar w:fldCharType="end"/>
      </w:r>
      <w:r>
        <w:t xml:space="preserve"> </w:t>
      </w:r>
      <w:r w:rsidR="0009555E">
        <w:t>summarises Ig use between first and second clinical review of Ig for CIDP excluding patients who switched from IVIg to SCIg, as provided by the Department of Health on 31</w:t>
      </w:r>
      <w:r w:rsidR="0009555E" w:rsidRPr="0009555E">
        <w:rPr>
          <w:vertAlign w:val="superscript"/>
        </w:rPr>
        <w:t>st</w:t>
      </w:r>
      <w:r w:rsidR="0009555E">
        <w:t xml:space="preserve"> March 2021.</w:t>
      </w:r>
    </w:p>
    <w:p w14:paraId="3ABD1660" w14:textId="5A825071" w:rsidR="0009555E" w:rsidRDefault="0009555E" w:rsidP="0009555E">
      <w:pPr>
        <w:pStyle w:val="Caption"/>
      </w:pPr>
      <w:bookmarkStart w:id="534" w:name="_Ref68166156"/>
      <w:bookmarkStart w:id="535" w:name="_Toc69305719"/>
      <w:r>
        <w:t xml:space="preserve">Table </w:t>
      </w:r>
      <w:r w:rsidR="00003BA5">
        <w:fldChar w:fldCharType="begin"/>
      </w:r>
      <w:r w:rsidR="00003BA5">
        <w:instrText xml:space="preserve"> SEQ Table \* ARABIC </w:instrText>
      </w:r>
      <w:r w:rsidR="00003BA5">
        <w:fldChar w:fldCharType="separate"/>
      </w:r>
      <w:r w:rsidR="004B3EA2">
        <w:rPr>
          <w:noProof/>
        </w:rPr>
        <w:t>78</w:t>
      </w:r>
      <w:r w:rsidR="00003BA5">
        <w:rPr>
          <w:noProof/>
        </w:rPr>
        <w:fldChar w:fldCharType="end"/>
      </w:r>
      <w:bookmarkEnd w:id="534"/>
      <w:r>
        <w:tab/>
      </w:r>
      <w:r w:rsidRPr="00B872CB">
        <w:rPr>
          <w:szCs w:val="20"/>
        </w:rPr>
        <w:t>I</w:t>
      </w:r>
      <w:r w:rsidR="00F55A93">
        <w:rPr>
          <w:szCs w:val="20"/>
        </w:rPr>
        <w:t>VI</w:t>
      </w:r>
      <w:r w:rsidRPr="00B872CB">
        <w:rPr>
          <w:szCs w:val="20"/>
        </w:rPr>
        <w:t xml:space="preserve">g dose (g) </w:t>
      </w:r>
      <w:r>
        <w:rPr>
          <w:szCs w:val="20"/>
        </w:rPr>
        <w:t>supplied between first and second clinical review of Ig for CIDP</w:t>
      </w:r>
      <w:r w:rsidR="00F55A93">
        <w:rPr>
          <w:szCs w:val="20"/>
        </w:rPr>
        <w:t>, excluding patients who switched to SCIg</w:t>
      </w:r>
      <w:bookmarkEnd w:id="535"/>
    </w:p>
    <w:tbl>
      <w:tblPr>
        <w:tblStyle w:val="TableGrid"/>
        <w:tblW w:w="5000" w:type="pct"/>
        <w:tblLayout w:type="fixed"/>
        <w:tblLook w:val="04A0" w:firstRow="1" w:lastRow="0" w:firstColumn="1" w:lastColumn="0" w:noHBand="0" w:noVBand="1"/>
        <w:tblCaption w:val="Ig dose (g) supplied between first and second clinical review of Ig for CIDP"/>
        <w:tblDescription w:val="Ig dose (g) supplied between first and second clinical review of Ig for CIDP"/>
      </w:tblPr>
      <w:tblGrid>
        <w:gridCol w:w="6132"/>
        <w:gridCol w:w="1099"/>
        <w:gridCol w:w="1317"/>
        <w:gridCol w:w="1534"/>
        <w:gridCol w:w="1534"/>
        <w:gridCol w:w="1096"/>
        <w:gridCol w:w="1236"/>
      </w:tblGrid>
      <w:tr w:rsidR="0009555E" w:rsidRPr="00E05DD1" w14:paraId="26E9E3D9" w14:textId="77777777" w:rsidTr="00BB43B6">
        <w:trPr>
          <w:trHeight w:val="290"/>
          <w:tblHeader/>
        </w:trPr>
        <w:tc>
          <w:tcPr>
            <w:tcW w:w="2198" w:type="pct"/>
            <w:noWrap/>
            <w:hideMark/>
          </w:tcPr>
          <w:p w14:paraId="03102AFC" w14:textId="77777777" w:rsidR="0009555E" w:rsidRPr="00E05DD1" w:rsidRDefault="0009555E" w:rsidP="00900DF3">
            <w:pPr>
              <w:pStyle w:val="TableHeading"/>
              <w:ind w:left="0"/>
            </w:pPr>
            <w:r>
              <w:t>Description</w:t>
            </w:r>
          </w:p>
        </w:tc>
        <w:tc>
          <w:tcPr>
            <w:tcW w:w="394" w:type="pct"/>
            <w:noWrap/>
            <w:hideMark/>
          </w:tcPr>
          <w:p w14:paraId="1E4DAB50" w14:textId="77777777" w:rsidR="0009555E" w:rsidRPr="00E05DD1" w:rsidRDefault="0009555E" w:rsidP="00900DF3">
            <w:pPr>
              <w:pStyle w:val="TableHeading"/>
              <w:ind w:left="0"/>
            </w:pPr>
            <w:r>
              <w:t>N</w:t>
            </w:r>
          </w:p>
        </w:tc>
        <w:tc>
          <w:tcPr>
            <w:tcW w:w="472" w:type="pct"/>
            <w:noWrap/>
            <w:hideMark/>
          </w:tcPr>
          <w:p w14:paraId="24B1E486" w14:textId="77777777" w:rsidR="0009555E" w:rsidRPr="00E05DD1" w:rsidRDefault="0009555E" w:rsidP="00900DF3">
            <w:pPr>
              <w:pStyle w:val="TableHeading"/>
              <w:ind w:left="0"/>
            </w:pPr>
            <w:r>
              <w:t>M</w:t>
            </w:r>
            <w:r w:rsidRPr="00E05DD1">
              <w:t>ean</w:t>
            </w:r>
          </w:p>
        </w:tc>
        <w:tc>
          <w:tcPr>
            <w:tcW w:w="550" w:type="pct"/>
            <w:noWrap/>
            <w:hideMark/>
          </w:tcPr>
          <w:p w14:paraId="5798A598" w14:textId="77777777" w:rsidR="0009555E" w:rsidRPr="00E05DD1" w:rsidRDefault="0009555E" w:rsidP="00900DF3">
            <w:pPr>
              <w:pStyle w:val="TableHeading"/>
              <w:ind w:left="0"/>
            </w:pPr>
            <w:r>
              <w:t>M</w:t>
            </w:r>
            <w:r w:rsidRPr="00E05DD1">
              <w:t>ax</w:t>
            </w:r>
            <w:r>
              <w:t>imum</w:t>
            </w:r>
          </w:p>
        </w:tc>
        <w:tc>
          <w:tcPr>
            <w:tcW w:w="550" w:type="pct"/>
            <w:noWrap/>
            <w:hideMark/>
          </w:tcPr>
          <w:p w14:paraId="1615ABE9" w14:textId="77777777" w:rsidR="0009555E" w:rsidRPr="00E05DD1" w:rsidRDefault="0009555E" w:rsidP="00900DF3">
            <w:pPr>
              <w:pStyle w:val="TableHeading"/>
              <w:ind w:left="0"/>
            </w:pPr>
            <w:r>
              <w:t>M</w:t>
            </w:r>
            <w:r w:rsidRPr="00E05DD1">
              <w:t>in</w:t>
            </w:r>
            <w:r>
              <w:t>imum</w:t>
            </w:r>
          </w:p>
        </w:tc>
        <w:tc>
          <w:tcPr>
            <w:tcW w:w="393" w:type="pct"/>
            <w:noWrap/>
            <w:hideMark/>
          </w:tcPr>
          <w:p w14:paraId="5870CE81" w14:textId="77777777" w:rsidR="0009555E" w:rsidRPr="00E05DD1" w:rsidRDefault="0009555E" w:rsidP="00900DF3">
            <w:pPr>
              <w:pStyle w:val="TableHeading"/>
              <w:ind w:left="0"/>
            </w:pPr>
            <w:r>
              <w:t>M</w:t>
            </w:r>
            <w:r w:rsidRPr="00E05DD1">
              <w:t>ode</w:t>
            </w:r>
          </w:p>
        </w:tc>
        <w:tc>
          <w:tcPr>
            <w:tcW w:w="443" w:type="pct"/>
            <w:noWrap/>
            <w:hideMark/>
          </w:tcPr>
          <w:p w14:paraId="7AAF01ED" w14:textId="77777777" w:rsidR="0009555E" w:rsidRPr="00E05DD1" w:rsidRDefault="0009555E" w:rsidP="00900DF3">
            <w:pPr>
              <w:pStyle w:val="TableHeading"/>
              <w:ind w:left="0"/>
            </w:pPr>
            <w:r>
              <w:t>Median</w:t>
            </w:r>
          </w:p>
        </w:tc>
      </w:tr>
      <w:tr w:rsidR="0009555E" w:rsidRPr="00E05DD1" w14:paraId="60478A11" w14:textId="77777777" w:rsidTr="00900DF3">
        <w:trPr>
          <w:trHeight w:val="290"/>
        </w:trPr>
        <w:tc>
          <w:tcPr>
            <w:tcW w:w="2198" w:type="pct"/>
            <w:noWrap/>
          </w:tcPr>
          <w:p w14:paraId="75D6D452" w14:textId="77777777" w:rsidR="0009555E" w:rsidRDefault="0009555E" w:rsidP="00900DF3">
            <w:pPr>
              <w:pStyle w:val="Tabletext1"/>
              <w:ind w:left="0"/>
            </w:pPr>
            <w:r>
              <w:t>N</w:t>
            </w:r>
            <w:r w:rsidRPr="00B93EF3">
              <w:t xml:space="preserve">ot treated between first and second clinical review, but </w:t>
            </w:r>
            <w:r>
              <w:t>received treatment</w:t>
            </w:r>
            <w:r w:rsidRPr="00B93EF3">
              <w:t xml:space="preserve"> again more than 16</w:t>
            </w:r>
            <w:r>
              <w:t> </w:t>
            </w:r>
            <w:r w:rsidRPr="00B93EF3">
              <w:t>months after initiation</w:t>
            </w:r>
          </w:p>
        </w:tc>
        <w:tc>
          <w:tcPr>
            <w:tcW w:w="394" w:type="pct"/>
            <w:noWrap/>
          </w:tcPr>
          <w:p w14:paraId="4D9C3B7C" w14:textId="77777777" w:rsidR="0009555E" w:rsidRDefault="0009555E" w:rsidP="00900DF3">
            <w:pPr>
              <w:pStyle w:val="Tabletext1"/>
              <w:ind w:left="0"/>
              <w:jc w:val="right"/>
            </w:pPr>
            <w:r>
              <w:t>4</w:t>
            </w:r>
          </w:p>
        </w:tc>
        <w:tc>
          <w:tcPr>
            <w:tcW w:w="472" w:type="pct"/>
            <w:noWrap/>
          </w:tcPr>
          <w:p w14:paraId="7DA2DAE3" w14:textId="77777777" w:rsidR="0009555E" w:rsidRPr="00E05DD1" w:rsidRDefault="0009555E" w:rsidP="00900DF3">
            <w:pPr>
              <w:pStyle w:val="Tabletext1"/>
              <w:ind w:left="0"/>
              <w:jc w:val="right"/>
            </w:pPr>
            <w:r>
              <w:t>-</w:t>
            </w:r>
          </w:p>
        </w:tc>
        <w:tc>
          <w:tcPr>
            <w:tcW w:w="550" w:type="pct"/>
            <w:noWrap/>
          </w:tcPr>
          <w:p w14:paraId="6BB4244F" w14:textId="77777777" w:rsidR="0009555E" w:rsidRPr="00E05DD1" w:rsidRDefault="0009555E" w:rsidP="00900DF3">
            <w:pPr>
              <w:pStyle w:val="Tabletext1"/>
              <w:ind w:left="0"/>
              <w:jc w:val="right"/>
            </w:pPr>
            <w:r>
              <w:t>-</w:t>
            </w:r>
          </w:p>
        </w:tc>
        <w:tc>
          <w:tcPr>
            <w:tcW w:w="550" w:type="pct"/>
            <w:noWrap/>
          </w:tcPr>
          <w:p w14:paraId="78E1CFA0" w14:textId="77777777" w:rsidR="0009555E" w:rsidRPr="00E05DD1" w:rsidRDefault="0009555E" w:rsidP="00900DF3">
            <w:pPr>
              <w:pStyle w:val="Tabletext1"/>
              <w:ind w:left="0"/>
              <w:jc w:val="right"/>
            </w:pPr>
            <w:r>
              <w:t>-</w:t>
            </w:r>
          </w:p>
        </w:tc>
        <w:tc>
          <w:tcPr>
            <w:tcW w:w="393" w:type="pct"/>
            <w:noWrap/>
          </w:tcPr>
          <w:p w14:paraId="09E720BE" w14:textId="77777777" w:rsidR="0009555E" w:rsidRPr="00E05DD1" w:rsidRDefault="0009555E" w:rsidP="00900DF3">
            <w:pPr>
              <w:pStyle w:val="Tabletext1"/>
              <w:ind w:left="0"/>
              <w:jc w:val="right"/>
            </w:pPr>
            <w:r>
              <w:t>-</w:t>
            </w:r>
          </w:p>
        </w:tc>
        <w:tc>
          <w:tcPr>
            <w:tcW w:w="443" w:type="pct"/>
            <w:noWrap/>
          </w:tcPr>
          <w:p w14:paraId="02DFD6FE" w14:textId="77777777" w:rsidR="0009555E" w:rsidRPr="00E05DD1" w:rsidRDefault="0009555E" w:rsidP="00900DF3">
            <w:pPr>
              <w:pStyle w:val="Tabletext1"/>
              <w:ind w:left="0"/>
              <w:jc w:val="right"/>
            </w:pPr>
            <w:r>
              <w:t>-</w:t>
            </w:r>
          </w:p>
        </w:tc>
      </w:tr>
      <w:tr w:rsidR="0009555E" w:rsidRPr="00E05DD1" w14:paraId="59B3C15A" w14:textId="77777777" w:rsidTr="00900DF3">
        <w:trPr>
          <w:trHeight w:val="290"/>
        </w:trPr>
        <w:tc>
          <w:tcPr>
            <w:tcW w:w="2198" w:type="pct"/>
            <w:noWrap/>
            <w:hideMark/>
          </w:tcPr>
          <w:p w14:paraId="33888612" w14:textId="77777777" w:rsidR="0009555E" w:rsidRPr="00E05DD1" w:rsidRDefault="0009555E" w:rsidP="00900DF3">
            <w:pPr>
              <w:pStyle w:val="Tabletext1"/>
              <w:ind w:left="0"/>
            </w:pPr>
            <w:r>
              <w:t>Ceased Ig treatment between first and second clinical review and had no treatment break</w:t>
            </w:r>
          </w:p>
        </w:tc>
        <w:tc>
          <w:tcPr>
            <w:tcW w:w="394" w:type="pct"/>
            <w:noWrap/>
            <w:hideMark/>
          </w:tcPr>
          <w:p w14:paraId="178C2D7E" w14:textId="77777777" w:rsidR="0009555E" w:rsidRPr="00E05DD1" w:rsidRDefault="0009555E" w:rsidP="00900DF3">
            <w:pPr>
              <w:pStyle w:val="Tabletext1"/>
              <w:ind w:left="0"/>
              <w:jc w:val="right"/>
            </w:pPr>
            <w:r>
              <w:t>48</w:t>
            </w:r>
          </w:p>
        </w:tc>
        <w:tc>
          <w:tcPr>
            <w:tcW w:w="472" w:type="pct"/>
            <w:noWrap/>
            <w:hideMark/>
          </w:tcPr>
          <w:p w14:paraId="77BA0327" w14:textId="77777777" w:rsidR="0009555E" w:rsidRPr="00E05DD1" w:rsidRDefault="0009555E" w:rsidP="00900DF3">
            <w:pPr>
              <w:pStyle w:val="Tabletext1"/>
              <w:ind w:left="0"/>
              <w:jc w:val="right"/>
            </w:pPr>
            <w:r w:rsidRPr="00E05DD1">
              <w:t>317.58</w:t>
            </w:r>
          </w:p>
        </w:tc>
        <w:tc>
          <w:tcPr>
            <w:tcW w:w="550" w:type="pct"/>
            <w:noWrap/>
            <w:hideMark/>
          </w:tcPr>
          <w:p w14:paraId="3617DAD7" w14:textId="77777777" w:rsidR="0009555E" w:rsidRPr="00E05DD1" w:rsidRDefault="0009555E" w:rsidP="00900DF3">
            <w:pPr>
              <w:pStyle w:val="Tabletext1"/>
              <w:ind w:left="0"/>
              <w:jc w:val="right"/>
            </w:pPr>
            <w:r w:rsidRPr="00E05DD1">
              <w:t>1</w:t>
            </w:r>
            <w:r>
              <w:t>,</w:t>
            </w:r>
            <w:r w:rsidRPr="00E05DD1">
              <w:t>440</w:t>
            </w:r>
          </w:p>
        </w:tc>
        <w:tc>
          <w:tcPr>
            <w:tcW w:w="550" w:type="pct"/>
            <w:noWrap/>
            <w:hideMark/>
          </w:tcPr>
          <w:p w14:paraId="4C3344B1" w14:textId="77777777" w:rsidR="0009555E" w:rsidRPr="00E05DD1" w:rsidRDefault="0009555E" w:rsidP="00900DF3">
            <w:pPr>
              <w:pStyle w:val="Tabletext1"/>
              <w:ind w:left="0"/>
              <w:jc w:val="right"/>
            </w:pPr>
            <w:r w:rsidRPr="00E05DD1">
              <w:t>30</w:t>
            </w:r>
          </w:p>
        </w:tc>
        <w:tc>
          <w:tcPr>
            <w:tcW w:w="393" w:type="pct"/>
            <w:noWrap/>
            <w:hideMark/>
          </w:tcPr>
          <w:p w14:paraId="65DF2B4A" w14:textId="77777777" w:rsidR="0009555E" w:rsidRPr="00E05DD1" w:rsidRDefault="0009555E" w:rsidP="00900DF3">
            <w:pPr>
              <w:pStyle w:val="Tabletext1"/>
              <w:ind w:left="0"/>
              <w:jc w:val="right"/>
            </w:pPr>
            <w:r w:rsidRPr="00E05DD1">
              <w:t>60</w:t>
            </w:r>
          </w:p>
        </w:tc>
        <w:tc>
          <w:tcPr>
            <w:tcW w:w="443" w:type="pct"/>
            <w:noWrap/>
            <w:hideMark/>
          </w:tcPr>
          <w:p w14:paraId="3D8CB2CA" w14:textId="77777777" w:rsidR="0009555E" w:rsidRPr="00E05DD1" w:rsidRDefault="0009555E" w:rsidP="00900DF3">
            <w:pPr>
              <w:pStyle w:val="Tabletext1"/>
              <w:ind w:left="0"/>
              <w:jc w:val="right"/>
            </w:pPr>
            <w:r w:rsidRPr="00E05DD1">
              <w:t>215</w:t>
            </w:r>
          </w:p>
        </w:tc>
      </w:tr>
      <w:tr w:rsidR="0009555E" w:rsidRPr="00E05DD1" w14:paraId="5C22369F" w14:textId="77777777" w:rsidTr="00900DF3">
        <w:trPr>
          <w:trHeight w:val="290"/>
        </w:trPr>
        <w:tc>
          <w:tcPr>
            <w:tcW w:w="2198" w:type="pct"/>
            <w:noWrap/>
          </w:tcPr>
          <w:p w14:paraId="600D8EF5" w14:textId="77777777" w:rsidR="0009555E" w:rsidRDefault="0009555E" w:rsidP="00900DF3">
            <w:pPr>
              <w:pStyle w:val="Tabletext1"/>
              <w:ind w:left="0"/>
            </w:pPr>
            <w:r>
              <w:t>Ceased Ig treatment between first and second clinical review and had a treatment break</w:t>
            </w:r>
          </w:p>
        </w:tc>
        <w:tc>
          <w:tcPr>
            <w:tcW w:w="394" w:type="pct"/>
            <w:noWrap/>
          </w:tcPr>
          <w:p w14:paraId="0332311D" w14:textId="0FE3FB3A" w:rsidR="0009555E" w:rsidRDefault="00545F1B" w:rsidP="00900DF3">
            <w:pPr>
              <w:pStyle w:val="Tabletext1"/>
              <w:ind w:left="0"/>
              <w:jc w:val="right"/>
            </w:pPr>
            <w:r>
              <w:t>6</w:t>
            </w:r>
          </w:p>
        </w:tc>
        <w:tc>
          <w:tcPr>
            <w:tcW w:w="472" w:type="pct"/>
            <w:noWrap/>
          </w:tcPr>
          <w:p w14:paraId="3792CC6C" w14:textId="26B310AA" w:rsidR="0009555E" w:rsidRPr="00E05DD1" w:rsidRDefault="00545F1B" w:rsidP="00900DF3">
            <w:pPr>
              <w:pStyle w:val="Tabletext1"/>
              <w:ind w:left="0"/>
              <w:jc w:val="right"/>
            </w:pPr>
            <w:r>
              <w:t>248.7</w:t>
            </w:r>
          </w:p>
        </w:tc>
        <w:tc>
          <w:tcPr>
            <w:tcW w:w="550" w:type="pct"/>
            <w:noWrap/>
          </w:tcPr>
          <w:p w14:paraId="15B92F7E" w14:textId="5E74A531" w:rsidR="0009555E" w:rsidRPr="00E05DD1" w:rsidRDefault="00545F1B" w:rsidP="00900DF3">
            <w:pPr>
              <w:pStyle w:val="Tabletext1"/>
              <w:ind w:left="0"/>
              <w:jc w:val="right"/>
            </w:pPr>
            <w:r>
              <w:t>380</w:t>
            </w:r>
          </w:p>
        </w:tc>
        <w:tc>
          <w:tcPr>
            <w:tcW w:w="550" w:type="pct"/>
            <w:noWrap/>
          </w:tcPr>
          <w:p w14:paraId="7C5FC099" w14:textId="77777777" w:rsidR="0009555E" w:rsidRPr="00E05DD1" w:rsidRDefault="0009555E" w:rsidP="00900DF3">
            <w:pPr>
              <w:pStyle w:val="Tabletext1"/>
              <w:ind w:left="0"/>
              <w:jc w:val="right"/>
            </w:pPr>
            <w:r w:rsidRPr="00F234E0">
              <w:t>140</w:t>
            </w:r>
          </w:p>
        </w:tc>
        <w:tc>
          <w:tcPr>
            <w:tcW w:w="393" w:type="pct"/>
            <w:noWrap/>
          </w:tcPr>
          <w:p w14:paraId="006CA6E5" w14:textId="77777777" w:rsidR="0009555E" w:rsidRPr="00E05DD1" w:rsidRDefault="0009555E" w:rsidP="00900DF3">
            <w:pPr>
              <w:pStyle w:val="Tabletext1"/>
              <w:ind w:left="0"/>
              <w:jc w:val="right"/>
            </w:pPr>
            <w:r>
              <w:t>-</w:t>
            </w:r>
          </w:p>
        </w:tc>
        <w:tc>
          <w:tcPr>
            <w:tcW w:w="443" w:type="pct"/>
            <w:noWrap/>
          </w:tcPr>
          <w:p w14:paraId="634B55AA" w14:textId="51B954B8" w:rsidR="0009555E" w:rsidRPr="00E05DD1" w:rsidRDefault="0009555E" w:rsidP="00545F1B">
            <w:pPr>
              <w:pStyle w:val="Tabletext1"/>
              <w:ind w:left="0"/>
              <w:jc w:val="right"/>
            </w:pPr>
            <w:r>
              <w:t>2</w:t>
            </w:r>
            <w:r w:rsidR="00545F1B">
              <w:t>45</w:t>
            </w:r>
          </w:p>
        </w:tc>
      </w:tr>
      <w:tr w:rsidR="0009555E" w:rsidRPr="00E05DD1" w14:paraId="56DA3A26" w14:textId="77777777" w:rsidTr="00900DF3">
        <w:trPr>
          <w:trHeight w:val="290"/>
        </w:trPr>
        <w:tc>
          <w:tcPr>
            <w:tcW w:w="2198" w:type="pct"/>
            <w:noWrap/>
            <w:hideMark/>
          </w:tcPr>
          <w:p w14:paraId="27964B3A" w14:textId="77777777" w:rsidR="0009555E" w:rsidRPr="00E05DD1" w:rsidRDefault="0009555E" w:rsidP="00900DF3">
            <w:pPr>
              <w:pStyle w:val="Tabletext1"/>
              <w:ind w:left="0"/>
            </w:pPr>
            <w:r>
              <w:t xml:space="preserve">Received Ig after first </w:t>
            </w:r>
            <w:r w:rsidRPr="00E05DD1">
              <w:t xml:space="preserve">and </w:t>
            </w:r>
            <w:r>
              <w:t>second clinical review without any treatment break</w:t>
            </w:r>
          </w:p>
        </w:tc>
        <w:tc>
          <w:tcPr>
            <w:tcW w:w="394" w:type="pct"/>
            <w:noWrap/>
            <w:hideMark/>
          </w:tcPr>
          <w:p w14:paraId="4BD0C543" w14:textId="327AA677" w:rsidR="0009555E" w:rsidRPr="00E05DD1" w:rsidRDefault="00545F1B" w:rsidP="00900DF3">
            <w:pPr>
              <w:pStyle w:val="Tabletext1"/>
              <w:ind w:left="0"/>
              <w:jc w:val="right"/>
            </w:pPr>
            <w:r>
              <w:t>89</w:t>
            </w:r>
          </w:p>
        </w:tc>
        <w:tc>
          <w:tcPr>
            <w:tcW w:w="472" w:type="pct"/>
            <w:noWrap/>
            <w:hideMark/>
          </w:tcPr>
          <w:p w14:paraId="232C8956" w14:textId="59094DAF" w:rsidR="0009555E" w:rsidRPr="00E05DD1" w:rsidRDefault="00545F1B" w:rsidP="00900DF3">
            <w:pPr>
              <w:pStyle w:val="Tabletext1"/>
              <w:ind w:left="0"/>
              <w:jc w:val="right"/>
            </w:pPr>
            <w:r>
              <w:t>773.5</w:t>
            </w:r>
          </w:p>
        </w:tc>
        <w:tc>
          <w:tcPr>
            <w:tcW w:w="550" w:type="pct"/>
            <w:noWrap/>
            <w:hideMark/>
          </w:tcPr>
          <w:p w14:paraId="7E9D7497" w14:textId="0AE5E312" w:rsidR="0009555E" w:rsidRPr="00E05DD1" w:rsidRDefault="00545F1B" w:rsidP="00900DF3">
            <w:pPr>
              <w:pStyle w:val="Tabletext1"/>
              <w:ind w:left="0"/>
              <w:jc w:val="right"/>
            </w:pPr>
            <w:r>
              <w:t>2,400</w:t>
            </w:r>
          </w:p>
        </w:tc>
        <w:tc>
          <w:tcPr>
            <w:tcW w:w="550" w:type="pct"/>
            <w:noWrap/>
            <w:hideMark/>
          </w:tcPr>
          <w:p w14:paraId="798EC894" w14:textId="77777777" w:rsidR="0009555E" w:rsidRPr="00E05DD1" w:rsidRDefault="0009555E" w:rsidP="00900DF3">
            <w:pPr>
              <w:pStyle w:val="Tabletext1"/>
              <w:ind w:left="0"/>
              <w:jc w:val="right"/>
            </w:pPr>
            <w:r w:rsidRPr="00E05DD1">
              <w:t>190</w:t>
            </w:r>
          </w:p>
        </w:tc>
        <w:tc>
          <w:tcPr>
            <w:tcW w:w="393" w:type="pct"/>
            <w:noWrap/>
            <w:hideMark/>
          </w:tcPr>
          <w:p w14:paraId="75B1BC31" w14:textId="77777777" w:rsidR="0009555E" w:rsidRPr="00E05DD1" w:rsidRDefault="0009555E" w:rsidP="00900DF3">
            <w:pPr>
              <w:pStyle w:val="Tabletext1"/>
              <w:ind w:left="0"/>
              <w:jc w:val="right"/>
            </w:pPr>
            <w:r w:rsidRPr="00E05DD1">
              <w:t>455</w:t>
            </w:r>
          </w:p>
        </w:tc>
        <w:tc>
          <w:tcPr>
            <w:tcW w:w="443" w:type="pct"/>
            <w:noWrap/>
            <w:hideMark/>
          </w:tcPr>
          <w:p w14:paraId="3E8D8954" w14:textId="6FA0AD8F" w:rsidR="0009555E" w:rsidRPr="00E05DD1" w:rsidRDefault="00545F1B" w:rsidP="00900DF3">
            <w:pPr>
              <w:pStyle w:val="Tabletext1"/>
              <w:ind w:left="0"/>
              <w:jc w:val="right"/>
            </w:pPr>
            <w:r>
              <w:t>63</w:t>
            </w:r>
            <w:r w:rsidR="0009555E" w:rsidRPr="00E05DD1">
              <w:t>5</w:t>
            </w:r>
          </w:p>
        </w:tc>
      </w:tr>
      <w:tr w:rsidR="0009555E" w:rsidRPr="00E05DD1" w14:paraId="532A6DA9" w14:textId="77777777" w:rsidTr="00900DF3">
        <w:trPr>
          <w:trHeight w:val="290"/>
        </w:trPr>
        <w:tc>
          <w:tcPr>
            <w:tcW w:w="2198" w:type="pct"/>
            <w:tcBorders>
              <w:bottom w:val="single" w:sz="4" w:space="0" w:color="auto"/>
            </w:tcBorders>
            <w:noWrap/>
            <w:hideMark/>
          </w:tcPr>
          <w:p w14:paraId="0CF5AD75" w14:textId="77777777" w:rsidR="0009555E" w:rsidRPr="00E05DD1" w:rsidRDefault="0009555E" w:rsidP="00900DF3">
            <w:pPr>
              <w:pStyle w:val="Tabletext1"/>
              <w:ind w:left="0"/>
            </w:pPr>
            <w:r>
              <w:t>Continued beyond second clinical review (&gt; </w:t>
            </w:r>
            <w:r w:rsidRPr="00786F3F">
              <w:t>16</w:t>
            </w:r>
            <w:r>
              <w:t> </w:t>
            </w:r>
            <w:r w:rsidRPr="00786F3F">
              <w:t>months</w:t>
            </w:r>
            <w:r>
              <w:t>) but had a break during this time</w:t>
            </w:r>
          </w:p>
        </w:tc>
        <w:tc>
          <w:tcPr>
            <w:tcW w:w="394" w:type="pct"/>
            <w:tcBorders>
              <w:bottom w:val="single" w:sz="4" w:space="0" w:color="auto"/>
            </w:tcBorders>
            <w:noWrap/>
            <w:hideMark/>
          </w:tcPr>
          <w:p w14:paraId="480C1953" w14:textId="49E0FBA1" w:rsidR="0009555E" w:rsidRPr="00E05DD1" w:rsidRDefault="00FC5C1E" w:rsidP="00900DF3">
            <w:pPr>
              <w:pStyle w:val="Tabletext1"/>
              <w:ind w:left="0"/>
              <w:jc w:val="right"/>
            </w:pPr>
            <w:r>
              <w:t>37</w:t>
            </w:r>
          </w:p>
        </w:tc>
        <w:tc>
          <w:tcPr>
            <w:tcW w:w="472" w:type="pct"/>
            <w:tcBorders>
              <w:bottom w:val="single" w:sz="4" w:space="0" w:color="auto"/>
            </w:tcBorders>
            <w:noWrap/>
            <w:hideMark/>
          </w:tcPr>
          <w:p w14:paraId="13346B5C" w14:textId="442456B0" w:rsidR="0009555E" w:rsidRPr="00E05DD1" w:rsidRDefault="00FC5C1E" w:rsidP="00900DF3">
            <w:pPr>
              <w:pStyle w:val="Tabletext1"/>
              <w:ind w:left="0"/>
              <w:jc w:val="right"/>
            </w:pPr>
            <w:r>
              <w:t>525.4</w:t>
            </w:r>
          </w:p>
        </w:tc>
        <w:tc>
          <w:tcPr>
            <w:tcW w:w="550" w:type="pct"/>
            <w:tcBorders>
              <w:bottom w:val="single" w:sz="4" w:space="0" w:color="auto"/>
            </w:tcBorders>
            <w:noWrap/>
            <w:hideMark/>
          </w:tcPr>
          <w:p w14:paraId="5D07529B" w14:textId="77777777" w:rsidR="0009555E" w:rsidRPr="00E05DD1" w:rsidRDefault="0009555E" w:rsidP="00900DF3">
            <w:pPr>
              <w:pStyle w:val="Tabletext1"/>
              <w:ind w:left="0"/>
              <w:jc w:val="right"/>
            </w:pPr>
            <w:r w:rsidRPr="00E05DD1">
              <w:t>1</w:t>
            </w:r>
            <w:r>
              <w:t>,</w:t>
            </w:r>
            <w:r w:rsidRPr="00E05DD1">
              <w:t>820</w:t>
            </w:r>
          </w:p>
        </w:tc>
        <w:tc>
          <w:tcPr>
            <w:tcW w:w="550" w:type="pct"/>
            <w:tcBorders>
              <w:bottom w:val="single" w:sz="4" w:space="0" w:color="auto"/>
            </w:tcBorders>
            <w:noWrap/>
            <w:hideMark/>
          </w:tcPr>
          <w:p w14:paraId="7CF8E842" w14:textId="77777777" w:rsidR="0009555E" w:rsidRPr="00E05DD1" w:rsidRDefault="0009555E" w:rsidP="00900DF3">
            <w:pPr>
              <w:pStyle w:val="Tabletext1"/>
              <w:ind w:left="0"/>
              <w:jc w:val="right"/>
            </w:pPr>
            <w:r w:rsidRPr="00E05DD1">
              <w:t>75</w:t>
            </w:r>
          </w:p>
        </w:tc>
        <w:tc>
          <w:tcPr>
            <w:tcW w:w="393" w:type="pct"/>
            <w:tcBorders>
              <w:bottom w:val="single" w:sz="4" w:space="0" w:color="auto"/>
            </w:tcBorders>
            <w:noWrap/>
            <w:hideMark/>
          </w:tcPr>
          <w:p w14:paraId="73F33804" w14:textId="77777777" w:rsidR="0009555E" w:rsidRPr="00E05DD1" w:rsidRDefault="0009555E" w:rsidP="00900DF3">
            <w:pPr>
              <w:pStyle w:val="Tabletext1"/>
              <w:ind w:left="0"/>
              <w:jc w:val="right"/>
            </w:pPr>
            <w:r w:rsidRPr="00E05DD1">
              <w:t>200</w:t>
            </w:r>
          </w:p>
        </w:tc>
        <w:tc>
          <w:tcPr>
            <w:tcW w:w="443" w:type="pct"/>
            <w:tcBorders>
              <w:bottom w:val="single" w:sz="4" w:space="0" w:color="auto"/>
            </w:tcBorders>
            <w:noWrap/>
            <w:hideMark/>
          </w:tcPr>
          <w:p w14:paraId="54B8DE06" w14:textId="77777777" w:rsidR="0009555E" w:rsidRPr="00E05DD1" w:rsidRDefault="0009555E" w:rsidP="00900DF3">
            <w:pPr>
              <w:pStyle w:val="Tabletext1"/>
              <w:ind w:left="0"/>
              <w:jc w:val="right"/>
            </w:pPr>
            <w:r w:rsidRPr="00E05DD1">
              <w:t>420</w:t>
            </w:r>
          </w:p>
        </w:tc>
      </w:tr>
      <w:tr w:rsidR="0009555E" w:rsidRPr="00E05DD1" w14:paraId="498C94D1" w14:textId="77777777" w:rsidTr="00900DF3">
        <w:trPr>
          <w:trHeight w:val="290"/>
        </w:trPr>
        <w:tc>
          <w:tcPr>
            <w:tcW w:w="2198" w:type="pct"/>
            <w:tcBorders>
              <w:bottom w:val="single" w:sz="4" w:space="0" w:color="auto"/>
            </w:tcBorders>
            <w:noWrap/>
          </w:tcPr>
          <w:p w14:paraId="1DBDD24D" w14:textId="77777777" w:rsidR="0009555E" w:rsidRPr="00E05DD1" w:rsidRDefault="0009555E" w:rsidP="00900DF3">
            <w:pPr>
              <w:pStyle w:val="Tabletext1"/>
              <w:ind w:left="0"/>
            </w:pPr>
            <w:r>
              <w:t xml:space="preserve">Total </w:t>
            </w:r>
          </w:p>
        </w:tc>
        <w:tc>
          <w:tcPr>
            <w:tcW w:w="394" w:type="pct"/>
            <w:tcBorders>
              <w:bottom w:val="single" w:sz="4" w:space="0" w:color="auto"/>
            </w:tcBorders>
            <w:noWrap/>
          </w:tcPr>
          <w:p w14:paraId="163988A6" w14:textId="40090EB9" w:rsidR="0009555E" w:rsidRPr="00E05DD1" w:rsidRDefault="00FC5C1E" w:rsidP="00900DF3">
            <w:pPr>
              <w:pStyle w:val="Tabletext1"/>
              <w:ind w:left="0"/>
              <w:jc w:val="right"/>
            </w:pPr>
            <w:r>
              <w:t>184</w:t>
            </w:r>
          </w:p>
        </w:tc>
        <w:tc>
          <w:tcPr>
            <w:tcW w:w="472" w:type="pct"/>
            <w:tcBorders>
              <w:bottom w:val="single" w:sz="4" w:space="0" w:color="auto"/>
            </w:tcBorders>
            <w:noWrap/>
          </w:tcPr>
          <w:p w14:paraId="383C1661" w14:textId="77777777" w:rsidR="0009555E" w:rsidRPr="00E05DD1" w:rsidRDefault="0009555E" w:rsidP="00900DF3">
            <w:pPr>
              <w:pStyle w:val="Tabletext1"/>
              <w:ind w:left="0"/>
              <w:jc w:val="right"/>
            </w:pPr>
          </w:p>
        </w:tc>
        <w:tc>
          <w:tcPr>
            <w:tcW w:w="550" w:type="pct"/>
            <w:tcBorders>
              <w:bottom w:val="single" w:sz="4" w:space="0" w:color="auto"/>
            </w:tcBorders>
            <w:noWrap/>
          </w:tcPr>
          <w:p w14:paraId="74336B6A" w14:textId="77777777" w:rsidR="0009555E" w:rsidRPr="00E05DD1" w:rsidRDefault="0009555E" w:rsidP="00900DF3">
            <w:pPr>
              <w:pStyle w:val="Tabletext1"/>
              <w:ind w:left="0"/>
              <w:jc w:val="right"/>
            </w:pPr>
          </w:p>
        </w:tc>
        <w:tc>
          <w:tcPr>
            <w:tcW w:w="550" w:type="pct"/>
            <w:tcBorders>
              <w:bottom w:val="single" w:sz="4" w:space="0" w:color="auto"/>
            </w:tcBorders>
            <w:noWrap/>
          </w:tcPr>
          <w:p w14:paraId="73ACBC16" w14:textId="77777777" w:rsidR="0009555E" w:rsidRPr="00E05DD1" w:rsidRDefault="0009555E" w:rsidP="00900DF3">
            <w:pPr>
              <w:pStyle w:val="Tabletext1"/>
              <w:ind w:left="0"/>
              <w:jc w:val="right"/>
            </w:pPr>
          </w:p>
        </w:tc>
        <w:tc>
          <w:tcPr>
            <w:tcW w:w="393" w:type="pct"/>
            <w:tcBorders>
              <w:bottom w:val="single" w:sz="4" w:space="0" w:color="auto"/>
            </w:tcBorders>
            <w:noWrap/>
          </w:tcPr>
          <w:p w14:paraId="44B89E7D" w14:textId="77777777" w:rsidR="0009555E" w:rsidRPr="00E05DD1" w:rsidRDefault="0009555E" w:rsidP="00900DF3">
            <w:pPr>
              <w:pStyle w:val="Tabletext1"/>
              <w:ind w:left="0"/>
              <w:jc w:val="right"/>
            </w:pPr>
          </w:p>
        </w:tc>
        <w:tc>
          <w:tcPr>
            <w:tcW w:w="443" w:type="pct"/>
            <w:tcBorders>
              <w:bottom w:val="single" w:sz="4" w:space="0" w:color="auto"/>
            </w:tcBorders>
            <w:noWrap/>
          </w:tcPr>
          <w:p w14:paraId="79A4FD0B" w14:textId="77777777" w:rsidR="0009555E" w:rsidRPr="00E05DD1" w:rsidRDefault="0009555E" w:rsidP="00900DF3">
            <w:pPr>
              <w:pStyle w:val="Tabletext1"/>
              <w:ind w:left="0"/>
              <w:jc w:val="right"/>
            </w:pPr>
          </w:p>
        </w:tc>
      </w:tr>
    </w:tbl>
    <w:p w14:paraId="0287F361" w14:textId="77777777" w:rsidR="004834A8" w:rsidRDefault="0009555E" w:rsidP="004834A8">
      <w:pPr>
        <w:pStyle w:val="Tablenote"/>
      </w:pPr>
      <w:r>
        <w:t xml:space="preserve">CIDP = chronic inflammatory demyelinating polyneuropathy; Ig = immunoglobulin; </w:t>
      </w:r>
      <w:r w:rsidR="004834A8">
        <w:t>IV = intravenous; N= number of patients; SCIg = subcutaneous</w:t>
      </w:r>
    </w:p>
    <w:p w14:paraId="087BAFA8" w14:textId="167669D1" w:rsidR="00D61E41" w:rsidRDefault="00D61E41" w:rsidP="00D61E41">
      <w:pPr>
        <w:pStyle w:val="Heading2"/>
        <w:rPr>
          <w:rFonts w:eastAsia="Calibri"/>
        </w:rPr>
      </w:pPr>
      <w:bookmarkStart w:id="536" w:name="_Toc69305627"/>
      <w:r w:rsidRPr="004D547D">
        <w:rPr>
          <w:rFonts w:eastAsia="Calibri"/>
        </w:rPr>
        <w:t>Data extracted from observational studies</w:t>
      </w:r>
      <w:bookmarkEnd w:id="536"/>
    </w:p>
    <w:p w14:paraId="0C0E8172" w14:textId="7EFFDA53" w:rsidR="00D61E41" w:rsidRDefault="00D61E41" w:rsidP="00D61E41">
      <w:pPr>
        <w:pStyle w:val="Caption"/>
      </w:pPr>
      <w:bookmarkStart w:id="537" w:name="_Ref65758329"/>
      <w:bookmarkStart w:id="538" w:name="_Toc69305720"/>
      <w:r>
        <w:t xml:space="preserve">Table </w:t>
      </w:r>
      <w:r w:rsidR="00003BA5">
        <w:fldChar w:fldCharType="begin"/>
      </w:r>
      <w:r w:rsidR="00003BA5">
        <w:instrText xml:space="preserve"> SEQ Table \* ARABIC </w:instrText>
      </w:r>
      <w:r w:rsidR="00003BA5">
        <w:fldChar w:fldCharType="separate"/>
      </w:r>
      <w:r w:rsidR="004B3EA2">
        <w:rPr>
          <w:noProof/>
        </w:rPr>
        <w:t>79</w:t>
      </w:r>
      <w:r w:rsidR="00003BA5">
        <w:rPr>
          <w:noProof/>
        </w:rPr>
        <w:fldChar w:fldCharType="end"/>
      </w:r>
      <w:bookmarkEnd w:id="537"/>
      <w:r>
        <w:tab/>
      </w:r>
      <w:r w:rsidRPr="00E04F90">
        <w:t>Summary of data extracted from the randomised controlled trials and observational studies in CIDP patients</w:t>
      </w:r>
      <w:bookmarkEnd w:id="538"/>
    </w:p>
    <w:tbl>
      <w:tblPr>
        <w:tblStyle w:val="TableGrid"/>
        <w:tblW w:w="5000" w:type="pct"/>
        <w:tblLook w:val="04A0" w:firstRow="1" w:lastRow="0" w:firstColumn="1" w:lastColumn="0" w:noHBand="0" w:noVBand="1"/>
        <w:tblCaption w:val="Summary of data extracted from the randomised controlled trials and observational studies in CIDP patients"/>
        <w:tblDescription w:val="Summary of data extracted from the randomised controlled trials and observational studies in CIDP patients"/>
      </w:tblPr>
      <w:tblGrid>
        <w:gridCol w:w="1958"/>
        <w:gridCol w:w="589"/>
        <w:gridCol w:w="2834"/>
        <w:gridCol w:w="1844"/>
        <w:gridCol w:w="2410"/>
        <w:gridCol w:w="2268"/>
        <w:gridCol w:w="2045"/>
      </w:tblGrid>
      <w:tr w:rsidR="00D61E41" w:rsidRPr="00D61E41" w14:paraId="4E480F94" w14:textId="77777777" w:rsidTr="00422B0F">
        <w:trPr>
          <w:tblHeader/>
        </w:trPr>
        <w:tc>
          <w:tcPr>
            <w:tcW w:w="702" w:type="pct"/>
            <w:tcBorders>
              <w:bottom w:val="single" w:sz="4" w:space="0" w:color="auto"/>
            </w:tcBorders>
          </w:tcPr>
          <w:p w14:paraId="2388BBD9" w14:textId="77777777" w:rsidR="00D61E41" w:rsidRPr="00D61E41" w:rsidRDefault="00D61E41" w:rsidP="00422B0F">
            <w:pPr>
              <w:pStyle w:val="Tabletext1"/>
              <w:ind w:left="0"/>
              <w:rPr>
                <w:b/>
              </w:rPr>
            </w:pPr>
            <w:r w:rsidRPr="00D61E41">
              <w:rPr>
                <w:b/>
              </w:rPr>
              <w:t>Study</w:t>
            </w:r>
          </w:p>
        </w:tc>
        <w:tc>
          <w:tcPr>
            <w:tcW w:w="211" w:type="pct"/>
            <w:tcBorders>
              <w:bottom w:val="single" w:sz="4" w:space="0" w:color="auto"/>
            </w:tcBorders>
          </w:tcPr>
          <w:p w14:paraId="4F9B279B" w14:textId="77777777" w:rsidR="00D61E41" w:rsidRPr="00D61E41" w:rsidRDefault="00D61E41" w:rsidP="00422B0F">
            <w:pPr>
              <w:pStyle w:val="Tabletext1"/>
              <w:ind w:left="0"/>
              <w:rPr>
                <w:b/>
              </w:rPr>
            </w:pPr>
            <w:r w:rsidRPr="00D61E41">
              <w:rPr>
                <w:b/>
              </w:rPr>
              <w:t>N</w:t>
            </w:r>
          </w:p>
        </w:tc>
        <w:tc>
          <w:tcPr>
            <w:tcW w:w="1016" w:type="pct"/>
            <w:tcBorders>
              <w:bottom w:val="single" w:sz="4" w:space="0" w:color="auto"/>
            </w:tcBorders>
          </w:tcPr>
          <w:p w14:paraId="0E4B52DB" w14:textId="77777777" w:rsidR="00D61E41" w:rsidRPr="00D61E41" w:rsidRDefault="00D61E41" w:rsidP="00422B0F">
            <w:pPr>
              <w:pStyle w:val="Tabletext1"/>
              <w:ind w:left="0"/>
              <w:rPr>
                <w:b/>
              </w:rPr>
            </w:pPr>
            <w:r w:rsidRPr="00D61E41">
              <w:rPr>
                <w:b/>
              </w:rPr>
              <w:t>Treatment duration</w:t>
            </w:r>
          </w:p>
        </w:tc>
        <w:tc>
          <w:tcPr>
            <w:tcW w:w="661" w:type="pct"/>
            <w:tcBorders>
              <w:bottom w:val="single" w:sz="4" w:space="0" w:color="auto"/>
            </w:tcBorders>
          </w:tcPr>
          <w:p w14:paraId="7AB66476" w14:textId="77777777" w:rsidR="00D61E41" w:rsidRPr="00D61E41" w:rsidRDefault="00D61E41" w:rsidP="00422B0F">
            <w:pPr>
              <w:pStyle w:val="Tabletext1"/>
              <w:ind w:left="0"/>
              <w:rPr>
                <w:b/>
              </w:rPr>
            </w:pPr>
            <w:r w:rsidRPr="00D61E41">
              <w:rPr>
                <w:b/>
              </w:rPr>
              <w:t>Follow-up duration</w:t>
            </w:r>
          </w:p>
        </w:tc>
        <w:tc>
          <w:tcPr>
            <w:tcW w:w="864" w:type="pct"/>
            <w:tcBorders>
              <w:bottom w:val="single" w:sz="4" w:space="0" w:color="auto"/>
            </w:tcBorders>
          </w:tcPr>
          <w:p w14:paraId="4238F8F4" w14:textId="77777777" w:rsidR="00D61E41" w:rsidRPr="00D61E41" w:rsidRDefault="00D61E41" w:rsidP="00422B0F">
            <w:pPr>
              <w:pStyle w:val="Tabletext1"/>
              <w:ind w:left="0"/>
              <w:rPr>
                <w:b/>
              </w:rPr>
            </w:pPr>
            <w:r w:rsidRPr="00D61E41">
              <w:rPr>
                <w:b/>
              </w:rPr>
              <w:t>Response</w:t>
            </w:r>
          </w:p>
        </w:tc>
        <w:tc>
          <w:tcPr>
            <w:tcW w:w="813" w:type="pct"/>
            <w:tcBorders>
              <w:bottom w:val="single" w:sz="4" w:space="0" w:color="auto"/>
            </w:tcBorders>
          </w:tcPr>
          <w:p w14:paraId="1EB38CAC" w14:textId="77777777" w:rsidR="00D61E41" w:rsidRPr="00D61E41" w:rsidRDefault="00D61E41" w:rsidP="00422B0F">
            <w:pPr>
              <w:pStyle w:val="Tabletext1"/>
              <w:ind w:left="0"/>
              <w:rPr>
                <w:b/>
              </w:rPr>
            </w:pPr>
            <w:r w:rsidRPr="00D61E41">
              <w:rPr>
                <w:b/>
              </w:rPr>
              <w:t>Remission</w:t>
            </w:r>
          </w:p>
        </w:tc>
        <w:tc>
          <w:tcPr>
            <w:tcW w:w="733" w:type="pct"/>
            <w:tcBorders>
              <w:bottom w:val="single" w:sz="4" w:space="0" w:color="auto"/>
            </w:tcBorders>
          </w:tcPr>
          <w:p w14:paraId="692868C4" w14:textId="77777777" w:rsidR="00D61E41" w:rsidRPr="00D61E41" w:rsidRDefault="00D61E41" w:rsidP="00422B0F">
            <w:pPr>
              <w:pStyle w:val="Tabletext1"/>
              <w:ind w:left="0"/>
              <w:rPr>
                <w:b/>
              </w:rPr>
            </w:pPr>
            <w:r w:rsidRPr="00D61E41">
              <w:rPr>
                <w:b/>
              </w:rPr>
              <w:t>Relapse</w:t>
            </w:r>
          </w:p>
        </w:tc>
      </w:tr>
      <w:tr w:rsidR="00D61E41" w:rsidRPr="008C3060" w14:paraId="15BA2954" w14:textId="77777777" w:rsidTr="00422B0F">
        <w:tc>
          <w:tcPr>
            <w:tcW w:w="702" w:type="pct"/>
            <w:tcBorders>
              <w:right w:val="nil"/>
            </w:tcBorders>
          </w:tcPr>
          <w:p w14:paraId="3D8A7B94" w14:textId="77777777" w:rsidR="00D61E41" w:rsidRPr="008C3060" w:rsidRDefault="00D61E41" w:rsidP="00422B0F">
            <w:pPr>
              <w:pStyle w:val="Tabletext1"/>
              <w:ind w:left="0"/>
              <w:rPr>
                <w:b/>
              </w:rPr>
            </w:pPr>
            <w:r w:rsidRPr="008C3060">
              <w:rPr>
                <w:b/>
              </w:rPr>
              <w:t>Immunoglobulin</w:t>
            </w:r>
          </w:p>
        </w:tc>
        <w:tc>
          <w:tcPr>
            <w:tcW w:w="211" w:type="pct"/>
            <w:tcBorders>
              <w:left w:val="nil"/>
              <w:right w:val="nil"/>
            </w:tcBorders>
          </w:tcPr>
          <w:p w14:paraId="04B3BC4E" w14:textId="77777777" w:rsidR="00D61E41" w:rsidRPr="008C3060" w:rsidRDefault="00D61E41" w:rsidP="00422B0F">
            <w:pPr>
              <w:pStyle w:val="Tabletext1"/>
              <w:ind w:left="0"/>
              <w:rPr>
                <w:b/>
              </w:rPr>
            </w:pPr>
          </w:p>
        </w:tc>
        <w:tc>
          <w:tcPr>
            <w:tcW w:w="1016" w:type="pct"/>
            <w:tcBorders>
              <w:left w:val="nil"/>
              <w:right w:val="nil"/>
            </w:tcBorders>
          </w:tcPr>
          <w:p w14:paraId="7E4BA026" w14:textId="77777777" w:rsidR="00D61E41" w:rsidRPr="008C3060" w:rsidRDefault="00D61E41" w:rsidP="00422B0F">
            <w:pPr>
              <w:pStyle w:val="Tabletext1"/>
              <w:ind w:left="0"/>
              <w:rPr>
                <w:b/>
              </w:rPr>
            </w:pPr>
          </w:p>
        </w:tc>
        <w:tc>
          <w:tcPr>
            <w:tcW w:w="661" w:type="pct"/>
            <w:tcBorders>
              <w:left w:val="nil"/>
              <w:right w:val="nil"/>
            </w:tcBorders>
          </w:tcPr>
          <w:p w14:paraId="364BCB44" w14:textId="77777777" w:rsidR="00D61E41" w:rsidRPr="008C3060" w:rsidRDefault="00D61E41" w:rsidP="00422B0F">
            <w:pPr>
              <w:pStyle w:val="Tabletext1"/>
              <w:ind w:left="0"/>
              <w:rPr>
                <w:b/>
              </w:rPr>
            </w:pPr>
          </w:p>
        </w:tc>
        <w:tc>
          <w:tcPr>
            <w:tcW w:w="864" w:type="pct"/>
            <w:tcBorders>
              <w:left w:val="nil"/>
              <w:right w:val="nil"/>
            </w:tcBorders>
          </w:tcPr>
          <w:p w14:paraId="14C1B41E" w14:textId="77777777" w:rsidR="00D61E41" w:rsidRPr="008C3060" w:rsidRDefault="00D61E41" w:rsidP="00422B0F">
            <w:pPr>
              <w:pStyle w:val="Tabletext1"/>
              <w:ind w:left="0"/>
              <w:rPr>
                <w:b/>
              </w:rPr>
            </w:pPr>
          </w:p>
        </w:tc>
        <w:tc>
          <w:tcPr>
            <w:tcW w:w="813" w:type="pct"/>
            <w:tcBorders>
              <w:left w:val="nil"/>
              <w:right w:val="nil"/>
            </w:tcBorders>
          </w:tcPr>
          <w:p w14:paraId="66279027" w14:textId="77777777" w:rsidR="00D61E41" w:rsidRPr="008C3060" w:rsidRDefault="00D61E41" w:rsidP="00422B0F">
            <w:pPr>
              <w:pStyle w:val="Tabletext1"/>
              <w:ind w:left="0"/>
              <w:rPr>
                <w:b/>
              </w:rPr>
            </w:pPr>
          </w:p>
        </w:tc>
        <w:tc>
          <w:tcPr>
            <w:tcW w:w="733" w:type="pct"/>
            <w:tcBorders>
              <w:left w:val="nil"/>
            </w:tcBorders>
          </w:tcPr>
          <w:p w14:paraId="16D21D49" w14:textId="77777777" w:rsidR="00D61E41" w:rsidRPr="008C3060" w:rsidRDefault="00D61E41" w:rsidP="00422B0F">
            <w:pPr>
              <w:pStyle w:val="Tabletext1"/>
              <w:ind w:left="0"/>
              <w:rPr>
                <w:b/>
              </w:rPr>
            </w:pPr>
          </w:p>
        </w:tc>
      </w:tr>
      <w:tr w:rsidR="00D61E41" w:rsidRPr="005F0B01" w14:paraId="09F73CB5" w14:textId="77777777" w:rsidTr="00422B0F">
        <w:tc>
          <w:tcPr>
            <w:tcW w:w="702" w:type="pct"/>
          </w:tcPr>
          <w:p w14:paraId="21D02AA6" w14:textId="0C9AE792" w:rsidR="00D61E41" w:rsidRPr="005F0B01" w:rsidRDefault="00B727D6" w:rsidP="00D726F6">
            <w:pPr>
              <w:pStyle w:val="Tabletext1"/>
              <w:ind w:left="0"/>
              <w:rPr>
                <w:highlight w:val="yellow"/>
              </w:rPr>
            </w:pPr>
            <w:r>
              <w:fldChar w:fldCharType="begin">
                <w:fldData xml:space="preserve">PEVuZE5vdGU+PENpdGU+PEF1dGhvcj5Mb3BhdGU8L0F1dGhvcj48WWVhcj4yMDA1PC9ZZWFyPjxS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PEVuZE5vdGU+PENpdGU+PEF1dGhvcj5Mb3BhdGU8L0F1dGhvcj48WWVhcj4yMDA1PC9ZZWFyPjxS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fldChar w:fldCharType="separate"/>
            </w:r>
            <w:r>
              <w:rPr>
                <w:noProof/>
              </w:rPr>
              <w:t>(</w:t>
            </w:r>
            <w:hyperlink w:anchor="_ENREF_39" w:tooltip="Lopate, 2005 #209" w:history="1">
              <w:r w:rsidR="00D726F6">
                <w:rPr>
                  <w:noProof/>
                </w:rPr>
                <w:t>Lopate, Pestronk &amp; Al-Lozi 2005</w:t>
              </w:r>
            </w:hyperlink>
            <w:r>
              <w:rPr>
                <w:noProof/>
              </w:rPr>
              <w:t>)</w:t>
            </w:r>
            <w:r>
              <w:fldChar w:fldCharType="end"/>
            </w:r>
          </w:p>
        </w:tc>
        <w:tc>
          <w:tcPr>
            <w:tcW w:w="211" w:type="pct"/>
          </w:tcPr>
          <w:p w14:paraId="4A00DF72" w14:textId="77777777" w:rsidR="00D61E41" w:rsidRPr="005F0B01" w:rsidRDefault="00D61E41" w:rsidP="00422B0F">
            <w:pPr>
              <w:pStyle w:val="Tabletext1"/>
              <w:ind w:left="0"/>
            </w:pPr>
            <w:r>
              <w:t>7</w:t>
            </w:r>
          </w:p>
        </w:tc>
        <w:tc>
          <w:tcPr>
            <w:tcW w:w="1016" w:type="pct"/>
          </w:tcPr>
          <w:p w14:paraId="1E88FAA6" w14:textId="77777777" w:rsidR="00D61E41" w:rsidRPr="005F0B01" w:rsidRDefault="00D61E41" w:rsidP="00422B0F">
            <w:pPr>
              <w:pStyle w:val="Tabletext1"/>
              <w:ind w:left="0"/>
            </w:pPr>
            <w:r w:rsidRPr="00BA219F">
              <w:t>2 g/kg over 2 days</w:t>
            </w:r>
            <w:r>
              <w:t xml:space="preserve"> repeated every 1–6 months</w:t>
            </w:r>
          </w:p>
        </w:tc>
        <w:tc>
          <w:tcPr>
            <w:tcW w:w="661" w:type="pct"/>
          </w:tcPr>
          <w:p w14:paraId="08046ACE" w14:textId="77777777" w:rsidR="00D61E41" w:rsidRPr="005F0B01" w:rsidRDefault="00D61E41" w:rsidP="00422B0F">
            <w:pPr>
              <w:pStyle w:val="Tabletext1"/>
              <w:ind w:left="0"/>
            </w:pPr>
            <w:r>
              <w:t>Mean: 3.6 years</w:t>
            </w:r>
          </w:p>
        </w:tc>
        <w:tc>
          <w:tcPr>
            <w:tcW w:w="864" w:type="pct"/>
          </w:tcPr>
          <w:p w14:paraId="2C8212AA" w14:textId="77777777" w:rsidR="00D61E41" w:rsidRPr="005F0B01" w:rsidRDefault="00D61E41" w:rsidP="00422B0F">
            <w:pPr>
              <w:pStyle w:val="Tabletext1"/>
              <w:ind w:left="0"/>
            </w:pPr>
            <w:r>
              <w:t>6/7 (86%)</w:t>
            </w:r>
          </w:p>
        </w:tc>
        <w:tc>
          <w:tcPr>
            <w:tcW w:w="813" w:type="pct"/>
          </w:tcPr>
          <w:p w14:paraId="1512D595" w14:textId="77777777" w:rsidR="00D61E41" w:rsidRPr="005F0B01" w:rsidRDefault="00D61E41" w:rsidP="00422B0F">
            <w:pPr>
              <w:pStyle w:val="Tabletext1"/>
              <w:ind w:left="0"/>
            </w:pPr>
            <w:r>
              <w:t>NR</w:t>
            </w:r>
          </w:p>
        </w:tc>
        <w:tc>
          <w:tcPr>
            <w:tcW w:w="733" w:type="pct"/>
          </w:tcPr>
          <w:p w14:paraId="0E987618" w14:textId="77777777" w:rsidR="00D61E41" w:rsidRPr="005F0B01" w:rsidRDefault="00D61E41" w:rsidP="00422B0F">
            <w:pPr>
              <w:pStyle w:val="Tabletext1"/>
              <w:ind w:left="0"/>
            </w:pPr>
            <w:r>
              <w:t>NR</w:t>
            </w:r>
          </w:p>
        </w:tc>
      </w:tr>
      <w:tr w:rsidR="00D61E41" w:rsidRPr="005F0B01" w14:paraId="71C6F2EC" w14:textId="77777777" w:rsidTr="00422B0F">
        <w:tc>
          <w:tcPr>
            <w:tcW w:w="702" w:type="pct"/>
          </w:tcPr>
          <w:p w14:paraId="6CE091E4" w14:textId="2DB278A0" w:rsidR="00D61E41" w:rsidRPr="005F0B01" w:rsidRDefault="00B727D6" w:rsidP="00D726F6">
            <w:pPr>
              <w:pStyle w:val="Tabletext1"/>
              <w:ind w:left="0"/>
            </w:pPr>
            <w:r>
              <w:fldChar w:fldCharType="begin">
                <w:fldData xml:space="preserve">PEVuZE5vdGU+PENpdGU+PEF1dGhvcj5Hb3Jzb248L0F1dGhvcj48WWVhcj4yMDEwPC9ZZWFyPjxS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</w:fldData>
              </w:fldChar>
            </w:r>
            <w:r>
              <w:instrText xml:space="preserve"> ADDIN EN.CITE </w:instrText>
            </w:r>
            <w:r>
              <w:fldChar w:fldCharType="begin">
                <w:fldData xml:space="preserve">PEVuZE5vdGU+PENpdGU+PEF1dGhvcj5Hb3Jzb248L0F1dGhvcj48WWVhcj4yMDEwPC9ZZWFyPjxS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</w:fldData>
              </w:fldChar>
            </w:r>
            <w:r>
              <w:instrText xml:space="preserve"> ADDIN EN.CITE.DATA </w:instrText>
            </w:r>
            <w:r>
              <w:fldChar w:fldCharType="end"/>
            </w:r>
            <w:r>
              <w:fldChar w:fldCharType="separate"/>
            </w:r>
            <w:r>
              <w:rPr>
                <w:noProof/>
              </w:rPr>
              <w:t>(</w:t>
            </w:r>
            <w:hyperlink w:anchor="_ENREF_20" w:tooltip="Gorson, 2010 #1909" w:history="1">
              <w:r w:rsidR="00D726F6">
                <w:rPr>
                  <w:noProof/>
                </w:rPr>
                <w:t>Gorson et al. 2010</w:t>
              </w:r>
            </w:hyperlink>
            <w:r>
              <w:rPr>
                <w:noProof/>
              </w:rPr>
              <w:t>)</w:t>
            </w:r>
            <w:r>
              <w:fldChar w:fldCharType="end"/>
            </w:r>
          </w:p>
        </w:tc>
        <w:tc>
          <w:tcPr>
            <w:tcW w:w="211" w:type="pct"/>
          </w:tcPr>
          <w:p w14:paraId="7E49C31F" w14:textId="77777777" w:rsidR="00D61E41" w:rsidRPr="005F0B01" w:rsidRDefault="00D61E41" w:rsidP="00422B0F">
            <w:pPr>
              <w:pStyle w:val="Tabletext1"/>
              <w:ind w:left="0"/>
            </w:pPr>
            <w:r w:rsidRPr="005F0B01">
              <w:t>106</w:t>
            </w:r>
          </w:p>
        </w:tc>
        <w:tc>
          <w:tcPr>
            <w:tcW w:w="1016" w:type="pct"/>
          </w:tcPr>
          <w:p w14:paraId="6ECF80A8" w14:textId="77777777" w:rsidR="00D61E41" w:rsidRPr="005F0B01" w:rsidRDefault="00D61E41" w:rsidP="00422B0F">
            <w:pPr>
              <w:pStyle w:val="Tabletext1"/>
              <w:ind w:left="0"/>
            </w:pPr>
            <w:r>
              <w:t>IVIg and others</w:t>
            </w:r>
          </w:p>
        </w:tc>
        <w:tc>
          <w:tcPr>
            <w:tcW w:w="661" w:type="pct"/>
          </w:tcPr>
          <w:p w14:paraId="2987ABBD" w14:textId="77777777" w:rsidR="00D61E41" w:rsidRPr="005F0B01" w:rsidRDefault="00D61E41" w:rsidP="00422B0F">
            <w:pPr>
              <w:pStyle w:val="Tabletext1"/>
              <w:ind w:left="0"/>
            </w:pPr>
            <w:r w:rsidRPr="005F0B01">
              <w:t>6.4 years</w:t>
            </w:r>
          </w:p>
        </w:tc>
        <w:tc>
          <w:tcPr>
            <w:tcW w:w="864" w:type="pct"/>
          </w:tcPr>
          <w:p w14:paraId="54D42B21" w14:textId="77777777" w:rsidR="00D61E41" w:rsidRPr="005F0B01" w:rsidRDefault="00D61E41" w:rsidP="00422B0F">
            <w:pPr>
              <w:pStyle w:val="Tabletext1"/>
              <w:ind w:left="0"/>
            </w:pPr>
            <w:r>
              <w:t>82% response rate</w:t>
            </w:r>
          </w:p>
          <w:p w14:paraId="6A87770A" w14:textId="77777777" w:rsidR="00D61E41" w:rsidRPr="005F0B01" w:rsidRDefault="00D61E41" w:rsidP="00422B0F">
            <w:pPr>
              <w:pStyle w:val="Tabletext1"/>
              <w:ind w:left="0"/>
            </w:pPr>
            <w:r w:rsidRPr="005F0B01">
              <w:t xml:space="preserve">51% </w:t>
            </w:r>
            <w:r>
              <w:t xml:space="preserve">stable </w:t>
            </w:r>
            <w:r w:rsidRPr="005F0B01">
              <w:t>on treatment</w:t>
            </w:r>
          </w:p>
        </w:tc>
        <w:tc>
          <w:tcPr>
            <w:tcW w:w="813" w:type="pct"/>
          </w:tcPr>
          <w:p w14:paraId="69EEA39B" w14:textId="77777777" w:rsidR="00D61E41" w:rsidRPr="005F0B01" w:rsidRDefault="00D61E41" w:rsidP="00422B0F">
            <w:pPr>
              <w:pStyle w:val="Tabletext1"/>
              <w:ind w:left="0"/>
            </w:pPr>
            <w:r w:rsidRPr="005F0B01">
              <w:t>11% at least 5 years</w:t>
            </w:r>
          </w:p>
          <w:p w14:paraId="03075D82" w14:textId="77777777" w:rsidR="00D61E41" w:rsidRPr="005F0B01" w:rsidRDefault="00D61E41" w:rsidP="00422B0F">
            <w:pPr>
              <w:pStyle w:val="Tabletext1"/>
              <w:ind w:left="0"/>
            </w:pPr>
            <w:r w:rsidRPr="005F0B01">
              <w:t>31% cured/remission</w:t>
            </w:r>
          </w:p>
        </w:tc>
        <w:tc>
          <w:tcPr>
            <w:tcW w:w="733" w:type="pct"/>
          </w:tcPr>
          <w:p w14:paraId="4C9B02CB" w14:textId="77777777" w:rsidR="00D61E41" w:rsidRPr="005F0B01" w:rsidRDefault="00D61E41" w:rsidP="00422B0F">
            <w:pPr>
              <w:pStyle w:val="Tabletext1"/>
              <w:ind w:left="0"/>
            </w:pPr>
            <w:r>
              <w:t>NR</w:t>
            </w:r>
          </w:p>
        </w:tc>
      </w:tr>
      <w:tr w:rsidR="00D61E41" w:rsidRPr="005F0B01" w14:paraId="5A06F0F6" w14:textId="77777777" w:rsidTr="00422B0F">
        <w:tc>
          <w:tcPr>
            <w:tcW w:w="702" w:type="pct"/>
            <w:tcBorders>
              <w:bottom w:val="single" w:sz="4" w:space="0" w:color="auto"/>
            </w:tcBorders>
          </w:tcPr>
          <w:p w14:paraId="78623C05" w14:textId="32CA5F85" w:rsidR="00D61E41" w:rsidRPr="005F0B01" w:rsidRDefault="00B727D6" w:rsidP="00D726F6">
            <w:pPr>
              <w:pStyle w:val="Tabletext1"/>
              <w:ind w:left="0"/>
            </w:pPr>
            <w:r>
              <w:fldChar w:fldCharType="begin">
                <w:fldData xml:space="preserve">PEVuZE5vdGU+PENpdGU+PEF1dGhvcj5WaWFsYTwvQXV0aG9yPjxZZWFyPjIwMTA8L1llYXI+PFJl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</w:fldData>
              </w:fldChar>
            </w:r>
            <w:r>
              <w:instrText xml:space="preserve"> ADDIN EN.CITE </w:instrText>
            </w:r>
            <w:r>
              <w:fldChar w:fldCharType="begin">
                <w:fldData xml:space="preserve">PEVuZE5vdGU+PENpdGU+PEF1dGhvcj5WaWFsYTwvQXV0aG9yPjxZZWFyPjIwMTA8L1llYXI+PFJl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</w:fldData>
              </w:fldChar>
            </w:r>
            <w:r>
              <w:instrText xml:space="preserve"> ADDIN EN.CITE.DATA </w:instrText>
            </w:r>
            <w:r>
              <w:fldChar w:fldCharType="end"/>
            </w:r>
            <w:r>
              <w:fldChar w:fldCharType="separate"/>
            </w:r>
            <w:r>
              <w:rPr>
                <w:noProof/>
              </w:rPr>
              <w:t>(</w:t>
            </w:r>
            <w:hyperlink w:anchor="_ENREF_76" w:tooltip="Viala, 2010 #1906" w:history="1">
              <w:r w:rsidR="00D726F6">
                <w:rPr>
                  <w:noProof/>
                </w:rPr>
                <w:t>Viala et al. 2010</w:t>
              </w:r>
            </w:hyperlink>
            <w:r>
              <w:rPr>
                <w:noProof/>
              </w:rPr>
              <w:t>)</w:t>
            </w:r>
            <w:r>
              <w:fldChar w:fldCharType="end"/>
            </w:r>
          </w:p>
        </w:tc>
        <w:tc>
          <w:tcPr>
            <w:tcW w:w="211" w:type="pct"/>
            <w:tcBorders>
              <w:bottom w:val="single" w:sz="4" w:space="0" w:color="auto"/>
            </w:tcBorders>
          </w:tcPr>
          <w:p w14:paraId="6BA5886B" w14:textId="77777777" w:rsidR="00D61E41" w:rsidRPr="005F0B01" w:rsidRDefault="00D61E41" w:rsidP="00422B0F">
            <w:pPr>
              <w:pStyle w:val="Tabletext1"/>
              <w:ind w:left="0"/>
            </w:pPr>
            <w:r w:rsidRPr="005F0B01">
              <w:t>58</w:t>
            </w:r>
          </w:p>
        </w:tc>
        <w:tc>
          <w:tcPr>
            <w:tcW w:w="1016" w:type="pct"/>
            <w:tcBorders>
              <w:bottom w:val="single" w:sz="4" w:space="0" w:color="auto"/>
            </w:tcBorders>
          </w:tcPr>
          <w:p w14:paraId="486F73C5" w14:textId="77777777" w:rsidR="00D61E41" w:rsidRPr="005F0B01" w:rsidRDefault="00D61E41" w:rsidP="00422B0F">
            <w:pPr>
              <w:pStyle w:val="Tabletext1"/>
              <w:ind w:left="0"/>
            </w:pPr>
            <w:r>
              <w:t>2</w:t>
            </w:r>
            <w:r w:rsidRPr="00970A60">
              <w:t>g/kg over 3–5 days every 4 weeks for 2 months; then the interval between two courses progressively increased by 1 week</w:t>
            </w:r>
          </w:p>
        </w:tc>
        <w:tc>
          <w:tcPr>
            <w:tcW w:w="661" w:type="pct"/>
            <w:tcBorders>
              <w:bottom w:val="single" w:sz="4" w:space="0" w:color="auto"/>
            </w:tcBorders>
          </w:tcPr>
          <w:p w14:paraId="76B932FE" w14:textId="77777777" w:rsidR="00D61E41" w:rsidRPr="005F0B01" w:rsidRDefault="00D61E41" w:rsidP="00422B0F">
            <w:pPr>
              <w:pStyle w:val="Tabletext1"/>
              <w:ind w:left="0"/>
            </w:pPr>
            <w:r w:rsidRPr="005F0B01">
              <w:t>Median follow-up of 2.9 years (1.5–16 years)</w:t>
            </w:r>
          </w:p>
        </w:tc>
        <w:tc>
          <w:tcPr>
            <w:tcW w:w="864" w:type="pct"/>
            <w:tcBorders>
              <w:bottom w:val="single" w:sz="4" w:space="0" w:color="auto"/>
            </w:tcBorders>
          </w:tcPr>
          <w:p w14:paraId="39E61FBA" w14:textId="77777777" w:rsidR="00D61E41" w:rsidRPr="005F0B01" w:rsidRDefault="00D61E41" w:rsidP="00422B0F">
            <w:pPr>
              <w:pStyle w:val="Tabletext1"/>
              <w:ind w:left="0"/>
            </w:pPr>
            <w:r w:rsidRPr="005F0B01">
              <w:t>38/58 (66%)</w:t>
            </w:r>
          </w:p>
          <w:p w14:paraId="4C5BFA50" w14:textId="77777777" w:rsidR="00D61E41" w:rsidRPr="005F0B01" w:rsidRDefault="00D61E41" w:rsidP="00422B0F">
            <w:pPr>
              <w:pStyle w:val="Tabletext1"/>
              <w:ind w:left="0"/>
            </w:pPr>
            <w:r w:rsidRPr="005F0B01">
              <w:t>21/38 (55%) continued treatment</w:t>
            </w:r>
          </w:p>
        </w:tc>
        <w:tc>
          <w:tcPr>
            <w:tcW w:w="813" w:type="pct"/>
            <w:tcBorders>
              <w:bottom w:val="single" w:sz="4" w:space="0" w:color="auto"/>
            </w:tcBorders>
          </w:tcPr>
          <w:p w14:paraId="7F9E9D6F" w14:textId="77777777" w:rsidR="00D61E41" w:rsidRDefault="00D61E41" w:rsidP="00422B0F">
            <w:pPr>
              <w:pStyle w:val="Tabletext1"/>
              <w:ind w:left="0"/>
            </w:pPr>
            <w:r>
              <w:t>18% of treated patients stopped treatment (&lt;6 months) with no relapse during the follow-up.</w:t>
            </w:r>
          </w:p>
          <w:p w14:paraId="030AAB61" w14:textId="77777777" w:rsidR="00D61E41" w:rsidRPr="005F0B01" w:rsidRDefault="00D61E41" w:rsidP="00422B0F">
            <w:pPr>
              <w:pStyle w:val="Tabletext1"/>
              <w:ind w:left="0"/>
            </w:pPr>
            <w:r>
              <w:t>29% of treated patients stopped treatment after mean of 15 months. (treatment not specified)</w:t>
            </w:r>
          </w:p>
        </w:tc>
        <w:tc>
          <w:tcPr>
            <w:tcW w:w="733" w:type="pct"/>
            <w:tcBorders>
              <w:bottom w:val="single" w:sz="4" w:space="0" w:color="auto"/>
            </w:tcBorders>
          </w:tcPr>
          <w:p w14:paraId="4B5D6C0C" w14:textId="77777777" w:rsidR="00D61E41" w:rsidRPr="005F0B01" w:rsidRDefault="00D61E41" w:rsidP="00422B0F">
            <w:pPr>
              <w:pStyle w:val="Tabletext1"/>
              <w:ind w:left="0"/>
            </w:pPr>
            <w:r>
              <w:t>NR</w:t>
            </w:r>
          </w:p>
        </w:tc>
      </w:tr>
      <w:tr w:rsidR="00D61E41" w:rsidRPr="005F0B01" w14:paraId="17F3F7E0" w14:textId="77777777" w:rsidTr="00422B0F">
        <w:tc>
          <w:tcPr>
            <w:tcW w:w="702" w:type="pct"/>
          </w:tcPr>
          <w:p w14:paraId="5756EDB9" w14:textId="18BF2DE6" w:rsidR="00D61E41" w:rsidRPr="005F0B01" w:rsidRDefault="00B727D6" w:rsidP="00D726F6">
            <w:pPr>
              <w:pStyle w:val="Tabletext1"/>
              <w:ind w:left="0"/>
            </w:pPr>
            <w:r>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PEVuZE5vdGU+PENpdGU+PEF1dGhvcj5IdWdoZXM8L0F1dGhvcj48WWVhcj4yMDA4PC9ZZWFyPjxS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28" w:tooltip="Hughes, 2008 #1205" w:history="1">
              <w:r w:rsidR="00D726F6">
                <w:rPr>
                  <w:noProof/>
                </w:rPr>
                <w:t>Hughes et al. 2008</w:t>
              </w:r>
            </w:hyperlink>
            <w:r>
              <w:rPr>
                <w:noProof/>
              </w:rPr>
              <w:t>)</w:t>
            </w:r>
            <w:r>
              <w:fldChar w:fldCharType="end"/>
            </w:r>
            <w:r w:rsidR="00D61E41" w:rsidRPr="005F0B01">
              <w:t xml:space="preserve"> ICE</w:t>
            </w:r>
            <w:r w:rsidR="00D61E41">
              <w:t xml:space="preserve"> </w:t>
            </w:r>
            <w:r w:rsidR="00D61E41" w:rsidRPr="005F0B01">
              <w:t>Trial</w:t>
            </w:r>
          </w:p>
        </w:tc>
        <w:tc>
          <w:tcPr>
            <w:tcW w:w="211" w:type="pct"/>
          </w:tcPr>
          <w:p w14:paraId="3CEAC2AD" w14:textId="77777777" w:rsidR="00D61E41" w:rsidRPr="005F0B01" w:rsidRDefault="00D61E41" w:rsidP="00422B0F">
            <w:pPr>
              <w:pStyle w:val="Tabletext1"/>
              <w:ind w:left="0"/>
            </w:pPr>
            <w:r w:rsidRPr="005F0B01">
              <w:t>59</w:t>
            </w:r>
          </w:p>
        </w:tc>
        <w:tc>
          <w:tcPr>
            <w:tcW w:w="1016" w:type="pct"/>
          </w:tcPr>
          <w:p w14:paraId="153B32FA" w14:textId="77777777" w:rsidR="00D61E41" w:rsidRDefault="00D61E41" w:rsidP="00422B0F">
            <w:pPr>
              <w:pStyle w:val="Tabletext1"/>
              <w:ind w:left="0"/>
            </w:pPr>
            <w:r w:rsidRPr="00C86584">
              <w:t>2-g/kg loading dose followed by a 1-g/kg maintenance dose every 3 weeks, for up to 24 weeks</w:t>
            </w:r>
          </w:p>
          <w:p w14:paraId="1B1F6947" w14:textId="77777777" w:rsidR="00D61E41" w:rsidRPr="005F0B01" w:rsidRDefault="00D61E41" w:rsidP="00422B0F">
            <w:pPr>
              <w:pStyle w:val="Tabletext1"/>
              <w:ind w:left="0"/>
            </w:pPr>
            <w:r w:rsidRPr="005F0B01">
              <w:t>24 weeks extension phase</w:t>
            </w:r>
          </w:p>
        </w:tc>
        <w:tc>
          <w:tcPr>
            <w:tcW w:w="661" w:type="pct"/>
          </w:tcPr>
          <w:p w14:paraId="1F169513" w14:textId="77777777" w:rsidR="00D61E41" w:rsidRPr="005F0B01" w:rsidRDefault="00D61E41" w:rsidP="00422B0F">
            <w:pPr>
              <w:pStyle w:val="Tabletext1"/>
              <w:ind w:left="0"/>
            </w:pPr>
            <w:r w:rsidRPr="005F0B01">
              <w:t>24 weeks</w:t>
            </w:r>
            <w:r>
              <w:t xml:space="preserve"> after stopping treatment</w:t>
            </w:r>
          </w:p>
        </w:tc>
        <w:tc>
          <w:tcPr>
            <w:tcW w:w="864" w:type="pct"/>
          </w:tcPr>
          <w:p w14:paraId="4061A9EF" w14:textId="77777777" w:rsidR="00D61E41" w:rsidRDefault="00D61E41" w:rsidP="00422B0F">
            <w:pPr>
              <w:pStyle w:val="Tabletext1"/>
              <w:ind w:left="0"/>
            </w:pPr>
            <w:r>
              <w:t>32/59 (54.2%)</w:t>
            </w:r>
          </w:p>
          <w:p w14:paraId="7DC0F9DB" w14:textId="77777777" w:rsidR="00D61E41" w:rsidRPr="005F0B01" w:rsidRDefault="00D61E41" w:rsidP="00422B0F">
            <w:pPr>
              <w:pStyle w:val="Tabletext1"/>
              <w:ind w:left="0"/>
            </w:pPr>
            <w:r>
              <w:t>Response conditional cross-over period: 26/45 (57.8%)</w:t>
            </w:r>
          </w:p>
        </w:tc>
        <w:tc>
          <w:tcPr>
            <w:tcW w:w="813" w:type="pct"/>
          </w:tcPr>
          <w:p w14:paraId="6F3E4410" w14:textId="77777777" w:rsidR="00D61E41" w:rsidRPr="005F0B01" w:rsidRDefault="00D61E41" w:rsidP="00422B0F">
            <w:pPr>
              <w:pStyle w:val="Tabletext1"/>
              <w:ind w:left="0"/>
            </w:pPr>
            <w:r>
              <w:t>56</w:t>
            </w:r>
            <w:r w:rsidRPr="00E02BBF">
              <w:t>% of patients who w</w:t>
            </w:r>
            <w:r>
              <w:t>ere treated with IVIg in the fi</w:t>
            </w:r>
            <w:r w:rsidRPr="00E02BBF">
              <w:t xml:space="preserve">rst 24 weeks and were </w:t>
            </w:r>
            <w:r>
              <w:t>re-randomised</w:t>
            </w:r>
            <w:r w:rsidRPr="00E02BBF">
              <w:t xml:space="preserve"> to placebo remained in remission in an extension phase of 24 weeks</w:t>
            </w:r>
          </w:p>
        </w:tc>
        <w:tc>
          <w:tcPr>
            <w:tcW w:w="733" w:type="pct"/>
          </w:tcPr>
          <w:p w14:paraId="42C5FD3E" w14:textId="77777777" w:rsidR="00D61E41" w:rsidRDefault="00D61E41" w:rsidP="00422B0F">
            <w:pPr>
              <w:pStyle w:val="Tabletext1"/>
              <w:ind w:left="0"/>
            </w:pPr>
            <w:r w:rsidRPr="005F0B01">
              <w:t>4/31 (13%)</w:t>
            </w:r>
            <w:r>
              <w:t xml:space="preserve"> treated with IVIg in the extension phase deteriorated. </w:t>
            </w:r>
          </w:p>
          <w:p w14:paraId="40910EDC" w14:textId="77777777" w:rsidR="00D61E41" w:rsidRPr="005F0B01" w:rsidRDefault="00D61E41" w:rsidP="00422B0F">
            <w:pPr>
              <w:pStyle w:val="Tabletext1"/>
              <w:ind w:left="0"/>
            </w:pPr>
            <w:r>
              <w:t xml:space="preserve">35% of the patients re-randomised to </w:t>
            </w:r>
            <w:r w:rsidRPr="00E02BBF">
              <w:t>placebo</w:t>
            </w:r>
            <w:r>
              <w:t xml:space="preserve"> in the extension phase had a relapse.</w:t>
            </w:r>
          </w:p>
        </w:tc>
      </w:tr>
      <w:tr w:rsidR="00D61E41" w:rsidRPr="005F0B01" w14:paraId="6FCC0C97" w14:textId="77777777" w:rsidTr="00422B0F">
        <w:tc>
          <w:tcPr>
            <w:tcW w:w="702" w:type="pct"/>
          </w:tcPr>
          <w:p w14:paraId="0578F9B6" w14:textId="795091B4" w:rsidR="00D61E41" w:rsidRPr="005F0B01" w:rsidRDefault="00B727D6" w:rsidP="00D726F6">
            <w:pPr>
              <w:pStyle w:val="Tabletext1"/>
              <w:ind w:left="0"/>
            </w:pP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54" w:tooltip="Nobile-Orazio, 2012 #10" w:history="1">
              <w:r w:rsidR="00D726F6">
                <w:rPr>
                  <w:noProof/>
                </w:rPr>
                <w:t>Nobile-Orazio et al. 2012</w:t>
              </w:r>
            </w:hyperlink>
            <w:r>
              <w:rPr>
                <w:noProof/>
              </w:rPr>
              <w:t>)</w:t>
            </w:r>
            <w:r>
              <w:fldChar w:fldCharType="end"/>
            </w:r>
            <w:r w:rsidR="00D61E41" w:rsidRPr="005F0B01">
              <w:t xml:space="preserve"> (IMC trial)</w:t>
            </w:r>
          </w:p>
        </w:tc>
        <w:tc>
          <w:tcPr>
            <w:tcW w:w="211" w:type="pct"/>
          </w:tcPr>
          <w:p w14:paraId="0D106A7A" w14:textId="77777777" w:rsidR="00D61E41" w:rsidRPr="005F0B01" w:rsidRDefault="00D61E41" w:rsidP="00422B0F">
            <w:pPr>
              <w:pStyle w:val="Tabletext1"/>
              <w:ind w:left="0"/>
            </w:pPr>
            <w:r w:rsidRPr="005F0B01">
              <w:t>24</w:t>
            </w:r>
          </w:p>
        </w:tc>
        <w:tc>
          <w:tcPr>
            <w:tcW w:w="1016" w:type="pct"/>
          </w:tcPr>
          <w:p w14:paraId="49D17601" w14:textId="77777777" w:rsidR="00D61E41" w:rsidRPr="005F0B01" w:rsidRDefault="00D61E41" w:rsidP="00422B0F">
            <w:pPr>
              <w:pStyle w:val="Tabletext1"/>
              <w:ind w:left="0"/>
            </w:pPr>
            <w:r w:rsidRPr="005F0B01">
              <w:t>2g/kg every 4 weeks</w:t>
            </w:r>
            <w:r>
              <w:t xml:space="preserve"> for </w:t>
            </w:r>
            <w:r w:rsidRPr="005F0B01">
              <w:t>24 weeks</w:t>
            </w:r>
          </w:p>
        </w:tc>
        <w:tc>
          <w:tcPr>
            <w:tcW w:w="661" w:type="pct"/>
          </w:tcPr>
          <w:p w14:paraId="03A8DA3C" w14:textId="77777777" w:rsidR="00D61E41" w:rsidRPr="005F0B01" w:rsidRDefault="00D61E41" w:rsidP="00422B0F">
            <w:pPr>
              <w:pStyle w:val="Tabletext1"/>
              <w:ind w:left="0"/>
            </w:pPr>
            <w:r>
              <w:t>24 weeks  of treatment + 24 weeks of follow-up</w:t>
            </w:r>
          </w:p>
        </w:tc>
        <w:tc>
          <w:tcPr>
            <w:tcW w:w="864" w:type="pct"/>
          </w:tcPr>
          <w:p w14:paraId="7FC8E96A" w14:textId="77777777" w:rsidR="00D61E41" w:rsidRPr="005F0B01" w:rsidRDefault="00D61E41" w:rsidP="00422B0F">
            <w:pPr>
              <w:pStyle w:val="Tabletext1"/>
              <w:ind w:left="0"/>
            </w:pPr>
            <w:r w:rsidRPr="005F0B01">
              <w:t xml:space="preserve">21/24 (88%) had response to </w:t>
            </w:r>
            <w:r>
              <w:t>treatment</w:t>
            </w:r>
          </w:p>
        </w:tc>
        <w:tc>
          <w:tcPr>
            <w:tcW w:w="813" w:type="pct"/>
          </w:tcPr>
          <w:p w14:paraId="59AF7B7F" w14:textId="77777777" w:rsidR="00D61E41" w:rsidRPr="005F0B01" w:rsidRDefault="00D61E41" w:rsidP="00422B0F">
            <w:pPr>
              <w:pStyle w:val="Tabletext1"/>
              <w:ind w:left="0"/>
            </w:pPr>
            <w:r>
              <w:t xml:space="preserve">All responders were in remission after 24 weeks treatment. </w:t>
            </w:r>
            <w:r w:rsidRPr="005F0B01">
              <w:t>62%</w:t>
            </w:r>
            <w:r>
              <w:t xml:space="preserve"> remained in remission for 24 weeks.</w:t>
            </w:r>
          </w:p>
        </w:tc>
        <w:tc>
          <w:tcPr>
            <w:tcW w:w="733" w:type="pct"/>
          </w:tcPr>
          <w:p w14:paraId="3C2197DF" w14:textId="77777777" w:rsidR="00D61E41" w:rsidRPr="005F0B01" w:rsidRDefault="00D61E41" w:rsidP="00422B0F">
            <w:pPr>
              <w:pStyle w:val="Tabletext1"/>
              <w:ind w:left="0"/>
            </w:pPr>
            <w:r>
              <w:t>8/21 (38%)</w:t>
            </w:r>
          </w:p>
        </w:tc>
      </w:tr>
      <w:tr w:rsidR="00D61E41" w:rsidRPr="005F0B01" w14:paraId="619AF524" w14:textId="77777777" w:rsidTr="00422B0F">
        <w:tc>
          <w:tcPr>
            <w:tcW w:w="702" w:type="pct"/>
          </w:tcPr>
          <w:p w14:paraId="020C011C" w14:textId="22F290FA" w:rsidR="00D61E41" w:rsidRPr="005F0B01" w:rsidRDefault="00D61E41" w:rsidP="00D726F6">
            <w:pPr>
              <w:pStyle w:val="Tabletext1"/>
              <w:ind w:left="0"/>
            </w:pPr>
            <w:r w:rsidRPr="005F0B01">
              <w:t xml:space="preserve">IMC extension study </w: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 </w:instrText>
            </w:r>
            <w:r w:rsidR="00B727D6">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rsidR="00B727D6">
              <w:instrText xml:space="preserve"> ADDIN EN.CITE.DATA </w:instrText>
            </w:r>
            <w:r w:rsidR="00B727D6">
              <w:fldChar w:fldCharType="end"/>
            </w:r>
            <w:r w:rsidR="00B727D6">
              <w:fldChar w:fldCharType="separate"/>
            </w:r>
            <w:r w:rsidR="00B727D6">
              <w:rPr>
                <w:noProof/>
              </w:rPr>
              <w:t>(</w:t>
            </w:r>
            <w:hyperlink w:anchor="_ENREF_55" w:tooltip="Nobile-Orazio, 2015 #1113" w:history="1">
              <w:r w:rsidR="00D726F6">
                <w:rPr>
                  <w:noProof/>
                </w:rPr>
                <w:t>Nobile-Orazio et al. 2015</w:t>
              </w:r>
            </w:hyperlink>
            <w:r w:rsidR="00B727D6">
              <w:rPr>
                <w:noProof/>
              </w:rPr>
              <w:t>)</w:t>
            </w:r>
            <w:r w:rsidR="00B727D6">
              <w:fldChar w:fldCharType="end"/>
            </w:r>
          </w:p>
        </w:tc>
        <w:tc>
          <w:tcPr>
            <w:tcW w:w="211" w:type="pct"/>
          </w:tcPr>
          <w:p w14:paraId="21933337" w14:textId="77777777" w:rsidR="00D61E41" w:rsidRPr="005F0B01" w:rsidRDefault="00D61E41" w:rsidP="00422B0F">
            <w:pPr>
              <w:pStyle w:val="Tabletext1"/>
              <w:ind w:left="0"/>
            </w:pPr>
            <w:r w:rsidRPr="005F0B01">
              <w:t>32</w:t>
            </w:r>
          </w:p>
        </w:tc>
        <w:tc>
          <w:tcPr>
            <w:tcW w:w="1016" w:type="pct"/>
          </w:tcPr>
          <w:p w14:paraId="2720869F" w14:textId="77777777" w:rsidR="00D61E41" w:rsidRPr="005F0B01" w:rsidRDefault="00D61E41" w:rsidP="00422B0F">
            <w:pPr>
              <w:pStyle w:val="Tabletext1"/>
              <w:ind w:left="0"/>
            </w:pPr>
            <w:r>
              <w:t>No</w:t>
            </w:r>
            <w:r w:rsidRPr="005F0B01">
              <w:t xml:space="preserve"> treatment</w:t>
            </w:r>
          </w:p>
        </w:tc>
        <w:tc>
          <w:tcPr>
            <w:tcW w:w="661" w:type="pct"/>
          </w:tcPr>
          <w:p w14:paraId="25D950BD" w14:textId="77777777" w:rsidR="00D61E41" w:rsidRPr="005F0B01" w:rsidRDefault="00D61E41" w:rsidP="00422B0F">
            <w:pPr>
              <w:pStyle w:val="Tabletext1"/>
              <w:ind w:left="0"/>
            </w:pPr>
            <w:r w:rsidRPr="005F0B01">
              <w:t>Median of 42 months no treatment</w:t>
            </w:r>
          </w:p>
        </w:tc>
        <w:tc>
          <w:tcPr>
            <w:tcW w:w="864" w:type="pct"/>
          </w:tcPr>
          <w:p w14:paraId="1CFB275F" w14:textId="77777777" w:rsidR="00D61E41" w:rsidRPr="005F0B01" w:rsidRDefault="00D61E41" w:rsidP="00422B0F">
            <w:pPr>
              <w:pStyle w:val="Tabletext1"/>
              <w:ind w:left="0"/>
            </w:pPr>
            <w:r w:rsidRPr="005F0B01">
              <w:t>28/32 (87.5</w:t>
            </w:r>
            <w:r>
              <w:t>%) from the IMC trial</w:t>
            </w:r>
          </w:p>
        </w:tc>
        <w:tc>
          <w:tcPr>
            <w:tcW w:w="813" w:type="pct"/>
          </w:tcPr>
          <w:p w14:paraId="6A2230A4" w14:textId="77777777" w:rsidR="00D61E41" w:rsidRPr="005F0B01" w:rsidRDefault="00D61E41" w:rsidP="00422B0F">
            <w:pPr>
              <w:pStyle w:val="Tabletext1"/>
              <w:ind w:left="0"/>
            </w:pPr>
            <w:r w:rsidRPr="005F0B01">
              <w:t>14%</w:t>
            </w:r>
          </w:p>
        </w:tc>
        <w:tc>
          <w:tcPr>
            <w:tcW w:w="733" w:type="pct"/>
          </w:tcPr>
          <w:p w14:paraId="3CB0E835" w14:textId="77777777" w:rsidR="00D61E41" w:rsidRPr="005F0B01" w:rsidRDefault="00D61E41" w:rsidP="00422B0F">
            <w:pPr>
              <w:pStyle w:val="Tabletext1"/>
              <w:ind w:left="0"/>
            </w:pPr>
            <w:r w:rsidRPr="005F0B01">
              <w:t>24/28 (85.7%)</w:t>
            </w:r>
          </w:p>
          <w:p w14:paraId="69C910EB" w14:textId="77777777" w:rsidR="00D61E41" w:rsidRPr="005F0B01" w:rsidRDefault="00D61E41" w:rsidP="00422B0F">
            <w:pPr>
              <w:pStyle w:val="Tabletext1"/>
              <w:ind w:left="0"/>
            </w:pPr>
            <w:r w:rsidRPr="005F0B01">
              <w:t>Median time to relapse 4.5 (1–24) months</w:t>
            </w:r>
          </w:p>
        </w:tc>
      </w:tr>
      <w:tr w:rsidR="00D61E41" w:rsidRPr="005F0B01" w14:paraId="62AFF5B5" w14:textId="77777777" w:rsidTr="00422B0F">
        <w:tc>
          <w:tcPr>
            <w:tcW w:w="702" w:type="pct"/>
          </w:tcPr>
          <w:p w14:paraId="10BB43E4" w14:textId="4EB09C50" w:rsidR="00D61E41" w:rsidRPr="005F0B01" w:rsidRDefault="00B727D6" w:rsidP="00D726F6">
            <w:pPr>
              <w:pStyle w:val="Tabletext1"/>
              <w:ind w:left="0"/>
            </w:pPr>
            <w:r>
              <w:fldChar w:fldCharType="begin">
                <w:fldData xml:space="preserve">PEVuZE5vdGU+PENpdGU+PEF1dGhvcj5RdWVyb2w8L0F1dGhvcj48WWVhcj4yMDEzPC9ZZWFyPjxS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</w:fldData>
              </w:fldChar>
            </w:r>
            <w:r>
              <w:instrText xml:space="preserve"> ADDIN EN.CITE </w:instrText>
            </w:r>
            <w:r>
              <w:fldChar w:fldCharType="begin">
                <w:fldData xml:space="preserve">PEVuZE5vdGU+PENpdGU+PEF1dGhvcj5RdWVyb2w8L0F1dGhvcj48WWVhcj4yMDEzPC9ZZWFyPjxS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</w:fldData>
              </w:fldChar>
            </w:r>
            <w:r>
              <w:instrText xml:space="preserve"> ADDIN EN.CITE.DATA </w:instrText>
            </w:r>
            <w:r>
              <w:fldChar w:fldCharType="end"/>
            </w:r>
            <w:r>
              <w:fldChar w:fldCharType="separate"/>
            </w:r>
            <w:r>
              <w:rPr>
                <w:noProof/>
              </w:rPr>
              <w:t>(</w:t>
            </w:r>
            <w:hyperlink w:anchor="_ENREF_58" w:tooltip="Querol, 2013 #145" w:history="1">
              <w:r w:rsidR="00D726F6">
                <w:rPr>
                  <w:noProof/>
                </w:rPr>
                <w:t>Querol et al. 2013</w:t>
              </w:r>
            </w:hyperlink>
            <w:r>
              <w:rPr>
                <w:noProof/>
              </w:rPr>
              <w:t>)</w:t>
            </w:r>
            <w:r>
              <w:fldChar w:fldCharType="end"/>
            </w:r>
          </w:p>
        </w:tc>
        <w:tc>
          <w:tcPr>
            <w:tcW w:w="211" w:type="pct"/>
          </w:tcPr>
          <w:p w14:paraId="7B28452F" w14:textId="77777777" w:rsidR="00D61E41" w:rsidRPr="005F0B01" w:rsidRDefault="00D61E41" w:rsidP="00422B0F">
            <w:pPr>
              <w:pStyle w:val="Tabletext1"/>
              <w:ind w:left="0"/>
            </w:pPr>
            <w:r>
              <w:t>86</w:t>
            </w:r>
          </w:p>
        </w:tc>
        <w:tc>
          <w:tcPr>
            <w:tcW w:w="1016" w:type="pct"/>
          </w:tcPr>
          <w:p w14:paraId="52F32797" w14:textId="77777777" w:rsidR="00D61E41" w:rsidRDefault="00D61E41" w:rsidP="00422B0F">
            <w:pPr>
              <w:pStyle w:val="Tabletext1"/>
              <w:ind w:left="0"/>
            </w:pPr>
            <w:r w:rsidRPr="005F0B01">
              <w:t xml:space="preserve">2g/kg </w:t>
            </w:r>
            <w:r>
              <w:t xml:space="preserve">or 1g/kg loading dose over 5 days. </w:t>
            </w:r>
            <w:r w:rsidRPr="0097282F">
              <w:t>The IVIg dose was subsequently tailored according to patient features and clinical responses.</w:t>
            </w:r>
          </w:p>
          <w:p w14:paraId="5542AE16" w14:textId="77777777" w:rsidR="00D61E41" w:rsidRDefault="00D61E41" w:rsidP="00422B0F">
            <w:pPr>
              <w:pStyle w:val="Tabletext1"/>
              <w:ind w:left="0"/>
            </w:pPr>
            <w:r>
              <w:t>Short-term: 6 weeks</w:t>
            </w:r>
          </w:p>
          <w:p w14:paraId="7A1D60D9" w14:textId="77777777" w:rsidR="00D61E41" w:rsidRDefault="00D61E41" w:rsidP="00422B0F">
            <w:pPr>
              <w:pStyle w:val="Tabletext1"/>
              <w:ind w:left="0"/>
            </w:pPr>
            <w:r>
              <w:t>Mid-term: 24 weeks</w:t>
            </w:r>
          </w:p>
          <w:p w14:paraId="54196363" w14:textId="77777777" w:rsidR="00D61E41" w:rsidRPr="005F0B01" w:rsidRDefault="00D61E41" w:rsidP="00422B0F">
            <w:pPr>
              <w:pStyle w:val="Tabletext1"/>
              <w:ind w:left="0"/>
            </w:pPr>
            <w:r>
              <w:t>Long-term: 48 weeks</w:t>
            </w:r>
          </w:p>
        </w:tc>
        <w:tc>
          <w:tcPr>
            <w:tcW w:w="661" w:type="pct"/>
          </w:tcPr>
          <w:p w14:paraId="6D069EDC" w14:textId="77777777" w:rsidR="00D61E41" w:rsidRPr="005F0B01" w:rsidRDefault="00D61E41" w:rsidP="00422B0F">
            <w:pPr>
              <w:pStyle w:val="Tabletext1"/>
              <w:ind w:left="0"/>
            </w:pPr>
            <w:r>
              <w:t>Mean: 3.9 years</w:t>
            </w:r>
          </w:p>
        </w:tc>
        <w:tc>
          <w:tcPr>
            <w:tcW w:w="864" w:type="pct"/>
          </w:tcPr>
          <w:p w14:paraId="32094C38" w14:textId="77777777" w:rsidR="00D61E41" w:rsidRDefault="00D61E41" w:rsidP="00422B0F">
            <w:pPr>
              <w:pStyle w:val="Tabletext1"/>
              <w:ind w:left="0"/>
            </w:pPr>
            <w:r>
              <w:t xml:space="preserve">60.5% responded at short term, </w:t>
            </w:r>
            <w:r w:rsidRPr="00225793">
              <w:t>54.6% at midterm</w:t>
            </w:r>
            <w:r>
              <w:t>.</w:t>
            </w:r>
          </w:p>
          <w:p w14:paraId="29BDC235" w14:textId="7E58AE5C" w:rsidR="00D61E41" w:rsidRPr="005F0B01" w:rsidRDefault="00D61E41" w:rsidP="00422B0F">
            <w:pPr>
              <w:pStyle w:val="Tabletext1"/>
              <w:ind w:left="0"/>
            </w:pPr>
            <w:r>
              <w:t>36% received only 1 course un</w:t>
            </w:r>
            <w:r w:rsidR="00A301B9">
              <w:t>til</w:t>
            </w:r>
            <w:r>
              <w:t xml:space="preserve"> mid-term, 23.3% did not receive additional IVIg during the study period (60% of these were in remission, 30% on other treatment, and 10% non-responders).</w:t>
            </w:r>
          </w:p>
        </w:tc>
        <w:tc>
          <w:tcPr>
            <w:tcW w:w="813" w:type="pct"/>
          </w:tcPr>
          <w:p w14:paraId="6FD03821" w14:textId="77777777" w:rsidR="00D61E41" w:rsidRPr="005F0B01" w:rsidRDefault="00D61E41" w:rsidP="00422B0F">
            <w:pPr>
              <w:pStyle w:val="Tabletext1"/>
              <w:ind w:left="0"/>
            </w:pPr>
            <w:r w:rsidRPr="00225793">
              <w:t xml:space="preserve">At long term, </w:t>
            </w:r>
            <w:r>
              <w:t>22/86 (25.6%)</w:t>
            </w:r>
            <w:r w:rsidRPr="00225793">
              <w:t xml:space="preserve"> patients were in remission, 65.1% were stable, and 9.3% were non-responders.</w:t>
            </w:r>
          </w:p>
        </w:tc>
        <w:tc>
          <w:tcPr>
            <w:tcW w:w="733" w:type="pct"/>
          </w:tcPr>
          <w:p w14:paraId="220631C4" w14:textId="77777777" w:rsidR="00D61E41" w:rsidRPr="005F0B01" w:rsidRDefault="00D61E41" w:rsidP="00422B0F">
            <w:pPr>
              <w:pStyle w:val="Tabletext1"/>
              <w:ind w:left="0"/>
            </w:pPr>
            <w:r>
              <w:t>NR</w:t>
            </w:r>
          </w:p>
        </w:tc>
      </w:tr>
      <w:tr w:rsidR="00D61E41" w:rsidRPr="005F0B01" w14:paraId="1CD867A6" w14:textId="77777777" w:rsidTr="00422B0F">
        <w:tc>
          <w:tcPr>
            <w:tcW w:w="702" w:type="pct"/>
          </w:tcPr>
          <w:p w14:paraId="137201DD" w14:textId="68698C91" w:rsidR="00D61E41" w:rsidRPr="005F0B01" w:rsidRDefault="00B727D6" w:rsidP="00D726F6">
            <w:pPr>
              <w:pStyle w:val="Tabletext1"/>
              <w:ind w:left="0"/>
            </w:pPr>
            <w:r>
              <w:fldChar w:fldCharType="begin">
                <w:fldData xml:space="preserve">PEVuZE5vdGU+PENpdGU+PEF1dGhvcj5LdWl0d2FhcmQ8L0F1dGhvcj48WWVhcj4yMDE1PC9ZZWFy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</w:fldData>
              </w:fldChar>
            </w:r>
            <w:r>
              <w:instrText xml:space="preserve"> ADDIN EN.CITE </w:instrText>
            </w:r>
            <w:r>
              <w:fldChar w:fldCharType="begin">
                <w:fldData xml:space="preserve">PEVuZE5vdGU+PENpdGU+PEF1dGhvcj5LdWl0d2FhcmQ8L0F1dGhvcj48WWVhcj4yMDE1PC9ZZWFy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</w:fldData>
              </w:fldChar>
            </w:r>
            <w:r>
              <w:instrText xml:space="preserve"> ADDIN EN.CITE.DATA </w:instrText>
            </w:r>
            <w:r>
              <w:fldChar w:fldCharType="end"/>
            </w:r>
            <w:r>
              <w:fldChar w:fldCharType="separate"/>
            </w:r>
            <w:r>
              <w:rPr>
                <w:noProof/>
              </w:rPr>
              <w:t>(</w:t>
            </w:r>
            <w:hyperlink w:anchor="_ENREF_34" w:tooltip="Kuitwaard, 2015 #264" w:history="1">
              <w:r w:rsidR="00D726F6">
                <w:rPr>
                  <w:noProof/>
                </w:rPr>
                <w:t>Kuitwaard et al. 2015</w:t>
              </w:r>
            </w:hyperlink>
            <w:r>
              <w:rPr>
                <w:noProof/>
              </w:rPr>
              <w:t>)</w:t>
            </w:r>
            <w:r>
              <w:fldChar w:fldCharType="end"/>
            </w:r>
          </w:p>
        </w:tc>
        <w:tc>
          <w:tcPr>
            <w:tcW w:w="211" w:type="pct"/>
          </w:tcPr>
          <w:p w14:paraId="17BE3E59" w14:textId="77777777" w:rsidR="00D61E41" w:rsidRPr="005F0B01" w:rsidRDefault="00D61E41" w:rsidP="00422B0F">
            <w:pPr>
              <w:pStyle w:val="Tabletext1"/>
              <w:ind w:left="0"/>
            </w:pPr>
            <w:r>
              <w:t>281</w:t>
            </w:r>
          </w:p>
        </w:tc>
        <w:tc>
          <w:tcPr>
            <w:tcW w:w="1016" w:type="pct"/>
          </w:tcPr>
          <w:p w14:paraId="786AA59C" w14:textId="77777777" w:rsidR="00D61E41" w:rsidRPr="005F0B01" w:rsidRDefault="00D61E41" w:rsidP="00422B0F">
            <w:pPr>
              <w:pStyle w:val="Tabletext1"/>
              <w:ind w:left="0"/>
            </w:pPr>
            <w:r>
              <w:t>At least one full course of IVIg (2g/kg)</w:t>
            </w:r>
          </w:p>
        </w:tc>
        <w:tc>
          <w:tcPr>
            <w:tcW w:w="661" w:type="pct"/>
          </w:tcPr>
          <w:p w14:paraId="2E60443D" w14:textId="77777777" w:rsidR="00D61E41" w:rsidRDefault="00D61E41" w:rsidP="00422B0F">
            <w:pPr>
              <w:pStyle w:val="Tabletext1"/>
              <w:ind w:left="0"/>
            </w:pPr>
            <w:r>
              <w:t xml:space="preserve">Mean: </w:t>
            </w:r>
            <w:r w:rsidRPr="005F0B01">
              <w:t>5.2 years</w:t>
            </w:r>
          </w:p>
          <w:p w14:paraId="3E26A7A9" w14:textId="77777777" w:rsidR="00D61E41" w:rsidRPr="005F0B01" w:rsidRDefault="00D61E41" w:rsidP="00422B0F">
            <w:pPr>
              <w:pStyle w:val="Tabletext1"/>
              <w:ind w:left="0"/>
            </w:pPr>
            <w:r>
              <w:t>Median 3.8 years (20 days–28 years)</w:t>
            </w:r>
          </w:p>
        </w:tc>
        <w:tc>
          <w:tcPr>
            <w:tcW w:w="864" w:type="pct"/>
          </w:tcPr>
          <w:p w14:paraId="6BFACD84" w14:textId="77777777" w:rsidR="00D61E41" w:rsidRPr="005F0B01" w:rsidRDefault="00D61E41" w:rsidP="00422B0F">
            <w:pPr>
              <w:pStyle w:val="Tabletext1"/>
              <w:ind w:left="0"/>
            </w:pPr>
            <w:r>
              <w:t xml:space="preserve">Response rate: </w:t>
            </w:r>
            <w:r w:rsidRPr="00394DEB">
              <w:t>76% (214/281).</w:t>
            </w:r>
          </w:p>
        </w:tc>
        <w:tc>
          <w:tcPr>
            <w:tcW w:w="813" w:type="pct"/>
          </w:tcPr>
          <w:p w14:paraId="0FAB39F7" w14:textId="77777777" w:rsidR="00D61E41" w:rsidRPr="005F0B01" w:rsidRDefault="00D61E41" w:rsidP="00422B0F">
            <w:pPr>
              <w:pStyle w:val="Tabletext1"/>
              <w:ind w:left="0"/>
            </w:pPr>
            <w:r>
              <w:t>86/214 (40%) achieved remission (16% only needed one IVIg course)</w:t>
            </w:r>
          </w:p>
        </w:tc>
        <w:tc>
          <w:tcPr>
            <w:tcW w:w="733" w:type="pct"/>
          </w:tcPr>
          <w:p w14:paraId="36DB79B2" w14:textId="77777777" w:rsidR="00D61E41" w:rsidRPr="005F0B01" w:rsidRDefault="00D61E41" w:rsidP="00422B0F">
            <w:pPr>
              <w:pStyle w:val="Tabletext1"/>
              <w:ind w:left="0"/>
            </w:pPr>
            <w:r>
              <w:t>NR</w:t>
            </w:r>
          </w:p>
        </w:tc>
      </w:tr>
      <w:tr w:rsidR="00D61E41" w:rsidRPr="005F0B01" w14:paraId="64301F49" w14:textId="77777777" w:rsidTr="00422B0F">
        <w:tc>
          <w:tcPr>
            <w:tcW w:w="702" w:type="pct"/>
          </w:tcPr>
          <w:p w14:paraId="350D17CF" w14:textId="77777777" w:rsidR="00D61E41" w:rsidRDefault="00D61E41" w:rsidP="00422B0F">
            <w:pPr>
              <w:pStyle w:val="Tabletext1"/>
              <w:ind w:left="0"/>
            </w:pPr>
            <w:r w:rsidRPr="005F0B01">
              <w:t>Kuwabara 2017</w:t>
            </w:r>
          </w:p>
          <w:p w14:paraId="52572522" w14:textId="344278E8" w:rsidR="00D61E41" w:rsidRPr="005F0B01" w:rsidRDefault="00B727D6" w:rsidP="00D726F6">
            <w:pPr>
              <w:pStyle w:val="Tabletext1"/>
              <w:ind w:left="0"/>
            </w:pPr>
            <w:r>
              <w:fldChar w:fldCharType="begin">
                <w:fldData xml:space="preserve">PEVuZE5vdGU+PENpdGU+PEF1dGhvcj5LdXdhYmFyYTwvQXV0aG9yPjxZZWFyPjIwMTc8L1llYXI+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PEVuZE5vdGU+PENpdGU+PEF1dGhvcj5LdXdhYmFyYTwvQXV0aG9yPjxZZWFyPjIwMTc8L1llYXI+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w:t>
            </w:r>
            <w:hyperlink w:anchor="_ENREF_35" w:tooltip="Kuwabara, 2017 #234" w:history="1">
              <w:r w:rsidR="00D726F6">
                <w:rPr>
                  <w:noProof/>
                </w:rPr>
                <w:t>Kuwabara et al. 2017</w:t>
              </w:r>
            </w:hyperlink>
            <w:r>
              <w:rPr>
                <w:noProof/>
              </w:rPr>
              <w:t>)</w:t>
            </w:r>
            <w:r>
              <w:fldChar w:fldCharType="end"/>
            </w:r>
          </w:p>
        </w:tc>
        <w:tc>
          <w:tcPr>
            <w:tcW w:w="211" w:type="pct"/>
          </w:tcPr>
          <w:p w14:paraId="74386762" w14:textId="77777777" w:rsidR="00D61E41" w:rsidRPr="005F0B01" w:rsidRDefault="00D61E41" w:rsidP="00422B0F">
            <w:pPr>
              <w:pStyle w:val="Tabletext1"/>
              <w:ind w:left="0"/>
            </w:pPr>
            <w:r>
              <w:t>49</w:t>
            </w:r>
          </w:p>
        </w:tc>
        <w:tc>
          <w:tcPr>
            <w:tcW w:w="1016" w:type="pct"/>
          </w:tcPr>
          <w:p w14:paraId="32E3193B" w14:textId="77777777" w:rsidR="00D61E41" w:rsidRPr="005F0B01" w:rsidRDefault="00D61E41" w:rsidP="00422B0F">
            <w:pPr>
              <w:pStyle w:val="Tabletext1"/>
              <w:ind w:left="0"/>
            </w:pPr>
            <w:r>
              <w:t>I</w:t>
            </w:r>
            <w:r w:rsidRPr="00A30973">
              <w:t xml:space="preserve">nduction </w:t>
            </w:r>
            <w:r>
              <w:t>IV</w:t>
            </w:r>
            <w:r w:rsidRPr="00A30973">
              <w:t xml:space="preserve">Ig therapy (0.4 g/kg/day for </w:t>
            </w:r>
            <w:r>
              <w:t>5</w:t>
            </w:r>
            <w:r w:rsidRPr="00A30973">
              <w:t xml:space="preserve"> consecutive days), maintenance dose </w:t>
            </w:r>
            <w:r>
              <w:t>IV</w:t>
            </w:r>
            <w:r w:rsidRPr="00A30973">
              <w:t>Ig (1.0 g/kg) every 3 weeks for up to 52 weeks</w:t>
            </w:r>
            <w:r>
              <w:t xml:space="preserve">. </w:t>
            </w:r>
          </w:p>
        </w:tc>
        <w:tc>
          <w:tcPr>
            <w:tcW w:w="661" w:type="pct"/>
          </w:tcPr>
          <w:p w14:paraId="4D4BC55F" w14:textId="77777777" w:rsidR="00D61E41" w:rsidRPr="005F0B01" w:rsidRDefault="00D61E41" w:rsidP="00422B0F">
            <w:pPr>
              <w:pStyle w:val="Tabletext1"/>
              <w:ind w:left="0"/>
            </w:pPr>
            <w:r>
              <w:t>52 weeks</w:t>
            </w:r>
          </w:p>
        </w:tc>
        <w:tc>
          <w:tcPr>
            <w:tcW w:w="864" w:type="pct"/>
          </w:tcPr>
          <w:p w14:paraId="6EDFBEA7" w14:textId="77777777" w:rsidR="00D61E41" w:rsidRPr="005F0B01" w:rsidRDefault="00D61E41" w:rsidP="00422B0F">
            <w:pPr>
              <w:pStyle w:val="Tabletext1"/>
              <w:ind w:left="0"/>
            </w:pPr>
            <w:r w:rsidRPr="003C4BAC">
              <w:t>At week 28, the responder rate was 77.6% (38/49 patients; 95% CI 63% to 88%), and the 38 responders continued the maintenance therapy</w:t>
            </w:r>
            <w:r>
              <w:t xml:space="preserve"> from 28–49 weeks</w:t>
            </w:r>
            <w:r w:rsidRPr="003C4BAC">
              <w:t>.</w:t>
            </w:r>
          </w:p>
        </w:tc>
        <w:tc>
          <w:tcPr>
            <w:tcW w:w="813" w:type="pct"/>
          </w:tcPr>
          <w:p w14:paraId="18A1F126" w14:textId="77777777" w:rsidR="00D61E41" w:rsidRPr="005F0B01" w:rsidRDefault="00D61E41" w:rsidP="00422B0F">
            <w:pPr>
              <w:pStyle w:val="Tabletext1"/>
              <w:ind w:left="0"/>
            </w:pPr>
            <w:r w:rsidRPr="003C4BAC">
              <w:t>During 52 weeks, 34 (69.4%) of the 49 enrolled patients had a maintained improvement.</w:t>
            </w:r>
            <w:r>
              <w:t xml:space="preserve"> </w:t>
            </w:r>
            <w:r w:rsidRPr="00C76E10">
              <w:rPr>
                <w:i/>
              </w:rPr>
              <w:t xml:space="preserve">All of these patients were receiving treatment and therefore </w:t>
            </w:r>
            <w:r>
              <w:rPr>
                <w:i/>
              </w:rPr>
              <w:t>are not considered</w:t>
            </w:r>
            <w:r w:rsidRPr="00C76E10">
              <w:rPr>
                <w:i/>
              </w:rPr>
              <w:t xml:space="preserve"> in remission for the purpose of this assessment.</w:t>
            </w:r>
          </w:p>
        </w:tc>
        <w:tc>
          <w:tcPr>
            <w:tcW w:w="733" w:type="pct"/>
          </w:tcPr>
          <w:p w14:paraId="17AD089D" w14:textId="77777777" w:rsidR="00D61E41" w:rsidRPr="005F0B01" w:rsidRDefault="00D61E41" w:rsidP="00422B0F">
            <w:pPr>
              <w:pStyle w:val="Tabletext1"/>
              <w:ind w:left="0"/>
            </w:pPr>
            <w:r>
              <w:t>A</w:t>
            </w:r>
            <w:r w:rsidRPr="003C4BAC">
              <w:t>t week 52, 4 of the 38 (10.5%) had a relapse (95% CI 3% to 25%).</w:t>
            </w:r>
          </w:p>
        </w:tc>
      </w:tr>
      <w:tr w:rsidR="00D61E41" w:rsidRPr="005F0B01" w14:paraId="324BD84E" w14:textId="77777777" w:rsidTr="00422B0F">
        <w:tc>
          <w:tcPr>
            <w:tcW w:w="702" w:type="pct"/>
          </w:tcPr>
          <w:p w14:paraId="252D32D3" w14:textId="75253B23" w:rsidR="00D61E41" w:rsidRPr="005F0B01" w:rsidRDefault="00B727D6" w:rsidP="00D726F6">
            <w:pPr>
              <w:pStyle w:val="Tabletext1"/>
              <w:ind w:left="0"/>
            </w:pPr>
            <w:r>
              <w:fldChar w:fldCharType="begin">
                <w:fldData xml:space="preserve">PEVuZE5vdGU+PENpdGU+PEF1dGhvcj5SYWphYmFsbHk8L0F1dGhvcj48WWVhcj4yMDE5PC9ZZWFy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</w:fldData>
              </w:fldChar>
            </w:r>
            <w:r>
              <w:instrText xml:space="preserve"> ADDIN EN.CITE </w:instrText>
            </w:r>
            <w:r>
              <w:fldChar w:fldCharType="begin">
                <w:fldData xml:space="preserve">PEVuZE5vdGU+PENpdGU+PEF1dGhvcj5SYWphYmFsbHk8L0F1dGhvcj48WWVhcj4yMDE5PC9ZZWFy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</w:fldData>
              </w:fldChar>
            </w:r>
            <w:r>
              <w:instrText xml:space="preserve"> ADDIN EN.CITE.DATA </w:instrText>
            </w:r>
            <w:r>
              <w:fldChar w:fldCharType="end"/>
            </w:r>
            <w:r>
              <w:fldChar w:fldCharType="separate"/>
            </w:r>
            <w:r>
              <w:rPr>
                <w:noProof/>
              </w:rPr>
              <w:t>(</w:t>
            </w:r>
            <w:hyperlink w:anchor="_ENREF_59" w:tooltip="Rajabally, 2019 #13" w:history="1">
              <w:r w:rsidR="00D726F6">
                <w:rPr>
                  <w:noProof/>
                </w:rPr>
                <w:t>Rajabally, Yusuf A. &amp; Afzal 2019</w:t>
              </w:r>
            </w:hyperlink>
            <w:r>
              <w:rPr>
                <w:noProof/>
              </w:rPr>
              <w:t>)</w:t>
            </w:r>
            <w:r>
              <w:fldChar w:fldCharType="end"/>
            </w:r>
          </w:p>
        </w:tc>
        <w:tc>
          <w:tcPr>
            <w:tcW w:w="211" w:type="pct"/>
          </w:tcPr>
          <w:p w14:paraId="5203936E" w14:textId="77777777" w:rsidR="00D61E41" w:rsidRPr="005F0B01" w:rsidRDefault="00D61E41" w:rsidP="00422B0F">
            <w:pPr>
              <w:pStyle w:val="Tabletext1"/>
              <w:ind w:left="0"/>
            </w:pPr>
            <w:r>
              <w:t>47</w:t>
            </w:r>
          </w:p>
        </w:tc>
        <w:tc>
          <w:tcPr>
            <w:tcW w:w="1016" w:type="pct"/>
          </w:tcPr>
          <w:p w14:paraId="6E3BC770" w14:textId="77777777" w:rsidR="00D61E41" w:rsidRDefault="00D61E41" w:rsidP="00422B0F">
            <w:pPr>
              <w:pStyle w:val="Tabletext1"/>
              <w:ind w:left="0"/>
            </w:pPr>
            <w:r>
              <w:t>2g/kg body weight for loading dose</w:t>
            </w:r>
          </w:p>
          <w:p w14:paraId="065F03C9" w14:textId="77777777" w:rsidR="00D61E41" w:rsidRPr="005F0B01" w:rsidRDefault="00D61E41" w:rsidP="00422B0F">
            <w:pPr>
              <w:pStyle w:val="Tabletext1"/>
              <w:ind w:left="0"/>
            </w:pPr>
            <w:r>
              <w:t>Variable maintenance dose using algorithm</w:t>
            </w:r>
          </w:p>
        </w:tc>
        <w:tc>
          <w:tcPr>
            <w:tcW w:w="661" w:type="pct"/>
          </w:tcPr>
          <w:p w14:paraId="0620DF4F" w14:textId="77777777" w:rsidR="00D61E41" w:rsidRPr="005F0B01" w:rsidRDefault="00D61E41" w:rsidP="00422B0F">
            <w:pPr>
              <w:pStyle w:val="Tabletext1"/>
              <w:ind w:left="0"/>
            </w:pPr>
            <w:r>
              <w:t>4 years</w:t>
            </w:r>
          </w:p>
        </w:tc>
        <w:tc>
          <w:tcPr>
            <w:tcW w:w="864" w:type="pct"/>
          </w:tcPr>
          <w:p w14:paraId="36239066" w14:textId="77777777" w:rsidR="00D61E41" w:rsidRDefault="00D61E41" w:rsidP="00422B0F">
            <w:pPr>
              <w:pStyle w:val="Tabletext1"/>
              <w:ind w:left="0"/>
            </w:pPr>
            <w:r>
              <w:t>39/47 (83%)</w:t>
            </w:r>
          </w:p>
          <w:p w14:paraId="0D676376" w14:textId="77777777" w:rsidR="00D61E41" w:rsidRPr="005F0B01" w:rsidRDefault="00D61E41" w:rsidP="00422B0F">
            <w:pPr>
              <w:pStyle w:val="Tabletext1"/>
              <w:ind w:left="0"/>
            </w:pPr>
            <w:r>
              <w:t>29/39 long-term IVIg dependent</w:t>
            </w:r>
          </w:p>
        </w:tc>
        <w:tc>
          <w:tcPr>
            <w:tcW w:w="813" w:type="pct"/>
          </w:tcPr>
          <w:p w14:paraId="525F6781" w14:textId="77777777" w:rsidR="00D61E41" w:rsidRPr="005F0B01" w:rsidRDefault="00D61E41" w:rsidP="00422B0F">
            <w:pPr>
              <w:pStyle w:val="Tabletext1"/>
              <w:ind w:left="0"/>
            </w:pPr>
            <w:r>
              <w:t>10/39 (25.6%)</w:t>
            </w:r>
          </w:p>
        </w:tc>
        <w:tc>
          <w:tcPr>
            <w:tcW w:w="733" w:type="pct"/>
          </w:tcPr>
          <w:p w14:paraId="31129E33" w14:textId="77777777" w:rsidR="00D61E41" w:rsidRPr="005F0B01" w:rsidRDefault="00D61E41" w:rsidP="00422B0F">
            <w:pPr>
              <w:pStyle w:val="Tabletext1"/>
              <w:ind w:left="0"/>
            </w:pPr>
            <w:r>
              <w:t>NR</w:t>
            </w:r>
          </w:p>
        </w:tc>
      </w:tr>
      <w:tr w:rsidR="00D61E41" w:rsidRPr="008C3060" w14:paraId="0CB62E18" w14:textId="77777777" w:rsidTr="00422B0F">
        <w:tc>
          <w:tcPr>
            <w:tcW w:w="702" w:type="pct"/>
            <w:tcBorders>
              <w:right w:val="nil"/>
            </w:tcBorders>
          </w:tcPr>
          <w:p w14:paraId="22B5F0A5" w14:textId="77777777" w:rsidR="00D61E41" w:rsidRPr="008C3060" w:rsidRDefault="00D61E41" w:rsidP="00422B0F">
            <w:pPr>
              <w:pStyle w:val="Tabletext1"/>
              <w:ind w:left="0"/>
              <w:rPr>
                <w:b/>
              </w:rPr>
            </w:pPr>
            <w:r w:rsidRPr="008C3060">
              <w:rPr>
                <w:b/>
              </w:rPr>
              <w:t>Corticosteroids</w:t>
            </w:r>
          </w:p>
        </w:tc>
        <w:tc>
          <w:tcPr>
            <w:tcW w:w="211" w:type="pct"/>
            <w:tcBorders>
              <w:left w:val="nil"/>
              <w:right w:val="nil"/>
            </w:tcBorders>
          </w:tcPr>
          <w:p w14:paraId="38DDA848" w14:textId="77777777" w:rsidR="00D61E41" w:rsidRPr="008C3060" w:rsidRDefault="00D61E41" w:rsidP="00422B0F">
            <w:pPr>
              <w:pStyle w:val="Tabletext1"/>
              <w:ind w:left="0"/>
              <w:rPr>
                <w:b/>
              </w:rPr>
            </w:pPr>
          </w:p>
        </w:tc>
        <w:tc>
          <w:tcPr>
            <w:tcW w:w="1016" w:type="pct"/>
            <w:tcBorders>
              <w:left w:val="nil"/>
              <w:right w:val="nil"/>
            </w:tcBorders>
          </w:tcPr>
          <w:p w14:paraId="2A8DB0CB" w14:textId="77777777" w:rsidR="00D61E41" w:rsidRPr="008C3060" w:rsidRDefault="00D61E41" w:rsidP="00422B0F">
            <w:pPr>
              <w:pStyle w:val="Tabletext1"/>
              <w:ind w:left="0"/>
              <w:rPr>
                <w:b/>
              </w:rPr>
            </w:pPr>
          </w:p>
        </w:tc>
        <w:tc>
          <w:tcPr>
            <w:tcW w:w="661" w:type="pct"/>
            <w:tcBorders>
              <w:left w:val="nil"/>
              <w:right w:val="nil"/>
            </w:tcBorders>
          </w:tcPr>
          <w:p w14:paraId="18C41F09" w14:textId="77777777" w:rsidR="00D61E41" w:rsidRPr="008C3060" w:rsidRDefault="00D61E41" w:rsidP="00422B0F">
            <w:pPr>
              <w:pStyle w:val="Tabletext1"/>
              <w:ind w:left="0"/>
              <w:rPr>
                <w:b/>
              </w:rPr>
            </w:pPr>
          </w:p>
        </w:tc>
        <w:tc>
          <w:tcPr>
            <w:tcW w:w="864" w:type="pct"/>
            <w:tcBorders>
              <w:left w:val="nil"/>
              <w:right w:val="nil"/>
            </w:tcBorders>
          </w:tcPr>
          <w:p w14:paraId="36E75418" w14:textId="77777777" w:rsidR="00D61E41" w:rsidRPr="008C3060" w:rsidRDefault="00D61E41" w:rsidP="00422B0F">
            <w:pPr>
              <w:pStyle w:val="Tabletext1"/>
              <w:ind w:left="0"/>
              <w:rPr>
                <w:b/>
              </w:rPr>
            </w:pPr>
          </w:p>
        </w:tc>
        <w:tc>
          <w:tcPr>
            <w:tcW w:w="813" w:type="pct"/>
            <w:tcBorders>
              <w:left w:val="nil"/>
              <w:right w:val="nil"/>
            </w:tcBorders>
          </w:tcPr>
          <w:p w14:paraId="6391DC8E" w14:textId="77777777" w:rsidR="00D61E41" w:rsidRPr="008C3060" w:rsidRDefault="00D61E41" w:rsidP="00422B0F">
            <w:pPr>
              <w:pStyle w:val="Tabletext1"/>
              <w:ind w:left="0"/>
              <w:rPr>
                <w:b/>
              </w:rPr>
            </w:pPr>
          </w:p>
        </w:tc>
        <w:tc>
          <w:tcPr>
            <w:tcW w:w="733" w:type="pct"/>
            <w:tcBorders>
              <w:left w:val="nil"/>
            </w:tcBorders>
          </w:tcPr>
          <w:p w14:paraId="6DC72A7F" w14:textId="77777777" w:rsidR="00D61E41" w:rsidRPr="008C3060" w:rsidRDefault="00D61E41" w:rsidP="00422B0F">
            <w:pPr>
              <w:pStyle w:val="Tabletext1"/>
              <w:ind w:left="0"/>
              <w:rPr>
                <w:b/>
              </w:rPr>
            </w:pPr>
          </w:p>
        </w:tc>
      </w:tr>
      <w:tr w:rsidR="00D61E41" w:rsidRPr="005F0B01" w14:paraId="51F8DD34" w14:textId="77777777" w:rsidTr="00422B0F">
        <w:tc>
          <w:tcPr>
            <w:tcW w:w="702" w:type="pct"/>
          </w:tcPr>
          <w:p w14:paraId="44130E2F" w14:textId="305AAC45" w:rsidR="00D61E41" w:rsidRPr="005F0B01" w:rsidRDefault="00B727D6" w:rsidP="00D726F6">
            <w:pPr>
              <w:pStyle w:val="Tabletext1"/>
              <w:ind w:left="0"/>
            </w:pPr>
            <w:r>
              <w:fldChar w:fldCharType="begin">
                <w:fldData xml:space="preserve">PEVuZE5vdGU+PENpdGU+PEF1dGhvcj5Mb3BhdGU8L0F1dGhvcj48WWVhcj4yMDA1PC9ZZWFyPjxS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</w:fldData>
              </w:fldChar>
            </w:r>
            <w:r>
              <w:instrText xml:space="preserve"> ADDIN EN.CITE </w:instrText>
            </w:r>
            <w:r>
              <w:fldChar w:fldCharType="begin">
                <w:fldData xml:space="preserve">PEVuZE5vdGU+PENpdGU+PEF1dGhvcj5Mb3BhdGU8L0F1dGhvcj48WWVhcj4yMDA1PC9ZZWFyPjxS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</w:fldData>
              </w:fldChar>
            </w:r>
            <w:r>
              <w:instrText xml:space="preserve"> ADDIN EN.CITE.DATA </w:instrText>
            </w:r>
            <w:r>
              <w:fldChar w:fldCharType="end"/>
            </w:r>
            <w:r>
              <w:fldChar w:fldCharType="separate"/>
            </w:r>
            <w:r>
              <w:rPr>
                <w:noProof/>
              </w:rPr>
              <w:t>(</w:t>
            </w:r>
            <w:hyperlink w:anchor="_ENREF_39" w:tooltip="Lopate, 2005 #209" w:history="1">
              <w:r w:rsidR="00D726F6">
                <w:rPr>
                  <w:noProof/>
                </w:rPr>
                <w:t>Lopate, Pestronk &amp; Al-Lozi 2005</w:t>
              </w:r>
            </w:hyperlink>
            <w:r>
              <w:rPr>
                <w:noProof/>
              </w:rPr>
              <w:t>)</w:t>
            </w:r>
            <w:r>
              <w:fldChar w:fldCharType="end"/>
            </w:r>
          </w:p>
        </w:tc>
        <w:tc>
          <w:tcPr>
            <w:tcW w:w="211" w:type="pct"/>
          </w:tcPr>
          <w:p w14:paraId="2A13F525" w14:textId="77777777" w:rsidR="00D61E41" w:rsidRPr="005F0B01" w:rsidRDefault="00D61E41" w:rsidP="00422B0F">
            <w:pPr>
              <w:pStyle w:val="Tabletext1"/>
              <w:ind w:left="0"/>
            </w:pPr>
            <w:r>
              <w:t>16</w:t>
            </w:r>
          </w:p>
        </w:tc>
        <w:tc>
          <w:tcPr>
            <w:tcW w:w="1016" w:type="pct"/>
          </w:tcPr>
          <w:p w14:paraId="5AB05EA3" w14:textId="77777777" w:rsidR="00D61E41" w:rsidRPr="005F0B01" w:rsidRDefault="00D61E41" w:rsidP="00422B0F">
            <w:pPr>
              <w:pStyle w:val="Tabletext1"/>
              <w:ind w:left="0"/>
            </w:pPr>
            <w:r w:rsidRPr="00597E73">
              <w:t xml:space="preserve">initial </w:t>
            </w:r>
            <w:r>
              <w:t>d</w:t>
            </w:r>
            <w:r w:rsidRPr="00597E73">
              <w:t>ose</w:t>
            </w:r>
            <w:r>
              <w:t xml:space="preserve"> </w:t>
            </w:r>
            <w:r w:rsidRPr="00597E73">
              <w:t>of</w:t>
            </w:r>
            <w:r>
              <w:t xml:space="preserve"> 1g/day IVMP</w:t>
            </w:r>
            <w:r w:rsidRPr="00597E73">
              <w:t xml:space="preserve"> </w:t>
            </w:r>
            <w:r>
              <w:t>for 3–</w:t>
            </w:r>
            <w:r w:rsidRPr="00597E73">
              <w:t>5 consecutive days, followed by</w:t>
            </w:r>
            <w:r>
              <w:t xml:space="preserve"> </w:t>
            </w:r>
            <w:r w:rsidRPr="00597E73">
              <w:t>IVMP every 2</w:t>
            </w:r>
            <w:r>
              <w:t>–</w:t>
            </w:r>
            <w:r w:rsidRPr="00597E73">
              <w:t>12 weeks for up to 10 years</w:t>
            </w:r>
            <w:r>
              <w:t>.</w:t>
            </w:r>
          </w:p>
        </w:tc>
        <w:tc>
          <w:tcPr>
            <w:tcW w:w="661" w:type="pct"/>
          </w:tcPr>
          <w:p w14:paraId="3B2B7705" w14:textId="77777777" w:rsidR="00D61E41" w:rsidRPr="005F0B01" w:rsidRDefault="00D61E41" w:rsidP="00422B0F">
            <w:pPr>
              <w:pStyle w:val="Tabletext1"/>
              <w:ind w:left="0"/>
            </w:pPr>
            <w:r>
              <w:t>Mean: 4.6 years</w:t>
            </w:r>
          </w:p>
        </w:tc>
        <w:tc>
          <w:tcPr>
            <w:tcW w:w="864" w:type="pct"/>
          </w:tcPr>
          <w:p w14:paraId="0D81D290" w14:textId="77777777" w:rsidR="00D61E41" w:rsidRPr="005F0B01" w:rsidRDefault="00D61E41" w:rsidP="00422B0F">
            <w:pPr>
              <w:pStyle w:val="Tabletext1"/>
              <w:ind w:left="0"/>
            </w:pPr>
            <w:r>
              <w:t>13/16 (81%)</w:t>
            </w:r>
          </w:p>
        </w:tc>
        <w:tc>
          <w:tcPr>
            <w:tcW w:w="813" w:type="pct"/>
          </w:tcPr>
          <w:p w14:paraId="48778653" w14:textId="77777777" w:rsidR="00D61E41" w:rsidRPr="005F0B01" w:rsidRDefault="00D61E41" w:rsidP="00422B0F">
            <w:pPr>
              <w:pStyle w:val="Tabletext1"/>
              <w:ind w:left="0"/>
            </w:pPr>
            <w:r>
              <w:t>NR</w:t>
            </w:r>
          </w:p>
        </w:tc>
        <w:tc>
          <w:tcPr>
            <w:tcW w:w="733" w:type="pct"/>
          </w:tcPr>
          <w:p w14:paraId="2C68F7D8" w14:textId="77777777" w:rsidR="00D61E41" w:rsidRPr="005F0B01" w:rsidRDefault="00D61E41" w:rsidP="00422B0F">
            <w:pPr>
              <w:pStyle w:val="Tabletext1"/>
              <w:ind w:left="0"/>
            </w:pPr>
            <w:r>
              <w:t>NR</w:t>
            </w:r>
          </w:p>
        </w:tc>
      </w:tr>
      <w:tr w:rsidR="00D61E41" w:rsidRPr="005F0B01" w14:paraId="09844296" w14:textId="77777777" w:rsidTr="00422B0F">
        <w:tc>
          <w:tcPr>
            <w:tcW w:w="702" w:type="pct"/>
          </w:tcPr>
          <w:p w14:paraId="534AF585" w14:textId="218FA4F7" w:rsidR="00D61E41" w:rsidRPr="005F0B01" w:rsidRDefault="00B727D6" w:rsidP="00D726F6">
            <w:pPr>
              <w:pStyle w:val="Tabletext1"/>
              <w:ind w:left="0"/>
            </w:pPr>
            <w:r>
              <w:fldChar w:fldCharType="begin">
                <w:fldData xml:space="preserve">PEVuZE5vdGU+PENpdGU+PEF1dGhvcj5WaWFsYTwvQXV0aG9yPjxZZWFyPjIwMTA8L1llYXI+PFJl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</w:fldData>
              </w:fldChar>
            </w:r>
            <w:r>
              <w:instrText xml:space="preserve"> ADDIN EN.CITE </w:instrText>
            </w:r>
            <w:r>
              <w:fldChar w:fldCharType="begin">
                <w:fldData xml:space="preserve">PEVuZE5vdGU+PENpdGU+PEF1dGhvcj5WaWFsYTwvQXV0aG9yPjxZZWFyPjIwMTA8L1llYXI+PFJl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</w:fldData>
              </w:fldChar>
            </w:r>
            <w:r>
              <w:instrText xml:space="preserve"> ADDIN EN.CITE.DATA </w:instrText>
            </w:r>
            <w:r>
              <w:fldChar w:fldCharType="end"/>
            </w:r>
            <w:r>
              <w:fldChar w:fldCharType="separate"/>
            </w:r>
            <w:r>
              <w:rPr>
                <w:noProof/>
              </w:rPr>
              <w:t>(</w:t>
            </w:r>
            <w:hyperlink w:anchor="_ENREF_76" w:tooltip="Viala, 2010 #1906" w:history="1">
              <w:r w:rsidR="00D726F6">
                <w:rPr>
                  <w:noProof/>
                </w:rPr>
                <w:t>Viala et al. 2010</w:t>
              </w:r>
            </w:hyperlink>
            <w:r>
              <w:rPr>
                <w:noProof/>
              </w:rPr>
              <w:t>)</w:t>
            </w:r>
            <w:r>
              <w:fldChar w:fldCharType="end"/>
            </w:r>
          </w:p>
        </w:tc>
        <w:tc>
          <w:tcPr>
            <w:tcW w:w="211" w:type="pct"/>
          </w:tcPr>
          <w:p w14:paraId="7DB9E327" w14:textId="77777777" w:rsidR="00D61E41" w:rsidRPr="005F0B01" w:rsidRDefault="00D61E41" w:rsidP="00422B0F">
            <w:pPr>
              <w:pStyle w:val="Tabletext1"/>
              <w:ind w:left="0"/>
            </w:pPr>
            <w:r w:rsidRPr="005F0B01">
              <w:t>46</w:t>
            </w:r>
          </w:p>
        </w:tc>
        <w:tc>
          <w:tcPr>
            <w:tcW w:w="1016" w:type="pct"/>
          </w:tcPr>
          <w:p w14:paraId="5F4C4853" w14:textId="77777777" w:rsidR="00D61E41" w:rsidRPr="005F0B01" w:rsidRDefault="00D61E41" w:rsidP="00422B0F">
            <w:pPr>
              <w:pStyle w:val="Tabletext1"/>
              <w:ind w:left="0"/>
            </w:pPr>
            <w:r>
              <w:t xml:space="preserve">Prednisone </w:t>
            </w:r>
            <w:r w:rsidRPr="00970A60">
              <w:t>1 mg/kg/day for 4 weeks, followed by slowly tapered dosages</w:t>
            </w:r>
          </w:p>
        </w:tc>
        <w:tc>
          <w:tcPr>
            <w:tcW w:w="661" w:type="pct"/>
          </w:tcPr>
          <w:p w14:paraId="0C7F8D6B" w14:textId="77777777" w:rsidR="00D61E41" w:rsidRPr="005F0B01" w:rsidRDefault="00D61E41" w:rsidP="00422B0F">
            <w:pPr>
              <w:pStyle w:val="Tabletext1"/>
              <w:ind w:left="0"/>
            </w:pPr>
            <w:r w:rsidRPr="005F0B01">
              <w:t>Median follow-up of 2.9 years (1.5–16 years)</w:t>
            </w:r>
          </w:p>
        </w:tc>
        <w:tc>
          <w:tcPr>
            <w:tcW w:w="864" w:type="pct"/>
          </w:tcPr>
          <w:p w14:paraId="1460FF9D" w14:textId="77777777" w:rsidR="00D61E41" w:rsidRPr="005F0B01" w:rsidRDefault="00D61E41" w:rsidP="00422B0F">
            <w:pPr>
              <w:pStyle w:val="Tabletext1"/>
              <w:ind w:left="0"/>
            </w:pPr>
            <w:r w:rsidRPr="005F0B01">
              <w:t>27/46 (59%)</w:t>
            </w:r>
          </w:p>
          <w:p w14:paraId="683AF749" w14:textId="77777777" w:rsidR="00D61E41" w:rsidRPr="005F0B01" w:rsidRDefault="00D61E41" w:rsidP="00422B0F">
            <w:pPr>
              <w:pStyle w:val="Tabletext1"/>
              <w:ind w:left="0"/>
            </w:pPr>
            <w:r w:rsidRPr="005F0B01">
              <w:t>5/27 (19%) continued treatment</w:t>
            </w:r>
          </w:p>
        </w:tc>
        <w:tc>
          <w:tcPr>
            <w:tcW w:w="813" w:type="pct"/>
          </w:tcPr>
          <w:p w14:paraId="392D8FC6" w14:textId="77777777" w:rsidR="00D61E41" w:rsidRDefault="00D61E41" w:rsidP="00422B0F">
            <w:pPr>
              <w:pStyle w:val="Tabletext1"/>
              <w:ind w:left="0"/>
            </w:pPr>
            <w:r>
              <w:t>18% of treated patients stopped treatment (&lt;6 months) with no relapse during the follow-up.</w:t>
            </w:r>
          </w:p>
          <w:p w14:paraId="23F17A1F" w14:textId="6D9DCA01" w:rsidR="00D61E41" w:rsidRPr="005F0B01" w:rsidRDefault="00D61E41" w:rsidP="00A301B9">
            <w:pPr>
              <w:pStyle w:val="Tabletext1"/>
              <w:ind w:left="0"/>
            </w:pPr>
            <w:r>
              <w:t>29% of treated patients stopped treatment after mean of 15 months. (Tx not spec</w:t>
            </w:r>
            <w:r w:rsidR="00A301B9">
              <w:t>ified</w:t>
            </w:r>
            <w:r>
              <w:t>)</w:t>
            </w:r>
          </w:p>
        </w:tc>
        <w:tc>
          <w:tcPr>
            <w:tcW w:w="733" w:type="pct"/>
          </w:tcPr>
          <w:p w14:paraId="01E6ACEA" w14:textId="77777777" w:rsidR="00D61E41" w:rsidRPr="005F0B01" w:rsidRDefault="00D61E41" w:rsidP="00422B0F">
            <w:pPr>
              <w:pStyle w:val="Tabletext1"/>
              <w:ind w:left="0"/>
            </w:pPr>
            <w:r>
              <w:t>NR</w:t>
            </w:r>
          </w:p>
        </w:tc>
      </w:tr>
      <w:tr w:rsidR="00D61E41" w:rsidRPr="005F0B01" w14:paraId="1FCCF86F" w14:textId="77777777" w:rsidTr="00422B0F">
        <w:tc>
          <w:tcPr>
            <w:tcW w:w="702" w:type="pct"/>
          </w:tcPr>
          <w:p w14:paraId="31FB231A" w14:textId="1EB85FAA" w:rsidR="00D61E41" w:rsidRPr="005F0B01" w:rsidRDefault="00D61E41" w:rsidP="00D726F6">
            <w:pPr>
              <w:pStyle w:val="Tabletext1"/>
              <w:ind w:left="0"/>
            </w:pPr>
            <w:r w:rsidRPr="005F0B01">
              <w:t xml:space="preserve">PREDICT trial </w:t>
            </w:r>
            <w:r w:rsidR="00B727D6">
              <w:fldChar w:fldCharType="begin">
                <w:fldData xml:space="preserve">PEVuZE5vdGU+PENpdGU+PEF1dGhvcj52YW4gU2NoYWlrPC9BdXRob3I+PFllYXI+MjAxMDwvWWVh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</w:fldData>
              </w:fldChar>
            </w:r>
            <w:r w:rsidR="00B727D6">
              <w:instrText xml:space="preserve"> ADDIN EN.CITE </w:instrText>
            </w:r>
            <w:r w:rsidR="00B727D6">
              <w:fldChar w:fldCharType="begin">
                <w:fldData xml:space="preserve">PEVuZE5vdGU+PENpdGU+PEF1dGhvcj52YW4gU2NoYWlrPC9BdXRob3I+PFllYXI+MjAxMDwvWWVh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</w:fldData>
              </w:fldChar>
            </w:r>
            <w:r w:rsidR="00B727D6">
              <w:instrText xml:space="preserve"> ADDIN EN.CITE.DATA </w:instrText>
            </w:r>
            <w:r w:rsidR="00B727D6">
              <w:fldChar w:fldCharType="end"/>
            </w:r>
            <w:r w:rsidR="00B727D6">
              <w:fldChar w:fldCharType="separate"/>
            </w:r>
            <w:r w:rsidR="00B727D6">
              <w:rPr>
                <w:noProof/>
              </w:rPr>
              <w:t>(</w:t>
            </w:r>
            <w:hyperlink w:anchor="_ENREF_75" w:tooltip="van Schaik, 2010 #57" w:history="1">
              <w:r w:rsidR="00D726F6">
                <w:rPr>
                  <w:noProof/>
                </w:rPr>
                <w:t>van Schaik, I. N. et al. 2010</w:t>
              </w:r>
            </w:hyperlink>
            <w:r w:rsidR="00B727D6">
              <w:rPr>
                <w:noProof/>
              </w:rPr>
              <w:t>)</w:t>
            </w:r>
            <w:r w:rsidR="00B727D6">
              <w:fldChar w:fldCharType="end"/>
            </w:r>
          </w:p>
        </w:tc>
        <w:tc>
          <w:tcPr>
            <w:tcW w:w="211" w:type="pct"/>
          </w:tcPr>
          <w:p w14:paraId="0A7E662B" w14:textId="77777777" w:rsidR="00D61E41" w:rsidRPr="005F0B01" w:rsidRDefault="00D61E41" w:rsidP="00422B0F">
            <w:pPr>
              <w:pStyle w:val="Tabletext1"/>
              <w:ind w:left="0"/>
            </w:pPr>
            <w:r w:rsidRPr="005F0B01">
              <w:t>40</w:t>
            </w:r>
          </w:p>
        </w:tc>
        <w:tc>
          <w:tcPr>
            <w:tcW w:w="1016" w:type="pct"/>
          </w:tcPr>
          <w:p w14:paraId="2E224006" w14:textId="77777777" w:rsidR="00D61E41" w:rsidRPr="005F0B01" w:rsidRDefault="00D61E41" w:rsidP="00422B0F">
            <w:pPr>
              <w:pStyle w:val="Tabletext1"/>
              <w:ind w:left="0"/>
            </w:pPr>
            <w:r>
              <w:t>D</w:t>
            </w:r>
            <w:r w:rsidRPr="005F0B01">
              <w:t xml:space="preserve">examethasone 40 mg </w:t>
            </w:r>
            <w:r w:rsidRPr="005F0B01">
              <w:rPr>
                <w:rFonts w:cstheme="minorHAnsi"/>
              </w:rPr>
              <w:t>×</w:t>
            </w:r>
            <w:r w:rsidRPr="005F0B01">
              <w:t xml:space="preserve"> 4 for 6 cycles or daily prednisolone for 32 weeks starting with 60 mg per day for 5 weeks and tapering ultimately to zero</w:t>
            </w:r>
          </w:p>
        </w:tc>
        <w:tc>
          <w:tcPr>
            <w:tcW w:w="661" w:type="pct"/>
          </w:tcPr>
          <w:p w14:paraId="72FEF171" w14:textId="77777777" w:rsidR="00D61E41" w:rsidRPr="005F0B01" w:rsidRDefault="00D61E41" w:rsidP="00422B0F">
            <w:pPr>
              <w:pStyle w:val="Tabletext1"/>
              <w:ind w:left="0"/>
            </w:pPr>
            <w:r>
              <w:t>Tr</w:t>
            </w:r>
            <w:r w:rsidRPr="00D15381">
              <w:t>eatment period (weeks 1–32) and a follow-up period (weeks 33–52).</w:t>
            </w:r>
          </w:p>
        </w:tc>
        <w:tc>
          <w:tcPr>
            <w:tcW w:w="864" w:type="pct"/>
          </w:tcPr>
          <w:p w14:paraId="39817AA5" w14:textId="77777777" w:rsidR="00D61E41" w:rsidRPr="005F0B01" w:rsidRDefault="00D61E41" w:rsidP="00422B0F">
            <w:pPr>
              <w:pStyle w:val="Tabletext1"/>
              <w:ind w:left="0"/>
            </w:pPr>
            <w:r>
              <w:t>20/40 (50%)</w:t>
            </w:r>
          </w:p>
        </w:tc>
        <w:tc>
          <w:tcPr>
            <w:tcW w:w="813" w:type="pct"/>
          </w:tcPr>
          <w:p w14:paraId="374ACE1B" w14:textId="77777777" w:rsidR="00D61E41" w:rsidRDefault="00D61E41" w:rsidP="00422B0F">
            <w:pPr>
              <w:pStyle w:val="Tabletext1"/>
              <w:ind w:left="0"/>
            </w:pPr>
            <w:r>
              <w:t>16/40 (4</w:t>
            </w:r>
            <w:r w:rsidRPr="005F0B01">
              <w:t>0%)</w:t>
            </w:r>
          </w:p>
          <w:p w14:paraId="4BD1A432" w14:textId="77777777" w:rsidR="00D61E41" w:rsidRPr="005F0B01" w:rsidRDefault="00D61E41" w:rsidP="00422B0F">
            <w:pPr>
              <w:pStyle w:val="Tabletext1"/>
              <w:ind w:left="0"/>
            </w:pPr>
            <w:r w:rsidRPr="00E02BBF">
              <w:t>Median time to remission was 20</w:t>
            </w:r>
            <w:r>
              <w:t xml:space="preserve"> weeks </w:t>
            </w:r>
            <w:r w:rsidRPr="00E02BBF">
              <w:t xml:space="preserve">in patients treated with dexamethasone and 39 weeks </w:t>
            </w:r>
            <w:r>
              <w:t>in those receiving prednisolone.</w:t>
            </w:r>
          </w:p>
        </w:tc>
        <w:tc>
          <w:tcPr>
            <w:tcW w:w="733" w:type="pct"/>
          </w:tcPr>
          <w:p w14:paraId="4494E975" w14:textId="77777777" w:rsidR="00D61E41" w:rsidRPr="005F0B01" w:rsidRDefault="00D61E41" w:rsidP="00422B0F">
            <w:pPr>
              <w:pStyle w:val="Tabletext1"/>
              <w:ind w:left="0"/>
            </w:pPr>
            <w:r>
              <w:t>-</w:t>
            </w:r>
          </w:p>
        </w:tc>
      </w:tr>
      <w:tr w:rsidR="00D61E41" w:rsidRPr="005F0B01" w14:paraId="59100BD1" w14:textId="77777777" w:rsidTr="00422B0F">
        <w:tc>
          <w:tcPr>
            <w:tcW w:w="702" w:type="pct"/>
          </w:tcPr>
          <w:p w14:paraId="15638661" w14:textId="223ABE9F" w:rsidR="00D61E41" w:rsidRPr="005F0B01" w:rsidRDefault="00D61E41" w:rsidP="00D726F6">
            <w:pPr>
              <w:pStyle w:val="Tabletext1"/>
              <w:ind w:left="0"/>
            </w:pPr>
            <w:r w:rsidRPr="005F0B01">
              <w:t xml:space="preserve">PREDICT extension </w:t>
            </w:r>
            <w:r>
              <w:t xml:space="preserve">study </w:t>
            </w:r>
            <w:r w:rsidR="00B727D6">
              <w:fldChar w:fldCharType="begin"/>
            </w:r>
            <w:r w:rsidR="00B727D6">
              <w:instrText xml:space="preserve"> ADDIN EN.CITE &lt;EndNote&gt;&lt;Cite&gt;&lt;Author&gt;Eftimov&lt;/Author&gt;&lt;Year&gt;2012&lt;/Year&gt;&lt;RecNum&gt;698&lt;/RecNum&gt;&lt;DisplayText&gt;(Eftimov et al. 2012)&lt;/DisplayText&gt;&lt;record&gt;&lt;rec-number&gt;698&lt;/rec-number&gt;&lt;foreign-keys&gt;&lt;key app="EN" db-id="xtr5xfx2xf0wd7e0s2qvst2ietxxf0tpzr9v" timestamp="1602225912"&gt;698&lt;/key&gt;&lt;/foreign-keys&gt;&lt;ref-type name="Journal Article"&gt;17&lt;/ref-type&gt;&lt;contributors&gt;&lt;authors&gt;&lt;author&gt;Eftimov, F.&lt;/author&gt;&lt;author&gt;Vermeulen, M.&lt;/author&gt;&lt;author&gt;van Doorn, P. A.&lt;/author&gt;&lt;author&gt;Brusse, E.&lt;/author&gt;&lt;author&gt;van Schaik, I. N.&lt;/author&gt;&lt;/authors&gt;&lt;/contributors&gt;&lt;auth-address&gt;Department of Neurology, Academic Medical Center, Amsterdam, the Netherlands. f.eftimov@amc.uva.nl&lt;/auth-address&gt;&lt;titles&gt;&lt;title&gt;Long-term remission of CIDP after pulsed dexamethasone or short-term prednisolone treatment&lt;/title&gt;&lt;secondary-title&gt;Neurology&lt;/secondary-title&gt;&lt;/titles&gt;&lt;periodical&gt;&lt;full-title&gt;Neurology&lt;/full-title&gt;&lt;/periodical&gt;&lt;pages&gt;1079-84&lt;/pages&gt;&lt;volume&gt;78&lt;/volume&gt;&lt;number&gt;14&lt;/number&gt;&lt;edition&gt;2012/03/24&lt;/edition&gt;&lt;keywords&gt;&lt;keyword&gt;Anti-Inflammatory Agents/ administration &amp;amp; dosage&lt;/keyword&gt;&lt;keyword&gt;Cohort Studies&lt;/keyword&gt;&lt;keyword&gt;Dexamethasone/ administration &amp;amp; dosage&lt;/keyword&gt;&lt;keyword&gt;Follow-Up Studies&lt;/keyword&gt;&lt;keyword&gt;Humans&lt;/keyword&gt;&lt;keyword&gt;Polyradiculoneuropathy, Chronic Inflammatory Demyelinating/ drug therapy/ pathology&lt;/keyword&gt;&lt;keyword&gt;Prednisolone/ administration &amp;amp; dosage&lt;/keyword&gt;&lt;keyword&gt;Prospective Studies&lt;/keyword&gt;&lt;keyword&gt;Pulse Therapy, Drug&lt;/keyword&gt;&lt;keyword&gt;Remission Induction&lt;/keyword&gt;&lt;keyword&gt;Time Factors&lt;/keyword&gt;&lt;keyword&gt;Treatment Outcome&lt;/keyword&gt;&lt;/keywords&gt;&lt;dates&gt;&lt;year&gt;2012&lt;/year&gt;&lt;pub-dates&gt;&lt;date&gt;Apr 3&lt;/date&gt;&lt;/pub-dates&gt;&lt;/dates&gt;&lt;isbn&gt;1526-632X (Electronic)&amp;#xD;0028-3878 (Linking)&lt;/isbn&gt;&lt;accession-num&gt;22442436&lt;/accession-num&gt;&lt;urls&gt;&lt;related-urls&gt;&lt;url&gt;https://n.neurology.org/content/78/14/1079.long&lt;/url&gt;&lt;/related-urls&gt;&lt;/urls&gt;&lt;electronic-resource-num&gt;10.1212/WNL.0b013e31824e8f84&lt;/electronic-resource-num&gt;&lt;remote-database-provider&gt;NLM&lt;/remote-database-provider&gt;&lt;language&gt;eng&lt;/language&gt;&lt;/record&gt;&lt;/Cite&gt;&lt;/EndNote&gt;</w:instrText>
            </w:r>
            <w:r w:rsidR="00B727D6">
              <w:fldChar w:fldCharType="separate"/>
            </w:r>
            <w:r w:rsidR="00B727D6">
              <w:rPr>
                <w:noProof/>
              </w:rPr>
              <w:t>(</w:t>
            </w:r>
            <w:hyperlink w:anchor="_ENREF_18" w:tooltip="Eftimov, 2012 #698" w:history="1">
              <w:r w:rsidR="00D726F6">
                <w:rPr>
                  <w:noProof/>
                </w:rPr>
                <w:t>Eftimov et al. 2012</w:t>
              </w:r>
            </w:hyperlink>
            <w:r w:rsidR="00B727D6">
              <w:rPr>
                <w:noProof/>
              </w:rPr>
              <w:t>)</w:t>
            </w:r>
            <w:r w:rsidR="00B727D6">
              <w:fldChar w:fldCharType="end"/>
            </w:r>
          </w:p>
        </w:tc>
        <w:tc>
          <w:tcPr>
            <w:tcW w:w="211" w:type="pct"/>
          </w:tcPr>
          <w:p w14:paraId="2626F8BA" w14:textId="77777777" w:rsidR="00D61E41" w:rsidRPr="005F0B01" w:rsidRDefault="00D61E41" w:rsidP="00422B0F">
            <w:pPr>
              <w:pStyle w:val="Tabletext1"/>
              <w:ind w:left="0"/>
            </w:pPr>
            <w:r w:rsidRPr="005F0B01">
              <w:t>39</w:t>
            </w:r>
          </w:p>
        </w:tc>
        <w:tc>
          <w:tcPr>
            <w:tcW w:w="1016" w:type="pct"/>
          </w:tcPr>
          <w:p w14:paraId="4020C7F8" w14:textId="77777777" w:rsidR="00D61E41" w:rsidRPr="005F0B01" w:rsidRDefault="00D61E41" w:rsidP="00422B0F">
            <w:pPr>
              <w:pStyle w:val="Tabletext1"/>
              <w:ind w:left="0"/>
            </w:pPr>
            <w:r w:rsidRPr="005F0B01">
              <w:t>Off treatment</w:t>
            </w:r>
          </w:p>
        </w:tc>
        <w:tc>
          <w:tcPr>
            <w:tcW w:w="661" w:type="pct"/>
          </w:tcPr>
          <w:p w14:paraId="44A44B1D" w14:textId="77777777" w:rsidR="00D61E41" w:rsidRPr="005F0B01" w:rsidRDefault="00D61E41" w:rsidP="00422B0F">
            <w:pPr>
              <w:pStyle w:val="Tabletext1"/>
              <w:ind w:left="0"/>
            </w:pPr>
            <w:r w:rsidRPr="005F0B01">
              <w:t>Median (range) follow-up of 54 (9–100) months</w:t>
            </w:r>
          </w:p>
        </w:tc>
        <w:tc>
          <w:tcPr>
            <w:tcW w:w="864" w:type="pct"/>
          </w:tcPr>
          <w:p w14:paraId="6DE25F17" w14:textId="77777777" w:rsidR="00D61E41" w:rsidRPr="005F0B01" w:rsidRDefault="00D61E41" w:rsidP="00422B0F">
            <w:pPr>
              <w:pStyle w:val="Tabletext1"/>
              <w:ind w:left="0"/>
            </w:pPr>
            <w:r w:rsidRPr="005F0B01">
              <w:t>-</w:t>
            </w:r>
          </w:p>
        </w:tc>
        <w:tc>
          <w:tcPr>
            <w:tcW w:w="813" w:type="pct"/>
          </w:tcPr>
          <w:p w14:paraId="2066E11B" w14:textId="77777777" w:rsidR="00D61E41" w:rsidRPr="005F0B01" w:rsidRDefault="00D61E41" w:rsidP="00422B0F">
            <w:pPr>
              <w:pStyle w:val="Tabletext1"/>
              <w:ind w:left="0"/>
            </w:pPr>
            <w:r w:rsidRPr="005F0B01">
              <w:t>10/</w:t>
            </w:r>
            <w:r>
              <w:t>39 (</w:t>
            </w:r>
            <w:r w:rsidRPr="005F0B01">
              <w:t>26%</w:t>
            </w:r>
            <w:r>
              <w:t>) in</w:t>
            </w:r>
            <w:r w:rsidRPr="005F0B01">
              <w:t xml:space="preserve"> remission</w:t>
            </w:r>
          </w:p>
        </w:tc>
        <w:tc>
          <w:tcPr>
            <w:tcW w:w="733" w:type="pct"/>
          </w:tcPr>
          <w:p w14:paraId="25D68414" w14:textId="77777777" w:rsidR="00D61E41" w:rsidRPr="005F0B01" w:rsidRDefault="00D61E41" w:rsidP="00422B0F">
            <w:pPr>
              <w:pStyle w:val="Tabletext1"/>
              <w:ind w:left="0"/>
            </w:pPr>
            <w:r w:rsidRPr="005F0B01">
              <w:t>8/16 (50%): 5/8 relapsed within a year after ceasing therapy.</w:t>
            </w:r>
          </w:p>
          <w:p w14:paraId="3195C0BE" w14:textId="77777777" w:rsidR="00D61E41" w:rsidRPr="005F0B01" w:rsidRDefault="00D61E41" w:rsidP="00422B0F">
            <w:pPr>
              <w:pStyle w:val="Tabletext1"/>
              <w:ind w:left="0"/>
            </w:pPr>
            <w:r w:rsidRPr="005F0B01">
              <w:t>median time to relapse: 17.5 months for dexamethasone, 11 months for prednisolone</w:t>
            </w:r>
          </w:p>
        </w:tc>
      </w:tr>
      <w:tr w:rsidR="00D61E41" w:rsidRPr="005F0B01" w14:paraId="23FB17CA" w14:textId="77777777" w:rsidTr="00422B0F">
        <w:tc>
          <w:tcPr>
            <w:tcW w:w="702" w:type="pct"/>
          </w:tcPr>
          <w:p w14:paraId="57A2461D" w14:textId="42AFA6A3" w:rsidR="00D61E41" w:rsidRPr="005F0B01" w:rsidRDefault="00B727D6" w:rsidP="00D726F6">
            <w:pPr>
              <w:pStyle w:val="Tabletext1"/>
              <w:ind w:left="0"/>
            </w:pP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PEVuZE5vdGU+PENpdGU+PEF1dGhvcj5Ob2JpbGUtT3JhemlvPC9BdXRob3I+PFllYXI+MjAxMjwv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54" w:tooltip="Nobile-Orazio, 2012 #10" w:history="1">
              <w:r w:rsidR="00D726F6">
                <w:rPr>
                  <w:noProof/>
                </w:rPr>
                <w:t>Nobile-Orazio et al. 2012</w:t>
              </w:r>
            </w:hyperlink>
            <w:r>
              <w:rPr>
                <w:noProof/>
              </w:rPr>
              <w:t>)</w:t>
            </w:r>
            <w:r>
              <w:fldChar w:fldCharType="end"/>
            </w:r>
          </w:p>
        </w:tc>
        <w:tc>
          <w:tcPr>
            <w:tcW w:w="211" w:type="pct"/>
          </w:tcPr>
          <w:p w14:paraId="0768A3AD" w14:textId="77777777" w:rsidR="00D61E41" w:rsidRPr="005F0B01" w:rsidRDefault="00D61E41" w:rsidP="00422B0F">
            <w:pPr>
              <w:pStyle w:val="Tabletext1"/>
              <w:ind w:left="0"/>
            </w:pPr>
            <w:r w:rsidRPr="005F0B01">
              <w:t>21</w:t>
            </w:r>
          </w:p>
        </w:tc>
        <w:tc>
          <w:tcPr>
            <w:tcW w:w="1016" w:type="pct"/>
          </w:tcPr>
          <w:p w14:paraId="545BCEDB" w14:textId="77777777" w:rsidR="00D61E41" w:rsidRPr="005F0B01" w:rsidRDefault="00D61E41" w:rsidP="00422B0F">
            <w:pPr>
              <w:pStyle w:val="Tabletext1"/>
              <w:ind w:left="0"/>
            </w:pPr>
            <w:r w:rsidRPr="005F0B01">
              <w:t>2g every 4 weeks for 24 weeks</w:t>
            </w:r>
          </w:p>
        </w:tc>
        <w:tc>
          <w:tcPr>
            <w:tcW w:w="661" w:type="pct"/>
          </w:tcPr>
          <w:p w14:paraId="611B8B70" w14:textId="77777777" w:rsidR="00D61E41" w:rsidRPr="005F0B01" w:rsidRDefault="00D61E41" w:rsidP="00422B0F">
            <w:pPr>
              <w:pStyle w:val="Tabletext1"/>
              <w:ind w:left="0"/>
            </w:pPr>
            <w:r>
              <w:t>24 weeks  of treatment + 24 weeks of follow-up</w:t>
            </w:r>
          </w:p>
        </w:tc>
        <w:tc>
          <w:tcPr>
            <w:tcW w:w="864" w:type="pct"/>
          </w:tcPr>
          <w:p w14:paraId="78C12665" w14:textId="77777777" w:rsidR="00D61E41" w:rsidRPr="005F0B01" w:rsidRDefault="00D61E41" w:rsidP="00422B0F">
            <w:pPr>
              <w:pStyle w:val="Tabletext1"/>
              <w:ind w:left="0"/>
            </w:pPr>
            <w:r w:rsidRPr="005F0B01">
              <w:t>10/21 (48%)</w:t>
            </w:r>
          </w:p>
        </w:tc>
        <w:tc>
          <w:tcPr>
            <w:tcW w:w="813" w:type="pct"/>
          </w:tcPr>
          <w:p w14:paraId="24EAE150" w14:textId="77777777" w:rsidR="00D61E41" w:rsidRDefault="00D61E41" w:rsidP="00422B0F">
            <w:pPr>
              <w:pStyle w:val="Tabletext1"/>
              <w:ind w:left="0"/>
            </w:pPr>
            <w:r>
              <w:t>10/10 (100%)</w:t>
            </w:r>
          </w:p>
          <w:p w14:paraId="61D26DD6" w14:textId="77777777" w:rsidR="00D61E41" w:rsidRPr="00420169" w:rsidRDefault="00D61E41" w:rsidP="00422B0F">
            <w:pPr>
              <w:pStyle w:val="Tabletext1"/>
              <w:ind w:left="0"/>
              <w:rPr>
                <w:i/>
              </w:rPr>
            </w:pPr>
            <w:r>
              <w:rPr>
                <w:i/>
              </w:rPr>
              <w:t>Only during short-term follow-up. Most of these patients relapsed after a median follow-up of 43 months.</w:t>
            </w:r>
          </w:p>
        </w:tc>
        <w:tc>
          <w:tcPr>
            <w:tcW w:w="733" w:type="pct"/>
          </w:tcPr>
          <w:p w14:paraId="60CC9849" w14:textId="77777777" w:rsidR="00D61E41" w:rsidRPr="005F0B01" w:rsidRDefault="00D61E41" w:rsidP="00422B0F">
            <w:pPr>
              <w:pStyle w:val="Tabletext1"/>
              <w:ind w:left="0"/>
            </w:pPr>
            <w:r>
              <w:t>0/10 (0%)</w:t>
            </w:r>
          </w:p>
        </w:tc>
      </w:tr>
      <w:tr w:rsidR="00D61E41" w:rsidRPr="005F0B01" w14:paraId="31F89BEC" w14:textId="77777777" w:rsidTr="00422B0F">
        <w:tc>
          <w:tcPr>
            <w:tcW w:w="702" w:type="pct"/>
          </w:tcPr>
          <w:p w14:paraId="72CC701B" w14:textId="6798A2FD" w:rsidR="00D61E41" w:rsidRPr="005F0B01" w:rsidRDefault="00B727D6" w:rsidP="00D726F6">
            <w:pPr>
              <w:pStyle w:val="Tabletext1"/>
              <w:ind w:left="0"/>
            </w:pPr>
            <w:r>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instrText xml:space="preserve"> ADDIN EN.CITE </w:instrText>
            </w:r>
            <w:r>
              <w:fldChar w:fldCharType="begin">
                <w:fldData xml:space="preserve">PEVuZE5vdGU+PENpdGU+PEF1dGhvcj5Ob2JpbGUtT3JhemlvPC9BdXRob3I+PFllYXI+MjAxNTwv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</w:fldData>
              </w:fldChar>
            </w:r>
            <w:r>
              <w:instrText xml:space="preserve"> ADDIN EN.CITE.DATA </w:instrText>
            </w:r>
            <w:r>
              <w:fldChar w:fldCharType="end"/>
            </w:r>
            <w:r>
              <w:fldChar w:fldCharType="separate"/>
            </w:r>
            <w:r>
              <w:rPr>
                <w:noProof/>
              </w:rPr>
              <w:t>(</w:t>
            </w:r>
            <w:hyperlink w:anchor="_ENREF_55" w:tooltip="Nobile-Orazio, 2015 #1113" w:history="1">
              <w:r w:rsidR="00D726F6">
                <w:rPr>
                  <w:noProof/>
                </w:rPr>
                <w:t>Nobile-Orazio et al. 2015</w:t>
              </w:r>
            </w:hyperlink>
            <w:r>
              <w:rPr>
                <w:noProof/>
              </w:rPr>
              <w:t>)</w:t>
            </w:r>
            <w:r>
              <w:fldChar w:fldCharType="end"/>
            </w:r>
          </w:p>
        </w:tc>
        <w:tc>
          <w:tcPr>
            <w:tcW w:w="211" w:type="pct"/>
          </w:tcPr>
          <w:p w14:paraId="27F59FD7" w14:textId="77777777" w:rsidR="00D61E41" w:rsidRPr="005F0B01" w:rsidRDefault="00D61E41" w:rsidP="00422B0F">
            <w:pPr>
              <w:pStyle w:val="Tabletext1"/>
              <w:ind w:left="0"/>
            </w:pPr>
            <w:r w:rsidRPr="005F0B01">
              <w:t>24</w:t>
            </w:r>
          </w:p>
        </w:tc>
        <w:tc>
          <w:tcPr>
            <w:tcW w:w="1016" w:type="pct"/>
          </w:tcPr>
          <w:p w14:paraId="1501C177" w14:textId="77777777" w:rsidR="00D61E41" w:rsidRPr="005F0B01" w:rsidRDefault="00D61E41" w:rsidP="00422B0F">
            <w:pPr>
              <w:pStyle w:val="Tabletext1"/>
              <w:ind w:left="0"/>
            </w:pPr>
            <w:r w:rsidRPr="005F0B01">
              <w:t>Off treatment</w:t>
            </w:r>
          </w:p>
        </w:tc>
        <w:tc>
          <w:tcPr>
            <w:tcW w:w="661" w:type="pct"/>
          </w:tcPr>
          <w:p w14:paraId="7F67BB35" w14:textId="77777777" w:rsidR="00D61E41" w:rsidRPr="005F0B01" w:rsidRDefault="00D61E41" w:rsidP="00422B0F">
            <w:pPr>
              <w:pStyle w:val="Tabletext1"/>
              <w:ind w:left="0"/>
            </w:pPr>
            <w:r w:rsidRPr="005F0B01">
              <w:t>Median follow-up 43 months</w:t>
            </w:r>
          </w:p>
        </w:tc>
        <w:tc>
          <w:tcPr>
            <w:tcW w:w="864" w:type="pct"/>
          </w:tcPr>
          <w:p w14:paraId="4985DD4F" w14:textId="77777777" w:rsidR="00D61E41" w:rsidRPr="005F0B01" w:rsidRDefault="00D61E41" w:rsidP="00422B0F">
            <w:pPr>
              <w:pStyle w:val="Tabletext1"/>
              <w:ind w:left="0"/>
            </w:pPr>
            <w:r w:rsidRPr="005F0B01">
              <w:t>13/24 (54.2%)</w:t>
            </w:r>
          </w:p>
        </w:tc>
        <w:tc>
          <w:tcPr>
            <w:tcW w:w="813" w:type="pct"/>
          </w:tcPr>
          <w:p w14:paraId="2F87FFAF" w14:textId="77777777" w:rsidR="00D61E41" w:rsidRPr="005F0B01" w:rsidRDefault="00D61E41" w:rsidP="00422B0F">
            <w:pPr>
              <w:pStyle w:val="Tabletext1"/>
              <w:ind w:left="0"/>
            </w:pPr>
            <w:r>
              <w:t>23%</w:t>
            </w:r>
          </w:p>
        </w:tc>
        <w:tc>
          <w:tcPr>
            <w:tcW w:w="733" w:type="pct"/>
          </w:tcPr>
          <w:p w14:paraId="0F68AA34" w14:textId="77777777" w:rsidR="00D61E41" w:rsidRPr="005F0B01" w:rsidRDefault="00D61E41" w:rsidP="00422B0F">
            <w:pPr>
              <w:pStyle w:val="Tabletext1"/>
              <w:ind w:left="0"/>
            </w:pPr>
            <w:r w:rsidRPr="005F0B01">
              <w:t>10/13 (76.9%)</w:t>
            </w:r>
          </w:p>
          <w:p w14:paraId="3D564743" w14:textId="77777777" w:rsidR="00D61E41" w:rsidRPr="005F0B01" w:rsidRDefault="00D61E41" w:rsidP="00422B0F">
            <w:pPr>
              <w:pStyle w:val="Tabletext1"/>
              <w:ind w:left="0"/>
            </w:pPr>
            <w:r w:rsidRPr="005F0B01">
              <w:t>Median time to relapse 14 (1–31) months</w:t>
            </w:r>
          </w:p>
        </w:tc>
      </w:tr>
      <w:tr w:rsidR="00D61E41" w:rsidRPr="005F0B01" w14:paraId="32FB0E50" w14:textId="77777777" w:rsidTr="00422B0F">
        <w:tc>
          <w:tcPr>
            <w:tcW w:w="702" w:type="pct"/>
          </w:tcPr>
          <w:p w14:paraId="29828A9F" w14:textId="65B1B3B4" w:rsidR="00D61E41" w:rsidRPr="005F0B01" w:rsidRDefault="00B727D6" w:rsidP="00D726F6">
            <w:pPr>
              <w:pStyle w:val="Tabletext1"/>
              <w:ind w:left="0"/>
            </w:pPr>
            <w:r>
              <w:fldChar w:fldCharType="begin">
                <w:fldData xml:space="preserve">PEVuZE5vdGU+PENpdGU+PEF1dGhvcj5Cw7Zyw7wgw5w8L0F1dGhvcj48WWVhcj4yMDE0PC9ZZWFy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</w:fldData>
              </w:fldChar>
            </w:r>
            <w:r>
              <w:instrText xml:space="preserve"> ADDIN EN.CITE </w:instrText>
            </w:r>
            <w:r>
              <w:fldChar w:fldCharType="begin">
                <w:fldData xml:space="preserve">PEVuZE5vdGU+PENpdGU+PEF1dGhvcj5Cw7Zyw7wgw5w8L0F1dGhvcj48WWVhcj4yMDE0PC9ZZWFy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</w:fldData>
              </w:fldChar>
            </w:r>
            <w:r>
              <w:instrText xml:space="preserve"> ADDIN EN.CITE.DATA </w:instrText>
            </w:r>
            <w:r>
              <w:fldChar w:fldCharType="end"/>
            </w:r>
            <w:r>
              <w:fldChar w:fldCharType="separate"/>
            </w:r>
            <w:r>
              <w:rPr>
                <w:noProof/>
              </w:rPr>
              <w:t>(</w:t>
            </w:r>
            <w:hyperlink w:anchor="_ENREF_6" w:tooltip="Börü Ü, 2014 #225" w:history="1">
              <w:r w:rsidR="00D726F6">
                <w:rPr>
                  <w:noProof/>
                </w:rPr>
                <w:t>Börü Ü et al. 2014</w:t>
              </w:r>
            </w:hyperlink>
            <w:r>
              <w:rPr>
                <w:noProof/>
              </w:rPr>
              <w:t>)</w:t>
            </w:r>
            <w:r>
              <w:fldChar w:fldCharType="end"/>
            </w:r>
          </w:p>
        </w:tc>
        <w:tc>
          <w:tcPr>
            <w:tcW w:w="211" w:type="pct"/>
          </w:tcPr>
          <w:p w14:paraId="100CC018" w14:textId="77777777" w:rsidR="00D61E41" w:rsidRPr="005F0B01" w:rsidRDefault="00D61E41" w:rsidP="00422B0F">
            <w:pPr>
              <w:pStyle w:val="Tabletext1"/>
              <w:ind w:left="0"/>
            </w:pPr>
            <w:r w:rsidRPr="005F0B01">
              <w:t>20</w:t>
            </w:r>
          </w:p>
        </w:tc>
        <w:tc>
          <w:tcPr>
            <w:tcW w:w="1016" w:type="pct"/>
          </w:tcPr>
          <w:p w14:paraId="54321363" w14:textId="77777777" w:rsidR="00D61E41" w:rsidRPr="005F0B01" w:rsidRDefault="00D61E41" w:rsidP="00422B0F">
            <w:pPr>
              <w:pStyle w:val="Tabletext1"/>
              <w:ind w:left="0"/>
            </w:pPr>
            <w:r w:rsidRPr="005F0B01">
              <w:t>1000 mg/day for 10 days and then 1000 mg monthly for five years.</w:t>
            </w:r>
          </w:p>
        </w:tc>
        <w:tc>
          <w:tcPr>
            <w:tcW w:w="661" w:type="pct"/>
          </w:tcPr>
          <w:p w14:paraId="201E9F6C" w14:textId="77777777" w:rsidR="00D61E41" w:rsidRPr="005F0B01" w:rsidRDefault="00D61E41" w:rsidP="00422B0F">
            <w:pPr>
              <w:pStyle w:val="Tabletext1"/>
              <w:ind w:left="0"/>
            </w:pPr>
            <w:r>
              <w:t>5 years on treatment</w:t>
            </w:r>
            <w:r w:rsidRPr="005F0B01">
              <w:t xml:space="preserve"> +</w:t>
            </w:r>
            <w:r>
              <w:t xml:space="preserve"> </w:t>
            </w:r>
            <w:r w:rsidRPr="005F0B01">
              <w:t xml:space="preserve">5 years after </w:t>
            </w:r>
            <w:r>
              <w:t xml:space="preserve">ceasing </w:t>
            </w:r>
            <w:r w:rsidRPr="005F0B01">
              <w:t>treatment</w:t>
            </w:r>
          </w:p>
        </w:tc>
        <w:tc>
          <w:tcPr>
            <w:tcW w:w="864" w:type="pct"/>
          </w:tcPr>
          <w:p w14:paraId="51D6BFA2" w14:textId="77777777" w:rsidR="00D61E41" w:rsidRPr="005F0B01" w:rsidRDefault="00D61E41" w:rsidP="00422B0F">
            <w:pPr>
              <w:pStyle w:val="Tabletext1"/>
              <w:ind w:left="0"/>
            </w:pPr>
            <w:r w:rsidRPr="005F0B01">
              <w:t xml:space="preserve">15 had </w:t>
            </w:r>
            <w:r>
              <w:t>treatment</w:t>
            </w:r>
            <w:r w:rsidRPr="005F0B01">
              <w:t xml:space="preserve"> for 5 years</w:t>
            </w:r>
          </w:p>
        </w:tc>
        <w:tc>
          <w:tcPr>
            <w:tcW w:w="813" w:type="pct"/>
          </w:tcPr>
          <w:p w14:paraId="36829C0B" w14:textId="77777777" w:rsidR="00D61E41" w:rsidRPr="005F0B01" w:rsidRDefault="00D61E41" w:rsidP="00422B0F">
            <w:pPr>
              <w:pStyle w:val="Tabletext1"/>
              <w:ind w:left="0"/>
            </w:pPr>
            <w:r>
              <w:t>-</w:t>
            </w:r>
          </w:p>
        </w:tc>
        <w:tc>
          <w:tcPr>
            <w:tcW w:w="733" w:type="pct"/>
          </w:tcPr>
          <w:p w14:paraId="4BA924F1" w14:textId="77777777" w:rsidR="00D61E41" w:rsidRPr="005F0B01" w:rsidRDefault="00D61E41" w:rsidP="00422B0F">
            <w:pPr>
              <w:pStyle w:val="Tabletext1"/>
              <w:ind w:left="0"/>
            </w:pPr>
            <w:r w:rsidRPr="005F0B01">
              <w:t>6/15</w:t>
            </w:r>
          </w:p>
        </w:tc>
      </w:tr>
      <w:tr w:rsidR="00D61E41" w:rsidRPr="005F0B01" w14:paraId="1E1527CD" w14:textId="77777777" w:rsidTr="00422B0F">
        <w:tc>
          <w:tcPr>
            <w:tcW w:w="702" w:type="pct"/>
          </w:tcPr>
          <w:p w14:paraId="6460E7F4" w14:textId="6D47DA87" w:rsidR="00D61E41" w:rsidRPr="005F0B01" w:rsidRDefault="00B727D6" w:rsidP="00D726F6">
            <w:pPr>
              <w:pStyle w:val="Tabletext1"/>
              <w:ind w:left="0"/>
            </w:pPr>
            <w:r>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instrText xml:space="preserve"> ADDIN EN.CITE </w:instrText>
            </w:r>
            <w:r>
              <w:fldChar w:fldCharType="begin">
                <w:fldData xml:space="preserve">PEVuZE5vdGU+PENpdGU+PEF1dGhvcj52YW4gTGlldmVybG9vPC9BdXRob3I+PFllYXI+MjAxODwv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</w:fldData>
              </w:fldChar>
            </w:r>
            <w:r>
              <w:instrText xml:space="preserve"> ADDIN EN.CITE.DATA </w:instrText>
            </w:r>
            <w:r>
              <w:fldChar w:fldCharType="end"/>
            </w:r>
            <w:r>
              <w:fldChar w:fldCharType="separate"/>
            </w:r>
            <w:r>
              <w:rPr>
                <w:noProof/>
              </w:rPr>
              <w:t>(</w:t>
            </w:r>
            <w:hyperlink w:anchor="_ENREF_73" w:tooltip="van Lieverloo, 2018 #13" w:history="1">
              <w:r w:rsidR="00D726F6">
                <w:rPr>
                  <w:noProof/>
                </w:rPr>
                <w:t>van Lieverloo et al. 2018</w:t>
              </w:r>
            </w:hyperlink>
            <w:r>
              <w:rPr>
                <w:noProof/>
              </w:rPr>
              <w:t>)</w:t>
            </w:r>
            <w:r>
              <w:fldChar w:fldCharType="end"/>
            </w:r>
          </w:p>
        </w:tc>
        <w:tc>
          <w:tcPr>
            <w:tcW w:w="211" w:type="pct"/>
          </w:tcPr>
          <w:p w14:paraId="74AF741F" w14:textId="77777777" w:rsidR="00D61E41" w:rsidRPr="005F0B01" w:rsidRDefault="00D61E41" w:rsidP="00422B0F">
            <w:pPr>
              <w:pStyle w:val="Tabletext1"/>
              <w:ind w:left="0"/>
            </w:pPr>
            <w:r w:rsidRPr="005F0B01">
              <w:t>125</w:t>
            </w:r>
          </w:p>
        </w:tc>
        <w:tc>
          <w:tcPr>
            <w:tcW w:w="1016" w:type="pct"/>
          </w:tcPr>
          <w:p w14:paraId="0A06CC77" w14:textId="77777777" w:rsidR="00D61E41" w:rsidRPr="005F0B01" w:rsidRDefault="00D61E41" w:rsidP="00422B0F">
            <w:pPr>
              <w:pStyle w:val="Tabletext1"/>
              <w:ind w:left="0"/>
            </w:pPr>
            <w:r w:rsidRPr="0051424C">
              <w:t>Prednisolone, pulse dexamethasone, pulse intravenous methylprednisolone</w:t>
            </w:r>
          </w:p>
        </w:tc>
        <w:tc>
          <w:tcPr>
            <w:tcW w:w="661" w:type="pct"/>
          </w:tcPr>
          <w:p w14:paraId="41DEA6CE" w14:textId="77777777" w:rsidR="00D61E41" w:rsidRPr="005F0B01" w:rsidRDefault="00D61E41" w:rsidP="00422B0F">
            <w:pPr>
              <w:pStyle w:val="Tabletext1"/>
              <w:ind w:left="0"/>
            </w:pPr>
            <w:r>
              <w:t>Mean 4.5 years</w:t>
            </w:r>
          </w:p>
        </w:tc>
        <w:tc>
          <w:tcPr>
            <w:tcW w:w="864" w:type="pct"/>
          </w:tcPr>
          <w:p w14:paraId="15B201CF" w14:textId="77777777" w:rsidR="00D61E41" w:rsidRPr="005F0B01" w:rsidRDefault="00D61E41" w:rsidP="00422B0F">
            <w:pPr>
              <w:pStyle w:val="Tabletext1"/>
              <w:ind w:left="0"/>
            </w:pPr>
            <w:r w:rsidRPr="0051424C">
              <w:t>60% (95% CI 51–69%)</w:t>
            </w:r>
          </w:p>
        </w:tc>
        <w:tc>
          <w:tcPr>
            <w:tcW w:w="813" w:type="pct"/>
          </w:tcPr>
          <w:p w14:paraId="68FC14EC" w14:textId="77777777" w:rsidR="00D61E41" w:rsidRPr="005F0B01" w:rsidRDefault="00D61E41" w:rsidP="00422B0F">
            <w:pPr>
              <w:pStyle w:val="Tabletext1"/>
              <w:ind w:left="0"/>
            </w:pPr>
            <w:r>
              <w:t>61% (t</w:t>
            </w:r>
            <w:r w:rsidRPr="0051424C">
              <w:t>he probability of responders reaching 5-year remission was 55% (95% Cl 44–70%), with no difference between the three groups</w:t>
            </w:r>
            <w:r>
              <w:t>).</w:t>
            </w:r>
          </w:p>
        </w:tc>
        <w:tc>
          <w:tcPr>
            <w:tcW w:w="733" w:type="pct"/>
          </w:tcPr>
          <w:p w14:paraId="29BBA0D0" w14:textId="77777777" w:rsidR="00D61E41" w:rsidRPr="005F0B01" w:rsidRDefault="00D61E41" w:rsidP="00422B0F">
            <w:pPr>
              <w:pStyle w:val="Tabletext1"/>
              <w:ind w:left="0"/>
            </w:pPr>
            <w:r w:rsidRPr="005F0B01">
              <w:t>20/29 (69%) who experienced a relapse, did so in the first 6 months after tr</w:t>
            </w:r>
            <w:r>
              <w:t>eatment</w:t>
            </w:r>
          </w:p>
        </w:tc>
      </w:tr>
      <w:tr w:rsidR="00D61E41" w:rsidRPr="00DB21EF" w14:paraId="74C2E82A" w14:textId="77777777" w:rsidTr="00422B0F">
        <w:tc>
          <w:tcPr>
            <w:tcW w:w="702" w:type="pct"/>
            <w:tcBorders>
              <w:bottom w:val="single" w:sz="4" w:space="0" w:color="auto"/>
              <w:right w:val="nil"/>
            </w:tcBorders>
          </w:tcPr>
          <w:p w14:paraId="2CA4ADF4" w14:textId="77777777" w:rsidR="00D61E41" w:rsidRPr="00DB21EF" w:rsidRDefault="00D61E41" w:rsidP="00422B0F">
            <w:pPr>
              <w:pStyle w:val="Tabletext1"/>
              <w:ind w:left="0"/>
              <w:rPr>
                <w:b/>
              </w:rPr>
            </w:pPr>
            <w:r w:rsidRPr="00DB21EF">
              <w:rPr>
                <w:b/>
              </w:rPr>
              <w:t>Plasma exchange</w:t>
            </w:r>
          </w:p>
        </w:tc>
        <w:tc>
          <w:tcPr>
            <w:tcW w:w="211" w:type="pct"/>
            <w:tcBorders>
              <w:left w:val="nil"/>
              <w:bottom w:val="single" w:sz="4" w:space="0" w:color="auto"/>
              <w:right w:val="nil"/>
            </w:tcBorders>
          </w:tcPr>
          <w:p w14:paraId="44B2323F" w14:textId="77777777" w:rsidR="00D61E41" w:rsidRPr="00DB21EF" w:rsidRDefault="00D61E41" w:rsidP="00422B0F">
            <w:pPr>
              <w:pStyle w:val="Tabletext1"/>
              <w:ind w:left="0"/>
              <w:rPr>
                <w:b/>
              </w:rPr>
            </w:pPr>
          </w:p>
        </w:tc>
        <w:tc>
          <w:tcPr>
            <w:tcW w:w="1016" w:type="pct"/>
            <w:tcBorders>
              <w:left w:val="nil"/>
              <w:bottom w:val="single" w:sz="4" w:space="0" w:color="auto"/>
              <w:right w:val="nil"/>
            </w:tcBorders>
          </w:tcPr>
          <w:p w14:paraId="033E751B" w14:textId="77777777" w:rsidR="00D61E41" w:rsidRPr="00DB21EF" w:rsidRDefault="00D61E41" w:rsidP="00422B0F">
            <w:pPr>
              <w:pStyle w:val="Tabletext1"/>
              <w:ind w:left="0"/>
              <w:rPr>
                <w:b/>
              </w:rPr>
            </w:pPr>
          </w:p>
        </w:tc>
        <w:tc>
          <w:tcPr>
            <w:tcW w:w="661" w:type="pct"/>
            <w:tcBorders>
              <w:left w:val="nil"/>
              <w:bottom w:val="single" w:sz="4" w:space="0" w:color="auto"/>
              <w:right w:val="nil"/>
            </w:tcBorders>
          </w:tcPr>
          <w:p w14:paraId="0E1F3499" w14:textId="77777777" w:rsidR="00D61E41" w:rsidRPr="00DB21EF" w:rsidRDefault="00D61E41" w:rsidP="00422B0F">
            <w:pPr>
              <w:pStyle w:val="Tabletext1"/>
              <w:ind w:left="0"/>
              <w:rPr>
                <w:b/>
              </w:rPr>
            </w:pPr>
          </w:p>
        </w:tc>
        <w:tc>
          <w:tcPr>
            <w:tcW w:w="864" w:type="pct"/>
            <w:tcBorders>
              <w:left w:val="nil"/>
              <w:bottom w:val="single" w:sz="4" w:space="0" w:color="auto"/>
              <w:right w:val="nil"/>
            </w:tcBorders>
          </w:tcPr>
          <w:p w14:paraId="5E31965E" w14:textId="77777777" w:rsidR="00D61E41" w:rsidRPr="00DB21EF" w:rsidRDefault="00D61E41" w:rsidP="00422B0F">
            <w:pPr>
              <w:pStyle w:val="Tabletext1"/>
              <w:ind w:left="0"/>
              <w:rPr>
                <w:b/>
              </w:rPr>
            </w:pPr>
          </w:p>
        </w:tc>
        <w:tc>
          <w:tcPr>
            <w:tcW w:w="813" w:type="pct"/>
            <w:tcBorders>
              <w:left w:val="nil"/>
              <w:bottom w:val="single" w:sz="4" w:space="0" w:color="auto"/>
              <w:right w:val="nil"/>
            </w:tcBorders>
          </w:tcPr>
          <w:p w14:paraId="2F627B40" w14:textId="77777777" w:rsidR="00D61E41" w:rsidRPr="00DB21EF" w:rsidRDefault="00D61E41" w:rsidP="00422B0F">
            <w:pPr>
              <w:pStyle w:val="Tabletext1"/>
              <w:ind w:left="0"/>
              <w:rPr>
                <w:b/>
              </w:rPr>
            </w:pPr>
          </w:p>
        </w:tc>
        <w:tc>
          <w:tcPr>
            <w:tcW w:w="733" w:type="pct"/>
            <w:tcBorders>
              <w:left w:val="nil"/>
              <w:bottom w:val="single" w:sz="4" w:space="0" w:color="auto"/>
            </w:tcBorders>
          </w:tcPr>
          <w:p w14:paraId="701F1DB0" w14:textId="77777777" w:rsidR="00D61E41" w:rsidRPr="00DB21EF" w:rsidRDefault="00D61E41" w:rsidP="00422B0F">
            <w:pPr>
              <w:pStyle w:val="Tabletext1"/>
              <w:ind w:left="0"/>
              <w:rPr>
                <w:b/>
              </w:rPr>
            </w:pPr>
          </w:p>
        </w:tc>
      </w:tr>
      <w:tr w:rsidR="00D61E41" w:rsidRPr="00B72369" w14:paraId="61A99D2C" w14:textId="77777777" w:rsidTr="00422B0F">
        <w:tc>
          <w:tcPr>
            <w:tcW w:w="702" w:type="pct"/>
            <w:tcBorders>
              <w:right w:val="single" w:sz="4" w:space="0" w:color="auto"/>
            </w:tcBorders>
          </w:tcPr>
          <w:p w14:paraId="74517D94" w14:textId="78975A96" w:rsidR="00D61E41" w:rsidRPr="00B72369" w:rsidRDefault="00B727D6" w:rsidP="00D726F6">
            <w:pPr>
              <w:pStyle w:val="Tabletext1"/>
              <w:ind w:left="0"/>
            </w:pPr>
            <w:r>
              <w:fldChar w:fldCharType="begin"/>
            </w:r>
            <w:r>
              <w:instrText xml:space="preserve"> ADDIN EN.CITE &lt;EndNote&gt;&lt;Cite&gt;&lt;Author&gt;Dyck&lt;/Author&gt;&lt;Year&gt;1994&lt;/Year&gt;&lt;RecNum&gt;6&lt;/RecNum&gt;&lt;DisplayText&gt;(Dyck et al. 1994)&lt;/DisplayText&gt;&lt;record&gt;&lt;rec-number&gt;6&lt;/rec-number&gt;&lt;foreign-keys&gt;&lt;key app="EN" db-id="xtr5xfx2xf0wd7e0s2qvst2ietxxf0tpzr9v" timestamp="1601273176"&gt;6&lt;/key&gt;&lt;/foreign-keys&gt;&lt;ref-type name="Journal Article"&gt;17&lt;/ref-type&gt;&lt;contributors&gt;&lt;authors&gt;&lt;author&gt;Dyck, P. J.&lt;/author&gt;&lt;author&gt;Litchy, W. J.&lt;/author&gt;&lt;author&gt;Kratz, K. M.&lt;/author&gt;&lt;author&gt;Suarez, G. A.&lt;/author&gt;&lt;author&gt;Low, P. A.&lt;/author&gt;&lt;author&gt;Pineda, A. A.&lt;/author&gt;&lt;author&gt;Windebank, A. J.&lt;/author&gt;&lt;author&gt;Karnes, J. L.&lt;/author&gt;&lt;author&gt;O&amp;apos;Brien, P. C.&lt;/author&gt;&lt;/authors&gt;&lt;/contributors&gt;&lt;auth-address&gt;Department of Neurology, Mayo Clinic, Rochester, MN 55905.&lt;/auth-address&gt;&lt;titles&gt;&lt;title&gt;A plasma exchange versus immune globulin infusion trial in chronic inflammatory demyelinating polyradiculoneuropathy&lt;/title&gt;&lt;secondary-title&gt;Ann Neurol&lt;/secondary-title&gt;&lt;/titles&gt;&lt;periodical&gt;&lt;full-title&gt;Ann Neurol&lt;/full-title&gt;&lt;/periodical&gt;&lt;pages&gt;838-45&lt;/pages&gt;&lt;volume&gt;36&lt;/volume&gt;&lt;number&gt;6&lt;/number&gt;&lt;edition&gt;1994/12/01&lt;/edition&gt;&lt;keywords&gt;&lt;keyword&gt;Adult&lt;/keyword&gt;&lt;keyword&gt;Aged&lt;/keyword&gt;&lt;keyword&gt;Chronic Disease&lt;/keyword&gt;&lt;keyword&gt;Demyelinating Diseases/ therapy&lt;/keyword&gt;&lt;keyword&gt;Female&lt;/keyword&gt;&lt;keyword&gt;Humans&lt;/keyword&gt;&lt;keyword&gt;Immunoglobulins, Intravenous/ therapeutic use&lt;/keyword&gt;&lt;keyword&gt;Male&lt;/keyword&gt;&lt;keyword&gt;Middle Aged&lt;/keyword&gt;&lt;keyword&gt;Plasma Exchange&lt;/keyword&gt;&lt;keyword&gt;Polyradiculoneuropathy/ therapy&lt;/keyword&gt;&lt;/keywords&gt;&lt;dates&gt;&lt;year&gt;1994&lt;/year&gt;&lt;pub-dates&gt;&lt;date&gt;Dec&lt;/date&gt;&lt;/pub-dates&gt;&lt;/dates&gt;&lt;isbn&gt;0364-5134 (Print)&amp;#xD;0364-5134 (Linking)&lt;/isbn&gt;&lt;accession-num&gt;7998769&lt;/accession-num&gt;&lt;urls&gt;&lt;related-urls&gt;&lt;url&gt;https://onlinelibrary.wiley.com/doi/pdfdirect/10.1002/ana.410360607?download=true&lt;/url&gt;&lt;/related-urls&gt;&lt;/urls&gt;&lt;electronic-resource-num&gt;10.1002/ana.410360607&lt;/electronic-resource-num&gt;&lt;remote-database-provider&gt;NLM&lt;/remote-database-provider&gt;&lt;language&gt;eng&lt;/language&gt;&lt;/record&gt;&lt;/Cite&gt;&lt;/EndNote&gt;</w:instrText>
            </w:r>
            <w:r>
              <w:fldChar w:fldCharType="separate"/>
            </w:r>
            <w:r>
              <w:rPr>
                <w:noProof/>
              </w:rPr>
              <w:t>(</w:t>
            </w:r>
            <w:hyperlink w:anchor="_ENREF_17" w:tooltip="Dyck, 1994 #6" w:history="1">
              <w:r w:rsidR="00D726F6">
                <w:rPr>
                  <w:noProof/>
                </w:rPr>
                <w:t>Dyck et al. 1994</w:t>
              </w:r>
            </w:hyperlink>
            <w:r>
              <w:rPr>
                <w:noProof/>
              </w:rPr>
              <w:t>)</w:t>
            </w:r>
            <w:r>
              <w:fldChar w:fldCharType="end"/>
            </w:r>
          </w:p>
        </w:tc>
        <w:tc>
          <w:tcPr>
            <w:tcW w:w="211" w:type="pct"/>
            <w:tcBorders>
              <w:left w:val="single" w:sz="4" w:space="0" w:color="auto"/>
              <w:right w:val="single" w:sz="4" w:space="0" w:color="auto"/>
            </w:tcBorders>
          </w:tcPr>
          <w:p w14:paraId="754B8D60" w14:textId="77777777" w:rsidR="00D61E41" w:rsidRPr="00B72369" w:rsidRDefault="00D61E41" w:rsidP="00422B0F">
            <w:pPr>
              <w:pStyle w:val="Tabletext1"/>
              <w:ind w:left="0"/>
            </w:pPr>
            <w:r>
              <w:t>20</w:t>
            </w:r>
          </w:p>
        </w:tc>
        <w:tc>
          <w:tcPr>
            <w:tcW w:w="1016" w:type="pct"/>
            <w:tcBorders>
              <w:left w:val="single" w:sz="4" w:space="0" w:color="auto"/>
              <w:right w:val="single" w:sz="4" w:space="0" w:color="auto"/>
            </w:tcBorders>
          </w:tcPr>
          <w:p w14:paraId="6E7B8A64" w14:textId="77777777" w:rsidR="00D61E41" w:rsidRPr="00B72369" w:rsidRDefault="00D61E41" w:rsidP="00422B0F">
            <w:pPr>
              <w:pStyle w:val="Tabletext1"/>
              <w:ind w:left="0"/>
            </w:pPr>
            <w:r>
              <w:t xml:space="preserve">PE </w:t>
            </w:r>
            <w:r w:rsidRPr="00B72369">
              <w:t>twice a week for 3 weeks then once a week for 3 weeks</w:t>
            </w:r>
          </w:p>
        </w:tc>
        <w:tc>
          <w:tcPr>
            <w:tcW w:w="661" w:type="pct"/>
            <w:tcBorders>
              <w:left w:val="single" w:sz="4" w:space="0" w:color="auto"/>
              <w:right w:val="single" w:sz="4" w:space="0" w:color="auto"/>
            </w:tcBorders>
          </w:tcPr>
          <w:p w14:paraId="14791B89" w14:textId="77777777" w:rsidR="00D61E41" w:rsidRPr="00B72369" w:rsidRDefault="00D61E41" w:rsidP="00422B0F">
            <w:pPr>
              <w:pStyle w:val="Tabletext1"/>
              <w:ind w:left="0"/>
            </w:pPr>
            <w:r>
              <w:t>6 weeks</w:t>
            </w:r>
          </w:p>
        </w:tc>
        <w:tc>
          <w:tcPr>
            <w:tcW w:w="864" w:type="pct"/>
            <w:tcBorders>
              <w:left w:val="single" w:sz="4" w:space="0" w:color="auto"/>
              <w:right w:val="single" w:sz="4" w:space="0" w:color="auto"/>
            </w:tcBorders>
          </w:tcPr>
          <w:p w14:paraId="05221E54" w14:textId="77777777" w:rsidR="00D61E41" w:rsidRPr="00B72369" w:rsidRDefault="00D61E41" w:rsidP="00422B0F">
            <w:pPr>
              <w:pStyle w:val="Tabletext1"/>
              <w:ind w:left="0"/>
            </w:pPr>
            <w:r>
              <w:t>17/20 (85%)</w:t>
            </w:r>
          </w:p>
        </w:tc>
        <w:tc>
          <w:tcPr>
            <w:tcW w:w="813" w:type="pct"/>
            <w:tcBorders>
              <w:left w:val="single" w:sz="4" w:space="0" w:color="auto"/>
              <w:right w:val="single" w:sz="4" w:space="0" w:color="auto"/>
            </w:tcBorders>
          </w:tcPr>
          <w:p w14:paraId="08F241E7" w14:textId="77777777" w:rsidR="00D61E41" w:rsidRPr="00B72369" w:rsidRDefault="00D61E41" w:rsidP="00422B0F">
            <w:pPr>
              <w:pStyle w:val="Tabletext1"/>
              <w:ind w:left="0"/>
            </w:pPr>
            <w:r>
              <w:t>NR</w:t>
            </w:r>
          </w:p>
        </w:tc>
        <w:tc>
          <w:tcPr>
            <w:tcW w:w="733" w:type="pct"/>
            <w:tcBorders>
              <w:left w:val="single" w:sz="4" w:space="0" w:color="auto"/>
            </w:tcBorders>
          </w:tcPr>
          <w:p w14:paraId="50D6F609" w14:textId="77777777" w:rsidR="00D61E41" w:rsidRPr="00B72369" w:rsidRDefault="00D61E41" w:rsidP="00422B0F">
            <w:pPr>
              <w:pStyle w:val="Tabletext1"/>
              <w:ind w:left="0"/>
            </w:pPr>
            <w:r>
              <w:t>NR</w:t>
            </w:r>
          </w:p>
        </w:tc>
      </w:tr>
      <w:tr w:rsidR="00D61E41" w:rsidRPr="005F0B01" w14:paraId="668267E3" w14:textId="77777777" w:rsidTr="00422B0F">
        <w:tc>
          <w:tcPr>
            <w:tcW w:w="702" w:type="pct"/>
          </w:tcPr>
          <w:p w14:paraId="42FF7C06" w14:textId="617B1BE9" w:rsidR="00D61E41" w:rsidRPr="005F0B01" w:rsidRDefault="00B727D6" w:rsidP="00D726F6">
            <w:pPr>
              <w:pStyle w:val="Tabletext1"/>
              <w:ind w:left="0"/>
            </w:pPr>
            <w:r>
              <w:fldChar w:fldCharType="begin"/>
            </w:r>
            <w:r>
              <w:instrText xml:space="preserve"> ADDIN EN.CITE &lt;EndNote&gt;&lt;Cite&gt;&lt;Author&gt;Choudhary&lt;/Author&gt;&lt;Year&gt;1995&lt;/Year&gt;&lt;RecNum&gt;1204&lt;/RecNum&gt;&lt;DisplayText&gt;(Choudhary &amp;amp; Hughes 1995)&lt;/DisplayText&gt;&lt;record&gt;&lt;rec-number&gt;1204&lt;/rec-number&gt;&lt;foreign-keys&gt;&lt;key app="EN" db-id="xtr5xfx2xf0wd7e0s2qvst2ietxxf0tpzr9v" timestamp="1602226048"&gt;1204&lt;/key&gt;&lt;/foreign-keys&gt;&lt;ref-type name="Journal Article"&gt;17&lt;/ref-type&gt;&lt;contributors&gt;&lt;authors&gt;&lt;author&gt;Choudhary, P. P.&lt;/author&gt;&lt;author&gt;Hughes, R. A.&lt;/author&gt;&lt;/authors&gt;&lt;/contributors&gt;&lt;auth-address&gt;Department of Neurology, UMDS, Guy&amp;apos;s Hospital, London, UK.&lt;/auth-address&gt;&lt;titles&gt;&lt;title&gt;Long-term treatment of chronic inflammatory demyelinating polyradiculoneuropathy with plasma exchange or intravenous immunoglobulin&lt;/title&gt;&lt;secondary-title&gt;QJM&lt;/secondary-title&gt;&lt;/titles&gt;&lt;periodical&gt;&lt;full-title&gt;QJM&lt;/full-title&gt;&lt;/periodical&gt;&lt;pages&gt;493-502&lt;/pages&gt;&lt;volume&gt;88&lt;/volume&gt;&lt;number&gt;7&lt;/number&gt;&lt;edition&gt;1995/07/01&lt;/edition&gt;&lt;keywords&gt;&lt;keyword&gt;Adult&lt;/keyword&gt;&lt;keyword&gt;Demyelinating Diseases/ therapy&lt;/keyword&gt;&lt;keyword&gt;Female&lt;/keyword&gt;&lt;keyword&gt;Humans&lt;/keyword&gt;&lt;keyword&gt;Immunoglobulins, Intravenous/ administration &amp;amp; dosage/adverse effects&lt;/keyword&gt;&lt;keyword&gt;Long-Term Care&lt;/keyword&gt;&lt;keyword&gt;Male&lt;/keyword&gt;&lt;keyword&gt;Middle Aged&lt;/keyword&gt;&lt;keyword&gt;Plasma Exchange/adverse effects&lt;/keyword&gt;&lt;keyword&gt;Polyradiculoneuropathy/ therapy&lt;/keyword&gt;&lt;keyword&gt;Retrospective Studies&lt;/keyword&gt;&lt;/keywords&gt;&lt;dates&gt;&lt;year&gt;1995&lt;/year&gt;&lt;pub-dates&gt;&lt;date&gt;Jul&lt;/date&gt;&lt;/pub-dates&gt;&lt;/dates&gt;&lt;isbn&gt;1460-2725 (Print)&amp;#xD;1460-2393 (Linking)&lt;/isbn&gt;&lt;accession-num&gt;7633875&lt;/accession-num&gt;&lt;urls&gt;&lt;/urls&gt;&lt;remote-database-provider&gt;NLM&lt;/remote-database-provider&gt;&lt;language&gt;eng&lt;/language&gt;&lt;/record&gt;&lt;/Cite&gt;&lt;/EndNote&gt;</w:instrText>
            </w:r>
            <w:r>
              <w:fldChar w:fldCharType="separate"/>
            </w:r>
            <w:r>
              <w:rPr>
                <w:noProof/>
              </w:rPr>
              <w:t>(</w:t>
            </w:r>
            <w:hyperlink w:anchor="_ENREF_7" w:tooltip="Choudhary, 1995 #1204" w:history="1">
              <w:r w:rsidR="00D726F6">
                <w:rPr>
                  <w:noProof/>
                </w:rPr>
                <w:t>Choudhary &amp; Hughes 1995</w:t>
              </w:r>
            </w:hyperlink>
            <w:r>
              <w:rPr>
                <w:noProof/>
              </w:rPr>
              <w:t>)</w:t>
            </w:r>
            <w:r>
              <w:fldChar w:fldCharType="end"/>
            </w:r>
          </w:p>
        </w:tc>
        <w:tc>
          <w:tcPr>
            <w:tcW w:w="211" w:type="pct"/>
          </w:tcPr>
          <w:p w14:paraId="5E45C041" w14:textId="77777777" w:rsidR="00D61E41" w:rsidRPr="005F0B01" w:rsidRDefault="00D61E41" w:rsidP="00422B0F">
            <w:pPr>
              <w:pStyle w:val="Tabletext1"/>
              <w:ind w:left="0"/>
            </w:pPr>
            <w:r>
              <w:t>33</w:t>
            </w:r>
          </w:p>
        </w:tc>
        <w:tc>
          <w:tcPr>
            <w:tcW w:w="1016" w:type="pct"/>
          </w:tcPr>
          <w:p w14:paraId="34ED61CB" w14:textId="77777777" w:rsidR="00D61E41" w:rsidRPr="00970A60" w:rsidRDefault="00D61E41" w:rsidP="00422B0F">
            <w:pPr>
              <w:pStyle w:val="Tabletext1"/>
              <w:ind w:left="0"/>
            </w:pPr>
            <w:r>
              <w:t xml:space="preserve">Most required only one course. 7 patients </w:t>
            </w:r>
            <w:r w:rsidRPr="00B94C7D">
              <w:t xml:space="preserve"> Seven patients received repeated courses of PE for 8.1-59.7 month</w:t>
            </w:r>
            <w:r>
              <w:t>s</w:t>
            </w:r>
          </w:p>
        </w:tc>
        <w:tc>
          <w:tcPr>
            <w:tcW w:w="661" w:type="pct"/>
          </w:tcPr>
          <w:p w14:paraId="11CD7CF8" w14:textId="77777777" w:rsidR="00D61E41" w:rsidRPr="005F0B01" w:rsidRDefault="00D61E41" w:rsidP="00422B0F">
            <w:pPr>
              <w:pStyle w:val="Tabletext1"/>
              <w:ind w:left="0"/>
            </w:pPr>
            <w:r>
              <w:t>Retrospective analysis of case series</w:t>
            </w:r>
          </w:p>
        </w:tc>
        <w:tc>
          <w:tcPr>
            <w:tcW w:w="864" w:type="pct"/>
          </w:tcPr>
          <w:p w14:paraId="133FEFDE" w14:textId="77777777" w:rsidR="00D61E41" w:rsidRDefault="00D61E41" w:rsidP="00422B0F">
            <w:pPr>
              <w:pStyle w:val="Tabletext1"/>
              <w:ind w:left="0"/>
            </w:pPr>
            <w:r>
              <w:t xml:space="preserve">23/33 (70%) responded well </w:t>
            </w:r>
          </w:p>
          <w:p w14:paraId="16E1CCDA" w14:textId="77777777" w:rsidR="00D61E41" w:rsidRPr="005F0B01" w:rsidRDefault="00D61E41" w:rsidP="00422B0F">
            <w:pPr>
              <w:pStyle w:val="Tabletext1"/>
              <w:ind w:left="0"/>
            </w:pPr>
            <w:r>
              <w:t>7/23 (30%) had repeated courses</w:t>
            </w:r>
          </w:p>
        </w:tc>
        <w:tc>
          <w:tcPr>
            <w:tcW w:w="813" w:type="pct"/>
          </w:tcPr>
          <w:p w14:paraId="6F7C7952" w14:textId="77777777" w:rsidR="00D61E41" w:rsidRDefault="00D61E41" w:rsidP="00422B0F">
            <w:pPr>
              <w:pStyle w:val="Tabletext1"/>
              <w:ind w:left="0"/>
            </w:pPr>
            <w:r>
              <w:t>-</w:t>
            </w:r>
          </w:p>
        </w:tc>
        <w:tc>
          <w:tcPr>
            <w:tcW w:w="733" w:type="pct"/>
          </w:tcPr>
          <w:p w14:paraId="15472C7D" w14:textId="77777777" w:rsidR="00D61E41" w:rsidRDefault="00D61E41" w:rsidP="00422B0F">
            <w:pPr>
              <w:pStyle w:val="Tabletext1"/>
              <w:ind w:left="0"/>
            </w:pPr>
            <w:r>
              <w:t>-</w:t>
            </w:r>
          </w:p>
        </w:tc>
      </w:tr>
      <w:tr w:rsidR="00D61E41" w:rsidRPr="005F0B01" w14:paraId="17BF0C9C" w14:textId="77777777" w:rsidTr="00422B0F">
        <w:tc>
          <w:tcPr>
            <w:tcW w:w="702" w:type="pct"/>
          </w:tcPr>
          <w:p w14:paraId="33D85D50" w14:textId="4AEA9761" w:rsidR="00D61E41" w:rsidRPr="005F0B01" w:rsidRDefault="00B727D6" w:rsidP="00D726F6">
            <w:pPr>
              <w:pStyle w:val="Tabletext1"/>
              <w:ind w:left="0"/>
            </w:pPr>
            <w:r>
              <w:fldChar w:fldCharType="begin">
                <w:fldData xml:space="preserve">PEVuZE5vdGU+PENpdGU+PEF1dGhvcj5IYWhuPC9BdXRob3I+PFllYXI+MTk5NjwvWWVhcj48UmVj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</w:fldData>
              </w:fldChar>
            </w:r>
            <w:r>
              <w:instrText xml:space="preserve"> ADDIN EN.CITE </w:instrText>
            </w:r>
            <w:r>
              <w:fldChar w:fldCharType="begin">
                <w:fldData xml:space="preserve">PEVuZE5vdGU+PENpdGU+PEF1dGhvcj5IYWhuPC9BdXRob3I+PFllYXI+MTk5NjwvWWVhcj48UmVj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</w:fldData>
              </w:fldChar>
            </w:r>
            <w:r>
              <w:instrText xml:space="preserve"> ADDIN EN.CITE.DATA </w:instrText>
            </w:r>
            <w:r>
              <w:fldChar w:fldCharType="end"/>
            </w:r>
            <w:r>
              <w:fldChar w:fldCharType="separate"/>
            </w:r>
            <w:r>
              <w:rPr>
                <w:noProof/>
              </w:rPr>
              <w:t>(</w:t>
            </w:r>
            <w:hyperlink w:anchor="_ENREF_25" w:tooltip="Hahn, 1996 #368" w:history="1">
              <w:r w:rsidR="00D726F6">
                <w:rPr>
                  <w:noProof/>
                </w:rPr>
                <w:t>Hahn, Bolton, Pillay, et al. 1996</w:t>
              </w:r>
            </w:hyperlink>
            <w:r>
              <w:rPr>
                <w:noProof/>
              </w:rPr>
              <w:t>)</w:t>
            </w:r>
            <w:r>
              <w:fldChar w:fldCharType="end"/>
            </w:r>
          </w:p>
        </w:tc>
        <w:tc>
          <w:tcPr>
            <w:tcW w:w="211" w:type="pct"/>
          </w:tcPr>
          <w:p w14:paraId="0E80847B" w14:textId="77777777" w:rsidR="00D61E41" w:rsidRPr="005F0B01" w:rsidRDefault="00D61E41" w:rsidP="00422B0F">
            <w:pPr>
              <w:pStyle w:val="Tabletext1"/>
              <w:ind w:left="0"/>
            </w:pPr>
            <w:r>
              <w:t>18</w:t>
            </w:r>
          </w:p>
        </w:tc>
        <w:tc>
          <w:tcPr>
            <w:tcW w:w="1016" w:type="pct"/>
          </w:tcPr>
          <w:p w14:paraId="736721EC" w14:textId="77777777" w:rsidR="00D61E41" w:rsidRPr="00970A60" w:rsidRDefault="00D61E41" w:rsidP="00422B0F">
            <w:pPr>
              <w:pStyle w:val="Tabletext1"/>
              <w:ind w:left="0"/>
            </w:pPr>
            <w:r w:rsidRPr="00D120B5">
              <w:t>10</w:t>
            </w:r>
            <w:r>
              <w:t xml:space="preserve"> </w:t>
            </w:r>
            <w:r w:rsidRPr="00D120B5">
              <w:t>PE treatments over 4 week</w:t>
            </w:r>
            <w:r>
              <w:t>s</w:t>
            </w:r>
          </w:p>
        </w:tc>
        <w:tc>
          <w:tcPr>
            <w:tcW w:w="661" w:type="pct"/>
          </w:tcPr>
          <w:p w14:paraId="568D4043" w14:textId="77777777" w:rsidR="00D61E41" w:rsidRPr="005F0B01" w:rsidRDefault="00D61E41" w:rsidP="00422B0F">
            <w:pPr>
              <w:pStyle w:val="Tabletext1"/>
              <w:ind w:left="0"/>
            </w:pPr>
            <w:r>
              <w:t xml:space="preserve">Long-term follow-up of </w:t>
            </w:r>
            <w:r w:rsidRPr="00A819AF">
              <w:t>33.9±3.5 months</w:t>
            </w:r>
            <w:r>
              <w:t xml:space="preserve"> available for 16 patients</w:t>
            </w:r>
          </w:p>
        </w:tc>
        <w:tc>
          <w:tcPr>
            <w:tcW w:w="864" w:type="pct"/>
          </w:tcPr>
          <w:p w14:paraId="03E728FA" w14:textId="77777777" w:rsidR="00D61E41" w:rsidRDefault="00D61E41" w:rsidP="00422B0F">
            <w:pPr>
              <w:pStyle w:val="Tabletext1"/>
              <w:ind w:left="0"/>
            </w:pPr>
            <w:r>
              <w:t>3/18 did not complete trial due to venous access or AE.</w:t>
            </w:r>
          </w:p>
          <w:p w14:paraId="561BC21B" w14:textId="77777777" w:rsidR="00D61E41" w:rsidRPr="005F0B01" w:rsidRDefault="00D61E41" w:rsidP="00422B0F">
            <w:pPr>
              <w:pStyle w:val="Tabletext1"/>
              <w:ind w:left="0"/>
            </w:pPr>
            <w:r>
              <w:t>12/18 (67%) responded</w:t>
            </w:r>
          </w:p>
        </w:tc>
        <w:tc>
          <w:tcPr>
            <w:tcW w:w="813" w:type="pct"/>
          </w:tcPr>
          <w:p w14:paraId="01F263FF" w14:textId="77777777" w:rsidR="00D61E41" w:rsidRDefault="00D61E41" w:rsidP="00422B0F">
            <w:pPr>
              <w:pStyle w:val="Tabletext1"/>
              <w:ind w:left="0"/>
            </w:pPr>
            <w:r>
              <w:t>A</w:t>
            </w:r>
            <w:r w:rsidRPr="00D120B5">
              <w:t>ll but two patients required long-term immunosuppressive drug therapy for stabilization.</w:t>
            </w:r>
            <w:r>
              <w:t xml:space="preserve"> After 6 months, 10 patients had almost completely recovered.</w:t>
            </w:r>
          </w:p>
        </w:tc>
        <w:tc>
          <w:tcPr>
            <w:tcW w:w="733" w:type="pct"/>
          </w:tcPr>
          <w:p w14:paraId="4AF2ED7A" w14:textId="77777777" w:rsidR="00D61E41" w:rsidRDefault="00D61E41" w:rsidP="00422B0F">
            <w:pPr>
              <w:pStyle w:val="Tabletext1"/>
              <w:ind w:left="0"/>
            </w:pPr>
            <w:r>
              <w:t>8/12 (66%) relapsed within 7–14 days after stopping PE.</w:t>
            </w:r>
          </w:p>
          <w:p w14:paraId="648D31DE" w14:textId="77777777" w:rsidR="00D61E41" w:rsidRDefault="00D61E41" w:rsidP="00422B0F">
            <w:pPr>
              <w:pStyle w:val="Tabletext1"/>
              <w:ind w:left="0"/>
            </w:pPr>
            <w:r>
              <w:t>Long-term: 3/16 patients had relapsed</w:t>
            </w:r>
          </w:p>
        </w:tc>
      </w:tr>
      <w:tr w:rsidR="00D61E41" w:rsidRPr="005F0B01" w14:paraId="2582B522" w14:textId="77777777" w:rsidTr="00422B0F">
        <w:tc>
          <w:tcPr>
            <w:tcW w:w="702" w:type="pct"/>
          </w:tcPr>
          <w:p w14:paraId="175372EC" w14:textId="24BE46FF" w:rsidR="00D61E41" w:rsidRPr="005F0B01" w:rsidRDefault="00B727D6" w:rsidP="00D726F6">
            <w:pPr>
              <w:pStyle w:val="Tabletext1"/>
              <w:ind w:left="0"/>
            </w:pPr>
            <w:r>
              <w:fldChar w:fldCharType="begin">
                <w:fldData xml:space="preserve">PEVuZE5vdGU+PENpdGU+PEF1dGhvcj5WaWFsYTwvQXV0aG9yPjxZZWFyPjIwMTA8L1llYXI+PFJl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</w:fldData>
              </w:fldChar>
            </w:r>
            <w:r>
              <w:instrText xml:space="preserve"> ADDIN EN.CITE </w:instrText>
            </w:r>
            <w:r>
              <w:fldChar w:fldCharType="begin">
                <w:fldData xml:space="preserve">PEVuZE5vdGU+PENpdGU+PEF1dGhvcj5WaWFsYTwvQXV0aG9yPjxZZWFyPjIwMTA8L1llYXI+PFJl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</w:fldData>
              </w:fldChar>
            </w:r>
            <w:r>
              <w:instrText xml:space="preserve"> ADDIN EN.CITE.DATA </w:instrText>
            </w:r>
            <w:r>
              <w:fldChar w:fldCharType="end"/>
            </w:r>
            <w:r>
              <w:fldChar w:fldCharType="separate"/>
            </w:r>
            <w:r>
              <w:rPr>
                <w:noProof/>
              </w:rPr>
              <w:t>(</w:t>
            </w:r>
            <w:hyperlink w:anchor="_ENREF_76" w:tooltip="Viala, 2010 #1906" w:history="1">
              <w:r w:rsidR="00D726F6">
                <w:rPr>
                  <w:noProof/>
                </w:rPr>
                <w:t>Viala et al. 2010</w:t>
              </w:r>
            </w:hyperlink>
            <w:r>
              <w:rPr>
                <w:noProof/>
              </w:rPr>
              <w:t>)</w:t>
            </w:r>
            <w:r>
              <w:fldChar w:fldCharType="end"/>
            </w:r>
          </w:p>
        </w:tc>
        <w:tc>
          <w:tcPr>
            <w:tcW w:w="211" w:type="pct"/>
          </w:tcPr>
          <w:p w14:paraId="776C8EB0" w14:textId="77777777" w:rsidR="00D61E41" w:rsidRPr="005F0B01" w:rsidRDefault="00D61E41" w:rsidP="00422B0F">
            <w:pPr>
              <w:pStyle w:val="Tabletext1"/>
              <w:ind w:left="0"/>
            </w:pPr>
            <w:r w:rsidRPr="005F0B01">
              <w:t>21</w:t>
            </w:r>
          </w:p>
        </w:tc>
        <w:tc>
          <w:tcPr>
            <w:tcW w:w="1016" w:type="pct"/>
          </w:tcPr>
          <w:p w14:paraId="1AAAF6AB" w14:textId="77777777" w:rsidR="00D61E41" w:rsidRPr="005F0B01" w:rsidRDefault="00D61E41" w:rsidP="00422B0F">
            <w:pPr>
              <w:pStyle w:val="Tabletext1"/>
              <w:ind w:left="0"/>
            </w:pPr>
            <w:r w:rsidRPr="00970A60">
              <w:t>6 PEs during the first month, followed by a progressive increase in the interval between two PEs</w:t>
            </w:r>
          </w:p>
        </w:tc>
        <w:tc>
          <w:tcPr>
            <w:tcW w:w="661" w:type="pct"/>
          </w:tcPr>
          <w:p w14:paraId="2BC5B3FF" w14:textId="77777777" w:rsidR="00D61E41" w:rsidRPr="005F0B01" w:rsidRDefault="00D61E41" w:rsidP="00422B0F">
            <w:pPr>
              <w:pStyle w:val="Tabletext1"/>
              <w:ind w:left="0"/>
            </w:pPr>
            <w:r w:rsidRPr="005F0B01">
              <w:t>Median follow-up of 3 years (1.5–16 years)</w:t>
            </w:r>
          </w:p>
        </w:tc>
        <w:tc>
          <w:tcPr>
            <w:tcW w:w="864" w:type="pct"/>
          </w:tcPr>
          <w:p w14:paraId="5A97081D" w14:textId="77777777" w:rsidR="00D61E41" w:rsidRPr="005F0B01" w:rsidRDefault="00D61E41" w:rsidP="00422B0F">
            <w:pPr>
              <w:pStyle w:val="Tabletext1"/>
              <w:ind w:left="0"/>
            </w:pPr>
            <w:r w:rsidRPr="005F0B01">
              <w:t>13/21 (62%)</w:t>
            </w:r>
          </w:p>
          <w:p w14:paraId="6F1F2F80" w14:textId="77777777" w:rsidR="00D61E41" w:rsidRPr="005F0B01" w:rsidRDefault="00D61E41" w:rsidP="00422B0F">
            <w:pPr>
              <w:pStyle w:val="Tabletext1"/>
              <w:ind w:left="0"/>
            </w:pPr>
            <w:r w:rsidRPr="005F0B01">
              <w:t>3/13 (23%) continued treatment</w:t>
            </w:r>
          </w:p>
        </w:tc>
        <w:tc>
          <w:tcPr>
            <w:tcW w:w="813" w:type="pct"/>
          </w:tcPr>
          <w:p w14:paraId="1A6E4214" w14:textId="77777777" w:rsidR="00D61E41" w:rsidRDefault="00D61E41" w:rsidP="00422B0F">
            <w:pPr>
              <w:pStyle w:val="Tabletext1"/>
              <w:ind w:left="0"/>
            </w:pPr>
            <w:r>
              <w:t>18% of treated patients stopped treatment (&lt;6 months) with no relapse during the follow-up.</w:t>
            </w:r>
          </w:p>
          <w:p w14:paraId="12E9C76B" w14:textId="77777777" w:rsidR="00D61E41" w:rsidRPr="005F0B01" w:rsidRDefault="00D61E41" w:rsidP="00422B0F">
            <w:pPr>
              <w:pStyle w:val="Tabletext1"/>
              <w:ind w:left="0"/>
            </w:pPr>
            <w:r>
              <w:t>29% of treated patients stopped treatment after mean of 15 months. (treatment not specified)</w:t>
            </w:r>
          </w:p>
        </w:tc>
        <w:tc>
          <w:tcPr>
            <w:tcW w:w="733" w:type="pct"/>
          </w:tcPr>
          <w:p w14:paraId="2D9418A8" w14:textId="77777777" w:rsidR="00D61E41" w:rsidRPr="005F0B01" w:rsidRDefault="00D61E41" w:rsidP="00422B0F">
            <w:pPr>
              <w:pStyle w:val="Tabletext1"/>
              <w:ind w:left="0"/>
            </w:pPr>
            <w:r>
              <w:t>NR</w:t>
            </w:r>
          </w:p>
        </w:tc>
      </w:tr>
      <w:tr w:rsidR="00D61E41" w:rsidRPr="005F0B01" w14:paraId="6C86D980" w14:textId="77777777" w:rsidTr="00422B0F">
        <w:tc>
          <w:tcPr>
            <w:tcW w:w="702" w:type="pct"/>
          </w:tcPr>
          <w:p w14:paraId="226B9380" w14:textId="32B6678C" w:rsidR="00D61E41" w:rsidRDefault="00B727D6" w:rsidP="00D726F6">
            <w:pPr>
              <w:pStyle w:val="Tabletext1"/>
              <w:ind w:left="0"/>
            </w:pPr>
            <w:r>
              <w:fldChar w:fldCharType="begin">
                <w:fldData xml:space="preserve">PEVuZE5vdGU+PENpdGU+PEF1dGhvcj5Db2Ryb248L0F1dGhvcj48WWVhcj4yMDE3PC9ZZWFyPjxS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</w:fldData>
              </w:fldChar>
            </w:r>
            <w:r>
              <w:instrText xml:space="preserve"> ADDIN EN.CITE </w:instrText>
            </w:r>
            <w:r>
              <w:fldChar w:fldCharType="begin">
                <w:fldData xml:space="preserve">PEVuZE5vdGU+PENpdGU+PEF1dGhvcj5Db2Ryb248L0F1dGhvcj48WWVhcj4yMDE3PC9ZZWFyPjxS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</w:fldData>
              </w:fldChar>
            </w:r>
            <w:r>
              <w:instrText xml:space="preserve"> ADDIN EN.CITE.DATA </w:instrText>
            </w:r>
            <w:r>
              <w:fldChar w:fldCharType="end"/>
            </w:r>
            <w:r>
              <w:fldChar w:fldCharType="separate"/>
            </w:r>
            <w:r>
              <w:rPr>
                <w:noProof/>
              </w:rPr>
              <w:t>(</w:t>
            </w:r>
            <w:hyperlink w:anchor="_ENREF_9" w:tooltip="Codron, 2017 #1325" w:history="1">
              <w:r w:rsidR="00D726F6">
                <w:rPr>
                  <w:noProof/>
                </w:rPr>
                <w:t>Codron et al. 2017</w:t>
              </w:r>
            </w:hyperlink>
            <w:r>
              <w:rPr>
                <w:noProof/>
              </w:rPr>
              <w:t>)</w:t>
            </w:r>
            <w:r>
              <w:fldChar w:fldCharType="end"/>
            </w:r>
          </w:p>
        </w:tc>
        <w:tc>
          <w:tcPr>
            <w:tcW w:w="211" w:type="pct"/>
          </w:tcPr>
          <w:p w14:paraId="1406472E" w14:textId="77777777" w:rsidR="00D61E41" w:rsidRDefault="00D61E41" w:rsidP="00422B0F">
            <w:pPr>
              <w:pStyle w:val="Tabletext1"/>
              <w:ind w:left="0"/>
            </w:pPr>
            <w:r>
              <w:t>11</w:t>
            </w:r>
          </w:p>
        </w:tc>
        <w:tc>
          <w:tcPr>
            <w:tcW w:w="1016" w:type="pct"/>
          </w:tcPr>
          <w:p w14:paraId="4FE57398" w14:textId="77777777" w:rsidR="00D61E41" w:rsidRDefault="00D61E41" w:rsidP="00422B0F">
            <w:pPr>
              <w:pStyle w:val="Tabletext1"/>
              <w:ind w:left="0"/>
            </w:pPr>
            <w:r>
              <w:t>PE</w:t>
            </w:r>
            <w:r w:rsidRPr="00316110">
              <w:t xml:space="preserve"> every other day for 1 week, twice a week for 2 weeks, once a week for 4 weeks, every 2 weeks for 3 weeks, and was then progressively spaced depending on the patients’ response.</w:t>
            </w:r>
          </w:p>
        </w:tc>
        <w:tc>
          <w:tcPr>
            <w:tcW w:w="661" w:type="pct"/>
          </w:tcPr>
          <w:p w14:paraId="30907DCA" w14:textId="77777777" w:rsidR="00D61E41" w:rsidRDefault="00D61E41" w:rsidP="00422B0F">
            <w:pPr>
              <w:pStyle w:val="Tabletext1"/>
              <w:ind w:left="0"/>
            </w:pPr>
            <w:r>
              <w:t>PE sessions per patient, median (range): 28 (10–73)</w:t>
            </w:r>
          </w:p>
        </w:tc>
        <w:tc>
          <w:tcPr>
            <w:tcW w:w="864" w:type="pct"/>
          </w:tcPr>
          <w:p w14:paraId="3236739E" w14:textId="77777777" w:rsidR="00D61E41" w:rsidRDefault="00D61E41" w:rsidP="00422B0F">
            <w:pPr>
              <w:pStyle w:val="Tabletext1"/>
              <w:ind w:left="0"/>
            </w:pPr>
            <w:r>
              <w:t>8/11 (72.7%) responders</w:t>
            </w:r>
          </w:p>
          <w:p w14:paraId="6DFE47F1" w14:textId="77777777" w:rsidR="00D61E41" w:rsidRDefault="00D61E41" w:rsidP="00422B0F">
            <w:pPr>
              <w:pStyle w:val="Tabletext1"/>
              <w:ind w:left="0"/>
            </w:pPr>
            <w:r>
              <w:t>6/11 (54.5%) treatment dependent</w:t>
            </w:r>
          </w:p>
        </w:tc>
        <w:tc>
          <w:tcPr>
            <w:tcW w:w="813" w:type="pct"/>
          </w:tcPr>
          <w:p w14:paraId="4F1AD6B2" w14:textId="77777777" w:rsidR="00D61E41" w:rsidRDefault="00D61E41" w:rsidP="00422B0F">
            <w:pPr>
              <w:pStyle w:val="Tabletext1"/>
              <w:ind w:left="0"/>
            </w:pPr>
            <w:r>
              <w:t>2/11 (18.2%) recovered</w:t>
            </w:r>
          </w:p>
        </w:tc>
        <w:tc>
          <w:tcPr>
            <w:tcW w:w="733" w:type="pct"/>
          </w:tcPr>
          <w:p w14:paraId="53AB451A" w14:textId="77777777" w:rsidR="00D61E41" w:rsidRDefault="00D61E41" w:rsidP="00422B0F">
            <w:pPr>
              <w:pStyle w:val="Tabletext1"/>
              <w:ind w:left="0"/>
            </w:pPr>
          </w:p>
        </w:tc>
      </w:tr>
      <w:tr w:rsidR="00D61E41" w:rsidRPr="005F0B01" w14:paraId="61F5D3D3" w14:textId="77777777" w:rsidTr="00422B0F">
        <w:tc>
          <w:tcPr>
            <w:tcW w:w="702" w:type="pct"/>
          </w:tcPr>
          <w:p w14:paraId="0C52E24A" w14:textId="1AAF4792" w:rsidR="00D61E41" w:rsidRDefault="00B727D6" w:rsidP="00D726F6">
            <w:pPr>
              <w:pStyle w:val="Tabletext1"/>
              <w:ind w:left="0"/>
            </w:pPr>
            <w:r>
              <w:fldChar w:fldCharType="begin">
                <w:fldData xml:space="preserve">PEVuZE5vdGU+PENpdGU+PEF1dGhvcj5MaWVrZXI8L0F1dGhvcj48WWVhcj4yMDE3PC9ZZWFyPjxS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</w:fldData>
              </w:fldChar>
            </w:r>
            <w:r>
              <w:instrText xml:space="preserve"> ADDIN EN.CITE </w:instrText>
            </w:r>
            <w:r>
              <w:fldChar w:fldCharType="begin">
                <w:fldData xml:space="preserve">PEVuZE5vdGU+PENpdGU+PEF1dGhvcj5MaWVrZXI8L0F1dGhvcj48WWVhcj4yMDE3PC9ZZWFyPjxS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</w:fldData>
              </w:fldChar>
            </w:r>
            <w:r>
              <w:instrText xml:space="preserve"> ADDIN EN.CITE.DATA </w:instrText>
            </w:r>
            <w:r>
              <w:fldChar w:fldCharType="end"/>
            </w:r>
            <w:r>
              <w:fldChar w:fldCharType="separate"/>
            </w:r>
            <w:r>
              <w:rPr>
                <w:noProof/>
              </w:rPr>
              <w:t>(</w:t>
            </w:r>
            <w:hyperlink w:anchor="_ENREF_37" w:tooltip="Lieker, 2017 #143" w:history="1">
              <w:r w:rsidR="00D726F6">
                <w:rPr>
                  <w:noProof/>
                </w:rPr>
                <w:t>Lieker et al. 2017</w:t>
              </w:r>
            </w:hyperlink>
            <w:r>
              <w:rPr>
                <w:noProof/>
              </w:rPr>
              <w:t>)</w:t>
            </w:r>
            <w:r>
              <w:fldChar w:fldCharType="end"/>
            </w:r>
          </w:p>
        </w:tc>
        <w:tc>
          <w:tcPr>
            <w:tcW w:w="211" w:type="pct"/>
          </w:tcPr>
          <w:p w14:paraId="62BFDBD1" w14:textId="77777777" w:rsidR="00D61E41" w:rsidRDefault="00D61E41" w:rsidP="00422B0F">
            <w:pPr>
              <w:pStyle w:val="Tabletext1"/>
              <w:ind w:left="0"/>
            </w:pPr>
            <w:r>
              <w:t>10</w:t>
            </w:r>
          </w:p>
        </w:tc>
        <w:tc>
          <w:tcPr>
            <w:tcW w:w="1016" w:type="pct"/>
          </w:tcPr>
          <w:p w14:paraId="7560BDD5" w14:textId="77777777" w:rsidR="00D61E41" w:rsidRDefault="00D61E41" w:rsidP="00422B0F">
            <w:pPr>
              <w:pStyle w:val="Tabletext1"/>
              <w:ind w:left="0"/>
            </w:pPr>
            <w:r w:rsidRPr="00923967">
              <w:t>6 sessions of PE</w:t>
            </w:r>
            <w:r>
              <w:t xml:space="preserve"> in 12 days (51 sessions in total for 9 patients)</w:t>
            </w:r>
          </w:p>
        </w:tc>
        <w:tc>
          <w:tcPr>
            <w:tcW w:w="661" w:type="pct"/>
          </w:tcPr>
          <w:p w14:paraId="1B5F9D93" w14:textId="77777777" w:rsidR="00D61E41" w:rsidRDefault="00D61E41" w:rsidP="00422B0F">
            <w:pPr>
              <w:pStyle w:val="Tabletext1"/>
              <w:ind w:left="0"/>
            </w:pPr>
            <w:r>
              <w:t>Four weeks after treatment</w:t>
            </w:r>
          </w:p>
        </w:tc>
        <w:tc>
          <w:tcPr>
            <w:tcW w:w="864" w:type="pct"/>
          </w:tcPr>
          <w:p w14:paraId="3E2CDA5B" w14:textId="77777777" w:rsidR="00D61E41" w:rsidRDefault="00D61E41" w:rsidP="00422B0F">
            <w:pPr>
              <w:pStyle w:val="Tabletext1"/>
              <w:ind w:left="0"/>
            </w:pPr>
            <w:r>
              <w:t xml:space="preserve">4/9 (44.4%) </w:t>
            </w:r>
          </w:p>
        </w:tc>
        <w:tc>
          <w:tcPr>
            <w:tcW w:w="813" w:type="pct"/>
          </w:tcPr>
          <w:p w14:paraId="59C1B99C" w14:textId="77777777" w:rsidR="00D61E41" w:rsidRDefault="00D61E41" w:rsidP="00422B0F">
            <w:pPr>
              <w:pStyle w:val="Tabletext1"/>
              <w:ind w:left="0"/>
            </w:pPr>
            <w:r>
              <w:t>4/4 (100%) stable after 4 weeks of ceasing treatment</w:t>
            </w:r>
          </w:p>
        </w:tc>
        <w:tc>
          <w:tcPr>
            <w:tcW w:w="733" w:type="pct"/>
          </w:tcPr>
          <w:p w14:paraId="77FA8CBB" w14:textId="77777777" w:rsidR="00D61E41" w:rsidRDefault="00D61E41" w:rsidP="00422B0F">
            <w:pPr>
              <w:pStyle w:val="Tabletext1"/>
              <w:ind w:left="0"/>
            </w:pPr>
            <w:r>
              <w:t>-</w:t>
            </w:r>
          </w:p>
        </w:tc>
      </w:tr>
    </w:tbl>
    <w:p w14:paraId="2ECC2317" w14:textId="77777777" w:rsidR="00D61E41" w:rsidRDefault="00D61E41" w:rsidP="00D61E41">
      <w:pPr>
        <w:pStyle w:val="Tablenotes0"/>
      </w:pPr>
      <w:r>
        <w:t xml:space="preserve">Ig = immunoglobulin; PE = plasma exchange; </w:t>
      </w:r>
    </w:p>
    <w:p w14:paraId="686AF03C" w14:textId="77777777" w:rsidR="00D61E41" w:rsidRDefault="00D61E41" w:rsidP="00D61E41">
      <w:pPr>
        <w:sectPr w:rsidR="00D61E41" w:rsidSect="00857754">
          <w:pgSz w:w="16838" w:h="11906" w:orient="landscape"/>
          <w:pgMar w:top="1440" w:right="1440" w:bottom="1440" w:left="1440" w:header="720" w:footer="720" w:gutter="0"/>
          <w:paperSrc w:first="7" w:other="7"/>
          <w:cols w:space="720"/>
          <w:docGrid w:linePitch="299"/>
        </w:sectPr>
      </w:pPr>
    </w:p>
    <w:p w14:paraId="698F278E" w14:textId="77777777" w:rsidR="00C46BF0" w:rsidRPr="00C46BF0" w:rsidRDefault="00D61E41" w:rsidP="00C46BF0">
      <w:pPr>
        <w:pStyle w:val="Heading2"/>
        <w:rPr>
          <w:rFonts w:eastAsia="Calibri"/>
        </w:rPr>
      </w:pPr>
      <w:bookmarkStart w:id="539" w:name="_Toc69305628"/>
      <w:r>
        <w:rPr>
          <w:rFonts w:eastAsia="Calibri"/>
        </w:rPr>
        <w:t>I</w:t>
      </w:r>
      <w:r w:rsidR="00C46BF0">
        <w:rPr>
          <w:rFonts w:eastAsia="Calibri"/>
        </w:rPr>
        <w:t>mmunoglobulin (Ig) costs</w:t>
      </w:r>
      <w:bookmarkEnd w:id="539"/>
    </w:p>
    <w:p w14:paraId="33ED52CC" w14:textId="7F679CBC" w:rsidR="00C46BF0" w:rsidRPr="00E07567" w:rsidRDefault="00C46BF0" w:rsidP="00C46BF0">
      <w:pPr>
        <w:pStyle w:val="Caption"/>
      </w:pPr>
      <w:bookmarkStart w:id="540" w:name="_Ref13214532"/>
      <w:bookmarkStart w:id="541" w:name="_Toc13645614"/>
      <w:bookmarkStart w:id="542" w:name="_Toc15562008"/>
      <w:bookmarkStart w:id="543" w:name="_Toc23768958"/>
      <w:bookmarkStart w:id="544" w:name="_Toc69305721"/>
      <w:r w:rsidRPr="00E07567">
        <w:t xml:space="preserve">Table </w:t>
      </w:r>
      <w:r w:rsidRPr="00E07567">
        <w:rPr>
          <w:noProof/>
        </w:rPr>
        <w:fldChar w:fldCharType="begin"/>
      </w:r>
      <w:r w:rsidRPr="00E07567">
        <w:rPr>
          <w:noProof/>
        </w:rPr>
        <w:instrText xml:space="preserve"> SEQ Table \* ARABIC </w:instrText>
      </w:r>
      <w:r w:rsidRPr="00E07567">
        <w:rPr>
          <w:noProof/>
        </w:rPr>
        <w:fldChar w:fldCharType="separate"/>
      </w:r>
      <w:r w:rsidR="004B3EA2">
        <w:rPr>
          <w:noProof/>
        </w:rPr>
        <w:t>80</w:t>
      </w:r>
      <w:r w:rsidRPr="00E07567">
        <w:rPr>
          <w:noProof/>
        </w:rPr>
        <w:fldChar w:fldCharType="end"/>
      </w:r>
      <w:bookmarkEnd w:id="540"/>
      <w:r w:rsidRPr="00E07567">
        <w:tab/>
        <w:t>Estimation of Ig costs</w:t>
      </w:r>
      <w:bookmarkEnd w:id="541"/>
      <w:bookmarkEnd w:id="542"/>
      <w:bookmarkEnd w:id="543"/>
      <w:r>
        <w:t>*</w:t>
      </w:r>
      <w:bookmarkEnd w:id="544"/>
    </w:p>
    <w:tbl>
      <w:tblPr>
        <w:tblW w:w="5000" w:type="pct"/>
        <w:tblLayout w:type="fixed"/>
        <w:tblLook w:val="04A0" w:firstRow="1" w:lastRow="0" w:firstColumn="1" w:lastColumn="0" w:noHBand="0" w:noVBand="1"/>
        <w:tblCaption w:val="Estimation of Ig costs"/>
        <w:tblDescription w:val="Estimation of Ig costs"/>
      </w:tblPr>
      <w:tblGrid>
        <w:gridCol w:w="2425"/>
        <w:gridCol w:w="1173"/>
        <w:gridCol w:w="1173"/>
        <w:gridCol w:w="1173"/>
        <w:gridCol w:w="3062"/>
      </w:tblGrid>
      <w:tr w:rsidR="00C46BF0" w:rsidRPr="00E07567" w14:paraId="6EB17FCF" w14:textId="77777777" w:rsidTr="00F07769">
        <w:trPr>
          <w:cantSplit/>
          <w:trHeight w:val="315"/>
          <w:tblHeader/>
        </w:trPr>
        <w:tc>
          <w:tcPr>
            <w:tcW w:w="134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8E1847" w14:textId="77777777" w:rsidR="00C46BF0" w:rsidRPr="00E07567" w:rsidRDefault="00C46BF0" w:rsidP="00F07769">
            <w:pPr>
              <w:keepNext/>
              <w:spacing w:before="40" w:after="40" w:line="240" w:lineRule="auto"/>
              <w:jc w:val="both"/>
              <w:rPr>
                <w:rFonts w:ascii="Arial Narrow" w:hAnsi="Arial Narrow"/>
                <w:b/>
                <w:sz w:val="20"/>
                <w:szCs w:val="20"/>
              </w:rPr>
            </w:pPr>
            <w:r w:rsidRPr="00E07567">
              <w:rPr>
                <w:rFonts w:ascii="Arial Narrow" w:hAnsi="Arial Narrow"/>
                <w:b/>
                <w:sz w:val="20"/>
                <w:szCs w:val="20"/>
              </w:rPr>
              <w:t>2017/18 Ig Report</w:t>
            </w:r>
          </w:p>
        </w:tc>
        <w:tc>
          <w:tcPr>
            <w:tcW w:w="651" w:type="pct"/>
            <w:tcBorders>
              <w:top w:val="single" w:sz="8" w:space="0" w:color="auto"/>
              <w:left w:val="nil"/>
              <w:bottom w:val="single" w:sz="8" w:space="0" w:color="auto"/>
              <w:right w:val="single" w:sz="8" w:space="0" w:color="auto"/>
            </w:tcBorders>
            <w:shd w:val="clear" w:color="auto" w:fill="auto"/>
            <w:noWrap/>
            <w:vAlign w:val="center"/>
            <w:hideMark/>
          </w:tcPr>
          <w:p w14:paraId="1046302A" w14:textId="77777777" w:rsidR="00C46BF0" w:rsidRPr="00E07567" w:rsidRDefault="00C46BF0" w:rsidP="00F07769">
            <w:pPr>
              <w:keepNext/>
              <w:spacing w:before="40" w:after="40" w:line="240" w:lineRule="auto"/>
              <w:jc w:val="both"/>
              <w:rPr>
                <w:rFonts w:ascii="Arial Narrow" w:hAnsi="Arial Narrow"/>
                <w:b/>
                <w:sz w:val="20"/>
                <w:szCs w:val="20"/>
              </w:rPr>
            </w:pPr>
            <w:r w:rsidRPr="00E07567">
              <w:rPr>
                <w:rFonts w:ascii="Arial Narrow" w:hAnsi="Arial Narrow"/>
                <w:b/>
                <w:sz w:val="20"/>
                <w:szCs w:val="20"/>
              </w:rPr>
              <w:t>Price in $(m</w:t>
            </w:r>
            <w:r w:rsidR="007C2939">
              <w:rPr>
                <w:rFonts w:ascii="Arial Narrow" w:hAnsi="Arial Narrow"/>
                <w:b/>
                <w:sz w:val="20"/>
                <w:szCs w:val="20"/>
              </w:rPr>
              <w:t>illion</w:t>
            </w:r>
            <w:r w:rsidRPr="00E07567">
              <w:rPr>
                <w:rFonts w:ascii="Arial Narrow" w:hAnsi="Arial Narrow"/>
                <w:b/>
                <w:sz w:val="20"/>
                <w:szCs w:val="20"/>
              </w:rPr>
              <w:t>)</w:t>
            </w:r>
          </w:p>
        </w:tc>
        <w:tc>
          <w:tcPr>
            <w:tcW w:w="651" w:type="pct"/>
            <w:tcBorders>
              <w:top w:val="single" w:sz="8" w:space="0" w:color="auto"/>
              <w:left w:val="nil"/>
              <w:bottom w:val="single" w:sz="8" w:space="0" w:color="auto"/>
              <w:right w:val="single" w:sz="8" w:space="0" w:color="auto"/>
            </w:tcBorders>
            <w:shd w:val="clear" w:color="auto" w:fill="auto"/>
            <w:noWrap/>
            <w:vAlign w:val="center"/>
            <w:hideMark/>
          </w:tcPr>
          <w:p w14:paraId="6FB282F6" w14:textId="77777777" w:rsidR="00C46BF0" w:rsidRPr="00E07567" w:rsidRDefault="00C46BF0" w:rsidP="00F07769">
            <w:pPr>
              <w:keepNext/>
              <w:spacing w:before="40" w:after="40" w:line="240" w:lineRule="auto"/>
              <w:jc w:val="both"/>
              <w:rPr>
                <w:rFonts w:ascii="Arial Narrow" w:hAnsi="Arial Narrow"/>
                <w:b/>
                <w:sz w:val="20"/>
                <w:szCs w:val="20"/>
              </w:rPr>
            </w:pPr>
            <w:r w:rsidRPr="00E07567">
              <w:rPr>
                <w:rFonts w:ascii="Arial Narrow" w:hAnsi="Arial Narrow"/>
                <w:b/>
                <w:sz w:val="20"/>
                <w:szCs w:val="20"/>
              </w:rPr>
              <w:t>Grams</w:t>
            </w:r>
          </w:p>
          <w:p w14:paraId="2E57110D" w14:textId="77777777" w:rsidR="00C46BF0" w:rsidRPr="00E07567" w:rsidRDefault="00C46BF0" w:rsidP="00F07769">
            <w:pPr>
              <w:keepNext/>
              <w:spacing w:before="40" w:after="40" w:line="240" w:lineRule="auto"/>
              <w:jc w:val="both"/>
              <w:rPr>
                <w:rFonts w:ascii="Arial Narrow" w:hAnsi="Arial Narrow"/>
                <w:b/>
                <w:sz w:val="20"/>
                <w:szCs w:val="20"/>
              </w:rPr>
            </w:pPr>
            <w:r w:rsidRPr="00E07567">
              <w:rPr>
                <w:rFonts w:ascii="Arial Narrow" w:hAnsi="Arial Narrow"/>
                <w:b/>
                <w:sz w:val="20"/>
                <w:szCs w:val="20"/>
              </w:rPr>
              <w:t>(weight,%)</w:t>
            </w:r>
          </w:p>
        </w:tc>
        <w:tc>
          <w:tcPr>
            <w:tcW w:w="651" w:type="pct"/>
            <w:tcBorders>
              <w:top w:val="single" w:sz="8" w:space="0" w:color="auto"/>
              <w:left w:val="nil"/>
              <w:bottom w:val="single" w:sz="8" w:space="0" w:color="auto"/>
              <w:right w:val="single" w:sz="8" w:space="0" w:color="auto"/>
            </w:tcBorders>
            <w:shd w:val="clear" w:color="auto" w:fill="auto"/>
            <w:noWrap/>
            <w:vAlign w:val="center"/>
            <w:hideMark/>
          </w:tcPr>
          <w:p w14:paraId="5D35F8F6" w14:textId="77777777" w:rsidR="00C46BF0" w:rsidRPr="00E07567" w:rsidRDefault="00C46BF0" w:rsidP="00F07769">
            <w:pPr>
              <w:keepNext/>
              <w:spacing w:before="40" w:after="40" w:line="240" w:lineRule="auto"/>
              <w:jc w:val="both"/>
              <w:rPr>
                <w:rFonts w:ascii="Arial Narrow" w:hAnsi="Arial Narrow"/>
                <w:b/>
                <w:sz w:val="20"/>
                <w:szCs w:val="20"/>
              </w:rPr>
            </w:pPr>
            <w:r w:rsidRPr="00E07567">
              <w:rPr>
                <w:rFonts w:ascii="Arial Narrow" w:hAnsi="Arial Narrow"/>
                <w:b/>
                <w:sz w:val="20"/>
                <w:szCs w:val="20"/>
              </w:rPr>
              <w:t>Price/gram in $</w:t>
            </w:r>
          </w:p>
        </w:tc>
        <w:tc>
          <w:tcPr>
            <w:tcW w:w="1700" w:type="pct"/>
            <w:tcBorders>
              <w:top w:val="single" w:sz="8" w:space="0" w:color="auto"/>
              <w:left w:val="nil"/>
              <w:bottom w:val="single" w:sz="8" w:space="0" w:color="auto"/>
              <w:right w:val="single" w:sz="8" w:space="0" w:color="auto"/>
            </w:tcBorders>
            <w:shd w:val="clear" w:color="auto" w:fill="auto"/>
            <w:noWrap/>
            <w:vAlign w:val="center"/>
            <w:hideMark/>
          </w:tcPr>
          <w:p w14:paraId="7A9CDC04" w14:textId="51595A1F" w:rsidR="00C46BF0" w:rsidRPr="00E07567" w:rsidRDefault="00C46BF0" w:rsidP="00D726F6">
            <w:pPr>
              <w:keepNext/>
              <w:spacing w:before="40" w:after="40" w:line="240" w:lineRule="auto"/>
              <w:jc w:val="both"/>
              <w:rPr>
                <w:rFonts w:ascii="Arial Narrow" w:hAnsi="Arial Narrow"/>
                <w:b/>
                <w:sz w:val="20"/>
                <w:szCs w:val="20"/>
              </w:rPr>
            </w:pPr>
            <w:r w:rsidRPr="00E07567">
              <w:rPr>
                <w:rFonts w:ascii="Arial Narrow" w:hAnsi="Arial Narrow"/>
                <w:b/>
                <w:sz w:val="20"/>
                <w:szCs w:val="20"/>
              </w:rPr>
              <w:t xml:space="preserve">Reference to Ig report </w:t>
            </w:r>
            <w:r w:rsidR="00B727D6">
              <w:rPr>
                <w:rFonts w:ascii="Arial Narrow" w:hAnsi="Arial Narrow"/>
                <w:b/>
                <w:sz w:val="20"/>
                <w:szCs w:val="20"/>
              </w:rPr>
              <w:fldChar w:fldCharType="begin"/>
            </w:r>
            <w:r w:rsidR="00B727D6">
              <w:rPr>
                <w:rFonts w:ascii="Arial Narrow" w:hAnsi="Arial Narrow"/>
                <w:b/>
                <w:sz w:val="20"/>
                <w:szCs w:val="20"/>
              </w:rPr>
              <w:instrText xml:space="preserve"> ADDIN EN.CITE &lt;EndNote&gt;&lt;Cite&gt;&lt;Author&gt;Milverton&lt;/Author&gt;&lt;Year&gt;2019&lt;/Year&gt;&lt;RecNum&gt;1962&lt;/RecNum&gt;&lt;DisplayText&gt;(Milverton et al. 2019)&lt;/DisplayText&gt;&lt;record&gt;&lt;rec-number&gt;1962&lt;/rec-number&gt;&lt;foreign-keys&gt;&lt;key app="EN" db-id="xtr5xfx2xf0wd7e0s2qvst2ietxxf0tpzr9v" timestamp="1615264848"&gt;1962&lt;/key&gt;&lt;/foreign-keys&gt;&lt;ref-type name="Report"&gt;27&lt;/ref-type&gt;&lt;contributors&gt;&lt;authors&gt;&lt;author&gt;Milverton, J&lt;/author&gt;&lt;author&gt;Schubert, C &lt;/author&gt;&lt;author&gt;Ellery, B&lt;/author&gt;&lt;author&gt;Morona, J &lt;/author&gt;&lt;author&gt;Parsons, J &lt;/author&gt;&lt;/authors&gt;&lt;/contributors&gt;&lt;titles&gt;&lt;title&gt;Immunoglobulin for myasthenia gravis. MSAC Application 1566, Assessment Report&lt;/title&gt;&lt;/titles&gt;&lt;dates&gt;&lt;year&gt;2019&lt;/year&gt;&lt;/dates&gt;&lt;publisher&gt;Commonwealth of Australia, Canberra, ACT&lt;/publisher&gt;&lt;urls&gt;&lt;/urls&gt;&lt;/record&gt;&lt;/Cite&gt;&lt;/EndNote&gt;</w:instrText>
            </w:r>
            <w:r w:rsidR="00B727D6">
              <w:rPr>
                <w:rFonts w:ascii="Arial Narrow" w:hAnsi="Arial Narrow"/>
                <w:b/>
                <w:sz w:val="20"/>
                <w:szCs w:val="20"/>
              </w:rPr>
              <w:fldChar w:fldCharType="separate"/>
            </w:r>
            <w:r w:rsidR="00B727D6">
              <w:rPr>
                <w:rFonts w:ascii="Arial Narrow" w:hAnsi="Arial Narrow"/>
                <w:b/>
                <w:noProof/>
                <w:sz w:val="20"/>
                <w:szCs w:val="20"/>
              </w:rPr>
              <w:t>(</w:t>
            </w:r>
            <w:hyperlink w:anchor="_ENREF_45" w:tooltip="Milverton, 2019 #1962" w:history="1">
              <w:r w:rsidR="00D726F6">
                <w:rPr>
                  <w:rFonts w:ascii="Arial Narrow" w:hAnsi="Arial Narrow"/>
                  <w:b/>
                  <w:noProof/>
                  <w:sz w:val="20"/>
                  <w:szCs w:val="20"/>
                </w:rPr>
                <w:t>Milverton et al. 2019</w:t>
              </w:r>
            </w:hyperlink>
            <w:r w:rsidR="00B727D6">
              <w:rPr>
                <w:rFonts w:ascii="Arial Narrow" w:hAnsi="Arial Narrow"/>
                <w:b/>
                <w:noProof/>
                <w:sz w:val="20"/>
                <w:szCs w:val="20"/>
              </w:rPr>
              <w:t>)</w:t>
            </w:r>
            <w:r w:rsidR="00B727D6">
              <w:rPr>
                <w:rFonts w:ascii="Arial Narrow" w:hAnsi="Arial Narrow"/>
                <w:b/>
                <w:sz w:val="20"/>
                <w:szCs w:val="20"/>
              </w:rPr>
              <w:fldChar w:fldCharType="end"/>
            </w:r>
            <w:r w:rsidR="00DD30CA" w:rsidRPr="00E07567">
              <w:rPr>
                <w:rFonts w:ascii="Arial Narrow" w:hAnsi="Arial Narrow"/>
                <w:b/>
                <w:sz w:val="20"/>
                <w:szCs w:val="20"/>
              </w:rPr>
              <w:t xml:space="preserve"> section</w:t>
            </w:r>
          </w:p>
        </w:tc>
      </w:tr>
      <w:tr w:rsidR="00C46BF0" w:rsidRPr="00E07567" w14:paraId="03A528B1" w14:textId="77777777" w:rsidTr="00F07769">
        <w:trPr>
          <w:cantSplit/>
          <w:trHeight w:val="300"/>
        </w:trPr>
        <w:tc>
          <w:tcPr>
            <w:tcW w:w="1346" w:type="pct"/>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A8119DE" w14:textId="77777777" w:rsidR="00C46BF0" w:rsidRPr="00E07567" w:rsidRDefault="00C46BF0" w:rsidP="00F07769">
            <w:pPr>
              <w:spacing w:before="40" w:after="40" w:line="240" w:lineRule="auto"/>
              <w:rPr>
                <w:rFonts w:ascii="Arial Narrow" w:hAnsi="Arial Narrow"/>
                <w:sz w:val="20"/>
                <w:szCs w:val="20"/>
              </w:rPr>
            </w:pPr>
            <w:r w:rsidRPr="00E07567">
              <w:rPr>
                <w:rFonts w:ascii="Arial Narrow" w:hAnsi="Arial Narrow"/>
                <w:sz w:val="20"/>
                <w:szCs w:val="20"/>
              </w:rPr>
              <w:t>Domestic IVIg including plasma fractionation (excluding hyperimmune plasma)</w:t>
            </w:r>
          </w:p>
          <w:p w14:paraId="35CA2241" w14:textId="77777777" w:rsidR="00C46BF0" w:rsidRPr="00E07567" w:rsidRDefault="00C46BF0" w:rsidP="00F07769">
            <w:pPr>
              <w:spacing w:before="40" w:after="40" w:line="240" w:lineRule="auto"/>
              <w:rPr>
                <w:rFonts w:ascii="Arial Narrow" w:hAnsi="Arial Narrow"/>
                <w:sz w:val="20"/>
                <w:szCs w:val="20"/>
              </w:rPr>
            </w:pPr>
            <w:r w:rsidRPr="00E07567">
              <w:rPr>
                <w:rFonts w:ascii="Arial Narrow" w:hAnsi="Arial Narrow"/>
                <w:sz w:val="20"/>
                <w:szCs w:val="20"/>
              </w:rPr>
              <w:t xml:space="preserve">Intragam P* </w:t>
            </w:r>
          </w:p>
          <w:p w14:paraId="2690F1D4" w14:textId="77777777" w:rsidR="00C46BF0" w:rsidRPr="00E07567" w:rsidRDefault="00C46BF0" w:rsidP="00F07769">
            <w:pPr>
              <w:spacing w:before="40" w:after="40" w:line="240" w:lineRule="auto"/>
              <w:rPr>
                <w:rFonts w:ascii="Arial Narrow" w:hAnsi="Arial Narrow"/>
                <w:sz w:val="20"/>
                <w:szCs w:val="20"/>
              </w:rPr>
            </w:pPr>
            <w:r w:rsidRPr="00E07567">
              <w:rPr>
                <w:rFonts w:ascii="Arial Narrow" w:hAnsi="Arial Narrow"/>
                <w:sz w:val="20"/>
                <w:szCs w:val="20"/>
              </w:rPr>
              <w:t>Intragam 10</w:t>
            </w:r>
          </w:p>
        </w:tc>
        <w:tc>
          <w:tcPr>
            <w:tcW w:w="6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19A202B"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443.2</w:t>
            </w:r>
          </w:p>
        </w:tc>
        <w:tc>
          <w:tcPr>
            <w:tcW w:w="6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0D0D668"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3,161,673</w:t>
            </w:r>
          </w:p>
          <w:p w14:paraId="56BE23E1"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(51.6%)</w:t>
            </w:r>
          </w:p>
        </w:tc>
        <w:tc>
          <w:tcPr>
            <w:tcW w:w="6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7734F3F"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140.18</w:t>
            </w:r>
          </w:p>
        </w:tc>
        <w:tc>
          <w:tcPr>
            <w:tcW w:w="1700" w:type="pct"/>
            <w:tcBorders>
              <w:top w:val="single" w:sz="8" w:space="0" w:color="auto"/>
              <w:left w:val="nil"/>
              <w:bottom w:val="single" w:sz="4" w:space="0" w:color="auto"/>
              <w:right w:val="single" w:sz="8" w:space="0" w:color="auto"/>
            </w:tcBorders>
            <w:shd w:val="clear" w:color="000000" w:fill="FFFFFF"/>
            <w:noWrap/>
            <w:vAlign w:val="center"/>
            <w:hideMark/>
          </w:tcPr>
          <w:p w14:paraId="7DB3FBED"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Calculation required for cost: Plasma fractionation costs of $252.2M (expenditure section) + total domestic product cost of $195M (Table 6) – Evogam product cost of $4M (Table 6) = $443.2M </w:t>
            </w:r>
          </w:p>
          <w:p w14:paraId="7CD49D58"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Calculation for grams: Total domestic grams 3,225,722 (Table 6) – Evogam grams 64,049 = 3,161,673</w:t>
            </w:r>
          </w:p>
        </w:tc>
      </w:tr>
      <w:tr w:rsidR="00C46BF0" w:rsidRPr="00E07567" w14:paraId="7B48D3B4" w14:textId="77777777" w:rsidTr="00F07769">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216BB2E"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Domestic IVIg excluding plasma fractionation </w:t>
            </w:r>
          </w:p>
          <w:p w14:paraId="6D17CC58"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Intragam P* </w:t>
            </w:r>
          </w:p>
          <w:p w14:paraId="450736E4"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Intragam 10</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0D1AA76"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191</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6853E58"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3,161,673</w:t>
            </w:r>
          </w:p>
          <w:p w14:paraId="00B588C5"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(51.6%)</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F4C9607"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60.41</w:t>
            </w:r>
          </w:p>
        </w:tc>
        <w:tc>
          <w:tcPr>
            <w:tcW w:w="1700" w:type="pct"/>
            <w:tcBorders>
              <w:top w:val="single" w:sz="4" w:space="0" w:color="auto"/>
              <w:left w:val="nil"/>
              <w:bottom w:val="single" w:sz="4" w:space="0" w:color="auto"/>
              <w:right w:val="single" w:sz="8" w:space="0" w:color="auto"/>
            </w:tcBorders>
            <w:shd w:val="clear" w:color="000000" w:fill="FFFFFF"/>
            <w:noWrap/>
            <w:vAlign w:val="center"/>
            <w:hideMark/>
          </w:tcPr>
          <w:p w14:paraId="482467AE"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Table 6: </w:t>
            </w:r>
          </w:p>
          <w:p w14:paraId="37AA5B0C"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Calculation for price: Total domestic price – Evogam price </w:t>
            </w:r>
          </w:p>
          <w:p w14:paraId="1D73B739"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Calculation for grams: Total domestic grams – Evogam grams</w:t>
            </w:r>
          </w:p>
        </w:tc>
      </w:tr>
      <w:tr w:rsidR="00C46BF0" w:rsidRPr="00E07567" w14:paraId="0D4ED69D" w14:textId="77777777" w:rsidTr="00F07769">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33EEA3F7"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Imported IVIg </w:t>
            </w:r>
          </w:p>
          <w:p w14:paraId="65151312"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Flebogamma </w:t>
            </w:r>
          </w:p>
          <w:p w14:paraId="7489794B"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Privigen</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8FF37B1"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124</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2086E78"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2,759,266</w:t>
            </w:r>
          </w:p>
          <w:p w14:paraId="2882E463"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(45.0%)</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08067EE"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44.94</w:t>
            </w:r>
          </w:p>
        </w:tc>
        <w:tc>
          <w:tcPr>
            <w:tcW w:w="1700" w:type="pct"/>
            <w:tcBorders>
              <w:top w:val="single" w:sz="4" w:space="0" w:color="auto"/>
              <w:left w:val="nil"/>
              <w:bottom w:val="single" w:sz="4" w:space="0" w:color="auto"/>
              <w:right w:val="single" w:sz="8" w:space="0" w:color="auto"/>
            </w:tcBorders>
            <w:shd w:val="clear" w:color="000000" w:fill="FFFFFF"/>
            <w:noWrap/>
            <w:vAlign w:val="center"/>
            <w:hideMark/>
          </w:tcPr>
          <w:p w14:paraId="191FF79F"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Table 6: </w:t>
            </w:r>
          </w:p>
          <w:p w14:paraId="7A6B4049"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Calculation for price: Total imported price – Hizentra price </w:t>
            </w:r>
          </w:p>
          <w:p w14:paraId="7F8E3331"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Calculation for grams: Total imported grams – Hizentra grams</w:t>
            </w:r>
          </w:p>
        </w:tc>
      </w:tr>
      <w:tr w:rsidR="00C46BF0" w:rsidRPr="00E07567" w14:paraId="2191FF9F" w14:textId="77777777" w:rsidTr="00F07769">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48C0999"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SCIg domestic </w:t>
            </w:r>
          </w:p>
          <w:p w14:paraId="2B58EDC7"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Evogam</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DA6B1CE"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4</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EFFDC64"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64,049</w:t>
            </w:r>
          </w:p>
          <w:p w14:paraId="48B6B6C7"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(1.0%)</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48ED0F4"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62.45</w:t>
            </w:r>
          </w:p>
        </w:tc>
        <w:tc>
          <w:tcPr>
            <w:tcW w:w="170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5F2E042"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Table 6</w:t>
            </w:r>
          </w:p>
        </w:tc>
      </w:tr>
      <w:tr w:rsidR="00C46BF0" w:rsidRPr="00E07567" w14:paraId="374FA23B" w14:textId="77777777" w:rsidTr="00F07769">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90840B6"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 xml:space="preserve">SCIg imported </w:t>
            </w:r>
          </w:p>
          <w:p w14:paraId="4CA79109"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Hizentra</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373D71E"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8</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E10735D"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143,729</w:t>
            </w:r>
          </w:p>
          <w:p w14:paraId="78268BFA"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(2.3%)</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9D4E3D0"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55.66</w:t>
            </w:r>
          </w:p>
        </w:tc>
        <w:tc>
          <w:tcPr>
            <w:tcW w:w="170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7349546"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Table 6</w:t>
            </w:r>
          </w:p>
        </w:tc>
      </w:tr>
      <w:tr w:rsidR="00C46BF0" w:rsidRPr="00E07567" w14:paraId="21F18764" w14:textId="77777777" w:rsidTr="00F07769">
        <w:trPr>
          <w:cantSplit/>
          <w:trHeight w:val="315"/>
        </w:trPr>
        <w:tc>
          <w:tcPr>
            <w:tcW w:w="1346" w:type="pct"/>
            <w:tcBorders>
              <w:top w:val="nil"/>
              <w:left w:val="single" w:sz="8" w:space="0" w:color="auto"/>
              <w:bottom w:val="single" w:sz="8" w:space="0" w:color="auto"/>
              <w:right w:val="single" w:sz="8" w:space="0" w:color="auto"/>
            </w:tcBorders>
            <w:shd w:val="clear" w:color="auto" w:fill="auto"/>
            <w:noWrap/>
            <w:vAlign w:val="center"/>
            <w:hideMark/>
          </w:tcPr>
          <w:p w14:paraId="050F7865"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Total domestic Ig grams</w:t>
            </w:r>
          </w:p>
        </w:tc>
        <w:tc>
          <w:tcPr>
            <w:tcW w:w="651" w:type="pct"/>
            <w:tcBorders>
              <w:top w:val="nil"/>
              <w:left w:val="nil"/>
              <w:bottom w:val="single" w:sz="8" w:space="0" w:color="auto"/>
              <w:right w:val="single" w:sz="8" w:space="0" w:color="auto"/>
            </w:tcBorders>
            <w:shd w:val="clear" w:color="auto" w:fill="auto"/>
            <w:noWrap/>
            <w:vAlign w:val="center"/>
            <w:hideMark/>
          </w:tcPr>
          <w:p w14:paraId="3D8A6EB1"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 </w:t>
            </w:r>
          </w:p>
        </w:tc>
        <w:tc>
          <w:tcPr>
            <w:tcW w:w="651" w:type="pct"/>
            <w:tcBorders>
              <w:top w:val="nil"/>
              <w:left w:val="nil"/>
              <w:bottom w:val="single" w:sz="8" w:space="0" w:color="auto"/>
              <w:right w:val="single" w:sz="8" w:space="0" w:color="auto"/>
            </w:tcBorders>
            <w:shd w:val="clear" w:color="auto" w:fill="auto"/>
            <w:noWrap/>
            <w:vAlign w:val="center"/>
            <w:hideMark/>
          </w:tcPr>
          <w:p w14:paraId="02C55864"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3,225,722</w:t>
            </w:r>
          </w:p>
        </w:tc>
        <w:tc>
          <w:tcPr>
            <w:tcW w:w="651" w:type="pct"/>
            <w:tcBorders>
              <w:top w:val="nil"/>
              <w:left w:val="nil"/>
              <w:bottom w:val="single" w:sz="8" w:space="0" w:color="auto"/>
              <w:right w:val="single" w:sz="8" w:space="0" w:color="auto"/>
            </w:tcBorders>
            <w:shd w:val="clear" w:color="auto" w:fill="auto"/>
            <w:noWrap/>
            <w:vAlign w:val="center"/>
            <w:hideMark/>
          </w:tcPr>
          <w:p w14:paraId="67DCB0DE"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 </w:t>
            </w:r>
          </w:p>
        </w:tc>
        <w:tc>
          <w:tcPr>
            <w:tcW w:w="1700" w:type="pct"/>
            <w:tcBorders>
              <w:top w:val="nil"/>
              <w:left w:val="nil"/>
              <w:bottom w:val="single" w:sz="8" w:space="0" w:color="auto"/>
              <w:right w:val="single" w:sz="8" w:space="0" w:color="auto"/>
            </w:tcBorders>
            <w:shd w:val="clear" w:color="auto" w:fill="auto"/>
            <w:noWrap/>
            <w:vAlign w:val="center"/>
            <w:hideMark/>
          </w:tcPr>
          <w:p w14:paraId="187A2BDD"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Expenditure</w:t>
            </w:r>
          </w:p>
        </w:tc>
      </w:tr>
      <w:tr w:rsidR="00C46BF0" w:rsidRPr="00E07567" w14:paraId="53CF29EF" w14:textId="77777777" w:rsidTr="00F07769">
        <w:trPr>
          <w:cantSplit/>
          <w:trHeight w:val="315"/>
        </w:trPr>
        <w:tc>
          <w:tcPr>
            <w:tcW w:w="1346" w:type="pct"/>
            <w:tcBorders>
              <w:top w:val="nil"/>
              <w:left w:val="single" w:sz="8" w:space="0" w:color="auto"/>
              <w:bottom w:val="single" w:sz="8" w:space="0" w:color="auto"/>
              <w:right w:val="single" w:sz="8" w:space="0" w:color="auto"/>
            </w:tcBorders>
            <w:shd w:val="clear" w:color="auto" w:fill="auto"/>
            <w:noWrap/>
            <w:vAlign w:val="center"/>
            <w:hideMark/>
          </w:tcPr>
          <w:p w14:paraId="49E3D374"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Total imported Ig grams</w:t>
            </w:r>
          </w:p>
        </w:tc>
        <w:tc>
          <w:tcPr>
            <w:tcW w:w="651" w:type="pct"/>
            <w:tcBorders>
              <w:top w:val="nil"/>
              <w:left w:val="nil"/>
              <w:bottom w:val="single" w:sz="8" w:space="0" w:color="auto"/>
              <w:right w:val="single" w:sz="8" w:space="0" w:color="auto"/>
            </w:tcBorders>
            <w:shd w:val="clear" w:color="auto" w:fill="auto"/>
            <w:noWrap/>
            <w:vAlign w:val="center"/>
            <w:hideMark/>
          </w:tcPr>
          <w:p w14:paraId="4433F7F6"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 </w:t>
            </w:r>
          </w:p>
        </w:tc>
        <w:tc>
          <w:tcPr>
            <w:tcW w:w="651" w:type="pct"/>
            <w:tcBorders>
              <w:top w:val="nil"/>
              <w:left w:val="nil"/>
              <w:bottom w:val="single" w:sz="8" w:space="0" w:color="auto"/>
              <w:right w:val="single" w:sz="8" w:space="0" w:color="auto"/>
            </w:tcBorders>
            <w:shd w:val="clear" w:color="auto" w:fill="auto"/>
            <w:noWrap/>
            <w:vAlign w:val="center"/>
            <w:hideMark/>
          </w:tcPr>
          <w:p w14:paraId="18BC64A6"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2,902,995</w:t>
            </w:r>
          </w:p>
        </w:tc>
        <w:tc>
          <w:tcPr>
            <w:tcW w:w="651" w:type="pct"/>
            <w:tcBorders>
              <w:top w:val="nil"/>
              <w:left w:val="nil"/>
              <w:bottom w:val="single" w:sz="8" w:space="0" w:color="auto"/>
              <w:right w:val="single" w:sz="8" w:space="0" w:color="auto"/>
            </w:tcBorders>
            <w:shd w:val="clear" w:color="auto" w:fill="auto"/>
            <w:noWrap/>
            <w:vAlign w:val="center"/>
            <w:hideMark/>
          </w:tcPr>
          <w:p w14:paraId="0E6DE456" w14:textId="77777777" w:rsidR="00C46BF0" w:rsidRPr="00E07567" w:rsidRDefault="00C46BF0" w:rsidP="00F07769">
            <w:pPr>
              <w:spacing w:before="40" w:after="40" w:line="240" w:lineRule="auto"/>
              <w:jc w:val="right"/>
              <w:rPr>
                <w:rFonts w:ascii="Arial Narrow" w:hAnsi="Arial Narrow"/>
                <w:sz w:val="20"/>
                <w:szCs w:val="20"/>
              </w:rPr>
            </w:pPr>
            <w:r w:rsidRPr="00E07567">
              <w:rPr>
                <w:rFonts w:ascii="Arial Narrow" w:hAnsi="Arial Narrow"/>
                <w:sz w:val="20"/>
                <w:szCs w:val="20"/>
              </w:rPr>
              <w:t> </w:t>
            </w:r>
          </w:p>
        </w:tc>
        <w:tc>
          <w:tcPr>
            <w:tcW w:w="1700" w:type="pct"/>
            <w:tcBorders>
              <w:top w:val="nil"/>
              <w:left w:val="nil"/>
              <w:bottom w:val="single" w:sz="8" w:space="0" w:color="auto"/>
              <w:right w:val="single" w:sz="8" w:space="0" w:color="auto"/>
            </w:tcBorders>
            <w:shd w:val="clear" w:color="auto" w:fill="auto"/>
            <w:noWrap/>
            <w:vAlign w:val="center"/>
            <w:hideMark/>
          </w:tcPr>
          <w:p w14:paraId="28DD7B47" w14:textId="77777777" w:rsidR="00C46BF0" w:rsidRPr="00E07567" w:rsidRDefault="00C46BF0" w:rsidP="00F07769">
            <w:pPr>
              <w:spacing w:before="40" w:after="40" w:line="240" w:lineRule="auto"/>
              <w:jc w:val="both"/>
              <w:rPr>
                <w:rFonts w:ascii="Arial Narrow" w:hAnsi="Arial Narrow"/>
                <w:sz w:val="20"/>
                <w:szCs w:val="20"/>
              </w:rPr>
            </w:pPr>
            <w:r w:rsidRPr="00E07567">
              <w:rPr>
                <w:rFonts w:ascii="Arial Narrow" w:hAnsi="Arial Narrow"/>
                <w:sz w:val="20"/>
                <w:szCs w:val="20"/>
              </w:rPr>
              <w:t>Expenditure</w:t>
            </w:r>
          </w:p>
        </w:tc>
      </w:tr>
    </w:tbl>
    <w:p w14:paraId="4D88992E" w14:textId="77777777" w:rsidR="00C46BF0" w:rsidRPr="00E07567" w:rsidRDefault="00C46BF0" w:rsidP="00C46BF0">
      <w:pPr>
        <w:spacing w:line="259" w:lineRule="auto"/>
        <w:contextualSpacing/>
        <w:jc w:val="both"/>
        <w:rPr>
          <w:rFonts w:ascii="Arial Narrow" w:eastAsiaTheme="minorHAnsi" w:hAnsi="Arial Narrow" w:cs="Arial"/>
          <w:sz w:val="18"/>
          <w:lang w:eastAsia="en-US"/>
        </w:rPr>
      </w:pPr>
      <w:r w:rsidRPr="00E07567">
        <w:rPr>
          <w:rFonts w:ascii="Arial Narrow" w:eastAsiaTheme="minorHAnsi" w:hAnsi="Arial Narrow" w:cs="Arial"/>
          <w:sz w:val="18"/>
          <w:lang w:eastAsia="en-US"/>
        </w:rPr>
        <w:t>Ig = immunoglobulin; IVIg = intravenous immunoglobulin;</w:t>
      </w:r>
      <w:r w:rsidR="007C2939">
        <w:rPr>
          <w:rFonts w:ascii="Arial Narrow" w:eastAsiaTheme="minorHAnsi" w:hAnsi="Arial Narrow" w:cs="Arial"/>
          <w:sz w:val="18"/>
          <w:lang w:eastAsia="en-US"/>
        </w:rPr>
        <w:t xml:space="preserve"> </w:t>
      </w:r>
      <w:r w:rsidRPr="00E07567">
        <w:rPr>
          <w:rFonts w:ascii="Arial Narrow" w:eastAsiaTheme="minorHAnsi" w:hAnsi="Arial Narrow" w:cs="Arial"/>
          <w:sz w:val="18"/>
          <w:lang w:eastAsia="en-US"/>
        </w:rPr>
        <w:t>SCIg = subcutaneous immunoglobulin.</w:t>
      </w:r>
    </w:p>
    <w:p w14:paraId="0C694E02" w14:textId="04333764" w:rsidR="00C46BF0" w:rsidRPr="00E07567" w:rsidRDefault="00C46BF0" w:rsidP="00C46BF0">
      <w:pPr>
        <w:spacing w:after="360" w:line="259" w:lineRule="auto"/>
        <w:jc w:val="both"/>
        <w:rPr>
          <w:rFonts w:ascii="Arial Narrow" w:eastAsiaTheme="minorHAnsi" w:hAnsi="Arial Narrow" w:cs="Arial"/>
          <w:sz w:val="18"/>
          <w:lang w:eastAsia="en-US"/>
        </w:rPr>
      </w:pPr>
      <w:r w:rsidRPr="00E07567">
        <w:rPr>
          <w:rFonts w:ascii="Arial Narrow" w:eastAsiaTheme="minorHAnsi" w:hAnsi="Arial Narrow" w:cs="Arial"/>
          <w:sz w:val="18"/>
          <w:lang w:eastAsia="en-US"/>
        </w:rPr>
        <w:t xml:space="preserve">Source: </w:t>
      </w:r>
      <w:r w:rsidR="00F07769">
        <w:rPr>
          <w:rFonts w:ascii="Arial Narrow" w:eastAsiaTheme="minorHAnsi" w:hAnsi="Arial Narrow" w:cs="Arial"/>
          <w:sz w:val="18"/>
          <w:lang w:eastAsia="en-US"/>
        </w:rPr>
        <w:t>*</w:t>
      </w:r>
      <w:r>
        <w:rPr>
          <w:rFonts w:ascii="Arial Narrow" w:eastAsiaTheme="minorHAnsi" w:hAnsi="Arial Narrow" w:cs="Arial"/>
          <w:sz w:val="18"/>
          <w:lang w:eastAsia="en-US"/>
        </w:rPr>
        <w:t xml:space="preserve">This table is adapted from MSAC 1566 report </w:t>
      </w:r>
      <w:r w:rsidR="00B727D6">
        <w:rPr>
          <w:rFonts w:ascii="Arial Narrow" w:eastAsiaTheme="minorHAnsi" w:hAnsi="Arial Narrow" w:cs="Arial"/>
          <w:sz w:val="18"/>
          <w:lang w:eastAsia="en-US"/>
        </w:rPr>
        <w:fldChar w:fldCharType="begin"/>
      </w:r>
      <w:r w:rsidR="00B727D6">
        <w:rPr>
          <w:rFonts w:ascii="Arial Narrow" w:eastAsiaTheme="minorHAnsi" w:hAnsi="Arial Narrow" w:cs="Arial"/>
          <w:sz w:val="18"/>
          <w:lang w:eastAsia="en-US"/>
        </w:rPr>
        <w:instrText xml:space="preserve"> ADDIN EN.CITE &lt;EndNote&gt;&lt;Cite&gt;&lt;Author&gt;Milverton&lt;/Author&gt;&lt;Year&gt;2019&lt;/Year&gt;&lt;RecNum&gt;1962&lt;/RecNum&gt;&lt;DisplayText&gt;(Milverton et al. 2019)&lt;/DisplayText&gt;&lt;record&gt;&lt;rec-number&gt;1962&lt;/rec-number&gt;&lt;foreign-keys&gt;&lt;key app="EN" db-id="xtr5xfx2xf0wd7e0s2qvst2ietxxf0tpzr9v" timestamp="1615264848"&gt;1962&lt;/key&gt;&lt;/foreign-keys&gt;&lt;ref-type name="Report"&gt;27&lt;/ref-type&gt;&lt;contributors&gt;&lt;authors&gt;&lt;author&gt;Milverton, J&lt;/author&gt;&lt;author&gt;Schubert, C &lt;/author&gt;&lt;author&gt;Ellery, B&lt;/author&gt;&lt;author&gt;Morona, J &lt;/author&gt;&lt;author&gt;Parsons, J &lt;/author&gt;&lt;/authors&gt;&lt;/contributors&gt;&lt;titles&gt;&lt;title&gt;Immunoglobulin for myasthenia gravis. MSAC Application 1566, Assessment Report&lt;/title&gt;&lt;/titles&gt;&lt;dates&gt;&lt;year&gt;2019&lt;/year&gt;&lt;/dates&gt;&lt;publisher&gt;Commonwealth of Australia, Canberra, ACT&lt;/publisher&gt;&lt;urls&gt;&lt;/urls&gt;&lt;/record&gt;&lt;/Cite&gt;&lt;/EndNote&gt;</w:instrText>
      </w:r>
      <w:r w:rsidR="00B727D6">
        <w:rPr>
          <w:rFonts w:ascii="Arial Narrow" w:eastAsiaTheme="minorHAnsi" w:hAnsi="Arial Narrow" w:cs="Arial"/>
          <w:sz w:val="18"/>
          <w:lang w:eastAsia="en-US"/>
        </w:rPr>
        <w:fldChar w:fldCharType="separate"/>
      </w:r>
      <w:r w:rsidR="00B727D6">
        <w:rPr>
          <w:rFonts w:ascii="Arial Narrow" w:eastAsiaTheme="minorHAnsi" w:hAnsi="Arial Narrow" w:cs="Arial"/>
          <w:noProof/>
          <w:sz w:val="18"/>
          <w:lang w:eastAsia="en-US"/>
        </w:rPr>
        <w:t>(</w:t>
      </w:r>
      <w:hyperlink w:anchor="_ENREF_45" w:tooltip="Milverton, 2019 #1962" w:history="1">
        <w:r w:rsidR="00D726F6">
          <w:rPr>
            <w:rFonts w:ascii="Arial Narrow" w:eastAsiaTheme="minorHAnsi" w:hAnsi="Arial Narrow" w:cs="Arial"/>
            <w:noProof/>
            <w:sz w:val="18"/>
            <w:lang w:eastAsia="en-US"/>
          </w:rPr>
          <w:t>Milverton et al. 2019</w:t>
        </w:r>
      </w:hyperlink>
      <w:r w:rsidR="00B727D6">
        <w:rPr>
          <w:rFonts w:ascii="Arial Narrow" w:eastAsiaTheme="minorHAnsi" w:hAnsi="Arial Narrow" w:cs="Arial"/>
          <w:noProof/>
          <w:sz w:val="18"/>
          <w:lang w:eastAsia="en-US"/>
        </w:rPr>
        <w:t>)</w:t>
      </w:r>
      <w:r w:rsidR="00B727D6">
        <w:rPr>
          <w:rFonts w:ascii="Arial Narrow" w:eastAsiaTheme="minorHAnsi" w:hAnsi="Arial Narrow" w:cs="Arial"/>
          <w:sz w:val="18"/>
          <w:lang w:eastAsia="en-US"/>
        </w:rPr>
        <w:fldChar w:fldCharType="end"/>
      </w:r>
      <w:r w:rsidR="00F07769">
        <w:rPr>
          <w:rFonts w:ascii="Arial Narrow" w:eastAsiaTheme="minorHAnsi" w:hAnsi="Arial Narrow" w:cs="Arial"/>
          <w:sz w:val="18"/>
          <w:lang w:eastAsia="en-US"/>
        </w:rPr>
        <w:t xml:space="preserve"> as advised by the Department</w:t>
      </w:r>
      <w:r>
        <w:rPr>
          <w:rFonts w:ascii="Arial Narrow" w:eastAsiaTheme="minorHAnsi" w:hAnsi="Arial Narrow" w:cs="Arial"/>
          <w:sz w:val="18"/>
          <w:lang w:eastAsia="en-US"/>
        </w:rPr>
        <w:t xml:space="preserve">, data were provided by </w:t>
      </w:r>
      <w:r w:rsidRPr="00E07567">
        <w:rPr>
          <w:rFonts w:ascii="Arial Narrow" w:eastAsiaTheme="minorHAnsi" w:hAnsi="Arial Narrow" w:cs="Arial"/>
          <w:sz w:val="18"/>
          <w:lang w:eastAsia="en-US"/>
        </w:rPr>
        <w:t xml:space="preserve">NBA </w:t>
      </w:r>
      <w:r w:rsidR="00B727D6">
        <w:rPr>
          <w:rFonts w:ascii="Arial Narrow" w:eastAsiaTheme="minorHAnsi" w:hAnsi="Arial Narrow" w:cs="Arial"/>
          <w:sz w:val="18"/>
          <w:lang w:eastAsia="en-US"/>
        </w:rPr>
        <w:fldChar w:fldCharType="begin"/>
      </w:r>
      <w:r w:rsidR="00B727D6">
        <w:rPr>
          <w:rFonts w:ascii="Arial Narrow" w:eastAsiaTheme="minorHAnsi" w:hAnsi="Arial Narrow" w:cs="Arial"/>
          <w:sz w:val="18"/>
          <w:lang w:eastAsia="en-US"/>
        </w:rPr>
        <w:instrText xml:space="preserve"> ADDIN EN.CITE &lt;EndNote&gt;&lt;Cite&gt;&lt;Author&gt;NBA&lt;/Author&gt;&lt;Year&gt;2018&lt;/Year&gt;&lt;RecNum&gt;1948&lt;/RecNum&gt;&lt;DisplayText&gt;(NBA 2018)&lt;/DisplayText&gt;&lt;record&gt;&lt;rec-number&gt;1948&lt;/rec-number&gt;&lt;foreign-keys&gt;&lt;key app="EN" db-id="xtr5xfx2xf0wd7e0s2qvst2ietxxf0tpzr9v" timestamp="1614134979"&gt;1948&lt;/key&gt;&lt;/foreign-keys&gt;&lt;ref-type name="Report"&gt;27&lt;/ref-type&gt;&lt;contributors&gt;&lt;authors&gt;&lt;author&gt;NBA&lt;/author&gt;&lt;/authors&gt;&lt;tertiary-authors&gt;&lt;author&gt;Union Offset Printers&lt;/author&gt;&lt;/tertiary-authors&gt;&lt;/contributors&gt;&lt;titles&gt;&lt;title&gt;National Blood Authority Annual Report 2017-18&lt;/title&gt;&lt;/titles&gt;&lt;dates&gt;&lt;year&gt;2018&lt;/year&gt;&lt;pub-dates&gt;&lt;date&gt;2 October 2018&lt;/date&gt;&lt;/pub-dates&gt;&lt;/dates&gt;&lt;publisher&gt;National Blood Authority&lt;/publisher&gt;&lt;urls&gt;&lt;related-urls&gt;&lt;url&gt;www.blood.gov.au/about-nba&lt;/url&gt;&lt;/related-urls&gt;&lt;/urls&gt;&lt;access-date&gt;18 January 2021&lt;/access-date&gt;&lt;/record&gt;&lt;/Cite&gt;&lt;/EndNote&gt;</w:instrText>
      </w:r>
      <w:r w:rsidR="00B727D6">
        <w:rPr>
          <w:rFonts w:ascii="Arial Narrow" w:eastAsiaTheme="minorHAnsi" w:hAnsi="Arial Narrow" w:cs="Arial"/>
          <w:sz w:val="18"/>
          <w:lang w:eastAsia="en-US"/>
        </w:rPr>
        <w:fldChar w:fldCharType="separate"/>
      </w:r>
      <w:r w:rsidR="00B727D6">
        <w:rPr>
          <w:rFonts w:ascii="Arial Narrow" w:eastAsiaTheme="minorHAnsi" w:hAnsi="Arial Narrow" w:cs="Arial"/>
          <w:noProof/>
          <w:sz w:val="18"/>
          <w:lang w:eastAsia="en-US"/>
        </w:rPr>
        <w:t>(</w:t>
      </w:r>
      <w:hyperlink w:anchor="_ENREF_48" w:tooltip="NBA, 2018 #1948" w:history="1">
        <w:r w:rsidR="00D726F6">
          <w:rPr>
            <w:rFonts w:ascii="Arial Narrow" w:eastAsiaTheme="minorHAnsi" w:hAnsi="Arial Narrow" w:cs="Arial"/>
            <w:noProof/>
            <w:sz w:val="18"/>
            <w:lang w:eastAsia="en-US"/>
          </w:rPr>
          <w:t>NBA 2018</w:t>
        </w:r>
      </w:hyperlink>
      <w:r w:rsidR="00B727D6">
        <w:rPr>
          <w:rFonts w:ascii="Arial Narrow" w:eastAsiaTheme="minorHAnsi" w:hAnsi="Arial Narrow" w:cs="Arial"/>
          <w:noProof/>
          <w:sz w:val="18"/>
          <w:lang w:eastAsia="en-US"/>
        </w:rPr>
        <w:t>)</w:t>
      </w:r>
      <w:r w:rsidR="00B727D6">
        <w:rPr>
          <w:rFonts w:ascii="Arial Narrow" w:eastAsiaTheme="minorHAnsi" w:hAnsi="Arial Narrow" w:cs="Arial"/>
          <w:sz w:val="18"/>
          <w:lang w:eastAsia="en-US"/>
        </w:rPr>
        <w:fldChar w:fldCharType="end"/>
      </w:r>
    </w:p>
    <w:p w14:paraId="3EE26377" w14:textId="77777777" w:rsidR="000D22BB" w:rsidRPr="000D22BB" w:rsidRDefault="000D22BB" w:rsidP="000D22BB">
      <w:pPr>
        <w:pStyle w:val="Heading2"/>
        <w:rPr>
          <w:rFonts w:eastAsia="Calibri"/>
        </w:rPr>
      </w:pPr>
      <w:bookmarkStart w:id="545" w:name="_Toc69305629"/>
      <w:r>
        <w:t>Resource use and costs associated with long-term vascular access</w:t>
      </w:r>
      <w:bookmarkEnd w:id="545"/>
    </w:p>
    <w:p w14:paraId="0E0EA3AD" w14:textId="2440E8FF" w:rsidR="004C6054" w:rsidRDefault="004C6054" w:rsidP="004C6054">
      <w:pPr>
        <w:pStyle w:val="Caption"/>
      </w:pPr>
      <w:bookmarkStart w:id="546" w:name="_Ref66197044"/>
      <w:bookmarkStart w:id="547" w:name="_Toc69305722"/>
      <w:r>
        <w:t xml:space="preserve">Table </w:t>
      </w:r>
      <w:r w:rsidR="00003BA5">
        <w:fldChar w:fldCharType="begin"/>
      </w:r>
      <w:r w:rsidR="00003BA5">
        <w:instrText xml:space="preserve"> SEQ Table \* ARABIC </w:instrText>
      </w:r>
      <w:r w:rsidR="00003BA5">
        <w:fldChar w:fldCharType="separate"/>
      </w:r>
      <w:r w:rsidR="004B3EA2">
        <w:rPr>
          <w:noProof/>
        </w:rPr>
        <w:t>81</w:t>
      </w:r>
      <w:r w:rsidR="00003BA5">
        <w:rPr>
          <w:noProof/>
        </w:rPr>
        <w:fldChar w:fldCharType="end"/>
      </w:r>
      <w:bookmarkEnd w:id="546"/>
      <w:r>
        <w:tab/>
        <w:t>Resource use and costs associated with vascular access</w:t>
      </w:r>
      <w:bookmarkEnd w:id="547"/>
    </w:p>
    <w:tbl>
      <w:tblPr>
        <w:tblStyle w:val="TableGrid"/>
        <w:tblW w:w="5000" w:type="pct"/>
        <w:tblLook w:val="04A0" w:firstRow="1" w:lastRow="0" w:firstColumn="1" w:lastColumn="0" w:noHBand="0" w:noVBand="1"/>
        <w:tblCaption w:val="Resource use and costs associated with vascular access"/>
        <w:tblDescription w:val="Resource use and costs associated with vascular access"/>
      </w:tblPr>
      <w:tblGrid>
        <w:gridCol w:w="3823"/>
        <w:gridCol w:w="1666"/>
        <w:gridCol w:w="3527"/>
      </w:tblGrid>
      <w:tr w:rsidR="004C6054" w14:paraId="26403596" w14:textId="77777777" w:rsidTr="00BB43B6">
        <w:trPr>
          <w:tblHeader/>
        </w:trPr>
        <w:tc>
          <w:tcPr>
            <w:tcW w:w="2069" w:type="pct"/>
          </w:tcPr>
          <w:p w14:paraId="62A9D659" w14:textId="77777777" w:rsidR="004C6054" w:rsidRDefault="004C6054" w:rsidP="00F07769">
            <w:pPr>
              <w:pStyle w:val="TableHeading"/>
              <w:ind w:left="0"/>
              <w:rPr>
                <w:rStyle w:val="Hyperlink"/>
                <w:color w:val="auto"/>
                <w:u w:val="none"/>
              </w:rPr>
            </w:pPr>
            <w:r>
              <w:rPr>
                <w:rStyle w:val="Hyperlink"/>
                <w:color w:val="auto"/>
                <w:u w:val="none"/>
              </w:rPr>
              <w:t>Resource</w:t>
            </w:r>
          </w:p>
        </w:tc>
        <w:tc>
          <w:tcPr>
            <w:tcW w:w="924" w:type="pct"/>
          </w:tcPr>
          <w:p w14:paraId="2890FE82" w14:textId="77777777" w:rsidR="004C6054" w:rsidRDefault="004C6054" w:rsidP="00F07769">
            <w:pPr>
              <w:pStyle w:val="TableHeading"/>
              <w:ind w:left="0"/>
              <w:rPr>
                <w:rStyle w:val="Hyperlink"/>
                <w:color w:val="auto"/>
                <w:u w:val="none"/>
              </w:rPr>
            </w:pPr>
            <w:r>
              <w:rPr>
                <w:rStyle w:val="Hyperlink"/>
                <w:color w:val="auto"/>
                <w:u w:val="none"/>
              </w:rPr>
              <w:t>Unit price</w:t>
            </w:r>
          </w:p>
        </w:tc>
        <w:tc>
          <w:tcPr>
            <w:tcW w:w="2007" w:type="pct"/>
          </w:tcPr>
          <w:p w14:paraId="5D808376" w14:textId="77777777" w:rsidR="004C6054" w:rsidRDefault="004C6054" w:rsidP="00F07769">
            <w:pPr>
              <w:pStyle w:val="TableHeading"/>
              <w:ind w:left="0"/>
              <w:rPr>
                <w:rStyle w:val="Hyperlink"/>
                <w:color w:val="auto"/>
                <w:u w:val="none"/>
              </w:rPr>
            </w:pPr>
            <w:r>
              <w:rPr>
                <w:rStyle w:val="Hyperlink"/>
                <w:color w:val="auto"/>
                <w:u w:val="none"/>
              </w:rPr>
              <w:t>Source</w:t>
            </w:r>
          </w:p>
        </w:tc>
      </w:tr>
      <w:tr w:rsidR="004C6054" w14:paraId="0005AC38" w14:textId="77777777" w:rsidTr="003738E6">
        <w:tc>
          <w:tcPr>
            <w:tcW w:w="2120" w:type="pct"/>
            <w:tcBorders>
              <w:bottom w:val="single" w:sz="4" w:space="0" w:color="auto"/>
            </w:tcBorders>
          </w:tcPr>
          <w:p w14:paraId="08548EAB" w14:textId="77777777" w:rsidR="004C6054" w:rsidRDefault="004C6054" w:rsidP="00F07769">
            <w:pPr>
              <w:pStyle w:val="Tabletext1"/>
              <w:ind w:left="0"/>
              <w:rPr>
                <w:rStyle w:val="Hyperlink"/>
                <w:color w:val="auto"/>
                <w:u w:val="none"/>
              </w:rPr>
            </w:pPr>
            <w:r w:rsidRPr="00486CAC">
              <w:t xml:space="preserve">Placement/replacement of an AV </w:t>
            </w:r>
            <w:r>
              <w:t>f</w:t>
            </w:r>
            <w:r w:rsidRPr="00486CAC">
              <w:t>istula</w:t>
            </w:r>
            <w:r>
              <w:t>e</w:t>
            </w:r>
            <w:r w:rsidRPr="00486CAC">
              <w:t xml:space="preserve"> </w:t>
            </w:r>
          </w:p>
        </w:tc>
        <w:tc>
          <w:tcPr>
            <w:tcW w:w="772" w:type="pct"/>
            <w:tcBorders>
              <w:bottom w:val="single" w:sz="4" w:space="0" w:color="auto"/>
            </w:tcBorders>
          </w:tcPr>
          <w:p w14:paraId="2EF1DB10" w14:textId="77777777" w:rsidR="004C6054" w:rsidRDefault="004C6054" w:rsidP="00F07769">
            <w:pPr>
              <w:pStyle w:val="Tabletext1"/>
              <w:ind w:left="0"/>
              <w:jc w:val="right"/>
              <w:rPr>
                <w:rStyle w:val="Hyperlink"/>
                <w:color w:val="auto"/>
                <w:u w:val="none"/>
              </w:rPr>
            </w:pPr>
            <w:r w:rsidRPr="00486CAC">
              <w:t>$10,508</w:t>
            </w:r>
          </w:p>
        </w:tc>
        <w:tc>
          <w:tcPr>
            <w:tcW w:w="2108" w:type="pct"/>
            <w:tcBorders>
              <w:bottom w:val="single" w:sz="4" w:space="0" w:color="auto"/>
            </w:tcBorders>
          </w:tcPr>
          <w:p w14:paraId="0F6DBD59" w14:textId="3BE0AAA8" w:rsidR="004C6054" w:rsidRDefault="004C6054" w:rsidP="00D726F6">
            <w:pPr>
              <w:pStyle w:val="Tabletext1"/>
              <w:ind w:left="0"/>
              <w:rPr>
                <w:rStyle w:val="Hyperlink"/>
                <w:color w:val="auto"/>
                <w:u w:val="none"/>
              </w:rPr>
            </w:pPr>
            <w:r>
              <w:t xml:space="preserve">Weighted cost of AR-DRG F14B and F14C </w:t>
            </w:r>
            <w:r w:rsidR="00B727D6">
              <w:fldChar w:fldCharType="begin"/>
            </w:r>
            <w:r w:rsidR="00B727D6">
              <w:instrText xml:space="preserve"> ADDIN EN.CITE &lt;EndNote&gt;&lt;Cite&gt;&lt;Author&gt;IHPA&lt;/Author&gt;&lt;Year&gt;2021&lt;/Year&gt;&lt;RecNum&gt;1961&lt;/RecNum&gt;&lt;DisplayText&gt;(IHPA 2021)&lt;/DisplayText&gt;&lt;record&gt;&lt;rec-number&gt;1961&lt;/rec-number&gt;&lt;foreign-keys&gt;&lt;key app="EN" db-id="xtr5xfx2xf0wd7e0s2qvst2ietxxf0tpzr9v" timestamp="1615261212"&gt;1961&lt;/key&gt;&lt;/foreign-keys&gt;&lt;ref-type name="Report"&gt;27&lt;/ref-type&gt;&lt;contributors&gt;&lt;authors&gt;&lt;author&gt;IHPA,&lt;/author&gt;&lt;/authors&gt;&lt;tertiary-authors&gt;&lt;author&gt;The Independent Hospital Pricing Authority &lt;/author&gt;&lt;/tertiary-authors&gt;&lt;/contributors&gt;&lt;titles&gt;&lt;title&gt;NATIONAL HOSPITAL COST DATA COLLECTION, COST WEIGHTS FOR AR-DRG VERSION 10.0, Round 23 (2018-19), Public Sector&lt;/title&gt;&lt;/titles&gt;&lt;dates&gt;&lt;year&gt;2021&lt;/year&gt;&lt;/dates&gt;&lt;publisher&gt;The Independent Hospital Pricing Authority &lt;/publisher&gt;&lt;urls&gt;&lt;/urls&gt;&lt;/record&gt;&lt;/Cite&gt;&lt;/EndNote&gt;</w:instrText>
            </w:r>
            <w:r w:rsidR="00B727D6">
              <w:fldChar w:fldCharType="separate"/>
            </w:r>
            <w:r w:rsidR="00B727D6">
              <w:rPr>
                <w:noProof/>
              </w:rPr>
              <w:t>(</w:t>
            </w:r>
            <w:hyperlink w:anchor="_ENREF_30" w:tooltip="IHPA, 2021 #1961" w:history="1">
              <w:r w:rsidR="00D726F6">
                <w:rPr>
                  <w:noProof/>
                </w:rPr>
                <w:t>IHPA 2021</w:t>
              </w:r>
            </w:hyperlink>
            <w:r w:rsidR="00B727D6">
              <w:rPr>
                <w:noProof/>
              </w:rPr>
              <w:t>)</w:t>
            </w:r>
            <w:r w:rsidR="00B727D6">
              <w:fldChar w:fldCharType="end"/>
            </w:r>
          </w:p>
        </w:tc>
      </w:tr>
      <w:tr w:rsidR="003738E6" w14:paraId="1A8D5E07" w14:textId="77777777" w:rsidTr="00EF530F">
        <w:tc>
          <w:tcPr>
            <w:tcW w:w="1" w:type="pct"/>
            <w:gridSpan w:val="3"/>
          </w:tcPr>
          <w:p w14:paraId="74AC8C40" w14:textId="77777777" w:rsidR="003738E6" w:rsidRDefault="003738E6" w:rsidP="00F07769">
            <w:pPr>
              <w:pStyle w:val="Tabletext1"/>
              <w:ind w:left="0"/>
              <w:rPr>
                <w:rStyle w:val="Hyperlink"/>
                <w:color w:val="auto"/>
                <w:u w:val="none"/>
              </w:rPr>
            </w:pPr>
            <w:r w:rsidRPr="00486CAC">
              <w:t>Placement/replacement of an apheresis compatible port</w:t>
            </w:r>
            <w:r>
              <w:t>-</w:t>
            </w:r>
            <w:r w:rsidRPr="00486CAC">
              <w:t>a</w:t>
            </w:r>
            <w:r>
              <w:t>-</w:t>
            </w:r>
            <w:r w:rsidRPr="00486CAC">
              <w:t>cath</w:t>
            </w:r>
            <w:r>
              <w:t xml:space="preserve"> or </w:t>
            </w:r>
            <w:r w:rsidRPr="00486CAC">
              <w:t>CVC for long</w:t>
            </w:r>
            <w:r>
              <w:t>-</w:t>
            </w:r>
            <w:r w:rsidRPr="00486CAC">
              <w:t>term use</w:t>
            </w:r>
          </w:p>
        </w:tc>
      </w:tr>
      <w:tr w:rsidR="004C6054" w14:paraId="3A389661" w14:textId="77777777" w:rsidTr="003738E6">
        <w:tc>
          <w:tcPr>
            <w:tcW w:w="2069" w:type="pct"/>
          </w:tcPr>
          <w:p w14:paraId="3C5CEDA9" w14:textId="77777777" w:rsidR="004C6054" w:rsidRDefault="004C6054" w:rsidP="00F07769">
            <w:pPr>
              <w:pStyle w:val="Tabletext1"/>
              <w:ind w:left="567"/>
              <w:rPr>
                <w:rStyle w:val="Hyperlink"/>
                <w:color w:val="auto"/>
                <w:u w:val="none"/>
              </w:rPr>
            </w:pPr>
            <w:r w:rsidRPr="00486CAC">
              <w:t>Port</w:t>
            </w:r>
            <w:r>
              <w:t>-</w:t>
            </w:r>
            <w:r w:rsidRPr="00486CAC">
              <w:t>a</w:t>
            </w:r>
            <w:r>
              <w:t>-</w:t>
            </w:r>
            <w:r w:rsidRPr="00486CAC">
              <w:t>cath</w:t>
            </w:r>
          </w:p>
        </w:tc>
        <w:tc>
          <w:tcPr>
            <w:tcW w:w="924" w:type="pct"/>
          </w:tcPr>
          <w:p w14:paraId="5416524C" w14:textId="77777777" w:rsidR="004C6054" w:rsidRDefault="004C6054" w:rsidP="00F07769">
            <w:pPr>
              <w:pStyle w:val="Tabletext1"/>
              <w:ind w:left="0"/>
              <w:jc w:val="right"/>
              <w:rPr>
                <w:rStyle w:val="Hyperlink"/>
                <w:color w:val="auto"/>
                <w:u w:val="none"/>
              </w:rPr>
            </w:pPr>
            <w:r w:rsidRPr="00486CAC">
              <w:t>$267.00</w:t>
            </w:r>
          </w:p>
        </w:tc>
        <w:tc>
          <w:tcPr>
            <w:tcW w:w="2007" w:type="pct"/>
          </w:tcPr>
          <w:p w14:paraId="776008A5" w14:textId="77777777" w:rsidR="004C6054" w:rsidRDefault="004C6054" w:rsidP="00F07769">
            <w:pPr>
              <w:pStyle w:val="Tabletext1"/>
              <w:ind w:left="0"/>
              <w:rPr>
                <w:rStyle w:val="Hyperlink"/>
                <w:color w:val="auto"/>
                <w:u w:val="none"/>
              </w:rPr>
            </w:pPr>
            <w:r w:rsidRPr="00007F6A">
              <w:t xml:space="preserve">November 2020 Prostheses List A,a 10.09.03, TX054 + </w:t>
            </w:r>
          </w:p>
        </w:tc>
      </w:tr>
      <w:tr w:rsidR="004C6054" w14:paraId="36E21D74" w14:textId="77777777" w:rsidTr="003738E6">
        <w:tc>
          <w:tcPr>
            <w:tcW w:w="2069" w:type="pct"/>
          </w:tcPr>
          <w:p w14:paraId="27EDEB92" w14:textId="77777777" w:rsidR="004C6054" w:rsidRDefault="004C6054" w:rsidP="00F07769">
            <w:pPr>
              <w:pStyle w:val="Tabletext1"/>
              <w:ind w:left="567"/>
              <w:rPr>
                <w:rStyle w:val="Hyperlink"/>
                <w:color w:val="auto"/>
                <w:u w:val="none"/>
              </w:rPr>
            </w:pPr>
            <w:r w:rsidRPr="00486CAC">
              <w:t>PICC line</w:t>
            </w:r>
          </w:p>
        </w:tc>
        <w:tc>
          <w:tcPr>
            <w:tcW w:w="924" w:type="pct"/>
          </w:tcPr>
          <w:p w14:paraId="6D72FBD4" w14:textId="77777777" w:rsidR="004C6054" w:rsidRDefault="004C6054" w:rsidP="00F07769">
            <w:pPr>
              <w:pStyle w:val="Tabletext1"/>
              <w:ind w:left="0"/>
              <w:jc w:val="right"/>
              <w:rPr>
                <w:rStyle w:val="Hyperlink"/>
                <w:color w:val="auto"/>
                <w:u w:val="none"/>
              </w:rPr>
            </w:pPr>
            <w:r w:rsidRPr="00486CAC">
              <w:t>$183.00</w:t>
            </w:r>
          </w:p>
        </w:tc>
        <w:tc>
          <w:tcPr>
            <w:tcW w:w="2007" w:type="pct"/>
          </w:tcPr>
          <w:p w14:paraId="6F33F244" w14:textId="77777777" w:rsidR="004C6054" w:rsidRDefault="004C6054" w:rsidP="00F07769">
            <w:pPr>
              <w:pStyle w:val="Tabletext1"/>
              <w:ind w:left="0"/>
              <w:rPr>
                <w:rStyle w:val="Hyperlink"/>
                <w:color w:val="auto"/>
                <w:u w:val="none"/>
              </w:rPr>
            </w:pPr>
            <w:r w:rsidRPr="00007F6A">
              <w:t xml:space="preserve">November 2020 Prostheses List A,a 10.09.02, TX035 </w:t>
            </w:r>
          </w:p>
        </w:tc>
      </w:tr>
      <w:tr w:rsidR="004C6054" w14:paraId="5D6888DA" w14:textId="77777777" w:rsidTr="003738E6">
        <w:tc>
          <w:tcPr>
            <w:tcW w:w="2069" w:type="pct"/>
          </w:tcPr>
          <w:p w14:paraId="1B90C3A2" w14:textId="77777777" w:rsidR="004C6054" w:rsidRDefault="004C6054" w:rsidP="00F07769">
            <w:pPr>
              <w:pStyle w:val="Tabletext1"/>
              <w:ind w:left="567"/>
              <w:rPr>
                <w:rStyle w:val="Hyperlink"/>
                <w:color w:val="auto"/>
                <w:u w:val="none"/>
              </w:rPr>
            </w:pPr>
            <w:r w:rsidRPr="00486CAC">
              <w:t>Medical fee</w:t>
            </w:r>
          </w:p>
        </w:tc>
        <w:tc>
          <w:tcPr>
            <w:tcW w:w="924" w:type="pct"/>
          </w:tcPr>
          <w:p w14:paraId="1BADE530" w14:textId="77777777" w:rsidR="004C6054" w:rsidRDefault="004C6054" w:rsidP="00F07769">
            <w:pPr>
              <w:pStyle w:val="Tabletext1"/>
              <w:ind w:left="0"/>
              <w:jc w:val="right"/>
              <w:rPr>
                <w:rStyle w:val="Hyperlink"/>
                <w:color w:val="auto"/>
                <w:u w:val="none"/>
              </w:rPr>
            </w:pPr>
            <w:r w:rsidRPr="00486CAC">
              <w:t>$231.00</w:t>
            </w:r>
          </w:p>
        </w:tc>
        <w:tc>
          <w:tcPr>
            <w:tcW w:w="2007" w:type="pct"/>
          </w:tcPr>
          <w:p w14:paraId="793E12EA" w14:textId="77777777" w:rsidR="004C6054" w:rsidRDefault="004C6054" w:rsidP="00F07769">
            <w:pPr>
              <w:pStyle w:val="Tabletext1"/>
              <w:ind w:left="0"/>
              <w:rPr>
                <w:rStyle w:val="Hyperlink"/>
                <w:color w:val="auto"/>
                <w:u w:val="none"/>
              </w:rPr>
            </w:pPr>
            <w:r w:rsidRPr="00007F6A">
              <w:t xml:space="preserve">MBS 13318 (CVC/PICC insertion) + </w:t>
            </w:r>
          </w:p>
        </w:tc>
      </w:tr>
      <w:tr w:rsidR="004C6054" w14:paraId="399842C9" w14:textId="77777777" w:rsidTr="003738E6">
        <w:tc>
          <w:tcPr>
            <w:tcW w:w="2069" w:type="pct"/>
          </w:tcPr>
          <w:p w14:paraId="0E56F821" w14:textId="77777777" w:rsidR="004C6054" w:rsidRDefault="004C6054" w:rsidP="00F07769">
            <w:pPr>
              <w:pStyle w:val="Tabletext1"/>
              <w:ind w:left="567"/>
              <w:rPr>
                <w:rStyle w:val="Hyperlink"/>
                <w:color w:val="auto"/>
                <w:u w:val="none"/>
              </w:rPr>
            </w:pPr>
            <w:r w:rsidRPr="00486CAC">
              <w:t>Day surgery</w:t>
            </w:r>
          </w:p>
        </w:tc>
        <w:tc>
          <w:tcPr>
            <w:tcW w:w="924" w:type="pct"/>
          </w:tcPr>
          <w:p w14:paraId="3979B0CD" w14:textId="77777777" w:rsidR="004C6054" w:rsidRDefault="004C6054" w:rsidP="00F07769">
            <w:pPr>
              <w:pStyle w:val="Tabletext1"/>
              <w:ind w:left="0"/>
              <w:jc w:val="right"/>
              <w:rPr>
                <w:rStyle w:val="Hyperlink"/>
                <w:color w:val="auto"/>
                <w:u w:val="none"/>
              </w:rPr>
            </w:pPr>
            <w:r w:rsidRPr="00486CAC">
              <w:t>$497.20</w:t>
            </w:r>
          </w:p>
        </w:tc>
        <w:tc>
          <w:tcPr>
            <w:tcW w:w="2007" w:type="pct"/>
          </w:tcPr>
          <w:p w14:paraId="0C8085C3" w14:textId="77777777" w:rsidR="004C6054" w:rsidRDefault="004C6054" w:rsidP="00F07769">
            <w:pPr>
              <w:pStyle w:val="Tabletext1"/>
              <w:ind w:left="0"/>
              <w:rPr>
                <w:rStyle w:val="Hyperlink"/>
                <w:color w:val="auto"/>
                <w:u w:val="none"/>
              </w:rPr>
            </w:pPr>
            <w:r w:rsidRPr="00007F6A">
              <w:t>same-day surgery facility accommodation (PR420) +</w:t>
            </w:r>
          </w:p>
        </w:tc>
      </w:tr>
      <w:tr w:rsidR="004C6054" w14:paraId="34C75EC4" w14:textId="77777777" w:rsidTr="003738E6">
        <w:tc>
          <w:tcPr>
            <w:tcW w:w="2069" w:type="pct"/>
          </w:tcPr>
          <w:p w14:paraId="2146F4A9" w14:textId="77777777" w:rsidR="004C6054" w:rsidRDefault="004C6054" w:rsidP="00F07769">
            <w:pPr>
              <w:pStyle w:val="Tabletext1"/>
              <w:ind w:left="567"/>
              <w:rPr>
                <w:rStyle w:val="Hyperlink"/>
                <w:color w:val="auto"/>
                <w:u w:val="none"/>
              </w:rPr>
            </w:pPr>
            <w:r w:rsidRPr="00486CAC">
              <w:t>Operating theatre cost</w:t>
            </w:r>
          </w:p>
        </w:tc>
        <w:tc>
          <w:tcPr>
            <w:tcW w:w="924" w:type="pct"/>
          </w:tcPr>
          <w:p w14:paraId="3A24B07E" w14:textId="77777777" w:rsidR="004C6054" w:rsidRDefault="004C6054" w:rsidP="00F07769">
            <w:pPr>
              <w:pStyle w:val="Tabletext1"/>
              <w:ind w:left="0"/>
              <w:jc w:val="right"/>
              <w:rPr>
                <w:rStyle w:val="Hyperlink"/>
                <w:color w:val="auto"/>
                <w:u w:val="none"/>
              </w:rPr>
            </w:pPr>
            <w:r w:rsidRPr="00486CAC">
              <w:t>$479.80</w:t>
            </w:r>
          </w:p>
        </w:tc>
        <w:tc>
          <w:tcPr>
            <w:tcW w:w="2007" w:type="pct"/>
          </w:tcPr>
          <w:p w14:paraId="2C9394FC" w14:textId="77777777" w:rsidR="004C6054" w:rsidRDefault="004C6054" w:rsidP="00F07769">
            <w:pPr>
              <w:pStyle w:val="Tabletext1"/>
              <w:ind w:left="0"/>
              <w:rPr>
                <w:rStyle w:val="Hyperlink"/>
                <w:color w:val="auto"/>
                <w:u w:val="none"/>
              </w:rPr>
            </w:pPr>
            <w:r>
              <w:t>T</w:t>
            </w:r>
            <w:r w:rsidRPr="00007F6A">
              <w:t>heatre fees (PRT01)</w:t>
            </w:r>
          </w:p>
        </w:tc>
      </w:tr>
      <w:tr w:rsidR="004C6054" w14:paraId="2D2C33AF" w14:textId="77777777" w:rsidTr="003738E6">
        <w:tc>
          <w:tcPr>
            <w:tcW w:w="2069" w:type="pct"/>
          </w:tcPr>
          <w:p w14:paraId="5F8B4929" w14:textId="77777777" w:rsidR="004C6054" w:rsidRPr="00486CAC" w:rsidRDefault="004C6054" w:rsidP="00F07769">
            <w:pPr>
              <w:pStyle w:val="Tabletext1"/>
              <w:ind w:left="0"/>
            </w:pPr>
            <w:r w:rsidRPr="00FA038B">
              <w:t>Placement/replacement, Port</w:t>
            </w:r>
            <w:r>
              <w:t>-</w:t>
            </w:r>
            <w:r w:rsidRPr="00FA038B">
              <w:t>a</w:t>
            </w:r>
            <w:r>
              <w:t>-</w:t>
            </w:r>
            <w:r w:rsidRPr="00FA038B">
              <w:t>cath</w:t>
            </w:r>
          </w:p>
        </w:tc>
        <w:tc>
          <w:tcPr>
            <w:tcW w:w="924" w:type="pct"/>
          </w:tcPr>
          <w:p w14:paraId="7D82A06D" w14:textId="77777777" w:rsidR="004C6054" w:rsidRPr="00486CAC" w:rsidRDefault="004C6054" w:rsidP="00F07769">
            <w:pPr>
              <w:pStyle w:val="Tabletext1"/>
              <w:jc w:val="right"/>
            </w:pPr>
            <w:r w:rsidRPr="00FA038B">
              <w:t>$1,475.00</w:t>
            </w:r>
          </w:p>
        </w:tc>
        <w:tc>
          <w:tcPr>
            <w:tcW w:w="2007" w:type="pct"/>
          </w:tcPr>
          <w:p w14:paraId="17518371" w14:textId="77777777" w:rsidR="004C6054" w:rsidRPr="00007F6A" w:rsidRDefault="004C6054" w:rsidP="00F07769">
            <w:pPr>
              <w:pStyle w:val="Tabletext1"/>
              <w:ind w:left="0"/>
            </w:pPr>
            <w:r>
              <w:t>Sum of costs for port-a-cath, medical fee, day surgery and operating theatre cost</w:t>
            </w:r>
          </w:p>
        </w:tc>
      </w:tr>
      <w:tr w:rsidR="004C6054" w14:paraId="63F2F821" w14:textId="77777777" w:rsidTr="003738E6">
        <w:tc>
          <w:tcPr>
            <w:tcW w:w="2069" w:type="pct"/>
          </w:tcPr>
          <w:p w14:paraId="13C78BCE" w14:textId="77777777" w:rsidR="004C6054" w:rsidRPr="00486CAC" w:rsidRDefault="004C6054" w:rsidP="00F07769">
            <w:pPr>
              <w:pStyle w:val="Tabletext1"/>
              <w:ind w:left="0"/>
            </w:pPr>
            <w:r w:rsidRPr="00FA038B">
              <w:t>Placement/replacement, PICC line</w:t>
            </w:r>
          </w:p>
        </w:tc>
        <w:tc>
          <w:tcPr>
            <w:tcW w:w="924" w:type="pct"/>
          </w:tcPr>
          <w:p w14:paraId="694B1F65" w14:textId="77777777" w:rsidR="004C6054" w:rsidRPr="00486CAC" w:rsidRDefault="004C6054" w:rsidP="00F07769">
            <w:pPr>
              <w:pStyle w:val="Tabletext1"/>
              <w:jc w:val="right"/>
            </w:pPr>
            <w:r w:rsidRPr="00FA038B">
              <w:t>$1,391.00</w:t>
            </w:r>
          </w:p>
        </w:tc>
        <w:tc>
          <w:tcPr>
            <w:tcW w:w="2007" w:type="pct"/>
          </w:tcPr>
          <w:p w14:paraId="0200636D" w14:textId="77777777" w:rsidR="004C6054" w:rsidRPr="00007F6A" w:rsidRDefault="004C6054" w:rsidP="00F07769">
            <w:pPr>
              <w:pStyle w:val="Tabletext1"/>
              <w:ind w:left="0"/>
            </w:pPr>
            <w:r>
              <w:t>Sum of costs for PICC line, medical fee, day surgery and operating theatre cost</w:t>
            </w:r>
          </w:p>
        </w:tc>
      </w:tr>
    </w:tbl>
    <w:p w14:paraId="7B25F848" w14:textId="34FFB2C4" w:rsidR="004C6054" w:rsidRDefault="004C6054" w:rsidP="004C6054">
      <w:pPr>
        <w:pStyle w:val="TableNotes2"/>
        <w:rPr>
          <w:rStyle w:val="Hyperlink"/>
          <w:color w:val="auto"/>
          <w:u w:val="none"/>
        </w:rPr>
      </w:pPr>
      <w:r>
        <w:rPr>
          <w:rStyle w:val="Hyperlink"/>
          <w:color w:val="auto"/>
          <w:u w:val="none"/>
        </w:rPr>
        <w:t xml:space="preserve">Source: Resource required for vascular access were sourced from MSAC 1566 report </w:t>
      </w:r>
      <w:r w:rsidR="00B727D6">
        <w:rPr>
          <w:rStyle w:val="Hyperlink"/>
          <w:color w:val="auto"/>
          <w:u w:val="none"/>
        </w:rPr>
        <w:fldChar w:fldCharType="begin"/>
      </w:r>
      <w:r w:rsidR="00B727D6">
        <w:rPr>
          <w:rStyle w:val="Hyperlink"/>
          <w:color w:val="auto"/>
          <w:u w:val="none"/>
        </w:rPr>
        <w:instrText xml:space="preserve"> ADDIN EN.CITE &lt;EndNote&gt;&lt;Cite&gt;&lt;Author&gt;Milverton&lt;/Author&gt;&lt;Year&gt;2019&lt;/Year&gt;&lt;RecNum&gt;1962&lt;/RecNum&gt;&lt;DisplayText&gt;(Milverton et al. 2019)&lt;/DisplayText&gt;&lt;record&gt;&lt;rec-number&gt;1962&lt;/rec-number&gt;&lt;foreign-keys&gt;&lt;key app="EN" db-id="xtr5xfx2xf0wd7e0s2qvst2ietxxf0tpzr9v" timestamp="1615264848"&gt;1962&lt;/key&gt;&lt;/foreign-keys&gt;&lt;ref-type name="Report"&gt;27&lt;/ref-type&gt;&lt;contributors&gt;&lt;authors&gt;&lt;author&gt;Milverton, J&lt;/author&gt;&lt;author&gt;Schubert, C &lt;/author&gt;&lt;author&gt;Ellery, B&lt;/author&gt;&lt;author&gt;Morona, J &lt;/author&gt;&lt;author&gt;Parsons, J &lt;/author&gt;&lt;/authors&gt;&lt;/contributors&gt;&lt;titles&gt;&lt;title&gt;Immunoglobulin for myasthenia gravis. MSAC Application 1566, Assessment Report&lt;/title&gt;&lt;/titles&gt;&lt;dates&gt;&lt;year&gt;2019&lt;/year&gt;&lt;/dates&gt;&lt;publisher&gt;Commonwealth of Australia, Canberra, ACT&lt;/publisher&gt;&lt;urls&gt;&lt;/urls&gt;&lt;/record&gt;&lt;/Cite&gt;&lt;/EndNote&gt;</w:instrText>
      </w:r>
      <w:r w:rsidR="00B727D6">
        <w:rPr>
          <w:rStyle w:val="Hyperlink"/>
          <w:color w:val="auto"/>
          <w:u w:val="none"/>
        </w:rPr>
        <w:fldChar w:fldCharType="separate"/>
      </w:r>
      <w:r w:rsidR="00B727D6">
        <w:rPr>
          <w:rStyle w:val="Hyperlink"/>
          <w:noProof/>
          <w:color w:val="auto"/>
          <w:u w:val="none"/>
        </w:rPr>
        <w:t>(</w:t>
      </w:r>
      <w:hyperlink w:anchor="_ENREF_45" w:tooltip="Milverton, 2019 #1962" w:history="1">
        <w:r w:rsidR="00D726F6" w:rsidRPr="00D726F6">
          <w:rPr>
            <w:rStyle w:val="Hyperlink"/>
            <w:noProof/>
            <w:color w:val="auto"/>
            <w:u w:val="none"/>
          </w:rPr>
          <w:t>Milverton et al. 2019</w:t>
        </w:r>
      </w:hyperlink>
      <w:r w:rsidR="00B727D6">
        <w:rPr>
          <w:rStyle w:val="Hyperlink"/>
          <w:noProof/>
          <w:color w:val="auto"/>
          <w:u w:val="none"/>
        </w:rPr>
        <w:t>)</w:t>
      </w:r>
      <w:r w:rsidR="00B727D6">
        <w:rPr>
          <w:rStyle w:val="Hyperlink"/>
          <w:color w:val="auto"/>
          <w:u w:val="none"/>
        </w:rPr>
        <w:fldChar w:fldCharType="end"/>
      </w:r>
      <w:r>
        <w:rPr>
          <w:rStyle w:val="Hyperlink"/>
          <w:color w:val="auto"/>
          <w:u w:val="none"/>
        </w:rPr>
        <w:t xml:space="preserve">. </w:t>
      </w:r>
    </w:p>
    <w:p w14:paraId="7AB2E162" w14:textId="77777777" w:rsidR="004C6054" w:rsidRDefault="004C6054" w:rsidP="004C6054">
      <w:pPr>
        <w:pStyle w:val="TableNotes2"/>
      </w:pPr>
      <w:r>
        <w:t xml:space="preserve">AR-DRG = </w:t>
      </w:r>
      <w:r w:rsidRPr="00F7550F">
        <w:t>Australian Refined Diagnosis Related Groups</w:t>
      </w:r>
      <w:r>
        <w:t xml:space="preserve">; AV = </w:t>
      </w:r>
      <w:r w:rsidRPr="00C11F37">
        <w:t>arteriovenous</w:t>
      </w:r>
      <w:r>
        <w:t xml:space="preserve">; CVC = central venous catheter; </w:t>
      </w:r>
      <w:r>
        <w:rPr>
          <w:rStyle w:val="Hyperlink"/>
          <w:color w:val="auto"/>
          <w:u w:val="none"/>
        </w:rPr>
        <w:t xml:space="preserve">MBS = Medicare Benefits Schedule; </w:t>
      </w:r>
      <w:r>
        <w:t>PICC= peripherally inserted central catheter</w:t>
      </w:r>
    </w:p>
    <w:p w14:paraId="3B7D56ED" w14:textId="073F5FB7" w:rsidR="004C6054" w:rsidRDefault="004C6054" w:rsidP="004C6054">
      <w:pPr>
        <w:pStyle w:val="Caption"/>
      </w:pPr>
      <w:bookmarkStart w:id="548" w:name="_Ref66197245"/>
      <w:bookmarkStart w:id="549" w:name="_Toc69305723"/>
      <w:r>
        <w:t xml:space="preserve">Table </w:t>
      </w:r>
      <w:r w:rsidR="00003BA5">
        <w:fldChar w:fldCharType="begin"/>
      </w:r>
      <w:r w:rsidR="00003BA5">
        <w:instrText xml:space="preserve"> SEQ Table \* ARABIC </w:instrText>
      </w:r>
      <w:r w:rsidR="00003BA5">
        <w:fldChar w:fldCharType="separate"/>
      </w:r>
      <w:r w:rsidR="004B3EA2">
        <w:rPr>
          <w:noProof/>
        </w:rPr>
        <w:t>82</w:t>
      </w:r>
      <w:r w:rsidR="00003BA5">
        <w:rPr>
          <w:noProof/>
        </w:rPr>
        <w:fldChar w:fldCharType="end"/>
      </w:r>
      <w:bookmarkEnd w:id="548"/>
      <w:r>
        <w:tab/>
        <w:t>Estimated vascular access use and associated costs in patients treated with IVIg or PE</w:t>
      </w:r>
      <w:bookmarkEnd w:id="549"/>
    </w:p>
    <w:tbl>
      <w:tblPr>
        <w:tblStyle w:val="OPTUMTableNormal1"/>
        <w:tblW w:w="5000" w:type="pct"/>
        <w:tblLook w:val="04A0" w:firstRow="1" w:lastRow="0" w:firstColumn="1" w:lastColumn="0" w:noHBand="0" w:noVBand="1"/>
        <w:tblCaption w:val="Estimated vascular access use and associated costs in patients treated with IVIg or PE"/>
        <w:tblDescription w:val="Estimated vascular access use and associated costs in patients treated with IVIg or PE"/>
      </w:tblPr>
      <w:tblGrid>
        <w:gridCol w:w="4703"/>
        <w:gridCol w:w="2234"/>
        <w:gridCol w:w="2079"/>
      </w:tblGrid>
      <w:tr w:rsidR="004C6054" w:rsidRPr="00AC7017" w14:paraId="6D17AD55" w14:textId="77777777" w:rsidTr="00BB43B6">
        <w:trPr>
          <w:cnfStyle w:val="100000000000" w:firstRow="1" w:lastRow="0" w:firstColumn="0" w:lastColumn="0" w:oddVBand="0" w:evenVBand="0" w:oddHBand="0" w:evenHBand="0" w:firstRowFirstColumn="0" w:firstRowLastColumn="0" w:lastRowFirstColumn="0" w:lastRowLastColumn="0"/>
          <w:trHeight w:val="315"/>
          <w:tblHeader/>
        </w:trPr>
        <w:tc>
          <w:tcPr>
            <w:tcW w:w="2608" w:type="pct"/>
            <w:noWrap/>
          </w:tcPr>
          <w:p w14:paraId="527C9258" w14:textId="77777777" w:rsidR="004C6054" w:rsidRPr="00AC7017" w:rsidRDefault="004C6054" w:rsidP="00F07769">
            <w:pPr>
              <w:pStyle w:val="TableHeading"/>
            </w:pPr>
            <w:r w:rsidRPr="00AC7017">
              <w:rPr>
                <w:bCs/>
                <w:color w:val="000000"/>
              </w:rPr>
              <w:t>Delivery mode</w:t>
            </w:r>
          </w:p>
        </w:tc>
        <w:tc>
          <w:tcPr>
            <w:tcW w:w="1239" w:type="pct"/>
            <w:noWrap/>
          </w:tcPr>
          <w:p w14:paraId="1007286B" w14:textId="77777777" w:rsidR="004C6054" w:rsidRPr="00AC7017" w:rsidRDefault="004C6054" w:rsidP="00F07769">
            <w:pPr>
              <w:pStyle w:val="TableHeading"/>
            </w:pPr>
            <w:r>
              <w:rPr>
                <w:bCs/>
                <w:color w:val="000000"/>
              </w:rPr>
              <w:t>IVIg</w:t>
            </w:r>
          </w:p>
        </w:tc>
        <w:tc>
          <w:tcPr>
            <w:tcW w:w="1153" w:type="pct"/>
            <w:noWrap/>
          </w:tcPr>
          <w:p w14:paraId="7DA63A4E" w14:textId="77777777" w:rsidR="004C6054" w:rsidRPr="00AC7017" w:rsidRDefault="004C6054" w:rsidP="00F07769">
            <w:pPr>
              <w:pStyle w:val="TableHeading"/>
              <w:rPr>
                <w:rFonts w:ascii="Times New Roman" w:hAnsi="Times New Roman" w:cs="Times New Roman"/>
              </w:rPr>
            </w:pPr>
            <w:r>
              <w:rPr>
                <w:bCs/>
                <w:color w:val="000000"/>
              </w:rPr>
              <w:t>PE</w:t>
            </w:r>
          </w:p>
        </w:tc>
      </w:tr>
      <w:tr w:rsidR="004C6054" w:rsidRPr="00AC7017" w14:paraId="60B7FBFA" w14:textId="77777777" w:rsidTr="00F07769">
        <w:trPr>
          <w:trHeight w:val="315"/>
        </w:trPr>
        <w:tc>
          <w:tcPr>
            <w:tcW w:w="2608" w:type="pct"/>
            <w:tcBorders>
              <w:right w:val="nil"/>
            </w:tcBorders>
            <w:noWrap/>
            <w:hideMark/>
          </w:tcPr>
          <w:p w14:paraId="40617E67" w14:textId="77777777" w:rsidR="004C6054" w:rsidRPr="00AC7017" w:rsidRDefault="004C6054" w:rsidP="00F07769">
            <w:pPr>
              <w:pStyle w:val="Tabletext1"/>
              <w:rPr>
                <w:i/>
              </w:rPr>
            </w:pPr>
            <w:r w:rsidRPr="00AC7017">
              <w:rPr>
                <w:i/>
              </w:rPr>
              <w:t xml:space="preserve">Initial </w:t>
            </w:r>
            <w:r>
              <w:rPr>
                <w:i/>
              </w:rPr>
              <w:t>access in first 4–6 months of treatment</w:t>
            </w:r>
          </w:p>
        </w:tc>
        <w:tc>
          <w:tcPr>
            <w:tcW w:w="1239" w:type="pct"/>
            <w:tcBorders>
              <w:left w:val="nil"/>
              <w:right w:val="nil"/>
            </w:tcBorders>
            <w:noWrap/>
            <w:hideMark/>
          </w:tcPr>
          <w:p w14:paraId="773B1E3D" w14:textId="77777777" w:rsidR="004C6054" w:rsidRPr="00AC7017" w:rsidRDefault="004C6054" w:rsidP="00F07769">
            <w:pPr>
              <w:pStyle w:val="Tabletext1"/>
              <w:rPr>
                <w:i/>
              </w:rPr>
            </w:pPr>
          </w:p>
        </w:tc>
        <w:tc>
          <w:tcPr>
            <w:tcW w:w="1153" w:type="pct"/>
            <w:tcBorders>
              <w:left w:val="nil"/>
            </w:tcBorders>
            <w:noWrap/>
            <w:hideMark/>
          </w:tcPr>
          <w:p w14:paraId="32040EC9" w14:textId="77777777" w:rsidR="004C6054" w:rsidRPr="00AC7017" w:rsidRDefault="004C6054" w:rsidP="00F07769">
            <w:pPr>
              <w:pStyle w:val="Tabletext1"/>
              <w:rPr>
                <w:rFonts w:ascii="Times New Roman" w:hAnsi="Times New Roman" w:cs="Times New Roman"/>
                <w:i/>
              </w:rPr>
            </w:pPr>
          </w:p>
        </w:tc>
      </w:tr>
      <w:tr w:rsidR="004C6054" w:rsidRPr="00AC7017" w14:paraId="07BEF353" w14:textId="77777777" w:rsidTr="00F07769">
        <w:trPr>
          <w:trHeight w:val="315"/>
        </w:trPr>
        <w:tc>
          <w:tcPr>
            <w:tcW w:w="2608" w:type="pct"/>
            <w:hideMark/>
          </w:tcPr>
          <w:p w14:paraId="0D4A8030" w14:textId="77777777" w:rsidR="004C6054" w:rsidRPr="00AC7017" w:rsidRDefault="004C6054" w:rsidP="00F07769">
            <w:pPr>
              <w:pStyle w:val="Tabletext1"/>
              <w:rPr>
                <w:color w:val="000000"/>
              </w:rPr>
            </w:pPr>
            <w:r w:rsidRPr="00AC7017">
              <w:rPr>
                <w:color w:val="000000"/>
              </w:rPr>
              <w:t>Peripheral IV access</w:t>
            </w:r>
          </w:p>
        </w:tc>
        <w:tc>
          <w:tcPr>
            <w:tcW w:w="1239" w:type="pct"/>
            <w:hideMark/>
          </w:tcPr>
          <w:p w14:paraId="7E246728" w14:textId="77777777" w:rsidR="004C6054" w:rsidRPr="00AC7017" w:rsidRDefault="004C6054" w:rsidP="00F07769">
            <w:pPr>
              <w:pStyle w:val="Tabletext1"/>
              <w:jc w:val="center"/>
            </w:pPr>
            <w:r w:rsidRPr="00AC7017">
              <w:t>90%</w:t>
            </w:r>
          </w:p>
        </w:tc>
        <w:tc>
          <w:tcPr>
            <w:tcW w:w="1153" w:type="pct"/>
            <w:hideMark/>
          </w:tcPr>
          <w:p w14:paraId="559672CD" w14:textId="77777777" w:rsidR="004C6054" w:rsidRPr="00AC7017" w:rsidRDefault="004C6054" w:rsidP="00F07769">
            <w:pPr>
              <w:pStyle w:val="Tabletext1"/>
              <w:jc w:val="center"/>
            </w:pPr>
            <w:r w:rsidRPr="00AC7017">
              <w:t>50%</w:t>
            </w:r>
          </w:p>
        </w:tc>
      </w:tr>
      <w:tr w:rsidR="004C6054" w:rsidRPr="00AC7017" w14:paraId="615F87BB" w14:textId="77777777" w:rsidTr="00F07769">
        <w:trPr>
          <w:trHeight w:val="315"/>
        </w:trPr>
        <w:tc>
          <w:tcPr>
            <w:tcW w:w="2608" w:type="pct"/>
            <w:noWrap/>
            <w:hideMark/>
          </w:tcPr>
          <w:p w14:paraId="43896A41" w14:textId="77777777" w:rsidR="004C6054" w:rsidRPr="00AC7017" w:rsidRDefault="004C6054" w:rsidP="00F07769">
            <w:pPr>
              <w:pStyle w:val="Tabletext1"/>
              <w:rPr>
                <w:color w:val="000000"/>
              </w:rPr>
            </w:pPr>
            <w:r w:rsidRPr="00AC7017">
              <w:rPr>
                <w:color w:val="000000"/>
              </w:rPr>
              <w:t>PICC line</w:t>
            </w:r>
            <w:r>
              <w:rPr>
                <w:color w:val="000000"/>
              </w:rPr>
              <w:t xml:space="preserve"> ($1,391 per placement)</w:t>
            </w:r>
          </w:p>
        </w:tc>
        <w:tc>
          <w:tcPr>
            <w:tcW w:w="1239" w:type="pct"/>
            <w:noWrap/>
            <w:hideMark/>
          </w:tcPr>
          <w:p w14:paraId="09BE14CF" w14:textId="77777777" w:rsidR="004C6054" w:rsidRPr="00AC7017" w:rsidRDefault="004C6054" w:rsidP="00F07769">
            <w:pPr>
              <w:pStyle w:val="Tabletext1"/>
              <w:jc w:val="center"/>
            </w:pPr>
            <w:r w:rsidRPr="00AC7017">
              <w:t>1%</w:t>
            </w:r>
          </w:p>
        </w:tc>
        <w:tc>
          <w:tcPr>
            <w:tcW w:w="1153" w:type="pct"/>
            <w:noWrap/>
            <w:hideMark/>
          </w:tcPr>
          <w:p w14:paraId="5C3110D4" w14:textId="77777777" w:rsidR="004C6054" w:rsidRPr="00AC7017" w:rsidRDefault="004C6054" w:rsidP="00F07769">
            <w:pPr>
              <w:pStyle w:val="Tabletext1"/>
              <w:jc w:val="center"/>
            </w:pPr>
            <w:r w:rsidRPr="00AC7017">
              <w:t>50%</w:t>
            </w:r>
          </w:p>
        </w:tc>
      </w:tr>
      <w:tr w:rsidR="004C6054" w:rsidRPr="00AC7017" w14:paraId="6E4F3AFF" w14:textId="77777777" w:rsidTr="00F07769">
        <w:trPr>
          <w:trHeight w:val="315"/>
        </w:trPr>
        <w:tc>
          <w:tcPr>
            <w:tcW w:w="2608" w:type="pct"/>
            <w:hideMark/>
          </w:tcPr>
          <w:p w14:paraId="28E6EE4C" w14:textId="77777777" w:rsidR="004C6054" w:rsidRPr="00AC7017" w:rsidRDefault="004C6054" w:rsidP="00F07769">
            <w:pPr>
              <w:pStyle w:val="Tabletext1"/>
              <w:rPr>
                <w:color w:val="000000"/>
              </w:rPr>
            </w:pPr>
            <w:r w:rsidRPr="00AC7017">
              <w:rPr>
                <w:color w:val="000000"/>
              </w:rPr>
              <w:t>Port-a-cath</w:t>
            </w:r>
            <w:r>
              <w:rPr>
                <w:color w:val="000000"/>
              </w:rPr>
              <w:t xml:space="preserve"> ($1,475 per placement)</w:t>
            </w:r>
          </w:p>
        </w:tc>
        <w:tc>
          <w:tcPr>
            <w:tcW w:w="1239" w:type="pct"/>
            <w:hideMark/>
          </w:tcPr>
          <w:p w14:paraId="3E509986" w14:textId="77777777" w:rsidR="004C6054" w:rsidRPr="00AC7017" w:rsidRDefault="004C6054" w:rsidP="00F07769">
            <w:pPr>
              <w:pStyle w:val="Tabletext1"/>
              <w:jc w:val="center"/>
            </w:pPr>
            <w:r w:rsidRPr="00AC7017">
              <w:t>9%</w:t>
            </w:r>
          </w:p>
        </w:tc>
        <w:tc>
          <w:tcPr>
            <w:tcW w:w="1153" w:type="pct"/>
            <w:hideMark/>
          </w:tcPr>
          <w:p w14:paraId="351E8132" w14:textId="77777777" w:rsidR="004C6054" w:rsidRPr="00AC7017" w:rsidRDefault="004C6054" w:rsidP="00F07769">
            <w:pPr>
              <w:pStyle w:val="Tabletext1"/>
              <w:jc w:val="center"/>
            </w:pPr>
            <w:r w:rsidRPr="00AC7017">
              <w:t>0</w:t>
            </w:r>
          </w:p>
        </w:tc>
      </w:tr>
      <w:tr w:rsidR="004C6054" w:rsidRPr="00AC7017" w14:paraId="34C4FCC3" w14:textId="77777777" w:rsidTr="00F07769">
        <w:trPr>
          <w:trHeight w:val="315"/>
        </w:trPr>
        <w:tc>
          <w:tcPr>
            <w:tcW w:w="2608" w:type="pct"/>
            <w:hideMark/>
          </w:tcPr>
          <w:p w14:paraId="70972EB0" w14:textId="77777777" w:rsidR="004C6054" w:rsidRPr="00AC7017" w:rsidRDefault="004C6054" w:rsidP="00F07769">
            <w:pPr>
              <w:pStyle w:val="Tabletext1"/>
              <w:rPr>
                <w:color w:val="000000"/>
              </w:rPr>
            </w:pPr>
            <w:r>
              <w:rPr>
                <w:color w:val="000000"/>
              </w:rPr>
              <w:t>AV fistulae ($10,508 per placement)</w:t>
            </w:r>
          </w:p>
        </w:tc>
        <w:tc>
          <w:tcPr>
            <w:tcW w:w="1239" w:type="pct"/>
            <w:hideMark/>
          </w:tcPr>
          <w:p w14:paraId="72E6FF0F" w14:textId="77777777" w:rsidR="004C6054" w:rsidRPr="00AC7017" w:rsidRDefault="004C6054" w:rsidP="00F07769">
            <w:pPr>
              <w:pStyle w:val="Tabletext1"/>
              <w:jc w:val="center"/>
            </w:pPr>
            <w:r w:rsidRPr="00AC7017">
              <w:t>0%</w:t>
            </w:r>
          </w:p>
        </w:tc>
        <w:tc>
          <w:tcPr>
            <w:tcW w:w="1153" w:type="pct"/>
            <w:hideMark/>
          </w:tcPr>
          <w:p w14:paraId="22D3DCA9" w14:textId="77777777" w:rsidR="004C6054" w:rsidRPr="00AC7017" w:rsidRDefault="004C6054" w:rsidP="00F07769">
            <w:pPr>
              <w:pStyle w:val="Tabletext1"/>
              <w:jc w:val="center"/>
            </w:pPr>
            <w:r w:rsidRPr="00AC7017">
              <w:t>0%</w:t>
            </w:r>
          </w:p>
        </w:tc>
      </w:tr>
      <w:tr w:rsidR="004C6054" w:rsidRPr="00AC7017" w14:paraId="11255C78" w14:textId="77777777" w:rsidTr="00F07769">
        <w:trPr>
          <w:trHeight w:val="315"/>
        </w:trPr>
        <w:tc>
          <w:tcPr>
            <w:tcW w:w="2608" w:type="pct"/>
            <w:hideMark/>
          </w:tcPr>
          <w:p w14:paraId="0421959E" w14:textId="77777777" w:rsidR="004C6054" w:rsidRPr="00AC7017" w:rsidRDefault="004C6054" w:rsidP="00F07769">
            <w:pPr>
              <w:pStyle w:val="Tabletext1"/>
              <w:rPr>
                <w:b/>
                <w:bCs/>
                <w:color w:val="000000"/>
              </w:rPr>
            </w:pPr>
            <w:r w:rsidRPr="00AC7017">
              <w:rPr>
                <w:b/>
                <w:bCs/>
                <w:color w:val="000000"/>
              </w:rPr>
              <w:t>Total cost per patient</w:t>
            </w:r>
          </w:p>
        </w:tc>
        <w:tc>
          <w:tcPr>
            <w:tcW w:w="1239" w:type="pct"/>
            <w:hideMark/>
          </w:tcPr>
          <w:p w14:paraId="17757A89" w14:textId="77777777" w:rsidR="004C6054" w:rsidRPr="00AC7017" w:rsidRDefault="004C6054" w:rsidP="00F07769">
            <w:pPr>
              <w:pStyle w:val="Tabletext1"/>
              <w:jc w:val="center"/>
              <w:rPr>
                <w:bCs/>
                <w:color w:val="000000"/>
              </w:rPr>
            </w:pPr>
            <w:r w:rsidRPr="00AC7017">
              <w:rPr>
                <w:bCs/>
                <w:color w:val="000000"/>
              </w:rPr>
              <w:t>$146.66</w:t>
            </w:r>
          </w:p>
        </w:tc>
        <w:tc>
          <w:tcPr>
            <w:tcW w:w="1153" w:type="pct"/>
            <w:hideMark/>
          </w:tcPr>
          <w:p w14:paraId="10EA8CB9" w14:textId="77777777" w:rsidR="004C6054" w:rsidRPr="00AC7017" w:rsidRDefault="004C6054" w:rsidP="00F07769">
            <w:pPr>
              <w:pStyle w:val="Tabletext1"/>
              <w:jc w:val="center"/>
              <w:rPr>
                <w:bCs/>
                <w:color w:val="000000"/>
              </w:rPr>
            </w:pPr>
            <w:r w:rsidRPr="00AC7017">
              <w:rPr>
                <w:bCs/>
                <w:color w:val="000000"/>
              </w:rPr>
              <w:t>$737.50</w:t>
            </w:r>
          </w:p>
        </w:tc>
      </w:tr>
      <w:tr w:rsidR="004C6054" w:rsidRPr="00AC7017" w14:paraId="4FA0148C" w14:textId="77777777" w:rsidTr="00F07769">
        <w:trPr>
          <w:trHeight w:val="315"/>
        </w:trPr>
        <w:tc>
          <w:tcPr>
            <w:tcW w:w="3847" w:type="pct"/>
            <w:gridSpan w:val="2"/>
            <w:noWrap/>
            <w:hideMark/>
          </w:tcPr>
          <w:p w14:paraId="6159111A" w14:textId="77777777" w:rsidR="004C6054" w:rsidRPr="00AC7017" w:rsidRDefault="004C6054" w:rsidP="00F07769">
            <w:pPr>
              <w:pStyle w:val="Tabletext1"/>
              <w:rPr>
                <w:i/>
              </w:rPr>
            </w:pPr>
            <w:r w:rsidRPr="00AC7017">
              <w:rPr>
                <w:i/>
              </w:rPr>
              <w:t>Chronic vascular access &gt;6 months on treatment</w:t>
            </w:r>
          </w:p>
        </w:tc>
        <w:tc>
          <w:tcPr>
            <w:tcW w:w="1153" w:type="pct"/>
            <w:noWrap/>
            <w:hideMark/>
          </w:tcPr>
          <w:p w14:paraId="30F2046A" w14:textId="77777777" w:rsidR="004C6054" w:rsidRPr="00AC7017" w:rsidRDefault="004C6054" w:rsidP="00F07769">
            <w:pPr>
              <w:pStyle w:val="Tabletext1"/>
              <w:rPr>
                <w:i/>
              </w:rPr>
            </w:pPr>
          </w:p>
        </w:tc>
      </w:tr>
      <w:tr w:rsidR="004C6054" w:rsidRPr="00AC7017" w14:paraId="0A177877" w14:textId="77777777" w:rsidTr="00F07769">
        <w:trPr>
          <w:trHeight w:val="315"/>
        </w:trPr>
        <w:tc>
          <w:tcPr>
            <w:tcW w:w="2608" w:type="pct"/>
            <w:hideMark/>
          </w:tcPr>
          <w:p w14:paraId="4B4127FC" w14:textId="77777777" w:rsidR="004C6054" w:rsidRPr="00AC7017" w:rsidRDefault="004C6054" w:rsidP="00F07769">
            <w:pPr>
              <w:pStyle w:val="Tabletext1"/>
            </w:pPr>
            <w:r w:rsidRPr="00AC7017">
              <w:t>Peripheral IV access</w:t>
            </w:r>
          </w:p>
        </w:tc>
        <w:tc>
          <w:tcPr>
            <w:tcW w:w="1239" w:type="pct"/>
            <w:hideMark/>
          </w:tcPr>
          <w:p w14:paraId="1DA7C252" w14:textId="77777777" w:rsidR="004C6054" w:rsidRPr="00AC7017" w:rsidRDefault="004C6054" w:rsidP="00F07769">
            <w:pPr>
              <w:pStyle w:val="Tabletext1"/>
              <w:jc w:val="center"/>
            </w:pPr>
            <w:r w:rsidRPr="00AC7017">
              <w:t>80%</w:t>
            </w:r>
          </w:p>
        </w:tc>
        <w:tc>
          <w:tcPr>
            <w:tcW w:w="1153" w:type="pct"/>
            <w:hideMark/>
          </w:tcPr>
          <w:p w14:paraId="47D67A1D" w14:textId="77777777" w:rsidR="004C6054" w:rsidRPr="00AC7017" w:rsidRDefault="004C6054" w:rsidP="00F07769">
            <w:pPr>
              <w:pStyle w:val="Tabletext1"/>
              <w:jc w:val="center"/>
            </w:pPr>
            <w:r w:rsidRPr="00AC7017">
              <w:t>70%</w:t>
            </w:r>
          </w:p>
        </w:tc>
      </w:tr>
      <w:tr w:rsidR="004C6054" w:rsidRPr="00AC7017" w14:paraId="71E43D66" w14:textId="77777777" w:rsidTr="00F07769">
        <w:trPr>
          <w:trHeight w:val="315"/>
        </w:trPr>
        <w:tc>
          <w:tcPr>
            <w:tcW w:w="2608" w:type="pct"/>
            <w:hideMark/>
          </w:tcPr>
          <w:p w14:paraId="41751D1C" w14:textId="77777777" w:rsidR="004C6054" w:rsidRPr="00AC7017" w:rsidRDefault="004C6054" w:rsidP="00F07769">
            <w:pPr>
              <w:pStyle w:val="Tabletext1"/>
            </w:pPr>
            <w:r w:rsidRPr="00AC7017">
              <w:rPr>
                <w:color w:val="000000"/>
              </w:rPr>
              <w:t>PICC line</w:t>
            </w:r>
            <w:r>
              <w:rPr>
                <w:color w:val="000000"/>
              </w:rPr>
              <w:t xml:space="preserve"> ($1,391 per placement)</w:t>
            </w:r>
          </w:p>
        </w:tc>
        <w:tc>
          <w:tcPr>
            <w:tcW w:w="1239" w:type="pct"/>
            <w:hideMark/>
          </w:tcPr>
          <w:p w14:paraId="44EA97A2" w14:textId="77777777" w:rsidR="004C6054" w:rsidRPr="00AC7017" w:rsidRDefault="004C6054" w:rsidP="00F07769">
            <w:pPr>
              <w:pStyle w:val="Tabletext1"/>
              <w:jc w:val="center"/>
            </w:pPr>
            <w:r w:rsidRPr="00AC7017">
              <w:t>1%</w:t>
            </w:r>
          </w:p>
        </w:tc>
        <w:tc>
          <w:tcPr>
            <w:tcW w:w="1153" w:type="pct"/>
            <w:hideMark/>
          </w:tcPr>
          <w:p w14:paraId="76C8013B" w14:textId="77777777" w:rsidR="004C6054" w:rsidRPr="00AC7017" w:rsidRDefault="004C6054" w:rsidP="00F07769">
            <w:pPr>
              <w:pStyle w:val="Tabletext1"/>
              <w:jc w:val="center"/>
            </w:pPr>
            <w:r w:rsidRPr="00AC7017">
              <w:t>19%</w:t>
            </w:r>
          </w:p>
        </w:tc>
      </w:tr>
      <w:tr w:rsidR="004C6054" w:rsidRPr="00AC7017" w14:paraId="1079B4D7" w14:textId="77777777" w:rsidTr="00F07769">
        <w:trPr>
          <w:trHeight w:val="315"/>
        </w:trPr>
        <w:tc>
          <w:tcPr>
            <w:tcW w:w="2608" w:type="pct"/>
            <w:hideMark/>
          </w:tcPr>
          <w:p w14:paraId="5C1473C1" w14:textId="77777777" w:rsidR="004C6054" w:rsidRPr="00AC7017" w:rsidRDefault="004C6054" w:rsidP="00F07769">
            <w:pPr>
              <w:pStyle w:val="Tabletext1"/>
            </w:pPr>
            <w:r w:rsidRPr="00AC7017">
              <w:rPr>
                <w:color w:val="000000"/>
              </w:rPr>
              <w:t>Port-a-cath</w:t>
            </w:r>
            <w:r>
              <w:rPr>
                <w:color w:val="000000"/>
              </w:rPr>
              <w:t xml:space="preserve"> ($1,475 per placement)</w:t>
            </w:r>
          </w:p>
        </w:tc>
        <w:tc>
          <w:tcPr>
            <w:tcW w:w="1239" w:type="pct"/>
            <w:hideMark/>
          </w:tcPr>
          <w:p w14:paraId="17A99D24" w14:textId="77777777" w:rsidR="004C6054" w:rsidRPr="00AC7017" w:rsidRDefault="004C6054" w:rsidP="00F07769">
            <w:pPr>
              <w:pStyle w:val="Tabletext1"/>
              <w:jc w:val="center"/>
            </w:pPr>
            <w:r w:rsidRPr="00AC7017">
              <w:t>19%</w:t>
            </w:r>
          </w:p>
        </w:tc>
        <w:tc>
          <w:tcPr>
            <w:tcW w:w="1153" w:type="pct"/>
            <w:hideMark/>
          </w:tcPr>
          <w:p w14:paraId="60FE2260" w14:textId="77777777" w:rsidR="004C6054" w:rsidRPr="00AC7017" w:rsidRDefault="004C6054" w:rsidP="00F07769">
            <w:pPr>
              <w:pStyle w:val="Tabletext1"/>
              <w:jc w:val="center"/>
            </w:pPr>
            <w:r w:rsidRPr="00AC7017">
              <w:t>1%</w:t>
            </w:r>
          </w:p>
        </w:tc>
      </w:tr>
      <w:tr w:rsidR="004C6054" w:rsidRPr="00AC7017" w14:paraId="422E2D70" w14:textId="77777777" w:rsidTr="00F07769">
        <w:trPr>
          <w:trHeight w:val="315"/>
        </w:trPr>
        <w:tc>
          <w:tcPr>
            <w:tcW w:w="2608" w:type="pct"/>
            <w:hideMark/>
          </w:tcPr>
          <w:p w14:paraId="281B482A" w14:textId="77777777" w:rsidR="004C6054" w:rsidRPr="00AC7017" w:rsidRDefault="004C6054" w:rsidP="00F07769">
            <w:pPr>
              <w:pStyle w:val="Tabletext1"/>
            </w:pPr>
            <w:r>
              <w:rPr>
                <w:color w:val="000000"/>
              </w:rPr>
              <w:t>AV fistulae ($10,508 per placement)</w:t>
            </w:r>
          </w:p>
        </w:tc>
        <w:tc>
          <w:tcPr>
            <w:tcW w:w="1239" w:type="pct"/>
            <w:hideMark/>
          </w:tcPr>
          <w:p w14:paraId="39AC459B" w14:textId="77777777" w:rsidR="004C6054" w:rsidRPr="00AC7017" w:rsidRDefault="004C6054" w:rsidP="00F07769">
            <w:pPr>
              <w:pStyle w:val="Tabletext1"/>
              <w:jc w:val="center"/>
            </w:pPr>
            <w:r w:rsidRPr="00AC7017">
              <w:t>0</w:t>
            </w:r>
          </w:p>
        </w:tc>
        <w:tc>
          <w:tcPr>
            <w:tcW w:w="1153" w:type="pct"/>
            <w:hideMark/>
          </w:tcPr>
          <w:p w14:paraId="20F716B0" w14:textId="77777777" w:rsidR="004C6054" w:rsidRPr="00AC7017" w:rsidRDefault="004C6054" w:rsidP="00F07769">
            <w:pPr>
              <w:pStyle w:val="Tabletext1"/>
              <w:jc w:val="center"/>
            </w:pPr>
            <w:r w:rsidRPr="00AC7017">
              <w:t>10%</w:t>
            </w:r>
          </w:p>
        </w:tc>
      </w:tr>
      <w:tr w:rsidR="004C6054" w:rsidRPr="00AC7017" w14:paraId="322CDBC8" w14:textId="77777777" w:rsidTr="00F07769">
        <w:trPr>
          <w:trHeight w:val="315"/>
        </w:trPr>
        <w:tc>
          <w:tcPr>
            <w:tcW w:w="2608" w:type="pct"/>
            <w:hideMark/>
          </w:tcPr>
          <w:p w14:paraId="0091F0D1" w14:textId="77777777" w:rsidR="004C6054" w:rsidRPr="00AC7017" w:rsidRDefault="004C6054" w:rsidP="00F07769">
            <w:pPr>
              <w:pStyle w:val="Tabletext1"/>
              <w:rPr>
                <w:b/>
                <w:bCs/>
              </w:rPr>
            </w:pPr>
            <w:r w:rsidRPr="00AC7017">
              <w:rPr>
                <w:b/>
                <w:bCs/>
              </w:rPr>
              <w:t>Total cost per patient</w:t>
            </w:r>
          </w:p>
        </w:tc>
        <w:tc>
          <w:tcPr>
            <w:tcW w:w="1239" w:type="pct"/>
          </w:tcPr>
          <w:p w14:paraId="79D02E35" w14:textId="77777777" w:rsidR="004C6054" w:rsidRPr="00AC7017" w:rsidRDefault="004C6054" w:rsidP="00F07769">
            <w:pPr>
              <w:pStyle w:val="Tabletext1"/>
              <w:jc w:val="center"/>
              <w:rPr>
                <w:bCs/>
              </w:rPr>
            </w:pPr>
            <w:r w:rsidRPr="001448E6">
              <w:t>$294.16</w:t>
            </w:r>
          </w:p>
        </w:tc>
        <w:tc>
          <w:tcPr>
            <w:tcW w:w="1153" w:type="pct"/>
          </w:tcPr>
          <w:p w14:paraId="42898E82" w14:textId="77777777" w:rsidR="004C6054" w:rsidRPr="00AC7017" w:rsidRDefault="004C6054" w:rsidP="00F07769">
            <w:pPr>
              <w:pStyle w:val="Tabletext1"/>
              <w:jc w:val="center"/>
              <w:rPr>
                <w:bCs/>
              </w:rPr>
            </w:pPr>
            <w:r w:rsidRPr="001448E6">
              <w:t>$1,345.84</w:t>
            </w:r>
          </w:p>
        </w:tc>
      </w:tr>
    </w:tbl>
    <w:p w14:paraId="7DF8573A" w14:textId="3AEAEE7A" w:rsidR="004C6054" w:rsidRDefault="004C6054" w:rsidP="004C6054">
      <w:pPr>
        <w:pStyle w:val="Tablenotes1"/>
      </w:pPr>
      <w:r>
        <w:t xml:space="preserve">Source: </w:t>
      </w:r>
      <w:r w:rsidR="007C4A09">
        <w:t xml:space="preserve">Estimates provided by clinical expert </w:t>
      </w:r>
      <w:r w:rsidR="00B727D6">
        <w:fldChar w:fldCharType="begin"/>
      </w:r>
      <w:r w:rsidR="00B727D6">
        <w:instrText xml:space="preserve"> ADDIN EN.CITE &lt;EndNote&gt;&lt;Cite&gt;&lt;Author&gt;Department of Health&lt;/Author&gt;&lt;Year&gt;2021&lt;/Year&gt;&lt;RecNum&gt;1954&lt;/RecNum&gt;&lt;DisplayText&gt;(Department of Health 2021a)&lt;/DisplayText&gt;&lt;record&gt;&lt;rec-number&gt;1954&lt;/rec-number&gt;&lt;foreign-keys&gt;&lt;key app="EN" db-id="xtr5xfx2xf0wd7e0s2qvst2ietxxf0tpzr9v" timestamp="1614643814"&gt;1954&lt;/key&gt;&lt;/foreign-keys&gt;&lt;ref-type name="Personal Communication"&gt;26&lt;/ref-type&gt;&lt;contributors&gt;&lt;authors&gt;&lt;author&gt;Department of Health,&lt;/author&gt;&lt;/authors&gt;&lt;/contributors&gt;&lt;titles&gt;&lt;title&gt;Clinical expert advice provided as feedback to the draft MSAC 1564.1 report&lt;/title&gt;&lt;/titles&gt;&lt;dates&gt;&lt;year&gt;2021&lt;/year&gt;&lt;/dates&gt;&lt;urls&gt;&lt;/urls&gt;&lt;/record&gt;&lt;/Cite&gt;&lt;/EndNote&gt;</w:instrText>
      </w:r>
      <w:r w:rsidR="00B727D6">
        <w:fldChar w:fldCharType="separate"/>
      </w:r>
      <w:r w:rsidR="00B727D6">
        <w:rPr>
          <w:noProof/>
        </w:rPr>
        <w:t>(</w:t>
      </w:r>
      <w:hyperlink w:anchor="_ENREF_12" w:tooltip="Department of Health, 2021 #1954" w:history="1">
        <w:r w:rsidR="00D726F6">
          <w:rPr>
            <w:noProof/>
          </w:rPr>
          <w:t>Department of Health 2021a</w:t>
        </w:r>
      </w:hyperlink>
      <w:r w:rsidR="00B727D6">
        <w:rPr>
          <w:noProof/>
        </w:rPr>
        <w:t>)</w:t>
      </w:r>
      <w:r w:rsidR="00B727D6">
        <w:fldChar w:fldCharType="end"/>
      </w:r>
      <w:r w:rsidR="007C4A09">
        <w:t xml:space="preserve">; </w:t>
      </w:r>
      <w:r>
        <w:t xml:space="preserve">Costs estimated in </w:t>
      </w:r>
      <w:r>
        <w:fldChar w:fldCharType="begin"/>
      </w:r>
      <w:r>
        <w:instrText xml:space="preserve"> REF _Ref66197044 \h </w:instrText>
      </w:r>
      <w:r>
        <w:fldChar w:fldCharType="separate"/>
      </w:r>
      <w:r w:rsidR="004B3EA2">
        <w:t xml:space="preserve">Table </w:t>
      </w:r>
      <w:r w:rsidR="004B3EA2">
        <w:rPr>
          <w:noProof/>
        </w:rPr>
        <w:t>81</w:t>
      </w:r>
      <w:r>
        <w:fldChar w:fldCharType="end"/>
      </w:r>
      <w:r>
        <w:t xml:space="preserve"> for each delivery mode. Peripheral access has no additional surgery or device costs associated.</w:t>
      </w:r>
    </w:p>
    <w:p w14:paraId="3B374887" w14:textId="6D4B06D1" w:rsidR="004C6054" w:rsidRPr="00AC7017" w:rsidRDefault="004C6054" w:rsidP="004C6054">
      <w:pPr>
        <w:pStyle w:val="Tablenotes1"/>
      </w:pPr>
      <w:r>
        <w:t xml:space="preserve">AV = </w:t>
      </w:r>
      <w:r w:rsidRPr="00C11F37">
        <w:t>arteriovenous</w:t>
      </w:r>
      <w:r>
        <w:t xml:space="preserve">; CVC = central venous catheter; </w:t>
      </w:r>
      <w:r w:rsidR="004D547D">
        <w:t xml:space="preserve">PE = plasma exchange; </w:t>
      </w:r>
      <w:r>
        <w:t>PICC= peripherally inserted central catheter</w:t>
      </w:r>
    </w:p>
    <w:p w14:paraId="52E631A4" w14:textId="77777777" w:rsidR="004C6054" w:rsidRDefault="00186534" w:rsidP="003E7D82">
      <w:pPr>
        <w:pStyle w:val="Heading2"/>
        <w:rPr>
          <w:rFonts w:eastAsia="Calibri"/>
        </w:rPr>
      </w:pPr>
      <w:bookmarkStart w:id="550" w:name="_Toc69305630"/>
      <w:r>
        <w:rPr>
          <w:rFonts w:eastAsia="Calibri"/>
        </w:rPr>
        <w:t>C</w:t>
      </w:r>
      <w:r w:rsidR="003E7D82">
        <w:rPr>
          <w:rFonts w:eastAsia="Calibri"/>
        </w:rPr>
        <w:t xml:space="preserve">osts associated with </w:t>
      </w:r>
      <w:r>
        <w:rPr>
          <w:rFonts w:eastAsia="Calibri"/>
        </w:rPr>
        <w:t>managing adverse events</w:t>
      </w:r>
      <w:bookmarkEnd w:id="550"/>
    </w:p>
    <w:p w14:paraId="640B4F2C" w14:textId="77777777" w:rsidR="00A93C68" w:rsidRPr="00A93C68" w:rsidRDefault="00A93C68" w:rsidP="00A93C68">
      <w:pPr>
        <w:pStyle w:val="Heading3"/>
        <w:rPr>
          <w:rFonts w:eastAsia="Calibri"/>
        </w:rPr>
      </w:pPr>
      <w:bookmarkStart w:id="551" w:name="_Toc69305631"/>
      <w:r>
        <w:rPr>
          <w:rFonts w:eastAsia="Calibri"/>
        </w:rPr>
        <w:t>Osteoporosis</w:t>
      </w:r>
      <w:bookmarkEnd w:id="551"/>
    </w:p>
    <w:p w14:paraId="20E928B9" w14:textId="56D7F7AF" w:rsidR="00186534" w:rsidRDefault="00186534" w:rsidP="00186534">
      <w:pPr>
        <w:pStyle w:val="Caption"/>
      </w:pPr>
      <w:bookmarkStart w:id="552" w:name="_Ref66211548"/>
      <w:bookmarkStart w:id="553" w:name="_Toc69305724"/>
      <w:r>
        <w:t xml:space="preserve">Table </w:t>
      </w:r>
      <w:r w:rsidR="00003BA5">
        <w:fldChar w:fldCharType="begin"/>
      </w:r>
      <w:r w:rsidR="00003BA5">
        <w:instrText xml:space="preserve"> SEQ Table \* ARABIC </w:instrText>
      </w:r>
      <w:r w:rsidR="00003BA5">
        <w:fldChar w:fldCharType="separate"/>
      </w:r>
      <w:r w:rsidR="004B3EA2">
        <w:rPr>
          <w:noProof/>
        </w:rPr>
        <w:t>83</w:t>
      </w:r>
      <w:r w:rsidR="00003BA5">
        <w:rPr>
          <w:noProof/>
        </w:rPr>
        <w:fldChar w:fldCharType="end"/>
      </w:r>
      <w:bookmarkEnd w:id="552"/>
      <w:r>
        <w:tab/>
        <w:t>Estimated costs for managing osteoporosis</w:t>
      </w:r>
      <w:bookmarkEnd w:id="553"/>
    </w:p>
    <w:tbl>
      <w:tblPr>
        <w:tblStyle w:val="OPTUMTableNormal"/>
        <w:tblW w:w="5000" w:type="pct"/>
        <w:tblLook w:val="04A0" w:firstRow="1" w:lastRow="0" w:firstColumn="1" w:lastColumn="0" w:noHBand="0" w:noVBand="1"/>
        <w:tblCaption w:val="Estimated costs for managing osteoporosis"/>
        <w:tblDescription w:val="Estimated costs for managing osteoporosis"/>
      </w:tblPr>
      <w:tblGrid>
        <w:gridCol w:w="1870"/>
        <w:gridCol w:w="552"/>
        <w:gridCol w:w="4948"/>
        <w:gridCol w:w="836"/>
        <w:gridCol w:w="810"/>
      </w:tblGrid>
      <w:tr w:rsidR="00186534" w:rsidRPr="00186534" w14:paraId="16591909" w14:textId="77777777" w:rsidTr="00BB43B6">
        <w:trPr>
          <w:cnfStyle w:val="100000000000" w:firstRow="1" w:lastRow="0" w:firstColumn="0" w:lastColumn="0" w:oddVBand="0" w:evenVBand="0" w:oddHBand="0" w:evenHBand="0" w:firstRowFirstColumn="0" w:firstRowLastColumn="0" w:lastRowFirstColumn="0" w:lastRowLastColumn="0"/>
          <w:trHeight w:val="300"/>
          <w:tblHeader/>
        </w:trPr>
        <w:tc>
          <w:tcPr>
            <w:tcW w:w="1619" w:type="pct"/>
            <w:noWrap/>
          </w:tcPr>
          <w:p w14:paraId="2BCBFD9A" w14:textId="77777777" w:rsidR="00186534" w:rsidRPr="00186534" w:rsidRDefault="00186534" w:rsidP="00186534">
            <w:pPr>
              <w:pStyle w:val="TableHeading"/>
            </w:pPr>
            <w:r>
              <w:t>Description</w:t>
            </w:r>
          </w:p>
        </w:tc>
        <w:tc>
          <w:tcPr>
            <w:tcW w:w="513" w:type="pct"/>
            <w:noWrap/>
          </w:tcPr>
          <w:p w14:paraId="4BCCBFDB" w14:textId="77777777" w:rsidR="00186534" w:rsidRPr="00186534" w:rsidRDefault="00186534" w:rsidP="00186534">
            <w:pPr>
              <w:pStyle w:val="TableHeading"/>
            </w:pPr>
            <w:r>
              <w:t>Cost</w:t>
            </w:r>
          </w:p>
        </w:tc>
        <w:tc>
          <w:tcPr>
            <w:tcW w:w="1771" w:type="pct"/>
            <w:noWrap/>
          </w:tcPr>
          <w:p w14:paraId="08E91645" w14:textId="77777777" w:rsidR="00186534" w:rsidRPr="00186534" w:rsidRDefault="00186534" w:rsidP="00186534">
            <w:pPr>
              <w:pStyle w:val="TableHeading"/>
            </w:pPr>
            <w:r>
              <w:t>Source</w:t>
            </w:r>
          </w:p>
        </w:tc>
        <w:tc>
          <w:tcPr>
            <w:tcW w:w="548" w:type="pct"/>
            <w:noWrap/>
          </w:tcPr>
          <w:p w14:paraId="71080325" w14:textId="77777777" w:rsidR="00186534" w:rsidRPr="00186534" w:rsidRDefault="00186534" w:rsidP="00186534">
            <w:pPr>
              <w:pStyle w:val="TableHeading"/>
            </w:pPr>
            <w:r w:rsidRPr="00186534">
              <w:t>Units per year</w:t>
            </w:r>
          </w:p>
        </w:tc>
        <w:tc>
          <w:tcPr>
            <w:tcW w:w="549" w:type="pct"/>
            <w:noWrap/>
          </w:tcPr>
          <w:p w14:paraId="5B6D977A" w14:textId="77777777" w:rsidR="00186534" w:rsidRPr="00186534" w:rsidRDefault="00186534" w:rsidP="00186534">
            <w:pPr>
              <w:pStyle w:val="TableHeading"/>
            </w:pPr>
            <w:r w:rsidRPr="00186534">
              <w:t>Cost per item</w:t>
            </w:r>
          </w:p>
        </w:tc>
      </w:tr>
      <w:tr w:rsidR="00186534" w:rsidRPr="00186534" w14:paraId="39AED719" w14:textId="77777777" w:rsidTr="00CD21A4">
        <w:trPr>
          <w:trHeight w:val="300"/>
        </w:trPr>
        <w:tc>
          <w:tcPr>
            <w:tcW w:w="1619" w:type="pct"/>
            <w:noWrap/>
            <w:hideMark/>
          </w:tcPr>
          <w:p w14:paraId="73222F74" w14:textId="77777777" w:rsidR="00186534" w:rsidRPr="00186534" w:rsidRDefault="00186534" w:rsidP="00186534">
            <w:pPr>
              <w:pStyle w:val="Tabletext1"/>
              <w:rPr>
                <w:rFonts w:cs="Calibri"/>
                <w:color w:val="000000"/>
              </w:rPr>
            </w:pPr>
            <w:r w:rsidRPr="00186534">
              <w:rPr>
                <w:rFonts w:cs="Calibri"/>
                <w:color w:val="000000"/>
              </w:rPr>
              <w:t>GP visits</w:t>
            </w:r>
          </w:p>
        </w:tc>
        <w:tc>
          <w:tcPr>
            <w:tcW w:w="513" w:type="pct"/>
            <w:noWrap/>
            <w:hideMark/>
          </w:tcPr>
          <w:p w14:paraId="01837665" w14:textId="77777777" w:rsidR="00186534" w:rsidRPr="00186534" w:rsidRDefault="00186534" w:rsidP="00186534">
            <w:pPr>
              <w:pStyle w:val="Tabletext1"/>
              <w:rPr>
                <w:rFonts w:cs="Calibri"/>
                <w:color w:val="000000"/>
              </w:rPr>
            </w:pPr>
            <w:r w:rsidRPr="00186534">
              <w:rPr>
                <w:rFonts w:cs="Calibri"/>
                <w:color w:val="000000"/>
              </w:rPr>
              <w:t>$</w:t>
            </w:r>
            <w:r>
              <w:rPr>
                <w:rFonts w:cs="Calibri"/>
                <w:color w:val="000000"/>
              </w:rPr>
              <w:t>38.75</w:t>
            </w:r>
          </w:p>
        </w:tc>
        <w:tc>
          <w:tcPr>
            <w:tcW w:w="1771" w:type="pct"/>
            <w:noWrap/>
            <w:hideMark/>
          </w:tcPr>
          <w:p w14:paraId="2B61C0E8" w14:textId="77777777" w:rsidR="00186534" w:rsidRPr="00186534" w:rsidRDefault="00186534" w:rsidP="00186534">
            <w:pPr>
              <w:pStyle w:val="Tabletext1"/>
              <w:rPr>
                <w:rFonts w:cs="Calibri"/>
                <w:color w:val="000000"/>
              </w:rPr>
            </w:pPr>
            <w:r w:rsidRPr="00186534">
              <w:rPr>
                <w:rFonts w:cs="Calibri"/>
                <w:color w:val="000000"/>
              </w:rPr>
              <w:t>MBS 23</w:t>
            </w:r>
          </w:p>
        </w:tc>
        <w:tc>
          <w:tcPr>
            <w:tcW w:w="548" w:type="pct"/>
            <w:noWrap/>
            <w:hideMark/>
          </w:tcPr>
          <w:p w14:paraId="6032514F" w14:textId="77777777" w:rsidR="00186534" w:rsidRPr="00186534" w:rsidRDefault="00186534" w:rsidP="00186534">
            <w:pPr>
              <w:pStyle w:val="Tabletext1"/>
              <w:rPr>
                <w:rFonts w:cs="Calibri"/>
                <w:color w:val="000000"/>
              </w:rPr>
            </w:pPr>
            <w:r w:rsidRPr="00186534">
              <w:rPr>
                <w:rFonts w:cs="Calibri"/>
                <w:color w:val="000000"/>
              </w:rPr>
              <w:t>2.5</w:t>
            </w:r>
          </w:p>
        </w:tc>
        <w:tc>
          <w:tcPr>
            <w:tcW w:w="549" w:type="pct"/>
            <w:noWrap/>
            <w:hideMark/>
          </w:tcPr>
          <w:p w14:paraId="05661E8E" w14:textId="77777777" w:rsidR="00186534" w:rsidRPr="00186534" w:rsidRDefault="00186534" w:rsidP="00186534">
            <w:pPr>
              <w:pStyle w:val="Tabletext1"/>
              <w:rPr>
                <w:rFonts w:cs="Calibri"/>
                <w:color w:val="000000"/>
              </w:rPr>
            </w:pPr>
            <w:r w:rsidRPr="00186534">
              <w:rPr>
                <w:rFonts w:cs="Calibri"/>
                <w:color w:val="000000"/>
              </w:rPr>
              <w:t>$96.88</w:t>
            </w:r>
          </w:p>
        </w:tc>
      </w:tr>
      <w:tr w:rsidR="00186534" w:rsidRPr="00186534" w14:paraId="204C2E44" w14:textId="77777777" w:rsidTr="00CD21A4">
        <w:trPr>
          <w:trHeight w:val="300"/>
        </w:trPr>
        <w:tc>
          <w:tcPr>
            <w:tcW w:w="1619" w:type="pct"/>
            <w:noWrap/>
            <w:hideMark/>
          </w:tcPr>
          <w:p w14:paraId="037EA5B0" w14:textId="77777777" w:rsidR="00186534" w:rsidRPr="00186534" w:rsidRDefault="00186534" w:rsidP="00186534">
            <w:pPr>
              <w:pStyle w:val="Tabletext1"/>
              <w:rPr>
                <w:rFonts w:cs="Calibri"/>
                <w:color w:val="000000"/>
              </w:rPr>
            </w:pPr>
            <w:r w:rsidRPr="00186534">
              <w:rPr>
                <w:rFonts w:cs="Calibri"/>
                <w:color w:val="000000"/>
              </w:rPr>
              <w:t>Pathology tests - liver and renal function</w:t>
            </w:r>
          </w:p>
        </w:tc>
        <w:tc>
          <w:tcPr>
            <w:tcW w:w="513" w:type="pct"/>
            <w:noWrap/>
            <w:hideMark/>
          </w:tcPr>
          <w:p w14:paraId="2CA70EFB" w14:textId="77777777" w:rsidR="00186534" w:rsidRPr="00186534" w:rsidRDefault="00186534" w:rsidP="00186534">
            <w:pPr>
              <w:pStyle w:val="Tabletext1"/>
              <w:rPr>
                <w:rFonts w:cs="Calibri"/>
                <w:color w:val="000000"/>
              </w:rPr>
            </w:pPr>
            <w:r w:rsidRPr="00186534">
              <w:rPr>
                <w:rFonts w:cs="Calibri"/>
                <w:color w:val="000000"/>
              </w:rPr>
              <w:t>$17.70</w:t>
            </w:r>
          </w:p>
        </w:tc>
        <w:tc>
          <w:tcPr>
            <w:tcW w:w="1771" w:type="pct"/>
            <w:noWrap/>
            <w:hideMark/>
          </w:tcPr>
          <w:p w14:paraId="1FF675F2" w14:textId="77777777" w:rsidR="00186534" w:rsidRPr="00186534" w:rsidRDefault="00186534" w:rsidP="00186534">
            <w:pPr>
              <w:pStyle w:val="Tabletext1"/>
              <w:rPr>
                <w:rFonts w:cs="Calibri"/>
                <w:color w:val="000000"/>
              </w:rPr>
            </w:pPr>
            <w:r w:rsidRPr="00186534">
              <w:rPr>
                <w:rFonts w:cs="Calibri"/>
                <w:color w:val="000000"/>
              </w:rPr>
              <w:t>MBS 66512</w:t>
            </w:r>
          </w:p>
        </w:tc>
        <w:tc>
          <w:tcPr>
            <w:tcW w:w="548" w:type="pct"/>
            <w:noWrap/>
            <w:hideMark/>
          </w:tcPr>
          <w:p w14:paraId="4D1798AF" w14:textId="77777777" w:rsidR="00186534" w:rsidRPr="00186534" w:rsidRDefault="00186534" w:rsidP="00186534">
            <w:pPr>
              <w:pStyle w:val="Tabletext1"/>
              <w:rPr>
                <w:rFonts w:cs="Calibri"/>
                <w:color w:val="000000"/>
              </w:rPr>
            </w:pPr>
            <w:r w:rsidRPr="00186534">
              <w:rPr>
                <w:rFonts w:cs="Calibri"/>
                <w:color w:val="000000"/>
              </w:rPr>
              <w:t>2</w:t>
            </w:r>
          </w:p>
        </w:tc>
        <w:tc>
          <w:tcPr>
            <w:tcW w:w="549" w:type="pct"/>
            <w:noWrap/>
            <w:hideMark/>
          </w:tcPr>
          <w:p w14:paraId="1D494E43" w14:textId="77777777" w:rsidR="00186534" w:rsidRPr="00186534" w:rsidRDefault="00186534" w:rsidP="00186534">
            <w:pPr>
              <w:pStyle w:val="Tabletext1"/>
              <w:rPr>
                <w:rFonts w:cs="Calibri"/>
                <w:color w:val="000000"/>
              </w:rPr>
            </w:pPr>
            <w:r w:rsidRPr="00186534">
              <w:rPr>
                <w:rFonts w:cs="Calibri"/>
                <w:color w:val="000000"/>
              </w:rPr>
              <w:t>$35.40</w:t>
            </w:r>
          </w:p>
        </w:tc>
      </w:tr>
      <w:tr w:rsidR="00186534" w:rsidRPr="00186534" w14:paraId="328CBE2E" w14:textId="77777777" w:rsidTr="00CD21A4">
        <w:trPr>
          <w:trHeight w:val="300"/>
        </w:trPr>
        <w:tc>
          <w:tcPr>
            <w:tcW w:w="1619" w:type="pct"/>
            <w:noWrap/>
            <w:hideMark/>
          </w:tcPr>
          <w:p w14:paraId="2597BCF3" w14:textId="77777777" w:rsidR="00186534" w:rsidRPr="00186534" w:rsidRDefault="00186534" w:rsidP="00186534">
            <w:pPr>
              <w:pStyle w:val="Tabletext1"/>
              <w:rPr>
                <w:rFonts w:cs="Calibri"/>
                <w:color w:val="000000"/>
              </w:rPr>
            </w:pPr>
            <w:r w:rsidRPr="00186534">
              <w:rPr>
                <w:rFonts w:cs="Calibri"/>
                <w:color w:val="000000"/>
              </w:rPr>
              <w:t>Pathology tests - Blood examination</w:t>
            </w:r>
          </w:p>
        </w:tc>
        <w:tc>
          <w:tcPr>
            <w:tcW w:w="513" w:type="pct"/>
            <w:noWrap/>
            <w:hideMark/>
          </w:tcPr>
          <w:p w14:paraId="49386C60" w14:textId="77777777" w:rsidR="00186534" w:rsidRPr="00186534" w:rsidRDefault="00186534" w:rsidP="00186534">
            <w:pPr>
              <w:pStyle w:val="Tabletext1"/>
              <w:rPr>
                <w:rFonts w:cs="Calibri"/>
                <w:color w:val="000000"/>
              </w:rPr>
            </w:pPr>
            <w:r w:rsidRPr="00186534">
              <w:rPr>
                <w:rFonts w:cs="Calibri"/>
                <w:color w:val="000000"/>
              </w:rPr>
              <w:t>$16.95</w:t>
            </w:r>
          </w:p>
        </w:tc>
        <w:tc>
          <w:tcPr>
            <w:tcW w:w="1771" w:type="pct"/>
            <w:noWrap/>
            <w:hideMark/>
          </w:tcPr>
          <w:p w14:paraId="14A27E43" w14:textId="77777777" w:rsidR="00186534" w:rsidRPr="00186534" w:rsidRDefault="00186534" w:rsidP="00186534">
            <w:pPr>
              <w:pStyle w:val="Tabletext1"/>
              <w:rPr>
                <w:rFonts w:cs="Calibri"/>
                <w:color w:val="000000"/>
              </w:rPr>
            </w:pPr>
            <w:r w:rsidRPr="00186534">
              <w:rPr>
                <w:rFonts w:cs="Calibri"/>
                <w:color w:val="000000"/>
              </w:rPr>
              <w:t>MBS 65070</w:t>
            </w:r>
          </w:p>
        </w:tc>
        <w:tc>
          <w:tcPr>
            <w:tcW w:w="548" w:type="pct"/>
            <w:noWrap/>
            <w:hideMark/>
          </w:tcPr>
          <w:p w14:paraId="38D28C95" w14:textId="77777777" w:rsidR="00186534" w:rsidRPr="00186534" w:rsidRDefault="00186534" w:rsidP="00186534">
            <w:pPr>
              <w:pStyle w:val="Tabletext1"/>
              <w:rPr>
                <w:rFonts w:cs="Calibri"/>
                <w:color w:val="000000"/>
              </w:rPr>
            </w:pPr>
            <w:r w:rsidRPr="00186534">
              <w:rPr>
                <w:rFonts w:cs="Calibri"/>
                <w:color w:val="000000"/>
              </w:rPr>
              <w:t>2</w:t>
            </w:r>
          </w:p>
        </w:tc>
        <w:tc>
          <w:tcPr>
            <w:tcW w:w="549" w:type="pct"/>
            <w:noWrap/>
            <w:hideMark/>
          </w:tcPr>
          <w:p w14:paraId="00680B78" w14:textId="77777777" w:rsidR="00186534" w:rsidRPr="00186534" w:rsidRDefault="00186534" w:rsidP="00186534">
            <w:pPr>
              <w:pStyle w:val="Tabletext1"/>
              <w:rPr>
                <w:rFonts w:cs="Calibri"/>
                <w:color w:val="000000"/>
              </w:rPr>
            </w:pPr>
            <w:r w:rsidRPr="00186534">
              <w:rPr>
                <w:rFonts w:cs="Calibri"/>
                <w:color w:val="000000"/>
              </w:rPr>
              <w:t>$33.90</w:t>
            </w:r>
          </w:p>
        </w:tc>
      </w:tr>
      <w:tr w:rsidR="00186534" w:rsidRPr="00186534" w14:paraId="07679010" w14:textId="77777777" w:rsidTr="00CD21A4">
        <w:trPr>
          <w:trHeight w:val="300"/>
        </w:trPr>
        <w:tc>
          <w:tcPr>
            <w:tcW w:w="1619" w:type="pct"/>
            <w:noWrap/>
            <w:hideMark/>
          </w:tcPr>
          <w:p w14:paraId="5C68BE68" w14:textId="77777777" w:rsidR="00186534" w:rsidRPr="00186534" w:rsidRDefault="00186534" w:rsidP="00186534">
            <w:pPr>
              <w:pStyle w:val="Tabletext1"/>
              <w:rPr>
                <w:rFonts w:cs="Calibri"/>
                <w:color w:val="000000"/>
              </w:rPr>
            </w:pPr>
            <w:r w:rsidRPr="00186534">
              <w:rPr>
                <w:rFonts w:cs="Calibri"/>
                <w:color w:val="000000"/>
              </w:rPr>
              <w:t>Vitamin D</w:t>
            </w:r>
          </w:p>
        </w:tc>
        <w:tc>
          <w:tcPr>
            <w:tcW w:w="513" w:type="pct"/>
            <w:noWrap/>
            <w:hideMark/>
          </w:tcPr>
          <w:p w14:paraId="395D7FE3" w14:textId="77777777" w:rsidR="00186534" w:rsidRPr="00186534" w:rsidRDefault="00186534" w:rsidP="00186534">
            <w:pPr>
              <w:pStyle w:val="Tabletext1"/>
              <w:rPr>
                <w:rFonts w:cs="Calibri"/>
                <w:color w:val="000000"/>
              </w:rPr>
            </w:pPr>
            <w:r w:rsidRPr="00186534">
              <w:rPr>
                <w:rFonts w:cs="Calibri"/>
                <w:color w:val="000000"/>
              </w:rPr>
              <w:t>$30.05</w:t>
            </w:r>
          </w:p>
        </w:tc>
        <w:tc>
          <w:tcPr>
            <w:tcW w:w="1771" w:type="pct"/>
            <w:noWrap/>
            <w:hideMark/>
          </w:tcPr>
          <w:p w14:paraId="52FFF4B7" w14:textId="77777777" w:rsidR="00186534" w:rsidRPr="00186534" w:rsidRDefault="00186534" w:rsidP="00186534">
            <w:pPr>
              <w:pStyle w:val="Tabletext1"/>
              <w:rPr>
                <w:rFonts w:cs="Calibri"/>
                <w:color w:val="000000"/>
              </w:rPr>
            </w:pPr>
            <w:r w:rsidRPr="00186534">
              <w:rPr>
                <w:rFonts w:cs="Calibri"/>
                <w:color w:val="000000"/>
              </w:rPr>
              <w:t>MBS 66833</w:t>
            </w:r>
          </w:p>
        </w:tc>
        <w:tc>
          <w:tcPr>
            <w:tcW w:w="548" w:type="pct"/>
            <w:noWrap/>
            <w:hideMark/>
          </w:tcPr>
          <w:p w14:paraId="405BF4BC" w14:textId="77777777" w:rsidR="00186534" w:rsidRPr="00186534" w:rsidRDefault="00186534" w:rsidP="00186534">
            <w:pPr>
              <w:pStyle w:val="Tabletext1"/>
              <w:rPr>
                <w:rFonts w:cs="Calibri"/>
                <w:color w:val="000000"/>
              </w:rPr>
            </w:pPr>
            <w:r w:rsidRPr="00186534">
              <w:rPr>
                <w:rFonts w:cs="Calibri"/>
                <w:color w:val="000000"/>
              </w:rPr>
              <w:t>1</w:t>
            </w:r>
          </w:p>
        </w:tc>
        <w:tc>
          <w:tcPr>
            <w:tcW w:w="549" w:type="pct"/>
            <w:noWrap/>
            <w:hideMark/>
          </w:tcPr>
          <w:p w14:paraId="22C8AB7D" w14:textId="77777777" w:rsidR="00186534" w:rsidRPr="00186534" w:rsidRDefault="00186534" w:rsidP="00186534">
            <w:pPr>
              <w:pStyle w:val="Tabletext1"/>
              <w:rPr>
                <w:rFonts w:cs="Calibri"/>
                <w:color w:val="000000"/>
              </w:rPr>
            </w:pPr>
            <w:r w:rsidRPr="00186534">
              <w:rPr>
                <w:rFonts w:cs="Calibri"/>
                <w:color w:val="000000"/>
              </w:rPr>
              <w:t>$30.05</w:t>
            </w:r>
          </w:p>
        </w:tc>
      </w:tr>
      <w:tr w:rsidR="00186534" w:rsidRPr="00186534" w14:paraId="148117E5" w14:textId="77777777" w:rsidTr="00CD21A4">
        <w:trPr>
          <w:trHeight w:val="300"/>
        </w:trPr>
        <w:tc>
          <w:tcPr>
            <w:tcW w:w="1619" w:type="pct"/>
            <w:tcBorders>
              <w:bottom w:val="single" w:sz="4" w:space="0" w:color="auto"/>
            </w:tcBorders>
            <w:noWrap/>
            <w:hideMark/>
          </w:tcPr>
          <w:p w14:paraId="2B0E6B63" w14:textId="77777777" w:rsidR="00186534" w:rsidRPr="00186534" w:rsidRDefault="00186534" w:rsidP="00186534">
            <w:pPr>
              <w:pStyle w:val="Tabletext1"/>
              <w:rPr>
                <w:rFonts w:cs="Calibri"/>
                <w:color w:val="000000"/>
              </w:rPr>
            </w:pPr>
            <w:r w:rsidRPr="00186534">
              <w:rPr>
                <w:rFonts w:cs="Calibri"/>
                <w:color w:val="000000"/>
              </w:rPr>
              <w:t>DXA scan</w:t>
            </w:r>
          </w:p>
        </w:tc>
        <w:tc>
          <w:tcPr>
            <w:tcW w:w="513" w:type="pct"/>
            <w:tcBorders>
              <w:bottom w:val="single" w:sz="4" w:space="0" w:color="auto"/>
            </w:tcBorders>
            <w:noWrap/>
            <w:hideMark/>
          </w:tcPr>
          <w:p w14:paraId="633A89EF" w14:textId="77777777" w:rsidR="00186534" w:rsidRPr="00186534" w:rsidRDefault="00186534" w:rsidP="00186534">
            <w:pPr>
              <w:pStyle w:val="Tabletext1"/>
              <w:rPr>
                <w:rFonts w:cs="Calibri"/>
                <w:color w:val="000000"/>
              </w:rPr>
            </w:pPr>
            <w:r w:rsidRPr="00186534">
              <w:rPr>
                <w:rFonts w:cs="Calibri"/>
                <w:color w:val="000000"/>
              </w:rPr>
              <w:t>$105.60</w:t>
            </w:r>
          </w:p>
        </w:tc>
        <w:tc>
          <w:tcPr>
            <w:tcW w:w="1771" w:type="pct"/>
            <w:tcBorders>
              <w:bottom w:val="single" w:sz="4" w:space="0" w:color="auto"/>
            </w:tcBorders>
            <w:noWrap/>
            <w:hideMark/>
          </w:tcPr>
          <w:p w14:paraId="57CA6EEA" w14:textId="77777777" w:rsidR="00186534" w:rsidRPr="00186534" w:rsidRDefault="00186534" w:rsidP="00186534">
            <w:pPr>
              <w:pStyle w:val="Tabletext1"/>
              <w:rPr>
                <w:rFonts w:cs="Calibri"/>
                <w:color w:val="000000"/>
              </w:rPr>
            </w:pPr>
            <w:r w:rsidRPr="00186534">
              <w:rPr>
                <w:rFonts w:cs="Calibri"/>
                <w:color w:val="000000"/>
              </w:rPr>
              <w:t>MBS 12312</w:t>
            </w:r>
            <w:r>
              <w:rPr>
                <w:rFonts w:cs="Calibri"/>
                <w:color w:val="000000"/>
              </w:rPr>
              <w:t xml:space="preserve"> (once every three years)</w:t>
            </w:r>
          </w:p>
        </w:tc>
        <w:tc>
          <w:tcPr>
            <w:tcW w:w="548" w:type="pct"/>
            <w:tcBorders>
              <w:bottom w:val="single" w:sz="4" w:space="0" w:color="auto"/>
            </w:tcBorders>
            <w:noWrap/>
            <w:hideMark/>
          </w:tcPr>
          <w:p w14:paraId="0C0DDFBA" w14:textId="77777777" w:rsidR="00186534" w:rsidRPr="00186534" w:rsidRDefault="00186534" w:rsidP="00186534">
            <w:pPr>
              <w:pStyle w:val="Tabletext1"/>
              <w:rPr>
                <w:rFonts w:cs="Calibri"/>
                <w:color w:val="000000"/>
              </w:rPr>
            </w:pPr>
            <w:r w:rsidRPr="00186534">
              <w:rPr>
                <w:rFonts w:cs="Calibri"/>
                <w:color w:val="000000"/>
              </w:rPr>
              <w:t>0.33</w:t>
            </w:r>
          </w:p>
        </w:tc>
        <w:tc>
          <w:tcPr>
            <w:tcW w:w="549" w:type="pct"/>
            <w:tcBorders>
              <w:bottom w:val="single" w:sz="4" w:space="0" w:color="auto"/>
            </w:tcBorders>
            <w:noWrap/>
            <w:hideMark/>
          </w:tcPr>
          <w:p w14:paraId="0B4C9873" w14:textId="77777777" w:rsidR="00186534" w:rsidRPr="00186534" w:rsidRDefault="00186534" w:rsidP="00186534">
            <w:pPr>
              <w:pStyle w:val="Tabletext1"/>
              <w:rPr>
                <w:rFonts w:cs="Calibri"/>
                <w:color w:val="000000"/>
              </w:rPr>
            </w:pPr>
            <w:r w:rsidRPr="00186534">
              <w:rPr>
                <w:rFonts w:cs="Calibri"/>
                <w:color w:val="000000"/>
              </w:rPr>
              <w:t>$34.85</w:t>
            </w:r>
          </w:p>
        </w:tc>
      </w:tr>
      <w:tr w:rsidR="00CD21A4" w:rsidRPr="00186534" w14:paraId="5197FB80" w14:textId="77777777" w:rsidTr="00CD21A4">
        <w:trPr>
          <w:trHeight w:val="300"/>
        </w:trPr>
        <w:tc>
          <w:tcPr>
            <w:tcW w:w="1619" w:type="pct"/>
            <w:tcBorders>
              <w:bottom w:val="nil"/>
              <w:right w:val="nil"/>
            </w:tcBorders>
            <w:noWrap/>
            <w:hideMark/>
          </w:tcPr>
          <w:p w14:paraId="377E74CC" w14:textId="77777777" w:rsidR="00CD21A4" w:rsidRPr="00CD21A4" w:rsidRDefault="00CD21A4" w:rsidP="00CD21A4">
            <w:pPr>
              <w:spacing w:after="0" w:line="240" w:lineRule="auto"/>
              <w:rPr>
                <w:rFonts w:ascii="Arial Narrow" w:hAnsi="Arial Narrow" w:cs="Calibri"/>
                <w:color w:val="000000"/>
                <w:sz w:val="20"/>
                <w:szCs w:val="20"/>
                <w:vertAlign w:val="superscript"/>
              </w:rPr>
            </w:pPr>
            <w:r>
              <w:rPr>
                <w:rFonts w:ascii="Arial Narrow" w:hAnsi="Arial Narrow" w:cs="Calibri"/>
                <w:color w:val="000000"/>
                <w:sz w:val="20"/>
                <w:szCs w:val="20"/>
              </w:rPr>
              <w:t>Denosumab + Calcium + Vitamin D</w:t>
            </w:r>
          </w:p>
          <w:p w14:paraId="09539054" w14:textId="2604FD47" w:rsidR="00186534" w:rsidRPr="00186534" w:rsidRDefault="00186534" w:rsidP="00186534">
            <w:pPr>
              <w:pStyle w:val="Tabletext1"/>
              <w:rPr>
                <w:rFonts w:cs="Calibri"/>
                <w:color w:val="000000"/>
              </w:rPr>
            </w:pPr>
          </w:p>
        </w:tc>
        <w:tc>
          <w:tcPr>
            <w:tcW w:w="513" w:type="pct"/>
            <w:tcBorders>
              <w:left w:val="nil"/>
              <w:bottom w:val="nil"/>
              <w:right w:val="nil"/>
            </w:tcBorders>
            <w:noWrap/>
            <w:hideMark/>
          </w:tcPr>
          <w:p w14:paraId="65D48E4D" w14:textId="287552DA" w:rsidR="00186534" w:rsidRPr="00186534" w:rsidRDefault="00186534" w:rsidP="00CD21A4">
            <w:pPr>
              <w:pStyle w:val="Tabletext1"/>
              <w:rPr>
                <w:rFonts w:cs="Calibri"/>
                <w:color w:val="000000"/>
              </w:rPr>
            </w:pPr>
            <w:r w:rsidRPr="00186534">
              <w:rPr>
                <w:rFonts w:cs="Calibri"/>
                <w:color w:val="000000"/>
              </w:rPr>
              <w:t>$</w:t>
            </w:r>
            <w:r w:rsidR="00CD21A4">
              <w:rPr>
                <w:rFonts w:cs="Calibri"/>
                <w:color w:val="000000"/>
              </w:rPr>
              <w:t>641.79</w:t>
            </w:r>
          </w:p>
        </w:tc>
        <w:tc>
          <w:tcPr>
            <w:tcW w:w="1771" w:type="pct"/>
            <w:tcBorders>
              <w:left w:val="nil"/>
              <w:bottom w:val="nil"/>
              <w:right w:val="nil"/>
            </w:tcBorders>
            <w:noWrap/>
            <w:hideMark/>
          </w:tcPr>
          <w:p w14:paraId="26640B1F" w14:textId="37F848AB" w:rsidR="00186534" w:rsidRPr="00186534" w:rsidRDefault="00CD21A4" w:rsidP="00186534">
            <w:pPr>
              <w:pStyle w:val="Tabletext1"/>
              <w:rPr>
                <w:rFonts w:cs="Calibri"/>
                <w:color w:val="000000"/>
              </w:rPr>
            </w:pPr>
            <w:r w:rsidRPr="00CD21A4">
              <w:rPr>
                <w:rFonts w:cs="Calibri"/>
                <w:color w:val="000000"/>
              </w:rPr>
              <w:t>PBS 5457F, 11726E, Vit D</w:t>
            </w:r>
          </w:p>
        </w:tc>
        <w:tc>
          <w:tcPr>
            <w:tcW w:w="548" w:type="pct"/>
            <w:tcBorders>
              <w:left w:val="nil"/>
              <w:bottom w:val="nil"/>
              <w:right w:val="nil"/>
            </w:tcBorders>
            <w:noWrap/>
            <w:hideMark/>
          </w:tcPr>
          <w:p w14:paraId="670B745C" w14:textId="4B0888EF" w:rsidR="00186534" w:rsidRPr="00186534" w:rsidRDefault="00CD21A4" w:rsidP="00186534">
            <w:pPr>
              <w:pStyle w:val="Tabletext1"/>
              <w:rPr>
                <w:rFonts w:cs="Calibri"/>
                <w:color w:val="000000"/>
              </w:rPr>
            </w:pPr>
            <w:r>
              <w:rPr>
                <w:rFonts w:cs="Calibri"/>
                <w:color w:val="000000"/>
              </w:rPr>
              <w:t>1</w:t>
            </w:r>
          </w:p>
        </w:tc>
        <w:tc>
          <w:tcPr>
            <w:tcW w:w="549" w:type="pct"/>
            <w:tcBorders>
              <w:left w:val="nil"/>
              <w:bottom w:val="nil"/>
            </w:tcBorders>
            <w:noWrap/>
            <w:hideMark/>
          </w:tcPr>
          <w:p w14:paraId="3D7BCDEE" w14:textId="217A173C" w:rsidR="00186534" w:rsidRPr="00186534" w:rsidRDefault="00186534" w:rsidP="00CD21A4">
            <w:pPr>
              <w:pStyle w:val="Tabletext1"/>
              <w:rPr>
                <w:rFonts w:cs="Calibri"/>
                <w:color w:val="000000"/>
              </w:rPr>
            </w:pPr>
            <w:r w:rsidRPr="00186534">
              <w:rPr>
                <w:rFonts w:cs="Calibri"/>
                <w:color w:val="000000"/>
              </w:rPr>
              <w:t>$</w:t>
            </w:r>
            <w:r w:rsidR="00CD21A4">
              <w:rPr>
                <w:rFonts w:cs="Calibri"/>
                <w:color w:val="000000"/>
              </w:rPr>
              <w:t>641.79</w:t>
            </w:r>
          </w:p>
        </w:tc>
      </w:tr>
      <w:tr w:rsidR="00CD21A4" w:rsidRPr="00186534" w14:paraId="0C885110" w14:textId="77777777" w:rsidTr="00CD21A4">
        <w:trPr>
          <w:trHeight w:val="300"/>
        </w:trPr>
        <w:tc>
          <w:tcPr>
            <w:tcW w:w="1619" w:type="pct"/>
            <w:tcBorders>
              <w:top w:val="nil"/>
              <w:bottom w:val="nil"/>
              <w:right w:val="nil"/>
            </w:tcBorders>
            <w:noWrap/>
          </w:tcPr>
          <w:p w14:paraId="4E9847BF" w14:textId="77777777" w:rsidR="00CD21A4" w:rsidRDefault="00CD21A4" w:rsidP="00B637B2">
            <w:pPr>
              <w:pStyle w:val="Tabletext1"/>
              <w:ind w:left="567"/>
              <w:rPr>
                <w:rFonts w:cs="Calibri"/>
                <w:color w:val="000000"/>
              </w:rPr>
            </w:pPr>
            <w:r w:rsidRPr="00F016EA">
              <w:t>Denosumab</w:t>
            </w:r>
          </w:p>
        </w:tc>
        <w:tc>
          <w:tcPr>
            <w:tcW w:w="513" w:type="pct"/>
            <w:tcBorders>
              <w:top w:val="nil"/>
              <w:left w:val="nil"/>
              <w:bottom w:val="nil"/>
              <w:right w:val="nil"/>
            </w:tcBorders>
            <w:noWrap/>
          </w:tcPr>
          <w:p w14:paraId="430559F5" w14:textId="77777777" w:rsidR="00CD21A4" w:rsidRPr="00186534" w:rsidRDefault="00CD21A4" w:rsidP="00CD21A4">
            <w:pPr>
              <w:pStyle w:val="Tabletext1"/>
              <w:rPr>
                <w:rFonts w:cs="Calibri"/>
                <w:color w:val="000000"/>
              </w:rPr>
            </w:pPr>
            <w:r w:rsidRPr="00F016EA">
              <w:t>$277.58</w:t>
            </w:r>
          </w:p>
        </w:tc>
        <w:tc>
          <w:tcPr>
            <w:tcW w:w="1771" w:type="pct"/>
            <w:tcBorders>
              <w:top w:val="nil"/>
              <w:left w:val="nil"/>
              <w:bottom w:val="nil"/>
              <w:right w:val="nil"/>
            </w:tcBorders>
            <w:noWrap/>
          </w:tcPr>
          <w:p w14:paraId="3F58D13D" w14:textId="77777777" w:rsidR="00CD21A4" w:rsidRPr="00CD21A4" w:rsidRDefault="00CD21A4" w:rsidP="00CD21A4">
            <w:pPr>
              <w:pStyle w:val="Tabletext1"/>
              <w:rPr>
                <w:rFonts w:cs="Calibri"/>
                <w:color w:val="000000"/>
              </w:rPr>
            </w:pPr>
            <w:r w:rsidRPr="00F016EA">
              <w:t>PBS 5457F (denosumab 60 mg/mL injection, 1 mL syringe</w:t>
            </w:r>
            <w:r>
              <w:t>,</w:t>
            </w:r>
            <w:r w:rsidRPr="00F016EA">
              <w:t xml:space="preserve"> once every 6 months)</w:t>
            </w:r>
          </w:p>
        </w:tc>
        <w:tc>
          <w:tcPr>
            <w:tcW w:w="548" w:type="pct"/>
            <w:tcBorders>
              <w:top w:val="nil"/>
              <w:left w:val="nil"/>
              <w:bottom w:val="nil"/>
              <w:right w:val="nil"/>
            </w:tcBorders>
            <w:noWrap/>
          </w:tcPr>
          <w:p w14:paraId="4D5FE4B4" w14:textId="77777777" w:rsidR="00CD21A4" w:rsidRPr="00186534" w:rsidDel="00CD21A4" w:rsidRDefault="00CD21A4" w:rsidP="00CD21A4">
            <w:pPr>
              <w:pStyle w:val="Tabletext1"/>
              <w:rPr>
                <w:rFonts w:cs="Calibri"/>
                <w:color w:val="000000"/>
              </w:rPr>
            </w:pPr>
            <w:r>
              <w:rPr>
                <w:rFonts w:cs="Calibri"/>
                <w:color w:val="000000"/>
              </w:rPr>
              <w:t>2</w:t>
            </w:r>
          </w:p>
        </w:tc>
        <w:tc>
          <w:tcPr>
            <w:tcW w:w="549" w:type="pct"/>
            <w:tcBorders>
              <w:top w:val="nil"/>
              <w:left w:val="nil"/>
              <w:bottom w:val="nil"/>
            </w:tcBorders>
            <w:noWrap/>
          </w:tcPr>
          <w:p w14:paraId="72D5BB88" w14:textId="77777777" w:rsidR="00CD21A4" w:rsidRPr="00186534" w:rsidRDefault="00CD21A4" w:rsidP="00CD21A4">
            <w:pPr>
              <w:pStyle w:val="Tabletext1"/>
              <w:rPr>
                <w:rFonts w:cs="Calibri"/>
                <w:color w:val="000000"/>
              </w:rPr>
            </w:pPr>
            <w:r>
              <w:rPr>
                <w:rFonts w:cs="Calibri"/>
                <w:color w:val="000000"/>
              </w:rPr>
              <w:t>$555.16</w:t>
            </w:r>
          </w:p>
        </w:tc>
      </w:tr>
      <w:tr w:rsidR="00CD21A4" w:rsidRPr="00186534" w14:paraId="02906B51" w14:textId="77777777" w:rsidTr="00CD21A4">
        <w:trPr>
          <w:trHeight w:val="300"/>
        </w:trPr>
        <w:tc>
          <w:tcPr>
            <w:tcW w:w="1619" w:type="pct"/>
            <w:tcBorders>
              <w:top w:val="nil"/>
              <w:bottom w:val="nil"/>
              <w:right w:val="nil"/>
            </w:tcBorders>
            <w:noWrap/>
          </w:tcPr>
          <w:p w14:paraId="649A81A4" w14:textId="77777777" w:rsidR="00CD21A4" w:rsidRDefault="00CD21A4" w:rsidP="00B637B2">
            <w:pPr>
              <w:pStyle w:val="Tabletext1"/>
              <w:ind w:left="567"/>
              <w:rPr>
                <w:rFonts w:cs="Calibri"/>
                <w:color w:val="000000"/>
              </w:rPr>
            </w:pPr>
            <w:r>
              <w:t>Calcium supplement</w:t>
            </w:r>
          </w:p>
        </w:tc>
        <w:tc>
          <w:tcPr>
            <w:tcW w:w="513" w:type="pct"/>
            <w:tcBorders>
              <w:top w:val="nil"/>
              <w:left w:val="nil"/>
              <w:bottom w:val="nil"/>
              <w:right w:val="nil"/>
            </w:tcBorders>
            <w:noWrap/>
          </w:tcPr>
          <w:p w14:paraId="166C5E93" w14:textId="77777777" w:rsidR="00CD21A4" w:rsidRPr="00186534" w:rsidRDefault="00CD21A4" w:rsidP="00CD21A4">
            <w:pPr>
              <w:pStyle w:val="Tabletext1"/>
              <w:rPr>
                <w:rFonts w:cs="Calibri"/>
                <w:color w:val="000000"/>
              </w:rPr>
            </w:pPr>
            <w:r w:rsidRPr="00F016EA">
              <w:t>$27.88</w:t>
            </w:r>
          </w:p>
        </w:tc>
        <w:tc>
          <w:tcPr>
            <w:tcW w:w="1771" w:type="pct"/>
            <w:tcBorders>
              <w:top w:val="nil"/>
              <w:left w:val="nil"/>
              <w:bottom w:val="nil"/>
              <w:right w:val="nil"/>
            </w:tcBorders>
            <w:noWrap/>
          </w:tcPr>
          <w:p w14:paraId="5674F9C1" w14:textId="77777777" w:rsidR="00CD21A4" w:rsidRPr="00CD21A4" w:rsidRDefault="00CD21A4" w:rsidP="00CD21A4">
            <w:pPr>
              <w:pStyle w:val="Tabletext1"/>
              <w:rPr>
                <w:rFonts w:cs="Calibri"/>
                <w:color w:val="000000"/>
              </w:rPr>
            </w:pPr>
            <w:r w:rsidRPr="00F016EA">
              <w:t>PBS 11726E (calcium carbonate 1.25g, calcium 500mg, 240 tablets</w:t>
            </w:r>
            <w:r>
              <w:t xml:space="preserve">; 2 tablets </w:t>
            </w:r>
            <w:r w:rsidRPr="00F016EA">
              <w:t>/day</w:t>
            </w:r>
          </w:p>
        </w:tc>
        <w:tc>
          <w:tcPr>
            <w:tcW w:w="548" w:type="pct"/>
            <w:tcBorders>
              <w:top w:val="nil"/>
              <w:left w:val="nil"/>
              <w:bottom w:val="nil"/>
              <w:right w:val="nil"/>
            </w:tcBorders>
            <w:noWrap/>
          </w:tcPr>
          <w:p w14:paraId="609E3E79" w14:textId="77777777" w:rsidR="00CD21A4" w:rsidRPr="00186534" w:rsidDel="00CD21A4" w:rsidRDefault="00CD21A4" w:rsidP="00CD21A4">
            <w:pPr>
              <w:pStyle w:val="Tabletext1"/>
              <w:rPr>
                <w:rFonts w:cs="Calibri"/>
                <w:color w:val="000000"/>
              </w:rPr>
            </w:pPr>
            <w:r>
              <w:rPr>
                <w:rFonts w:cs="Calibri"/>
                <w:color w:val="000000"/>
              </w:rPr>
              <w:t>3.04</w:t>
            </w:r>
          </w:p>
        </w:tc>
        <w:tc>
          <w:tcPr>
            <w:tcW w:w="549" w:type="pct"/>
            <w:tcBorders>
              <w:top w:val="nil"/>
              <w:left w:val="nil"/>
              <w:bottom w:val="nil"/>
            </w:tcBorders>
            <w:noWrap/>
          </w:tcPr>
          <w:p w14:paraId="31CF8E3C" w14:textId="77777777" w:rsidR="00CD21A4" w:rsidRPr="00186534" w:rsidRDefault="00CD21A4" w:rsidP="00CD21A4">
            <w:pPr>
              <w:pStyle w:val="Tabletext1"/>
              <w:rPr>
                <w:rFonts w:cs="Calibri"/>
                <w:color w:val="000000"/>
              </w:rPr>
            </w:pPr>
            <w:r>
              <w:rPr>
                <w:rFonts w:cs="Calibri"/>
                <w:color w:val="000000"/>
              </w:rPr>
              <w:t>$84.80</w:t>
            </w:r>
          </w:p>
        </w:tc>
      </w:tr>
      <w:tr w:rsidR="00CD21A4" w:rsidRPr="00186534" w14:paraId="2EFE66D4" w14:textId="77777777" w:rsidTr="00CD21A4">
        <w:trPr>
          <w:trHeight w:val="300"/>
        </w:trPr>
        <w:tc>
          <w:tcPr>
            <w:tcW w:w="1619" w:type="pct"/>
            <w:tcBorders>
              <w:top w:val="nil"/>
              <w:right w:val="nil"/>
            </w:tcBorders>
            <w:noWrap/>
          </w:tcPr>
          <w:p w14:paraId="7971BBE5" w14:textId="77777777" w:rsidR="00CD21A4" w:rsidRDefault="00CD21A4" w:rsidP="00B637B2">
            <w:pPr>
              <w:pStyle w:val="Tabletext1"/>
              <w:ind w:left="567"/>
              <w:rPr>
                <w:rFonts w:cs="Calibri"/>
                <w:color w:val="000000"/>
              </w:rPr>
            </w:pPr>
            <w:r w:rsidRPr="00F016EA">
              <w:t>Vitamin D</w:t>
            </w:r>
          </w:p>
        </w:tc>
        <w:tc>
          <w:tcPr>
            <w:tcW w:w="513" w:type="pct"/>
            <w:tcBorders>
              <w:top w:val="nil"/>
              <w:left w:val="nil"/>
              <w:right w:val="nil"/>
            </w:tcBorders>
            <w:noWrap/>
          </w:tcPr>
          <w:p w14:paraId="1B422640" w14:textId="77777777" w:rsidR="00CD21A4" w:rsidRPr="00186534" w:rsidRDefault="00CD21A4" w:rsidP="00CD21A4">
            <w:pPr>
              <w:pStyle w:val="Tabletext1"/>
              <w:rPr>
                <w:rFonts w:cs="Calibri"/>
                <w:color w:val="000000"/>
              </w:rPr>
            </w:pPr>
            <w:r w:rsidRPr="00F016EA">
              <w:t>$10.99</w:t>
            </w:r>
          </w:p>
        </w:tc>
        <w:tc>
          <w:tcPr>
            <w:tcW w:w="1771" w:type="pct"/>
            <w:tcBorders>
              <w:top w:val="nil"/>
              <w:left w:val="nil"/>
              <w:right w:val="nil"/>
            </w:tcBorders>
            <w:noWrap/>
          </w:tcPr>
          <w:p w14:paraId="53C21893" w14:textId="61CB99E2" w:rsidR="00CD21A4" w:rsidRPr="00CD21A4" w:rsidRDefault="00003BA5" w:rsidP="00CD21A4">
            <w:pPr>
              <w:pStyle w:val="Tabletext1"/>
              <w:rPr>
                <w:rFonts w:cs="Calibri"/>
                <w:color w:val="000000"/>
              </w:rPr>
            </w:pPr>
            <w:hyperlink r:id="rId70" w:history="1">
              <w:r w:rsidR="00CD21A4" w:rsidRPr="003A5C9A">
                <w:rPr>
                  <w:rStyle w:val="Hyperlink"/>
                </w:rPr>
                <w:t>https://www.chemistwarehouse.com.au/buy/51650/ostelin-vitamin-d3-1000iu---vitamin-d---60-capsules</w:t>
              </w:r>
            </w:hyperlink>
            <w:r w:rsidR="00CD21A4">
              <w:t xml:space="preserve">; </w:t>
            </w:r>
            <w:r w:rsidR="00CD21A4" w:rsidRPr="00F016EA">
              <w:t>1 tab</w:t>
            </w:r>
            <w:r w:rsidR="00CD21A4">
              <w:t>let</w:t>
            </w:r>
            <w:r w:rsidR="00CD21A4" w:rsidRPr="00F016EA">
              <w:t>/day</w:t>
            </w:r>
          </w:p>
        </w:tc>
        <w:tc>
          <w:tcPr>
            <w:tcW w:w="548" w:type="pct"/>
            <w:tcBorders>
              <w:top w:val="nil"/>
              <w:left w:val="nil"/>
              <w:right w:val="nil"/>
            </w:tcBorders>
            <w:noWrap/>
          </w:tcPr>
          <w:p w14:paraId="5835A980" w14:textId="77777777" w:rsidR="00CD21A4" w:rsidRPr="00186534" w:rsidDel="00CD21A4" w:rsidRDefault="00CD21A4" w:rsidP="00CD21A4">
            <w:pPr>
              <w:pStyle w:val="Tabletext1"/>
              <w:rPr>
                <w:rFonts w:cs="Calibri"/>
                <w:color w:val="000000"/>
              </w:rPr>
            </w:pPr>
            <w:r>
              <w:rPr>
                <w:rFonts w:cs="Calibri"/>
                <w:color w:val="000000"/>
              </w:rPr>
              <w:t>6</w:t>
            </w:r>
          </w:p>
        </w:tc>
        <w:tc>
          <w:tcPr>
            <w:tcW w:w="549" w:type="pct"/>
            <w:tcBorders>
              <w:top w:val="nil"/>
              <w:left w:val="nil"/>
            </w:tcBorders>
            <w:noWrap/>
          </w:tcPr>
          <w:p w14:paraId="1DB47522" w14:textId="77777777" w:rsidR="00CD21A4" w:rsidRPr="00186534" w:rsidRDefault="00CD21A4" w:rsidP="00CD21A4">
            <w:pPr>
              <w:pStyle w:val="Tabletext1"/>
              <w:rPr>
                <w:rFonts w:cs="Calibri"/>
                <w:color w:val="000000"/>
              </w:rPr>
            </w:pPr>
            <w:r>
              <w:rPr>
                <w:rFonts w:cs="Calibri"/>
                <w:color w:val="000000"/>
              </w:rPr>
              <w:t>$1.83</w:t>
            </w:r>
          </w:p>
        </w:tc>
      </w:tr>
      <w:tr w:rsidR="00186534" w:rsidRPr="00186534" w14:paraId="10593E8C" w14:textId="77777777" w:rsidTr="00CD21A4">
        <w:trPr>
          <w:trHeight w:val="300"/>
        </w:trPr>
        <w:tc>
          <w:tcPr>
            <w:tcW w:w="1619" w:type="pct"/>
            <w:noWrap/>
            <w:hideMark/>
          </w:tcPr>
          <w:p w14:paraId="70BBA5CF" w14:textId="77777777" w:rsidR="00186534" w:rsidRPr="00186534" w:rsidRDefault="00CD21A4" w:rsidP="00186534">
            <w:pPr>
              <w:pStyle w:val="Tabletext1"/>
              <w:rPr>
                <w:rFonts w:cs="Calibri"/>
                <w:color w:val="000000"/>
              </w:rPr>
            </w:pPr>
            <w:r>
              <w:rPr>
                <w:rFonts w:cs="Calibri"/>
                <w:color w:val="000000"/>
              </w:rPr>
              <w:t>Total cost</w:t>
            </w:r>
          </w:p>
        </w:tc>
        <w:tc>
          <w:tcPr>
            <w:tcW w:w="513" w:type="pct"/>
            <w:noWrap/>
            <w:hideMark/>
          </w:tcPr>
          <w:p w14:paraId="69D4EB63" w14:textId="77777777" w:rsidR="00186534" w:rsidRPr="00186534" w:rsidRDefault="00186534" w:rsidP="00186534">
            <w:pPr>
              <w:pStyle w:val="Tabletext1"/>
            </w:pPr>
          </w:p>
        </w:tc>
        <w:tc>
          <w:tcPr>
            <w:tcW w:w="1771" w:type="pct"/>
            <w:noWrap/>
            <w:hideMark/>
          </w:tcPr>
          <w:p w14:paraId="2857121A" w14:textId="77777777" w:rsidR="00186534" w:rsidRPr="00186534" w:rsidRDefault="00186534" w:rsidP="00186534">
            <w:pPr>
              <w:pStyle w:val="Tabletext1"/>
            </w:pPr>
          </w:p>
        </w:tc>
        <w:tc>
          <w:tcPr>
            <w:tcW w:w="548" w:type="pct"/>
            <w:noWrap/>
            <w:hideMark/>
          </w:tcPr>
          <w:p w14:paraId="2F5E40D2" w14:textId="77777777" w:rsidR="00186534" w:rsidRPr="00186534" w:rsidRDefault="00186534" w:rsidP="00186534">
            <w:pPr>
              <w:pStyle w:val="Tabletext1"/>
            </w:pPr>
          </w:p>
        </w:tc>
        <w:tc>
          <w:tcPr>
            <w:tcW w:w="549" w:type="pct"/>
            <w:noWrap/>
            <w:hideMark/>
          </w:tcPr>
          <w:p w14:paraId="4DE975CE" w14:textId="63DA2D8A" w:rsidR="00186534" w:rsidRPr="00186534" w:rsidRDefault="00186534" w:rsidP="00CD21A4">
            <w:pPr>
              <w:pStyle w:val="Tabletext1"/>
              <w:rPr>
                <w:rFonts w:cs="Calibri"/>
                <w:b/>
                <w:bCs/>
                <w:color w:val="000000"/>
              </w:rPr>
            </w:pPr>
            <w:r w:rsidRPr="00186534">
              <w:rPr>
                <w:rFonts w:cs="Calibri"/>
                <w:b/>
                <w:bCs/>
                <w:color w:val="000000"/>
              </w:rPr>
              <w:t>$</w:t>
            </w:r>
            <w:r w:rsidR="00CD21A4">
              <w:rPr>
                <w:rFonts w:cs="Calibri"/>
                <w:b/>
                <w:bCs/>
                <w:color w:val="000000"/>
              </w:rPr>
              <w:t>872.87</w:t>
            </w:r>
          </w:p>
        </w:tc>
      </w:tr>
    </w:tbl>
    <w:p w14:paraId="4AC14B1D" w14:textId="77777777" w:rsidR="00186534" w:rsidRDefault="00186534" w:rsidP="00186534">
      <w:pPr>
        <w:pStyle w:val="Tablenote"/>
        <w:rPr>
          <w:rStyle w:val="Hyperlink"/>
          <w:color w:val="auto"/>
          <w:u w:val="none"/>
        </w:rPr>
      </w:pPr>
      <w:r>
        <w:t xml:space="preserve">DXA = </w:t>
      </w:r>
      <w:r w:rsidRPr="00125D8C">
        <w:rPr>
          <w:rStyle w:val="Hyperlink"/>
          <w:color w:val="auto"/>
          <w:u w:val="none"/>
        </w:rPr>
        <w:t>dual-energy X-ray absorptiometry</w:t>
      </w:r>
      <w:r>
        <w:rPr>
          <w:rStyle w:val="Hyperlink"/>
          <w:color w:val="auto"/>
          <w:u w:val="none"/>
        </w:rPr>
        <w:t>;</w:t>
      </w:r>
      <w:r w:rsidRPr="00125D8C">
        <w:rPr>
          <w:rStyle w:val="Hyperlink"/>
          <w:color w:val="auto"/>
          <w:u w:val="none"/>
        </w:rPr>
        <w:t xml:space="preserve"> </w:t>
      </w:r>
      <w:r>
        <w:t xml:space="preserve">GP = General Practitioner; </w:t>
      </w:r>
      <w:r>
        <w:rPr>
          <w:rStyle w:val="Hyperlink"/>
          <w:color w:val="auto"/>
          <w:u w:val="none"/>
        </w:rPr>
        <w:t>MBS = Medicare Benefits Schedule; PBS = Pharmaceutical Benefits Schedule</w:t>
      </w:r>
    </w:p>
    <w:p w14:paraId="746B7199" w14:textId="77777777" w:rsidR="00A93C68" w:rsidRDefault="00A93C68" w:rsidP="00A93C68">
      <w:pPr>
        <w:pStyle w:val="Heading3"/>
        <w:rPr>
          <w:rFonts w:eastAsia="Calibri"/>
        </w:rPr>
      </w:pPr>
      <w:bookmarkStart w:id="554" w:name="_Toc69305632"/>
      <w:r>
        <w:rPr>
          <w:rFonts w:eastAsia="Calibri"/>
        </w:rPr>
        <w:t>Severe infections</w:t>
      </w:r>
      <w:bookmarkEnd w:id="554"/>
    </w:p>
    <w:p w14:paraId="58F1E128" w14:textId="2ECC05FC" w:rsidR="002C4FE0" w:rsidRDefault="002C4FE0" w:rsidP="002C4FE0">
      <w:pPr>
        <w:pStyle w:val="Caption"/>
      </w:pPr>
      <w:bookmarkStart w:id="555" w:name="_Ref66212832"/>
      <w:bookmarkStart w:id="556" w:name="_Toc69305725"/>
      <w:r>
        <w:t xml:space="preserve">Table </w:t>
      </w:r>
      <w:r w:rsidR="00003BA5">
        <w:fldChar w:fldCharType="begin"/>
      </w:r>
      <w:r w:rsidR="00003BA5">
        <w:instrText xml:space="preserve"> SEQ Table \* ARABIC </w:instrText>
      </w:r>
      <w:r w:rsidR="00003BA5">
        <w:fldChar w:fldCharType="separate"/>
      </w:r>
      <w:r w:rsidR="004B3EA2">
        <w:rPr>
          <w:noProof/>
        </w:rPr>
        <w:t>84</w:t>
      </w:r>
      <w:r w:rsidR="00003BA5">
        <w:rPr>
          <w:noProof/>
        </w:rPr>
        <w:fldChar w:fldCharType="end"/>
      </w:r>
      <w:bookmarkEnd w:id="555"/>
      <w:r>
        <w:tab/>
        <w:t>Estimated costs for managing severe infections</w:t>
      </w:r>
      <w:bookmarkEnd w:id="556"/>
    </w:p>
    <w:tbl>
      <w:tblPr>
        <w:tblStyle w:val="OPTUMTableNormal"/>
        <w:tblW w:w="5000" w:type="pct"/>
        <w:tblLook w:val="04A0" w:firstRow="1" w:lastRow="0" w:firstColumn="1" w:lastColumn="0" w:noHBand="0" w:noVBand="1"/>
        <w:tblCaption w:val="Estimated costs for managing severe infections"/>
        <w:tblDescription w:val="Estimated costs for managing severe infections"/>
      </w:tblPr>
      <w:tblGrid>
        <w:gridCol w:w="691"/>
        <w:gridCol w:w="5148"/>
        <w:gridCol w:w="1318"/>
        <w:gridCol w:w="1008"/>
        <w:gridCol w:w="851"/>
      </w:tblGrid>
      <w:tr w:rsidR="0076370F" w:rsidRPr="0076370F" w14:paraId="485263F5" w14:textId="77777777" w:rsidTr="00BB43B6">
        <w:trPr>
          <w:cnfStyle w:val="100000000000" w:firstRow="1" w:lastRow="0" w:firstColumn="0" w:lastColumn="0" w:oddVBand="0" w:evenVBand="0" w:oddHBand="0" w:evenHBand="0" w:firstRowFirstColumn="0" w:firstRowLastColumn="0" w:lastRowFirstColumn="0" w:lastRowLastColumn="0"/>
          <w:trHeight w:val="300"/>
          <w:tblHeader/>
        </w:trPr>
        <w:tc>
          <w:tcPr>
            <w:tcW w:w="383" w:type="pct"/>
            <w:noWrap/>
          </w:tcPr>
          <w:p w14:paraId="5257AEFF" w14:textId="77777777" w:rsidR="0076370F" w:rsidRPr="0076370F" w:rsidRDefault="0076370F" w:rsidP="0076370F">
            <w:pPr>
              <w:pStyle w:val="TableHeading"/>
            </w:pPr>
            <w:r>
              <w:t>Code</w:t>
            </w:r>
          </w:p>
        </w:tc>
        <w:tc>
          <w:tcPr>
            <w:tcW w:w="2855" w:type="pct"/>
            <w:noWrap/>
          </w:tcPr>
          <w:p w14:paraId="08E142F5" w14:textId="77777777" w:rsidR="0076370F" w:rsidRPr="0076370F" w:rsidRDefault="0076370F" w:rsidP="0076370F">
            <w:pPr>
              <w:pStyle w:val="TableHeading"/>
            </w:pPr>
            <w:r>
              <w:t>AR-DRG description</w:t>
            </w:r>
          </w:p>
        </w:tc>
        <w:tc>
          <w:tcPr>
            <w:tcW w:w="731" w:type="pct"/>
            <w:noWrap/>
          </w:tcPr>
          <w:p w14:paraId="44D26E12" w14:textId="77777777" w:rsidR="0076370F" w:rsidRPr="0076370F" w:rsidRDefault="0076370F" w:rsidP="0076370F">
            <w:pPr>
              <w:pStyle w:val="TableHeading"/>
            </w:pPr>
            <w:r>
              <w:t>Separations</w:t>
            </w:r>
          </w:p>
        </w:tc>
        <w:tc>
          <w:tcPr>
            <w:tcW w:w="559" w:type="pct"/>
            <w:noWrap/>
          </w:tcPr>
          <w:p w14:paraId="57D583CD" w14:textId="77777777" w:rsidR="0076370F" w:rsidRPr="0076370F" w:rsidRDefault="0076370F" w:rsidP="0076370F">
            <w:pPr>
              <w:pStyle w:val="TableHeading"/>
            </w:pPr>
            <w:r>
              <w:t>Cost</w:t>
            </w:r>
          </w:p>
        </w:tc>
        <w:tc>
          <w:tcPr>
            <w:tcW w:w="472" w:type="pct"/>
            <w:noWrap/>
          </w:tcPr>
          <w:p w14:paraId="352E3274" w14:textId="77777777" w:rsidR="0076370F" w:rsidRPr="0076370F" w:rsidRDefault="0076370F" w:rsidP="0076370F">
            <w:pPr>
              <w:pStyle w:val="TableHeading"/>
              <w:rPr>
                <w:rFonts w:cs="Calibri"/>
              </w:rPr>
            </w:pPr>
            <w:r>
              <w:rPr>
                <w:rFonts w:cs="Calibri"/>
              </w:rPr>
              <w:t>Weight</w:t>
            </w:r>
          </w:p>
        </w:tc>
      </w:tr>
      <w:tr w:rsidR="0076370F" w:rsidRPr="0076370F" w14:paraId="32F1A997" w14:textId="77777777" w:rsidTr="002C4FE0">
        <w:trPr>
          <w:trHeight w:val="300"/>
        </w:trPr>
        <w:tc>
          <w:tcPr>
            <w:tcW w:w="383" w:type="pct"/>
            <w:noWrap/>
          </w:tcPr>
          <w:p w14:paraId="1BD1835A" w14:textId="77777777" w:rsidR="0076370F" w:rsidRPr="0076370F" w:rsidRDefault="0076370F" w:rsidP="0076370F">
            <w:pPr>
              <w:pStyle w:val="Tabletext1"/>
            </w:pPr>
            <w:r w:rsidRPr="0076370F">
              <w:t>E62A</w:t>
            </w:r>
          </w:p>
        </w:tc>
        <w:tc>
          <w:tcPr>
            <w:tcW w:w="2855" w:type="pct"/>
            <w:noWrap/>
          </w:tcPr>
          <w:p w14:paraId="4FA8C2E6" w14:textId="77777777" w:rsidR="0076370F" w:rsidRPr="0076370F" w:rsidRDefault="0076370F" w:rsidP="0076370F">
            <w:pPr>
              <w:pStyle w:val="Tabletext1"/>
            </w:pPr>
            <w:r w:rsidRPr="0076370F">
              <w:t>Respiratory Infections and Inflammations, Major Complexity</w:t>
            </w:r>
          </w:p>
        </w:tc>
        <w:tc>
          <w:tcPr>
            <w:tcW w:w="731" w:type="pct"/>
            <w:noWrap/>
          </w:tcPr>
          <w:p w14:paraId="1849DC08" w14:textId="77777777" w:rsidR="0076370F" w:rsidRPr="0076370F" w:rsidRDefault="0076370F" w:rsidP="0076370F">
            <w:pPr>
              <w:pStyle w:val="Tabletext1"/>
              <w:jc w:val="right"/>
            </w:pPr>
            <w:r w:rsidRPr="0076370F">
              <w:t xml:space="preserve">41,621 </w:t>
            </w:r>
          </w:p>
        </w:tc>
        <w:tc>
          <w:tcPr>
            <w:tcW w:w="559" w:type="pct"/>
            <w:noWrap/>
          </w:tcPr>
          <w:p w14:paraId="648AD6A7" w14:textId="77777777" w:rsidR="0076370F" w:rsidRPr="0076370F" w:rsidRDefault="0076370F" w:rsidP="0076370F">
            <w:pPr>
              <w:pStyle w:val="Tabletext1"/>
              <w:jc w:val="right"/>
            </w:pPr>
            <w:r w:rsidRPr="0076370F">
              <w:t>$9,144</w:t>
            </w:r>
          </w:p>
        </w:tc>
        <w:tc>
          <w:tcPr>
            <w:tcW w:w="472" w:type="pct"/>
            <w:noWrap/>
          </w:tcPr>
          <w:p w14:paraId="3D59A3E7" w14:textId="77777777" w:rsidR="0076370F" w:rsidRPr="0076370F" w:rsidRDefault="0076370F" w:rsidP="0076370F">
            <w:pPr>
              <w:pStyle w:val="Tabletext1"/>
              <w:jc w:val="right"/>
              <w:rPr>
                <w:rFonts w:cs="Calibri"/>
              </w:rPr>
            </w:pPr>
            <w:r w:rsidRPr="00AB20E4">
              <w:t>0.328</w:t>
            </w:r>
          </w:p>
        </w:tc>
      </w:tr>
      <w:tr w:rsidR="0076370F" w:rsidRPr="0076370F" w14:paraId="399CEE89" w14:textId="77777777" w:rsidTr="002C4FE0">
        <w:trPr>
          <w:trHeight w:val="360"/>
        </w:trPr>
        <w:tc>
          <w:tcPr>
            <w:tcW w:w="383" w:type="pct"/>
            <w:noWrap/>
            <w:hideMark/>
          </w:tcPr>
          <w:p w14:paraId="7C03C312" w14:textId="77777777" w:rsidR="0076370F" w:rsidRPr="0076370F" w:rsidRDefault="0076370F" w:rsidP="0076370F">
            <w:pPr>
              <w:pStyle w:val="Tabletext1"/>
            </w:pPr>
            <w:r w:rsidRPr="0076370F">
              <w:t>E62B</w:t>
            </w:r>
          </w:p>
        </w:tc>
        <w:tc>
          <w:tcPr>
            <w:tcW w:w="2855" w:type="pct"/>
            <w:noWrap/>
            <w:hideMark/>
          </w:tcPr>
          <w:p w14:paraId="375F72BD" w14:textId="77777777" w:rsidR="0076370F" w:rsidRPr="0076370F" w:rsidRDefault="0076370F" w:rsidP="0076370F">
            <w:pPr>
              <w:pStyle w:val="Tabletext1"/>
            </w:pPr>
            <w:r w:rsidRPr="0076370F">
              <w:t>Respiratory Infections and Inflammations, Minor Complexity</w:t>
            </w:r>
          </w:p>
        </w:tc>
        <w:tc>
          <w:tcPr>
            <w:tcW w:w="731" w:type="pct"/>
            <w:noWrap/>
            <w:hideMark/>
          </w:tcPr>
          <w:p w14:paraId="63C19765" w14:textId="77777777" w:rsidR="0076370F" w:rsidRPr="0076370F" w:rsidRDefault="0076370F" w:rsidP="0076370F">
            <w:pPr>
              <w:pStyle w:val="Tabletext1"/>
              <w:jc w:val="right"/>
            </w:pPr>
            <w:r w:rsidRPr="0076370F">
              <w:t xml:space="preserve">44,435 </w:t>
            </w:r>
          </w:p>
        </w:tc>
        <w:tc>
          <w:tcPr>
            <w:tcW w:w="559" w:type="pct"/>
            <w:noWrap/>
            <w:hideMark/>
          </w:tcPr>
          <w:p w14:paraId="14D9FC9F" w14:textId="77777777" w:rsidR="0076370F" w:rsidRPr="0076370F" w:rsidRDefault="0076370F" w:rsidP="0076370F">
            <w:pPr>
              <w:pStyle w:val="Tabletext1"/>
              <w:jc w:val="right"/>
            </w:pPr>
            <w:r w:rsidRPr="0076370F">
              <w:t>$3,866</w:t>
            </w:r>
          </w:p>
        </w:tc>
        <w:tc>
          <w:tcPr>
            <w:tcW w:w="472" w:type="pct"/>
            <w:noWrap/>
            <w:hideMark/>
          </w:tcPr>
          <w:p w14:paraId="09BD2E11" w14:textId="77777777" w:rsidR="0076370F" w:rsidRPr="0076370F" w:rsidRDefault="0076370F" w:rsidP="0076370F">
            <w:pPr>
              <w:pStyle w:val="Tabletext1"/>
              <w:jc w:val="right"/>
              <w:rPr>
                <w:rFonts w:cs="Calibri"/>
              </w:rPr>
            </w:pPr>
            <w:r w:rsidRPr="00AB20E4">
              <w:t>0.350</w:t>
            </w:r>
          </w:p>
        </w:tc>
      </w:tr>
      <w:tr w:rsidR="0076370F" w:rsidRPr="0076370F" w14:paraId="5ACE66E1" w14:textId="77777777" w:rsidTr="002C4FE0">
        <w:trPr>
          <w:trHeight w:val="315"/>
        </w:trPr>
        <w:tc>
          <w:tcPr>
            <w:tcW w:w="383" w:type="pct"/>
            <w:noWrap/>
            <w:hideMark/>
          </w:tcPr>
          <w:p w14:paraId="5477C5A0" w14:textId="77777777" w:rsidR="0076370F" w:rsidRPr="0076370F" w:rsidRDefault="0076370F" w:rsidP="0076370F">
            <w:pPr>
              <w:pStyle w:val="Tabletext1"/>
            </w:pPr>
            <w:r w:rsidRPr="0076370F">
              <w:t>I64A</w:t>
            </w:r>
          </w:p>
        </w:tc>
        <w:tc>
          <w:tcPr>
            <w:tcW w:w="2855" w:type="pct"/>
            <w:noWrap/>
            <w:hideMark/>
          </w:tcPr>
          <w:p w14:paraId="11E56C63" w14:textId="77777777" w:rsidR="0076370F" w:rsidRPr="0076370F" w:rsidRDefault="0076370F" w:rsidP="0076370F">
            <w:pPr>
              <w:pStyle w:val="Tabletext1"/>
            </w:pPr>
            <w:r w:rsidRPr="0076370F">
              <w:t>Osteomyelitis, Major Complexity</w:t>
            </w:r>
          </w:p>
        </w:tc>
        <w:tc>
          <w:tcPr>
            <w:tcW w:w="731" w:type="pct"/>
            <w:noWrap/>
            <w:hideMark/>
          </w:tcPr>
          <w:p w14:paraId="297BBC9A" w14:textId="77777777" w:rsidR="0076370F" w:rsidRPr="0076370F" w:rsidRDefault="0076370F" w:rsidP="0076370F">
            <w:pPr>
              <w:pStyle w:val="Tabletext1"/>
              <w:jc w:val="right"/>
            </w:pPr>
            <w:r w:rsidRPr="0076370F">
              <w:t xml:space="preserve">1,851 </w:t>
            </w:r>
          </w:p>
        </w:tc>
        <w:tc>
          <w:tcPr>
            <w:tcW w:w="559" w:type="pct"/>
            <w:noWrap/>
            <w:hideMark/>
          </w:tcPr>
          <w:p w14:paraId="0AFF20FD" w14:textId="77777777" w:rsidR="0076370F" w:rsidRPr="0076370F" w:rsidRDefault="0076370F" w:rsidP="0076370F">
            <w:pPr>
              <w:pStyle w:val="Tabletext1"/>
              <w:jc w:val="right"/>
            </w:pPr>
            <w:r w:rsidRPr="0076370F">
              <w:t>$18,314</w:t>
            </w:r>
          </w:p>
        </w:tc>
        <w:tc>
          <w:tcPr>
            <w:tcW w:w="472" w:type="pct"/>
            <w:noWrap/>
            <w:hideMark/>
          </w:tcPr>
          <w:p w14:paraId="78A1307F" w14:textId="77777777" w:rsidR="0076370F" w:rsidRPr="0076370F" w:rsidRDefault="0076370F" w:rsidP="0076370F">
            <w:pPr>
              <w:pStyle w:val="Tabletext1"/>
              <w:jc w:val="right"/>
              <w:rPr>
                <w:rFonts w:cs="Calibri"/>
              </w:rPr>
            </w:pPr>
            <w:r w:rsidRPr="00AB20E4">
              <w:t>0.015</w:t>
            </w:r>
          </w:p>
        </w:tc>
      </w:tr>
      <w:tr w:rsidR="0076370F" w:rsidRPr="0076370F" w14:paraId="2FE01A91" w14:textId="77777777" w:rsidTr="002C4FE0">
        <w:trPr>
          <w:trHeight w:val="300"/>
        </w:trPr>
        <w:tc>
          <w:tcPr>
            <w:tcW w:w="383" w:type="pct"/>
            <w:noWrap/>
            <w:hideMark/>
          </w:tcPr>
          <w:p w14:paraId="3B4DB190" w14:textId="77777777" w:rsidR="0076370F" w:rsidRPr="0076370F" w:rsidRDefault="0076370F" w:rsidP="0076370F">
            <w:pPr>
              <w:pStyle w:val="Tabletext1"/>
            </w:pPr>
            <w:r w:rsidRPr="0076370F">
              <w:t>I64B</w:t>
            </w:r>
          </w:p>
        </w:tc>
        <w:tc>
          <w:tcPr>
            <w:tcW w:w="2855" w:type="pct"/>
            <w:noWrap/>
            <w:hideMark/>
          </w:tcPr>
          <w:p w14:paraId="2EA1A367" w14:textId="77777777" w:rsidR="0076370F" w:rsidRPr="0076370F" w:rsidRDefault="0076370F" w:rsidP="0076370F">
            <w:pPr>
              <w:pStyle w:val="Tabletext1"/>
            </w:pPr>
            <w:r w:rsidRPr="0076370F">
              <w:t>Osteomyelitis, Minor Complexity</w:t>
            </w:r>
          </w:p>
        </w:tc>
        <w:tc>
          <w:tcPr>
            <w:tcW w:w="731" w:type="pct"/>
            <w:noWrap/>
            <w:hideMark/>
          </w:tcPr>
          <w:p w14:paraId="0A0661D7" w14:textId="77777777" w:rsidR="0076370F" w:rsidRPr="0076370F" w:rsidRDefault="0076370F" w:rsidP="0076370F">
            <w:pPr>
              <w:pStyle w:val="Tabletext1"/>
              <w:jc w:val="right"/>
            </w:pPr>
            <w:r w:rsidRPr="0076370F">
              <w:t xml:space="preserve">3,048 </w:t>
            </w:r>
          </w:p>
        </w:tc>
        <w:tc>
          <w:tcPr>
            <w:tcW w:w="559" w:type="pct"/>
            <w:noWrap/>
            <w:hideMark/>
          </w:tcPr>
          <w:p w14:paraId="31E42A28" w14:textId="77777777" w:rsidR="0076370F" w:rsidRPr="0076370F" w:rsidRDefault="0076370F" w:rsidP="0076370F">
            <w:pPr>
              <w:pStyle w:val="Tabletext1"/>
              <w:jc w:val="right"/>
            </w:pPr>
            <w:r w:rsidRPr="0076370F">
              <w:t>$6,340</w:t>
            </w:r>
          </w:p>
        </w:tc>
        <w:tc>
          <w:tcPr>
            <w:tcW w:w="472" w:type="pct"/>
            <w:noWrap/>
            <w:hideMark/>
          </w:tcPr>
          <w:p w14:paraId="19320B16" w14:textId="77777777" w:rsidR="0076370F" w:rsidRPr="0076370F" w:rsidRDefault="0076370F" w:rsidP="0076370F">
            <w:pPr>
              <w:pStyle w:val="Tabletext1"/>
              <w:jc w:val="right"/>
              <w:rPr>
                <w:rFonts w:cs="Calibri"/>
              </w:rPr>
            </w:pPr>
            <w:r w:rsidRPr="00AB20E4">
              <w:t>0.024</w:t>
            </w:r>
          </w:p>
        </w:tc>
      </w:tr>
      <w:tr w:rsidR="0076370F" w:rsidRPr="0076370F" w14:paraId="77379BA0" w14:textId="77777777" w:rsidTr="002C4FE0">
        <w:trPr>
          <w:trHeight w:val="300"/>
        </w:trPr>
        <w:tc>
          <w:tcPr>
            <w:tcW w:w="383" w:type="pct"/>
            <w:noWrap/>
            <w:hideMark/>
          </w:tcPr>
          <w:p w14:paraId="436802C5" w14:textId="77777777" w:rsidR="0076370F" w:rsidRPr="0076370F" w:rsidRDefault="0076370F" w:rsidP="0076370F">
            <w:pPr>
              <w:pStyle w:val="Tabletext1"/>
            </w:pPr>
            <w:r w:rsidRPr="0076370F">
              <w:t>T60A</w:t>
            </w:r>
          </w:p>
        </w:tc>
        <w:tc>
          <w:tcPr>
            <w:tcW w:w="2855" w:type="pct"/>
            <w:noWrap/>
            <w:hideMark/>
          </w:tcPr>
          <w:p w14:paraId="083F0E18" w14:textId="77777777" w:rsidR="0076370F" w:rsidRPr="0076370F" w:rsidRDefault="0076370F" w:rsidP="0076370F">
            <w:pPr>
              <w:pStyle w:val="Tabletext1"/>
            </w:pPr>
            <w:r w:rsidRPr="0076370F">
              <w:t>Septicaemia, Major Complexity</w:t>
            </w:r>
          </w:p>
        </w:tc>
        <w:tc>
          <w:tcPr>
            <w:tcW w:w="731" w:type="pct"/>
            <w:noWrap/>
            <w:hideMark/>
          </w:tcPr>
          <w:p w14:paraId="760C6FFA" w14:textId="77777777" w:rsidR="0076370F" w:rsidRPr="0076370F" w:rsidRDefault="0076370F" w:rsidP="0076370F">
            <w:pPr>
              <w:pStyle w:val="Tabletext1"/>
              <w:jc w:val="right"/>
            </w:pPr>
            <w:r w:rsidRPr="0076370F">
              <w:t xml:space="preserve">5,687 </w:t>
            </w:r>
          </w:p>
        </w:tc>
        <w:tc>
          <w:tcPr>
            <w:tcW w:w="559" w:type="pct"/>
            <w:noWrap/>
            <w:hideMark/>
          </w:tcPr>
          <w:p w14:paraId="5630D20A" w14:textId="77777777" w:rsidR="0076370F" w:rsidRPr="0076370F" w:rsidRDefault="0076370F" w:rsidP="0076370F">
            <w:pPr>
              <w:pStyle w:val="Tabletext1"/>
              <w:jc w:val="right"/>
            </w:pPr>
            <w:r w:rsidRPr="0076370F">
              <w:t>$27,828</w:t>
            </w:r>
          </w:p>
        </w:tc>
        <w:tc>
          <w:tcPr>
            <w:tcW w:w="472" w:type="pct"/>
            <w:noWrap/>
            <w:hideMark/>
          </w:tcPr>
          <w:p w14:paraId="29F6AC2A" w14:textId="77777777" w:rsidR="0076370F" w:rsidRPr="0076370F" w:rsidRDefault="0076370F" w:rsidP="0076370F">
            <w:pPr>
              <w:pStyle w:val="Tabletext1"/>
              <w:jc w:val="right"/>
              <w:rPr>
                <w:rFonts w:cs="Calibri"/>
              </w:rPr>
            </w:pPr>
            <w:r w:rsidRPr="00AB20E4">
              <w:t>0.045</w:t>
            </w:r>
          </w:p>
        </w:tc>
      </w:tr>
      <w:tr w:rsidR="0076370F" w:rsidRPr="0076370F" w14:paraId="0ED91FC9" w14:textId="77777777" w:rsidTr="002C4FE0">
        <w:trPr>
          <w:trHeight w:val="300"/>
        </w:trPr>
        <w:tc>
          <w:tcPr>
            <w:tcW w:w="383" w:type="pct"/>
            <w:noWrap/>
            <w:hideMark/>
          </w:tcPr>
          <w:p w14:paraId="2B5A3732" w14:textId="77777777" w:rsidR="0076370F" w:rsidRPr="0076370F" w:rsidRDefault="0076370F" w:rsidP="0076370F">
            <w:pPr>
              <w:pStyle w:val="Tabletext1"/>
            </w:pPr>
            <w:r w:rsidRPr="0076370F">
              <w:t>T60B</w:t>
            </w:r>
          </w:p>
        </w:tc>
        <w:tc>
          <w:tcPr>
            <w:tcW w:w="2855" w:type="pct"/>
            <w:noWrap/>
            <w:hideMark/>
          </w:tcPr>
          <w:p w14:paraId="3F044C8F" w14:textId="77777777" w:rsidR="0076370F" w:rsidRPr="0076370F" w:rsidRDefault="0076370F" w:rsidP="0076370F">
            <w:pPr>
              <w:pStyle w:val="Tabletext1"/>
            </w:pPr>
            <w:r w:rsidRPr="0076370F">
              <w:t>Septicaemia, Intermediate Complexity</w:t>
            </w:r>
          </w:p>
        </w:tc>
        <w:tc>
          <w:tcPr>
            <w:tcW w:w="731" w:type="pct"/>
            <w:noWrap/>
            <w:hideMark/>
          </w:tcPr>
          <w:p w14:paraId="22F9EA29" w14:textId="77777777" w:rsidR="0076370F" w:rsidRPr="0076370F" w:rsidRDefault="0076370F" w:rsidP="0076370F">
            <w:pPr>
              <w:pStyle w:val="Tabletext1"/>
              <w:jc w:val="right"/>
            </w:pPr>
            <w:r w:rsidRPr="0076370F">
              <w:t xml:space="preserve">11,928 </w:t>
            </w:r>
          </w:p>
        </w:tc>
        <w:tc>
          <w:tcPr>
            <w:tcW w:w="559" w:type="pct"/>
            <w:noWrap/>
            <w:hideMark/>
          </w:tcPr>
          <w:p w14:paraId="6898E30F" w14:textId="77777777" w:rsidR="0076370F" w:rsidRPr="0076370F" w:rsidRDefault="0076370F" w:rsidP="0076370F">
            <w:pPr>
              <w:pStyle w:val="Tabletext1"/>
              <w:jc w:val="right"/>
            </w:pPr>
            <w:r w:rsidRPr="0076370F">
              <w:t>$13,010</w:t>
            </w:r>
          </w:p>
        </w:tc>
        <w:tc>
          <w:tcPr>
            <w:tcW w:w="472" w:type="pct"/>
            <w:noWrap/>
            <w:hideMark/>
          </w:tcPr>
          <w:p w14:paraId="4C4BB12E" w14:textId="77777777" w:rsidR="0076370F" w:rsidRPr="0076370F" w:rsidRDefault="0076370F" w:rsidP="0076370F">
            <w:pPr>
              <w:pStyle w:val="Tabletext1"/>
              <w:jc w:val="right"/>
              <w:rPr>
                <w:rFonts w:cs="Calibri"/>
              </w:rPr>
            </w:pPr>
            <w:r w:rsidRPr="00AB20E4">
              <w:t>0.094</w:t>
            </w:r>
          </w:p>
        </w:tc>
      </w:tr>
      <w:tr w:rsidR="0076370F" w:rsidRPr="0076370F" w14:paraId="248B62B9" w14:textId="77777777" w:rsidTr="002C4FE0">
        <w:trPr>
          <w:trHeight w:val="300"/>
        </w:trPr>
        <w:tc>
          <w:tcPr>
            <w:tcW w:w="383" w:type="pct"/>
            <w:noWrap/>
            <w:hideMark/>
          </w:tcPr>
          <w:p w14:paraId="3AA50EFA" w14:textId="77777777" w:rsidR="0076370F" w:rsidRPr="0076370F" w:rsidRDefault="0076370F" w:rsidP="0076370F">
            <w:pPr>
              <w:pStyle w:val="Tabletext1"/>
            </w:pPr>
            <w:r w:rsidRPr="0076370F">
              <w:t>T60C</w:t>
            </w:r>
          </w:p>
        </w:tc>
        <w:tc>
          <w:tcPr>
            <w:tcW w:w="2855" w:type="pct"/>
            <w:noWrap/>
            <w:hideMark/>
          </w:tcPr>
          <w:p w14:paraId="693C660F" w14:textId="77777777" w:rsidR="0076370F" w:rsidRPr="0076370F" w:rsidRDefault="0076370F" w:rsidP="0076370F">
            <w:pPr>
              <w:pStyle w:val="Tabletext1"/>
            </w:pPr>
            <w:r w:rsidRPr="0076370F">
              <w:t>Septicaemia, Minor Complexity</w:t>
            </w:r>
          </w:p>
        </w:tc>
        <w:tc>
          <w:tcPr>
            <w:tcW w:w="731" w:type="pct"/>
            <w:noWrap/>
            <w:hideMark/>
          </w:tcPr>
          <w:p w14:paraId="4D24341A" w14:textId="77777777" w:rsidR="0076370F" w:rsidRPr="0076370F" w:rsidRDefault="0076370F" w:rsidP="0076370F">
            <w:pPr>
              <w:pStyle w:val="Tabletext1"/>
              <w:jc w:val="right"/>
            </w:pPr>
            <w:r w:rsidRPr="0076370F">
              <w:t xml:space="preserve">13,810 </w:t>
            </w:r>
          </w:p>
        </w:tc>
        <w:tc>
          <w:tcPr>
            <w:tcW w:w="559" w:type="pct"/>
            <w:noWrap/>
            <w:hideMark/>
          </w:tcPr>
          <w:p w14:paraId="00EF9D72" w14:textId="77777777" w:rsidR="0076370F" w:rsidRPr="0076370F" w:rsidRDefault="0076370F" w:rsidP="0076370F">
            <w:pPr>
              <w:pStyle w:val="Tabletext1"/>
              <w:jc w:val="right"/>
            </w:pPr>
            <w:r w:rsidRPr="0076370F">
              <w:t>$6,516</w:t>
            </w:r>
          </w:p>
        </w:tc>
        <w:tc>
          <w:tcPr>
            <w:tcW w:w="472" w:type="pct"/>
            <w:noWrap/>
            <w:hideMark/>
          </w:tcPr>
          <w:p w14:paraId="0377C348" w14:textId="77777777" w:rsidR="0076370F" w:rsidRPr="0076370F" w:rsidRDefault="0076370F" w:rsidP="0076370F">
            <w:pPr>
              <w:pStyle w:val="Tabletext1"/>
              <w:jc w:val="right"/>
              <w:rPr>
                <w:rFonts w:cs="Calibri"/>
              </w:rPr>
            </w:pPr>
            <w:r w:rsidRPr="00AB20E4">
              <w:t>0.109</w:t>
            </w:r>
          </w:p>
        </w:tc>
      </w:tr>
      <w:tr w:rsidR="0076370F" w:rsidRPr="0076370F" w14:paraId="69270A9D" w14:textId="77777777" w:rsidTr="002C4FE0">
        <w:trPr>
          <w:trHeight w:val="300"/>
        </w:trPr>
        <w:tc>
          <w:tcPr>
            <w:tcW w:w="383" w:type="pct"/>
            <w:noWrap/>
            <w:hideMark/>
          </w:tcPr>
          <w:p w14:paraId="12570FB6" w14:textId="77777777" w:rsidR="0076370F" w:rsidRPr="0076370F" w:rsidRDefault="0076370F" w:rsidP="0076370F">
            <w:pPr>
              <w:pStyle w:val="Tabletext1"/>
            </w:pPr>
            <w:r w:rsidRPr="0076370F">
              <w:t>B72A</w:t>
            </w:r>
          </w:p>
        </w:tc>
        <w:tc>
          <w:tcPr>
            <w:tcW w:w="2855" w:type="pct"/>
            <w:noWrap/>
            <w:hideMark/>
          </w:tcPr>
          <w:p w14:paraId="31026BA8" w14:textId="77777777" w:rsidR="0076370F" w:rsidRPr="0076370F" w:rsidRDefault="0076370F" w:rsidP="0076370F">
            <w:pPr>
              <w:pStyle w:val="Tabletext1"/>
            </w:pPr>
            <w:r w:rsidRPr="0076370F">
              <w:t>Nervous System Infection Except Viral Meningitis, Major Complexity</w:t>
            </w:r>
          </w:p>
        </w:tc>
        <w:tc>
          <w:tcPr>
            <w:tcW w:w="731" w:type="pct"/>
            <w:noWrap/>
            <w:hideMark/>
          </w:tcPr>
          <w:p w14:paraId="44E8E682" w14:textId="77777777" w:rsidR="0076370F" w:rsidRPr="0076370F" w:rsidRDefault="0076370F" w:rsidP="0076370F">
            <w:pPr>
              <w:pStyle w:val="Tabletext1"/>
              <w:jc w:val="right"/>
            </w:pPr>
            <w:r w:rsidRPr="0076370F">
              <w:t xml:space="preserve">1,938 </w:t>
            </w:r>
          </w:p>
        </w:tc>
        <w:tc>
          <w:tcPr>
            <w:tcW w:w="559" w:type="pct"/>
            <w:noWrap/>
            <w:hideMark/>
          </w:tcPr>
          <w:p w14:paraId="35DFDC96" w14:textId="77777777" w:rsidR="0076370F" w:rsidRPr="0076370F" w:rsidRDefault="0076370F" w:rsidP="0076370F">
            <w:pPr>
              <w:pStyle w:val="Tabletext1"/>
              <w:jc w:val="right"/>
            </w:pPr>
            <w:r w:rsidRPr="0076370F">
              <w:t>$21,353</w:t>
            </w:r>
          </w:p>
        </w:tc>
        <w:tc>
          <w:tcPr>
            <w:tcW w:w="472" w:type="pct"/>
            <w:noWrap/>
            <w:hideMark/>
          </w:tcPr>
          <w:p w14:paraId="681E3012" w14:textId="77777777" w:rsidR="0076370F" w:rsidRPr="0076370F" w:rsidRDefault="0076370F" w:rsidP="0076370F">
            <w:pPr>
              <w:pStyle w:val="Tabletext1"/>
              <w:jc w:val="right"/>
              <w:rPr>
                <w:rFonts w:cs="Calibri"/>
              </w:rPr>
            </w:pPr>
            <w:r w:rsidRPr="00AB20E4">
              <w:t>0.015</w:t>
            </w:r>
          </w:p>
        </w:tc>
      </w:tr>
      <w:tr w:rsidR="0076370F" w:rsidRPr="0076370F" w14:paraId="617C1B10" w14:textId="77777777" w:rsidTr="002C4FE0">
        <w:trPr>
          <w:trHeight w:val="315"/>
        </w:trPr>
        <w:tc>
          <w:tcPr>
            <w:tcW w:w="383" w:type="pct"/>
            <w:noWrap/>
            <w:hideMark/>
          </w:tcPr>
          <w:p w14:paraId="19CF0E57" w14:textId="77777777" w:rsidR="0076370F" w:rsidRPr="0076370F" w:rsidRDefault="0076370F" w:rsidP="0076370F">
            <w:pPr>
              <w:pStyle w:val="Tabletext1"/>
            </w:pPr>
            <w:r w:rsidRPr="0076370F">
              <w:t>B72B</w:t>
            </w:r>
          </w:p>
        </w:tc>
        <w:tc>
          <w:tcPr>
            <w:tcW w:w="2855" w:type="pct"/>
            <w:tcBorders>
              <w:bottom w:val="single" w:sz="4" w:space="0" w:color="auto"/>
            </w:tcBorders>
            <w:noWrap/>
            <w:hideMark/>
          </w:tcPr>
          <w:p w14:paraId="3765E943" w14:textId="77777777" w:rsidR="0076370F" w:rsidRPr="0076370F" w:rsidRDefault="0076370F" w:rsidP="0076370F">
            <w:pPr>
              <w:pStyle w:val="Tabletext1"/>
            </w:pPr>
            <w:r w:rsidRPr="0076370F">
              <w:t>Nervous System Infection Except Viral Meningitis, Minor Complexity</w:t>
            </w:r>
          </w:p>
        </w:tc>
        <w:tc>
          <w:tcPr>
            <w:tcW w:w="731" w:type="pct"/>
            <w:tcBorders>
              <w:bottom w:val="single" w:sz="4" w:space="0" w:color="auto"/>
            </w:tcBorders>
            <w:noWrap/>
            <w:hideMark/>
          </w:tcPr>
          <w:p w14:paraId="5BB27805" w14:textId="77777777" w:rsidR="0076370F" w:rsidRPr="0076370F" w:rsidRDefault="0076370F" w:rsidP="0076370F">
            <w:pPr>
              <w:pStyle w:val="Tabletext1"/>
              <w:jc w:val="right"/>
            </w:pPr>
            <w:r w:rsidRPr="0076370F">
              <w:t xml:space="preserve">2,486 </w:t>
            </w:r>
          </w:p>
        </w:tc>
        <w:tc>
          <w:tcPr>
            <w:tcW w:w="559" w:type="pct"/>
            <w:tcBorders>
              <w:bottom w:val="single" w:sz="4" w:space="0" w:color="auto"/>
            </w:tcBorders>
            <w:noWrap/>
            <w:hideMark/>
          </w:tcPr>
          <w:p w14:paraId="68B338FF" w14:textId="77777777" w:rsidR="0076370F" w:rsidRPr="0076370F" w:rsidRDefault="0076370F" w:rsidP="0076370F">
            <w:pPr>
              <w:pStyle w:val="Tabletext1"/>
              <w:jc w:val="right"/>
            </w:pPr>
            <w:r w:rsidRPr="0076370F">
              <w:t>$4,802</w:t>
            </w:r>
          </w:p>
        </w:tc>
        <w:tc>
          <w:tcPr>
            <w:tcW w:w="472" w:type="pct"/>
            <w:tcBorders>
              <w:bottom w:val="single" w:sz="4" w:space="0" w:color="auto"/>
            </w:tcBorders>
            <w:noWrap/>
            <w:hideMark/>
          </w:tcPr>
          <w:p w14:paraId="3E9E7F08" w14:textId="77777777" w:rsidR="0076370F" w:rsidRPr="0076370F" w:rsidRDefault="0076370F" w:rsidP="0076370F">
            <w:pPr>
              <w:pStyle w:val="Tabletext1"/>
              <w:jc w:val="right"/>
              <w:rPr>
                <w:rFonts w:cs="Calibri"/>
              </w:rPr>
            </w:pPr>
            <w:r w:rsidRPr="00AB20E4">
              <w:t>0.020</w:t>
            </w:r>
          </w:p>
        </w:tc>
      </w:tr>
      <w:tr w:rsidR="0076370F" w:rsidRPr="0076370F" w14:paraId="6AE71E79" w14:textId="77777777" w:rsidTr="002C4FE0">
        <w:trPr>
          <w:trHeight w:val="315"/>
        </w:trPr>
        <w:tc>
          <w:tcPr>
            <w:tcW w:w="383" w:type="pct"/>
            <w:noWrap/>
          </w:tcPr>
          <w:p w14:paraId="712727C0" w14:textId="77777777" w:rsidR="0076370F" w:rsidRPr="0076370F" w:rsidRDefault="0076370F" w:rsidP="0076370F">
            <w:pPr>
              <w:pStyle w:val="Tabletext1"/>
            </w:pPr>
          </w:p>
        </w:tc>
        <w:tc>
          <w:tcPr>
            <w:tcW w:w="2855" w:type="pct"/>
            <w:tcBorders>
              <w:right w:val="nil"/>
            </w:tcBorders>
            <w:noWrap/>
          </w:tcPr>
          <w:p w14:paraId="062CE305" w14:textId="77777777" w:rsidR="0076370F" w:rsidRPr="0076370F" w:rsidRDefault="0076370F" w:rsidP="0076370F">
            <w:pPr>
              <w:pStyle w:val="Tabletext1"/>
            </w:pPr>
            <w:r>
              <w:t>Weighted cost per event of severe infection</w:t>
            </w:r>
          </w:p>
        </w:tc>
        <w:tc>
          <w:tcPr>
            <w:tcW w:w="731" w:type="pct"/>
            <w:tcBorders>
              <w:left w:val="nil"/>
            </w:tcBorders>
            <w:noWrap/>
          </w:tcPr>
          <w:p w14:paraId="030DEA72" w14:textId="77777777" w:rsidR="0076370F" w:rsidRPr="0076370F" w:rsidRDefault="0076370F" w:rsidP="0076370F">
            <w:pPr>
              <w:pStyle w:val="Tabletext1"/>
              <w:jc w:val="right"/>
            </w:pPr>
          </w:p>
        </w:tc>
        <w:tc>
          <w:tcPr>
            <w:tcW w:w="559" w:type="pct"/>
            <w:tcBorders>
              <w:right w:val="nil"/>
            </w:tcBorders>
            <w:noWrap/>
          </w:tcPr>
          <w:p w14:paraId="47E7D0A9" w14:textId="77777777" w:rsidR="0076370F" w:rsidRPr="0076370F" w:rsidRDefault="0076370F" w:rsidP="0076370F">
            <w:pPr>
              <w:pStyle w:val="Tabletext1"/>
              <w:jc w:val="right"/>
              <w:rPr>
                <w:b/>
              </w:rPr>
            </w:pPr>
            <w:r w:rsidRPr="0076370F">
              <w:rPr>
                <w:b/>
              </w:rPr>
              <w:t>$8,378</w:t>
            </w:r>
          </w:p>
        </w:tc>
        <w:tc>
          <w:tcPr>
            <w:tcW w:w="472" w:type="pct"/>
            <w:tcBorders>
              <w:left w:val="nil"/>
            </w:tcBorders>
            <w:noWrap/>
          </w:tcPr>
          <w:p w14:paraId="233CB48C" w14:textId="77777777" w:rsidR="0076370F" w:rsidRPr="0076370F" w:rsidRDefault="0076370F" w:rsidP="0076370F">
            <w:pPr>
              <w:pStyle w:val="Tabletext1"/>
              <w:jc w:val="right"/>
              <w:rPr>
                <w:b/>
              </w:rPr>
            </w:pPr>
          </w:p>
        </w:tc>
      </w:tr>
    </w:tbl>
    <w:p w14:paraId="3F88E9F7" w14:textId="77777777" w:rsidR="00A93C68" w:rsidRDefault="008E718E" w:rsidP="008E718E">
      <w:pPr>
        <w:pStyle w:val="Tablenotes1"/>
      </w:pPr>
      <w:r>
        <w:t xml:space="preserve">AR-DRG = </w:t>
      </w:r>
      <w:r w:rsidRPr="00F7550F">
        <w:t>Australian Refined Diagnosis Related Groups</w:t>
      </w:r>
    </w:p>
    <w:p w14:paraId="028472B0" w14:textId="77777777" w:rsidR="007C6B44" w:rsidRDefault="009A525F" w:rsidP="009A525F">
      <w:pPr>
        <w:pStyle w:val="Heading3"/>
        <w:rPr>
          <w:rFonts w:eastAsia="Calibri"/>
        </w:rPr>
      </w:pPr>
      <w:bookmarkStart w:id="557" w:name="_Toc69305633"/>
      <w:r>
        <w:rPr>
          <w:rFonts w:eastAsia="Calibri"/>
        </w:rPr>
        <w:t xml:space="preserve">Costs associated with adverse events per procedure for </w:t>
      </w:r>
      <w:r w:rsidR="007C6B44">
        <w:rPr>
          <w:rFonts w:eastAsia="Calibri"/>
        </w:rPr>
        <w:t>Plasma exchange</w:t>
      </w:r>
      <w:bookmarkEnd w:id="557"/>
    </w:p>
    <w:p w14:paraId="2E308821" w14:textId="7912CA3B" w:rsidR="007C6B44" w:rsidRDefault="007C6B44" w:rsidP="007C6B44">
      <w:pPr>
        <w:pStyle w:val="Caption"/>
      </w:pPr>
      <w:bookmarkStart w:id="558" w:name="_Ref66273020"/>
      <w:bookmarkStart w:id="559" w:name="_Toc69305726"/>
      <w:r>
        <w:t xml:space="preserve">Table </w:t>
      </w:r>
      <w:r w:rsidR="00003BA5">
        <w:fldChar w:fldCharType="begin"/>
      </w:r>
      <w:r w:rsidR="00003BA5">
        <w:instrText xml:space="preserve"> SEQ Table \* ARABIC </w:instrText>
      </w:r>
      <w:r w:rsidR="00003BA5">
        <w:fldChar w:fldCharType="separate"/>
      </w:r>
      <w:r w:rsidR="004B3EA2">
        <w:rPr>
          <w:noProof/>
        </w:rPr>
        <w:t>85</w:t>
      </w:r>
      <w:r w:rsidR="00003BA5">
        <w:rPr>
          <w:noProof/>
        </w:rPr>
        <w:fldChar w:fldCharType="end"/>
      </w:r>
      <w:bookmarkEnd w:id="558"/>
      <w:r>
        <w:tab/>
        <w:t>Costs associated with adverse events per procedure for Plasma Exchange</w:t>
      </w:r>
      <w:bookmarkEnd w:id="559"/>
    </w:p>
    <w:tbl>
      <w:tblPr>
        <w:tblStyle w:val="OPTUMTableNormal"/>
        <w:tblW w:w="5000" w:type="pct"/>
        <w:tblLook w:val="04A0" w:firstRow="1" w:lastRow="0" w:firstColumn="1" w:lastColumn="0" w:noHBand="0" w:noVBand="1"/>
        <w:tblCaption w:val="Costs associated with adverse events per procedure for Plasma Exchange"/>
        <w:tblDescription w:val="Costs associated with adverse events per procedure for Plasma Exchange"/>
      </w:tblPr>
      <w:tblGrid>
        <w:gridCol w:w="2519"/>
        <w:gridCol w:w="1098"/>
        <w:gridCol w:w="747"/>
        <w:gridCol w:w="1099"/>
        <w:gridCol w:w="3553"/>
      </w:tblGrid>
      <w:tr w:rsidR="007C6B44" w:rsidRPr="007C6B44" w14:paraId="680103F7" w14:textId="77777777" w:rsidTr="00BB43B6">
        <w:trPr>
          <w:cnfStyle w:val="100000000000" w:firstRow="1" w:lastRow="0" w:firstColumn="0" w:lastColumn="0" w:oddVBand="0" w:evenVBand="0" w:oddHBand="0" w:evenHBand="0" w:firstRowFirstColumn="0" w:firstRowLastColumn="0" w:lastRowFirstColumn="0" w:lastRowLastColumn="0"/>
          <w:trHeight w:val="315"/>
          <w:tblHeader/>
        </w:trPr>
        <w:tc>
          <w:tcPr>
            <w:tcW w:w="1449" w:type="pct"/>
          </w:tcPr>
          <w:p w14:paraId="16E32AB1" w14:textId="77777777" w:rsidR="007C6B44" w:rsidRPr="007C6B44" w:rsidRDefault="007C6B44" w:rsidP="007C6B44">
            <w:pPr>
              <w:pStyle w:val="TableHeading"/>
            </w:pPr>
            <w:r>
              <w:t>Adverse event</w:t>
            </w:r>
          </w:p>
        </w:tc>
        <w:tc>
          <w:tcPr>
            <w:tcW w:w="661" w:type="pct"/>
          </w:tcPr>
          <w:p w14:paraId="23E98478" w14:textId="77777777" w:rsidR="007C6B44" w:rsidRPr="007C6B44" w:rsidRDefault="007C6B44" w:rsidP="007C6B44">
            <w:pPr>
              <w:pStyle w:val="TableHeading"/>
            </w:pPr>
            <w:r>
              <w:t>Number of events per procedure</w:t>
            </w:r>
          </w:p>
        </w:tc>
        <w:tc>
          <w:tcPr>
            <w:tcW w:w="466" w:type="pct"/>
          </w:tcPr>
          <w:p w14:paraId="508BC3F6" w14:textId="77777777" w:rsidR="007C6B44" w:rsidRPr="007C6B44" w:rsidRDefault="007C6B44" w:rsidP="007C6B44">
            <w:pPr>
              <w:pStyle w:val="TableHeading"/>
            </w:pPr>
            <w:r>
              <w:t>Unit price</w:t>
            </w:r>
          </w:p>
        </w:tc>
        <w:tc>
          <w:tcPr>
            <w:tcW w:w="661" w:type="pct"/>
          </w:tcPr>
          <w:p w14:paraId="1CE9A270" w14:textId="77777777" w:rsidR="007C6B44" w:rsidRPr="007C6B44" w:rsidRDefault="007C6B44" w:rsidP="007C6B44">
            <w:pPr>
              <w:pStyle w:val="TableHeading"/>
            </w:pPr>
            <w:r>
              <w:t>AE cost per procedure</w:t>
            </w:r>
          </w:p>
        </w:tc>
        <w:tc>
          <w:tcPr>
            <w:tcW w:w="1762" w:type="pct"/>
            <w:noWrap/>
          </w:tcPr>
          <w:p w14:paraId="4A097602" w14:textId="77777777" w:rsidR="007C6B44" w:rsidRPr="007C6B44" w:rsidRDefault="00857ED6" w:rsidP="007C6B44">
            <w:pPr>
              <w:pStyle w:val="TableHeading"/>
            </w:pPr>
            <w:r>
              <w:t>Source (AR-DRG codes)</w:t>
            </w:r>
          </w:p>
        </w:tc>
      </w:tr>
      <w:tr w:rsidR="007C6B44" w:rsidRPr="007C6B44" w14:paraId="3A51492C" w14:textId="77777777" w:rsidTr="007C6B44">
        <w:trPr>
          <w:trHeight w:val="315"/>
        </w:trPr>
        <w:tc>
          <w:tcPr>
            <w:tcW w:w="1449" w:type="pct"/>
            <w:hideMark/>
          </w:tcPr>
          <w:p w14:paraId="0A020163" w14:textId="77777777" w:rsidR="007C6B44" w:rsidRPr="007C6B44" w:rsidRDefault="007C6B44" w:rsidP="007C6B44">
            <w:pPr>
              <w:pStyle w:val="Tabletext1"/>
            </w:pPr>
            <w:r w:rsidRPr="007C6B44">
              <w:t>Hypotension, Syncope</w:t>
            </w:r>
          </w:p>
        </w:tc>
        <w:tc>
          <w:tcPr>
            <w:tcW w:w="661" w:type="pct"/>
            <w:hideMark/>
          </w:tcPr>
          <w:p w14:paraId="09FBE09A" w14:textId="77777777" w:rsidR="007C6B44" w:rsidRPr="007C6B44" w:rsidRDefault="007C6B44" w:rsidP="007C6B44">
            <w:pPr>
              <w:pStyle w:val="Tabletext1"/>
            </w:pPr>
            <w:r w:rsidRPr="007C6B44">
              <w:t>0.11%</w:t>
            </w:r>
          </w:p>
        </w:tc>
        <w:tc>
          <w:tcPr>
            <w:tcW w:w="466" w:type="pct"/>
            <w:hideMark/>
          </w:tcPr>
          <w:p w14:paraId="1EE418D0" w14:textId="77777777" w:rsidR="007C6B44" w:rsidRPr="007C6B44" w:rsidRDefault="007C6B44" w:rsidP="007C6B44">
            <w:pPr>
              <w:pStyle w:val="Tabletext1"/>
            </w:pPr>
            <w:r w:rsidRPr="007C6B44">
              <w:t>$3,121</w:t>
            </w:r>
          </w:p>
        </w:tc>
        <w:tc>
          <w:tcPr>
            <w:tcW w:w="661" w:type="pct"/>
            <w:hideMark/>
          </w:tcPr>
          <w:p w14:paraId="2F98A520" w14:textId="77777777" w:rsidR="007C6B44" w:rsidRPr="007C6B44" w:rsidRDefault="007C6B44" w:rsidP="007C6B44">
            <w:pPr>
              <w:pStyle w:val="Tabletext1"/>
            </w:pPr>
            <w:r w:rsidRPr="007C6B44">
              <w:t>$3.43</w:t>
            </w:r>
          </w:p>
        </w:tc>
        <w:tc>
          <w:tcPr>
            <w:tcW w:w="1762" w:type="pct"/>
            <w:noWrap/>
            <w:hideMark/>
          </w:tcPr>
          <w:p w14:paraId="0E0393FF" w14:textId="77777777" w:rsidR="007C6B44" w:rsidRPr="007C6B44" w:rsidRDefault="007C6B44" w:rsidP="007C6B44">
            <w:pPr>
              <w:pStyle w:val="Tabletext1"/>
            </w:pPr>
            <w:r w:rsidRPr="007C6B44">
              <w:t xml:space="preserve">F73, Syncope </w:t>
            </w:r>
          </w:p>
        </w:tc>
      </w:tr>
      <w:tr w:rsidR="007C6B44" w:rsidRPr="007C6B44" w14:paraId="3924F3B5" w14:textId="77777777" w:rsidTr="007C6B44">
        <w:trPr>
          <w:trHeight w:val="315"/>
        </w:trPr>
        <w:tc>
          <w:tcPr>
            <w:tcW w:w="1449" w:type="pct"/>
            <w:hideMark/>
          </w:tcPr>
          <w:p w14:paraId="5B70E4EA" w14:textId="77777777" w:rsidR="007C6B44" w:rsidRPr="007C6B44" w:rsidRDefault="007C6B44" w:rsidP="007C6B44">
            <w:pPr>
              <w:pStyle w:val="Tabletext1"/>
            </w:pPr>
            <w:r w:rsidRPr="007C6B44">
              <w:t>Urticaria</w:t>
            </w:r>
          </w:p>
        </w:tc>
        <w:tc>
          <w:tcPr>
            <w:tcW w:w="661" w:type="pct"/>
            <w:hideMark/>
          </w:tcPr>
          <w:p w14:paraId="150ACD3C" w14:textId="77777777" w:rsidR="007C6B44" w:rsidRPr="007C6B44" w:rsidRDefault="007C6B44" w:rsidP="007C6B44">
            <w:pPr>
              <w:pStyle w:val="Tabletext1"/>
            </w:pPr>
            <w:r w:rsidRPr="007C6B44">
              <w:t>0.06%</w:t>
            </w:r>
          </w:p>
        </w:tc>
        <w:tc>
          <w:tcPr>
            <w:tcW w:w="466" w:type="pct"/>
            <w:hideMark/>
          </w:tcPr>
          <w:p w14:paraId="5A7043AC" w14:textId="77777777" w:rsidR="007C6B44" w:rsidRPr="007C6B44" w:rsidRDefault="007C6B44" w:rsidP="007C6B44">
            <w:pPr>
              <w:pStyle w:val="Tabletext1"/>
            </w:pPr>
            <w:r w:rsidRPr="007C6B44">
              <w:t>$1,214</w:t>
            </w:r>
          </w:p>
        </w:tc>
        <w:tc>
          <w:tcPr>
            <w:tcW w:w="661" w:type="pct"/>
            <w:hideMark/>
          </w:tcPr>
          <w:p w14:paraId="1FE10543" w14:textId="77777777" w:rsidR="007C6B44" w:rsidRPr="007C6B44" w:rsidRDefault="007C6B44" w:rsidP="007C6B44">
            <w:pPr>
              <w:pStyle w:val="Tabletext1"/>
            </w:pPr>
            <w:r w:rsidRPr="007C6B44">
              <w:t>$0.73</w:t>
            </w:r>
          </w:p>
        </w:tc>
        <w:tc>
          <w:tcPr>
            <w:tcW w:w="1762" w:type="pct"/>
            <w:noWrap/>
            <w:hideMark/>
          </w:tcPr>
          <w:p w14:paraId="1693A4C6" w14:textId="77777777" w:rsidR="007C6B44" w:rsidRPr="007C6B44" w:rsidRDefault="007C6B44" w:rsidP="007C6B44">
            <w:pPr>
              <w:pStyle w:val="Tabletext1"/>
            </w:pPr>
            <w:r w:rsidRPr="007C6B44">
              <w:t>X61, Allergic reactions</w:t>
            </w:r>
          </w:p>
        </w:tc>
      </w:tr>
      <w:tr w:rsidR="007C6B44" w:rsidRPr="007C6B44" w14:paraId="078E4E06" w14:textId="77777777" w:rsidTr="007C6B44">
        <w:trPr>
          <w:trHeight w:val="315"/>
        </w:trPr>
        <w:tc>
          <w:tcPr>
            <w:tcW w:w="1449" w:type="pct"/>
            <w:hideMark/>
          </w:tcPr>
          <w:p w14:paraId="59A62DEF" w14:textId="77777777" w:rsidR="007C6B44" w:rsidRPr="007C6B44" w:rsidRDefault="007C6B44" w:rsidP="007C6B44">
            <w:pPr>
              <w:pStyle w:val="Tabletext1"/>
            </w:pPr>
            <w:r w:rsidRPr="007C6B44">
              <w:t>Fever, chills</w:t>
            </w:r>
          </w:p>
        </w:tc>
        <w:tc>
          <w:tcPr>
            <w:tcW w:w="661" w:type="pct"/>
            <w:hideMark/>
          </w:tcPr>
          <w:p w14:paraId="573D1917" w14:textId="77777777" w:rsidR="007C6B44" w:rsidRPr="007C6B44" w:rsidRDefault="007C6B44" w:rsidP="007C6B44">
            <w:pPr>
              <w:pStyle w:val="Tabletext1"/>
            </w:pPr>
            <w:r w:rsidRPr="007C6B44">
              <w:t>0.03%</w:t>
            </w:r>
          </w:p>
        </w:tc>
        <w:tc>
          <w:tcPr>
            <w:tcW w:w="466" w:type="pct"/>
            <w:hideMark/>
          </w:tcPr>
          <w:p w14:paraId="5DF87D71" w14:textId="77777777" w:rsidR="007C6B44" w:rsidRPr="007C6B44" w:rsidRDefault="007C6B44" w:rsidP="007C6B44">
            <w:pPr>
              <w:pStyle w:val="Tabletext1"/>
            </w:pPr>
            <w:r w:rsidRPr="007C6B44">
              <w:t>$4,369</w:t>
            </w:r>
          </w:p>
        </w:tc>
        <w:tc>
          <w:tcPr>
            <w:tcW w:w="661" w:type="pct"/>
            <w:hideMark/>
          </w:tcPr>
          <w:p w14:paraId="20F13C15" w14:textId="77777777" w:rsidR="007C6B44" w:rsidRPr="007C6B44" w:rsidRDefault="007C6B44" w:rsidP="007C6B44">
            <w:pPr>
              <w:pStyle w:val="Tabletext1"/>
            </w:pPr>
            <w:r w:rsidRPr="007C6B44">
              <w:t>$1.31</w:t>
            </w:r>
          </w:p>
        </w:tc>
        <w:tc>
          <w:tcPr>
            <w:tcW w:w="1762" w:type="pct"/>
            <w:noWrap/>
            <w:hideMark/>
          </w:tcPr>
          <w:p w14:paraId="619AB7E9" w14:textId="77777777" w:rsidR="007C6B44" w:rsidRPr="007C6B44" w:rsidRDefault="007C6B44" w:rsidP="007C6B44">
            <w:pPr>
              <w:pStyle w:val="Tabletext1"/>
            </w:pPr>
            <w:r>
              <w:t>T62, fever of unknown origin</w:t>
            </w:r>
          </w:p>
        </w:tc>
      </w:tr>
      <w:tr w:rsidR="007C6B44" w:rsidRPr="007C6B44" w14:paraId="10BDE987" w14:textId="77777777" w:rsidTr="007C6B44">
        <w:trPr>
          <w:trHeight w:val="315"/>
        </w:trPr>
        <w:tc>
          <w:tcPr>
            <w:tcW w:w="1449" w:type="pct"/>
            <w:hideMark/>
          </w:tcPr>
          <w:p w14:paraId="7953F0A0" w14:textId="77777777" w:rsidR="007C6B44" w:rsidRPr="007C6B44" w:rsidRDefault="007C6B44" w:rsidP="007C6B44">
            <w:pPr>
              <w:pStyle w:val="Tabletext1"/>
            </w:pPr>
            <w:r w:rsidRPr="007C6B44">
              <w:t>Nausea vomiting</w:t>
            </w:r>
          </w:p>
        </w:tc>
        <w:tc>
          <w:tcPr>
            <w:tcW w:w="661" w:type="pct"/>
            <w:hideMark/>
          </w:tcPr>
          <w:p w14:paraId="24433006" w14:textId="77777777" w:rsidR="007C6B44" w:rsidRPr="007C6B44" w:rsidRDefault="007C6B44" w:rsidP="007C6B44">
            <w:pPr>
              <w:pStyle w:val="Tabletext1"/>
            </w:pPr>
            <w:r w:rsidRPr="007C6B44">
              <w:t>0.02%</w:t>
            </w:r>
          </w:p>
        </w:tc>
        <w:tc>
          <w:tcPr>
            <w:tcW w:w="466" w:type="pct"/>
            <w:hideMark/>
          </w:tcPr>
          <w:p w14:paraId="4096206F" w14:textId="77777777" w:rsidR="007C6B44" w:rsidRPr="007C6B44" w:rsidRDefault="007C6B44" w:rsidP="007C6B44">
            <w:pPr>
              <w:pStyle w:val="Tabletext1"/>
            </w:pPr>
            <w:r>
              <w:t>-</w:t>
            </w:r>
          </w:p>
        </w:tc>
        <w:tc>
          <w:tcPr>
            <w:tcW w:w="661" w:type="pct"/>
            <w:hideMark/>
          </w:tcPr>
          <w:p w14:paraId="5A671C63" w14:textId="77777777" w:rsidR="007C6B44" w:rsidRPr="007C6B44" w:rsidRDefault="007C6B44" w:rsidP="007C6B44">
            <w:pPr>
              <w:pStyle w:val="Tabletext1"/>
            </w:pPr>
            <w:r w:rsidRPr="007C6B44">
              <w:t>$0.00</w:t>
            </w:r>
          </w:p>
        </w:tc>
        <w:tc>
          <w:tcPr>
            <w:tcW w:w="1762" w:type="pct"/>
            <w:noWrap/>
            <w:hideMark/>
          </w:tcPr>
          <w:p w14:paraId="40B8E88B" w14:textId="77777777" w:rsidR="007C6B44" w:rsidRPr="007C6B44" w:rsidRDefault="007C6B44" w:rsidP="007C6B44">
            <w:pPr>
              <w:pStyle w:val="Tabletext1"/>
            </w:pPr>
            <w:r>
              <w:t>Not costed</w:t>
            </w:r>
          </w:p>
        </w:tc>
      </w:tr>
      <w:tr w:rsidR="007C6B44" w:rsidRPr="007C6B44" w14:paraId="72579C3B" w14:textId="77777777" w:rsidTr="007C6B44">
        <w:trPr>
          <w:trHeight w:val="315"/>
        </w:trPr>
        <w:tc>
          <w:tcPr>
            <w:tcW w:w="1449" w:type="pct"/>
            <w:hideMark/>
          </w:tcPr>
          <w:p w14:paraId="60B48907" w14:textId="77777777" w:rsidR="007C6B44" w:rsidRPr="007C6B44" w:rsidRDefault="007C6B44" w:rsidP="007C6B44">
            <w:pPr>
              <w:pStyle w:val="Tabletext1"/>
            </w:pPr>
            <w:r w:rsidRPr="007C6B44">
              <w:t>Access problem</w:t>
            </w:r>
          </w:p>
        </w:tc>
        <w:tc>
          <w:tcPr>
            <w:tcW w:w="661" w:type="pct"/>
            <w:hideMark/>
          </w:tcPr>
          <w:p w14:paraId="08F9B919" w14:textId="77777777" w:rsidR="007C6B44" w:rsidRPr="007C6B44" w:rsidRDefault="007C6B44" w:rsidP="007C6B44">
            <w:pPr>
              <w:pStyle w:val="Tabletext1"/>
            </w:pPr>
            <w:r w:rsidRPr="007C6B44">
              <w:t>0.02%</w:t>
            </w:r>
          </w:p>
        </w:tc>
        <w:tc>
          <w:tcPr>
            <w:tcW w:w="466" w:type="pct"/>
            <w:hideMark/>
          </w:tcPr>
          <w:p w14:paraId="6F3EA89B" w14:textId="77777777" w:rsidR="007C6B44" w:rsidRPr="007C6B44" w:rsidRDefault="007C6B44" w:rsidP="007C6B44">
            <w:pPr>
              <w:pStyle w:val="Tabletext1"/>
            </w:pPr>
            <w:r w:rsidRPr="007C6B44">
              <w:t>$5,268</w:t>
            </w:r>
          </w:p>
        </w:tc>
        <w:tc>
          <w:tcPr>
            <w:tcW w:w="661" w:type="pct"/>
            <w:hideMark/>
          </w:tcPr>
          <w:p w14:paraId="51D728CF" w14:textId="77777777" w:rsidR="007C6B44" w:rsidRPr="007C6B44" w:rsidRDefault="007C6B44" w:rsidP="007C6B44">
            <w:pPr>
              <w:pStyle w:val="Tabletext1"/>
            </w:pPr>
            <w:r w:rsidRPr="007C6B44">
              <w:t>$1.05</w:t>
            </w:r>
          </w:p>
        </w:tc>
        <w:tc>
          <w:tcPr>
            <w:tcW w:w="1762" w:type="pct"/>
            <w:noWrap/>
            <w:hideMark/>
          </w:tcPr>
          <w:p w14:paraId="4645799F" w14:textId="77777777" w:rsidR="007C6B44" w:rsidRPr="007C6B44" w:rsidRDefault="007C6B44" w:rsidP="007C6B44">
            <w:pPr>
              <w:pStyle w:val="Tabletext1"/>
            </w:pPr>
            <w:r w:rsidRPr="007C6B44">
              <w:t>F65, Peripheral vascular disorders</w:t>
            </w:r>
          </w:p>
        </w:tc>
      </w:tr>
      <w:tr w:rsidR="007C6B44" w:rsidRPr="007C6B44" w14:paraId="653E1386" w14:textId="77777777" w:rsidTr="007C6B44">
        <w:trPr>
          <w:trHeight w:val="315"/>
        </w:trPr>
        <w:tc>
          <w:tcPr>
            <w:tcW w:w="1449" w:type="pct"/>
            <w:hideMark/>
          </w:tcPr>
          <w:p w14:paraId="26116A9D" w14:textId="77777777" w:rsidR="007C6B44" w:rsidRPr="007C6B44" w:rsidRDefault="007C6B44" w:rsidP="007C6B44">
            <w:pPr>
              <w:pStyle w:val="Tabletext1"/>
            </w:pPr>
            <w:r w:rsidRPr="007C6B44">
              <w:t>Flush</w:t>
            </w:r>
          </w:p>
        </w:tc>
        <w:tc>
          <w:tcPr>
            <w:tcW w:w="661" w:type="pct"/>
            <w:hideMark/>
          </w:tcPr>
          <w:p w14:paraId="0533C129" w14:textId="77777777" w:rsidR="007C6B44" w:rsidRPr="007C6B44" w:rsidRDefault="007C6B44" w:rsidP="007C6B44">
            <w:pPr>
              <w:pStyle w:val="Tabletext1"/>
            </w:pPr>
            <w:r w:rsidRPr="007C6B44">
              <w:t>0.02%</w:t>
            </w:r>
          </w:p>
        </w:tc>
        <w:tc>
          <w:tcPr>
            <w:tcW w:w="466" w:type="pct"/>
            <w:hideMark/>
          </w:tcPr>
          <w:p w14:paraId="2D85F73F" w14:textId="77777777" w:rsidR="007C6B44" w:rsidRPr="007C6B44" w:rsidRDefault="007C6B44" w:rsidP="007C6B44">
            <w:pPr>
              <w:pStyle w:val="Tabletext1"/>
            </w:pPr>
            <w:r w:rsidRPr="007C6B44">
              <w:t> </w:t>
            </w:r>
            <w:r>
              <w:t>-</w:t>
            </w:r>
          </w:p>
        </w:tc>
        <w:tc>
          <w:tcPr>
            <w:tcW w:w="661" w:type="pct"/>
            <w:hideMark/>
          </w:tcPr>
          <w:p w14:paraId="076AEBF4" w14:textId="77777777" w:rsidR="007C6B44" w:rsidRPr="007C6B44" w:rsidRDefault="007C6B44" w:rsidP="007C6B44">
            <w:pPr>
              <w:pStyle w:val="Tabletext1"/>
            </w:pPr>
            <w:r w:rsidRPr="007C6B44">
              <w:t>$0.00</w:t>
            </w:r>
          </w:p>
        </w:tc>
        <w:tc>
          <w:tcPr>
            <w:tcW w:w="1762" w:type="pct"/>
            <w:noWrap/>
            <w:hideMark/>
          </w:tcPr>
          <w:p w14:paraId="2BEAAEBB" w14:textId="77777777" w:rsidR="007C6B44" w:rsidRPr="007C6B44" w:rsidRDefault="007C6B44" w:rsidP="007C6B44">
            <w:pPr>
              <w:pStyle w:val="Tabletext1"/>
            </w:pPr>
            <w:r>
              <w:t>Not costed</w:t>
            </w:r>
          </w:p>
        </w:tc>
      </w:tr>
      <w:tr w:rsidR="007C6B44" w:rsidRPr="007C6B44" w14:paraId="2C0383F3" w14:textId="77777777" w:rsidTr="007C6B44">
        <w:trPr>
          <w:trHeight w:val="315"/>
        </w:trPr>
        <w:tc>
          <w:tcPr>
            <w:tcW w:w="1449" w:type="pct"/>
            <w:hideMark/>
          </w:tcPr>
          <w:p w14:paraId="197FE27C" w14:textId="77777777" w:rsidR="007C6B44" w:rsidRPr="007C6B44" w:rsidRDefault="007C6B44" w:rsidP="007C6B44">
            <w:pPr>
              <w:pStyle w:val="Tabletext1"/>
            </w:pPr>
            <w:r w:rsidRPr="007C6B44">
              <w:t>Tingling, stitching</w:t>
            </w:r>
          </w:p>
        </w:tc>
        <w:tc>
          <w:tcPr>
            <w:tcW w:w="661" w:type="pct"/>
            <w:hideMark/>
          </w:tcPr>
          <w:p w14:paraId="5A206A9D" w14:textId="77777777" w:rsidR="007C6B44" w:rsidRPr="007C6B44" w:rsidRDefault="007C6B44" w:rsidP="007C6B44">
            <w:pPr>
              <w:pStyle w:val="Tabletext1"/>
            </w:pPr>
            <w:r w:rsidRPr="007C6B44">
              <w:t>0.02%</w:t>
            </w:r>
          </w:p>
        </w:tc>
        <w:tc>
          <w:tcPr>
            <w:tcW w:w="466" w:type="pct"/>
            <w:hideMark/>
          </w:tcPr>
          <w:p w14:paraId="28A6F263" w14:textId="77777777" w:rsidR="007C6B44" w:rsidRPr="007C6B44" w:rsidRDefault="007C6B44" w:rsidP="007C6B44">
            <w:pPr>
              <w:pStyle w:val="Tabletext1"/>
            </w:pPr>
            <w:r w:rsidRPr="007C6B44">
              <w:t> </w:t>
            </w:r>
          </w:p>
        </w:tc>
        <w:tc>
          <w:tcPr>
            <w:tcW w:w="661" w:type="pct"/>
            <w:hideMark/>
          </w:tcPr>
          <w:p w14:paraId="27AD8247" w14:textId="77777777" w:rsidR="007C6B44" w:rsidRPr="007C6B44" w:rsidRDefault="007C6B44" w:rsidP="007C6B44">
            <w:pPr>
              <w:pStyle w:val="Tabletext1"/>
            </w:pPr>
            <w:r w:rsidRPr="007C6B44">
              <w:t>$0.00</w:t>
            </w:r>
          </w:p>
        </w:tc>
        <w:tc>
          <w:tcPr>
            <w:tcW w:w="1762" w:type="pct"/>
            <w:noWrap/>
            <w:hideMark/>
          </w:tcPr>
          <w:p w14:paraId="466BAE1E" w14:textId="77777777" w:rsidR="007C6B44" w:rsidRPr="007C6B44" w:rsidRDefault="007C6B44" w:rsidP="007C6B44">
            <w:pPr>
              <w:pStyle w:val="Tabletext1"/>
            </w:pPr>
            <w:r>
              <w:t>Not costed</w:t>
            </w:r>
          </w:p>
        </w:tc>
      </w:tr>
      <w:tr w:rsidR="007C6B44" w:rsidRPr="007C6B44" w14:paraId="64AA7275" w14:textId="77777777" w:rsidTr="007C6B44">
        <w:trPr>
          <w:trHeight w:val="315"/>
        </w:trPr>
        <w:tc>
          <w:tcPr>
            <w:tcW w:w="1449" w:type="pct"/>
            <w:hideMark/>
          </w:tcPr>
          <w:p w14:paraId="1DE9CCF5" w14:textId="77777777" w:rsidR="007C6B44" w:rsidRPr="007C6B44" w:rsidRDefault="007C6B44" w:rsidP="007C6B44">
            <w:pPr>
              <w:pStyle w:val="Tabletext1"/>
            </w:pPr>
            <w:r w:rsidRPr="007C6B44">
              <w:t>Arrhythmia</w:t>
            </w:r>
          </w:p>
        </w:tc>
        <w:tc>
          <w:tcPr>
            <w:tcW w:w="661" w:type="pct"/>
            <w:hideMark/>
          </w:tcPr>
          <w:p w14:paraId="2D689804" w14:textId="77777777" w:rsidR="007C6B44" w:rsidRPr="007C6B44" w:rsidRDefault="007C6B44" w:rsidP="007C6B44">
            <w:pPr>
              <w:pStyle w:val="Tabletext1"/>
            </w:pPr>
            <w:r w:rsidRPr="007C6B44">
              <w:t>0.02%</w:t>
            </w:r>
          </w:p>
        </w:tc>
        <w:tc>
          <w:tcPr>
            <w:tcW w:w="466" w:type="pct"/>
            <w:hideMark/>
          </w:tcPr>
          <w:p w14:paraId="209C9018" w14:textId="77777777" w:rsidR="007C6B44" w:rsidRPr="007C6B44" w:rsidRDefault="007C6B44" w:rsidP="007C6B44">
            <w:pPr>
              <w:pStyle w:val="Tabletext1"/>
            </w:pPr>
            <w:r w:rsidRPr="007C6B44">
              <w:t>$3,379</w:t>
            </w:r>
          </w:p>
        </w:tc>
        <w:tc>
          <w:tcPr>
            <w:tcW w:w="661" w:type="pct"/>
            <w:hideMark/>
          </w:tcPr>
          <w:p w14:paraId="3150BCDD" w14:textId="77777777" w:rsidR="007C6B44" w:rsidRPr="007C6B44" w:rsidRDefault="007C6B44" w:rsidP="007C6B44">
            <w:pPr>
              <w:pStyle w:val="Tabletext1"/>
            </w:pPr>
            <w:r w:rsidRPr="007C6B44">
              <w:t>$0.68</w:t>
            </w:r>
          </w:p>
        </w:tc>
        <w:tc>
          <w:tcPr>
            <w:tcW w:w="1762" w:type="pct"/>
            <w:noWrap/>
            <w:hideMark/>
          </w:tcPr>
          <w:p w14:paraId="016A4374" w14:textId="77777777" w:rsidR="007C6B44" w:rsidRPr="007C6B44" w:rsidRDefault="007C6B44" w:rsidP="007C6B44">
            <w:pPr>
              <w:pStyle w:val="Tabletext1"/>
            </w:pPr>
            <w:r w:rsidRPr="007C6B44">
              <w:t>F76, Arrhythmia</w:t>
            </w:r>
          </w:p>
        </w:tc>
      </w:tr>
      <w:tr w:rsidR="007C6B44" w:rsidRPr="007C6B44" w14:paraId="3387B112" w14:textId="77777777" w:rsidTr="007C6B44">
        <w:trPr>
          <w:trHeight w:val="315"/>
        </w:trPr>
        <w:tc>
          <w:tcPr>
            <w:tcW w:w="1449" w:type="pct"/>
            <w:hideMark/>
          </w:tcPr>
          <w:p w14:paraId="79F5F0FB" w14:textId="77777777" w:rsidR="007C6B44" w:rsidRPr="007C6B44" w:rsidRDefault="007C6B44" w:rsidP="007C6B44">
            <w:pPr>
              <w:pStyle w:val="Tabletext1"/>
            </w:pPr>
            <w:r w:rsidRPr="007C6B44">
              <w:t>Bronchospasm</w:t>
            </w:r>
          </w:p>
        </w:tc>
        <w:tc>
          <w:tcPr>
            <w:tcW w:w="661" w:type="pct"/>
            <w:hideMark/>
          </w:tcPr>
          <w:p w14:paraId="6B2AC9DD" w14:textId="77777777" w:rsidR="007C6B44" w:rsidRPr="007C6B44" w:rsidRDefault="007C6B44" w:rsidP="007C6B44">
            <w:pPr>
              <w:pStyle w:val="Tabletext1"/>
            </w:pPr>
            <w:r w:rsidRPr="007C6B44">
              <w:t>0.01%</w:t>
            </w:r>
          </w:p>
        </w:tc>
        <w:tc>
          <w:tcPr>
            <w:tcW w:w="466" w:type="pct"/>
            <w:hideMark/>
          </w:tcPr>
          <w:p w14:paraId="638F06B7" w14:textId="77777777" w:rsidR="007C6B44" w:rsidRPr="007C6B44" w:rsidRDefault="007C6B44" w:rsidP="007C6B44">
            <w:pPr>
              <w:pStyle w:val="Tabletext1"/>
            </w:pPr>
            <w:r w:rsidRPr="007C6B44">
              <w:t>$6,419</w:t>
            </w:r>
          </w:p>
        </w:tc>
        <w:tc>
          <w:tcPr>
            <w:tcW w:w="661" w:type="pct"/>
            <w:hideMark/>
          </w:tcPr>
          <w:p w14:paraId="010175D2" w14:textId="77777777" w:rsidR="007C6B44" w:rsidRPr="007C6B44" w:rsidRDefault="007C6B44" w:rsidP="007C6B44">
            <w:pPr>
              <w:pStyle w:val="Tabletext1"/>
            </w:pPr>
            <w:r w:rsidRPr="007C6B44">
              <w:t>$0.64</w:t>
            </w:r>
          </w:p>
        </w:tc>
        <w:tc>
          <w:tcPr>
            <w:tcW w:w="1762" w:type="pct"/>
            <w:noWrap/>
            <w:hideMark/>
          </w:tcPr>
          <w:p w14:paraId="3011BCE0" w14:textId="77777777" w:rsidR="007C6B44" w:rsidRPr="007C6B44" w:rsidRDefault="00857ED6" w:rsidP="007C6B44">
            <w:pPr>
              <w:pStyle w:val="Tabletext1"/>
            </w:pPr>
            <w:r w:rsidRPr="00857ED6">
              <w:t>E62, Respiratory infections and inflammations</w:t>
            </w:r>
          </w:p>
        </w:tc>
      </w:tr>
      <w:tr w:rsidR="007C6B44" w:rsidRPr="007C6B44" w14:paraId="2C681049" w14:textId="77777777" w:rsidTr="007C6B44">
        <w:trPr>
          <w:trHeight w:val="315"/>
        </w:trPr>
        <w:tc>
          <w:tcPr>
            <w:tcW w:w="1449" w:type="pct"/>
            <w:hideMark/>
          </w:tcPr>
          <w:p w14:paraId="77A0E0C1" w14:textId="7BE52C19" w:rsidR="007C6B44" w:rsidRPr="007C6B44" w:rsidRDefault="007C6B44" w:rsidP="007C6B44">
            <w:pPr>
              <w:pStyle w:val="Tabletext1"/>
            </w:pPr>
            <w:r w:rsidRPr="007C6B44">
              <w:t xml:space="preserve">Quincke </w:t>
            </w:r>
            <w:r w:rsidR="00A301B9">
              <w:t>o</w:t>
            </w:r>
            <w:r w:rsidRPr="007C6B44">
              <w:t>edema</w:t>
            </w:r>
          </w:p>
        </w:tc>
        <w:tc>
          <w:tcPr>
            <w:tcW w:w="661" w:type="pct"/>
            <w:hideMark/>
          </w:tcPr>
          <w:p w14:paraId="71DB532B" w14:textId="77777777" w:rsidR="007C6B44" w:rsidRPr="007C6B44" w:rsidRDefault="007C6B44" w:rsidP="007C6B44">
            <w:pPr>
              <w:pStyle w:val="Tabletext1"/>
            </w:pPr>
            <w:r w:rsidRPr="007C6B44">
              <w:t>0.01%</w:t>
            </w:r>
          </w:p>
        </w:tc>
        <w:tc>
          <w:tcPr>
            <w:tcW w:w="466" w:type="pct"/>
            <w:hideMark/>
          </w:tcPr>
          <w:p w14:paraId="06129561" w14:textId="77777777" w:rsidR="007C6B44" w:rsidRPr="007C6B44" w:rsidRDefault="007C6B44" w:rsidP="007C6B44">
            <w:pPr>
              <w:pStyle w:val="Tabletext1"/>
            </w:pPr>
            <w:r w:rsidRPr="007C6B44">
              <w:t>$1,214</w:t>
            </w:r>
          </w:p>
        </w:tc>
        <w:tc>
          <w:tcPr>
            <w:tcW w:w="661" w:type="pct"/>
            <w:hideMark/>
          </w:tcPr>
          <w:p w14:paraId="11F96E5A" w14:textId="77777777" w:rsidR="007C6B44" w:rsidRPr="007C6B44" w:rsidRDefault="007C6B44" w:rsidP="007C6B44">
            <w:pPr>
              <w:pStyle w:val="Tabletext1"/>
            </w:pPr>
            <w:r w:rsidRPr="007C6B44">
              <w:t>$0.12</w:t>
            </w:r>
          </w:p>
        </w:tc>
        <w:tc>
          <w:tcPr>
            <w:tcW w:w="1762" w:type="pct"/>
            <w:noWrap/>
            <w:hideMark/>
          </w:tcPr>
          <w:p w14:paraId="290B2A72" w14:textId="77777777" w:rsidR="007C6B44" w:rsidRPr="007C6B44" w:rsidRDefault="007C6B44" w:rsidP="007C6B44">
            <w:pPr>
              <w:pStyle w:val="Tabletext1"/>
            </w:pPr>
            <w:r w:rsidRPr="007C6B44">
              <w:t>X61, Allergic reactions</w:t>
            </w:r>
          </w:p>
        </w:tc>
      </w:tr>
      <w:tr w:rsidR="007C6B44" w:rsidRPr="007C6B44" w14:paraId="011F63A3" w14:textId="77777777" w:rsidTr="007C6B44">
        <w:trPr>
          <w:trHeight w:val="315"/>
        </w:trPr>
        <w:tc>
          <w:tcPr>
            <w:tcW w:w="1449" w:type="pct"/>
            <w:hideMark/>
          </w:tcPr>
          <w:p w14:paraId="2F459531" w14:textId="77777777" w:rsidR="007C6B44" w:rsidRPr="007C6B44" w:rsidRDefault="007C6B44" w:rsidP="007C6B44">
            <w:pPr>
              <w:pStyle w:val="Tabletext1"/>
            </w:pPr>
            <w:r w:rsidRPr="007C6B44">
              <w:t>Anaphylactic reaction</w:t>
            </w:r>
          </w:p>
        </w:tc>
        <w:tc>
          <w:tcPr>
            <w:tcW w:w="661" w:type="pct"/>
            <w:hideMark/>
          </w:tcPr>
          <w:p w14:paraId="1B793605" w14:textId="77777777" w:rsidR="007C6B44" w:rsidRPr="007C6B44" w:rsidRDefault="007C6B44" w:rsidP="007C6B44">
            <w:pPr>
              <w:pStyle w:val="Tabletext1"/>
            </w:pPr>
            <w:r w:rsidRPr="007C6B44">
              <w:t>0.002%</w:t>
            </w:r>
          </w:p>
        </w:tc>
        <w:tc>
          <w:tcPr>
            <w:tcW w:w="466" w:type="pct"/>
            <w:hideMark/>
          </w:tcPr>
          <w:p w14:paraId="141A20A8" w14:textId="77777777" w:rsidR="007C6B44" w:rsidRPr="007C6B44" w:rsidRDefault="007C6B44" w:rsidP="007C6B44">
            <w:pPr>
              <w:pStyle w:val="Tabletext1"/>
            </w:pPr>
            <w:r w:rsidRPr="007C6B44">
              <w:t>$1,214</w:t>
            </w:r>
          </w:p>
        </w:tc>
        <w:tc>
          <w:tcPr>
            <w:tcW w:w="661" w:type="pct"/>
            <w:hideMark/>
          </w:tcPr>
          <w:p w14:paraId="49638168" w14:textId="77777777" w:rsidR="007C6B44" w:rsidRPr="007C6B44" w:rsidRDefault="007C6B44" w:rsidP="007C6B44">
            <w:pPr>
              <w:pStyle w:val="Tabletext1"/>
            </w:pPr>
            <w:r w:rsidRPr="007C6B44">
              <w:t>$0.02</w:t>
            </w:r>
          </w:p>
        </w:tc>
        <w:tc>
          <w:tcPr>
            <w:tcW w:w="1762" w:type="pct"/>
            <w:noWrap/>
            <w:hideMark/>
          </w:tcPr>
          <w:p w14:paraId="09684B5A" w14:textId="77777777" w:rsidR="007C6B44" w:rsidRPr="007C6B44" w:rsidRDefault="007C6B44" w:rsidP="007C6B44">
            <w:pPr>
              <w:pStyle w:val="Tabletext1"/>
            </w:pPr>
            <w:r w:rsidRPr="007C6B44">
              <w:t>X61, Allergic reactions</w:t>
            </w:r>
          </w:p>
        </w:tc>
      </w:tr>
      <w:tr w:rsidR="007C6B44" w:rsidRPr="007C6B44" w14:paraId="1CB7EDF0" w14:textId="77777777" w:rsidTr="007C6B44">
        <w:trPr>
          <w:trHeight w:val="315"/>
        </w:trPr>
        <w:tc>
          <w:tcPr>
            <w:tcW w:w="1449" w:type="pct"/>
            <w:hideMark/>
          </w:tcPr>
          <w:p w14:paraId="2C3E1093" w14:textId="77777777" w:rsidR="007C6B44" w:rsidRPr="007C6B44" w:rsidRDefault="007C6B44" w:rsidP="007C6B44">
            <w:pPr>
              <w:pStyle w:val="Tabletext1"/>
            </w:pPr>
            <w:r w:rsidRPr="007C6B44">
              <w:t>TRALI chest pain, chest pain</w:t>
            </w:r>
          </w:p>
        </w:tc>
        <w:tc>
          <w:tcPr>
            <w:tcW w:w="661" w:type="pct"/>
            <w:hideMark/>
          </w:tcPr>
          <w:p w14:paraId="640E9F42" w14:textId="77777777" w:rsidR="007C6B44" w:rsidRPr="007C6B44" w:rsidRDefault="007C6B44" w:rsidP="007C6B44">
            <w:pPr>
              <w:pStyle w:val="Tabletext1"/>
            </w:pPr>
            <w:r w:rsidRPr="007C6B44">
              <w:t>0.004%</w:t>
            </w:r>
          </w:p>
        </w:tc>
        <w:tc>
          <w:tcPr>
            <w:tcW w:w="466" w:type="pct"/>
            <w:hideMark/>
          </w:tcPr>
          <w:p w14:paraId="200093BD" w14:textId="77777777" w:rsidR="007C6B44" w:rsidRPr="007C6B44" w:rsidRDefault="007C6B44" w:rsidP="007C6B44">
            <w:pPr>
              <w:pStyle w:val="Tabletext1"/>
            </w:pPr>
            <w:r w:rsidRPr="007C6B44">
              <w:t>$1,066</w:t>
            </w:r>
          </w:p>
        </w:tc>
        <w:tc>
          <w:tcPr>
            <w:tcW w:w="661" w:type="pct"/>
            <w:hideMark/>
          </w:tcPr>
          <w:p w14:paraId="513072E8" w14:textId="77777777" w:rsidR="007C6B44" w:rsidRPr="007C6B44" w:rsidRDefault="007C6B44" w:rsidP="007C6B44">
            <w:pPr>
              <w:pStyle w:val="Tabletext1"/>
            </w:pPr>
            <w:r w:rsidRPr="007C6B44">
              <w:t>$0.04</w:t>
            </w:r>
          </w:p>
        </w:tc>
        <w:tc>
          <w:tcPr>
            <w:tcW w:w="1762" w:type="pct"/>
            <w:noWrap/>
            <w:hideMark/>
          </w:tcPr>
          <w:p w14:paraId="4AB4FF6E" w14:textId="77777777" w:rsidR="007C6B44" w:rsidRPr="007C6B44" w:rsidRDefault="007C6B44" w:rsidP="007C6B44">
            <w:pPr>
              <w:pStyle w:val="Tabletext1"/>
            </w:pPr>
            <w:r w:rsidRPr="007C6B44">
              <w:t>F74, chest pain</w:t>
            </w:r>
          </w:p>
        </w:tc>
      </w:tr>
      <w:tr w:rsidR="007C6B44" w:rsidRPr="007C6B44" w14:paraId="5BB6CD9C" w14:textId="77777777" w:rsidTr="007C6B44">
        <w:trPr>
          <w:trHeight w:val="315"/>
        </w:trPr>
        <w:tc>
          <w:tcPr>
            <w:tcW w:w="1449" w:type="pct"/>
            <w:hideMark/>
          </w:tcPr>
          <w:p w14:paraId="572FD4E5" w14:textId="77777777" w:rsidR="007C6B44" w:rsidRPr="007C6B44" w:rsidRDefault="007C6B44" w:rsidP="007C6B44">
            <w:pPr>
              <w:pStyle w:val="Tabletext1"/>
            </w:pPr>
            <w:r w:rsidRPr="007C6B44">
              <w:t>GI bleeding</w:t>
            </w:r>
          </w:p>
        </w:tc>
        <w:tc>
          <w:tcPr>
            <w:tcW w:w="661" w:type="pct"/>
            <w:hideMark/>
          </w:tcPr>
          <w:p w14:paraId="610744AF" w14:textId="77777777" w:rsidR="007C6B44" w:rsidRPr="007C6B44" w:rsidRDefault="007C6B44" w:rsidP="007C6B44">
            <w:pPr>
              <w:pStyle w:val="Tabletext1"/>
            </w:pPr>
            <w:r w:rsidRPr="007C6B44">
              <w:t>0.002%</w:t>
            </w:r>
          </w:p>
        </w:tc>
        <w:tc>
          <w:tcPr>
            <w:tcW w:w="466" w:type="pct"/>
            <w:hideMark/>
          </w:tcPr>
          <w:p w14:paraId="6EE2D233" w14:textId="77777777" w:rsidR="007C6B44" w:rsidRPr="007C6B44" w:rsidRDefault="007C6B44" w:rsidP="007C6B44">
            <w:pPr>
              <w:pStyle w:val="Tabletext1"/>
            </w:pPr>
            <w:r w:rsidRPr="007C6B44">
              <w:t>$5,698</w:t>
            </w:r>
          </w:p>
        </w:tc>
        <w:tc>
          <w:tcPr>
            <w:tcW w:w="661" w:type="pct"/>
            <w:hideMark/>
          </w:tcPr>
          <w:p w14:paraId="0EA6EC8F" w14:textId="77777777" w:rsidR="007C6B44" w:rsidRPr="007C6B44" w:rsidRDefault="007C6B44" w:rsidP="007C6B44">
            <w:pPr>
              <w:pStyle w:val="Tabletext1"/>
            </w:pPr>
            <w:r w:rsidRPr="007C6B44">
              <w:t>$0.11</w:t>
            </w:r>
          </w:p>
        </w:tc>
        <w:tc>
          <w:tcPr>
            <w:tcW w:w="1762" w:type="pct"/>
            <w:noWrap/>
            <w:hideMark/>
          </w:tcPr>
          <w:p w14:paraId="34CDF182" w14:textId="77777777" w:rsidR="007C6B44" w:rsidRPr="007C6B44" w:rsidRDefault="007C6B44" w:rsidP="007C6B44">
            <w:pPr>
              <w:pStyle w:val="Tabletext1"/>
            </w:pPr>
            <w:r w:rsidRPr="007C6B44">
              <w:t>G61 GI Haemorrhage</w:t>
            </w:r>
          </w:p>
        </w:tc>
      </w:tr>
      <w:tr w:rsidR="007C6B44" w:rsidRPr="007C6B44" w14:paraId="761101BC" w14:textId="77777777" w:rsidTr="007C6B44">
        <w:trPr>
          <w:trHeight w:val="315"/>
        </w:trPr>
        <w:tc>
          <w:tcPr>
            <w:tcW w:w="1449" w:type="pct"/>
            <w:hideMark/>
          </w:tcPr>
          <w:p w14:paraId="0EFABB28" w14:textId="77777777" w:rsidR="007C6B44" w:rsidRPr="007C6B44" w:rsidRDefault="007C6B44" w:rsidP="007C6B44">
            <w:pPr>
              <w:pStyle w:val="Tabletext1"/>
            </w:pPr>
            <w:r w:rsidRPr="007C6B44">
              <w:t>Hypertension</w:t>
            </w:r>
          </w:p>
        </w:tc>
        <w:tc>
          <w:tcPr>
            <w:tcW w:w="661" w:type="pct"/>
            <w:hideMark/>
          </w:tcPr>
          <w:p w14:paraId="43EAAD12" w14:textId="77777777" w:rsidR="007C6B44" w:rsidRPr="007C6B44" w:rsidRDefault="007C6B44" w:rsidP="007C6B44">
            <w:pPr>
              <w:pStyle w:val="Tabletext1"/>
            </w:pPr>
            <w:r w:rsidRPr="007C6B44">
              <w:t>0.004%</w:t>
            </w:r>
          </w:p>
        </w:tc>
        <w:tc>
          <w:tcPr>
            <w:tcW w:w="466" w:type="pct"/>
            <w:hideMark/>
          </w:tcPr>
          <w:p w14:paraId="1CFE6694" w14:textId="77777777" w:rsidR="007C6B44" w:rsidRPr="007C6B44" w:rsidRDefault="007C6B44" w:rsidP="007C6B44">
            <w:pPr>
              <w:pStyle w:val="Tabletext1"/>
            </w:pPr>
            <w:r w:rsidRPr="007C6B44">
              <w:t>$2,655</w:t>
            </w:r>
          </w:p>
        </w:tc>
        <w:tc>
          <w:tcPr>
            <w:tcW w:w="661" w:type="pct"/>
            <w:hideMark/>
          </w:tcPr>
          <w:p w14:paraId="66B209D7" w14:textId="77777777" w:rsidR="007C6B44" w:rsidRPr="007C6B44" w:rsidRDefault="007C6B44" w:rsidP="007C6B44">
            <w:pPr>
              <w:pStyle w:val="Tabletext1"/>
            </w:pPr>
            <w:r w:rsidRPr="007C6B44">
              <w:t>$0.11</w:t>
            </w:r>
          </w:p>
        </w:tc>
        <w:tc>
          <w:tcPr>
            <w:tcW w:w="1762" w:type="pct"/>
            <w:noWrap/>
            <w:hideMark/>
          </w:tcPr>
          <w:p w14:paraId="57306149" w14:textId="77777777" w:rsidR="007C6B44" w:rsidRPr="007C6B44" w:rsidRDefault="007C6B44" w:rsidP="007C6B44">
            <w:pPr>
              <w:pStyle w:val="Tabletext1"/>
            </w:pPr>
            <w:r w:rsidRPr="007C6B44">
              <w:t>F67, Hypertension</w:t>
            </w:r>
          </w:p>
        </w:tc>
      </w:tr>
      <w:tr w:rsidR="007C6B44" w:rsidRPr="007C6B44" w14:paraId="23D00C04" w14:textId="77777777" w:rsidTr="007C6B44">
        <w:trPr>
          <w:trHeight w:val="315"/>
        </w:trPr>
        <w:tc>
          <w:tcPr>
            <w:tcW w:w="1449" w:type="pct"/>
            <w:hideMark/>
          </w:tcPr>
          <w:p w14:paraId="057C8FCC" w14:textId="77777777" w:rsidR="007C6B44" w:rsidRPr="007C6B44" w:rsidRDefault="007C6B44" w:rsidP="007C6B44">
            <w:pPr>
              <w:pStyle w:val="Tabletext1"/>
            </w:pPr>
            <w:r w:rsidRPr="007C6B44">
              <w:t>AE to drug</w:t>
            </w:r>
          </w:p>
        </w:tc>
        <w:tc>
          <w:tcPr>
            <w:tcW w:w="661" w:type="pct"/>
            <w:hideMark/>
          </w:tcPr>
          <w:p w14:paraId="16A53A63" w14:textId="77777777" w:rsidR="007C6B44" w:rsidRPr="007C6B44" w:rsidRDefault="007C6B44" w:rsidP="007C6B44">
            <w:pPr>
              <w:pStyle w:val="Tabletext1"/>
            </w:pPr>
            <w:r w:rsidRPr="007C6B44">
              <w:t>0.002%</w:t>
            </w:r>
          </w:p>
        </w:tc>
        <w:tc>
          <w:tcPr>
            <w:tcW w:w="466" w:type="pct"/>
            <w:hideMark/>
          </w:tcPr>
          <w:p w14:paraId="5BBDA10F" w14:textId="77777777" w:rsidR="007C6B44" w:rsidRPr="007C6B44" w:rsidRDefault="007C6B44" w:rsidP="007C6B44">
            <w:pPr>
              <w:pStyle w:val="Tabletext1"/>
            </w:pPr>
            <w:r w:rsidRPr="007C6B44">
              <w:t>$1,214</w:t>
            </w:r>
          </w:p>
        </w:tc>
        <w:tc>
          <w:tcPr>
            <w:tcW w:w="661" w:type="pct"/>
            <w:hideMark/>
          </w:tcPr>
          <w:p w14:paraId="14D8A607" w14:textId="77777777" w:rsidR="007C6B44" w:rsidRPr="007C6B44" w:rsidRDefault="007C6B44" w:rsidP="007C6B44">
            <w:pPr>
              <w:pStyle w:val="Tabletext1"/>
            </w:pPr>
            <w:r w:rsidRPr="007C6B44">
              <w:t>$0.02</w:t>
            </w:r>
          </w:p>
        </w:tc>
        <w:tc>
          <w:tcPr>
            <w:tcW w:w="1762" w:type="pct"/>
            <w:noWrap/>
            <w:hideMark/>
          </w:tcPr>
          <w:p w14:paraId="56660B65" w14:textId="77777777" w:rsidR="007C6B44" w:rsidRPr="007C6B44" w:rsidRDefault="007C6B44" w:rsidP="007C6B44">
            <w:pPr>
              <w:pStyle w:val="Tabletext1"/>
            </w:pPr>
            <w:r w:rsidRPr="007C6B44">
              <w:t>X61, Allergic reactions</w:t>
            </w:r>
          </w:p>
        </w:tc>
      </w:tr>
      <w:tr w:rsidR="007C6B44" w:rsidRPr="007C6B44" w14:paraId="7E4A8AB5" w14:textId="77777777" w:rsidTr="007C6B44">
        <w:trPr>
          <w:trHeight w:val="315"/>
        </w:trPr>
        <w:tc>
          <w:tcPr>
            <w:tcW w:w="1449" w:type="pct"/>
            <w:hideMark/>
          </w:tcPr>
          <w:p w14:paraId="7F69C59F" w14:textId="77777777" w:rsidR="007C6B44" w:rsidRPr="007C6B44" w:rsidRDefault="007C6B44" w:rsidP="007C6B44">
            <w:pPr>
              <w:pStyle w:val="Tabletext1"/>
              <w:rPr>
                <w:b/>
                <w:bCs/>
              </w:rPr>
            </w:pPr>
            <w:r w:rsidRPr="007C6B44">
              <w:rPr>
                <w:b/>
                <w:bCs/>
              </w:rPr>
              <w:t xml:space="preserve">Total </w:t>
            </w:r>
          </w:p>
        </w:tc>
        <w:tc>
          <w:tcPr>
            <w:tcW w:w="661" w:type="pct"/>
            <w:hideMark/>
          </w:tcPr>
          <w:p w14:paraId="17CF729B" w14:textId="77777777" w:rsidR="007C6B44" w:rsidRPr="007C6B44" w:rsidRDefault="007C6B44" w:rsidP="007C6B44">
            <w:pPr>
              <w:pStyle w:val="Tabletext1"/>
              <w:rPr>
                <w:b/>
                <w:bCs/>
              </w:rPr>
            </w:pPr>
          </w:p>
        </w:tc>
        <w:tc>
          <w:tcPr>
            <w:tcW w:w="466" w:type="pct"/>
            <w:hideMark/>
          </w:tcPr>
          <w:p w14:paraId="0C6C51F2" w14:textId="77777777" w:rsidR="007C6B44" w:rsidRPr="007C6B44" w:rsidRDefault="007C6B44" w:rsidP="007C6B44">
            <w:pPr>
              <w:pStyle w:val="Tabletext1"/>
              <w:rPr>
                <w:b/>
                <w:bCs/>
              </w:rPr>
            </w:pPr>
            <w:r w:rsidRPr="007C6B44">
              <w:rPr>
                <w:b/>
                <w:bCs/>
              </w:rPr>
              <w:t> </w:t>
            </w:r>
          </w:p>
        </w:tc>
        <w:tc>
          <w:tcPr>
            <w:tcW w:w="661" w:type="pct"/>
            <w:hideMark/>
          </w:tcPr>
          <w:p w14:paraId="329055C8" w14:textId="77777777" w:rsidR="007C6B44" w:rsidRPr="007C6B44" w:rsidRDefault="007C6B44" w:rsidP="007C6B44">
            <w:pPr>
              <w:pStyle w:val="Tabletext1"/>
              <w:rPr>
                <w:b/>
                <w:bCs/>
              </w:rPr>
            </w:pPr>
            <w:r w:rsidRPr="007C6B44">
              <w:rPr>
                <w:b/>
                <w:bCs/>
              </w:rPr>
              <w:t>$8.28</w:t>
            </w:r>
          </w:p>
        </w:tc>
        <w:tc>
          <w:tcPr>
            <w:tcW w:w="1762" w:type="pct"/>
            <w:noWrap/>
            <w:hideMark/>
          </w:tcPr>
          <w:p w14:paraId="66379B37" w14:textId="77777777" w:rsidR="007C6B44" w:rsidRPr="007C6B44" w:rsidRDefault="00527D56" w:rsidP="007C6B44">
            <w:pPr>
              <w:pStyle w:val="Tabletext1"/>
              <w:rPr>
                <w:b/>
                <w:bCs/>
              </w:rPr>
            </w:pPr>
            <w:r>
              <w:rPr>
                <w:b/>
                <w:bCs/>
              </w:rPr>
              <w:t>Sum of all AE costs per procedure</w:t>
            </w:r>
          </w:p>
        </w:tc>
      </w:tr>
    </w:tbl>
    <w:p w14:paraId="0CB83A04" w14:textId="39F0BE02" w:rsidR="009A525F" w:rsidRDefault="009A525F" w:rsidP="007C6B44">
      <w:pPr>
        <w:pStyle w:val="Tablenote"/>
      </w:pPr>
      <w:r>
        <w:t xml:space="preserve">Source: </w:t>
      </w:r>
      <w:r>
        <w:fldChar w:fldCharType="begin"/>
      </w:r>
      <w:r>
        <w:instrText xml:space="preserve"> REF _Ref57051518 \h </w:instrText>
      </w:r>
      <w:r>
        <w:fldChar w:fldCharType="separate"/>
      </w:r>
      <w:r w:rsidR="004B3EA2">
        <w:t xml:space="preserve">Table </w:t>
      </w:r>
      <w:r w:rsidR="004B3EA2">
        <w:rPr>
          <w:noProof/>
        </w:rPr>
        <w:t>18</w:t>
      </w:r>
      <w:r>
        <w:fldChar w:fldCharType="end"/>
      </w:r>
      <w:r>
        <w:t xml:space="preserve"> and </w: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 </w:instrText>
      </w:r>
      <w:r w:rsidR="00B727D6">
        <w:fldChar w:fldCharType="begin">
          <w:fldData xml:space="preserve">PEVuZE5vdGU+PENpdGU+PEF1dGhvcj5Nw7ZydHplbGwgSGVucmlrc3NvbjwvQXV0aG9yPjxZZWFy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</w:fldData>
        </w:fldChar>
      </w:r>
      <w:r w:rsidR="00B727D6">
        <w:instrText xml:space="preserve"> ADDIN EN.CITE.DATA </w:instrText>
      </w:r>
      <w:r w:rsidR="00B727D6">
        <w:fldChar w:fldCharType="end"/>
      </w:r>
      <w:r w:rsidR="00B727D6">
        <w:fldChar w:fldCharType="separate"/>
      </w:r>
      <w:r w:rsidR="00B727D6">
        <w:rPr>
          <w:noProof/>
        </w:rPr>
        <w:t>(</w:t>
      </w:r>
      <w:hyperlink w:anchor="_ENREF_46" w:tooltip="Mörtzell Henriksson, 2016 #8" w:history="1">
        <w:r w:rsidR="00D726F6">
          <w:rPr>
            <w:noProof/>
          </w:rPr>
          <w:t>Mörtzell Henriksson et al. 2016</w:t>
        </w:r>
      </w:hyperlink>
      <w:r w:rsidR="00B727D6">
        <w:rPr>
          <w:noProof/>
        </w:rPr>
        <w:t>)</w:t>
      </w:r>
      <w:r w:rsidR="00B727D6">
        <w:fldChar w:fldCharType="end"/>
      </w:r>
      <w:r>
        <w:t xml:space="preserve">. Costs sourced from IHPA cost reports </w:t>
      </w:r>
      <w:r w:rsidR="00B727D6">
        <w:fldChar w:fldCharType="begin"/>
      </w:r>
      <w:r w:rsidR="00B727D6">
        <w:instrText xml:space="preserve"> ADDIN EN.CITE &lt;EndNote&gt;&lt;Cite&gt;&lt;Author&gt;IHPA&lt;/Author&gt;&lt;Year&gt;2021&lt;/Year&gt;&lt;RecNum&gt;1961&lt;/RecNum&gt;&lt;DisplayText&gt;(IHPA 2021)&lt;/DisplayText&gt;&lt;record&gt;&lt;rec-number&gt;1961&lt;/rec-number&gt;&lt;foreign-keys&gt;&lt;key app="EN" db-id="xtr5xfx2xf0wd7e0s2qvst2ietxxf0tpzr9v" timestamp="1615261212"&gt;1961&lt;/key&gt;&lt;/foreign-keys&gt;&lt;ref-type name="Report"&gt;27&lt;/ref-type&gt;&lt;contributors&gt;&lt;authors&gt;&lt;author&gt;IHPA,&lt;/author&gt;&lt;/authors&gt;&lt;tertiary-authors&gt;&lt;author&gt;The Independent Hospital Pricing Authority &lt;/author&gt;&lt;/tertiary-authors&gt;&lt;/contributors&gt;&lt;titles&gt;&lt;title&gt;NATIONAL HOSPITAL COST DATA COLLECTION, COST WEIGHTS FOR AR-DRG VERSION 10.0, Round 23 (2018-19), Public Sector&lt;/title&gt;&lt;/titles&gt;&lt;dates&gt;&lt;year&gt;2021&lt;/year&gt;&lt;/dates&gt;&lt;publisher&gt;The Independent Hospital Pricing Authority &lt;/publisher&gt;&lt;urls&gt;&lt;/urls&gt;&lt;/record&gt;&lt;/Cite&gt;&lt;/EndNote&gt;</w:instrText>
      </w:r>
      <w:r w:rsidR="00B727D6">
        <w:fldChar w:fldCharType="separate"/>
      </w:r>
      <w:r w:rsidR="00B727D6">
        <w:rPr>
          <w:noProof/>
        </w:rPr>
        <w:t>(</w:t>
      </w:r>
      <w:hyperlink w:anchor="_ENREF_30" w:tooltip="IHPA, 2021 #1961" w:history="1">
        <w:r w:rsidR="00D726F6">
          <w:rPr>
            <w:noProof/>
          </w:rPr>
          <w:t>IHPA 2021</w:t>
        </w:r>
      </w:hyperlink>
      <w:r w:rsidR="00B727D6">
        <w:rPr>
          <w:noProof/>
        </w:rPr>
        <w:t>)</w:t>
      </w:r>
      <w:r w:rsidR="00B727D6">
        <w:fldChar w:fldCharType="end"/>
      </w:r>
    </w:p>
    <w:p w14:paraId="12967376" w14:textId="77777777" w:rsidR="00920A12" w:rsidRDefault="007C6B44" w:rsidP="007C6B44">
      <w:pPr>
        <w:pStyle w:val="Tablenote"/>
        <w:rPr>
          <w:rStyle w:val="Hyperlink"/>
          <w:color w:val="auto"/>
          <w:u w:val="none"/>
        </w:rPr>
      </w:pPr>
      <w:r>
        <w:t xml:space="preserve">AE = adverse event; </w:t>
      </w:r>
      <w:r w:rsidR="009A525F">
        <w:t xml:space="preserve">AR-DRG = </w:t>
      </w:r>
      <w:r w:rsidR="009A525F" w:rsidRPr="00F7550F">
        <w:t>Australian Refined Diagnosis Related Groups</w:t>
      </w:r>
      <w:r w:rsidR="009A525F">
        <w:t xml:space="preserve">; </w:t>
      </w:r>
      <w:r w:rsidR="009A525F">
        <w:rPr>
          <w:rStyle w:val="Hyperlink"/>
          <w:color w:val="auto"/>
          <w:u w:val="none"/>
        </w:rPr>
        <w:t>IHPA =</w:t>
      </w:r>
      <w:r w:rsidR="009A525F" w:rsidRPr="00A129D2">
        <w:t xml:space="preserve"> </w:t>
      </w:r>
      <w:r w:rsidR="009A525F">
        <w:t>t</w:t>
      </w:r>
      <w:r w:rsidR="009A525F" w:rsidRPr="00A129D2">
        <w:rPr>
          <w:rStyle w:val="Hyperlink"/>
          <w:color w:val="auto"/>
          <w:u w:val="none"/>
        </w:rPr>
        <w:t>he Independent Hospital Pricing Authority</w:t>
      </w:r>
    </w:p>
    <w:p w14:paraId="30D83EB3" w14:textId="77777777" w:rsidR="00920A12" w:rsidRDefault="00920A12" w:rsidP="00920A12">
      <w:pPr>
        <w:pStyle w:val="Heading2"/>
        <w:rPr>
          <w:rStyle w:val="Hyperlink"/>
          <w:color w:val="auto"/>
          <w:u w:val="none"/>
        </w:rPr>
      </w:pPr>
      <w:bookmarkStart w:id="560" w:name="_Toc69305634"/>
      <w:r>
        <w:rPr>
          <w:rStyle w:val="Hyperlink"/>
          <w:color w:val="auto"/>
          <w:u w:val="none"/>
        </w:rPr>
        <w:t>Markov traces for modelled analyses</w:t>
      </w:r>
      <w:bookmarkEnd w:id="560"/>
    </w:p>
    <w:p w14:paraId="72EA21C8" w14:textId="661A88F7" w:rsidR="00920A12" w:rsidRDefault="00920A12" w:rsidP="00920A12">
      <w:pPr>
        <w:pStyle w:val="Caption"/>
        <w:jc w:val="both"/>
      </w:pPr>
      <w:bookmarkStart w:id="561" w:name="_Ref67404528"/>
      <w:bookmarkStart w:id="562" w:name="_Toc69305750"/>
      <w:r>
        <w:t xml:space="preserve">Figure </w:t>
      </w:r>
      <w:r w:rsidR="00003BA5">
        <w:fldChar w:fldCharType="begin"/>
      </w:r>
      <w:r w:rsidR="00003BA5">
        <w:instrText xml:space="preserve"> SEQ Figure \* ARABIC </w:instrText>
      </w:r>
      <w:r w:rsidR="00003BA5">
        <w:fldChar w:fldCharType="separate"/>
      </w:r>
      <w:r w:rsidR="004B3EA2">
        <w:rPr>
          <w:noProof/>
        </w:rPr>
        <w:t>18</w:t>
      </w:r>
      <w:r w:rsidR="00003BA5">
        <w:rPr>
          <w:noProof/>
        </w:rPr>
        <w:fldChar w:fldCharType="end"/>
      </w:r>
      <w:bookmarkEnd w:id="561"/>
      <w:r>
        <w:tab/>
        <w:t>Markov model traces, Ig arm</w:t>
      </w:r>
      <w:bookmarkEnd w:id="562"/>
    </w:p>
    <w:p w14:paraId="1B1EDDCF" w14:textId="7CCB0277" w:rsidR="00920A12" w:rsidRDefault="007B5FF4" w:rsidP="00920A12">
      <w:pPr>
        <w:pStyle w:val="BodyTextSTD"/>
        <w:rPr>
          <w:rStyle w:val="Hyperlink"/>
          <w:color w:val="auto"/>
          <w:u w:val="none"/>
        </w:rPr>
      </w:pPr>
      <w:r>
        <w:rPr>
          <w:rStyle w:val="Hyperlink"/>
          <w:noProof/>
          <w:color w:val="auto"/>
          <w:u w:val="none"/>
        </w:rPr>
        <w:drawing>
          <wp:inline distT="0" distB="0" distL="0" distR="0" wp14:anchorId="14EB3A66" wp14:editId="62EE6A22">
            <wp:extent cx="5778393" cy="2875119"/>
            <wp:effectExtent l="0" t="0" r="0" b="1905"/>
            <wp:docPr id="19" name="Picture 19" descr="Markov model traces, Ig arm" title="Markov model traces, Ig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5463" cy="2888588"/>
                    </a:xfrm>
                    <a:prstGeom prst="rect">
                      <a:avLst/>
                    </a:prstGeom>
                    <a:noFill/>
                  </pic:spPr>
                </pic:pic>
              </a:graphicData>
            </a:graphic>
          </wp:inline>
        </w:drawing>
      </w:r>
    </w:p>
    <w:p w14:paraId="0A301443" w14:textId="52D3A66A" w:rsidR="00920A12" w:rsidRDefault="00920A12" w:rsidP="00920A12">
      <w:pPr>
        <w:pStyle w:val="Caption"/>
        <w:jc w:val="both"/>
      </w:pPr>
      <w:bookmarkStart w:id="563" w:name="_Toc69305751"/>
      <w:r>
        <w:t xml:space="preserve">Figure </w:t>
      </w:r>
      <w:r w:rsidR="00003BA5">
        <w:fldChar w:fldCharType="begin"/>
      </w:r>
      <w:r w:rsidR="00003BA5">
        <w:instrText xml:space="preserve"> SEQ Figure \* ARABIC </w:instrText>
      </w:r>
      <w:r w:rsidR="00003BA5">
        <w:fldChar w:fldCharType="separate"/>
      </w:r>
      <w:r w:rsidR="004B3EA2">
        <w:rPr>
          <w:noProof/>
        </w:rPr>
        <w:t>19</w:t>
      </w:r>
      <w:r w:rsidR="00003BA5">
        <w:rPr>
          <w:noProof/>
        </w:rPr>
        <w:fldChar w:fldCharType="end"/>
      </w:r>
      <w:r>
        <w:tab/>
        <w:t>Markov model traces, corticosteroids arm</w:t>
      </w:r>
      <w:bookmarkEnd w:id="563"/>
    </w:p>
    <w:p w14:paraId="7185FB72" w14:textId="2B8DC005" w:rsidR="00920A12" w:rsidRDefault="00920080" w:rsidP="00920A12">
      <w:pPr>
        <w:pStyle w:val="BodyTextSTD"/>
        <w:rPr>
          <w:rStyle w:val="Hyperlink"/>
          <w:color w:val="auto"/>
          <w:u w:val="none"/>
        </w:rPr>
      </w:pPr>
      <w:r>
        <w:rPr>
          <w:rStyle w:val="Hyperlink"/>
          <w:noProof/>
          <w:color w:val="auto"/>
          <w:u w:val="none"/>
        </w:rPr>
        <w:drawing>
          <wp:inline distT="0" distB="0" distL="0" distR="0" wp14:anchorId="0127678F" wp14:editId="3EE89FB3">
            <wp:extent cx="5786077" cy="3230684"/>
            <wp:effectExtent l="0" t="0" r="5715" b="8255"/>
            <wp:docPr id="23" name="Picture 23" descr="Markov model traces, corticosteroids arm" title="Markov model traces, corticosteroids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1727" cy="3239422"/>
                    </a:xfrm>
                    <a:prstGeom prst="rect">
                      <a:avLst/>
                    </a:prstGeom>
                    <a:noFill/>
                  </pic:spPr>
                </pic:pic>
              </a:graphicData>
            </a:graphic>
          </wp:inline>
        </w:drawing>
      </w:r>
    </w:p>
    <w:p w14:paraId="3C0C2B97" w14:textId="0BEA69B1" w:rsidR="00920A12" w:rsidRDefault="00920A12" w:rsidP="00920A12">
      <w:pPr>
        <w:pStyle w:val="Caption"/>
        <w:jc w:val="both"/>
      </w:pPr>
      <w:bookmarkStart w:id="564" w:name="_Ref67404543"/>
      <w:bookmarkStart w:id="565" w:name="_Toc69305752"/>
      <w:r>
        <w:t xml:space="preserve">Figure </w:t>
      </w:r>
      <w:r w:rsidR="00003BA5">
        <w:fldChar w:fldCharType="begin"/>
      </w:r>
      <w:r w:rsidR="00003BA5">
        <w:instrText xml:space="preserve"> SEQ Figure \* ARABIC </w:instrText>
      </w:r>
      <w:r w:rsidR="00003BA5">
        <w:fldChar w:fldCharType="separate"/>
      </w:r>
      <w:r w:rsidR="004B3EA2">
        <w:rPr>
          <w:noProof/>
        </w:rPr>
        <w:t>20</w:t>
      </w:r>
      <w:r w:rsidR="00003BA5">
        <w:rPr>
          <w:noProof/>
        </w:rPr>
        <w:fldChar w:fldCharType="end"/>
      </w:r>
      <w:bookmarkEnd w:id="564"/>
      <w:r>
        <w:tab/>
        <w:t>Markov model traces, plasma exchange arm</w:t>
      </w:r>
      <w:bookmarkEnd w:id="565"/>
    </w:p>
    <w:p w14:paraId="39F11E57" w14:textId="669F6013" w:rsidR="00920A12" w:rsidRDefault="00920080" w:rsidP="00920A12">
      <w:pPr>
        <w:pStyle w:val="BodyTextSTD"/>
        <w:rPr>
          <w:rStyle w:val="Hyperlink"/>
          <w:color w:val="auto"/>
          <w:u w:val="none"/>
        </w:rPr>
      </w:pPr>
      <w:r>
        <w:rPr>
          <w:noProof/>
        </w:rPr>
        <w:drawing>
          <wp:inline distT="0" distB="0" distL="0" distR="0" wp14:anchorId="0B359E22" wp14:editId="4B78E199">
            <wp:extent cx="5731510" cy="3002915"/>
            <wp:effectExtent l="0" t="0" r="2540" b="6985"/>
            <wp:docPr id="25" name="Picture 7" descr="Markov model traces, plasma exchange arm" title="Markov model traces, plasma exchang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3"/>
                    <a:stretch>
                      <a:fillRect/>
                    </a:stretch>
                  </pic:blipFill>
                  <pic:spPr>
                    <a:xfrm>
                      <a:off x="0" y="0"/>
                      <a:ext cx="5731510" cy="3002915"/>
                    </a:xfrm>
                    <a:prstGeom prst="rect">
                      <a:avLst/>
                    </a:prstGeom>
                  </pic:spPr>
                </pic:pic>
              </a:graphicData>
            </a:graphic>
          </wp:inline>
        </w:drawing>
      </w:r>
    </w:p>
    <w:p w14:paraId="7225CB51" w14:textId="1C7C79D0" w:rsidR="00920A12" w:rsidRDefault="00920A12" w:rsidP="00920A12">
      <w:pPr>
        <w:pStyle w:val="Caption"/>
        <w:jc w:val="both"/>
      </w:pPr>
      <w:bookmarkStart w:id="566" w:name="_Ref67404589"/>
      <w:bookmarkStart w:id="567" w:name="_Toc69305753"/>
      <w:r>
        <w:t xml:space="preserve">Figure </w:t>
      </w:r>
      <w:r w:rsidR="00003BA5">
        <w:fldChar w:fldCharType="begin"/>
      </w:r>
      <w:r w:rsidR="00003BA5">
        <w:instrText xml:space="preserve"> SEQ Figure \* ARABIC </w:instrText>
      </w:r>
      <w:r w:rsidR="00003BA5">
        <w:fldChar w:fldCharType="separate"/>
      </w:r>
      <w:r w:rsidR="004B3EA2">
        <w:rPr>
          <w:noProof/>
        </w:rPr>
        <w:t>21</w:t>
      </w:r>
      <w:r w:rsidR="00003BA5">
        <w:rPr>
          <w:noProof/>
        </w:rPr>
        <w:fldChar w:fldCharType="end"/>
      </w:r>
      <w:bookmarkEnd w:id="566"/>
      <w:r>
        <w:tab/>
        <w:t xml:space="preserve">Markov model traces, </w:t>
      </w:r>
      <w:r w:rsidR="004D547D">
        <w:t xml:space="preserve">best supportive care </w:t>
      </w:r>
      <w:r>
        <w:t>arm</w:t>
      </w:r>
      <w:bookmarkEnd w:id="567"/>
    </w:p>
    <w:p w14:paraId="2EF5C8DB" w14:textId="71CC1E39" w:rsidR="00920A12" w:rsidRDefault="00920080" w:rsidP="00920A12">
      <w:pPr>
        <w:pStyle w:val="BodyTextSTD"/>
        <w:rPr>
          <w:rStyle w:val="Hyperlink"/>
          <w:color w:val="auto"/>
          <w:u w:val="none"/>
        </w:rPr>
      </w:pPr>
      <w:r>
        <w:rPr>
          <w:rStyle w:val="Hyperlink"/>
          <w:noProof/>
          <w:color w:val="auto"/>
          <w:u w:val="none"/>
        </w:rPr>
        <w:drawing>
          <wp:inline distT="0" distB="0" distL="0" distR="0" wp14:anchorId="353E642F" wp14:editId="4B1DF88D">
            <wp:extent cx="5747657" cy="2780719"/>
            <wp:effectExtent l="0" t="0" r="5715" b="635"/>
            <wp:docPr id="26" name="Picture 26" descr="Markov model traces, best supportive care arm" title="Markov model traces, best supportive car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73309" cy="2793130"/>
                    </a:xfrm>
                    <a:prstGeom prst="rect">
                      <a:avLst/>
                    </a:prstGeom>
                    <a:noFill/>
                  </pic:spPr>
                </pic:pic>
              </a:graphicData>
            </a:graphic>
          </wp:inline>
        </w:drawing>
      </w:r>
    </w:p>
    <w:p w14:paraId="262738BA" w14:textId="77777777" w:rsidR="00021A77" w:rsidRDefault="00021A77" w:rsidP="00021A77">
      <w:pPr>
        <w:pStyle w:val="Heading2"/>
        <w:rPr>
          <w:rStyle w:val="Hyperlink"/>
          <w:color w:val="auto"/>
          <w:u w:val="none"/>
        </w:rPr>
      </w:pPr>
      <w:bookmarkStart w:id="568" w:name="_Toc69305635"/>
      <w:r>
        <w:rPr>
          <w:rStyle w:val="Hyperlink"/>
          <w:color w:val="auto"/>
          <w:u w:val="none"/>
        </w:rPr>
        <w:t>Sensitivity analysis</w:t>
      </w:r>
      <w:bookmarkEnd w:id="568"/>
    </w:p>
    <w:p w14:paraId="100549AD" w14:textId="77777777" w:rsidR="00F64D12" w:rsidRDefault="00F64D12" w:rsidP="00F64D12">
      <w:pPr>
        <w:pStyle w:val="Heading3"/>
      </w:pPr>
      <w:bookmarkStart w:id="569" w:name="_Toc69305636"/>
      <w:r>
        <w:t>Ig versus corticosteroids</w:t>
      </w:r>
      <w:bookmarkEnd w:id="569"/>
    </w:p>
    <w:p w14:paraId="35E81F41" w14:textId="6362748F" w:rsidR="0050582D" w:rsidRDefault="0050582D" w:rsidP="00246245">
      <w:pPr>
        <w:pStyle w:val="Caption"/>
      </w:pPr>
      <w:bookmarkStart w:id="570" w:name="_Ref67995783"/>
      <w:bookmarkStart w:id="571" w:name="_Toc69305727"/>
      <w:r>
        <w:t xml:space="preserve">Table </w:t>
      </w:r>
      <w:r w:rsidR="00003BA5">
        <w:fldChar w:fldCharType="begin"/>
      </w:r>
      <w:r w:rsidR="00003BA5">
        <w:instrText xml:space="preserve"> SEQ Table \* ARABIC </w:instrText>
      </w:r>
      <w:r w:rsidR="00003BA5">
        <w:fldChar w:fldCharType="separate"/>
      </w:r>
      <w:r w:rsidR="004B3EA2">
        <w:rPr>
          <w:noProof/>
        </w:rPr>
        <w:t>86</w:t>
      </w:r>
      <w:r w:rsidR="00003BA5">
        <w:rPr>
          <w:noProof/>
        </w:rPr>
        <w:fldChar w:fldCharType="end"/>
      </w:r>
      <w:bookmarkEnd w:id="570"/>
      <w:r>
        <w:tab/>
        <w:t>Sensitivity analyses, Ig versus corticosteroids</w:t>
      </w:r>
      <w:bookmarkEnd w:id="571"/>
    </w:p>
    <w:tbl>
      <w:tblPr>
        <w:tblStyle w:val="TableGrid"/>
        <w:tblW w:w="5000" w:type="pct"/>
        <w:tblLayout w:type="fixed"/>
        <w:tblLook w:val="04A0" w:firstRow="1" w:lastRow="0" w:firstColumn="1" w:lastColumn="0" w:noHBand="0" w:noVBand="1"/>
        <w:tblCaption w:val="Sensitivity analyses, Ig versus corticosteroids"/>
        <w:tblDescription w:val="Sensitivity analyses, Ig versus corticosteroids"/>
      </w:tblPr>
      <w:tblGrid>
        <w:gridCol w:w="5240"/>
        <w:gridCol w:w="992"/>
        <w:gridCol w:w="851"/>
        <w:gridCol w:w="992"/>
        <w:gridCol w:w="941"/>
      </w:tblGrid>
      <w:tr w:rsidR="00F64D12" w:rsidRPr="00506F71" w14:paraId="246050D8" w14:textId="77777777" w:rsidTr="00246245">
        <w:trPr>
          <w:trHeight w:val="255"/>
          <w:tblHeader/>
        </w:trPr>
        <w:tc>
          <w:tcPr>
            <w:tcW w:w="2906" w:type="pct"/>
            <w:tcBorders>
              <w:bottom w:val="single" w:sz="4" w:space="0" w:color="auto"/>
            </w:tcBorders>
            <w:noWrap/>
            <w:hideMark/>
          </w:tcPr>
          <w:p w14:paraId="2503DD4D" w14:textId="77777777" w:rsidR="00F64D12" w:rsidRPr="009D68D4" w:rsidRDefault="00F64D12" w:rsidP="00246245">
            <w:pPr>
              <w:pStyle w:val="TableHeading"/>
              <w:ind w:left="0"/>
            </w:pPr>
          </w:p>
        </w:tc>
        <w:tc>
          <w:tcPr>
            <w:tcW w:w="550" w:type="pct"/>
            <w:tcBorders>
              <w:bottom w:val="single" w:sz="4" w:space="0" w:color="auto"/>
            </w:tcBorders>
            <w:noWrap/>
            <w:hideMark/>
          </w:tcPr>
          <w:p w14:paraId="204DA0E6" w14:textId="77777777" w:rsidR="00F64D12" w:rsidRPr="00246245" w:rsidRDefault="00F64D12" w:rsidP="00246245">
            <w:pPr>
              <w:pStyle w:val="TableHeading"/>
              <w:ind w:left="0"/>
              <w:rPr>
                <w:rFonts w:cs="Calibri"/>
                <w:b w:val="0"/>
                <w:bCs/>
              </w:rPr>
            </w:pPr>
            <w:r w:rsidRPr="00246245">
              <w:rPr>
                <w:rFonts w:cs="Calibri"/>
                <w:bCs/>
              </w:rPr>
              <w:t>Inc. cost</w:t>
            </w:r>
          </w:p>
        </w:tc>
        <w:tc>
          <w:tcPr>
            <w:tcW w:w="472" w:type="pct"/>
            <w:tcBorders>
              <w:bottom w:val="single" w:sz="4" w:space="0" w:color="auto"/>
            </w:tcBorders>
            <w:noWrap/>
            <w:hideMark/>
          </w:tcPr>
          <w:p w14:paraId="5D226DCC" w14:textId="77777777" w:rsidR="00F64D12" w:rsidRPr="00246245" w:rsidRDefault="00F64D12" w:rsidP="00246245">
            <w:pPr>
              <w:pStyle w:val="TableHeading"/>
              <w:ind w:left="0"/>
              <w:rPr>
                <w:rFonts w:cs="Calibri"/>
                <w:b w:val="0"/>
                <w:bCs/>
              </w:rPr>
            </w:pPr>
            <w:r w:rsidRPr="00246245">
              <w:rPr>
                <w:rFonts w:cs="Calibri"/>
                <w:bCs/>
              </w:rPr>
              <w:t>Inc. QALYs</w:t>
            </w:r>
          </w:p>
        </w:tc>
        <w:tc>
          <w:tcPr>
            <w:tcW w:w="550" w:type="pct"/>
            <w:tcBorders>
              <w:bottom w:val="single" w:sz="4" w:space="0" w:color="auto"/>
            </w:tcBorders>
            <w:noWrap/>
            <w:hideMark/>
          </w:tcPr>
          <w:p w14:paraId="0CDB0793" w14:textId="77777777" w:rsidR="00F64D12" w:rsidRPr="00246245" w:rsidRDefault="00F64D12" w:rsidP="00246245">
            <w:pPr>
              <w:pStyle w:val="TableHeading"/>
              <w:ind w:left="0"/>
              <w:rPr>
                <w:rFonts w:cs="Calibri"/>
                <w:b w:val="0"/>
                <w:bCs/>
              </w:rPr>
            </w:pPr>
            <w:r w:rsidRPr="00246245">
              <w:rPr>
                <w:rFonts w:cs="Calibri"/>
                <w:bCs/>
              </w:rPr>
              <w:t>ICER</w:t>
            </w:r>
          </w:p>
        </w:tc>
        <w:tc>
          <w:tcPr>
            <w:tcW w:w="522" w:type="pct"/>
            <w:tcBorders>
              <w:bottom w:val="single" w:sz="4" w:space="0" w:color="auto"/>
            </w:tcBorders>
            <w:noWrap/>
            <w:hideMark/>
          </w:tcPr>
          <w:p w14:paraId="49BE4B6C" w14:textId="77777777" w:rsidR="00F64D12" w:rsidRPr="00246245" w:rsidRDefault="00F64D12" w:rsidP="00246245">
            <w:pPr>
              <w:pStyle w:val="TableHeading"/>
              <w:ind w:left="0"/>
              <w:rPr>
                <w:rFonts w:cs="Calibri"/>
              </w:rPr>
            </w:pPr>
            <w:r w:rsidRPr="00506F71">
              <w:rPr>
                <w:rFonts w:cs="Calibri"/>
                <w:color w:val="000000"/>
              </w:rPr>
              <w:t>%Change</w:t>
            </w:r>
            <w:r w:rsidRPr="00246245">
              <w:rPr>
                <w:rFonts w:cs="Calibri"/>
              </w:rPr>
              <w:t> </w:t>
            </w:r>
          </w:p>
        </w:tc>
      </w:tr>
      <w:tr w:rsidR="00F64D12" w:rsidRPr="005F76D9" w14:paraId="4A24543F" w14:textId="77777777" w:rsidTr="00246245">
        <w:trPr>
          <w:trHeight w:val="300"/>
        </w:trPr>
        <w:tc>
          <w:tcPr>
            <w:tcW w:w="2906" w:type="pct"/>
            <w:tcBorders>
              <w:right w:val="nil"/>
            </w:tcBorders>
            <w:noWrap/>
            <w:hideMark/>
          </w:tcPr>
          <w:p w14:paraId="1E0A2372" w14:textId="77777777" w:rsidR="00F64D12" w:rsidRPr="005F76D9" w:rsidRDefault="00F64D12" w:rsidP="00246245">
            <w:pPr>
              <w:pStyle w:val="Tabletext1"/>
              <w:ind w:left="0"/>
              <w:rPr>
                <w:rFonts w:cs="Calibri"/>
                <w:b/>
                <w:bCs/>
                <w:color w:val="000000"/>
              </w:rPr>
            </w:pPr>
            <w:r w:rsidRPr="005F76D9">
              <w:rPr>
                <w:rFonts w:cs="Calibri"/>
                <w:b/>
                <w:bCs/>
                <w:color w:val="000000"/>
              </w:rPr>
              <w:t>Cost per gram of Ig</w:t>
            </w:r>
          </w:p>
        </w:tc>
        <w:tc>
          <w:tcPr>
            <w:tcW w:w="550" w:type="pct"/>
            <w:tcBorders>
              <w:left w:val="nil"/>
              <w:right w:val="nil"/>
            </w:tcBorders>
            <w:noWrap/>
          </w:tcPr>
          <w:p w14:paraId="05FE9001" w14:textId="77777777" w:rsidR="00F64D12" w:rsidRPr="005F76D9" w:rsidRDefault="00F64D12" w:rsidP="00246245">
            <w:pPr>
              <w:pStyle w:val="Tabletext1"/>
              <w:ind w:left="0"/>
              <w:rPr>
                <w:rFonts w:ascii="Calibri" w:hAnsi="Calibri" w:cs="Calibri"/>
                <w:b/>
                <w:bCs/>
                <w:color w:val="44546A"/>
              </w:rPr>
            </w:pPr>
          </w:p>
        </w:tc>
        <w:tc>
          <w:tcPr>
            <w:tcW w:w="472" w:type="pct"/>
            <w:tcBorders>
              <w:left w:val="nil"/>
              <w:right w:val="nil"/>
            </w:tcBorders>
            <w:noWrap/>
          </w:tcPr>
          <w:p w14:paraId="11E723B3" w14:textId="77777777" w:rsidR="00F64D12" w:rsidRPr="005F76D9" w:rsidRDefault="00F64D12" w:rsidP="00246245">
            <w:pPr>
              <w:pStyle w:val="Tabletext1"/>
              <w:ind w:left="0"/>
              <w:rPr>
                <w:rFonts w:ascii="Calibri" w:hAnsi="Calibri" w:cs="Calibri"/>
                <w:b/>
                <w:bCs/>
                <w:color w:val="44546A"/>
              </w:rPr>
            </w:pPr>
          </w:p>
        </w:tc>
        <w:tc>
          <w:tcPr>
            <w:tcW w:w="550" w:type="pct"/>
            <w:tcBorders>
              <w:left w:val="nil"/>
              <w:right w:val="nil"/>
            </w:tcBorders>
            <w:noWrap/>
          </w:tcPr>
          <w:p w14:paraId="6B513961" w14:textId="77777777" w:rsidR="00F64D12" w:rsidRPr="005F76D9" w:rsidRDefault="00F64D12" w:rsidP="00246245">
            <w:pPr>
              <w:pStyle w:val="Tabletext1"/>
              <w:ind w:left="0"/>
              <w:rPr>
                <w:rFonts w:ascii="Calibri" w:hAnsi="Calibri" w:cs="Calibri"/>
                <w:b/>
                <w:bCs/>
                <w:color w:val="44546A"/>
              </w:rPr>
            </w:pPr>
          </w:p>
        </w:tc>
        <w:tc>
          <w:tcPr>
            <w:tcW w:w="522" w:type="pct"/>
            <w:tcBorders>
              <w:left w:val="nil"/>
            </w:tcBorders>
            <w:noWrap/>
            <w:hideMark/>
          </w:tcPr>
          <w:p w14:paraId="261336A6" w14:textId="77777777" w:rsidR="00F64D12" w:rsidRPr="005F76D9" w:rsidRDefault="00F64D12" w:rsidP="00246245">
            <w:pPr>
              <w:pStyle w:val="Tabletext1"/>
              <w:ind w:left="0"/>
              <w:rPr>
                <w:rFonts w:cs="Calibri"/>
                <w:color w:val="000000"/>
              </w:rPr>
            </w:pPr>
          </w:p>
        </w:tc>
      </w:tr>
      <w:tr w:rsidR="00506F71" w:rsidRPr="00147634" w14:paraId="299265EC" w14:textId="77777777" w:rsidTr="00246245">
        <w:trPr>
          <w:trHeight w:val="255"/>
        </w:trPr>
        <w:tc>
          <w:tcPr>
            <w:tcW w:w="2906" w:type="pct"/>
            <w:noWrap/>
            <w:hideMark/>
          </w:tcPr>
          <w:p w14:paraId="6EC0DBD6" w14:textId="77777777" w:rsidR="00506F71" w:rsidRPr="00246245" w:rsidRDefault="00506F71" w:rsidP="00246245">
            <w:pPr>
              <w:pStyle w:val="Tabletext1"/>
              <w:ind w:left="0"/>
              <w:rPr>
                <w:rFonts w:cs="Calibri"/>
                <w:b/>
                <w:color w:val="000000"/>
              </w:rPr>
            </w:pPr>
            <w:r w:rsidRPr="00246245">
              <w:rPr>
                <w:rFonts w:cs="Calibri"/>
                <w:b/>
                <w:color w:val="000000"/>
              </w:rPr>
              <w:t>Base case (domestic IVIg, excluding cost of plasma), $60.41 per gram of Ig</w:t>
            </w:r>
          </w:p>
        </w:tc>
        <w:tc>
          <w:tcPr>
            <w:tcW w:w="550" w:type="pct"/>
            <w:noWrap/>
            <w:hideMark/>
          </w:tcPr>
          <w:p w14:paraId="77BE909B" w14:textId="5395E7E0" w:rsidR="00506F71" w:rsidRPr="00246245" w:rsidRDefault="00506F71" w:rsidP="00246245">
            <w:pPr>
              <w:pStyle w:val="Tabletext1"/>
              <w:ind w:left="0"/>
              <w:rPr>
                <w:rFonts w:cs="Calibri"/>
                <w:b/>
                <w:color w:val="000000"/>
              </w:rPr>
            </w:pPr>
            <w:r w:rsidRPr="00246245">
              <w:rPr>
                <w:b/>
              </w:rPr>
              <w:t>$137,443</w:t>
            </w:r>
          </w:p>
        </w:tc>
        <w:tc>
          <w:tcPr>
            <w:tcW w:w="472" w:type="pct"/>
            <w:noWrap/>
            <w:hideMark/>
          </w:tcPr>
          <w:p w14:paraId="64BE91DA" w14:textId="03C970E4" w:rsidR="00506F71" w:rsidRPr="00246245" w:rsidRDefault="00506F71" w:rsidP="00246245">
            <w:pPr>
              <w:pStyle w:val="Tabletext1"/>
              <w:ind w:left="0"/>
              <w:rPr>
                <w:rFonts w:cs="Calibri"/>
                <w:b/>
                <w:color w:val="000000"/>
              </w:rPr>
            </w:pPr>
            <w:r w:rsidRPr="00246245">
              <w:rPr>
                <w:b/>
              </w:rPr>
              <w:t>1.1840</w:t>
            </w:r>
          </w:p>
        </w:tc>
        <w:tc>
          <w:tcPr>
            <w:tcW w:w="550" w:type="pct"/>
            <w:noWrap/>
            <w:hideMark/>
          </w:tcPr>
          <w:p w14:paraId="7DEE48A9" w14:textId="2F0C0D9B" w:rsidR="00506F71" w:rsidRPr="00246245" w:rsidRDefault="00506F71" w:rsidP="00246245">
            <w:pPr>
              <w:pStyle w:val="Tabletext1"/>
              <w:ind w:left="0"/>
              <w:rPr>
                <w:rFonts w:cs="Calibri"/>
                <w:b/>
                <w:color w:val="000000"/>
              </w:rPr>
            </w:pPr>
            <w:r w:rsidRPr="00246245">
              <w:rPr>
                <w:b/>
              </w:rPr>
              <w:t>$116,088</w:t>
            </w:r>
          </w:p>
        </w:tc>
        <w:tc>
          <w:tcPr>
            <w:tcW w:w="522" w:type="pct"/>
            <w:noWrap/>
            <w:hideMark/>
          </w:tcPr>
          <w:p w14:paraId="39666DE3" w14:textId="7C72CA5F" w:rsidR="00506F71" w:rsidRPr="00246245" w:rsidRDefault="00506F71" w:rsidP="00246245">
            <w:pPr>
              <w:pStyle w:val="Tabletext1"/>
              <w:ind w:left="0"/>
              <w:rPr>
                <w:rFonts w:cs="Calibri"/>
                <w:b/>
                <w:color w:val="000000"/>
              </w:rPr>
            </w:pPr>
          </w:p>
        </w:tc>
      </w:tr>
      <w:tr w:rsidR="00506F71" w:rsidRPr="005F76D9" w14:paraId="58143B3B" w14:textId="77777777" w:rsidTr="00246245">
        <w:trPr>
          <w:trHeight w:val="270"/>
        </w:trPr>
        <w:tc>
          <w:tcPr>
            <w:tcW w:w="2906" w:type="pct"/>
            <w:noWrap/>
            <w:hideMark/>
          </w:tcPr>
          <w:p w14:paraId="705CDB02" w14:textId="77777777" w:rsidR="00506F71" w:rsidRPr="005F76D9" w:rsidRDefault="00506F71" w:rsidP="00246245">
            <w:pPr>
              <w:pStyle w:val="Tabletext1"/>
              <w:ind w:left="0"/>
              <w:rPr>
                <w:rFonts w:cs="Calibri"/>
                <w:color w:val="000000"/>
              </w:rPr>
            </w:pPr>
            <w:r w:rsidRPr="005F76D9">
              <w:rPr>
                <w:rFonts w:cs="Calibri"/>
                <w:color w:val="000000"/>
              </w:rPr>
              <w:t>High cost (domestic IVIg, including cost of plasma), $140.18 per gram of Ig</w:t>
            </w:r>
          </w:p>
        </w:tc>
        <w:tc>
          <w:tcPr>
            <w:tcW w:w="550" w:type="pct"/>
            <w:noWrap/>
            <w:hideMark/>
          </w:tcPr>
          <w:p w14:paraId="354AD87C" w14:textId="2A995FD5" w:rsidR="00506F71" w:rsidRPr="005F76D9" w:rsidRDefault="00506F71" w:rsidP="00246245">
            <w:pPr>
              <w:pStyle w:val="Tabletext1"/>
              <w:ind w:left="0"/>
              <w:rPr>
                <w:rFonts w:cs="Calibri"/>
                <w:color w:val="000000"/>
              </w:rPr>
            </w:pPr>
            <w:r w:rsidRPr="00563127">
              <w:t>$310,795</w:t>
            </w:r>
          </w:p>
        </w:tc>
        <w:tc>
          <w:tcPr>
            <w:tcW w:w="472" w:type="pct"/>
            <w:noWrap/>
            <w:hideMark/>
          </w:tcPr>
          <w:p w14:paraId="135FD129" w14:textId="2B5F5DF6" w:rsidR="00506F71" w:rsidRPr="005F76D9" w:rsidRDefault="00506F71" w:rsidP="00246245">
            <w:pPr>
              <w:pStyle w:val="Tabletext1"/>
              <w:ind w:left="0"/>
              <w:rPr>
                <w:rFonts w:cs="Calibri"/>
                <w:color w:val="000000"/>
              </w:rPr>
            </w:pPr>
            <w:r w:rsidRPr="00563127">
              <w:t>1.1840</w:t>
            </w:r>
          </w:p>
        </w:tc>
        <w:tc>
          <w:tcPr>
            <w:tcW w:w="550" w:type="pct"/>
            <w:noWrap/>
            <w:hideMark/>
          </w:tcPr>
          <w:p w14:paraId="5DE7C9A4" w14:textId="3317029D" w:rsidR="00506F71" w:rsidRPr="005F76D9" w:rsidRDefault="00506F71" w:rsidP="00246245">
            <w:pPr>
              <w:pStyle w:val="Tabletext1"/>
              <w:ind w:left="0"/>
              <w:rPr>
                <w:rFonts w:cs="Calibri"/>
                <w:color w:val="000000"/>
              </w:rPr>
            </w:pPr>
            <w:r w:rsidRPr="00563127">
              <w:t>$262,505</w:t>
            </w:r>
          </w:p>
        </w:tc>
        <w:tc>
          <w:tcPr>
            <w:tcW w:w="522" w:type="pct"/>
            <w:noWrap/>
            <w:hideMark/>
          </w:tcPr>
          <w:p w14:paraId="202F77D0" w14:textId="713362F4" w:rsidR="00506F71" w:rsidRPr="005F76D9" w:rsidRDefault="00506F71" w:rsidP="00246245">
            <w:pPr>
              <w:pStyle w:val="Tabletext1"/>
              <w:ind w:left="0"/>
              <w:rPr>
                <w:rFonts w:cs="Calibri"/>
                <w:color w:val="000000"/>
              </w:rPr>
            </w:pPr>
            <w:r w:rsidRPr="00563127">
              <w:t>126%</w:t>
            </w:r>
          </w:p>
        </w:tc>
      </w:tr>
      <w:tr w:rsidR="00506F71" w:rsidRPr="005F76D9" w14:paraId="170C37A6" w14:textId="77777777" w:rsidTr="00246245">
        <w:trPr>
          <w:trHeight w:val="255"/>
        </w:trPr>
        <w:tc>
          <w:tcPr>
            <w:tcW w:w="2906" w:type="pct"/>
            <w:noWrap/>
            <w:hideMark/>
          </w:tcPr>
          <w:p w14:paraId="1B312A04" w14:textId="77777777" w:rsidR="00506F71" w:rsidRPr="005F76D9" w:rsidRDefault="00506F71" w:rsidP="00246245">
            <w:pPr>
              <w:pStyle w:val="Tabletext1"/>
              <w:ind w:left="0"/>
              <w:rPr>
                <w:rFonts w:cs="Calibri"/>
                <w:color w:val="000000"/>
              </w:rPr>
            </w:pPr>
            <w:r w:rsidRPr="005F76D9">
              <w:rPr>
                <w:rFonts w:cs="Calibri"/>
                <w:color w:val="000000"/>
              </w:rPr>
              <w:t>Low cost (imported IVIg), $44.94 per gram of Ig</w:t>
            </w:r>
          </w:p>
        </w:tc>
        <w:tc>
          <w:tcPr>
            <w:tcW w:w="550" w:type="pct"/>
            <w:noWrap/>
            <w:hideMark/>
          </w:tcPr>
          <w:p w14:paraId="48259E4A" w14:textId="46F58A25" w:rsidR="00506F71" w:rsidRPr="005F76D9" w:rsidRDefault="00506F71" w:rsidP="00246245">
            <w:pPr>
              <w:pStyle w:val="Tabletext1"/>
              <w:ind w:left="0"/>
              <w:rPr>
                <w:rFonts w:cs="Calibri"/>
                <w:color w:val="000000"/>
              </w:rPr>
            </w:pPr>
            <w:r w:rsidRPr="00563127">
              <w:t>$103,825</w:t>
            </w:r>
          </w:p>
        </w:tc>
        <w:tc>
          <w:tcPr>
            <w:tcW w:w="472" w:type="pct"/>
            <w:noWrap/>
            <w:hideMark/>
          </w:tcPr>
          <w:p w14:paraId="6636579E" w14:textId="1D0B6261" w:rsidR="00506F71" w:rsidRPr="005F76D9" w:rsidRDefault="00506F71" w:rsidP="00246245">
            <w:pPr>
              <w:pStyle w:val="Tabletext1"/>
              <w:ind w:left="0"/>
              <w:rPr>
                <w:rFonts w:cs="Calibri"/>
                <w:color w:val="000000"/>
              </w:rPr>
            </w:pPr>
            <w:r w:rsidRPr="00563127">
              <w:t>1.1840</w:t>
            </w:r>
          </w:p>
        </w:tc>
        <w:tc>
          <w:tcPr>
            <w:tcW w:w="550" w:type="pct"/>
            <w:noWrap/>
            <w:hideMark/>
          </w:tcPr>
          <w:p w14:paraId="4DCC4754" w14:textId="517E64D1" w:rsidR="00506F71" w:rsidRPr="005F76D9" w:rsidRDefault="00506F71" w:rsidP="00246245">
            <w:pPr>
              <w:pStyle w:val="Tabletext1"/>
              <w:ind w:left="0"/>
              <w:rPr>
                <w:rFonts w:cs="Calibri"/>
                <w:color w:val="000000"/>
              </w:rPr>
            </w:pPr>
            <w:r w:rsidRPr="00563127">
              <w:t>$87,693</w:t>
            </w:r>
          </w:p>
        </w:tc>
        <w:tc>
          <w:tcPr>
            <w:tcW w:w="522" w:type="pct"/>
            <w:noWrap/>
            <w:hideMark/>
          </w:tcPr>
          <w:p w14:paraId="30D92FD1" w14:textId="71B96796" w:rsidR="00506F71" w:rsidRPr="005F76D9" w:rsidRDefault="00506F71" w:rsidP="00246245">
            <w:pPr>
              <w:pStyle w:val="Tabletext1"/>
              <w:ind w:left="0"/>
              <w:rPr>
                <w:rFonts w:cs="Calibri"/>
                <w:color w:val="000000"/>
              </w:rPr>
            </w:pPr>
            <w:r w:rsidRPr="00563127">
              <w:t>-24%</w:t>
            </w:r>
          </w:p>
        </w:tc>
      </w:tr>
      <w:tr w:rsidR="00506F71" w:rsidRPr="005F76D9" w14:paraId="7E251AB6" w14:textId="77777777" w:rsidTr="00246245">
        <w:trPr>
          <w:trHeight w:val="255"/>
        </w:trPr>
        <w:tc>
          <w:tcPr>
            <w:tcW w:w="2906" w:type="pct"/>
            <w:tcBorders>
              <w:bottom w:val="single" w:sz="4" w:space="0" w:color="auto"/>
            </w:tcBorders>
            <w:noWrap/>
            <w:hideMark/>
          </w:tcPr>
          <w:p w14:paraId="4ABFA329" w14:textId="77777777" w:rsidR="00506F71" w:rsidRPr="005F76D9" w:rsidRDefault="00506F71" w:rsidP="00246245">
            <w:pPr>
              <w:pStyle w:val="Tabletext1"/>
              <w:ind w:left="0"/>
              <w:rPr>
                <w:rFonts w:cs="Calibri"/>
                <w:color w:val="000000"/>
              </w:rPr>
            </w:pPr>
            <w:r w:rsidRPr="005F76D9">
              <w:rPr>
                <w:rFonts w:cs="Calibri"/>
                <w:color w:val="000000"/>
              </w:rPr>
              <w:t>weighted average across all indications, $94.51 per gram of Ig</w:t>
            </w:r>
          </w:p>
        </w:tc>
        <w:tc>
          <w:tcPr>
            <w:tcW w:w="550" w:type="pct"/>
            <w:tcBorders>
              <w:bottom w:val="single" w:sz="4" w:space="0" w:color="auto"/>
            </w:tcBorders>
            <w:noWrap/>
            <w:hideMark/>
          </w:tcPr>
          <w:p w14:paraId="34E33D27" w14:textId="3E877DA3" w:rsidR="00506F71" w:rsidRPr="005F76D9" w:rsidRDefault="00506F71" w:rsidP="00246245">
            <w:pPr>
              <w:pStyle w:val="Tabletext1"/>
              <w:ind w:left="0"/>
              <w:rPr>
                <w:rFonts w:cs="Calibri"/>
                <w:color w:val="000000"/>
              </w:rPr>
            </w:pPr>
            <w:r w:rsidRPr="00563127">
              <w:t>$211,540</w:t>
            </w:r>
          </w:p>
        </w:tc>
        <w:tc>
          <w:tcPr>
            <w:tcW w:w="472" w:type="pct"/>
            <w:tcBorders>
              <w:bottom w:val="single" w:sz="4" w:space="0" w:color="auto"/>
            </w:tcBorders>
            <w:noWrap/>
            <w:hideMark/>
          </w:tcPr>
          <w:p w14:paraId="0CADD22B" w14:textId="62BC9B88" w:rsidR="00506F71" w:rsidRPr="005F76D9" w:rsidRDefault="00506F71" w:rsidP="00246245">
            <w:pPr>
              <w:pStyle w:val="Tabletext1"/>
              <w:ind w:left="0"/>
              <w:rPr>
                <w:rFonts w:cs="Calibri"/>
                <w:color w:val="000000"/>
              </w:rPr>
            </w:pPr>
            <w:r w:rsidRPr="00563127">
              <w:t>1.1840</w:t>
            </w:r>
          </w:p>
        </w:tc>
        <w:tc>
          <w:tcPr>
            <w:tcW w:w="550" w:type="pct"/>
            <w:tcBorders>
              <w:bottom w:val="single" w:sz="4" w:space="0" w:color="auto"/>
            </w:tcBorders>
            <w:noWrap/>
            <w:hideMark/>
          </w:tcPr>
          <w:p w14:paraId="03647CAA" w14:textId="5212BAA8" w:rsidR="00506F71" w:rsidRPr="005F76D9" w:rsidRDefault="00506F71" w:rsidP="00246245">
            <w:pPr>
              <w:pStyle w:val="Tabletext1"/>
              <w:ind w:left="0"/>
              <w:rPr>
                <w:rFonts w:cs="Calibri"/>
                <w:color w:val="000000"/>
              </w:rPr>
            </w:pPr>
            <w:r w:rsidRPr="00563127">
              <w:t>$178,672</w:t>
            </w:r>
          </w:p>
        </w:tc>
        <w:tc>
          <w:tcPr>
            <w:tcW w:w="522" w:type="pct"/>
            <w:tcBorders>
              <w:bottom w:val="single" w:sz="4" w:space="0" w:color="auto"/>
            </w:tcBorders>
            <w:noWrap/>
            <w:hideMark/>
          </w:tcPr>
          <w:p w14:paraId="410F2C59" w14:textId="27FC6845" w:rsidR="00506F71" w:rsidRPr="005F76D9" w:rsidRDefault="00506F71" w:rsidP="00246245">
            <w:pPr>
              <w:pStyle w:val="Tabletext1"/>
              <w:ind w:left="0"/>
              <w:rPr>
                <w:rFonts w:cs="Calibri"/>
                <w:color w:val="000000"/>
              </w:rPr>
            </w:pPr>
            <w:r w:rsidRPr="00563127">
              <w:t>54%</w:t>
            </w:r>
          </w:p>
        </w:tc>
      </w:tr>
      <w:tr w:rsidR="00506F71" w:rsidRPr="005F76D9" w14:paraId="383E5C20" w14:textId="77777777" w:rsidTr="00246245">
        <w:trPr>
          <w:trHeight w:val="255"/>
        </w:trPr>
        <w:tc>
          <w:tcPr>
            <w:tcW w:w="2906" w:type="pct"/>
            <w:tcBorders>
              <w:right w:val="nil"/>
            </w:tcBorders>
            <w:noWrap/>
            <w:hideMark/>
          </w:tcPr>
          <w:p w14:paraId="707EA3C9" w14:textId="77777777" w:rsidR="00506F71" w:rsidRPr="00246245" w:rsidRDefault="00506F71" w:rsidP="00246245">
            <w:pPr>
              <w:pStyle w:val="Tabletext1"/>
              <w:ind w:left="0"/>
              <w:rPr>
                <w:rFonts w:cs="Calibri"/>
                <w:b/>
                <w:color w:val="000000"/>
              </w:rPr>
            </w:pPr>
            <w:r w:rsidRPr="00246245">
              <w:rPr>
                <w:rFonts w:cs="Calibri"/>
                <w:b/>
                <w:color w:val="000000"/>
              </w:rPr>
              <w:t>Maintenance dose intervals for Ig (base case: 4 weeks)</w:t>
            </w:r>
          </w:p>
        </w:tc>
        <w:tc>
          <w:tcPr>
            <w:tcW w:w="550" w:type="pct"/>
            <w:tcBorders>
              <w:left w:val="nil"/>
              <w:right w:val="nil"/>
            </w:tcBorders>
            <w:noWrap/>
            <w:hideMark/>
          </w:tcPr>
          <w:p w14:paraId="455E56F9"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4F3B5929" w14:textId="77777777" w:rsidR="00506F71" w:rsidRPr="005F76D9" w:rsidRDefault="00506F71" w:rsidP="00246245">
            <w:pPr>
              <w:pStyle w:val="Tabletext1"/>
              <w:ind w:left="0"/>
            </w:pPr>
          </w:p>
        </w:tc>
        <w:tc>
          <w:tcPr>
            <w:tcW w:w="550" w:type="pct"/>
            <w:tcBorders>
              <w:left w:val="nil"/>
              <w:right w:val="nil"/>
            </w:tcBorders>
            <w:noWrap/>
            <w:hideMark/>
          </w:tcPr>
          <w:p w14:paraId="32D85768" w14:textId="77777777" w:rsidR="00506F71" w:rsidRPr="005F76D9" w:rsidRDefault="00506F71" w:rsidP="00246245">
            <w:pPr>
              <w:pStyle w:val="Tabletext1"/>
              <w:ind w:left="0"/>
            </w:pPr>
          </w:p>
        </w:tc>
        <w:tc>
          <w:tcPr>
            <w:tcW w:w="522" w:type="pct"/>
            <w:tcBorders>
              <w:left w:val="nil"/>
            </w:tcBorders>
            <w:noWrap/>
            <w:hideMark/>
          </w:tcPr>
          <w:p w14:paraId="309DFEA2" w14:textId="1938EC78" w:rsidR="00506F71" w:rsidRPr="005F76D9" w:rsidRDefault="00506F71" w:rsidP="00246245">
            <w:pPr>
              <w:pStyle w:val="Tabletext1"/>
              <w:ind w:left="0"/>
              <w:rPr>
                <w:rFonts w:cs="Calibri"/>
                <w:color w:val="000000"/>
              </w:rPr>
            </w:pPr>
          </w:p>
        </w:tc>
      </w:tr>
      <w:tr w:rsidR="00506F71" w:rsidRPr="005F76D9" w14:paraId="78E209C0" w14:textId="77777777" w:rsidTr="00246245">
        <w:trPr>
          <w:trHeight w:val="255"/>
        </w:trPr>
        <w:tc>
          <w:tcPr>
            <w:tcW w:w="2906" w:type="pct"/>
            <w:noWrap/>
            <w:hideMark/>
          </w:tcPr>
          <w:p w14:paraId="4B611835" w14:textId="77777777" w:rsidR="00506F71" w:rsidRPr="005F76D9" w:rsidRDefault="00506F71" w:rsidP="00246245">
            <w:pPr>
              <w:pStyle w:val="Tabletext1"/>
              <w:ind w:left="0"/>
              <w:rPr>
                <w:rFonts w:cs="Calibri"/>
                <w:color w:val="000000"/>
              </w:rPr>
            </w:pPr>
            <w:r w:rsidRPr="005F76D9">
              <w:rPr>
                <w:rFonts w:cs="Calibri"/>
                <w:color w:val="000000"/>
              </w:rPr>
              <w:t>3 weeks</w:t>
            </w:r>
          </w:p>
        </w:tc>
        <w:tc>
          <w:tcPr>
            <w:tcW w:w="550" w:type="pct"/>
            <w:noWrap/>
            <w:hideMark/>
          </w:tcPr>
          <w:p w14:paraId="66EA8843" w14:textId="6EC2992D" w:rsidR="00506F71" w:rsidRPr="005F76D9" w:rsidRDefault="00506F71" w:rsidP="00246245">
            <w:pPr>
              <w:pStyle w:val="Tabletext1"/>
              <w:ind w:left="0"/>
              <w:rPr>
                <w:rFonts w:cs="Calibri"/>
                <w:color w:val="000000"/>
              </w:rPr>
            </w:pPr>
            <w:r w:rsidRPr="00563127">
              <w:t>$184,329</w:t>
            </w:r>
          </w:p>
        </w:tc>
        <w:tc>
          <w:tcPr>
            <w:tcW w:w="472" w:type="pct"/>
            <w:noWrap/>
            <w:hideMark/>
          </w:tcPr>
          <w:p w14:paraId="4E7A5877" w14:textId="28B13501" w:rsidR="00506F71" w:rsidRPr="005F76D9" w:rsidRDefault="00506F71" w:rsidP="00246245">
            <w:pPr>
              <w:pStyle w:val="Tabletext1"/>
              <w:ind w:left="0"/>
              <w:rPr>
                <w:rFonts w:cs="Calibri"/>
                <w:color w:val="000000"/>
              </w:rPr>
            </w:pPr>
            <w:r w:rsidRPr="00563127">
              <w:t>1.1772</w:t>
            </w:r>
          </w:p>
        </w:tc>
        <w:tc>
          <w:tcPr>
            <w:tcW w:w="550" w:type="pct"/>
            <w:noWrap/>
            <w:hideMark/>
          </w:tcPr>
          <w:p w14:paraId="46A0BD2C" w14:textId="2A40110B" w:rsidR="00506F71" w:rsidRPr="005F76D9" w:rsidRDefault="00506F71" w:rsidP="00246245">
            <w:pPr>
              <w:pStyle w:val="Tabletext1"/>
              <w:ind w:left="0"/>
              <w:rPr>
                <w:rFonts w:cs="Calibri"/>
                <w:color w:val="000000"/>
              </w:rPr>
            </w:pPr>
            <w:r w:rsidRPr="00563127">
              <w:t>$156,582</w:t>
            </w:r>
          </w:p>
        </w:tc>
        <w:tc>
          <w:tcPr>
            <w:tcW w:w="522" w:type="pct"/>
            <w:noWrap/>
            <w:hideMark/>
          </w:tcPr>
          <w:p w14:paraId="1F862910" w14:textId="3E8FBAA1" w:rsidR="00506F71" w:rsidRPr="005F76D9" w:rsidRDefault="00506F71" w:rsidP="00246245">
            <w:pPr>
              <w:pStyle w:val="Tabletext1"/>
              <w:ind w:left="0"/>
              <w:rPr>
                <w:rFonts w:cs="Calibri"/>
                <w:color w:val="000000"/>
              </w:rPr>
            </w:pPr>
            <w:r w:rsidRPr="00563127">
              <w:t>35%</w:t>
            </w:r>
          </w:p>
        </w:tc>
      </w:tr>
      <w:tr w:rsidR="00506F71" w:rsidRPr="005F76D9" w14:paraId="42FAAC79" w14:textId="77777777" w:rsidTr="00246245">
        <w:trPr>
          <w:trHeight w:val="255"/>
        </w:trPr>
        <w:tc>
          <w:tcPr>
            <w:tcW w:w="2906" w:type="pct"/>
            <w:noWrap/>
            <w:hideMark/>
          </w:tcPr>
          <w:p w14:paraId="129CFAC5" w14:textId="77777777" w:rsidR="00506F71" w:rsidRPr="005F76D9" w:rsidRDefault="00506F71" w:rsidP="00246245">
            <w:pPr>
              <w:pStyle w:val="Tabletext1"/>
              <w:ind w:left="0"/>
              <w:rPr>
                <w:rFonts w:cs="Calibri"/>
                <w:color w:val="000000"/>
              </w:rPr>
            </w:pPr>
            <w:r w:rsidRPr="005F76D9">
              <w:rPr>
                <w:rFonts w:cs="Calibri"/>
                <w:color w:val="000000"/>
              </w:rPr>
              <w:t>6 weeks</w:t>
            </w:r>
          </w:p>
        </w:tc>
        <w:tc>
          <w:tcPr>
            <w:tcW w:w="550" w:type="pct"/>
            <w:noWrap/>
            <w:hideMark/>
          </w:tcPr>
          <w:p w14:paraId="2B4D2053" w14:textId="75E64326" w:rsidR="00506F71" w:rsidRPr="005F76D9" w:rsidRDefault="00506F71" w:rsidP="00246245">
            <w:pPr>
              <w:pStyle w:val="Tabletext1"/>
              <w:ind w:left="0"/>
              <w:rPr>
                <w:rFonts w:cs="Calibri"/>
                <w:color w:val="000000"/>
              </w:rPr>
            </w:pPr>
            <w:r w:rsidRPr="00563127">
              <w:t>$90,558</w:t>
            </w:r>
          </w:p>
        </w:tc>
        <w:tc>
          <w:tcPr>
            <w:tcW w:w="472" w:type="pct"/>
            <w:noWrap/>
            <w:hideMark/>
          </w:tcPr>
          <w:p w14:paraId="48DDD1F0" w14:textId="46431AF0" w:rsidR="00506F71" w:rsidRPr="005F76D9" w:rsidRDefault="00506F71" w:rsidP="00246245">
            <w:pPr>
              <w:pStyle w:val="Tabletext1"/>
              <w:ind w:left="0"/>
              <w:rPr>
                <w:rFonts w:cs="Calibri"/>
                <w:color w:val="000000"/>
              </w:rPr>
            </w:pPr>
            <w:r w:rsidRPr="00563127">
              <w:t>1.1907</w:t>
            </w:r>
          </w:p>
        </w:tc>
        <w:tc>
          <w:tcPr>
            <w:tcW w:w="550" w:type="pct"/>
            <w:noWrap/>
            <w:hideMark/>
          </w:tcPr>
          <w:p w14:paraId="00CBD077" w14:textId="56270FE9" w:rsidR="00506F71" w:rsidRPr="005F76D9" w:rsidRDefault="00506F71" w:rsidP="00246245">
            <w:pPr>
              <w:pStyle w:val="Tabletext1"/>
              <w:ind w:left="0"/>
              <w:rPr>
                <w:rFonts w:cs="Calibri"/>
                <w:color w:val="000000"/>
              </w:rPr>
            </w:pPr>
            <w:r w:rsidRPr="00563127">
              <w:t>$76,053</w:t>
            </w:r>
          </w:p>
        </w:tc>
        <w:tc>
          <w:tcPr>
            <w:tcW w:w="522" w:type="pct"/>
            <w:noWrap/>
            <w:hideMark/>
          </w:tcPr>
          <w:p w14:paraId="26090467" w14:textId="52A2568A" w:rsidR="00506F71" w:rsidRPr="005F76D9" w:rsidRDefault="00506F71" w:rsidP="00246245">
            <w:pPr>
              <w:pStyle w:val="Tabletext1"/>
              <w:ind w:left="0"/>
              <w:rPr>
                <w:rFonts w:cs="Calibri"/>
                <w:color w:val="000000"/>
              </w:rPr>
            </w:pPr>
            <w:r w:rsidRPr="00563127">
              <w:t>-34%</w:t>
            </w:r>
          </w:p>
        </w:tc>
      </w:tr>
      <w:tr w:rsidR="00506F71" w:rsidRPr="005F76D9" w14:paraId="0F37B38D" w14:textId="77777777" w:rsidTr="00246245">
        <w:trPr>
          <w:trHeight w:val="255"/>
        </w:trPr>
        <w:tc>
          <w:tcPr>
            <w:tcW w:w="2906" w:type="pct"/>
            <w:tcBorders>
              <w:bottom w:val="single" w:sz="4" w:space="0" w:color="auto"/>
            </w:tcBorders>
            <w:noWrap/>
            <w:hideMark/>
          </w:tcPr>
          <w:p w14:paraId="25B7871F" w14:textId="77777777" w:rsidR="00506F71" w:rsidRPr="005F76D9" w:rsidRDefault="00506F71" w:rsidP="00246245">
            <w:pPr>
              <w:pStyle w:val="Tabletext1"/>
              <w:ind w:left="0"/>
              <w:rPr>
                <w:rFonts w:cs="Calibri"/>
                <w:color w:val="000000"/>
              </w:rPr>
            </w:pPr>
            <w:r w:rsidRPr="005F76D9">
              <w:rPr>
                <w:rFonts w:cs="Calibri"/>
                <w:color w:val="000000"/>
              </w:rPr>
              <w:t>8 weeks</w:t>
            </w:r>
          </w:p>
        </w:tc>
        <w:tc>
          <w:tcPr>
            <w:tcW w:w="550" w:type="pct"/>
            <w:tcBorders>
              <w:bottom w:val="single" w:sz="4" w:space="0" w:color="auto"/>
            </w:tcBorders>
            <w:noWrap/>
            <w:hideMark/>
          </w:tcPr>
          <w:p w14:paraId="0CC7744D" w14:textId="58EA0A43" w:rsidR="00506F71" w:rsidRPr="005F76D9" w:rsidRDefault="00506F71" w:rsidP="00246245">
            <w:pPr>
              <w:pStyle w:val="Tabletext1"/>
              <w:ind w:left="0"/>
              <w:rPr>
                <w:rFonts w:cs="Calibri"/>
                <w:color w:val="000000"/>
              </w:rPr>
            </w:pPr>
            <w:r w:rsidRPr="00563127">
              <w:t>$67,115</w:t>
            </w:r>
          </w:p>
        </w:tc>
        <w:tc>
          <w:tcPr>
            <w:tcW w:w="472" w:type="pct"/>
            <w:tcBorders>
              <w:bottom w:val="single" w:sz="4" w:space="0" w:color="auto"/>
            </w:tcBorders>
            <w:noWrap/>
            <w:hideMark/>
          </w:tcPr>
          <w:p w14:paraId="5AC55EC0" w14:textId="679FA189" w:rsidR="00506F71" w:rsidRPr="005F76D9" w:rsidRDefault="00506F71" w:rsidP="00246245">
            <w:pPr>
              <w:pStyle w:val="Tabletext1"/>
              <w:ind w:left="0"/>
              <w:rPr>
                <w:rFonts w:cs="Calibri"/>
                <w:color w:val="000000"/>
              </w:rPr>
            </w:pPr>
            <w:r w:rsidRPr="00563127">
              <w:t>1.1941</w:t>
            </w:r>
          </w:p>
        </w:tc>
        <w:tc>
          <w:tcPr>
            <w:tcW w:w="550" w:type="pct"/>
            <w:tcBorders>
              <w:bottom w:val="single" w:sz="4" w:space="0" w:color="auto"/>
            </w:tcBorders>
            <w:noWrap/>
            <w:hideMark/>
          </w:tcPr>
          <w:p w14:paraId="60D0CF1A" w14:textId="4374AEF6" w:rsidR="00506F71" w:rsidRPr="005F76D9" w:rsidRDefault="00506F71" w:rsidP="00246245">
            <w:pPr>
              <w:pStyle w:val="Tabletext1"/>
              <w:ind w:left="0"/>
              <w:rPr>
                <w:rFonts w:cs="Calibri"/>
                <w:color w:val="000000"/>
              </w:rPr>
            </w:pPr>
            <w:r w:rsidRPr="00563127">
              <w:t>$56,206</w:t>
            </w:r>
          </w:p>
        </w:tc>
        <w:tc>
          <w:tcPr>
            <w:tcW w:w="522" w:type="pct"/>
            <w:tcBorders>
              <w:bottom w:val="single" w:sz="4" w:space="0" w:color="auto"/>
            </w:tcBorders>
            <w:noWrap/>
            <w:hideMark/>
          </w:tcPr>
          <w:p w14:paraId="45A6131A" w14:textId="482D7546" w:rsidR="00506F71" w:rsidRPr="005F76D9" w:rsidRDefault="00506F71" w:rsidP="00246245">
            <w:pPr>
              <w:pStyle w:val="Tabletext1"/>
              <w:ind w:left="0"/>
              <w:rPr>
                <w:rFonts w:cs="Calibri"/>
                <w:color w:val="000000"/>
              </w:rPr>
            </w:pPr>
            <w:r w:rsidRPr="00563127">
              <w:t>-52%</w:t>
            </w:r>
          </w:p>
        </w:tc>
      </w:tr>
      <w:tr w:rsidR="00506F71" w:rsidRPr="005F76D9" w14:paraId="08A370B8" w14:textId="77777777" w:rsidTr="00246245">
        <w:trPr>
          <w:trHeight w:val="255"/>
        </w:trPr>
        <w:tc>
          <w:tcPr>
            <w:tcW w:w="2906" w:type="pct"/>
            <w:tcBorders>
              <w:right w:val="nil"/>
            </w:tcBorders>
            <w:noWrap/>
            <w:hideMark/>
          </w:tcPr>
          <w:p w14:paraId="66EFD94C" w14:textId="77777777" w:rsidR="00506F71" w:rsidRPr="005F76D9" w:rsidRDefault="00506F71" w:rsidP="00246245">
            <w:pPr>
              <w:pStyle w:val="Tabletext1"/>
              <w:ind w:left="0"/>
              <w:rPr>
                <w:rFonts w:cs="Calibri"/>
                <w:b/>
                <w:bCs/>
                <w:color w:val="000000"/>
              </w:rPr>
            </w:pPr>
            <w:r w:rsidRPr="005F76D9">
              <w:rPr>
                <w:rFonts w:cs="Calibri"/>
                <w:b/>
                <w:bCs/>
                <w:color w:val="000000"/>
              </w:rPr>
              <w:t xml:space="preserve">Maintenance </w:t>
            </w:r>
            <w:r>
              <w:rPr>
                <w:rFonts w:cs="Calibri"/>
                <w:b/>
                <w:bCs/>
                <w:color w:val="000000"/>
              </w:rPr>
              <w:t xml:space="preserve">IVIg </w:t>
            </w:r>
            <w:r w:rsidRPr="005F76D9">
              <w:rPr>
                <w:rFonts w:cs="Calibri"/>
                <w:b/>
                <w:bCs/>
                <w:color w:val="000000"/>
              </w:rPr>
              <w:t>dose per treatment course (base case: 0.7g/kg)</w:t>
            </w:r>
          </w:p>
        </w:tc>
        <w:tc>
          <w:tcPr>
            <w:tcW w:w="550" w:type="pct"/>
            <w:tcBorders>
              <w:left w:val="nil"/>
              <w:right w:val="nil"/>
            </w:tcBorders>
            <w:noWrap/>
            <w:hideMark/>
          </w:tcPr>
          <w:p w14:paraId="1A7037D7" w14:textId="77777777" w:rsidR="00506F71" w:rsidRPr="005F76D9" w:rsidRDefault="00506F71" w:rsidP="00246245">
            <w:pPr>
              <w:pStyle w:val="Tabletext1"/>
              <w:ind w:left="0"/>
              <w:rPr>
                <w:rFonts w:cs="Calibri"/>
                <w:b/>
                <w:bCs/>
                <w:color w:val="000000"/>
              </w:rPr>
            </w:pPr>
          </w:p>
        </w:tc>
        <w:tc>
          <w:tcPr>
            <w:tcW w:w="472" w:type="pct"/>
            <w:tcBorders>
              <w:left w:val="nil"/>
              <w:right w:val="nil"/>
            </w:tcBorders>
            <w:noWrap/>
            <w:hideMark/>
          </w:tcPr>
          <w:p w14:paraId="5E1AF6EA" w14:textId="77777777" w:rsidR="00506F71" w:rsidRPr="005F76D9" w:rsidRDefault="00506F71" w:rsidP="00246245">
            <w:pPr>
              <w:pStyle w:val="Tabletext1"/>
              <w:ind w:left="0"/>
            </w:pPr>
          </w:p>
        </w:tc>
        <w:tc>
          <w:tcPr>
            <w:tcW w:w="550" w:type="pct"/>
            <w:tcBorders>
              <w:left w:val="nil"/>
              <w:right w:val="nil"/>
            </w:tcBorders>
            <w:noWrap/>
            <w:hideMark/>
          </w:tcPr>
          <w:p w14:paraId="4B7F579B" w14:textId="77777777" w:rsidR="00506F71" w:rsidRPr="005F76D9" w:rsidRDefault="00506F71" w:rsidP="00246245">
            <w:pPr>
              <w:pStyle w:val="Tabletext1"/>
              <w:ind w:left="0"/>
            </w:pPr>
          </w:p>
        </w:tc>
        <w:tc>
          <w:tcPr>
            <w:tcW w:w="522" w:type="pct"/>
            <w:tcBorders>
              <w:left w:val="nil"/>
            </w:tcBorders>
            <w:noWrap/>
            <w:hideMark/>
          </w:tcPr>
          <w:p w14:paraId="6F50C506" w14:textId="12F8DA12" w:rsidR="00506F71" w:rsidRPr="005F76D9" w:rsidRDefault="00506F71" w:rsidP="00246245">
            <w:pPr>
              <w:pStyle w:val="Tabletext1"/>
              <w:ind w:left="0"/>
              <w:rPr>
                <w:rFonts w:cs="Calibri"/>
                <w:color w:val="000000"/>
              </w:rPr>
            </w:pPr>
          </w:p>
        </w:tc>
      </w:tr>
      <w:tr w:rsidR="00506F71" w:rsidRPr="005F76D9" w14:paraId="7DEE05E1" w14:textId="77777777" w:rsidTr="00246245">
        <w:trPr>
          <w:trHeight w:val="255"/>
        </w:trPr>
        <w:tc>
          <w:tcPr>
            <w:tcW w:w="2906" w:type="pct"/>
            <w:noWrap/>
            <w:hideMark/>
          </w:tcPr>
          <w:p w14:paraId="0127E7F0" w14:textId="77777777" w:rsidR="00506F71" w:rsidRPr="005F76D9" w:rsidRDefault="00506F71" w:rsidP="00246245">
            <w:pPr>
              <w:pStyle w:val="Tabletext1"/>
              <w:ind w:left="0"/>
              <w:rPr>
                <w:rFonts w:cs="Calibri"/>
                <w:color w:val="000000"/>
              </w:rPr>
            </w:pPr>
            <w:r w:rsidRPr="005F76D9">
              <w:rPr>
                <w:rFonts w:cs="Calibri"/>
                <w:color w:val="000000"/>
              </w:rPr>
              <w:t>0.4 g/kg</w:t>
            </w:r>
          </w:p>
        </w:tc>
        <w:tc>
          <w:tcPr>
            <w:tcW w:w="550" w:type="pct"/>
            <w:noWrap/>
            <w:hideMark/>
          </w:tcPr>
          <w:p w14:paraId="72F9924A" w14:textId="7DF6396C" w:rsidR="00506F71" w:rsidRPr="005F76D9" w:rsidRDefault="00506F71" w:rsidP="00246245">
            <w:pPr>
              <w:pStyle w:val="Tabletext1"/>
              <w:ind w:left="0"/>
              <w:rPr>
                <w:rFonts w:cs="Calibri"/>
                <w:color w:val="000000"/>
              </w:rPr>
            </w:pPr>
            <w:r w:rsidRPr="00563127">
              <w:t>$87,628</w:t>
            </w:r>
          </w:p>
        </w:tc>
        <w:tc>
          <w:tcPr>
            <w:tcW w:w="472" w:type="pct"/>
            <w:noWrap/>
            <w:hideMark/>
          </w:tcPr>
          <w:p w14:paraId="6B6E1240" w14:textId="7EB7B2D4" w:rsidR="00506F71" w:rsidRPr="005F76D9" w:rsidRDefault="00506F71" w:rsidP="00246245">
            <w:pPr>
              <w:pStyle w:val="Tabletext1"/>
              <w:ind w:left="0"/>
              <w:rPr>
                <w:rFonts w:cs="Calibri"/>
                <w:color w:val="000000"/>
              </w:rPr>
            </w:pPr>
            <w:r w:rsidRPr="00563127">
              <w:t>1.1840</w:t>
            </w:r>
          </w:p>
        </w:tc>
        <w:tc>
          <w:tcPr>
            <w:tcW w:w="550" w:type="pct"/>
            <w:noWrap/>
            <w:hideMark/>
          </w:tcPr>
          <w:p w14:paraId="78BEFFE2" w14:textId="0935F4CA" w:rsidR="00506F71" w:rsidRPr="005F76D9" w:rsidRDefault="00506F71" w:rsidP="00246245">
            <w:pPr>
              <w:pStyle w:val="Tabletext1"/>
              <w:ind w:left="0"/>
              <w:rPr>
                <w:rFonts w:cs="Calibri"/>
                <w:color w:val="000000"/>
              </w:rPr>
            </w:pPr>
            <w:r w:rsidRPr="00563127">
              <w:t>$74,013</w:t>
            </w:r>
          </w:p>
        </w:tc>
        <w:tc>
          <w:tcPr>
            <w:tcW w:w="522" w:type="pct"/>
            <w:noWrap/>
            <w:hideMark/>
          </w:tcPr>
          <w:p w14:paraId="526B6AD3" w14:textId="75BEA53D" w:rsidR="00506F71" w:rsidRPr="005F76D9" w:rsidRDefault="00506F71" w:rsidP="00246245">
            <w:pPr>
              <w:pStyle w:val="Tabletext1"/>
              <w:ind w:left="0"/>
              <w:rPr>
                <w:rFonts w:cs="Calibri"/>
                <w:color w:val="000000"/>
              </w:rPr>
            </w:pPr>
            <w:r w:rsidRPr="00563127">
              <w:t>-36%</w:t>
            </w:r>
          </w:p>
        </w:tc>
      </w:tr>
      <w:tr w:rsidR="00506F71" w:rsidRPr="005F76D9" w14:paraId="00A0A4C5" w14:textId="77777777" w:rsidTr="00246245">
        <w:trPr>
          <w:trHeight w:val="255"/>
        </w:trPr>
        <w:tc>
          <w:tcPr>
            <w:tcW w:w="2906" w:type="pct"/>
            <w:tcBorders>
              <w:bottom w:val="single" w:sz="4" w:space="0" w:color="auto"/>
            </w:tcBorders>
            <w:noWrap/>
            <w:hideMark/>
          </w:tcPr>
          <w:p w14:paraId="2F6471CA" w14:textId="77777777" w:rsidR="00506F71" w:rsidRPr="005F76D9" w:rsidRDefault="00506F71" w:rsidP="00246245">
            <w:pPr>
              <w:pStyle w:val="Tabletext1"/>
              <w:ind w:left="0"/>
              <w:rPr>
                <w:rFonts w:cs="Calibri"/>
                <w:color w:val="000000"/>
              </w:rPr>
            </w:pPr>
            <w:r w:rsidRPr="005F76D9">
              <w:rPr>
                <w:rFonts w:cs="Calibri"/>
                <w:color w:val="000000"/>
              </w:rPr>
              <w:t>1.0 g/kg</w:t>
            </w:r>
          </w:p>
        </w:tc>
        <w:tc>
          <w:tcPr>
            <w:tcW w:w="550" w:type="pct"/>
            <w:tcBorders>
              <w:bottom w:val="single" w:sz="4" w:space="0" w:color="auto"/>
            </w:tcBorders>
            <w:noWrap/>
            <w:hideMark/>
          </w:tcPr>
          <w:p w14:paraId="3B6E1F56" w14:textId="08ED2350" w:rsidR="00506F71" w:rsidRPr="005F76D9" w:rsidRDefault="00506F71" w:rsidP="00246245">
            <w:pPr>
              <w:pStyle w:val="Tabletext1"/>
              <w:ind w:left="0"/>
              <w:rPr>
                <w:rFonts w:cs="Calibri"/>
                <w:color w:val="000000"/>
              </w:rPr>
            </w:pPr>
            <w:r w:rsidRPr="00563127">
              <w:t>$187,259</w:t>
            </w:r>
          </w:p>
        </w:tc>
        <w:tc>
          <w:tcPr>
            <w:tcW w:w="472" w:type="pct"/>
            <w:tcBorders>
              <w:bottom w:val="single" w:sz="4" w:space="0" w:color="auto"/>
            </w:tcBorders>
            <w:noWrap/>
            <w:hideMark/>
          </w:tcPr>
          <w:p w14:paraId="0AB4EEA0" w14:textId="4E2FD717" w:rsidR="00506F71" w:rsidRPr="005F76D9" w:rsidRDefault="00506F71" w:rsidP="00246245">
            <w:pPr>
              <w:pStyle w:val="Tabletext1"/>
              <w:ind w:left="0"/>
              <w:rPr>
                <w:rFonts w:cs="Calibri"/>
                <w:color w:val="000000"/>
              </w:rPr>
            </w:pPr>
            <w:r w:rsidRPr="00563127">
              <w:t>1.1840</w:t>
            </w:r>
          </w:p>
        </w:tc>
        <w:tc>
          <w:tcPr>
            <w:tcW w:w="550" w:type="pct"/>
            <w:tcBorders>
              <w:bottom w:val="single" w:sz="4" w:space="0" w:color="auto"/>
            </w:tcBorders>
            <w:noWrap/>
            <w:hideMark/>
          </w:tcPr>
          <w:p w14:paraId="5A33356F" w14:textId="7AAF4E08" w:rsidR="00506F71" w:rsidRPr="005F76D9" w:rsidRDefault="00506F71" w:rsidP="00246245">
            <w:pPr>
              <w:pStyle w:val="Tabletext1"/>
              <w:ind w:left="0"/>
              <w:rPr>
                <w:rFonts w:cs="Calibri"/>
                <w:color w:val="000000"/>
              </w:rPr>
            </w:pPr>
            <w:r w:rsidRPr="00563127">
              <w:t>$158,163</w:t>
            </w:r>
          </w:p>
        </w:tc>
        <w:tc>
          <w:tcPr>
            <w:tcW w:w="522" w:type="pct"/>
            <w:tcBorders>
              <w:bottom w:val="single" w:sz="4" w:space="0" w:color="auto"/>
            </w:tcBorders>
            <w:noWrap/>
            <w:hideMark/>
          </w:tcPr>
          <w:p w14:paraId="7995BDD6" w14:textId="794E53A6" w:rsidR="00506F71" w:rsidRPr="005F76D9" w:rsidRDefault="00506F71" w:rsidP="00246245">
            <w:pPr>
              <w:pStyle w:val="Tabletext1"/>
              <w:ind w:left="0"/>
              <w:rPr>
                <w:rFonts w:cs="Calibri"/>
                <w:color w:val="000000"/>
              </w:rPr>
            </w:pPr>
            <w:r w:rsidRPr="00563127">
              <w:t>36%</w:t>
            </w:r>
          </w:p>
        </w:tc>
      </w:tr>
      <w:tr w:rsidR="00506F71" w:rsidRPr="005F76D9" w14:paraId="7DCF861F" w14:textId="77777777" w:rsidTr="00246245">
        <w:trPr>
          <w:trHeight w:val="255"/>
        </w:trPr>
        <w:tc>
          <w:tcPr>
            <w:tcW w:w="2906" w:type="pct"/>
            <w:tcBorders>
              <w:right w:val="nil"/>
            </w:tcBorders>
            <w:noWrap/>
            <w:hideMark/>
          </w:tcPr>
          <w:p w14:paraId="2DDDCDF1" w14:textId="77777777" w:rsidR="00506F71" w:rsidRPr="005F76D9" w:rsidRDefault="00506F71" w:rsidP="00246245">
            <w:pPr>
              <w:pStyle w:val="Tabletext1"/>
              <w:ind w:left="0"/>
              <w:rPr>
                <w:rFonts w:cs="Calibri"/>
                <w:b/>
                <w:bCs/>
                <w:color w:val="000000"/>
              </w:rPr>
            </w:pPr>
            <w:r w:rsidRPr="005F76D9">
              <w:rPr>
                <w:rFonts w:cs="Calibri"/>
                <w:b/>
                <w:bCs/>
                <w:color w:val="000000"/>
              </w:rPr>
              <w:t>Weaning off trial for Ig</w:t>
            </w:r>
          </w:p>
        </w:tc>
        <w:tc>
          <w:tcPr>
            <w:tcW w:w="550" w:type="pct"/>
            <w:tcBorders>
              <w:left w:val="nil"/>
              <w:right w:val="nil"/>
            </w:tcBorders>
            <w:noWrap/>
            <w:hideMark/>
          </w:tcPr>
          <w:p w14:paraId="31326F1E" w14:textId="77777777" w:rsidR="00506F71" w:rsidRPr="005F76D9" w:rsidRDefault="00506F71" w:rsidP="00246245">
            <w:pPr>
              <w:pStyle w:val="Tabletext1"/>
              <w:ind w:left="0"/>
              <w:rPr>
                <w:rFonts w:cs="Calibri"/>
                <w:b/>
                <w:bCs/>
                <w:color w:val="000000"/>
              </w:rPr>
            </w:pPr>
          </w:p>
        </w:tc>
        <w:tc>
          <w:tcPr>
            <w:tcW w:w="472" w:type="pct"/>
            <w:tcBorders>
              <w:left w:val="nil"/>
              <w:right w:val="nil"/>
            </w:tcBorders>
            <w:noWrap/>
            <w:hideMark/>
          </w:tcPr>
          <w:p w14:paraId="76DDABB2" w14:textId="77777777" w:rsidR="00506F71" w:rsidRPr="005F76D9" w:rsidRDefault="00506F71" w:rsidP="00246245">
            <w:pPr>
              <w:pStyle w:val="Tabletext1"/>
              <w:ind w:left="0"/>
            </w:pPr>
          </w:p>
        </w:tc>
        <w:tc>
          <w:tcPr>
            <w:tcW w:w="550" w:type="pct"/>
            <w:tcBorders>
              <w:left w:val="nil"/>
              <w:right w:val="nil"/>
            </w:tcBorders>
            <w:noWrap/>
            <w:hideMark/>
          </w:tcPr>
          <w:p w14:paraId="3110D366" w14:textId="77777777" w:rsidR="00506F71" w:rsidRPr="005F76D9" w:rsidRDefault="00506F71" w:rsidP="00246245">
            <w:pPr>
              <w:pStyle w:val="Tabletext1"/>
              <w:ind w:left="0"/>
            </w:pPr>
          </w:p>
        </w:tc>
        <w:tc>
          <w:tcPr>
            <w:tcW w:w="522" w:type="pct"/>
            <w:tcBorders>
              <w:left w:val="nil"/>
            </w:tcBorders>
            <w:noWrap/>
            <w:hideMark/>
          </w:tcPr>
          <w:p w14:paraId="6D8AB85C" w14:textId="4CEBF60C" w:rsidR="00506F71" w:rsidRPr="005F76D9" w:rsidRDefault="00506F71" w:rsidP="00246245">
            <w:pPr>
              <w:pStyle w:val="Tabletext1"/>
              <w:ind w:left="0"/>
              <w:rPr>
                <w:rFonts w:cs="Calibri"/>
                <w:color w:val="000000"/>
              </w:rPr>
            </w:pPr>
          </w:p>
        </w:tc>
      </w:tr>
      <w:tr w:rsidR="00506F71" w:rsidRPr="005F76D9" w14:paraId="34700F6D" w14:textId="77777777" w:rsidTr="00246245">
        <w:trPr>
          <w:trHeight w:val="255"/>
        </w:trPr>
        <w:tc>
          <w:tcPr>
            <w:tcW w:w="2906" w:type="pct"/>
            <w:tcBorders>
              <w:bottom w:val="single" w:sz="4" w:space="0" w:color="auto"/>
            </w:tcBorders>
            <w:noWrap/>
            <w:hideMark/>
          </w:tcPr>
          <w:p w14:paraId="1D595843" w14:textId="77777777" w:rsidR="00506F71" w:rsidRPr="005F76D9" w:rsidRDefault="00506F71" w:rsidP="00246245">
            <w:pPr>
              <w:pStyle w:val="Tabletext1"/>
              <w:ind w:left="0"/>
              <w:rPr>
                <w:rFonts w:cs="Calibri"/>
                <w:color w:val="000000"/>
              </w:rPr>
            </w:pPr>
            <w:r w:rsidRPr="005F76D9">
              <w:rPr>
                <w:rFonts w:cs="Calibri"/>
                <w:color w:val="000000"/>
              </w:rPr>
              <w:t>Starting dose in maintenance phase- 1g/kg, then applying 20% dose reduction for 5 cycles</w:t>
            </w:r>
          </w:p>
        </w:tc>
        <w:tc>
          <w:tcPr>
            <w:tcW w:w="550" w:type="pct"/>
            <w:tcBorders>
              <w:bottom w:val="single" w:sz="4" w:space="0" w:color="auto"/>
            </w:tcBorders>
            <w:noWrap/>
            <w:hideMark/>
          </w:tcPr>
          <w:p w14:paraId="079BC5B4" w14:textId="429ECB29" w:rsidR="00506F71" w:rsidRPr="005F76D9" w:rsidRDefault="00506F71" w:rsidP="00246245">
            <w:pPr>
              <w:pStyle w:val="Tabletext1"/>
              <w:ind w:left="0"/>
              <w:rPr>
                <w:rFonts w:cs="Calibri"/>
                <w:color w:val="000000"/>
              </w:rPr>
            </w:pPr>
            <w:r w:rsidRPr="00563127">
              <w:t>$100,559</w:t>
            </w:r>
          </w:p>
        </w:tc>
        <w:tc>
          <w:tcPr>
            <w:tcW w:w="472" w:type="pct"/>
            <w:tcBorders>
              <w:bottom w:val="single" w:sz="4" w:space="0" w:color="auto"/>
            </w:tcBorders>
            <w:noWrap/>
            <w:hideMark/>
          </w:tcPr>
          <w:p w14:paraId="7DFC492D" w14:textId="43805943" w:rsidR="00506F71" w:rsidRPr="005F76D9" w:rsidRDefault="00506F71" w:rsidP="00246245">
            <w:pPr>
              <w:pStyle w:val="Tabletext1"/>
              <w:ind w:left="0"/>
              <w:rPr>
                <w:rFonts w:cs="Calibri"/>
                <w:color w:val="000000"/>
              </w:rPr>
            </w:pPr>
            <w:r w:rsidRPr="00563127">
              <w:t>1.1840</w:t>
            </w:r>
          </w:p>
        </w:tc>
        <w:tc>
          <w:tcPr>
            <w:tcW w:w="550" w:type="pct"/>
            <w:tcBorders>
              <w:bottom w:val="single" w:sz="4" w:space="0" w:color="auto"/>
            </w:tcBorders>
            <w:noWrap/>
            <w:hideMark/>
          </w:tcPr>
          <w:p w14:paraId="52904BCB" w14:textId="7E6D05C3" w:rsidR="00506F71" w:rsidRPr="005F76D9" w:rsidRDefault="00506F71" w:rsidP="00246245">
            <w:pPr>
              <w:pStyle w:val="Tabletext1"/>
              <w:ind w:left="0"/>
              <w:rPr>
                <w:rFonts w:cs="Calibri"/>
                <w:color w:val="000000"/>
              </w:rPr>
            </w:pPr>
            <w:r w:rsidRPr="00563127">
              <w:t>$84,934</w:t>
            </w:r>
          </w:p>
        </w:tc>
        <w:tc>
          <w:tcPr>
            <w:tcW w:w="522" w:type="pct"/>
            <w:tcBorders>
              <w:bottom w:val="single" w:sz="4" w:space="0" w:color="auto"/>
            </w:tcBorders>
            <w:noWrap/>
            <w:hideMark/>
          </w:tcPr>
          <w:p w14:paraId="04B87BBF" w14:textId="38956036" w:rsidR="00506F71" w:rsidRPr="005F76D9" w:rsidRDefault="00506F71" w:rsidP="00246245">
            <w:pPr>
              <w:pStyle w:val="Tabletext1"/>
              <w:ind w:left="0"/>
              <w:rPr>
                <w:rFonts w:cs="Calibri"/>
                <w:color w:val="000000"/>
              </w:rPr>
            </w:pPr>
            <w:r w:rsidRPr="00563127">
              <w:t>-27%</w:t>
            </w:r>
          </w:p>
        </w:tc>
      </w:tr>
      <w:tr w:rsidR="00506F71" w:rsidRPr="005F76D9" w14:paraId="65C3A2C8" w14:textId="77777777" w:rsidTr="00246245">
        <w:trPr>
          <w:trHeight w:val="255"/>
        </w:trPr>
        <w:tc>
          <w:tcPr>
            <w:tcW w:w="2906" w:type="pct"/>
            <w:tcBorders>
              <w:right w:val="nil"/>
            </w:tcBorders>
            <w:noWrap/>
            <w:hideMark/>
          </w:tcPr>
          <w:p w14:paraId="4A0C958C" w14:textId="77777777" w:rsidR="00506F71" w:rsidRPr="005F76D9" w:rsidRDefault="00506F71" w:rsidP="00246245">
            <w:pPr>
              <w:pStyle w:val="Tabletext1"/>
              <w:ind w:left="0"/>
              <w:rPr>
                <w:rFonts w:cs="Calibri"/>
                <w:b/>
                <w:bCs/>
                <w:color w:val="000000"/>
              </w:rPr>
            </w:pPr>
            <w:r w:rsidRPr="005F76D9">
              <w:rPr>
                <w:rFonts w:cs="Calibri"/>
                <w:b/>
                <w:bCs/>
                <w:color w:val="000000"/>
              </w:rPr>
              <w:t>Utility gain with Ig (base case:0.12)</w:t>
            </w:r>
          </w:p>
        </w:tc>
        <w:tc>
          <w:tcPr>
            <w:tcW w:w="550" w:type="pct"/>
            <w:tcBorders>
              <w:left w:val="nil"/>
              <w:right w:val="nil"/>
            </w:tcBorders>
            <w:noWrap/>
            <w:hideMark/>
          </w:tcPr>
          <w:p w14:paraId="5FD20A9A" w14:textId="77777777" w:rsidR="00506F71" w:rsidRPr="005F76D9" w:rsidRDefault="00506F71" w:rsidP="00246245">
            <w:pPr>
              <w:pStyle w:val="Tabletext1"/>
              <w:ind w:left="0"/>
              <w:rPr>
                <w:rFonts w:cs="Calibri"/>
                <w:b/>
                <w:bCs/>
                <w:color w:val="000000"/>
              </w:rPr>
            </w:pPr>
          </w:p>
        </w:tc>
        <w:tc>
          <w:tcPr>
            <w:tcW w:w="472" w:type="pct"/>
            <w:tcBorders>
              <w:left w:val="nil"/>
              <w:right w:val="nil"/>
            </w:tcBorders>
            <w:noWrap/>
            <w:hideMark/>
          </w:tcPr>
          <w:p w14:paraId="17EDA19F" w14:textId="77777777" w:rsidR="00506F71" w:rsidRPr="005F76D9" w:rsidRDefault="00506F71" w:rsidP="00246245">
            <w:pPr>
              <w:pStyle w:val="Tabletext1"/>
              <w:ind w:left="0"/>
            </w:pPr>
          </w:p>
        </w:tc>
        <w:tc>
          <w:tcPr>
            <w:tcW w:w="550" w:type="pct"/>
            <w:tcBorders>
              <w:left w:val="nil"/>
              <w:right w:val="nil"/>
            </w:tcBorders>
            <w:noWrap/>
            <w:hideMark/>
          </w:tcPr>
          <w:p w14:paraId="125E04EA" w14:textId="77777777" w:rsidR="00506F71" w:rsidRPr="005F76D9" w:rsidRDefault="00506F71" w:rsidP="00246245">
            <w:pPr>
              <w:pStyle w:val="Tabletext1"/>
              <w:ind w:left="0"/>
            </w:pPr>
          </w:p>
        </w:tc>
        <w:tc>
          <w:tcPr>
            <w:tcW w:w="522" w:type="pct"/>
            <w:tcBorders>
              <w:left w:val="nil"/>
            </w:tcBorders>
            <w:noWrap/>
            <w:hideMark/>
          </w:tcPr>
          <w:p w14:paraId="3BEF48AB" w14:textId="5598BFD9" w:rsidR="00506F71" w:rsidRPr="005F76D9" w:rsidRDefault="00506F71" w:rsidP="00246245">
            <w:pPr>
              <w:pStyle w:val="Tabletext1"/>
              <w:ind w:left="0"/>
              <w:rPr>
                <w:rFonts w:cs="Calibri"/>
                <w:color w:val="000000"/>
              </w:rPr>
            </w:pPr>
          </w:p>
        </w:tc>
      </w:tr>
      <w:tr w:rsidR="00506F71" w:rsidRPr="005F76D9" w14:paraId="0637FB0C" w14:textId="77777777" w:rsidTr="00246245">
        <w:trPr>
          <w:trHeight w:val="255"/>
        </w:trPr>
        <w:tc>
          <w:tcPr>
            <w:tcW w:w="2906" w:type="pct"/>
            <w:noWrap/>
            <w:hideMark/>
          </w:tcPr>
          <w:p w14:paraId="1D48CA9E" w14:textId="77777777" w:rsidR="00506F71" w:rsidRPr="005F76D9" w:rsidRDefault="00506F71" w:rsidP="00246245">
            <w:pPr>
              <w:pStyle w:val="Tabletext1"/>
              <w:ind w:left="0"/>
              <w:rPr>
                <w:rFonts w:cs="Calibri"/>
                <w:color w:val="000000"/>
              </w:rPr>
            </w:pPr>
            <w:r w:rsidRPr="005F76D9">
              <w:rPr>
                <w:rFonts w:cs="Calibri"/>
                <w:color w:val="000000"/>
              </w:rPr>
              <w:t>0.06</w:t>
            </w:r>
          </w:p>
        </w:tc>
        <w:tc>
          <w:tcPr>
            <w:tcW w:w="550" w:type="pct"/>
            <w:noWrap/>
            <w:hideMark/>
          </w:tcPr>
          <w:p w14:paraId="0C91E1D3" w14:textId="321C2E6F" w:rsidR="00506F71" w:rsidRPr="005F76D9" w:rsidRDefault="00506F71" w:rsidP="00246245">
            <w:pPr>
              <w:pStyle w:val="Tabletext1"/>
              <w:ind w:left="0"/>
              <w:rPr>
                <w:rFonts w:cs="Calibri"/>
                <w:color w:val="000000"/>
              </w:rPr>
            </w:pPr>
            <w:r w:rsidRPr="00563127">
              <w:t>$137,443</w:t>
            </w:r>
          </w:p>
        </w:tc>
        <w:tc>
          <w:tcPr>
            <w:tcW w:w="472" w:type="pct"/>
            <w:noWrap/>
            <w:hideMark/>
          </w:tcPr>
          <w:p w14:paraId="539107A2" w14:textId="49D7AE81" w:rsidR="00506F71" w:rsidRPr="005F76D9" w:rsidRDefault="00506F71" w:rsidP="00246245">
            <w:pPr>
              <w:pStyle w:val="Tabletext1"/>
              <w:ind w:left="0"/>
              <w:rPr>
                <w:rFonts w:cs="Calibri"/>
                <w:color w:val="000000"/>
              </w:rPr>
            </w:pPr>
            <w:r w:rsidRPr="00563127">
              <w:t>1.0139</w:t>
            </w:r>
          </w:p>
        </w:tc>
        <w:tc>
          <w:tcPr>
            <w:tcW w:w="550" w:type="pct"/>
            <w:noWrap/>
            <w:hideMark/>
          </w:tcPr>
          <w:p w14:paraId="7DDEC397" w14:textId="43AB2860" w:rsidR="00506F71" w:rsidRPr="005F76D9" w:rsidRDefault="00506F71" w:rsidP="00246245">
            <w:pPr>
              <w:pStyle w:val="Tabletext1"/>
              <w:ind w:left="0"/>
              <w:rPr>
                <w:rFonts w:cs="Calibri"/>
                <w:color w:val="000000"/>
              </w:rPr>
            </w:pPr>
            <w:r w:rsidRPr="00563127">
              <w:t>$135,553</w:t>
            </w:r>
          </w:p>
        </w:tc>
        <w:tc>
          <w:tcPr>
            <w:tcW w:w="522" w:type="pct"/>
            <w:noWrap/>
            <w:hideMark/>
          </w:tcPr>
          <w:p w14:paraId="66026DB7" w14:textId="534D0442" w:rsidR="00506F71" w:rsidRPr="005F76D9" w:rsidRDefault="00506F71" w:rsidP="00246245">
            <w:pPr>
              <w:pStyle w:val="Tabletext1"/>
              <w:ind w:left="0"/>
              <w:rPr>
                <w:rFonts w:cs="Calibri"/>
                <w:color w:val="000000"/>
              </w:rPr>
            </w:pPr>
            <w:r w:rsidRPr="00563127">
              <w:t>17%</w:t>
            </w:r>
          </w:p>
        </w:tc>
      </w:tr>
      <w:tr w:rsidR="00506F71" w:rsidRPr="005F76D9" w14:paraId="6E523066" w14:textId="77777777" w:rsidTr="00246245">
        <w:trPr>
          <w:trHeight w:val="255"/>
        </w:trPr>
        <w:tc>
          <w:tcPr>
            <w:tcW w:w="2906" w:type="pct"/>
            <w:noWrap/>
            <w:hideMark/>
          </w:tcPr>
          <w:p w14:paraId="2CA6AE9D" w14:textId="77777777" w:rsidR="00506F71" w:rsidRPr="005F76D9" w:rsidRDefault="00506F71" w:rsidP="00246245">
            <w:pPr>
              <w:pStyle w:val="Tabletext1"/>
              <w:ind w:left="0"/>
              <w:rPr>
                <w:rFonts w:cs="Calibri"/>
                <w:color w:val="000000"/>
              </w:rPr>
            </w:pPr>
            <w:r w:rsidRPr="005F76D9">
              <w:rPr>
                <w:rFonts w:cs="Calibri"/>
                <w:color w:val="000000"/>
              </w:rPr>
              <w:t>0.18</w:t>
            </w:r>
          </w:p>
        </w:tc>
        <w:tc>
          <w:tcPr>
            <w:tcW w:w="550" w:type="pct"/>
            <w:noWrap/>
            <w:hideMark/>
          </w:tcPr>
          <w:p w14:paraId="118579CE" w14:textId="12112ECA" w:rsidR="00506F71" w:rsidRPr="005F76D9" w:rsidRDefault="00506F71" w:rsidP="00246245">
            <w:pPr>
              <w:pStyle w:val="Tabletext1"/>
              <w:ind w:left="0"/>
              <w:rPr>
                <w:rFonts w:cs="Calibri"/>
                <w:color w:val="000000"/>
              </w:rPr>
            </w:pPr>
            <w:r w:rsidRPr="00563127">
              <w:t>$137,443</w:t>
            </w:r>
          </w:p>
        </w:tc>
        <w:tc>
          <w:tcPr>
            <w:tcW w:w="472" w:type="pct"/>
            <w:noWrap/>
            <w:hideMark/>
          </w:tcPr>
          <w:p w14:paraId="489E933A" w14:textId="0DD5DF86" w:rsidR="00506F71" w:rsidRPr="005F76D9" w:rsidRDefault="00506F71" w:rsidP="00246245">
            <w:pPr>
              <w:pStyle w:val="Tabletext1"/>
              <w:ind w:left="0"/>
              <w:rPr>
                <w:rFonts w:cs="Calibri"/>
                <w:color w:val="000000"/>
              </w:rPr>
            </w:pPr>
            <w:r w:rsidRPr="00563127">
              <w:t>1.3540</w:t>
            </w:r>
          </w:p>
        </w:tc>
        <w:tc>
          <w:tcPr>
            <w:tcW w:w="550" w:type="pct"/>
            <w:noWrap/>
            <w:hideMark/>
          </w:tcPr>
          <w:p w14:paraId="0682E52D" w14:textId="793A382E" w:rsidR="00506F71" w:rsidRPr="005F76D9" w:rsidRDefault="00506F71" w:rsidP="00246245">
            <w:pPr>
              <w:pStyle w:val="Tabletext1"/>
              <w:ind w:left="0"/>
              <w:rPr>
                <w:rFonts w:cs="Calibri"/>
                <w:color w:val="000000"/>
              </w:rPr>
            </w:pPr>
            <w:r w:rsidRPr="00563127">
              <w:t>$101,511</w:t>
            </w:r>
          </w:p>
        </w:tc>
        <w:tc>
          <w:tcPr>
            <w:tcW w:w="522" w:type="pct"/>
            <w:noWrap/>
            <w:hideMark/>
          </w:tcPr>
          <w:p w14:paraId="669E9F4D" w14:textId="568C378C" w:rsidR="00506F71" w:rsidRPr="005F76D9" w:rsidRDefault="00506F71" w:rsidP="00246245">
            <w:pPr>
              <w:pStyle w:val="Tabletext1"/>
              <w:ind w:left="0"/>
              <w:rPr>
                <w:rFonts w:cs="Calibri"/>
                <w:color w:val="000000"/>
              </w:rPr>
            </w:pPr>
            <w:r w:rsidRPr="00563127">
              <w:t>-13%</w:t>
            </w:r>
          </w:p>
        </w:tc>
      </w:tr>
      <w:tr w:rsidR="00F64D12" w:rsidRPr="005F76D9" w14:paraId="33139511" w14:textId="77777777" w:rsidTr="00246245">
        <w:trPr>
          <w:trHeight w:val="255"/>
        </w:trPr>
        <w:tc>
          <w:tcPr>
            <w:tcW w:w="2906" w:type="pct"/>
            <w:noWrap/>
            <w:hideMark/>
          </w:tcPr>
          <w:p w14:paraId="6217BAAE" w14:textId="4003C320" w:rsidR="00F64D12" w:rsidRPr="005F76D9" w:rsidRDefault="00F64D12" w:rsidP="00246245">
            <w:pPr>
              <w:pStyle w:val="Tabletext1"/>
              <w:ind w:left="0"/>
              <w:rPr>
                <w:rFonts w:cs="Calibri"/>
                <w:b/>
                <w:bCs/>
                <w:color w:val="000000"/>
              </w:rPr>
            </w:pPr>
            <w:r w:rsidRPr="005F76D9">
              <w:rPr>
                <w:rFonts w:cs="Calibri"/>
                <w:b/>
                <w:bCs/>
                <w:color w:val="000000"/>
              </w:rPr>
              <w:t>Di</w:t>
            </w:r>
            <w:r w:rsidR="00A301B9">
              <w:rPr>
                <w:rFonts w:cs="Calibri"/>
                <w:b/>
                <w:bCs/>
                <w:color w:val="000000"/>
              </w:rPr>
              <w:t>s</w:t>
            </w:r>
            <w:r w:rsidRPr="005F76D9">
              <w:rPr>
                <w:rFonts w:cs="Calibri"/>
                <w:b/>
                <w:bCs/>
                <w:color w:val="000000"/>
              </w:rPr>
              <w:t>count rate (base-case: 5%)</w:t>
            </w:r>
          </w:p>
        </w:tc>
        <w:tc>
          <w:tcPr>
            <w:tcW w:w="550" w:type="pct"/>
            <w:noWrap/>
            <w:hideMark/>
          </w:tcPr>
          <w:p w14:paraId="43618857" w14:textId="77777777" w:rsidR="00F64D12" w:rsidRPr="005F76D9" w:rsidRDefault="00F64D12" w:rsidP="00246245">
            <w:pPr>
              <w:pStyle w:val="Tabletext1"/>
              <w:ind w:left="0"/>
              <w:rPr>
                <w:rFonts w:cs="Calibri"/>
                <w:b/>
                <w:bCs/>
                <w:color w:val="000000"/>
              </w:rPr>
            </w:pPr>
          </w:p>
        </w:tc>
        <w:tc>
          <w:tcPr>
            <w:tcW w:w="472" w:type="pct"/>
            <w:noWrap/>
            <w:hideMark/>
          </w:tcPr>
          <w:p w14:paraId="0FB8575D" w14:textId="77777777" w:rsidR="00F64D12" w:rsidRPr="005F76D9" w:rsidRDefault="00F64D12" w:rsidP="00246245">
            <w:pPr>
              <w:pStyle w:val="Tabletext1"/>
              <w:ind w:left="0"/>
            </w:pPr>
          </w:p>
        </w:tc>
        <w:tc>
          <w:tcPr>
            <w:tcW w:w="550" w:type="pct"/>
            <w:noWrap/>
            <w:hideMark/>
          </w:tcPr>
          <w:p w14:paraId="2DFC3186" w14:textId="77777777" w:rsidR="00F64D12" w:rsidRPr="005F76D9" w:rsidRDefault="00F64D12" w:rsidP="00246245">
            <w:pPr>
              <w:pStyle w:val="Tabletext1"/>
              <w:ind w:left="0"/>
            </w:pPr>
          </w:p>
        </w:tc>
        <w:tc>
          <w:tcPr>
            <w:tcW w:w="522" w:type="pct"/>
            <w:noWrap/>
            <w:hideMark/>
          </w:tcPr>
          <w:p w14:paraId="3F04B7FF" w14:textId="77777777" w:rsidR="00F64D12" w:rsidRPr="005F76D9" w:rsidRDefault="00F64D12" w:rsidP="00246245">
            <w:pPr>
              <w:pStyle w:val="Tabletext1"/>
              <w:ind w:left="0"/>
              <w:rPr>
                <w:rFonts w:cs="Calibri"/>
                <w:color w:val="000000"/>
              </w:rPr>
            </w:pPr>
            <w:r w:rsidRPr="005F76D9">
              <w:rPr>
                <w:rFonts w:cs="Calibri"/>
                <w:color w:val="000000"/>
              </w:rPr>
              <w:t> </w:t>
            </w:r>
          </w:p>
        </w:tc>
      </w:tr>
      <w:tr w:rsidR="00506F71" w:rsidRPr="005F76D9" w14:paraId="42D3BACD" w14:textId="77777777" w:rsidTr="00246245">
        <w:trPr>
          <w:trHeight w:val="255"/>
        </w:trPr>
        <w:tc>
          <w:tcPr>
            <w:tcW w:w="2906" w:type="pct"/>
            <w:noWrap/>
            <w:hideMark/>
          </w:tcPr>
          <w:p w14:paraId="114A8871" w14:textId="77777777" w:rsidR="00506F71" w:rsidRPr="005F76D9" w:rsidRDefault="00506F71" w:rsidP="00246245">
            <w:pPr>
              <w:pStyle w:val="Tabletext1"/>
              <w:ind w:left="0"/>
              <w:rPr>
                <w:rFonts w:cs="Calibri"/>
                <w:color w:val="000000"/>
              </w:rPr>
            </w:pPr>
            <w:r w:rsidRPr="005F76D9">
              <w:rPr>
                <w:rFonts w:cs="Calibri"/>
                <w:color w:val="000000"/>
              </w:rPr>
              <w:t>0% (undiscounted)</w:t>
            </w:r>
          </w:p>
        </w:tc>
        <w:tc>
          <w:tcPr>
            <w:tcW w:w="550" w:type="pct"/>
            <w:noWrap/>
            <w:hideMark/>
          </w:tcPr>
          <w:p w14:paraId="736113AA" w14:textId="483674FF" w:rsidR="00506F71" w:rsidRPr="005F76D9" w:rsidRDefault="00506F71" w:rsidP="00246245">
            <w:pPr>
              <w:pStyle w:val="Tabletext1"/>
              <w:ind w:left="0"/>
              <w:rPr>
                <w:rFonts w:cs="Calibri"/>
                <w:color w:val="000000"/>
              </w:rPr>
            </w:pPr>
            <w:r w:rsidRPr="005364D4">
              <w:t>$167,350</w:t>
            </w:r>
          </w:p>
        </w:tc>
        <w:tc>
          <w:tcPr>
            <w:tcW w:w="472" w:type="pct"/>
            <w:noWrap/>
            <w:hideMark/>
          </w:tcPr>
          <w:p w14:paraId="6E3C5EEF" w14:textId="01407737" w:rsidR="00506F71" w:rsidRPr="005F76D9" w:rsidRDefault="00506F71" w:rsidP="00246245">
            <w:pPr>
              <w:pStyle w:val="Tabletext1"/>
              <w:ind w:left="0"/>
              <w:rPr>
                <w:rFonts w:cs="Calibri"/>
                <w:color w:val="000000"/>
              </w:rPr>
            </w:pPr>
            <w:r w:rsidRPr="005364D4">
              <w:t>1.4894</w:t>
            </w:r>
          </w:p>
        </w:tc>
        <w:tc>
          <w:tcPr>
            <w:tcW w:w="550" w:type="pct"/>
            <w:noWrap/>
            <w:hideMark/>
          </w:tcPr>
          <w:p w14:paraId="1D12F289" w14:textId="699C5A50" w:rsidR="00506F71" w:rsidRPr="005F76D9" w:rsidRDefault="00506F71" w:rsidP="00246245">
            <w:pPr>
              <w:pStyle w:val="Tabletext1"/>
              <w:ind w:left="0"/>
              <w:rPr>
                <w:rFonts w:cs="Calibri"/>
                <w:color w:val="000000"/>
              </w:rPr>
            </w:pPr>
            <w:r w:rsidRPr="005364D4">
              <w:t>$112,361</w:t>
            </w:r>
          </w:p>
        </w:tc>
        <w:tc>
          <w:tcPr>
            <w:tcW w:w="522" w:type="pct"/>
            <w:noWrap/>
            <w:hideMark/>
          </w:tcPr>
          <w:p w14:paraId="7AEF210C" w14:textId="2759B796" w:rsidR="00506F71" w:rsidRPr="005F76D9" w:rsidRDefault="00506F71" w:rsidP="00246245">
            <w:pPr>
              <w:pStyle w:val="Tabletext1"/>
              <w:ind w:left="0"/>
              <w:rPr>
                <w:rFonts w:cs="Calibri"/>
                <w:color w:val="000000"/>
              </w:rPr>
            </w:pPr>
            <w:r w:rsidRPr="005364D4">
              <w:t>-3%</w:t>
            </w:r>
          </w:p>
        </w:tc>
      </w:tr>
      <w:tr w:rsidR="00506F71" w:rsidRPr="005F76D9" w14:paraId="1A1345DD" w14:textId="77777777" w:rsidTr="00246245">
        <w:trPr>
          <w:trHeight w:val="255"/>
        </w:trPr>
        <w:tc>
          <w:tcPr>
            <w:tcW w:w="2906" w:type="pct"/>
            <w:tcBorders>
              <w:bottom w:val="single" w:sz="4" w:space="0" w:color="auto"/>
            </w:tcBorders>
            <w:noWrap/>
            <w:hideMark/>
          </w:tcPr>
          <w:p w14:paraId="4FB2249C" w14:textId="77777777" w:rsidR="00506F71" w:rsidRPr="005F76D9" w:rsidRDefault="00506F71" w:rsidP="00246245">
            <w:pPr>
              <w:pStyle w:val="Tabletext1"/>
              <w:ind w:left="0"/>
              <w:rPr>
                <w:rFonts w:cs="Calibri"/>
                <w:color w:val="000000"/>
              </w:rPr>
            </w:pPr>
            <w:r w:rsidRPr="005F76D9">
              <w:rPr>
                <w:rFonts w:cs="Calibri"/>
                <w:color w:val="000000"/>
              </w:rPr>
              <w:t>3%</w:t>
            </w:r>
          </w:p>
        </w:tc>
        <w:tc>
          <w:tcPr>
            <w:tcW w:w="550" w:type="pct"/>
            <w:tcBorders>
              <w:bottom w:val="single" w:sz="4" w:space="0" w:color="auto"/>
            </w:tcBorders>
            <w:noWrap/>
            <w:hideMark/>
          </w:tcPr>
          <w:p w14:paraId="00336239" w14:textId="5B2FF862" w:rsidR="00506F71" w:rsidRPr="005F76D9" w:rsidRDefault="00506F71" w:rsidP="00246245">
            <w:pPr>
              <w:pStyle w:val="Tabletext1"/>
              <w:ind w:left="0"/>
              <w:rPr>
                <w:rFonts w:cs="Calibri"/>
                <w:color w:val="000000"/>
              </w:rPr>
            </w:pPr>
            <w:r w:rsidRPr="005364D4">
              <w:t>$148,162</w:t>
            </w:r>
          </w:p>
        </w:tc>
        <w:tc>
          <w:tcPr>
            <w:tcW w:w="472" w:type="pct"/>
            <w:tcBorders>
              <w:bottom w:val="single" w:sz="4" w:space="0" w:color="auto"/>
            </w:tcBorders>
            <w:noWrap/>
            <w:hideMark/>
          </w:tcPr>
          <w:p w14:paraId="4E4BC740" w14:textId="1849DA4A" w:rsidR="00506F71" w:rsidRPr="005F76D9" w:rsidRDefault="00506F71" w:rsidP="00246245">
            <w:pPr>
              <w:pStyle w:val="Tabletext1"/>
              <w:ind w:left="0"/>
              <w:rPr>
                <w:rFonts w:cs="Calibri"/>
                <w:color w:val="000000"/>
              </w:rPr>
            </w:pPr>
            <w:r w:rsidRPr="005364D4">
              <w:t>1.2930</w:t>
            </w:r>
          </w:p>
        </w:tc>
        <w:tc>
          <w:tcPr>
            <w:tcW w:w="550" w:type="pct"/>
            <w:tcBorders>
              <w:bottom w:val="single" w:sz="4" w:space="0" w:color="auto"/>
            </w:tcBorders>
            <w:noWrap/>
            <w:hideMark/>
          </w:tcPr>
          <w:p w14:paraId="4C27B1FA" w14:textId="3BD9825E" w:rsidR="00506F71" w:rsidRPr="005F76D9" w:rsidRDefault="00506F71" w:rsidP="00246245">
            <w:pPr>
              <w:pStyle w:val="Tabletext1"/>
              <w:ind w:left="0"/>
              <w:rPr>
                <w:rFonts w:cs="Calibri"/>
                <w:color w:val="000000"/>
              </w:rPr>
            </w:pPr>
            <w:r w:rsidRPr="005364D4">
              <w:t>$114,592</w:t>
            </w:r>
          </w:p>
        </w:tc>
        <w:tc>
          <w:tcPr>
            <w:tcW w:w="522" w:type="pct"/>
            <w:tcBorders>
              <w:bottom w:val="single" w:sz="4" w:space="0" w:color="auto"/>
            </w:tcBorders>
            <w:noWrap/>
            <w:hideMark/>
          </w:tcPr>
          <w:p w14:paraId="29E38FE0" w14:textId="013A02FD" w:rsidR="00506F71" w:rsidRPr="005F76D9" w:rsidRDefault="00506F71" w:rsidP="00246245">
            <w:pPr>
              <w:pStyle w:val="Tabletext1"/>
              <w:ind w:left="0"/>
              <w:rPr>
                <w:rFonts w:cs="Calibri"/>
                <w:color w:val="000000"/>
              </w:rPr>
            </w:pPr>
            <w:r w:rsidRPr="005364D4">
              <w:t>-1%</w:t>
            </w:r>
          </w:p>
        </w:tc>
      </w:tr>
      <w:tr w:rsidR="00506F71" w:rsidRPr="005F76D9" w14:paraId="67C5634F" w14:textId="77777777" w:rsidTr="00246245">
        <w:trPr>
          <w:trHeight w:val="255"/>
        </w:trPr>
        <w:tc>
          <w:tcPr>
            <w:tcW w:w="2906" w:type="pct"/>
            <w:tcBorders>
              <w:right w:val="nil"/>
            </w:tcBorders>
            <w:noWrap/>
            <w:hideMark/>
          </w:tcPr>
          <w:p w14:paraId="706BFFAE" w14:textId="77777777" w:rsidR="00506F71" w:rsidRPr="005F76D9" w:rsidRDefault="00506F71" w:rsidP="00246245">
            <w:pPr>
              <w:pStyle w:val="Tabletext1"/>
              <w:ind w:left="0"/>
              <w:rPr>
                <w:rFonts w:cs="Calibri"/>
                <w:b/>
                <w:bCs/>
                <w:color w:val="000000"/>
              </w:rPr>
            </w:pPr>
            <w:r w:rsidRPr="005F76D9">
              <w:rPr>
                <w:rFonts w:cs="Calibri"/>
                <w:b/>
                <w:bCs/>
                <w:color w:val="000000"/>
              </w:rPr>
              <w:t>Modelled time horizon (base case: 10 years)</w:t>
            </w:r>
          </w:p>
        </w:tc>
        <w:tc>
          <w:tcPr>
            <w:tcW w:w="550" w:type="pct"/>
            <w:tcBorders>
              <w:left w:val="nil"/>
              <w:right w:val="nil"/>
            </w:tcBorders>
            <w:noWrap/>
            <w:hideMark/>
          </w:tcPr>
          <w:p w14:paraId="7A3CB297" w14:textId="77777777" w:rsidR="00506F71" w:rsidRPr="005F76D9" w:rsidRDefault="00506F71" w:rsidP="00246245">
            <w:pPr>
              <w:pStyle w:val="Tabletext1"/>
              <w:ind w:left="0"/>
              <w:rPr>
                <w:rFonts w:cs="Calibri"/>
                <w:b/>
                <w:bCs/>
                <w:color w:val="000000"/>
              </w:rPr>
            </w:pPr>
          </w:p>
        </w:tc>
        <w:tc>
          <w:tcPr>
            <w:tcW w:w="472" w:type="pct"/>
            <w:tcBorders>
              <w:left w:val="nil"/>
              <w:right w:val="nil"/>
            </w:tcBorders>
            <w:noWrap/>
            <w:hideMark/>
          </w:tcPr>
          <w:p w14:paraId="059C38C7" w14:textId="77777777" w:rsidR="00506F71" w:rsidRPr="005F76D9" w:rsidRDefault="00506F71" w:rsidP="00246245">
            <w:pPr>
              <w:pStyle w:val="Tabletext1"/>
              <w:ind w:left="0"/>
            </w:pPr>
          </w:p>
        </w:tc>
        <w:tc>
          <w:tcPr>
            <w:tcW w:w="550" w:type="pct"/>
            <w:tcBorders>
              <w:left w:val="nil"/>
              <w:right w:val="nil"/>
            </w:tcBorders>
            <w:noWrap/>
            <w:hideMark/>
          </w:tcPr>
          <w:p w14:paraId="553AEFC0" w14:textId="77777777" w:rsidR="00506F71" w:rsidRPr="005F76D9" w:rsidRDefault="00506F71" w:rsidP="00246245">
            <w:pPr>
              <w:pStyle w:val="Tabletext1"/>
              <w:ind w:left="0"/>
            </w:pPr>
          </w:p>
        </w:tc>
        <w:tc>
          <w:tcPr>
            <w:tcW w:w="522" w:type="pct"/>
            <w:tcBorders>
              <w:left w:val="nil"/>
            </w:tcBorders>
            <w:noWrap/>
            <w:hideMark/>
          </w:tcPr>
          <w:p w14:paraId="510C8133" w14:textId="2991469B" w:rsidR="00506F71" w:rsidRPr="005F76D9" w:rsidRDefault="00506F71" w:rsidP="00246245">
            <w:pPr>
              <w:pStyle w:val="Tabletext1"/>
              <w:ind w:left="0"/>
              <w:rPr>
                <w:rFonts w:cs="Calibri"/>
                <w:color w:val="000000"/>
              </w:rPr>
            </w:pPr>
          </w:p>
        </w:tc>
      </w:tr>
      <w:tr w:rsidR="00506F71" w:rsidRPr="005F76D9" w14:paraId="7EC2E4CB" w14:textId="77777777" w:rsidTr="00246245">
        <w:trPr>
          <w:trHeight w:val="300"/>
        </w:trPr>
        <w:tc>
          <w:tcPr>
            <w:tcW w:w="2906" w:type="pct"/>
            <w:noWrap/>
            <w:hideMark/>
          </w:tcPr>
          <w:p w14:paraId="1A7FA91D" w14:textId="77777777" w:rsidR="00506F71" w:rsidRPr="005F76D9" w:rsidRDefault="00506F71" w:rsidP="00246245">
            <w:pPr>
              <w:pStyle w:val="Tabletext1"/>
              <w:ind w:left="0"/>
              <w:rPr>
                <w:rFonts w:cs="Calibri"/>
                <w:color w:val="000000"/>
              </w:rPr>
            </w:pPr>
            <w:r w:rsidRPr="005F76D9">
              <w:rPr>
                <w:rFonts w:cs="Calibri"/>
                <w:color w:val="000000"/>
              </w:rPr>
              <w:t>1 year</w:t>
            </w:r>
          </w:p>
        </w:tc>
        <w:tc>
          <w:tcPr>
            <w:tcW w:w="550" w:type="pct"/>
            <w:noWrap/>
            <w:hideMark/>
          </w:tcPr>
          <w:p w14:paraId="2E878817" w14:textId="6AB6A498" w:rsidR="00506F71" w:rsidRPr="005F76D9" w:rsidRDefault="00506F71" w:rsidP="00246245">
            <w:pPr>
              <w:pStyle w:val="Tabletext1"/>
              <w:ind w:left="0"/>
              <w:rPr>
                <w:rFonts w:cs="Calibri"/>
                <w:color w:val="000000"/>
              </w:rPr>
            </w:pPr>
            <w:r w:rsidRPr="005364D4">
              <w:t>$31,109</w:t>
            </w:r>
          </w:p>
        </w:tc>
        <w:tc>
          <w:tcPr>
            <w:tcW w:w="472" w:type="pct"/>
            <w:noWrap/>
            <w:hideMark/>
          </w:tcPr>
          <w:p w14:paraId="207CA9EE" w14:textId="4282F705" w:rsidR="00506F71" w:rsidRPr="005F76D9" w:rsidRDefault="00506F71" w:rsidP="00246245">
            <w:pPr>
              <w:pStyle w:val="Tabletext1"/>
              <w:ind w:left="0"/>
              <w:rPr>
                <w:rFonts w:cs="Calibri"/>
                <w:color w:val="000000"/>
              </w:rPr>
            </w:pPr>
            <w:r w:rsidRPr="005364D4">
              <w:t>0.1616</w:t>
            </w:r>
          </w:p>
        </w:tc>
        <w:tc>
          <w:tcPr>
            <w:tcW w:w="550" w:type="pct"/>
            <w:noWrap/>
            <w:hideMark/>
          </w:tcPr>
          <w:p w14:paraId="698FE58D" w14:textId="2566096E" w:rsidR="00506F71" w:rsidRPr="005F76D9" w:rsidRDefault="00506F71" w:rsidP="00246245">
            <w:pPr>
              <w:pStyle w:val="Tabletext1"/>
              <w:ind w:left="0"/>
              <w:rPr>
                <w:rFonts w:cs="Calibri"/>
                <w:color w:val="000000"/>
              </w:rPr>
            </w:pPr>
            <w:r w:rsidRPr="005364D4">
              <w:t>$192,522</w:t>
            </w:r>
          </w:p>
        </w:tc>
        <w:tc>
          <w:tcPr>
            <w:tcW w:w="522" w:type="pct"/>
            <w:noWrap/>
            <w:hideMark/>
          </w:tcPr>
          <w:p w14:paraId="5066471C" w14:textId="35C0D857" w:rsidR="00506F71" w:rsidRPr="005F76D9" w:rsidRDefault="00506F71" w:rsidP="00246245">
            <w:pPr>
              <w:pStyle w:val="Tabletext1"/>
              <w:ind w:left="0"/>
              <w:rPr>
                <w:rFonts w:cs="Calibri"/>
                <w:color w:val="000000"/>
              </w:rPr>
            </w:pPr>
            <w:r w:rsidRPr="005364D4">
              <w:t>66%</w:t>
            </w:r>
          </w:p>
        </w:tc>
      </w:tr>
      <w:tr w:rsidR="00506F71" w:rsidRPr="005F76D9" w14:paraId="54D4167A" w14:textId="77777777" w:rsidTr="00246245">
        <w:trPr>
          <w:trHeight w:val="315"/>
        </w:trPr>
        <w:tc>
          <w:tcPr>
            <w:tcW w:w="2906" w:type="pct"/>
            <w:noWrap/>
            <w:hideMark/>
          </w:tcPr>
          <w:p w14:paraId="15D047F8" w14:textId="77777777" w:rsidR="00506F71" w:rsidRPr="005F76D9" w:rsidRDefault="00506F71" w:rsidP="00246245">
            <w:pPr>
              <w:pStyle w:val="Tabletext1"/>
              <w:ind w:left="0"/>
              <w:rPr>
                <w:rFonts w:cs="Calibri"/>
                <w:color w:val="000000"/>
              </w:rPr>
            </w:pPr>
            <w:r w:rsidRPr="005F76D9">
              <w:rPr>
                <w:rFonts w:cs="Calibri"/>
                <w:color w:val="000000"/>
              </w:rPr>
              <w:t>3 years</w:t>
            </w:r>
          </w:p>
        </w:tc>
        <w:tc>
          <w:tcPr>
            <w:tcW w:w="550" w:type="pct"/>
            <w:noWrap/>
            <w:hideMark/>
          </w:tcPr>
          <w:p w14:paraId="7265B142" w14:textId="03AF1D68" w:rsidR="00506F71" w:rsidRPr="005F76D9" w:rsidRDefault="00506F71" w:rsidP="00246245">
            <w:pPr>
              <w:pStyle w:val="Tabletext1"/>
              <w:ind w:left="0"/>
              <w:rPr>
                <w:rFonts w:cs="Calibri"/>
                <w:color w:val="000000"/>
              </w:rPr>
            </w:pPr>
            <w:r w:rsidRPr="005364D4">
              <w:t>$64,521</w:t>
            </w:r>
          </w:p>
        </w:tc>
        <w:tc>
          <w:tcPr>
            <w:tcW w:w="472" w:type="pct"/>
            <w:noWrap/>
            <w:hideMark/>
          </w:tcPr>
          <w:p w14:paraId="424E2BB6" w14:textId="750ED72F" w:rsidR="00506F71" w:rsidRPr="005F76D9" w:rsidRDefault="00506F71" w:rsidP="00246245">
            <w:pPr>
              <w:pStyle w:val="Tabletext1"/>
              <w:ind w:left="0"/>
              <w:rPr>
                <w:rFonts w:cs="Calibri"/>
                <w:color w:val="000000"/>
              </w:rPr>
            </w:pPr>
            <w:r w:rsidRPr="005364D4">
              <w:t>0.4355</w:t>
            </w:r>
          </w:p>
        </w:tc>
        <w:tc>
          <w:tcPr>
            <w:tcW w:w="550" w:type="pct"/>
            <w:noWrap/>
            <w:hideMark/>
          </w:tcPr>
          <w:p w14:paraId="4BEFACF9" w14:textId="2EBCE210" w:rsidR="00506F71" w:rsidRPr="005F76D9" w:rsidRDefault="00506F71" w:rsidP="00246245">
            <w:pPr>
              <w:pStyle w:val="Tabletext1"/>
              <w:ind w:left="0"/>
              <w:rPr>
                <w:rFonts w:cs="Calibri"/>
                <w:color w:val="000000"/>
              </w:rPr>
            </w:pPr>
            <w:r w:rsidRPr="005364D4">
              <w:t>$148,140</w:t>
            </w:r>
          </w:p>
        </w:tc>
        <w:tc>
          <w:tcPr>
            <w:tcW w:w="522" w:type="pct"/>
            <w:noWrap/>
            <w:hideMark/>
          </w:tcPr>
          <w:p w14:paraId="44CBADB7" w14:textId="7370ED06" w:rsidR="00506F71" w:rsidRPr="005F76D9" w:rsidRDefault="00506F71" w:rsidP="00246245">
            <w:pPr>
              <w:pStyle w:val="Tabletext1"/>
              <w:ind w:left="0"/>
              <w:rPr>
                <w:rFonts w:cs="Calibri"/>
                <w:color w:val="000000"/>
              </w:rPr>
            </w:pPr>
            <w:r w:rsidRPr="005364D4">
              <w:t>28%</w:t>
            </w:r>
          </w:p>
        </w:tc>
      </w:tr>
      <w:tr w:rsidR="00506F71" w:rsidRPr="005F76D9" w14:paraId="30062507" w14:textId="77777777" w:rsidTr="00246245">
        <w:trPr>
          <w:trHeight w:val="300"/>
        </w:trPr>
        <w:tc>
          <w:tcPr>
            <w:tcW w:w="2906" w:type="pct"/>
            <w:noWrap/>
            <w:hideMark/>
          </w:tcPr>
          <w:p w14:paraId="676F2DB8" w14:textId="77777777" w:rsidR="00506F71" w:rsidRPr="005F76D9" w:rsidRDefault="00506F71" w:rsidP="00246245">
            <w:pPr>
              <w:pStyle w:val="Tabletext1"/>
              <w:ind w:left="0"/>
              <w:rPr>
                <w:rFonts w:cs="Calibri"/>
                <w:color w:val="000000"/>
              </w:rPr>
            </w:pPr>
            <w:r w:rsidRPr="005F76D9">
              <w:rPr>
                <w:rFonts w:cs="Calibri"/>
                <w:color w:val="000000"/>
              </w:rPr>
              <w:t>5 years</w:t>
            </w:r>
          </w:p>
        </w:tc>
        <w:tc>
          <w:tcPr>
            <w:tcW w:w="550" w:type="pct"/>
            <w:noWrap/>
            <w:hideMark/>
          </w:tcPr>
          <w:p w14:paraId="2F39DF29" w14:textId="50F2B22F" w:rsidR="00506F71" w:rsidRPr="005F76D9" w:rsidRDefault="00506F71" w:rsidP="00246245">
            <w:pPr>
              <w:pStyle w:val="Tabletext1"/>
              <w:ind w:left="0"/>
              <w:rPr>
                <w:rFonts w:cs="Calibri"/>
                <w:color w:val="000000"/>
              </w:rPr>
            </w:pPr>
            <w:r w:rsidRPr="005364D4">
              <w:t>$90,108</w:t>
            </w:r>
          </w:p>
        </w:tc>
        <w:tc>
          <w:tcPr>
            <w:tcW w:w="472" w:type="pct"/>
            <w:noWrap/>
            <w:hideMark/>
          </w:tcPr>
          <w:p w14:paraId="5A32F046" w14:textId="6FEE9088" w:rsidR="00506F71" w:rsidRPr="005F76D9" w:rsidRDefault="00506F71" w:rsidP="00246245">
            <w:pPr>
              <w:pStyle w:val="Tabletext1"/>
              <w:ind w:left="0"/>
              <w:rPr>
                <w:rFonts w:cs="Calibri"/>
                <w:color w:val="000000"/>
              </w:rPr>
            </w:pPr>
            <w:r w:rsidRPr="005364D4">
              <w:t>0.6766</w:t>
            </w:r>
          </w:p>
        </w:tc>
        <w:tc>
          <w:tcPr>
            <w:tcW w:w="550" w:type="pct"/>
            <w:noWrap/>
            <w:hideMark/>
          </w:tcPr>
          <w:p w14:paraId="6F389919" w14:textId="58CE92F2" w:rsidR="00506F71" w:rsidRPr="005F76D9" w:rsidRDefault="00506F71" w:rsidP="00246245">
            <w:pPr>
              <w:pStyle w:val="Tabletext1"/>
              <w:ind w:left="0"/>
              <w:rPr>
                <w:rFonts w:cs="Calibri"/>
                <w:color w:val="000000"/>
              </w:rPr>
            </w:pPr>
            <w:r w:rsidRPr="005364D4">
              <w:t>$133,184</w:t>
            </w:r>
          </w:p>
        </w:tc>
        <w:tc>
          <w:tcPr>
            <w:tcW w:w="522" w:type="pct"/>
            <w:noWrap/>
            <w:hideMark/>
          </w:tcPr>
          <w:p w14:paraId="695654F5" w14:textId="6F6C92BE" w:rsidR="00506F71" w:rsidRPr="005F76D9" w:rsidRDefault="00506F71" w:rsidP="00246245">
            <w:pPr>
              <w:pStyle w:val="Tabletext1"/>
              <w:ind w:left="0"/>
              <w:rPr>
                <w:rFonts w:cs="Calibri"/>
                <w:color w:val="000000"/>
              </w:rPr>
            </w:pPr>
            <w:r w:rsidRPr="005364D4">
              <w:t>15%</w:t>
            </w:r>
          </w:p>
        </w:tc>
      </w:tr>
      <w:tr w:rsidR="00506F71" w:rsidRPr="005F76D9" w14:paraId="1E6102E8" w14:textId="77777777" w:rsidTr="00246245">
        <w:trPr>
          <w:trHeight w:val="255"/>
        </w:trPr>
        <w:tc>
          <w:tcPr>
            <w:tcW w:w="2906" w:type="pct"/>
            <w:tcBorders>
              <w:bottom w:val="single" w:sz="4" w:space="0" w:color="auto"/>
            </w:tcBorders>
            <w:noWrap/>
            <w:hideMark/>
          </w:tcPr>
          <w:p w14:paraId="76C75834" w14:textId="77777777" w:rsidR="00506F71" w:rsidRPr="005F76D9" w:rsidRDefault="00506F71" w:rsidP="00246245">
            <w:pPr>
              <w:pStyle w:val="Tabletext1"/>
              <w:ind w:left="0"/>
              <w:rPr>
                <w:rFonts w:cs="Calibri"/>
                <w:color w:val="000000"/>
              </w:rPr>
            </w:pPr>
            <w:r w:rsidRPr="005F76D9">
              <w:rPr>
                <w:rFonts w:cs="Calibri"/>
                <w:color w:val="000000"/>
              </w:rPr>
              <w:t>7 years</w:t>
            </w:r>
          </w:p>
        </w:tc>
        <w:tc>
          <w:tcPr>
            <w:tcW w:w="550" w:type="pct"/>
            <w:tcBorders>
              <w:bottom w:val="single" w:sz="4" w:space="0" w:color="auto"/>
            </w:tcBorders>
            <w:noWrap/>
            <w:hideMark/>
          </w:tcPr>
          <w:p w14:paraId="588FBADA" w14:textId="2EE3AAC2" w:rsidR="00506F71" w:rsidRPr="005F76D9" w:rsidRDefault="00506F71" w:rsidP="00246245">
            <w:pPr>
              <w:pStyle w:val="Tabletext1"/>
              <w:ind w:left="0"/>
              <w:rPr>
                <w:rFonts w:cs="Calibri"/>
                <w:color w:val="000000"/>
              </w:rPr>
            </w:pPr>
            <w:r w:rsidRPr="005364D4">
              <w:t>$111,571</w:t>
            </w:r>
          </w:p>
        </w:tc>
        <w:tc>
          <w:tcPr>
            <w:tcW w:w="472" w:type="pct"/>
            <w:tcBorders>
              <w:bottom w:val="single" w:sz="4" w:space="0" w:color="auto"/>
            </w:tcBorders>
            <w:noWrap/>
            <w:hideMark/>
          </w:tcPr>
          <w:p w14:paraId="1D000FB2" w14:textId="6BE65EE2" w:rsidR="00506F71" w:rsidRPr="005F76D9" w:rsidRDefault="00506F71" w:rsidP="00246245">
            <w:pPr>
              <w:pStyle w:val="Tabletext1"/>
              <w:ind w:left="0"/>
              <w:rPr>
                <w:rFonts w:cs="Calibri"/>
                <w:color w:val="000000"/>
              </w:rPr>
            </w:pPr>
            <w:r w:rsidRPr="005364D4">
              <w:t>0.8960</w:t>
            </w:r>
          </w:p>
        </w:tc>
        <w:tc>
          <w:tcPr>
            <w:tcW w:w="550" w:type="pct"/>
            <w:tcBorders>
              <w:bottom w:val="single" w:sz="4" w:space="0" w:color="auto"/>
            </w:tcBorders>
            <w:noWrap/>
            <w:hideMark/>
          </w:tcPr>
          <w:p w14:paraId="2666D29E" w14:textId="5A0BDC1A" w:rsidR="00506F71" w:rsidRPr="005F76D9" w:rsidRDefault="00506F71" w:rsidP="00246245">
            <w:pPr>
              <w:pStyle w:val="Tabletext1"/>
              <w:ind w:left="0"/>
              <w:rPr>
                <w:rFonts w:cs="Calibri"/>
                <w:color w:val="000000"/>
              </w:rPr>
            </w:pPr>
            <w:r w:rsidRPr="005364D4">
              <w:t>$124,520</w:t>
            </w:r>
          </w:p>
        </w:tc>
        <w:tc>
          <w:tcPr>
            <w:tcW w:w="522" w:type="pct"/>
            <w:tcBorders>
              <w:bottom w:val="single" w:sz="4" w:space="0" w:color="auto"/>
            </w:tcBorders>
            <w:noWrap/>
            <w:hideMark/>
          </w:tcPr>
          <w:p w14:paraId="51AABEA8" w14:textId="09986F46" w:rsidR="00506F71" w:rsidRPr="005F76D9" w:rsidRDefault="00506F71" w:rsidP="00246245">
            <w:pPr>
              <w:pStyle w:val="Tabletext1"/>
              <w:ind w:left="0"/>
              <w:rPr>
                <w:rFonts w:cs="Calibri"/>
                <w:color w:val="000000"/>
              </w:rPr>
            </w:pPr>
            <w:r w:rsidRPr="005364D4">
              <w:t>7%</w:t>
            </w:r>
          </w:p>
        </w:tc>
      </w:tr>
      <w:tr w:rsidR="00506F71" w:rsidRPr="005F76D9" w14:paraId="718EE1BD" w14:textId="77777777" w:rsidTr="00246245">
        <w:trPr>
          <w:trHeight w:val="255"/>
        </w:trPr>
        <w:tc>
          <w:tcPr>
            <w:tcW w:w="2906" w:type="pct"/>
            <w:tcBorders>
              <w:bottom w:val="single" w:sz="4" w:space="0" w:color="auto"/>
              <w:right w:val="nil"/>
            </w:tcBorders>
            <w:noWrap/>
            <w:hideMark/>
          </w:tcPr>
          <w:p w14:paraId="0AB949E3" w14:textId="77777777" w:rsidR="00506F71" w:rsidRPr="005F76D9" w:rsidRDefault="00506F71" w:rsidP="00246245">
            <w:pPr>
              <w:pStyle w:val="Tabletext1"/>
              <w:ind w:left="0"/>
              <w:rPr>
                <w:rFonts w:cs="Calibri"/>
                <w:b/>
                <w:bCs/>
                <w:color w:val="000000"/>
              </w:rPr>
            </w:pPr>
            <w:r w:rsidRPr="005F76D9">
              <w:rPr>
                <w:rFonts w:cs="Calibri"/>
                <w:b/>
                <w:bCs/>
                <w:color w:val="000000"/>
              </w:rPr>
              <w:t>Demographics</w:t>
            </w:r>
          </w:p>
        </w:tc>
        <w:tc>
          <w:tcPr>
            <w:tcW w:w="550" w:type="pct"/>
            <w:tcBorders>
              <w:left w:val="nil"/>
              <w:bottom w:val="single" w:sz="4" w:space="0" w:color="auto"/>
              <w:right w:val="nil"/>
            </w:tcBorders>
            <w:noWrap/>
            <w:hideMark/>
          </w:tcPr>
          <w:p w14:paraId="01544782" w14:textId="77777777" w:rsidR="00506F71" w:rsidRPr="005F76D9" w:rsidRDefault="00506F71" w:rsidP="00246245">
            <w:pPr>
              <w:pStyle w:val="Tabletext1"/>
              <w:ind w:left="0"/>
              <w:rPr>
                <w:rFonts w:cs="Calibri"/>
                <w:b/>
                <w:bCs/>
                <w:color w:val="000000"/>
              </w:rPr>
            </w:pPr>
          </w:p>
        </w:tc>
        <w:tc>
          <w:tcPr>
            <w:tcW w:w="472" w:type="pct"/>
            <w:tcBorders>
              <w:left w:val="nil"/>
              <w:bottom w:val="single" w:sz="4" w:space="0" w:color="auto"/>
              <w:right w:val="nil"/>
            </w:tcBorders>
            <w:noWrap/>
            <w:hideMark/>
          </w:tcPr>
          <w:p w14:paraId="194808FE" w14:textId="77777777" w:rsidR="00506F71" w:rsidRPr="005F76D9" w:rsidRDefault="00506F71" w:rsidP="00246245">
            <w:pPr>
              <w:pStyle w:val="Tabletext1"/>
              <w:ind w:left="0"/>
            </w:pPr>
          </w:p>
        </w:tc>
        <w:tc>
          <w:tcPr>
            <w:tcW w:w="550" w:type="pct"/>
            <w:tcBorders>
              <w:left w:val="nil"/>
              <w:bottom w:val="single" w:sz="4" w:space="0" w:color="auto"/>
              <w:right w:val="nil"/>
            </w:tcBorders>
            <w:noWrap/>
            <w:hideMark/>
          </w:tcPr>
          <w:p w14:paraId="7B8DA5AE" w14:textId="77777777" w:rsidR="00506F71" w:rsidRPr="005F76D9" w:rsidRDefault="00506F71" w:rsidP="00246245">
            <w:pPr>
              <w:pStyle w:val="Tabletext1"/>
              <w:ind w:left="0"/>
            </w:pPr>
          </w:p>
        </w:tc>
        <w:tc>
          <w:tcPr>
            <w:tcW w:w="522" w:type="pct"/>
            <w:tcBorders>
              <w:left w:val="nil"/>
              <w:bottom w:val="single" w:sz="4" w:space="0" w:color="auto"/>
            </w:tcBorders>
            <w:noWrap/>
            <w:hideMark/>
          </w:tcPr>
          <w:p w14:paraId="0419EC67" w14:textId="37F197FD" w:rsidR="00506F71" w:rsidRPr="005F76D9" w:rsidRDefault="00506F71" w:rsidP="00246245">
            <w:pPr>
              <w:pStyle w:val="Tabletext1"/>
              <w:ind w:left="0"/>
              <w:rPr>
                <w:rFonts w:cs="Calibri"/>
                <w:color w:val="000000"/>
              </w:rPr>
            </w:pPr>
          </w:p>
        </w:tc>
      </w:tr>
      <w:tr w:rsidR="00506F71" w:rsidRPr="005F76D9" w14:paraId="65EE627A" w14:textId="77777777" w:rsidTr="00246245">
        <w:trPr>
          <w:trHeight w:val="255"/>
        </w:trPr>
        <w:tc>
          <w:tcPr>
            <w:tcW w:w="2906" w:type="pct"/>
            <w:tcBorders>
              <w:right w:val="nil"/>
            </w:tcBorders>
            <w:noWrap/>
            <w:hideMark/>
          </w:tcPr>
          <w:p w14:paraId="117703F4" w14:textId="77777777" w:rsidR="00506F71" w:rsidRPr="005F76D9" w:rsidRDefault="00506F71" w:rsidP="00246245">
            <w:pPr>
              <w:pStyle w:val="Tabletext1"/>
              <w:ind w:left="0"/>
              <w:rPr>
                <w:rFonts w:cs="Calibri"/>
                <w:color w:val="000000"/>
              </w:rPr>
            </w:pPr>
            <w:r w:rsidRPr="005F76D9">
              <w:rPr>
                <w:rFonts w:cs="Calibri"/>
                <w:color w:val="000000"/>
              </w:rPr>
              <w:t>Mean patient weight, base-case 78 Kg</w:t>
            </w:r>
          </w:p>
        </w:tc>
        <w:tc>
          <w:tcPr>
            <w:tcW w:w="550" w:type="pct"/>
            <w:tcBorders>
              <w:left w:val="nil"/>
              <w:right w:val="nil"/>
            </w:tcBorders>
            <w:noWrap/>
            <w:hideMark/>
          </w:tcPr>
          <w:p w14:paraId="1DDF5786"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1C2D65C8" w14:textId="77777777" w:rsidR="00506F71" w:rsidRPr="005F76D9" w:rsidRDefault="00506F71" w:rsidP="00246245">
            <w:pPr>
              <w:pStyle w:val="Tabletext1"/>
              <w:ind w:left="0"/>
            </w:pPr>
          </w:p>
        </w:tc>
        <w:tc>
          <w:tcPr>
            <w:tcW w:w="550" w:type="pct"/>
            <w:tcBorders>
              <w:left w:val="nil"/>
              <w:right w:val="nil"/>
            </w:tcBorders>
            <w:noWrap/>
            <w:hideMark/>
          </w:tcPr>
          <w:p w14:paraId="14A662AE" w14:textId="77777777" w:rsidR="00506F71" w:rsidRPr="005F76D9" w:rsidRDefault="00506F71" w:rsidP="00246245">
            <w:pPr>
              <w:pStyle w:val="Tabletext1"/>
              <w:ind w:left="0"/>
            </w:pPr>
          </w:p>
        </w:tc>
        <w:tc>
          <w:tcPr>
            <w:tcW w:w="522" w:type="pct"/>
            <w:tcBorders>
              <w:left w:val="nil"/>
            </w:tcBorders>
            <w:noWrap/>
            <w:hideMark/>
          </w:tcPr>
          <w:p w14:paraId="4E246974" w14:textId="4A608A4B" w:rsidR="00506F71" w:rsidRPr="005F76D9" w:rsidRDefault="00506F71" w:rsidP="00246245">
            <w:pPr>
              <w:pStyle w:val="Tabletext1"/>
              <w:ind w:left="0"/>
              <w:rPr>
                <w:rFonts w:cs="Calibri"/>
                <w:color w:val="000000"/>
              </w:rPr>
            </w:pPr>
          </w:p>
        </w:tc>
      </w:tr>
      <w:tr w:rsidR="00506F71" w:rsidRPr="005F76D9" w14:paraId="52EC73D8" w14:textId="77777777" w:rsidTr="00246245">
        <w:trPr>
          <w:trHeight w:val="255"/>
        </w:trPr>
        <w:tc>
          <w:tcPr>
            <w:tcW w:w="2906" w:type="pct"/>
            <w:tcBorders>
              <w:bottom w:val="single" w:sz="4" w:space="0" w:color="auto"/>
            </w:tcBorders>
            <w:noWrap/>
            <w:hideMark/>
          </w:tcPr>
          <w:p w14:paraId="0544CC46" w14:textId="77777777" w:rsidR="00506F71" w:rsidRPr="005F76D9" w:rsidRDefault="00506F71" w:rsidP="00246245">
            <w:pPr>
              <w:pStyle w:val="Tabletext1"/>
              <w:ind w:left="0"/>
              <w:rPr>
                <w:rFonts w:cs="Calibri"/>
                <w:color w:val="000000"/>
              </w:rPr>
            </w:pPr>
            <w:r w:rsidRPr="005F76D9">
              <w:rPr>
                <w:rFonts w:cs="Calibri"/>
                <w:color w:val="000000"/>
              </w:rPr>
              <w:t>Mean patient weight - 83.62 Kg (BloodStar summary data)</w:t>
            </w:r>
          </w:p>
        </w:tc>
        <w:tc>
          <w:tcPr>
            <w:tcW w:w="550" w:type="pct"/>
            <w:tcBorders>
              <w:bottom w:val="single" w:sz="4" w:space="0" w:color="auto"/>
            </w:tcBorders>
            <w:noWrap/>
            <w:hideMark/>
          </w:tcPr>
          <w:p w14:paraId="3B5D46C3" w14:textId="290E0579" w:rsidR="00506F71" w:rsidRPr="005F76D9" w:rsidRDefault="00506F71" w:rsidP="00246245">
            <w:pPr>
              <w:pStyle w:val="Tabletext1"/>
              <w:ind w:left="0"/>
              <w:rPr>
                <w:rFonts w:cs="Calibri"/>
                <w:color w:val="000000"/>
              </w:rPr>
            </w:pPr>
            <w:r w:rsidRPr="005364D4">
              <w:t>$146,902</w:t>
            </w:r>
          </w:p>
        </w:tc>
        <w:tc>
          <w:tcPr>
            <w:tcW w:w="472" w:type="pct"/>
            <w:tcBorders>
              <w:bottom w:val="single" w:sz="4" w:space="0" w:color="auto"/>
            </w:tcBorders>
            <w:noWrap/>
            <w:hideMark/>
          </w:tcPr>
          <w:p w14:paraId="04707C90" w14:textId="5F8F7DB6" w:rsidR="00506F71" w:rsidRPr="005F76D9" w:rsidRDefault="00506F71" w:rsidP="00246245">
            <w:pPr>
              <w:pStyle w:val="Tabletext1"/>
              <w:ind w:left="0"/>
              <w:rPr>
                <w:rFonts w:cs="Calibri"/>
                <w:color w:val="000000"/>
              </w:rPr>
            </w:pPr>
            <w:r w:rsidRPr="005364D4">
              <w:t>1.1840</w:t>
            </w:r>
          </w:p>
        </w:tc>
        <w:tc>
          <w:tcPr>
            <w:tcW w:w="550" w:type="pct"/>
            <w:tcBorders>
              <w:bottom w:val="single" w:sz="4" w:space="0" w:color="auto"/>
            </w:tcBorders>
            <w:noWrap/>
            <w:hideMark/>
          </w:tcPr>
          <w:p w14:paraId="6A674BFE" w14:textId="28DD9ED5" w:rsidR="00506F71" w:rsidRPr="005F76D9" w:rsidRDefault="00506F71" w:rsidP="00246245">
            <w:pPr>
              <w:pStyle w:val="Tabletext1"/>
              <w:ind w:left="0"/>
              <w:rPr>
                <w:rFonts w:cs="Calibri"/>
                <w:color w:val="000000"/>
              </w:rPr>
            </w:pPr>
            <w:r w:rsidRPr="005364D4">
              <w:t>$124,077</w:t>
            </w:r>
          </w:p>
        </w:tc>
        <w:tc>
          <w:tcPr>
            <w:tcW w:w="522" w:type="pct"/>
            <w:tcBorders>
              <w:bottom w:val="single" w:sz="4" w:space="0" w:color="auto"/>
            </w:tcBorders>
            <w:noWrap/>
            <w:hideMark/>
          </w:tcPr>
          <w:p w14:paraId="17DB4B82" w14:textId="306F8C5E" w:rsidR="00506F71" w:rsidRPr="005F76D9" w:rsidRDefault="00506F71" w:rsidP="00246245">
            <w:pPr>
              <w:pStyle w:val="Tabletext1"/>
              <w:ind w:left="0"/>
              <w:rPr>
                <w:rFonts w:cs="Calibri"/>
                <w:color w:val="000000"/>
              </w:rPr>
            </w:pPr>
            <w:r w:rsidRPr="005364D4">
              <w:t>7%</w:t>
            </w:r>
          </w:p>
        </w:tc>
      </w:tr>
      <w:tr w:rsidR="00506F71" w:rsidRPr="005F76D9" w14:paraId="39358B7D" w14:textId="77777777" w:rsidTr="00246245">
        <w:trPr>
          <w:trHeight w:val="255"/>
        </w:trPr>
        <w:tc>
          <w:tcPr>
            <w:tcW w:w="2906" w:type="pct"/>
            <w:tcBorders>
              <w:right w:val="nil"/>
            </w:tcBorders>
            <w:noWrap/>
            <w:hideMark/>
          </w:tcPr>
          <w:p w14:paraId="54251975" w14:textId="77777777" w:rsidR="00506F71" w:rsidRPr="005F76D9" w:rsidRDefault="00506F71" w:rsidP="00246245">
            <w:pPr>
              <w:pStyle w:val="Tabletext1"/>
              <w:ind w:left="0"/>
              <w:rPr>
                <w:rFonts w:cs="Calibri"/>
                <w:color w:val="000000"/>
              </w:rPr>
            </w:pPr>
            <w:r w:rsidRPr="005F76D9">
              <w:rPr>
                <w:rFonts w:cs="Calibri"/>
                <w:color w:val="000000"/>
              </w:rPr>
              <w:t>Mean patient age (base case: 65 years)</w:t>
            </w:r>
          </w:p>
        </w:tc>
        <w:tc>
          <w:tcPr>
            <w:tcW w:w="550" w:type="pct"/>
            <w:tcBorders>
              <w:left w:val="nil"/>
              <w:right w:val="nil"/>
            </w:tcBorders>
            <w:noWrap/>
            <w:hideMark/>
          </w:tcPr>
          <w:p w14:paraId="2E4E7E3D"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144DB0BF" w14:textId="77777777" w:rsidR="00506F71" w:rsidRPr="005F76D9" w:rsidRDefault="00506F71" w:rsidP="00246245">
            <w:pPr>
              <w:pStyle w:val="Tabletext1"/>
              <w:ind w:left="0"/>
            </w:pPr>
          </w:p>
        </w:tc>
        <w:tc>
          <w:tcPr>
            <w:tcW w:w="550" w:type="pct"/>
            <w:tcBorders>
              <w:left w:val="nil"/>
              <w:right w:val="nil"/>
            </w:tcBorders>
            <w:noWrap/>
            <w:hideMark/>
          </w:tcPr>
          <w:p w14:paraId="038246EA" w14:textId="77777777" w:rsidR="00506F71" w:rsidRPr="005F76D9" w:rsidRDefault="00506F71" w:rsidP="00246245">
            <w:pPr>
              <w:pStyle w:val="Tabletext1"/>
              <w:ind w:left="0"/>
            </w:pPr>
          </w:p>
        </w:tc>
        <w:tc>
          <w:tcPr>
            <w:tcW w:w="522" w:type="pct"/>
            <w:tcBorders>
              <w:left w:val="nil"/>
            </w:tcBorders>
            <w:noWrap/>
            <w:hideMark/>
          </w:tcPr>
          <w:p w14:paraId="37E722F9" w14:textId="4268CAA4" w:rsidR="00506F71" w:rsidRPr="005F76D9" w:rsidRDefault="00506F71" w:rsidP="00246245">
            <w:pPr>
              <w:pStyle w:val="Tabletext1"/>
              <w:ind w:left="0"/>
              <w:rPr>
                <w:rFonts w:cs="Calibri"/>
                <w:color w:val="000000"/>
              </w:rPr>
            </w:pPr>
          </w:p>
        </w:tc>
      </w:tr>
      <w:tr w:rsidR="00506F71" w:rsidRPr="005F76D9" w14:paraId="30CEC27F" w14:textId="77777777" w:rsidTr="00246245">
        <w:trPr>
          <w:trHeight w:val="255"/>
        </w:trPr>
        <w:tc>
          <w:tcPr>
            <w:tcW w:w="2906" w:type="pct"/>
            <w:noWrap/>
            <w:hideMark/>
          </w:tcPr>
          <w:p w14:paraId="56351CDD" w14:textId="77777777" w:rsidR="00506F71" w:rsidRPr="005F76D9" w:rsidRDefault="00506F71" w:rsidP="00246245">
            <w:pPr>
              <w:pStyle w:val="Tabletext1"/>
              <w:ind w:left="0"/>
              <w:rPr>
                <w:rFonts w:cs="Calibri"/>
                <w:color w:val="000000"/>
              </w:rPr>
            </w:pPr>
            <w:r w:rsidRPr="005F76D9">
              <w:rPr>
                <w:rFonts w:cs="Calibri"/>
                <w:color w:val="000000"/>
              </w:rPr>
              <w:t>50 years</w:t>
            </w:r>
          </w:p>
        </w:tc>
        <w:tc>
          <w:tcPr>
            <w:tcW w:w="550" w:type="pct"/>
            <w:noWrap/>
            <w:hideMark/>
          </w:tcPr>
          <w:p w14:paraId="4EA13E0C" w14:textId="3A860D7D" w:rsidR="00506F71" w:rsidRPr="005F76D9" w:rsidRDefault="00506F71" w:rsidP="00246245">
            <w:pPr>
              <w:pStyle w:val="Tabletext1"/>
              <w:ind w:left="0"/>
              <w:rPr>
                <w:rFonts w:cs="Calibri"/>
                <w:color w:val="000000"/>
              </w:rPr>
            </w:pPr>
            <w:r w:rsidRPr="005364D4">
              <w:t>$141,071</w:t>
            </w:r>
          </w:p>
        </w:tc>
        <w:tc>
          <w:tcPr>
            <w:tcW w:w="472" w:type="pct"/>
            <w:noWrap/>
            <w:hideMark/>
          </w:tcPr>
          <w:p w14:paraId="1AD6448D" w14:textId="40C67E9B" w:rsidR="00506F71" w:rsidRPr="005F76D9" w:rsidRDefault="00506F71" w:rsidP="00246245">
            <w:pPr>
              <w:pStyle w:val="Tabletext1"/>
              <w:ind w:left="0"/>
              <w:rPr>
                <w:rFonts w:cs="Calibri"/>
                <w:color w:val="000000"/>
              </w:rPr>
            </w:pPr>
            <w:r w:rsidRPr="005364D4">
              <w:t>1.2553</w:t>
            </w:r>
          </w:p>
        </w:tc>
        <w:tc>
          <w:tcPr>
            <w:tcW w:w="550" w:type="pct"/>
            <w:noWrap/>
            <w:hideMark/>
          </w:tcPr>
          <w:p w14:paraId="2910A82C" w14:textId="3CC8012C" w:rsidR="00506F71" w:rsidRPr="005F76D9" w:rsidRDefault="00506F71" w:rsidP="00246245">
            <w:pPr>
              <w:pStyle w:val="Tabletext1"/>
              <w:ind w:left="0"/>
              <w:rPr>
                <w:rFonts w:cs="Calibri"/>
                <w:color w:val="000000"/>
              </w:rPr>
            </w:pPr>
            <w:r w:rsidRPr="005364D4">
              <w:t>$112,379</w:t>
            </w:r>
          </w:p>
        </w:tc>
        <w:tc>
          <w:tcPr>
            <w:tcW w:w="522" w:type="pct"/>
            <w:noWrap/>
            <w:hideMark/>
          </w:tcPr>
          <w:p w14:paraId="7F105661" w14:textId="757D5E2C" w:rsidR="00506F71" w:rsidRPr="005F76D9" w:rsidRDefault="00506F71" w:rsidP="00246245">
            <w:pPr>
              <w:pStyle w:val="Tabletext1"/>
              <w:ind w:left="0"/>
              <w:rPr>
                <w:rFonts w:cs="Calibri"/>
                <w:color w:val="000000"/>
              </w:rPr>
            </w:pPr>
            <w:r w:rsidRPr="005364D4">
              <w:t>-3%</w:t>
            </w:r>
          </w:p>
        </w:tc>
      </w:tr>
      <w:tr w:rsidR="00506F71" w:rsidRPr="005F76D9" w14:paraId="28D20AFF" w14:textId="77777777" w:rsidTr="00246245">
        <w:trPr>
          <w:trHeight w:val="255"/>
        </w:trPr>
        <w:tc>
          <w:tcPr>
            <w:tcW w:w="2906" w:type="pct"/>
            <w:noWrap/>
            <w:hideMark/>
          </w:tcPr>
          <w:p w14:paraId="07085456" w14:textId="77777777" w:rsidR="00506F71" w:rsidRPr="005F76D9" w:rsidRDefault="00506F71" w:rsidP="00246245">
            <w:pPr>
              <w:pStyle w:val="Tabletext1"/>
              <w:ind w:left="0"/>
              <w:rPr>
                <w:rFonts w:cs="Calibri"/>
                <w:color w:val="000000"/>
              </w:rPr>
            </w:pPr>
            <w:r w:rsidRPr="005F76D9">
              <w:rPr>
                <w:rFonts w:cs="Calibri"/>
                <w:color w:val="000000"/>
              </w:rPr>
              <w:t>55 years</w:t>
            </w:r>
          </w:p>
        </w:tc>
        <w:tc>
          <w:tcPr>
            <w:tcW w:w="550" w:type="pct"/>
            <w:noWrap/>
            <w:hideMark/>
          </w:tcPr>
          <w:p w14:paraId="659824AE" w14:textId="4ADBDA7F" w:rsidR="00506F71" w:rsidRPr="005F76D9" w:rsidRDefault="00506F71" w:rsidP="00246245">
            <w:pPr>
              <w:pStyle w:val="Tabletext1"/>
              <w:ind w:left="0"/>
              <w:rPr>
                <w:rFonts w:cs="Calibri"/>
                <w:color w:val="000000"/>
              </w:rPr>
            </w:pPr>
            <w:r w:rsidRPr="005364D4">
              <w:t>$140,306</w:t>
            </w:r>
          </w:p>
        </w:tc>
        <w:tc>
          <w:tcPr>
            <w:tcW w:w="472" w:type="pct"/>
            <w:noWrap/>
            <w:hideMark/>
          </w:tcPr>
          <w:p w14:paraId="18C42551" w14:textId="6CDFD973" w:rsidR="00506F71" w:rsidRPr="005F76D9" w:rsidRDefault="00506F71" w:rsidP="00246245">
            <w:pPr>
              <w:pStyle w:val="Tabletext1"/>
              <w:ind w:left="0"/>
              <w:rPr>
                <w:rFonts w:cs="Calibri"/>
                <w:color w:val="000000"/>
              </w:rPr>
            </w:pPr>
            <w:r w:rsidRPr="005364D4">
              <w:t>1.2365</w:t>
            </w:r>
          </w:p>
        </w:tc>
        <w:tc>
          <w:tcPr>
            <w:tcW w:w="550" w:type="pct"/>
            <w:noWrap/>
            <w:hideMark/>
          </w:tcPr>
          <w:p w14:paraId="37D862CD" w14:textId="2310B626" w:rsidR="00506F71" w:rsidRPr="005F76D9" w:rsidRDefault="00506F71" w:rsidP="00246245">
            <w:pPr>
              <w:pStyle w:val="Tabletext1"/>
              <w:ind w:left="0"/>
              <w:rPr>
                <w:rFonts w:cs="Calibri"/>
                <w:color w:val="000000"/>
              </w:rPr>
            </w:pPr>
            <w:r w:rsidRPr="005364D4">
              <w:t>$113,473</w:t>
            </w:r>
          </w:p>
        </w:tc>
        <w:tc>
          <w:tcPr>
            <w:tcW w:w="522" w:type="pct"/>
            <w:noWrap/>
            <w:hideMark/>
          </w:tcPr>
          <w:p w14:paraId="03532C2A" w14:textId="596B7756" w:rsidR="00506F71" w:rsidRPr="005F76D9" w:rsidRDefault="00506F71" w:rsidP="00246245">
            <w:pPr>
              <w:pStyle w:val="Tabletext1"/>
              <w:ind w:left="0"/>
              <w:rPr>
                <w:rFonts w:cs="Calibri"/>
                <w:color w:val="000000"/>
              </w:rPr>
            </w:pPr>
            <w:r w:rsidRPr="005364D4">
              <w:t>-2%</w:t>
            </w:r>
          </w:p>
        </w:tc>
      </w:tr>
      <w:tr w:rsidR="00506F71" w:rsidRPr="005F76D9" w14:paraId="1F354C47" w14:textId="77777777" w:rsidTr="00246245">
        <w:trPr>
          <w:trHeight w:val="255"/>
        </w:trPr>
        <w:tc>
          <w:tcPr>
            <w:tcW w:w="2906" w:type="pct"/>
            <w:tcBorders>
              <w:bottom w:val="single" w:sz="4" w:space="0" w:color="auto"/>
            </w:tcBorders>
            <w:noWrap/>
            <w:hideMark/>
          </w:tcPr>
          <w:p w14:paraId="1CFC93E9" w14:textId="77777777" w:rsidR="00506F71" w:rsidRPr="005F76D9" w:rsidRDefault="00506F71" w:rsidP="00246245">
            <w:pPr>
              <w:pStyle w:val="Tabletext1"/>
              <w:ind w:left="0"/>
              <w:rPr>
                <w:rFonts w:cs="Calibri"/>
                <w:color w:val="000000"/>
              </w:rPr>
            </w:pPr>
            <w:r w:rsidRPr="005F76D9">
              <w:rPr>
                <w:rFonts w:cs="Calibri"/>
                <w:color w:val="000000"/>
              </w:rPr>
              <w:t>60 years</w:t>
            </w:r>
          </w:p>
        </w:tc>
        <w:tc>
          <w:tcPr>
            <w:tcW w:w="550" w:type="pct"/>
            <w:tcBorders>
              <w:bottom w:val="single" w:sz="4" w:space="0" w:color="auto"/>
            </w:tcBorders>
            <w:noWrap/>
            <w:hideMark/>
          </w:tcPr>
          <w:p w14:paraId="20C30FC3" w14:textId="1E002948" w:rsidR="00506F71" w:rsidRPr="005F76D9" w:rsidRDefault="00506F71" w:rsidP="00246245">
            <w:pPr>
              <w:pStyle w:val="Tabletext1"/>
              <w:ind w:left="0"/>
              <w:rPr>
                <w:rFonts w:cs="Calibri"/>
                <w:color w:val="000000"/>
              </w:rPr>
            </w:pPr>
            <w:r w:rsidRPr="005364D4">
              <w:t>$139,154</w:t>
            </w:r>
          </w:p>
        </w:tc>
        <w:tc>
          <w:tcPr>
            <w:tcW w:w="472" w:type="pct"/>
            <w:tcBorders>
              <w:bottom w:val="single" w:sz="4" w:space="0" w:color="auto"/>
            </w:tcBorders>
            <w:noWrap/>
            <w:hideMark/>
          </w:tcPr>
          <w:p w14:paraId="76407591" w14:textId="34F697A0" w:rsidR="00506F71" w:rsidRPr="005F76D9" w:rsidRDefault="00506F71" w:rsidP="00246245">
            <w:pPr>
              <w:pStyle w:val="Tabletext1"/>
              <w:ind w:left="0"/>
              <w:rPr>
                <w:rFonts w:cs="Calibri"/>
                <w:color w:val="000000"/>
              </w:rPr>
            </w:pPr>
            <w:r w:rsidRPr="005364D4">
              <w:t>1.2110</w:t>
            </w:r>
          </w:p>
        </w:tc>
        <w:tc>
          <w:tcPr>
            <w:tcW w:w="550" w:type="pct"/>
            <w:tcBorders>
              <w:bottom w:val="single" w:sz="4" w:space="0" w:color="auto"/>
            </w:tcBorders>
            <w:noWrap/>
            <w:hideMark/>
          </w:tcPr>
          <w:p w14:paraId="21EB31B1" w14:textId="38F0E2F1" w:rsidR="00506F71" w:rsidRPr="005F76D9" w:rsidRDefault="00506F71" w:rsidP="00246245">
            <w:pPr>
              <w:pStyle w:val="Tabletext1"/>
              <w:ind w:left="0"/>
              <w:rPr>
                <w:rFonts w:cs="Calibri"/>
                <w:color w:val="000000"/>
              </w:rPr>
            </w:pPr>
            <w:r w:rsidRPr="005364D4">
              <w:t>$114,908</w:t>
            </w:r>
          </w:p>
        </w:tc>
        <w:tc>
          <w:tcPr>
            <w:tcW w:w="522" w:type="pct"/>
            <w:tcBorders>
              <w:bottom w:val="single" w:sz="4" w:space="0" w:color="auto"/>
            </w:tcBorders>
            <w:noWrap/>
            <w:hideMark/>
          </w:tcPr>
          <w:p w14:paraId="56DE0A13" w14:textId="67E49985" w:rsidR="00506F71" w:rsidRPr="005F76D9" w:rsidRDefault="00506F71" w:rsidP="00246245">
            <w:pPr>
              <w:pStyle w:val="Tabletext1"/>
              <w:ind w:left="0"/>
              <w:rPr>
                <w:rFonts w:cs="Calibri"/>
                <w:color w:val="000000"/>
              </w:rPr>
            </w:pPr>
            <w:r w:rsidRPr="005364D4">
              <w:t>-1%</w:t>
            </w:r>
          </w:p>
        </w:tc>
      </w:tr>
      <w:tr w:rsidR="00506F71" w:rsidRPr="005F76D9" w14:paraId="15B6473D" w14:textId="77777777" w:rsidTr="00246245">
        <w:trPr>
          <w:trHeight w:val="255"/>
        </w:trPr>
        <w:tc>
          <w:tcPr>
            <w:tcW w:w="2906" w:type="pct"/>
            <w:tcBorders>
              <w:right w:val="nil"/>
            </w:tcBorders>
            <w:noWrap/>
            <w:hideMark/>
          </w:tcPr>
          <w:p w14:paraId="5ABBFD4F" w14:textId="77777777" w:rsidR="00506F71" w:rsidRPr="00246245" w:rsidRDefault="00506F71" w:rsidP="00246245">
            <w:pPr>
              <w:pStyle w:val="Tabletext1"/>
              <w:ind w:left="0"/>
              <w:rPr>
                <w:rFonts w:cs="Calibri"/>
                <w:b/>
                <w:color w:val="000000"/>
              </w:rPr>
            </w:pPr>
            <w:r w:rsidRPr="00246245">
              <w:rPr>
                <w:rFonts w:cs="Calibri"/>
                <w:b/>
                <w:color w:val="000000"/>
              </w:rPr>
              <w:t>Administration costs per infusion (base case: $693)</w:t>
            </w:r>
          </w:p>
        </w:tc>
        <w:tc>
          <w:tcPr>
            <w:tcW w:w="550" w:type="pct"/>
            <w:tcBorders>
              <w:left w:val="nil"/>
              <w:right w:val="nil"/>
            </w:tcBorders>
            <w:noWrap/>
            <w:hideMark/>
          </w:tcPr>
          <w:p w14:paraId="78F19E68"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6856EC65" w14:textId="77777777" w:rsidR="00506F71" w:rsidRPr="005F76D9" w:rsidRDefault="00506F71" w:rsidP="00246245">
            <w:pPr>
              <w:pStyle w:val="Tabletext1"/>
              <w:ind w:left="0"/>
            </w:pPr>
          </w:p>
        </w:tc>
        <w:tc>
          <w:tcPr>
            <w:tcW w:w="550" w:type="pct"/>
            <w:tcBorders>
              <w:left w:val="nil"/>
              <w:right w:val="nil"/>
            </w:tcBorders>
            <w:noWrap/>
            <w:hideMark/>
          </w:tcPr>
          <w:p w14:paraId="69B7DF31" w14:textId="77777777" w:rsidR="00506F71" w:rsidRPr="005F76D9" w:rsidRDefault="00506F71" w:rsidP="00246245">
            <w:pPr>
              <w:pStyle w:val="Tabletext1"/>
              <w:ind w:left="0"/>
            </w:pPr>
          </w:p>
        </w:tc>
        <w:tc>
          <w:tcPr>
            <w:tcW w:w="522" w:type="pct"/>
            <w:tcBorders>
              <w:left w:val="nil"/>
            </w:tcBorders>
            <w:noWrap/>
            <w:hideMark/>
          </w:tcPr>
          <w:p w14:paraId="4DFA4858" w14:textId="47E26A31" w:rsidR="00506F71" w:rsidRPr="005F76D9" w:rsidRDefault="00506F71" w:rsidP="00246245">
            <w:pPr>
              <w:pStyle w:val="Tabletext1"/>
              <w:ind w:left="0"/>
              <w:rPr>
                <w:rFonts w:cs="Calibri"/>
                <w:color w:val="000000"/>
              </w:rPr>
            </w:pPr>
          </w:p>
        </w:tc>
      </w:tr>
      <w:tr w:rsidR="00506F71" w:rsidRPr="005F76D9" w14:paraId="28CFC1A3" w14:textId="77777777" w:rsidTr="00246245">
        <w:trPr>
          <w:trHeight w:val="255"/>
        </w:trPr>
        <w:tc>
          <w:tcPr>
            <w:tcW w:w="2906" w:type="pct"/>
            <w:noWrap/>
            <w:hideMark/>
          </w:tcPr>
          <w:p w14:paraId="0CD7BEE3" w14:textId="77777777" w:rsidR="00506F71" w:rsidRPr="005F76D9" w:rsidRDefault="00506F71" w:rsidP="00246245">
            <w:pPr>
              <w:pStyle w:val="Tabletext1"/>
              <w:ind w:left="0"/>
              <w:rPr>
                <w:rFonts w:cs="Calibri"/>
                <w:color w:val="000000"/>
              </w:rPr>
            </w:pPr>
            <w:r w:rsidRPr="005F76D9">
              <w:rPr>
                <w:rFonts w:cs="Calibri"/>
                <w:color w:val="000000"/>
              </w:rPr>
              <w:t>$371 (used in the previous DCAR)</w:t>
            </w:r>
          </w:p>
        </w:tc>
        <w:tc>
          <w:tcPr>
            <w:tcW w:w="550" w:type="pct"/>
            <w:noWrap/>
            <w:hideMark/>
          </w:tcPr>
          <w:p w14:paraId="4BC2C821" w14:textId="220A3242" w:rsidR="00506F71" w:rsidRPr="005F76D9" w:rsidRDefault="00506F71" w:rsidP="00246245">
            <w:pPr>
              <w:pStyle w:val="Tabletext1"/>
              <w:ind w:left="0"/>
              <w:rPr>
                <w:rFonts w:cs="Calibri"/>
                <w:color w:val="000000"/>
              </w:rPr>
            </w:pPr>
            <w:r w:rsidRPr="005364D4">
              <w:t>$132,362</w:t>
            </w:r>
          </w:p>
        </w:tc>
        <w:tc>
          <w:tcPr>
            <w:tcW w:w="472" w:type="pct"/>
            <w:noWrap/>
            <w:hideMark/>
          </w:tcPr>
          <w:p w14:paraId="0A8486A3" w14:textId="5DEFD68F" w:rsidR="00506F71" w:rsidRPr="005F76D9" w:rsidRDefault="00506F71" w:rsidP="00246245">
            <w:pPr>
              <w:pStyle w:val="Tabletext1"/>
              <w:ind w:left="0"/>
              <w:rPr>
                <w:rFonts w:cs="Calibri"/>
                <w:color w:val="000000"/>
              </w:rPr>
            </w:pPr>
            <w:r w:rsidRPr="005364D4">
              <w:t>1.1840</w:t>
            </w:r>
          </w:p>
        </w:tc>
        <w:tc>
          <w:tcPr>
            <w:tcW w:w="550" w:type="pct"/>
            <w:noWrap/>
            <w:hideMark/>
          </w:tcPr>
          <w:p w14:paraId="192DDD3B" w14:textId="0A841BE7" w:rsidR="00506F71" w:rsidRPr="005F76D9" w:rsidRDefault="00506F71" w:rsidP="00246245">
            <w:pPr>
              <w:pStyle w:val="Tabletext1"/>
              <w:ind w:left="0"/>
              <w:rPr>
                <w:rFonts w:cs="Calibri"/>
                <w:color w:val="000000"/>
              </w:rPr>
            </w:pPr>
            <w:r w:rsidRPr="005364D4">
              <w:t>$111,796</w:t>
            </w:r>
          </w:p>
        </w:tc>
        <w:tc>
          <w:tcPr>
            <w:tcW w:w="522" w:type="pct"/>
            <w:noWrap/>
            <w:hideMark/>
          </w:tcPr>
          <w:p w14:paraId="0F8CD4E3" w14:textId="6F599B9A" w:rsidR="00506F71" w:rsidRPr="005F76D9" w:rsidRDefault="00506F71" w:rsidP="00246245">
            <w:pPr>
              <w:pStyle w:val="Tabletext1"/>
              <w:ind w:left="0"/>
              <w:rPr>
                <w:rFonts w:cs="Calibri"/>
                <w:color w:val="000000"/>
              </w:rPr>
            </w:pPr>
            <w:r w:rsidRPr="005364D4">
              <w:t>-4%</w:t>
            </w:r>
          </w:p>
        </w:tc>
      </w:tr>
      <w:tr w:rsidR="00506F71" w:rsidRPr="005F76D9" w14:paraId="2B2E3E85" w14:textId="77777777" w:rsidTr="00246245">
        <w:trPr>
          <w:trHeight w:val="255"/>
        </w:trPr>
        <w:tc>
          <w:tcPr>
            <w:tcW w:w="2906" w:type="pct"/>
            <w:noWrap/>
            <w:hideMark/>
          </w:tcPr>
          <w:p w14:paraId="45445465" w14:textId="77777777" w:rsidR="00506F71" w:rsidRPr="005F76D9" w:rsidRDefault="00506F71" w:rsidP="00246245">
            <w:pPr>
              <w:pStyle w:val="Tabletext1"/>
              <w:ind w:left="0"/>
              <w:rPr>
                <w:rFonts w:cs="Calibri"/>
                <w:color w:val="000000"/>
              </w:rPr>
            </w:pPr>
            <w:r w:rsidRPr="005F76D9">
              <w:rPr>
                <w:rFonts w:cs="Calibri"/>
                <w:color w:val="000000"/>
              </w:rPr>
              <w:t>$200</w:t>
            </w:r>
          </w:p>
        </w:tc>
        <w:tc>
          <w:tcPr>
            <w:tcW w:w="550" w:type="pct"/>
            <w:noWrap/>
            <w:hideMark/>
          </w:tcPr>
          <w:p w14:paraId="696679C9" w14:textId="0BF53A4C" w:rsidR="00506F71" w:rsidRPr="005F76D9" w:rsidRDefault="00506F71" w:rsidP="00246245">
            <w:pPr>
              <w:pStyle w:val="Tabletext1"/>
              <w:ind w:left="0"/>
              <w:rPr>
                <w:rFonts w:cs="Calibri"/>
                <w:color w:val="000000"/>
              </w:rPr>
            </w:pPr>
            <w:r w:rsidRPr="005364D4">
              <w:t>$129,664</w:t>
            </w:r>
          </w:p>
        </w:tc>
        <w:tc>
          <w:tcPr>
            <w:tcW w:w="472" w:type="pct"/>
            <w:noWrap/>
            <w:hideMark/>
          </w:tcPr>
          <w:p w14:paraId="1B5AFEB8" w14:textId="3B54E5A4" w:rsidR="00506F71" w:rsidRPr="005F76D9" w:rsidRDefault="00506F71" w:rsidP="00246245">
            <w:pPr>
              <w:pStyle w:val="Tabletext1"/>
              <w:ind w:left="0"/>
              <w:rPr>
                <w:rFonts w:cs="Calibri"/>
                <w:color w:val="000000"/>
              </w:rPr>
            </w:pPr>
            <w:r w:rsidRPr="005364D4">
              <w:t>1.1840</w:t>
            </w:r>
          </w:p>
        </w:tc>
        <w:tc>
          <w:tcPr>
            <w:tcW w:w="550" w:type="pct"/>
            <w:noWrap/>
            <w:hideMark/>
          </w:tcPr>
          <w:p w14:paraId="0CEAA580" w14:textId="2080045E" w:rsidR="00506F71" w:rsidRPr="005F76D9" w:rsidRDefault="00506F71" w:rsidP="00246245">
            <w:pPr>
              <w:pStyle w:val="Tabletext1"/>
              <w:ind w:left="0"/>
              <w:rPr>
                <w:rFonts w:cs="Calibri"/>
                <w:color w:val="000000"/>
              </w:rPr>
            </w:pPr>
            <w:r w:rsidRPr="005364D4">
              <w:t>$109,517</w:t>
            </w:r>
          </w:p>
        </w:tc>
        <w:tc>
          <w:tcPr>
            <w:tcW w:w="522" w:type="pct"/>
            <w:noWrap/>
            <w:hideMark/>
          </w:tcPr>
          <w:p w14:paraId="20DBCC02" w14:textId="75742385" w:rsidR="00506F71" w:rsidRPr="005F76D9" w:rsidRDefault="00506F71" w:rsidP="00246245">
            <w:pPr>
              <w:pStyle w:val="Tabletext1"/>
              <w:ind w:left="0"/>
              <w:rPr>
                <w:rFonts w:cs="Calibri"/>
                <w:color w:val="000000"/>
              </w:rPr>
            </w:pPr>
            <w:r w:rsidRPr="005364D4">
              <w:t>-6%</w:t>
            </w:r>
          </w:p>
        </w:tc>
      </w:tr>
      <w:tr w:rsidR="00506F71" w:rsidRPr="005F76D9" w14:paraId="2461D011" w14:textId="77777777" w:rsidTr="00246245">
        <w:trPr>
          <w:trHeight w:val="255"/>
        </w:trPr>
        <w:tc>
          <w:tcPr>
            <w:tcW w:w="2906" w:type="pct"/>
            <w:noWrap/>
            <w:hideMark/>
          </w:tcPr>
          <w:p w14:paraId="28214D55" w14:textId="77777777" w:rsidR="00506F71" w:rsidRPr="005F76D9" w:rsidRDefault="00506F71" w:rsidP="00246245">
            <w:pPr>
              <w:pStyle w:val="Tabletext1"/>
              <w:ind w:left="0"/>
              <w:rPr>
                <w:rFonts w:cs="Calibri"/>
                <w:color w:val="000000"/>
              </w:rPr>
            </w:pPr>
            <w:r w:rsidRPr="005F76D9">
              <w:rPr>
                <w:rFonts w:cs="Calibri"/>
                <w:color w:val="000000"/>
              </w:rPr>
              <w:t>$400</w:t>
            </w:r>
          </w:p>
        </w:tc>
        <w:tc>
          <w:tcPr>
            <w:tcW w:w="550" w:type="pct"/>
            <w:noWrap/>
            <w:hideMark/>
          </w:tcPr>
          <w:p w14:paraId="20A087A1" w14:textId="6CCACD20" w:rsidR="00506F71" w:rsidRPr="005F76D9" w:rsidRDefault="00506F71" w:rsidP="00246245">
            <w:pPr>
              <w:pStyle w:val="Tabletext1"/>
              <w:ind w:left="0"/>
              <w:rPr>
                <w:rFonts w:cs="Calibri"/>
                <w:color w:val="000000"/>
              </w:rPr>
            </w:pPr>
            <w:r w:rsidRPr="005364D4">
              <w:t>$132,820</w:t>
            </w:r>
          </w:p>
        </w:tc>
        <w:tc>
          <w:tcPr>
            <w:tcW w:w="472" w:type="pct"/>
            <w:noWrap/>
            <w:hideMark/>
          </w:tcPr>
          <w:p w14:paraId="497FE57C" w14:textId="2C78E96B" w:rsidR="00506F71" w:rsidRPr="005F76D9" w:rsidRDefault="00506F71" w:rsidP="00246245">
            <w:pPr>
              <w:pStyle w:val="Tabletext1"/>
              <w:ind w:left="0"/>
              <w:rPr>
                <w:rFonts w:cs="Calibri"/>
                <w:color w:val="000000"/>
              </w:rPr>
            </w:pPr>
            <w:r w:rsidRPr="005364D4">
              <w:t>1.1840</w:t>
            </w:r>
          </w:p>
        </w:tc>
        <w:tc>
          <w:tcPr>
            <w:tcW w:w="550" w:type="pct"/>
            <w:noWrap/>
            <w:hideMark/>
          </w:tcPr>
          <w:p w14:paraId="4A939027" w14:textId="3F6079C1" w:rsidR="00506F71" w:rsidRPr="005F76D9" w:rsidRDefault="00506F71" w:rsidP="00246245">
            <w:pPr>
              <w:pStyle w:val="Tabletext1"/>
              <w:ind w:left="0"/>
              <w:rPr>
                <w:rFonts w:cs="Calibri"/>
                <w:color w:val="000000"/>
              </w:rPr>
            </w:pPr>
            <w:r w:rsidRPr="005364D4">
              <w:t>$112,183</w:t>
            </w:r>
          </w:p>
        </w:tc>
        <w:tc>
          <w:tcPr>
            <w:tcW w:w="522" w:type="pct"/>
            <w:noWrap/>
            <w:hideMark/>
          </w:tcPr>
          <w:p w14:paraId="1A0DF44C" w14:textId="6DA1EBFA" w:rsidR="00506F71" w:rsidRPr="005F76D9" w:rsidRDefault="00506F71" w:rsidP="00246245">
            <w:pPr>
              <w:pStyle w:val="Tabletext1"/>
              <w:ind w:left="0"/>
              <w:rPr>
                <w:rFonts w:cs="Calibri"/>
                <w:color w:val="000000"/>
              </w:rPr>
            </w:pPr>
            <w:r w:rsidRPr="005364D4">
              <w:t>-3%</w:t>
            </w:r>
          </w:p>
        </w:tc>
      </w:tr>
      <w:tr w:rsidR="00506F71" w:rsidRPr="005F76D9" w14:paraId="7A8058A4" w14:textId="77777777" w:rsidTr="00246245">
        <w:trPr>
          <w:trHeight w:val="255"/>
        </w:trPr>
        <w:tc>
          <w:tcPr>
            <w:tcW w:w="2906" w:type="pct"/>
            <w:tcBorders>
              <w:bottom w:val="single" w:sz="4" w:space="0" w:color="auto"/>
            </w:tcBorders>
            <w:noWrap/>
            <w:hideMark/>
          </w:tcPr>
          <w:p w14:paraId="5777E874" w14:textId="77777777" w:rsidR="00506F71" w:rsidRPr="005F76D9" w:rsidRDefault="00506F71" w:rsidP="00246245">
            <w:pPr>
              <w:pStyle w:val="Tabletext1"/>
              <w:ind w:left="0"/>
              <w:rPr>
                <w:rFonts w:cs="Calibri"/>
                <w:color w:val="000000"/>
              </w:rPr>
            </w:pPr>
            <w:r w:rsidRPr="005F76D9">
              <w:rPr>
                <w:rFonts w:cs="Calibri"/>
                <w:color w:val="000000"/>
              </w:rPr>
              <w:t>$500</w:t>
            </w:r>
          </w:p>
        </w:tc>
        <w:tc>
          <w:tcPr>
            <w:tcW w:w="550" w:type="pct"/>
            <w:tcBorders>
              <w:bottom w:val="single" w:sz="4" w:space="0" w:color="auto"/>
            </w:tcBorders>
            <w:noWrap/>
            <w:hideMark/>
          </w:tcPr>
          <w:p w14:paraId="2E1D8089" w14:textId="6BA80D34" w:rsidR="00506F71" w:rsidRPr="005F76D9" w:rsidRDefault="00506F71" w:rsidP="00246245">
            <w:pPr>
              <w:pStyle w:val="Tabletext1"/>
              <w:ind w:left="0"/>
              <w:rPr>
                <w:rFonts w:cs="Calibri"/>
                <w:color w:val="000000"/>
              </w:rPr>
            </w:pPr>
            <w:r w:rsidRPr="005364D4">
              <w:t>$134,398</w:t>
            </w:r>
          </w:p>
        </w:tc>
        <w:tc>
          <w:tcPr>
            <w:tcW w:w="472" w:type="pct"/>
            <w:tcBorders>
              <w:bottom w:val="single" w:sz="4" w:space="0" w:color="auto"/>
            </w:tcBorders>
            <w:noWrap/>
            <w:hideMark/>
          </w:tcPr>
          <w:p w14:paraId="3CD8CBCE" w14:textId="00239F25" w:rsidR="00506F71" w:rsidRPr="005F76D9" w:rsidRDefault="00506F71" w:rsidP="00246245">
            <w:pPr>
              <w:pStyle w:val="Tabletext1"/>
              <w:ind w:left="0"/>
              <w:rPr>
                <w:rFonts w:cs="Calibri"/>
                <w:color w:val="000000"/>
              </w:rPr>
            </w:pPr>
            <w:r w:rsidRPr="005364D4">
              <w:t>1.1840</w:t>
            </w:r>
          </w:p>
        </w:tc>
        <w:tc>
          <w:tcPr>
            <w:tcW w:w="550" w:type="pct"/>
            <w:tcBorders>
              <w:bottom w:val="single" w:sz="4" w:space="0" w:color="auto"/>
            </w:tcBorders>
            <w:noWrap/>
            <w:hideMark/>
          </w:tcPr>
          <w:p w14:paraId="640F74FA" w14:textId="301D1D83" w:rsidR="00506F71" w:rsidRPr="005F76D9" w:rsidRDefault="00506F71" w:rsidP="00246245">
            <w:pPr>
              <w:pStyle w:val="Tabletext1"/>
              <w:ind w:left="0"/>
              <w:rPr>
                <w:rFonts w:cs="Calibri"/>
                <w:color w:val="000000"/>
              </w:rPr>
            </w:pPr>
            <w:r w:rsidRPr="005364D4">
              <w:t>$113,515</w:t>
            </w:r>
          </w:p>
        </w:tc>
        <w:tc>
          <w:tcPr>
            <w:tcW w:w="522" w:type="pct"/>
            <w:tcBorders>
              <w:bottom w:val="single" w:sz="4" w:space="0" w:color="auto"/>
            </w:tcBorders>
            <w:noWrap/>
            <w:hideMark/>
          </w:tcPr>
          <w:p w14:paraId="40077E2D" w14:textId="2C4371BE" w:rsidR="00506F71" w:rsidRPr="005F76D9" w:rsidRDefault="00506F71" w:rsidP="00246245">
            <w:pPr>
              <w:pStyle w:val="Tabletext1"/>
              <w:ind w:left="0"/>
              <w:rPr>
                <w:rFonts w:cs="Calibri"/>
                <w:color w:val="000000"/>
              </w:rPr>
            </w:pPr>
            <w:r w:rsidRPr="005364D4">
              <w:t>-2%</w:t>
            </w:r>
          </w:p>
        </w:tc>
      </w:tr>
      <w:tr w:rsidR="00506F71" w:rsidRPr="005F76D9" w14:paraId="09D68F61" w14:textId="77777777" w:rsidTr="00246245">
        <w:trPr>
          <w:trHeight w:val="255"/>
        </w:trPr>
        <w:tc>
          <w:tcPr>
            <w:tcW w:w="2906" w:type="pct"/>
            <w:tcBorders>
              <w:right w:val="nil"/>
            </w:tcBorders>
            <w:noWrap/>
            <w:hideMark/>
          </w:tcPr>
          <w:p w14:paraId="28D572AE" w14:textId="77777777" w:rsidR="00506F71" w:rsidRPr="005F76D9" w:rsidRDefault="00506F71" w:rsidP="00246245">
            <w:pPr>
              <w:pStyle w:val="Tabletext1"/>
              <w:ind w:left="0"/>
              <w:rPr>
                <w:rFonts w:cs="Calibri"/>
                <w:b/>
                <w:bCs/>
                <w:color w:val="000000"/>
              </w:rPr>
            </w:pPr>
            <w:r w:rsidRPr="005F76D9">
              <w:rPr>
                <w:rFonts w:cs="Calibri"/>
                <w:b/>
                <w:bCs/>
                <w:color w:val="000000"/>
              </w:rPr>
              <w:t>Health state transitions, Ig</w:t>
            </w:r>
          </w:p>
        </w:tc>
        <w:tc>
          <w:tcPr>
            <w:tcW w:w="550" w:type="pct"/>
            <w:tcBorders>
              <w:left w:val="nil"/>
              <w:right w:val="nil"/>
            </w:tcBorders>
            <w:noWrap/>
            <w:hideMark/>
          </w:tcPr>
          <w:p w14:paraId="1F9D54A8" w14:textId="77777777" w:rsidR="00506F71" w:rsidRPr="005F76D9" w:rsidRDefault="00506F71" w:rsidP="00246245">
            <w:pPr>
              <w:pStyle w:val="Tabletext1"/>
              <w:ind w:left="0"/>
              <w:rPr>
                <w:rFonts w:cs="Calibri"/>
                <w:b/>
                <w:bCs/>
                <w:color w:val="000000"/>
              </w:rPr>
            </w:pPr>
          </w:p>
        </w:tc>
        <w:tc>
          <w:tcPr>
            <w:tcW w:w="472" w:type="pct"/>
            <w:tcBorders>
              <w:left w:val="nil"/>
              <w:right w:val="nil"/>
            </w:tcBorders>
            <w:noWrap/>
            <w:hideMark/>
          </w:tcPr>
          <w:p w14:paraId="71C56388" w14:textId="77777777" w:rsidR="00506F71" w:rsidRPr="005F76D9" w:rsidRDefault="00506F71" w:rsidP="00246245">
            <w:pPr>
              <w:pStyle w:val="Tabletext1"/>
              <w:ind w:left="0"/>
            </w:pPr>
          </w:p>
        </w:tc>
        <w:tc>
          <w:tcPr>
            <w:tcW w:w="550" w:type="pct"/>
            <w:tcBorders>
              <w:left w:val="nil"/>
              <w:right w:val="nil"/>
            </w:tcBorders>
            <w:noWrap/>
            <w:hideMark/>
          </w:tcPr>
          <w:p w14:paraId="3C884295" w14:textId="77777777" w:rsidR="00506F71" w:rsidRPr="005F76D9" w:rsidRDefault="00506F71" w:rsidP="00246245">
            <w:pPr>
              <w:pStyle w:val="Tabletext1"/>
              <w:ind w:left="0"/>
            </w:pPr>
          </w:p>
        </w:tc>
        <w:tc>
          <w:tcPr>
            <w:tcW w:w="522" w:type="pct"/>
            <w:tcBorders>
              <w:left w:val="nil"/>
            </w:tcBorders>
            <w:noWrap/>
            <w:hideMark/>
          </w:tcPr>
          <w:p w14:paraId="526F1071" w14:textId="326F5DEA" w:rsidR="00506F71" w:rsidRPr="005F76D9" w:rsidRDefault="00506F71" w:rsidP="00246245">
            <w:pPr>
              <w:pStyle w:val="Tabletext1"/>
              <w:ind w:left="0"/>
              <w:rPr>
                <w:rFonts w:cs="Calibri"/>
                <w:color w:val="000000"/>
              </w:rPr>
            </w:pPr>
          </w:p>
        </w:tc>
      </w:tr>
      <w:tr w:rsidR="00506F71" w:rsidRPr="005F76D9" w14:paraId="0D29E2E6" w14:textId="77777777" w:rsidTr="00246245">
        <w:trPr>
          <w:trHeight w:val="255"/>
        </w:trPr>
        <w:tc>
          <w:tcPr>
            <w:tcW w:w="2906" w:type="pct"/>
            <w:noWrap/>
            <w:hideMark/>
          </w:tcPr>
          <w:p w14:paraId="074724EE" w14:textId="77777777" w:rsidR="00506F71" w:rsidRPr="005F76D9" w:rsidRDefault="00506F71" w:rsidP="00246245">
            <w:pPr>
              <w:pStyle w:val="Tabletext1"/>
              <w:ind w:left="0"/>
              <w:rPr>
                <w:rFonts w:cs="Calibri"/>
                <w:color w:val="000000"/>
              </w:rPr>
            </w:pPr>
            <w:r w:rsidRPr="005F76D9">
              <w:rPr>
                <w:rFonts w:cs="Calibri"/>
                <w:color w:val="000000"/>
              </w:rPr>
              <w:t>Treatment failure (base case: 3.1% per cycle in State A)</w:t>
            </w:r>
          </w:p>
        </w:tc>
        <w:tc>
          <w:tcPr>
            <w:tcW w:w="550" w:type="pct"/>
            <w:noWrap/>
            <w:hideMark/>
          </w:tcPr>
          <w:p w14:paraId="4F6063C6" w14:textId="77777777" w:rsidR="00506F71" w:rsidRPr="005F76D9" w:rsidRDefault="00506F71" w:rsidP="00246245">
            <w:pPr>
              <w:pStyle w:val="Tabletext1"/>
              <w:ind w:left="0"/>
              <w:rPr>
                <w:rFonts w:cs="Calibri"/>
                <w:color w:val="000000"/>
              </w:rPr>
            </w:pPr>
          </w:p>
        </w:tc>
        <w:tc>
          <w:tcPr>
            <w:tcW w:w="472" w:type="pct"/>
            <w:noWrap/>
            <w:hideMark/>
          </w:tcPr>
          <w:p w14:paraId="3FE08E4D" w14:textId="77777777" w:rsidR="00506F71" w:rsidRPr="005F76D9" w:rsidRDefault="00506F71" w:rsidP="00246245">
            <w:pPr>
              <w:pStyle w:val="Tabletext1"/>
              <w:ind w:left="0"/>
            </w:pPr>
          </w:p>
        </w:tc>
        <w:tc>
          <w:tcPr>
            <w:tcW w:w="550" w:type="pct"/>
            <w:noWrap/>
            <w:hideMark/>
          </w:tcPr>
          <w:p w14:paraId="24C004FA" w14:textId="77777777" w:rsidR="00506F71" w:rsidRPr="005F76D9" w:rsidRDefault="00506F71" w:rsidP="00246245">
            <w:pPr>
              <w:pStyle w:val="Tabletext1"/>
              <w:ind w:left="0"/>
            </w:pPr>
          </w:p>
        </w:tc>
        <w:tc>
          <w:tcPr>
            <w:tcW w:w="522" w:type="pct"/>
            <w:noWrap/>
            <w:hideMark/>
          </w:tcPr>
          <w:p w14:paraId="758BBEF6" w14:textId="7572B651" w:rsidR="00506F71" w:rsidRPr="005F76D9" w:rsidRDefault="00506F71" w:rsidP="00246245">
            <w:pPr>
              <w:pStyle w:val="Tabletext1"/>
              <w:ind w:left="0"/>
              <w:rPr>
                <w:rFonts w:cs="Calibri"/>
                <w:color w:val="000000"/>
              </w:rPr>
            </w:pPr>
          </w:p>
        </w:tc>
      </w:tr>
      <w:tr w:rsidR="00506F71" w:rsidRPr="005F76D9" w14:paraId="4DBCA600" w14:textId="77777777" w:rsidTr="00246245">
        <w:trPr>
          <w:trHeight w:val="255"/>
        </w:trPr>
        <w:tc>
          <w:tcPr>
            <w:tcW w:w="2906" w:type="pct"/>
            <w:tcBorders>
              <w:bottom w:val="single" w:sz="4" w:space="0" w:color="auto"/>
            </w:tcBorders>
            <w:noWrap/>
            <w:hideMark/>
          </w:tcPr>
          <w:p w14:paraId="1AF24B07" w14:textId="77777777" w:rsidR="00506F71" w:rsidRPr="005F76D9" w:rsidRDefault="00506F71" w:rsidP="00246245">
            <w:pPr>
              <w:pStyle w:val="Tabletext1"/>
              <w:ind w:left="0"/>
              <w:rPr>
                <w:rFonts w:cs="Calibri"/>
                <w:color w:val="000000"/>
              </w:rPr>
            </w:pPr>
            <w:r w:rsidRPr="005F76D9">
              <w:rPr>
                <w:rFonts w:cs="Calibri"/>
                <w:color w:val="000000"/>
              </w:rPr>
              <w:t>8.72% per cycle in State A</w:t>
            </w:r>
          </w:p>
        </w:tc>
        <w:tc>
          <w:tcPr>
            <w:tcW w:w="550" w:type="pct"/>
            <w:tcBorders>
              <w:bottom w:val="single" w:sz="4" w:space="0" w:color="auto"/>
            </w:tcBorders>
            <w:noWrap/>
            <w:hideMark/>
          </w:tcPr>
          <w:p w14:paraId="5C350B3B" w14:textId="5EA59DB8" w:rsidR="00506F71" w:rsidRPr="005F76D9" w:rsidRDefault="00506F71" w:rsidP="00246245">
            <w:pPr>
              <w:pStyle w:val="Tabletext1"/>
              <w:ind w:left="0"/>
              <w:rPr>
                <w:rFonts w:cs="Calibri"/>
                <w:color w:val="000000"/>
              </w:rPr>
            </w:pPr>
            <w:r w:rsidRPr="005364D4">
              <w:t>$85,422</w:t>
            </w:r>
          </w:p>
        </w:tc>
        <w:tc>
          <w:tcPr>
            <w:tcW w:w="472" w:type="pct"/>
            <w:tcBorders>
              <w:bottom w:val="single" w:sz="4" w:space="0" w:color="auto"/>
            </w:tcBorders>
            <w:noWrap/>
            <w:hideMark/>
          </w:tcPr>
          <w:p w14:paraId="79FCBF68" w14:textId="31F79EED" w:rsidR="00506F71" w:rsidRPr="005F76D9" w:rsidRDefault="00506F71" w:rsidP="00246245">
            <w:pPr>
              <w:pStyle w:val="Tabletext1"/>
              <w:ind w:left="0"/>
              <w:rPr>
                <w:rFonts w:cs="Calibri"/>
                <w:color w:val="000000"/>
              </w:rPr>
            </w:pPr>
            <w:r w:rsidRPr="005364D4">
              <w:t>0.6167</w:t>
            </w:r>
          </w:p>
        </w:tc>
        <w:tc>
          <w:tcPr>
            <w:tcW w:w="550" w:type="pct"/>
            <w:tcBorders>
              <w:bottom w:val="single" w:sz="4" w:space="0" w:color="auto"/>
            </w:tcBorders>
            <w:noWrap/>
            <w:hideMark/>
          </w:tcPr>
          <w:p w14:paraId="7047E4FA" w14:textId="163184E8" w:rsidR="00506F71" w:rsidRPr="005F76D9" w:rsidRDefault="00506F71" w:rsidP="00246245">
            <w:pPr>
              <w:pStyle w:val="Tabletext1"/>
              <w:ind w:left="0"/>
              <w:rPr>
                <w:rFonts w:cs="Calibri"/>
                <w:color w:val="000000"/>
              </w:rPr>
            </w:pPr>
            <w:r w:rsidRPr="005364D4">
              <w:t>$138,524</w:t>
            </w:r>
          </w:p>
        </w:tc>
        <w:tc>
          <w:tcPr>
            <w:tcW w:w="522" w:type="pct"/>
            <w:tcBorders>
              <w:bottom w:val="single" w:sz="4" w:space="0" w:color="auto"/>
            </w:tcBorders>
            <w:noWrap/>
            <w:hideMark/>
          </w:tcPr>
          <w:p w14:paraId="11282FC0" w14:textId="7F6C5760" w:rsidR="00506F71" w:rsidRPr="005F76D9" w:rsidRDefault="00506F71" w:rsidP="00246245">
            <w:pPr>
              <w:pStyle w:val="Tabletext1"/>
              <w:ind w:left="0"/>
              <w:rPr>
                <w:rFonts w:cs="Calibri"/>
                <w:color w:val="000000"/>
              </w:rPr>
            </w:pPr>
            <w:r w:rsidRPr="005364D4">
              <w:t>19%</w:t>
            </w:r>
          </w:p>
        </w:tc>
      </w:tr>
      <w:tr w:rsidR="00506F71" w:rsidRPr="005F76D9" w14:paraId="6EA2876A" w14:textId="77777777" w:rsidTr="00246245">
        <w:trPr>
          <w:trHeight w:val="255"/>
        </w:trPr>
        <w:tc>
          <w:tcPr>
            <w:tcW w:w="2906" w:type="pct"/>
            <w:tcBorders>
              <w:right w:val="nil"/>
            </w:tcBorders>
            <w:noWrap/>
            <w:hideMark/>
          </w:tcPr>
          <w:p w14:paraId="59393241" w14:textId="77777777" w:rsidR="00506F71" w:rsidRPr="005F76D9" w:rsidRDefault="00506F71" w:rsidP="00246245">
            <w:pPr>
              <w:pStyle w:val="Tabletext1"/>
              <w:ind w:left="0"/>
              <w:rPr>
                <w:rFonts w:cs="Calibri"/>
                <w:color w:val="000000"/>
              </w:rPr>
            </w:pPr>
            <w:r w:rsidRPr="005F76D9">
              <w:rPr>
                <w:rFonts w:cs="Calibri"/>
                <w:color w:val="000000"/>
              </w:rPr>
              <w:t>Proportion of patients relapsing in remission health state (base case: 3.8%)</w:t>
            </w:r>
          </w:p>
        </w:tc>
        <w:tc>
          <w:tcPr>
            <w:tcW w:w="550" w:type="pct"/>
            <w:tcBorders>
              <w:left w:val="nil"/>
              <w:right w:val="nil"/>
            </w:tcBorders>
            <w:noWrap/>
            <w:hideMark/>
          </w:tcPr>
          <w:p w14:paraId="0249C2CE"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62C30E7C" w14:textId="77777777" w:rsidR="00506F71" w:rsidRPr="005F76D9" w:rsidRDefault="00506F71" w:rsidP="00246245">
            <w:pPr>
              <w:pStyle w:val="Tabletext1"/>
              <w:ind w:left="0"/>
            </w:pPr>
          </w:p>
        </w:tc>
        <w:tc>
          <w:tcPr>
            <w:tcW w:w="550" w:type="pct"/>
            <w:tcBorders>
              <w:left w:val="nil"/>
              <w:right w:val="nil"/>
            </w:tcBorders>
            <w:noWrap/>
            <w:hideMark/>
          </w:tcPr>
          <w:p w14:paraId="700F86FC" w14:textId="77777777" w:rsidR="00506F71" w:rsidRPr="005F76D9" w:rsidRDefault="00506F71" w:rsidP="00246245">
            <w:pPr>
              <w:pStyle w:val="Tabletext1"/>
              <w:ind w:left="0"/>
            </w:pPr>
          </w:p>
        </w:tc>
        <w:tc>
          <w:tcPr>
            <w:tcW w:w="522" w:type="pct"/>
            <w:tcBorders>
              <w:left w:val="nil"/>
            </w:tcBorders>
            <w:noWrap/>
            <w:hideMark/>
          </w:tcPr>
          <w:p w14:paraId="1EBA5D85" w14:textId="7A61063E" w:rsidR="00506F71" w:rsidRPr="005F76D9" w:rsidRDefault="00506F71" w:rsidP="00246245">
            <w:pPr>
              <w:pStyle w:val="Tabletext1"/>
              <w:ind w:left="0"/>
              <w:rPr>
                <w:rFonts w:cs="Calibri"/>
                <w:color w:val="000000"/>
              </w:rPr>
            </w:pPr>
          </w:p>
        </w:tc>
      </w:tr>
      <w:tr w:rsidR="00506F71" w:rsidRPr="005F76D9" w14:paraId="5C2E7159" w14:textId="77777777" w:rsidTr="00246245">
        <w:trPr>
          <w:trHeight w:val="255"/>
        </w:trPr>
        <w:tc>
          <w:tcPr>
            <w:tcW w:w="2906" w:type="pct"/>
            <w:noWrap/>
            <w:hideMark/>
          </w:tcPr>
          <w:p w14:paraId="6C31CE03" w14:textId="77777777" w:rsidR="00506F71" w:rsidRPr="005F76D9" w:rsidRDefault="00506F71" w:rsidP="00246245">
            <w:pPr>
              <w:pStyle w:val="Tabletext1"/>
              <w:ind w:left="0"/>
              <w:rPr>
                <w:rFonts w:cs="Calibri"/>
                <w:color w:val="000000"/>
              </w:rPr>
            </w:pPr>
            <w:r w:rsidRPr="005F76D9">
              <w:rPr>
                <w:rFonts w:cs="Calibri"/>
                <w:color w:val="000000"/>
              </w:rPr>
              <w:t>1.50%</w:t>
            </w:r>
          </w:p>
        </w:tc>
        <w:tc>
          <w:tcPr>
            <w:tcW w:w="550" w:type="pct"/>
            <w:noWrap/>
            <w:hideMark/>
          </w:tcPr>
          <w:p w14:paraId="4DB9477E" w14:textId="7077E4BB" w:rsidR="00506F71" w:rsidRPr="005F76D9" w:rsidRDefault="00506F71" w:rsidP="00246245">
            <w:pPr>
              <w:pStyle w:val="Tabletext1"/>
              <w:ind w:left="0"/>
              <w:rPr>
                <w:rFonts w:cs="Calibri"/>
                <w:color w:val="000000"/>
              </w:rPr>
            </w:pPr>
            <w:r w:rsidRPr="005364D4">
              <w:t>$91,384</w:t>
            </w:r>
          </w:p>
        </w:tc>
        <w:tc>
          <w:tcPr>
            <w:tcW w:w="472" w:type="pct"/>
            <w:noWrap/>
            <w:hideMark/>
          </w:tcPr>
          <w:p w14:paraId="57F89718" w14:textId="7D02C614" w:rsidR="00506F71" w:rsidRPr="005F76D9" w:rsidRDefault="00506F71" w:rsidP="00246245">
            <w:pPr>
              <w:pStyle w:val="Tabletext1"/>
              <w:ind w:left="0"/>
              <w:rPr>
                <w:rFonts w:cs="Calibri"/>
                <w:color w:val="000000"/>
              </w:rPr>
            </w:pPr>
            <w:r w:rsidRPr="005364D4">
              <w:t>1.3294</w:t>
            </w:r>
          </w:p>
        </w:tc>
        <w:tc>
          <w:tcPr>
            <w:tcW w:w="550" w:type="pct"/>
            <w:noWrap/>
            <w:hideMark/>
          </w:tcPr>
          <w:p w14:paraId="76C96A41" w14:textId="3E297AA6" w:rsidR="00506F71" w:rsidRPr="005F76D9" w:rsidRDefault="00506F71" w:rsidP="00246245">
            <w:pPr>
              <w:pStyle w:val="Tabletext1"/>
              <w:ind w:left="0"/>
              <w:rPr>
                <w:rFonts w:cs="Calibri"/>
                <w:color w:val="000000"/>
              </w:rPr>
            </w:pPr>
            <w:r w:rsidRPr="005364D4">
              <w:t>$68,740</w:t>
            </w:r>
          </w:p>
        </w:tc>
        <w:tc>
          <w:tcPr>
            <w:tcW w:w="522" w:type="pct"/>
            <w:noWrap/>
            <w:hideMark/>
          </w:tcPr>
          <w:p w14:paraId="27FE2717" w14:textId="3C320E8B" w:rsidR="00506F71" w:rsidRPr="005F76D9" w:rsidRDefault="00506F71" w:rsidP="00246245">
            <w:pPr>
              <w:pStyle w:val="Tabletext1"/>
              <w:ind w:left="0"/>
              <w:rPr>
                <w:rFonts w:cs="Calibri"/>
                <w:color w:val="000000"/>
              </w:rPr>
            </w:pPr>
            <w:r w:rsidRPr="005364D4">
              <w:t>-41%</w:t>
            </w:r>
          </w:p>
        </w:tc>
      </w:tr>
      <w:tr w:rsidR="00506F71" w:rsidRPr="005F76D9" w14:paraId="35291049" w14:textId="77777777" w:rsidTr="00246245">
        <w:trPr>
          <w:trHeight w:val="255"/>
        </w:trPr>
        <w:tc>
          <w:tcPr>
            <w:tcW w:w="2906" w:type="pct"/>
            <w:tcBorders>
              <w:bottom w:val="single" w:sz="4" w:space="0" w:color="auto"/>
            </w:tcBorders>
            <w:noWrap/>
            <w:hideMark/>
          </w:tcPr>
          <w:p w14:paraId="7CBF54EC" w14:textId="77777777" w:rsidR="00506F71" w:rsidRPr="005F76D9" w:rsidRDefault="00506F71" w:rsidP="00246245">
            <w:pPr>
              <w:pStyle w:val="Tabletext1"/>
              <w:ind w:left="0"/>
              <w:rPr>
                <w:rFonts w:cs="Calibri"/>
                <w:color w:val="000000"/>
              </w:rPr>
            </w:pPr>
            <w:r w:rsidRPr="005F76D9">
              <w:rPr>
                <w:rFonts w:cs="Calibri"/>
                <w:color w:val="000000"/>
              </w:rPr>
              <w:t>4.12%</w:t>
            </w:r>
          </w:p>
        </w:tc>
        <w:tc>
          <w:tcPr>
            <w:tcW w:w="550" w:type="pct"/>
            <w:tcBorders>
              <w:bottom w:val="single" w:sz="4" w:space="0" w:color="auto"/>
            </w:tcBorders>
            <w:noWrap/>
            <w:hideMark/>
          </w:tcPr>
          <w:p w14:paraId="5329C9A9" w14:textId="1D6E7B35" w:rsidR="00506F71" w:rsidRPr="005F76D9" w:rsidRDefault="00506F71" w:rsidP="00246245">
            <w:pPr>
              <w:pStyle w:val="Tabletext1"/>
              <w:ind w:left="0"/>
              <w:rPr>
                <w:rFonts w:cs="Calibri"/>
                <w:color w:val="000000"/>
              </w:rPr>
            </w:pPr>
            <w:r w:rsidRPr="005364D4">
              <w:t>$143,085</w:t>
            </w:r>
          </w:p>
        </w:tc>
        <w:tc>
          <w:tcPr>
            <w:tcW w:w="472" w:type="pct"/>
            <w:tcBorders>
              <w:bottom w:val="single" w:sz="4" w:space="0" w:color="auto"/>
            </w:tcBorders>
            <w:noWrap/>
            <w:hideMark/>
          </w:tcPr>
          <w:p w14:paraId="052A2FD7" w14:textId="75F522ED" w:rsidR="00506F71" w:rsidRPr="005F76D9" w:rsidRDefault="00506F71" w:rsidP="00246245">
            <w:pPr>
              <w:pStyle w:val="Tabletext1"/>
              <w:ind w:left="0"/>
              <w:rPr>
                <w:rFonts w:cs="Calibri"/>
                <w:color w:val="000000"/>
              </w:rPr>
            </w:pPr>
            <w:r w:rsidRPr="005364D4">
              <w:t>1.1689</w:t>
            </w:r>
          </w:p>
        </w:tc>
        <w:tc>
          <w:tcPr>
            <w:tcW w:w="550" w:type="pct"/>
            <w:tcBorders>
              <w:bottom w:val="single" w:sz="4" w:space="0" w:color="auto"/>
            </w:tcBorders>
            <w:noWrap/>
            <w:hideMark/>
          </w:tcPr>
          <w:p w14:paraId="3E79FD9C" w14:textId="24E201B9" w:rsidR="00506F71" w:rsidRPr="005F76D9" w:rsidRDefault="00506F71" w:rsidP="00246245">
            <w:pPr>
              <w:pStyle w:val="Tabletext1"/>
              <w:ind w:left="0"/>
              <w:rPr>
                <w:rFonts w:cs="Calibri"/>
                <w:color w:val="000000"/>
              </w:rPr>
            </w:pPr>
            <w:r w:rsidRPr="005364D4">
              <w:t>$122,414</w:t>
            </w:r>
          </w:p>
        </w:tc>
        <w:tc>
          <w:tcPr>
            <w:tcW w:w="522" w:type="pct"/>
            <w:tcBorders>
              <w:bottom w:val="single" w:sz="4" w:space="0" w:color="auto"/>
            </w:tcBorders>
            <w:noWrap/>
            <w:hideMark/>
          </w:tcPr>
          <w:p w14:paraId="69030D7B" w14:textId="09082500" w:rsidR="00506F71" w:rsidRPr="005F76D9" w:rsidRDefault="00506F71" w:rsidP="00246245">
            <w:pPr>
              <w:pStyle w:val="Tabletext1"/>
              <w:ind w:left="0"/>
              <w:rPr>
                <w:rFonts w:cs="Calibri"/>
                <w:color w:val="000000"/>
              </w:rPr>
            </w:pPr>
            <w:r w:rsidRPr="005364D4">
              <w:t>5%</w:t>
            </w:r>
          </w:p>
        </w:tc>
      </w:tr>
      <w:tr w:rsidR="00506F71" w:rsidRPr="005F76D9" w14:paraId="65F03685" w14:textId="77777777" w:rsidTr="00246245">
        <w:trPr>
          <w:trHeight w:val="255"/>
        </w:trPr>
        <w:tc>
          <w:tcPr>
            <w:tcW w:w="2906" w:type="pct"/>
            <w:tcBorders>
              <w:right w:val="nil"/>
            </w:tcBorders>
            <w:noWrap/>
            <w:hideMark/>
          </w:tcPr>
          <w:p w14:paraId="036289E1" w14:textId="77777777" w:rsidR="00506F71" w:rsidRPr="005F76D9" w:rsidRDefault="00506F71" w:rsidP="00246245">
            <w:pPr>
              <w:pStyle w:val="Tabletext1"/>
              <w:ind w:left="0"/>
              <w:rPr>
                <w:rFonts w:cs="Calibri"/>
                <w:color w:val="000000"/>
              </w:rPr>
            </w:pPr>
            <w:r w:rsidRPr="005F76D9">
              <w:rPr>
                <w:rFonts w:cs="Calibri"/>
                <w:color w:val="000000"/>
              </w:rPr>
              <w:t>Treatment to in remission - off treatment health state (base case: 5.3%)</w:t>
            </w:r>
          </w:p>
        </w:tc>
        <w:tc>
          <w:tcPr>
            <w:tcW w:w="550" w:type="pct"/>
            <w:tcBorders>
              <w:left w:val="nil"/>
              <w:right w:val="nil"/>
            </w:tcBorders>
            <w:noWrap/>
            <w:hideMark/>
          </w:tcPr>
          <w:p w14:paraId="7650298B"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7C56AB29" w14:textId="77777777" w:rsidR="00506F71" w:rsidRPr="005F76D9" w:rsidRDefault="00506F71" w:rsidP="00246245">
            <w:pPr>
              <w:pStyle w:val="Tabletext1"/>
              <w:ind w:left="0"/>
            </w:pPr>
          </w:p>
        </w:tc>
        <w:tc>
          <w:tcPr>
            <w:tcW w:w="550" w:type="pct"/>
            <w:tcBorders>
              <w:left w:val="nil"/>
              <w:right w:val="nil"/>
            </w:tcBorders>
            <w:noWrap/>
            <w:hideMark/>
          </w:tcPr>
          <w:p w14:paraId="23F132DE" w14:textId="77777777" w:rsidR="00506F71" w:rsidRPr="005F76D9" w:rsidRDefault="00506F71" w:rsidP="00246245">
            <w:pPr>
              <w:pStyle w:val="Tabletext1"/>
              <w:ind w:left="0"/>
            </w:pPr>
          </w:p>
        </w:tc>
        <w:tc>
          <w:tcPr>
            <w:tcW w:w="522" w:type="pct"/>
            <w:tcBorders>
              <w:left w:val="nil"/>
            </w:tcBorders>
            <w:noWrap/>
            <w:hideMark/>
          </w:tcPr>
          <w:p w14:paraId="77392292" w14:textId="188016C4" w:rsidR="00506F71" w:rsidRPr="005F76D9" w:rsidRDefault="00506F71" w:rsidP="00246245">
            <w:pPr>
              <w:pStyle w:val="Tabletext1"/>
              <w:ind w:left="0"/>
              <w:rPr>
                <w:rFonts w:cs="Calibri"/>
                <w:color w:val="000000"/>
              </w:rPr>
            </w:pPr>
          </w:p>
        </w:tc>
      </w:tr>
      <w:tr w:rsidR="00313F54" w:rsidRPr="005F76D9" w14:paraId="374093A7" w14:textId="77777777" w:rsidTr="00246245">
        <w:trPr>
          <w:trHeight w:val="255"/>
        </w:trPr>
        <w:tc>
          <w:tcPr>
            <w:tcW w:w="2906" w:type="pct"/>
            <w:noWrap/>
            <w:hideMark/>
          </w:tcPr>
          <w:p w14:paraId="4B687358" w14:textId="3E3FAD59" w:rsidR="00313F54" w:rsidRPr="005F76D9" w:rsidRDefault="00313F54" w:rsidP="00313F54">
            <w:pPr>
              <w:pStyle w:val="Tabletext1"/>
              <w:ind w:left="0"/>
              <w:rPr>
                <w:rFonts w:cs="Calibri"/>
                <w:color w:val="000000"/>
              </w:rPr>
            </w:pPr>
            <w:r w:rsidRPr="005F76D9">
              <w:rPr>
                <w:rFonts w:cs="Calibri"/>
                <w:color w:val="000000"/>
              </w:rPr>
              <w:t>0.5</w:t>
            </w:r>
            <w:r>
              <w:rPr>
                <w:rFonts w:cs="Calibri"/>
                <w:color w:val="000000"/>
              </w:rPr>
              <w:t>7</w:t>
            </w:r>
            <w:r w:rsidRPr="005F76D9">
              <w:rPr>
                <w:rFonts w:cs="Calibri"/>
                <w:color w:val="000000"/>
              </w:rPr>
              <w:t>%</w:t>
            </w:r>
          </w:p>
        </w:tc>
        <w:tc>
          <w:tcPr>
            <w:tcW w:w="550" w:type="pct"/>
            <w:noWrap/>
            <w:hideMark/>
          </w:tcPr>
          <w:p w14:paraId="011DC772" w14:textId="7102DAB4" w:rsidR="00313F54" w:rsidRPr="005F76D9" w:rsidRDefault="00313F54" w:rsidP="00313F54">
            <w:pPr>
              <w:pStyle w:val="Tabletext1"/>
              <w:ind w:left="0"/>
              <w:rPr>
                <w:rFonts w:cs="Calibri"/>
                <w:color w:val="000000"/>
              </w:rPr>
            </w:pPr>
            <w:r w:rsidRPr="009D3442">
              <w:t>$276,595</w:t>
            </w:r>
          </w:p>
        </w:tc>
        <w:tc>
          <w:tcPr>
            <w:tcW w:w="472" w:type="pct"/>
            <w:noWrap/>
            <w:hideMark/>
          </w:tcPr>
          <w:p w14:paraId="6E791709" w14:textId="158D145E" w:rsidR="00313F54" w:rsidRPr="005F76D9" w:rsidRDefault="00313F54" w:rsidP="00313F54">
            <w:pPr>
              <w:pStyle w:val="Tabletext1"/>
              <w:ind w:left="0"/>
              <w:rPr>
                <w:rFonts w:cs="Calibri"/>
                <w:color w:val="000000"/>
              </w:rPr>
            </w:pPr>
            <w:r w:rsidRPr="009D3442">
              <w:t>1.0566</w:t>
            </w:r>
          </w:p>
        </w:tc>
        <w:tc>
          <w:tcPr>
            <w:tcW w:w="550" w:type="pct"/>
            <w:noWrap/>
            <w:hideMark/>
          </w:tcPr>
          <w:p w14:paraId="36759E12" w14:textId="6053200E" w:rsidR="00313F54" w:rsidRPr="005F76D9" w:rsidRDefault="00313F54" w:rsidP="00313F54">
            <w:pPr>
              <w:pStyle w:val="Tabletext1"/>
              <w:ind w:left="0"/>
              <w:rPr>
                <w:rFonts w:cs="Calibri"/>
                <w:color w:val="000000"/>
              </w:rPr>
            </w:pPr>
            <w:r w:rsidRPr="009D3442">
              <w:t>$261,775</w:t>
            </w:r>
          </w:p>
        </w:tc>
        <w:tc>
          <w:tcPr>
            <w:tcW w:w="522" w:type="pct"/>
            <w:noWrap/>
            <w:hideMark/>
          </w:tcPr>
          <w:p w14:paraId="593DE9D6" w14:textId="7001A4FB" w:rsidR="00313F54" w:rsidRPr="005F76D9" w:rsidRDefault="00313F54" w:rsidP="00313F54">
            <w:pPr>
              <w:pStyle w:val="Tabletext1"/>
              <w:ind w:left="0"/>
              <w:rPr>
                <w:rFonts w:cs="Calibri"/>
                <w:color w:val="000000"/>
              </w:rPr>
            </w:pPr>
            <w:r w:rsidRPr="009D3442">
              <w:t>125%</w:t>
            </w:r>
          </w:p>
        </w:tc>
      </w:tr>
      <w:tr w:rsidR="00506F71" w:rsidRPr="005F76D9" w14:paraId="1655FD22" w14:textId="77777777" w:rsidTr="00246245">
        <w:trPr>
          <w:trHeight w:val="255"/>
        </w:trPr>
        <w:tc>
          <w:tcPr>
            <w:tcW w:w="2906" w:type="pct"/>
            <w:noWrap/>
            <w:hideMark/>
          </w:tcPr>
          <w:p w14:paraId="436D5080" w14:textId="77777777" w:rsidR="00506F71" w:rsidRPr="005F76D9" w:rsidRDefault="00506F71" w:rsidP="00246245">
            <w:pPr>
              <w:pStyle w:val="Tabletext1"/>
              <w:ind w:left="0"/>
              <w:rPr>
                <w:rFonts w:cs="Calibri"/>
                <w:color w:val="000000"/>
              </w:rPr>
            </w:pPr>
            <w:r w:rsidRPr="005F76D9">
              <w:rPr>
                <w:rFonts w:cs="Calibri"/>
                <w:color w:val="000000"/>
              </w:rPr>
              <w:t>1.03%</w:t>
            </w:r>
          </w:p>
        </w:tc>
        <w:tc>
          <w:tcPr>
            <w:tcW w:w="550" w:type="pct"/>
            <w:noWrap/>
            <w:hideMark/>
          </w:tcPr>
          <w:p w14:paraId="53B60861" w14:textId="5FA22EE8" w:rsidR="00506F71" w:rsidRPr="005F76D9" w:rsidRDefault="00506F71" w:rsidP="00246245">
            <w:pPr>
              <w:pStyle w:val="Tabletext1"/>
              <w:ind w:left="0"/>
              <w:rPr>
                <w:rFonts w:cs="Calibri"/>
                <w:color w:val="000000"/>
              </w:rPr>
            </w:pPr>
            <w:r w:rsidRPr="005364D4">
              <w:t>$252,055</w:t>
            </w:r>
          </w:p>
        </w:tc>
        <w:tc>
          <w:tcPr>
            <w:tcW w:w="472" w:type="pct"/>
            <w:noWrap/>
            <w:hideMark/>
          </w:tcPr>
          <w:p w14:paraId="096C4ED4" w14:textId="30EFFD01" w:rsidR="00506F71" w:rsidRPr="005F76D9" w:rsidRDefault="00506F71" w:rsidP="00246245">
            <w:pPr>
              <w:pStyle w:val="Tabletext1"/>
              <w:ind w:left="0"/>
              <w:rPr>
                <w:rFonts w:cs="Calibri"/>
                <w:color w:val="000000"/>
              </w:rPr>
            </w:pPr>
            <w:r w:rsidRPr="005364D4">
              <w:t>1.0763</w:t>
            </w:r>
          </w:p>
        </w:tc>
        <w:tc>
          <w:tcPr>
            <w:tcW w:w="550" w:type="pct"/>
            <w:noWrap/>
            <w:hideMark/>
          </w:tcPr>
          <w:p w14:paraId="1B18C979" w14:textId="385AD4B4" w:rsidR="00506F71" w:rsidRPr="005F76D9" w:rsidRDefault="00506F71" w:rsidP="00246245">
            <w:pPr>
              <w:pStyle w:val="Tabletext1"/>
              <w:ind w:left="0"/>
              <w:rPr>
                <w:rFonts w:cs="Calibri"/>
                <w:color w:val="000000"/>
              </w:rPr>
            </w:pPr>
            <w:r w:rsidRPr="005364D4">
              <w:t>$234,185</w:t>
            </w:r>
          </w:p>
        </w:tc>
        <w:tc>
          <w:tcPr>
            <w:tcW w:w="522" w:type="pct"/>
            <w:noWrap/>
            <w:hideMark/>
          </w:tcPr>
          <w:p w14:paraId="20F5F21D" w14:textId="5B0D229C" w:rsidR="00506F71" w:rsidRPr="005F76D9" w:rsidRDefault="00506F71" w:rsidP="00246245">
            <w:pPr>
              <w:pStyle w:val="Tabletext1"/>
              <w:ind w:left="0"/>
              <w:rPr>
                <w:rFonts w:cs="Calibri"/>
                <w:color w:val="000000"/>
              </w:rPr>
            </w:pPr>
            <w:r w:rsidRPr="005364D4">
              <w:t>102%</w:t>
            </w:r>
          </w:p>
        </w:tc>
      </w:tr>
      <w:tr w:rsidR="00506F71" w:rsidRPr="005F76D9" w14:paraId="125CCD4A" w14:textId="77777777" w:rsidTr="00246245">
        <w:trPr>
          <w:trHeight w:val="255"/>
        </w:trPr>
        <w:tc>
          <w:tcPr>
            <w:tcW w:w="2906" w:type="pct"/>
            <w:noWrap/>
            <w:hideMark/>
          </w:tcPr>
          <w:p w14:paraId="7BDCB679" w14:textId="77777777" w:rsidR="00506F71" w:rsidRPr="005F76D9" w:rsidRDefault="00506F71" w:rsidP="00246245">
            <w:pPr>
              <w:pStyle w:val="Tabletext1"/>
              <w:ind w:left="0"/>
              <w:rPr>
                <w:rFonts w:cs="Calibri"/>
                <w:color w:val="000000"/>
              </w:rPr>
            </w:pPr>
            <w:r w:rsidRPr="005F76D9">
              <w:rPr>
                <w:rFonts w:cs="Calibri"/>
                <w:color w:val="000000"/>
              </w:rPr>
              <w:t>3.66%</w:t>
            </w:r>
          </w:p>
        </w:tc>
        <w:tc>
          <w:tcPr>
            <w:tcW w:w="550" w:type="pct"/>
            <w:noWrap/>
            <w:hideMark/>
          </w:tcPr>
          <w:p w14:paraId="5D5137D7" w14:textId="6535586C" w:rsidR="00506F71" w:rsidRPr="005F76D9" w:rsidRDefault="00506F71" w:rsidP="00246245">
            <w:pPr>
              <w:pStyle w:val="Tabletext1"/>
              <w:ind w:left="0"/>
              <w:rPr>
                <w:rFonts w:cs="Calibri"/>
                <w:color w:val="000000"/>
              </w:rPr>
            </w:pPr>
            <w:r w:rsidRPr="005364D4">
              <w:t>$166,243</w:t>
            </w:r>
          </w:p>
        </w:tc>
        <w:tc>
          <w:tcPr>
            <w:tcW w:w="472" w:type="pct"/>
            <w:noWrap/>
            <w:hideMark/>
          </w:tcPr>
          <w:p w14:paraId="0FD824ED" w14:textId="4A49A855" w:rsidR="00506F71" w:rsidRPr="005F76D9" w:rsidRDefault="00506F71" w:rsidP="00246245">
            <w:pPr>
              <w:pStyle w:val="Tabletext1"/>
              <w:ind w:left="0"/>
              <w:rPr>
                <w:rFonts w:cs="Calibri"/>
                <w:color w:val="000000"/>
              </w:rPr>
            </w:pPr>
            <w:r w:rsidRPr="005364D4">
              <w:t>1.1522</w:t>
            </w:r>
          </w:p>
        </w:tc>
        <w:tc>
          <w:tcPr>
            <w:tcW w:w="550" w:type="pct"/>
            <w:noWrap/>
            <w:hideMark/>
          </w:tcPr>
          <w:p w14:paraId="720D4833" w14:textId="4F384C20" w:rsidR="00506F71" w:rsidRPr="005F76D9" w:rsidRDefault="00506F71" w:rsidP="00246245">
            <w:pPr>
              <w:pStyle w:val="Tabletext1"/>
              <w:ind w:left="0"/>
              <w:rPr>
                <w:rFonts w:cs="Calibri"/>
                <w:color w:val="000000"/>
              </w:rPr>
            </w:pPr>
            <w:r w:rsidRPr="005364D4">
              <w:t>$144,284</w:t>
            </w:r>
          </w:p>
        </w:tc>
        <w:tc>
          <w:tcPr>
            <w:tcW w:w="522" w:type="pct"/>
            <w:noWrap/>
            <w:hideMark/>
          </w:tcPr>
          <w:p w14:paraId="0297BDE6" w14:textId="22129EA2" w:rsidR="00506F71" w:rsidRPr="005F76D9" w:rsidRDefault="00506F71" w:rsidP="00246245">
            <w:pPr>
              <w:pStyle w:val="Tabletext1"/>
              <w:ind w:left="0"/>
              <w:rPr>
                <w:rFonts w:cs="Calibri"/>
                <w:color w:val="000000"/>
              </w:rPr>
            </w:pPr>
            <w:r w:rsidRPr="005364D4">
              <w:t>24%</w:t>
            </w:r>
          </w:p>
        </w:tc>
      </w:tr>
      <w:tr w:rsidR="00506F71" w:rsidRPr="005F76D9" w14:paraId="18E8F569" w14:textId="77777777" w:rsidTr="00246245">
        <w:trPr>
          <w:trHeight w:val="255"/>
        </w:trPr>
        <w:tc>
          <w:tcPr>
            <w:tcW w:w="2906" w:type="pct"/>
            <w:tcBorders>
              <w:bottom w:val="single" w:sz="4" w:space="0" w:color="auto"/>
            </w:tcBorders>
            <w:noWrap/>
            <w:hideMark/>
          </w:tcPr>
          <w:p w14:paraId="0D3C5439" w14:textId="77777777" w:rsidR="00506F71" w:rsidRPr="005F76D9" w:rsidRDefault="00506F71" w:rsidP="00246245">
            <w:pPr>
              <w:pStyle w:val="Tabletext1"/>
              <w:ind w:left="0"/>
              <w:rPr>
                <w:rFonts w:cs="Calibri"/>
                <w:color w:val="000000"/>
              </w:rPr>
            </w:pPr>
            <w:r w:rsidRPr="005F76D9">
              <w:rPr>
                <w:rFonts w:cs="Calibri"/>
                <w:color w:val="000000"/>
              </w:rPr>
              <w:t>6.12%</w:t>
            </w:r>
          </w:p>
        </w:tc>
        <w:tc>
          <w:tcPr>
            <w:tcW w:w="550" w:type="pct"/>
            <w:tcBorders>
              <w:bottom w:val="single" w:sz="4" w:space="0" w:color="auto"/>
            </w:tcBorders>
            <w:noWrap/>
            <w:hideMark/>
          </w:tcPr>
          <w:p w14:paraId="5E77CBFF" w14:textId="584F6C83" w:rsidR="00506F71" w:rsidRPr="005F76D9" w:rsidRDefault="00506F71" w:rsidP="00246245">
            <w:pPr>
              <w:pStyle w:val="Tabletext1"/>
              <w:ind w:left="0"/>
              <w:rPr>
                <w:rFonts w:cs="Calibri"/>
                <w:color w:val="000000"/>
              </w:rPr>
            </w:pPr>
            <w:r w:rsidRPr="005364D4">
              <w:t>$125,859</w:t>
            </w:r>
          </w:p>
        </w:tc>
        <w:tc>
          <w:tcPr>
            <w:tcW w:w="472" w:type="pct"/>
            <w:tcBorders>
              <w:bottom w:val="single" w:sz="4" w:space="0" w:color="auto"/>
            </w:tcBorders>
            <w:noWrap/>
            <w:hideMark/>
          </w:tcPr>
          <w:p w14:paraId="34D9E5CE" w14:textId="5543C8A2" w:rsidR="00506F71" w:rsidRPr="005F76D9" w:rsidRDefault="00506F71" w:rsidP="00246245">
            <w:pPr>
              <w:pStyle w:val="Tabletext1"/>
              <w:ind w:left="0"/>
              <w:rPr>
                <w:rFonts w:cs="Calibri"/>
                <w:color w:val="000000"/>
              </w:rPr>
            </w:pPr>
            <w:r w:rsidRPr="005364D4">
              <w:t>1.1987</w:t>
            </w:r>
          </w:p>
        </w:tc>
        <w:tc>
          <w:tcPr>
            <w:tcW w:w="550" w:type="pct"/>
            <w:tcBorders>
              <w:bottom w:val="single" w:sz="4" w:space="0" w:color="auto"/>
            </w:tcBorders>
            <w:noWrap/>
            <w:hideMark/>
          </w:tcPr>
          <w:p w14:paraId="2651E674" w14:textId="2F38807E" w:rsidR="00506F71" w:rsidRPr="005F76D9" w:rsidRDefault="00506F71" w:rsidP="00246245">
            <w:pPr>
              <w:pStyle w:val="Tabletext1"/>
              <w:ind w:left="0"/>
              <w:rPr>
                <w:rFonts w:cs="Calibri"/>
                <w:color w:val="000000"/>
              </w:rPr>
            </w:pPr>
            <w:r w:rsidRPr="005364D4">
              <w:t>$104,994</w:t>
            </w:r>
          </w:p>
        </w:tc>
        <w:tc>
          <w:tcPr>
            <w:tcW w:w="522" w:type="pct"/>
            <w:tcBorders>
              <w:bottom w:val="single" w:sz="4" w:space="0" w:color="auto"/>
            </w:tcBorders>
            <w:noWrap/>
            <w:hideMark/>
          </w:tcPr>
          <w:p w14:paraId="2F02C915" w14:textId="4C8800BA" w:rsidR="00506F71" w:rsidRPr="005F76D9" w:rsidRDefault="00506F71" w:rsidP="00246245">
            <w:pPr>
              <w:pStyle w:val="Tabletext1"/>
              <w:ind w:left="0"/>
              <w:rPr>
                <w:rFonts w:cs="Calibri"/>
                <w:color w:val="000000"/>
              </w:rPr>
            </w:pPr>
            <w:r w:rsidRPr="005364D4">
              <w:t>-10%</w:t>
            </w:r>
          </w:p>
        </w:tc>
      </w:tr>
      <w:tr w:rsidR="00506F71" w:rsidRPr="005F76D9" w14:paraId="3D4318EB" w14:textId="77777777" w:rsidTr="00246245">
        <w:trPr>
          <w:trHeight w:val="255"/>
        </w:trPr>
        <w:tc>
          <w:tcPr>
            <w:tcW w:w="2906" w:type="pct"/>
            <w:tcBorders>
              <w:right w:val="nil"/>
            </w:tcBorders>
            <w:noWrap/>
            <w:hideMark/>
          </w:tcPr>
          <w:p w14:paraId="3C1B7B43" w14:textId="77777777" w:rsidR="00506F71" w:rsidRPr="005F76D9" w:rsidRDefault="00506F71" w:rsidP="00246245">
            <w:pPr>
              <w:pStyle w:val="Tabletext1"/>
              <w:ind w:left="0"/>
              <w:rPr>
                <w:rFonts w:cs="Calibri"/>
                <w:color w:val="000000"/>
              </w:rPr>
            </w:pPr>
            <w:r w:rsidRPr="005F76D9">
              <w:rPr>
                <w:rFonts w:cs="Calibri"/>
                <w:color w:val="000000"/>
              </w:rPr>
              <w:t>Severe adverse event (base case: 1.02%)</w:t>
            </w:r>
          </w:p>
        </w:tc>
        <w:tc>
          <w:tcPr>
            <w:tcW w:w="550" w:type="pct"/>
            <w:tcBorders>
              <w:left w:val="nil"/>
              <w:right w:val="nil"/>
            </w:tcBorders>
            <w:noWrap/>
            <w:hideMark/>
          </w:tcPr>
          <w:p w14:paraId="05548313"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16351931" w14:textId="77777777" w:rsidR="00506F71" w:rsidRPr="005F76D9" w:rsidRDefault="00506F71" w:rsidP="00246245">
            <w:pPr>
              <w:pStyle w:val="Tabletext1"/>
              <w:ind w:left="0"/>
            </w:pPr>
          </w:p>
        </w:tc>
        <w:tc>
          <w:tcPr>
            <w:tcW w:w="550" w:type="pct"/>
            <w:tcBorders>
              <w:left w:val="nil"/>
              <w:right w:val="nil"/>
            </w:tcBorders>
            <w:noWrap/>
            <w:hideMark/>
          </w:tcPr>
          <w:p w14:paraId="0E142380" w14:textId="77777777" w:rsidR="00506F71" w:rsidRPr="005F76D9" w:rsidRDefault="00506F71" w:rsidP="00246245">
            <w:pPr>
              <w:pStyle w:val="Tabletext1"/>
              <w:ind w:left="0"/>
            </w:pPr>
          </w:p>
        </w:tc>
        <w:tc>
          <w:tcPr>
            <w:tcW w:w="522" w:type="pct"/>
            <w:tcBorders>
              <w:left w:val="nil"/>
            </w:tcBorders>
            <w:noWrap/>
            <w:hideMark/>
          </w:tcPr>
          <w:p w14:paraId="35A2AFE8" w14:textId="1890B152" w:rsidR="00506F71" w:rsidRPr="005F76D9" w:rsidRDefault="00506F71" w:rsidP="00246245">
            <w:pPr>
              <w:pStyle w:val="Tabletext1"/>
              <w:ind w:left="0"/>
              <w:rPr>
                <w:rFonts w:cs="Calibri"/>
                <w:color w:val="000000"/>
              </w:rPr>
            </w:pPr>
          </w:p>
        </w:tc>
      </w:tr>
      <w:tr w:rsidR="00506F71" w:rsidRPr="005F76D9" w14:paraId="2D389276" w14:textId="77777777" w:rsidTr="00246245">
        <w:trPr>
          <w:trHeight w:val="255"/>
        </w:trPr>
        <w:tc>
          <w:tcPr>
            <w:tcW w:w="2906" w:type="pct"/>
            <w:tcBorders>
              <w:bottom w:val="single" w:sz="4" w:space="0" w:color="auto"/>
            </w:tcBorders>
            <w:noWrap/>
            <w:hideMark/>
          </w:tcPr>
          <w:p w14:paraId="521FCDB4" w14:textId="77777777" w:rsidR="00506F71" w:rsidRPr="005F76D9" w:rsidRDefault="00506F71" w:rsidP="00246245">
            <w:pPr>
              <w:pStyle w:val="Tabletext1"/>
              <w:ind w:left="0"/>
              <w:rPr>
                <w:rFonts w:cs="Calibri"/>
                <w:color w:val="000000"/>
              </w:rPr>
            </w:pPr>
            <w:r w:rsidRPr="005F76D9">
              <w:rPr>
                <w:rFonts w:cs="Calibri"/>
                <w:color w:val="000000"/>
              </w:rPr>
              <w:t>0.03%</w:t>
            </w:r>
          </w:p>
        </w:tc>
        <w:tc>
          <w:tcPr>
            <w:tcW w:w="550" w:type="pct"/>
            <w:tcBorders>
              <w:bottom w:val="single" w:sz="4" w:space="0" w:color="auto"/>
            </w:tcBorders>
            <w:noWrap/>
            <w:hideMark/>
          </w:tcPr>
          <w:p w14:paraId="29236688" w14:textId="54FAF91F" w:rsidR="00506F71" w:rsidRPr="005F76D9" w:rsidRDefault="00506F71" w:rsidP="00246245">
            <w:pPr>
              <w:pStyle w:val="Tabletext1"/>
              <w:ind w:left="0"/>
              <w:rPr>
                <w:rFonts w:cs="Calibri"/>
                <w:color w:val="000000"/>
              </w:rPr>
            </w:pPr>
            <w:r w:rsidRPr="005364D4">
              <w:t>$149,537</w:t>
            </w:r>
          </w:p>
        </w:tc>
        <w:tc>
          <w:tcPr>
            <w:tcW w:w="472" w:type="pct"/>
            <w:tcBorders>
              <w:bottom w:val="single" w:sz="4" w:space="0" w:color="auto"/>
            </w:tcBorders>
            <w:noWrap/>
            <w:hideMark/>
          </w:tcPr>
          <w:p w14:paraId="4E2137B6" w14:textId="56DA2792" w:rsidR="00506F71" w:rsidRPr="005F76D9" w:rsidRDefault="00506F71" w:rsidP="00246245">
            <w:pPr>
              <w:pStyle w:val="Tabletext1"/>
              <w:ind w:left="0"/>
              <w:rPr>
                <w:rFonts w:cs="Calibri"/>
                <w:color w:val="000000"/>
              </w:rPr>
            </w:pPr>
            <w:r w:rsidRPr="005364D4">
              <w:t>1.3136</w:t>
            </w:r>
          </w:p>
        </w:tc>
        <w:tc>
          <w:tcPr>
            <w:tcW w:w="550" w:type="pct"/>
            <w:tcBorders>
              <w:bottom w:val="single" w:sz="4" w:space="0" w:color="auto"/>
            </w:tcBorders>
            <w:noWrap/>
            <w:hideMark/>
          </w:tcPr>
          <w:p w14:paraId="6B6325D2" w14:textId="79D75F40" w:rsidR="00506F71" w:rsidRPr="005F76D9" w:rsidRDefault="00506F71" w:rsidP="00246245">
            <w:pPr>
              <w:pStyle w:val="Tabletext1"/>
              <w:ind w:left="0"/>
              <w:rPr>
                <w:rFonts w:cs="Calibri"/>
                <w:color w:val="000000"/>
              </w:rPr>
            </w:pPr>
            <w:r w:rsidRPr="005364D4">
              <w:t>$113,839</w:t>
            </w:r>
          </w:p>
        </w:tc>
        <w:tc>
          <w:tcPr>
            <w:tcW w:w="522" w:type="pct"/>
            <w:tcBorders>
              <w:bottom w:val="single" w:sz="4" w:space="0" w:color="auto"/>
            </w:tcBorders>
            <w:noWrap/>
            <w:hideMark/>
          </w:tcPr>
          <w:p w14:paraId="55AEC7EC" w14:textId="340D0DC0" w:rsidR="00506F71" w:rsidRPr="005F76D9" w:rsidRDefault="00506F71" w:rsidP="00246245">
            <w:pPr>
              <w:pStyle w:val="Tabletext1"/>
              <w:ind w:left="0"/>
              <w:rPr>
                <w:rFonts w:cs="Calibri"/>
                <w:color w:val="000000"/>
              </w:rPr>
            </w:pPr>
            <w:r w:rsidRPr="005364D4">
              <w:t>-2%</w:t>
            </w:r>
          </w:p>
        </w:tc>
      </w:tr>
      <w:tr w:rsidR="00506F71" w:rsidRPr="005F76D9" w14:paraId="6B49A98C" w14:textId="77777777" w:rsidTr="00246245">
        <w:trPr>
          <w:trHeight w:val="255"/>
        </w:trPr>
        <w:tc>
          <w:tcPr>
            <w:tcW w:w="2906" w:type="pct"/>
            <w:tcBorders>
              <w:bottom w:val="single" w:sz="4" w:space="0" w:color="auto"/>
              <w:right w:val="nil"/>
            </w:tcBorders>
            <w:noWrap/>
            <w:hideMark/>
          </w:tcPr>
          <w:p w14:paraId="6E5777A8" w14:textId="77777777" w:rsidR="00506F71" w:rsidRPr="005F76D9" w:rsidRDefault="00506F71" w:rsidP="00246245">
            <w:pPr>
              <w:pStyle w:val="Tabletext1"/>
              <w:ind w:left="0"/>
              <w:rPr>
                <w:rFonts w:cs="Calibri"/>
                <w:b/>
                <w:bCs/>
                <w:color w:val="000000"/>
                <w:u w:val="single"/>
              </w:rPr>
            </w:pPr>
            <w:r w:rsidRPr="005F76D9">
              <w:rPr>
                <w:rFonts w:cs="Calibri"/>
                <w:b/>
                <w:bCs/>
                <w:color w:val="000000"/>
                <w:u w:val="single"/>
              </w:rPr>
              <w:t>Health state transitions, steroids</w:t>
            </w:r>
          </w:p>
        </w:tc>
        <w:tc>
          <w:tcPr>
            <w:tcW w:w="550" w:type="pct"/>
            <w:tcBorders>
              <w:left w:val="nil"/>
              <w:bottom w:val="single" w:sz="4" w:space="0" w:color="auto"/>
              <w:right w:val="nil"/>
            </w:tcBorders>
            <w:noWrap/>
            <w:hideMark/>
          </w:tcPr>
          <w:p w14:paraId="2C964A1D" w14:textId="77777777" w:rsidR="00506F71" w:rsidRPr="005F76D9" w:rsidRDefault="00506F71" w:rsidP="00246245">
            <w:pPr>
              <w:pStyle w:val="Tabletext1"/>
              <w:ind w:left="0"/>
              <w:rPr>
                <w:rFonts w:cs="Calibri"/>
                <w:b/>
                <w:bCs/>
                <w:color w:val="000000"/>
                <w:u w:val="single"/>
              </w:rPr>
            </w:pPr>
          </w:p>
        </w:tc>
        <w:tc>
          <w:tcPr>
            <w:tcW w:w="472" w:type="pct"/>
            <w:tcBorders>
              <w:left w:val="nil"/>
              <w:bottom w:val="single" w:sz="4" w:space="0" w:color="auto"/>
              <w:right w:val="nil"/>
            </w:tcBorders>
            <w:noWrap/>
            <w:hideMark/>
          </w:tcPr>
          <w:p w14:paraId="1CA60B89" w14:textId="77777777" w:rsidR="00506F71" w:rsidRPr="005F76D9" w:rsidRDefault="00506F71" w:rsidP="00246245">
            <w:pPr>
              <w:pStyle w:val="Tabletext1"/>
              <w:ind w:left="0"/>
            </w:pPr>
          </w:p>
        </w:tc>
        <w:tc>
          <w:tcPr>
            <w:tcW w:w="550" w:type="pct"/>
            <w:tcBorders>
              <w:left w:val="nil"/>
              <w:bottom w:val="single" w:sz="4" w:space="0" w:color="auto"/>
              <w:right w:val="nil"/>
            </w:tcBorders>
            <w:noWrap/>
            <w:hideMark/>
          </w:tcPr>
          <w:p w14:paraId="291547CF" w14:textId="77777777" w:rsidR="00506F71" w:rsidRPr="005F76D9" w:rsidRDefault="00506F71" w:rsidP="00246245">
            <w:pPr>
              <w:pStyle w:val="Tabletext1"/>
              <w:ind w:left="0"/>
            </w:pPr>
          </w:p>
        </w:tc>
        <w:tc>
          <w:tcPr>
            <w:tcW w:w="522" w:type="pct"/>
            <w:tcBorders>
              <w:left w:val="nil"/>
              <w:bottom w:val="single" w:sz="4" w:space="0" w:color="auto"/>
            </w:tcBorders>
            <w:noWrap/>
            <w:hideMark/>
          </w:tcPr>
          <w:p w14:paraId="30709D27" w14:textId="73D54E8C" w:rsidR="00506F71" w:rsidRPr="005F76D9" w:rsidRDefault="00506F71" w:rsidP="00246245">
            <w:pPr>
              <w:pStyle w:val="Tabletext1"/>
              <w:ind w:left="0"/>
              <w:rPr>
                <w:rFonts w:cs="Calibri"/>
                <w:color w:val="000000"/>
              </w:rPr>
            </w:pPr>
          </w:p>
        </w:tc>
      </w:tr>
      <w:tr w:rsidR="00506F71" w:rsidRPr="005F76D9" w14:paraId="4EBFDED2" w14:textId="77777777" w:rsidTr="00246245">
        <w:trPr>
          <w:trHeight w:val="255"/>
        </w:trPr>
        <w:tc>
          <w:tcPr>
            <w:tcW w:w="2906" w:type="pct"/>
            <w:tcBorders>
              <w:right w:val="nil"/>
            </w:tcBorders>
            <w:noWrap/>
            <w:hideMark/>
          </w:tcPr>
          <w:p w14:paraId="03FA4B89" w14:textId="561603E6" w:rsidR="00506F71" w:rsidRPr="005F76D9" w:rsidRDefault="00506F71" w:rsidP="00246245">
            <w:pPr>
              <w:pStyle w:val="Tabletext1"/>
              <w:ind w:left="0"/>
              <w:rPr>
                <w:rFonts w:cs="Calibri"/>
                <w:color w:val="000000"/>
              </w:rPr>
            </w:pPr>
            <w:r w:rsidRPr="005F76D9">
              <w:rPr>
                <w:rFonts w:cs="Calibri"/>
                <w:color w:val="000000"/>
              </w:rPr>
              <w:t>Tr</w:t>
            </w:r>
            <w:r w:rsidR="00B565B4">
              <w:rPr>
                <w:rFonts w:cs="Calibri"/>
                <w:color w:val="000000"/>
              </w:rPr>
              <w:t>eatment failure (base case: 10.5</w:t>
            </w:r>
            <w:r w:rsidRPr="005F76D9">
              <w:rPr>
                <w:rFonts w:cs="Calibri"/>
                <w:color w:val="000000"/>
              </w:rPr>
              <w:t>% per cycle in State A)</w:t>
            </w:r>
          </w:p>
        </w:tc>
        <w:tc>
          <w:tcPr>
            <w:tcW w:w="550" w:type="pct"/>
            <w:tcBorders>
              <w:left w:val="nil"/>
              <w:right w:val="nil"/>
            </w:tcBorders>
            <w:noWrap/>
            <w:hideMark/>
          </w:tcPr>
          <w:p w14:paraId="34307AFF"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42EB5344" w14:textId="77777777" w:rsidR="00506F71" w:rsidRPr="005F76D9" w:rsidRDefault="00506F71" w:rsidP="00246245">
            <w:pPr>
              <w:pStyle w:val="Tabletext1"/>
              <w:ind w:left="0"/>
            </w:pPr>
          </w:p>
        </w:tc>
        <w:tc>
          <w:tcPr>
            <w:tcW w:w="550" w:type="pct"/>
            <w:tcBorders>
              <w:left w:val="nil"/>
              <w:right w:val="nil"/>
            </w:tcBorders>
            <w:noWrap/>
            <w:hideMark/>
          </w:tcPr>
          <w:p w14:paraId="58E62E3E" w14:textId="77777777" w:rsidR="00506F71" w:rsidRPr="005F76D9" w:rsidRDefault="00506F71" w:rsidP="00246245">
            <w:pPr>
              <w:pStyle w:val="Tabletext1"/>
              <w:ind w:left="0"/>
            </w:pPr>
          </w:p>
        </w:tc>
        <w:tc>
          <w:tcPr>
            <w:tcW w:w="522" w:type="pct"/>
            <w:tcBorders>
              <w:left w:val="nil"/>
            </w:tcBorders>
            <w:noWrap/>
            <w:hideMark/>
          </w:tcPr>
          <w:p w14:paraId="1188F8DD" w14:textId="59333BDB" w:rsidR="00506F71" w:rsidRPr="005F76D9" w:rsidRDefault="00506F71" w:rsidP="00246245">
            <w:pPr>
              <w:pStyle w:val="Tabletext1"/>
              <w:ind w:left="0"/>
              <w:rPr>
                <w:rFonts w:cs="Calibri"/>
                <w:color w:val="000000"/>
              </w:rPr>
            </w:pPr>
          </w:p>
        </w:tc>
      </w:tr>
      <w:tr w:rsidR="00506F71" w:rsidRPr="005F76D9" w14:paraId="6EF8B5BC" w14:textId="77777777" w:rsidTr="00246245">
        <w:trPr>
          <w:trHeight w:val="315"/>
        </w:trPr>
        <w:tc>
          <w:tcPr>
            <w:tcW w:w="2906" w:type="pct"/>
            <w:tcBorders>
              <w:bottom w:val="single" w:sz="4" w:space="0" w:color="auto"/>
            </w:tcBorders>
            <w:noWrap/>
            <w:hideMark/>
          </w:tcPr>
          <w:p w14:paraId="31D40265" w14:textId="15D27DE5" w:rsidR="00506F71" w:rsidRPr="005F76D9" w:rsidRDefault="00506F71" w:rsidP="00246245">
            <w:pPr>
              <w:pStyle w:val="Tabletext1"/>
              <w:ind w:left="0"/>
              <w:rPr>
                <w:rFonts w:cs="Calibri"/>
                <w:color w:val="000000"/>
              </w:rPr>
            </w:pPr>
            <w:r w:rsidRPr="005F76D9">
              <w:rPr>
                <w:rFonts w:cs="Calibri"/>
                <w:color w:val="000000"/>
              </w:rPr>
              <w:t>4.</w:t>
            </w:r>
            <w:r w:rsidR="00B565B4">
              <w:rPr>
                <w:rFonts w:cs="Calibri"/>
                <w:color w:val="000000"/>
              </w:rPr>
              <w:t>7</w:t>
            </w:r>
            <w:r w:rsidRPr="005F76D9">
              <w:rPr>
                <w:rFonts w:cs="Calibri"/>
                <w:color w:val="000000"/>
              </w:rPr>
              <w:t>% per cycle in State A</w:t>
            </w:r>
          </w:p>
        </w:tc>
        <w:tc>
          <w:tcPr>
            <w:tcW w:w="550" w:type="pct"/>
            <w:tcBorders>
              <w:bottom w:val="single" w:sz="4" w:space="0" w:color="auto"/>
            </w:tcBorders>
            <w:noWrap/>
            <w:hideMark/>
          </w:tcPr>
          <w:p w14:paraId="2D6CA9F2" w14:textId="1655A788" w:rsidR="00506F71" w:rsidRPr="005F76D9" w:rsidRDefault="00506F71" w:rsidP="00246245">
            <w:pPr>
              <w:pStyle w:val="Tabletext1"/>
              <w:ind w:left="0"/>
              <w:rPr>
                <w:rFonts w:cs="Calibri"/>
                <w:color w:val="000000"/>
              </w:rPr>
            </w:pPr>
            <w:r w:rsidRPr="005364D4">
              <w:t>$129,407</w:t>
            </w:r>
          </w:p>
        </w:tc>
        <w:tc>
          <w:tcPr>
            <w:tcW w:w="472" w:type="pct"/>
            <w:tcBorders>
              <w:bottom w:val="single" w:sz="4" w:space="0" w:color="auto"/>
            </w:tcBorders>
            <w:noWrap/>
            <w:hideMark/>
          </w:tcPr>
          <w:p w14:paraId="3CC066CE" w14:textId="4139CA4B" w:rsidR="00506F71" w:rsidRPr="005F76D9" w:rsidRDefault="00506F71" w:rsidP="00246245">
            <w:pPr>
              <w:pStyle w:val="Tabletext1"/>
              <w:ind w:left="0"/>
              <w:rPr>
                <w:rFonts w:cs="Calibri"/>
                <w:color w:val="000000"/>
              </w:rPr>
            </w:pPr>
            <w:r w:rsidRPr="005364D4">
              <w:t>0.9178</w:t>
            </w:r>
          </w:p>
        </w:tc>
        <w:tc>
          <w:tcPr>
            <w:tcW w:w="550" w:type="pct"/>
            <w:tcBorders>
              <w:bottom w:val="single" w:sz="4" w:space="0" w:color="auto"/>
            </w:tcBorders>
            <w:noWrap/>
            <w:hideMark/>
          </w:tcPr>
          <w:p w14:paraId="3C34C806" w14:textId="1ED87A5A" w:rsidR="00506F71" w:rsidRPr="005F76D9" w:rsidRDefault="00506F71" w:rsidP="00246245">
            <w:pPr>
              <w:pStyle w:val="Tabletext1"/>
              <w:ind w:left="0"/>
              <w:rPr>
                <w:rFonts w:cs="Calibri"/>
                <w:color w:val="000000"/>
              </w:rPr>
            </w:pPr>
            <w:r w:rsidRPr="005364D4">
              <w:t>$140,995</w:t>
            </w:r>
          </w:p>
        </w:tc>
        <w:tc>
          <w:tcPr>
            <w:tcW w:w="522" w:type="pct"/>
            <w:tcBorders>
              <w:bottom w:val="single" w:sz="4" w:space="0" w:color="auto"/>
            </w:tcBorders>
            <w:noWrap/>
            <w:hideMark/>
          </w:tcPr>
          <w:p w14:paraId="4FEA6A31" w14:textId="6B4FAF26" w:rsidR="00506F71" w:rsidRPr="005F76D9" w:rsidRDefault="00506F71" w:rsidP="00246245">
            <w:pPr>
              <w:pStyle w:val="Tabletext1"/>
              <w:ind w:left="0"/>
              <w:rPr>
                <w:rFonts w:cs="Calibri"/>
                <w:color w:val="000000"/>
              </w:rPr>
            </w:pPr>
            <w:r w:rsidRPr="005364D4">
              <w:t>21%</w:t>
            </w:r>
          </w:p>
        </w:tc>
      </w:tr>
      <w:tr w:rsidR="00506F71" w:rsidRPr="005F76D9" w14:paraId="1BCC8654" w14:textId="77777777" w:rsidTr="00246245">
        <w:trPr>
          <w:trHeight w:val="255"/>
        </w:trPr>
        <w:tc>
          <w:tcPr>
            <w:tcW w:w="2906" w:type="pct"/>
            <w:tcBorders>
              <w:right w:val="nil"/>
            </w:tcBorders>
            <w:noWrap/>
            <w:hideMark/>
          </w:tcPr>
          <w:p w14:paraId="5660E8A1" w14:textId="77777777" w:rsidR="00506F71" w:rsidRPr="005F76D9" w:rsidRDefault="00506F71" w:rsidP="00246245">
            <w:pPr>
              <w:pStyle w:val="Tabletext1"/>
              <w:ind w:left="0"/>
              <w:rPr>
                <w:rFonts w:cs="Calibri"/>
                <w:color w:val="000000"/>
              </w:rPr>
            </w:pPr>
            <w:r w:rsidRPr="005F76D9">
              <w:rPr>
                <w:rFonts w:cs="Calibri"/>
                <w:color w:val="000000"/>
              </w:rPr>
              <w:t>Proportion of patients relapsing in remission health state (base case: 3.1%)</w:t>
            </w:r>
          </w:p>
        </w:tc>
        <w:tc>
          <w:tcPr>
            <w:tcW w:w="550" w:type="pct"/>
            <w:tcBorders>
              <w:left w:val="nil"/>
              <w:right w:val="nil"/>
            </w:tcBorders>
            <w:noWrap/>
            <w:hideMark/>
          </w:tcPr>
          <w:p w14:paraId="5EC941BA"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69EB6338" w14:textId="77777777" w:rsidR="00506F71" w:rsidRPr="005F76D9" w:rsidRDefault="00506F71" w:rsidP="00246245">
            <w:pPr>
              <w:pStyle w:val="Tabletext1"/>
              <w:ind w:left="0"/>
            </w:pPr>
          </w:p>
        </w:tc>
        <w:tc>
          <w:tcPr>
            <w:tcW w:w="550" w:type="pct"/>
            <w:tcBorders>
              <w:left w:val="nil"/>
              <w:right w:val="nil"/>
            </w:tcBorders>
            <w:noWrap/>
            <w:hideMark/>
          </w:tcPr>
          <w:p w14:paraId="064A55B5" w14:textId="77777777" w:rsidR="00506F71" w:rsidRPr="005F76D9" w:rsidRDefault="00506F71" w:rsidP="00246245">
            <w:pPr>
              <w:pStyle w:val="Tabletext1"/>
              <w:ind w:left="0"/>
            </w:pPr>
          </w:p>
        </w:tc>
        <w:tc>
          <w:tcPr>
            <w:tcW w:w="522" w:type="pct"/>
            <w:tcBorders>
              <w:left w:val="nil"/>
            </w:tcBorders>
            <w:noWrap/>
            <w:hideMark/>
          </w:tcPr>
          <w:p w14:paraId="6CC6A59E" w14:textId="6AFF2D07" w:rsidR="00506F71" w:rsidRPr="005F76D9" w:rsidRDefault="00506F71" w:rsidP="00246245">
            <w:pPr>
              <w:pStyle w:val="Tabletext1"/>
              <w:ind w:left="0"/>
              <w:rPr>
                <w:rFonts w:cs="Calibri"/>
                <w:color w:val="000000"/>
              </w:rPr>
            </w:pPr>
          </w:p>
        </w:tc>
      </w:tr>
      <w:tr w:rsidR="00506F71" w:rsidRPr="005F76D9" w14:paraId="45F89D51" w14:textId="77777777" w:rsidTr="00246245">
        <w:trPr>
          <w:trHeight w:val="315"/>
        </w:trPr>
        <w:tc>
          <w:tcPr>
            <w:tcW w:w="2906" w:type="pct"/>
            <w:tcBorders>
              <w:bottom w:val="single" w:sz="4" w:space="0" w:color="auto"/>
            </w:tcBorders>
            <w:noWrap/>
            <w:hideMark/>
          </w:tcPr>
          <w:p w14:paraId="1049F599" w14:textId="77777777" w:rsidR="00506F71" w:rsidRPr="005F76D9" w:rsidRDefault="00506F71" w:rsidP="00246245">
            <w:pPr>
              <w:pStyle w:val="Tabletext1"/>
              <w:ind w:left="0"/>
              <w:rPr>
                <w:rFonts w:cs="Calibri"/>
                <w:color w:val="000000"/>
              </w:rPr>
            </w:pPr>
            <w:r w:rsidRPr="005F76D9">
              <w:rPr>
                <w:rFonts w:cs="Calibri"/>
                <w:color w:val="000000"/>
              </w:rPr>
              <w:t>4.93%</w:t>
            </w:r>
          </w:p>
        </w:tc>
        <w:tc>
          <w:tcPr>
            <w:tcW w:w="550" w:type="pct"/>
            <w:tcBorders>
              <w:bottom w:val="single" w:sz="4" w:space="0" w:color="auto"/>
            </w:tcBorders>
            <w:noWrap/>
            <w:hideMark/>
          </w:tcPr>
          <w:p w14:paraId="005FA117" w14:textId="7CB0B860" w:rsidR="00506F71" w:rsidRPr="005F76D9" w:rsidRDefault="00506F71" w:rsidP="00246245">
            <w:pPr>
              <w:pStyle w:val="Tabletext1"/>
              <w:ind w:left="0"/>
              <w:rPr>
                <w:rFonts w:cs="Calibri"/>
                <w:color w:val="000000"/>
              </w:rPr>
            </w:pPr>
            <w:r w:rsidRPr="005364D4">
              <w:t>$135,423</w:t>
            </w:r>
          </w:p>
        </w:tc>
        <w:tc>
          <w:tcPr>
            <w:tcW w:w="472" w:type="pct"/>
            <w:tcBorders>
              <w:bottom w:val="single" w:sz="4" w:space="0" w:color="auto"/>
            </w:tcBorders>
            <w:noWrap/>
            <w:hideMark/>
          </w:tcPr>
          <w:p w14:paraId="6FB38CCD" w14:textId="2944F77F" w:rsidR="00506F71" w:rsidRPr="005F76D9" w:rsidRDefault="00506F71" w:rsidP="00246245">
            <w:pPr>
              <w:pStyle w:val="Tabletext1"/>
              <w:ind w:left="0"/>
              <w:rPr>
                <w:rFonts w:cs="Calibri"/>
                <w:color w:val="000000"/>
              </w:rPr>
            </w:pPr>
            <w:r w:rsidRPr="005364D4">
              <w:t>1.2915</w:t>
            </w:r>
          </w:p>
        </w:tc>
        <w:tc>
          <w:tcPr>
            <w:tcW w:w="550" w:type="pct"/>
            <w:tcBorders>
              <w:bottom w:val="single" w:sz="4" w:space="0" w:color="auto"/>
            </w:tcBorders>
            <w:noWrap/>
            <w:hideMark/>
          </w:tcPr>
          <w:p w14:paraId="562D7D13" w14:textId="4A802212" w:rsidR="00506F71" w:rsidRPr="005F76D9" w:rsidRDefault="00506F71" w:rsidP="00246245">
            <w:pPr>
              <w:pStyle w:val="Tabletext1"/>
              <w:ind w:left="0"/>
              <w:rPr>
                <w:rFonts w:cs="Calibri"/>
                <w:color w:val="000000"/>
              </w:rPr>
            </w:pPr>
            <w:r w:rsidRPr="005364D4">
              <w:t>$104,861</w:t>
            </w:r>
          </w:p>
        </w:tc>
        <w:tc>
          <w:tcPr>
            <w:tcW w:w="522" w:type="pct"/>
            <w:tcBorders>
              <w:bottom w:val="single" w:sz="4" w:space="0" w:color="auto"/>
            </w:tcBorders>
            <w:noWrap/>
            <w:hideMark/>
          </w:tcPr>
          <w:p w14:paraId="2A2419A5" w14:textId="49CBB70E" w:rsidR="00506F71" w:rsidRPr="005F76D9" w:rsidRDefault="00506F71" w:rsidP="00246245">
            <w:pPr>
              <w:pStyle w:val="Tabletext1"/>
              <w:ind w:left="0"/>
              <w:rPr>
                <w:rFonts w:cs="Calibri"/>
                <w:color w:val="000000"/>
              </w:rPr>
            </w:pPr>
            <w:r w:rsidRPr="005364D4">
              <w:t>-10%</w:t>
            </w:r>
          </w:p>
        </w:tc>
      </w:tr>
      <w:tr w:rsidR="00506F71" w:rsidRPr="005F76D9" w14:paraId="0AC4EBE4" w14:textId="77777777" w:rsidTr="00246245">
        <w:trPr>
          <w:trHeight w:val="300"/>
        </w:trPr>
        <w:tc>
          <w:tcPr>
            <w:tcW w:w="2906" w:type="pct"/>
            <w:tcBorders>
              <w:right w:val="nil"/>
            </w:tcBorders>
            <w:noWrap/>
            <w:hideMark/>
          </w:tcPr>
          <w:p w14:paraId="6DB8061D" w14:textId="77777777" w:rsidR="00506F71" w:rsidRPr="005F76D9" w:rsidRDefault="00506F71" w:rsidP="00246245">
            <w:pPr>
              <w:pStyle w:val="Tabletext1"/>
              <w:ind w:left="0"/>
              <w:rPr>
                <w:rFonts w:cs="Calibri"/>
                <w:color w:val="000000"/>
              </w:rPr>
            </w:pPr>
            <w:r w:rsidRPr="005F76D9">
              <w:rPr>
                <w:rFonts w:cs="Calibri"/>
                <w:color w:val="000000"/>
              </w:rPr>
              <w:t>Treatment to in remission - off treatment health state (base case: 3.85%)</w:t>
            </w:r>
          </w:p>
        </w:tc>
        <w:tc>
          <w:tcPr>
            <w:tcW w:w="550" w:type="pct"/>
            <w:tcBorders>
              <w:left w:val="nil"/>
              <w:right w:val="nil"/>
            </w:tcBorders>
            <w:noWrap/>
            <w:hideMark/>
          </w:tcPr>
          <w:p w14:paraId="47CF70A2"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7C20D87B" w14:textId="77777777" w:rsidR="00506F71" w:rsidRPr="005F76D9" w:rsidRDefault="00506F71" w:rsidP="00246245">
            <w:pPr>
              <w:pStyle w:val="Tabletext1"/>
              <w:ind w:left="0"/>
            </w:pPr>
          </w:p>
        </w:tc>
        <w:tc>
          <w:tcPr>
            <w:tcW w:w="550" w:type="pct"/>
            <w:tcBorders>
              <w:left w:val="nil"/>
              <w:right w:val="nil"/>
            </w:tcBorders>
            <w:noWrap/>
            <w:hideMark/>
          </w:tcPr>
          <w:p w14:paraId="131DDA87" w14:textId="77777777" w:rsidR="00506F71" w:rsidRPr="005F76D9" w:rsidRDefault="00506F71" w:rsidP="00246245">
            <w:pPr>
              <w:pStyle w:val="Tabletext1"/>
              <w:ind w:left="0"/>
            </w:pPr>
          </w:p>
        </w:tc>
        <w:tc>
          <w:tcPr>
            <w:tcW w:w="522" w:type="pct"/>
            <w:tcBorders>
              <w:left w:val="nil"/>
            </w:tcBorders>
            <w:noWrap/>
            <w:hideMark/>
          </w:tcPr>
          <w:p w14:paraId="7B55199F" w14:textId="273A6F47" w:rsidR="00506F71" w:rsidRPr="005F76D9" w:rsidRDefault="00506F71" w:rsidP="00246245">
            <w:pPr>
              <w:pStyle w:val="Tabletext1"/>
              <w:ind w:left="0"/>
              <w:rPr>
                <w:rFonts w:cs="Calibri"/>
                <w:color w:val="000000"/>
              </w:rPr>
            </w:pPr>
          </w:p>
        </w:tc>
      </w:tr>
      <w:tr w:rsidR="00506F71" w:rsidRPr="005F76D9" w14:paraId="639F4447" w14:textId="77777777" w:rsidTr="00246245">
        <w:trPr>
          <w:trHeight w:val="255"/>
        </w:trPr>
        <w:tc>
          <w:tcPr>
            <w:tcW w:w="2906" w:type="pct"/>
            <w:noWrap/>
            <w:hideMark/>
          </w:tcPr>
          <w:p w14:paraId="3F9A3882" w14:textId="77777777" w:rsidR="00506F71" w:rsidRPr="005F76D9" w:rsidRDefault="00506F71" w:rsidP="00246245">
            <w:pPr>
              <w:pStyle w:val="Tabletext1"/>
              <w:ind w:left="0"/>
              <w:rPr>
                <w:rFonts w:cs="Calibri"/>
                <w:color w:val="000000"/>
              </w:rPr>
            </w:pPr>
            <w:r w:rsidRPr="005F76D9">
              <w:rPr>
                <w:rFonts w:cs="Calibri"/>
                <w:color w:val="000000"/>
              </w:rPr>
              <w:t>0.56%</w:t>
            </w:r>
          </w:p>
        </w:tc>
        <w:tc>
          <w:tcPr>
            <w:tcW w:w="550" w:type="pct"/>
            <w:noWrap/>
            <w:hideMark/>
          </w:tcPr>
          <w:p w14:paraId="1A76B34A" w14:textId="2BA346FD" w:rsidR="00506F71" w:rsidRPr="005F76D9" w:rsidRDefault="00506F71" w:rsidP="00246245">
            <w:pPr>
              <w:pStyle w:val="Tabletext1"/>
              <w:ind w:left="0"/>
              <w:rPr>
                <w:rFonts w:cs="Calibri"/>
                <w:color w:val="000000"/>
              </w:rPr>
            </w:pPr>
            <w:r w:rsidRPr="005364D4">
              <w:t>$127,179</w:t>
            </w:r>
          </w:p>
        </w:tc>
        <w:tc>
          <w:tcPr>
            <w:tcW w:w="472" w:type="pct"/>
            <w:noWrap/>
            <w:hideMark/>
          </w:tcPr>
          <w:p w14:paraId="56C8CC1D" w14:textId="0CB18CD5" w:rsidR="00506F71" w:rsidRPr="005F76D9" w:rsidRDefault="00506F71" w:rsidP="00246245">
            <w:pPr>
              <w:pStyle w:val="Tabletext1"/>
              <w:ind w:left="0"/>
              <w:rPr>
                <w:rFonts w:cs="Calibri"/>
                <w:color w:val="000000"/>
              </w:rPr>
            </w:pPr>
            <w:r w:rsidRPr="005364D4">
              <w:t>1.4804</w:t>
            </w:r>
          </w:p>
        </w:tc>
        <w:tc>
          <w:tcPr>
            <w:tcW w:w="550" w:type="pct"/>
            <w:noWrap/>
            <w:hideMark/>
          </w:tcPr>
          <w:p w14:paraId="704B5125" w14:textId="4C417D76" w:rsidR="00506F71" w:rsidRPr="005F76D9" w:rsidRDefault="00506F71" w:rsidP="00246245">
            <w:pPr>
              <w:pStyle w:val="Tabletext1"/>
              <w:ind w:left="0"/>
              <w:rPr>
                <w:rFonts w:cs="Calibri"/>
                <w:color w:val="000000"/>
              </w:rPr>
            </w:pPr>
            <w:r w:rsidRPr="005364D4">
              <w:t>$85,909</w:t>
            </w:r>
          </w:p>
        </w:tc>
        <w:tc>
          <w:tcPr>
            <w:tcW w:w="522" w:type="pct"/>
            <w:noWrap/>
            <w:hideMark/>
          </w:tcPr>
          <w:p w14:paraId="1474E5C4" w14:textId="7C4E19F4" w:rsidR="00506F71" w:rsidRPr="005F76D9" w:rsidRDefault="00506F71" w:rsidP="00246245">
            <w:pPr>
              <w:pStyle w:val="Tabletext1"/>
              <w:ind w:left="0"/>
              <w:rPr>
                <w:rFonts w:cs="Calibri"/>
                <w:color w:val="000000"/>
              </w:rPr>
            </w:pPr>
            <w:r w:rsidRPr="005364D4">
              <w:t>-26%</w:t>
            </w:r>
          </w:p>
        </w:tc>
      </w:tr>
      <w:tr w:rsidR="00506F71" w:rsidRPr="005F76D9" w14:paraId="68FCBF91" w14:textId="77777777" w:rsidTr="00246245">
        <w:trPr>
          <w:trHeight w:val="255"/>
        </w:trPr>
        <w:tc>
          <w:tcPr>
            <w:tcW w:w="2906" w:type="pct"/>
            <w:noWrap/>
            <w:hideMark/>
          </w:tcPr>
          <w:p w14:paraId="700B3AD8" w14:textId="77777777" w:rsidR="00506F71" w:rsidRPr="005F76D9" w:rsidRDefault="00506F71" w:rsidP="00246245">
            <w:pPr>
              <w:pStyle w:val="Tabletext1"/>
              <w:ind w:left="0"/>
              <w:rPr>
                <w:rFonts w:cs="Calibri"/>
                <w:color w:val="000000"/>
              </w:rPr>
            </w:pPr>
            <w:r w:rsidRPr="005F76D9">
              <w:rPr>
                <w:rFonts w:cs="Calibri"/>
                <w:color w:val="000000"/>
              </w:rPr>
              <w:t>1.93%</w:t>
            </w:r>
          </w:p>
        </w:tc>
        <w:tc>
          <w:tcPr>
            <w:tcW w:w="550" w:type="pct"/>
            <w:noWrap/>
            <w:hideMark/>
          </w:tcPr>
          <w:p w14:paraId="79DD759D" w14:textId="3E94B564" w:rsidR="00506F71" w:rsidRPr="005F76D9" w:rsidRDefault="00506F71" w:rsidP="00246245">
            <w:pPr>
              <w:pStyle w:val="Tabletext1"/>
              <w:ind w:left="0"/>
              <w:rPr>
                <w:rFonts w:cs="Calibri"/>
                <w:color w:val="000000"/>
              </w:rPr>
            </w:pPr>
            <w:r w:rsidRPr="005364D4">
              <w:t>$132,908</w:t>
            </w:r>
          </w:p>
        </w:tc>
        <w:tc>
          <w:tcPr>
            <w:tcW w:w="472" w:type="pct"/>
            <w:noWrap/>
            <w:hideMark/>
          </w:tcPr>
          <w:p w14:paraId="3FF5FFB2" w14:textId="0CECC315" w:rsidR="00506F71" w:rsidRPr="005F76D9" w:rsidRDefault="00506F71" w:rsidP="00246245">
            <w:pPr>
              <w:pStyle w:val="Tabletext1"/>
              <w:ind w:left="0"/>
              <w:rPr>
                <w:rFonts w:cs="Calibri"/>
                <w:color w:val="000000"/>
              </w:rPr>
            </w:pPr>
            <w:r w:rsidRPr="005364D4">
              <w:t>1.3236</w:t>
            </w:r>
          </w:p>
        </w:tc>
        <w:tc>
          <w:tcPr>
            <w:tcW w:w="550" w:type="pct"/>
            <w:noWrap/>
            <w:hideMark/>
          </w:tcPr>
          <w:p w14:paraId="5B5F2CA6" w14:textId="38AE2FF0" w:rsidR="00506F71" w:rsidRPr="005F76D9" w:rsidRDefault="00506F71" w:rsidP="00246245">
            <w:pPr>
              <w:pStyle w:val="Tabletext1"/>
              <w:ind w:left="0"/>
              <w:rPr>
                <w:rFonts w:cs="Calibri"/>
                <w:color w:val="000000"/>
              </w:rPr>
            </w:pPr>
            <w:r w:rsidRPr="005364D4">
              <w:t>$100,414</w:t>
            </w:r>
          </w:p>
        </w:tc>
        <w:tc>
          <w:tcPr>
            <w:tcW w:w="522" w:type="pct"/>
            <w:noWrap/>
            <w:hideMark/>
          </w:tcPr>
          <w:p w14:paraId="6D40C61A" w14:textId="22395F9F" w:rsidR="00506F71" w:rsidRPr="005F76D9" w:rsidRDefault="00506F71" w:rsidP="00246245">
            <w:pPr>
              <w:pStyle w:val="Tabletext1"/>
              <w:ind w:left="0"/>
              <w:rPr>
                <w:rFonts w:cs="Calibri"/>
                <w:color w:val="000000"/>
              </w:rPr>
            </w:pPr>
            <w:r w:rsidRPr="005364D4">
              <w:t>-14%</w:t>
            </w:r>
          </w:p>
        </w:tc>
      </w:tr>
      <w:tr w:rsidR="00506F71" w:rsidRPr="005F76D9" w14:paraId="0465AD0C" w14:textId="77777777" w:rsidTr="00246245">
        <w:trPr>
          <w:trHeight w:val="255"/>
        </w:trPr>
        <w:tc>
          <w:tcPr>
            <w:tcW w:w="2906" w:type="pct"/>
            <w:tcBorders>
              <w:bottom w:val="single" w:sz="4" w:space="0" w:color="auto"/>
            </w:tcBorders>
            <w:noWrap/>
            <w:hideMark/>
          </w:tcPr>
          <w:p w14:paraId="434DFBB6" w14:textId="77777777" w:rsidR="00506F71" w:rsidRPr="005F76D9" w:rsidRDefault="00506F71" w:rsidP="00246245">
            <w:pPr>
              <w:pStyle w:val="Tabletext1"/>
              <w:ind w:left="0"/>
              <w:rPr>
                <w:rFonts w:cs="Calibri"/>
                <w:color w:val="000000"/>
              </w:rPr>
            </w:pPr>
            <w:r w:rsidRPr="005F76D9">
              <w:rPr>
                <w:rFonts w:cs="Calibri"/>
                <w:color w:val="000000"/>
              </w:rPr>
              <w:t>5.78%</w:t>
            </w:r>
          </w:p>
        </w:tc>
        <w:tc>
          <w:tcPr>
            <w:tcW w:w="550" w:type="pct"/>
            <w:tcBorders>
              <w:bottom w:val="single" w:sz="4" w:space="0" w:color="auto"/>
            </w:tcBorders>
            <w:noWrap/>
            <w:hideMark/>
          </w:tcPr>
          <w:p w14:paraId="21BE4D63" w14:textId="037BBF52" w:rsidR="00506F71" w:rsidRPr="005F76D9" w:rsidRDefault="00506F71" w:rsidP="00246245">
            <w:pPr>
              <w:pStyle w:val="Tabletext1"/>
              <w:ind w:left="0"/>
              <w:rPr>
                <w:rFonts w:cs="Calibri"/>
                <w:color w:val="000000"/>
              </w:rPr>
            </w:pPr>
            <w:r w:rsidRPr="005364D4">
              <w:t>$140,060</w:t>
            </w:r>
          </w:p>
        </w:tc>
        <w:tc>
          <w:tcPr>
            <w:tcW w:w="472" w:type="pct"/>
            <w:tcBorders>
              <w:bottom w:val="single" w:sz="4" w:space="0" w:color="auto"/>
            </w:tcBorders>
            <w:noWrap/>
            <w:hideMark/>
          </w:tcPr>
          <w:p w14:paraId="1CAB8165" w14:textId="4226FF67" w:rsidR="00506F71" w:rsidRPr="005F76D9" w:rsidRDefault="00506F71" w:rsidP="00246245">
            <w:pPr>
              <w:pStyle w:val="Tabletext1"/>
              <w:ind w:left="0"/>
              <w:rPr>
                <w:rFonts w:cs="Calibri"/>
                <w:color w:val="000000"/>
              </w:rPr>
            </w:pPr>
            <w:r w:rsidRPr="005364D4">
              <w:t>1.0883</w:t>
            </w:r>
          </w:p>
        </w:tc>
        <w:tc>
          <w:tcPr>
            <w:tcW w:w="550" w:type="pct"/>
            <w:tcBorders>
              <w:bottom w:val="single" w:sz="4" w:space="0" w:color="auto"/>
            </w:tcBorders>
            <w:noWrap/>
            <w:hideMark/>
          </w:tcPr>
          <w:p w14:paraId="7A8FBC88" w14:textId="204E7198" w:rsidR="00506F71" w:rsidRPr="005F76D9" w:rsidRDefault="00506F71" w:rsidP="00246245">
            <w:pPr>
              <w:pStyle w:val="Tabletext1"/>
              <w:ind w:left="0"/>
              <w:rPr>
                <w:rFonts w:cs="Calibri"/>
                <w:color w:val="000000"/>
              </w:rPr>
            </w:pPr>
            <w:r w:rsidRPr="005364D4">
              <w:t>$128,696</w:t>
            </w:r>
          </w:p>
        </w:tc>
        <w:tc>
          <w:tcPr>
            <w:tcW w:w="522" w:type="pct"/>
            <w:tcBorders>
              <w:bottom w:val="single" w:sz="4" w:space="0" w:color="auto"/>
            </w:tcBorders>
            <w:noWrap/>
            <w:hideMark/>
          </w:tcPr>
          <w:p w14:paraId="77409A20" w14:textId="542CE6AD" w:rsidR="00506F71" w:rsidRPr="005F76D9" w:rsidRDefault="00506F71" w:rsidP="00246245">
            <w:pPr>
              <w:pStyle w:val="Tabletext1"/>
              <w:ind w:left="0"/>
              <w:rPr>
                <w:rFonts w:cs="Calibri"/>
                <w:color w:val="000000"/>
              </w:rPr>
            </w:pPr>
            <w:r w:rsidRPr="005364D4">
              <w:t>11%</w:t>
            </w:r>
          </w:p>
        </w:tc>
      </w:tr>
      <w:tr w:rsidR="00506F71" w:rsidRPr="005F76D9" w14:paraId="6960F241" w14:textId="77777777" w:rsidTr="00246245">
        <w:trPr>
          <w:trHeight w:val="255"/>
        </w:trPr>
        <w:tc>
          <w:tcPr>
            <w:tcW w:w="2906" w:type="pct"/>
            <w:tcBorders>
              <w:right w:val="nil"/>
            </w:tcBorders>
            <w:noWrap/>
            <w:hideMark/>
          </w:tcPr>
          <w:p w14:paraId="4BAC5CBB" w14:textId="77777777" w:rsidR="00506F71" w:rsidRPr="00246245" w:rsidRDefault="00506F71" w:rsidP="00246245">
            <w:pPr>
              <w:pStyle w:val="Tabletext1"/>
              <w:ind w:left="0"/>
              <w:rPr>
                <w:rFonts w:cs="Calibri"/>
                <w:b/>
                <w:color w:val="000000"/>
              </w:rPr>
            </w:pPr>
            <w:r w:rsidRPr="00246245">
              <w:rPr>
                <w:rFonts w:cs="Calibri"/>
                <w:b/>
                <w:color w:val="000000"/>
              </w:rPr>
              <w:t>Relative risk of death with steroids use (base case: RR = 1.2)</w:t>
            </w:r>
          </w:p>
        </w:tc>
        <w:tc>
          <w:tcPr>
            <w:tcW w:w="550" w:type="pct"/>
            <w:tcBorders>
              <w:left w:val="nil"/>
              <w:right w:val="nil"/>
            </w:tcBorders>
            <w:noWrap/>
            <w:hideMark/>
          </w:tcPr>
          <w:p w14:paraId="2E6E54B1"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59B3CD36" w14:textId="77777777" w:rsidR="00506F71" w:rsidRPr="005F76D9" w:rsidRDefault="00506F71" w:rsidP="00246245">
            <w:pPr>
              <w:pStyle w:val="Tabletext1"/>
              <w:ind w:left="0"/>
            </w:pPr>
          </w:p>
        </w:tc>
        <w:tc>
          <w:tcPr>
            <w:tcW w:w="550" w:type="pct"/>
            <w:tcBorders>
              <w:left w:val="nil"/>
              <w:right w:val="nil"/>
            </w:tcBorders>
            <w:noWrap/>
            <w:hideMark/>
          </w:tcPr>
          <w:p w14:paraId="61D47252" w14:textId="77777777" w:rsidR="00506F71" w:rsidRPr="005F76D9" w:rsidRDefault="00506F71" w:rsidP="00246245">
            <w:pPr>
              <w:pStyle w:val="Tabletext1"/>
              <w:ind w:left="0"/>
            </w:pPr>
          </w:p>
        </w:tc>
        <w:tc>
          <w:tcPr>
            <w:tcW w:w="522" w:type="pct"/>
            <w:tcBorders>
              <w:left w:val="nil"/>
            </w:tcBorders>
            <w:noWrap/>
            <w:hideMark/>
          </w:tcPr>
          <w:p w14:paraId="2E32AE99" w14:textId="599A5C7A" w:rsidR="00506F71" w:rsidRPr="005F76D9" w:rsidRDefault="00506F71" w:rsidP="00246245">
            <w:pPr>
              <w:pStyle w:val="Tabletext1"/>
              <w:ind w:left="0"/>
              <w:rPr>
                <w:rFonts w:cs="Calibri"/>
                <w:color w:val="000000"/>
              </w:rPr>
            </w:pPr>
          </w:p>
        </w:tc>
      </w:tr>
      <w:tr w:rsidR="00506F71" w:rsidRPr="005F76D9" w14:paraId="5A3BB0C7" w14:textId="77777777" w:rsidTr="00246245">
        <w:trPr>
          <w:trHeight w:val="255"/>
        </w:trPr>
        <w:tc>
          <w:tcPr>
            <w:tcW w:w="2906" w:type="pct"/>
            <w:tcBorders>
              <w:bottom w:val="single" w:sz="4" w:space="0" w:color="auto"/>
            </w:tcBorders>
            <w:noWrap/>
            <w:hideMark/>
          </w:tcPr>
          <w:p w14:paraId="473A9D2D" w14:textId="77777777" w:rsidR="00506F71" w:rsidRPr="005F76D9" w:rsidRDefault="00506F71" w:rsidP="00246245">
            <w:pPr>
              <w:pStyle w:val="Tabletext1"/>
              <w:ind w:left="0"/>
              <w:rPr>
                <w:rFonts w:cs="Calibri"/>
                <w:color w:val="000000"/>
              </w:rPr>
            </w:pPr>
            <w:r w:rsidRPr="005F76D9">
              <w:rPr>
                <w:rFonts w:cs="Calibri"/>
                <w:color w:val="000000"/>
              </w:rPr>
              <w:t>No excess risk with steroids use, RR = 1</w:t>
            </w:r>
          </w:p>
        </w:tc>
        <w:tc>
          <w:tcPr>
            <w:tcW w:w="550" w:type="pct"/>
            <w:tcBorders>
              <w:bottom w:val="single" w:sz="4" w:space="0" w:color="auto"/>
            </w:tcBorders>
            <w:noWrap/>
            <w:hideMark/>
          </w:tcPr>
          <w:p w14:paraId="2EACA0F7" w14:textId="0C71FFB2" w:rsidR="00506F71" w:rsidRPr="005F76D9" w:rsidRDefault="00506F71" w:rsidP="00246245">
            <w:pPr>
              <w:pStyle w:val="Tabletext1"/>
              <w:ind w:left="0"/>
              <w:rPr>
                <w:rFonts w:cs="Calibri"/>
                <w:color w:val="000000"/>
              </w:rPr>
            </w:pPr>
            <w:r w:rsidRPr="005364D4">
              <w:t>$137,273</w:t>
            </w:r>
          </w:p>
        </w:tc>
        <w:tc>
          <w:tcPr>
            <w:tcW w:w="472" w:type="pct"/>
            <w:tcBorders>
              <w:bottom w:val="single" w:sz="4" w:space="0" w:color="auto"/>
            </w:tcBorders>
            <w:noWrap/>
            <w:hideMark/>
          </w:tcPr>
          <w:p w14:paraId="2FA7E080" w14:textId="7EBDC0C2" w:rsidR="00506F71" w:rsidRPr="005F76D9" w:rsidRDefault="00506F71" w:rsidP="00246245">
            <w:pPr>
              <w:pStyle w:val="Tabletext1"/>
              <w:ind w:left="0"/>
              <w:rPr>
                <w:rFonts w:cs="Calibri"/>
                <w:color w:val="000000"/>
              </w:rPr>
            </w:pPr>
            <w:r w:rsidRPr="005364D4">
              <w:t>1.1474</w:t>
            </w:r>
          </w:p>
        </w:tc>
        <w:tc>
          <w:tcPr>
            <w:tcW w:w="550" w:type="pct"/>
            <w:tcBorders>
              <w:bottom w:val="single" w:sz="4" w:space="0" w:color="auto"/>
            </w:tcBorders>
            <w:noWrap/>
            <w:hideMark/>
          </w:tcPr>
          <w:p w14:paraId="565C4DE3" w14:textId="10925DA6" w:rsidR="00506F71" w:rsidRPr="005F76D9" w:rsidRDefault="00506F71" w:rsidP="00246245">
            <w:pPr>
              <w:pStyle w:val="Tabletext1"/>
              <w:ind w:left="0"/>
              <w:rPr>
                <w:rFonts w:cs="Calibri"/>
                <w:color w:val="000000"/>
              </w:rPr>
            </w:pPr>
            <w:r w:rsidRPr="005364D4">
              <w:t>$119,641</w:t>
            </w:r>
          </w:p>
        </w:tc>
        <w:tc>
          <w:tcPr>
            <w:tcW w:w="522" w:type="pct"/>
            <w:tcBorders>
              <w:bottom w:val="single" w:sz="4" w:space="0" w:color="auto"/>
            </w:tcBorders>
            <w:noWrap/>
            <w:hideMark/>
          </w:tcPr>
          <w:p w14:paraId="2E24F0EE" w14:textId="0308B5DF" w:rsidR="00506F71" w:rsidRPr="005F76D9" w:rsidRDefault="00506F71" w:rsidP="00246245">
            <w:pPr>
              <w:pStyle w:val="Tabletext1"/>
              <w:ind w:left="0"/>
              <w:rPr>
                <w:rFonts w:cs="Calibri"/>
                <w:color w:val="000000"/>
              </w:rPr>
            </w:pPr>
            <w:r w:rsidRPr="005364D4">
              <w:t>3%</w:t>
            </w:r>
          </w:p>
        </w:tc>
      </w:tr>
      <w:tr w:rsidR="00506F71" w:rsidRPr="005F76D9" w14:paraId="6D57EC81" w14:textId="77777777" w:rsidTr="00246245">
        <w:trPr>
          <w:trHeight w:val="255"/>
        </w:trPr>
        <w:tc>
          <w:tcPr>
            <w:tcW w:w="2906" w:type="pct"/>
            <w:tcBorders>
              <w:right w:val="nil"/>
            </w:tcBorders>
            <w:noWrap/>
            <w:hideMark/>
          </w:tcPr>
          <w:p w14:paraId="3EF9A5B9" w14:textId="77F04661" w:rsidR="00506F71" w:rsidRPr="005F76D9" w:rsidRDefault="00B7481C" w:rsidP="00246245">
            <w:pPr>
              <w:pStyle w:val="Tabletext1"/>
              <w:ind w:left="0"/>
              <w:rPr>
                <w:rFonts w:cs="Calibri"/>
                <w:color w:val="000000"/>
              </w:rPr>
            </w:pPr>
            <w:r>
              <w:rPr>
                <w:rFonts w:cs="Calibri"/>
                <w:color w:val="000000"/>
              </w:rPr>
              <w:t>Induction phase loading treatment</w:t>
            </w:r>
            <w:r w:rsidR="00506F71" w:rsidRPr="005F76D9">
              <w:rPr>
                <w:rFonts w:cs="Calibri"/>
                <w:color w:val="000000"/>
              </w:rPr>
              <w:t xml:space="preserve"> episodes (base case: 5)</w:t>
            </w:r>
          </w:p>
        </w:tc>
        <w:tc>
          <w:tcPr>
            <w:tcW w:w="550" w:type="pct"/>
            <w:tcBorders>
              <w:left w:val="nil"/>
              <w:right w:val="nil"/>
            </w:tcBorders>
            <w:noWrap/>
            <w:hideMark/>
          </w:tcPr>
          <w:p w14:paraId="0A578579" w14:textId="77777777" w:rsidR="00506F71" w:rsidRPr="005F76D9" w:rsidRDefault="00506F71" w:rsidP="00246245">
            <w:pPr>
              <w:pStyle w:val="Tabletext1"/>
              <w:ind w:left="0"/>
              <w:rPr>
                <w:rFonts w:cs="Calibri"/>
                <w:color w:val="000000"/>
              </w:rPr>
            </w:pPr>
          </w:p>
        </w:tc>
        <w:tc>
          <w:tcPr>
            <w:tcW w:w="472" w:type="pct"/>
            <w:tcBorders>
              <w:left w:val="nil"/>
              <w:right w:val="nil"/>
            </w:tcBorders>
            <w:noWrap/>
            <w:hideMark/>
          </w:tcPr>
          <w:p w14:paraId="5AA82F93" w14:textId="77777777" w:rsidR="00506F71" w:rsidRPr="005F76D9" w:rsidRDefault="00506F71" w:rsidP="00246245">
            <w:pPr>
              <w:pStyle w:val="Tabletext1"/>
              <w:ind w:left="0"/>
            </w:pPr>
          </w:p>
        </w:tc>
        <w:tc>
          <w:tcPr>
            <w:tcW w:w="550" w:type="pct"/>
            <w:tcBorders>
              <w:left w:val="nil"/>
              <w:right w:val="nil"/>
            </w:tcBorders>
            <w:noWrap/>
            <w:hideMark/>
          </w:tcPr>
          <w:p w14:paraId="0135F239" w14:textId="77777777" w:rsidR="00506F71" w:rsidRPr="005F76D9" w:rsidRDefault="00506F71" w:rsidP="00246245">
            <w:pPr>
              <w:pStyle w:val="Tabletext1"/>
              <w:ind w:left="0"/>
            </w:pPr>
          </w:p>
        </w:tc>
        <w:tc>
          <w:tcPr>
            <w:tcW w:w="522" w:type="pct"/>
            <w:tcBorders>
              <w:left w:val="nil"/>
            </w:tcBorders>
            <w:noWrap/>
            <w:hideMark/>
          </w:tcPr>
          <w:p w14:paraId="0D9A23B1" w14:textId="0035E077" w:rsidR="00506F71" w:rsidRPr="005F76D9" w:rsidRDefault="00506F71" w:rsidP="00246245">
            <w:pPr>
              <w:pStyle w:val="Tabletext1"/>
              <w:ind w:left="0"/>
              <w:rPr>
                <w:rFonts w:cs="Calibri"/>
                <w:color w:val="000000"/>
              </w:rPr>
            </w:pPr>
          </w:p>
        </w:tc>
      </w:tr>
      <w:tr w:rsidR="00B565B4" w:rsidRPr="005F76D9" w14:paraId="0411D412" w14:textId="77777777" w:rsidTr="00246245">
        <w:trPr>
          <w:trHeight w:val="255"/>
        </w:trPr>
        <w:tc>
          <w:tcPr>
            <w:tcW w:w="2906" w:type="pct"/>
            <w:tcBorders>
              <w:bottom w:val="single" w:sz="4" w:space="0" w:color="auto"/>
            </w:tcBorders>
            <w:noWrap/>
            <w:hideMark/>
          </w:tcPr>
          <w:p w14:paraId="611906D6" w14:textId="77777777" w:rsidR="00B565B4" w:rsidRPr="005F76D9" w:rsidRDefault="00B565B4" w:rsidP="00246245">
            <w:pPr>
              <w:pStyle w:val="Tabletext1"/>
              <w:ind w:left="0"/>
              <w:rPr>
                <w:rFonts w:cs="Calibri"/>
                <w:color w:val="000000"/>
              </w:rPr>
            </w:pPr>
            <w:r w:rsidRPr="005F76D9">
              <w:rPr>
                <w:rFonts w:cs="Calibri"/>
                <w:color w:val="000000"/>
              </w:rPr>
              <w:t>7</w:t>
            </w:r>
          </w:p>
        </w:tc>
        <w:tc>
          <w:tcPr>
            <w:tcW w:w="550" w:type="pct"/>
            <w:tcBorders>
              <w:bottom w:val="single" w:sz="4" w:space="0" w:color="auto"/>
            </w:tcBorders>
            <w:noWrap/>
            <w:hideMark/>
          </w:tcPr>
          <w:p w14:paraId="18282C9E" w14:textId="766F3FC4" w:rsidR="00B565B4" w:rsidRPr="005F76D9" w:rsidRDefault="00B565B4" w:rsidP="00246245">
            <w:pPr>
              <w:pStyle w:val="Tabletext1"/>
              <w:ind w:left="0"/>
              <w:rPr>
                <w:rFonts w:cs="Calibri"/>
                <w:color w:val="000000"/>
              </w:rPr>
            </w:pPr>
            <w:r w:rsidRPr="000F4D40">
              <w:t>$136,003</w:t>
            </w:r>
          </w:p>
        </w:tc>
        <w:tc>
          <w:tcPr>
            <w:tcW w:w="472" w:type="pct"/>
            <w:tcBorders>
              <w:bottom w:val="single" w:sz="4" w:space="0" w:color="auto"/>
            </w:tcBorders>
            <w:noWrap/>
            <w:hideMark/>
          </w:tcPr>
          <w:p w14:paraId="584459F3" w14:textId="24EE3D9D" w:rsidR="00B565B4" w:rsidRPr="005F76D9" w:rsidRDefault="00B565B4" w:rsidP="00246245">
            <w:pPr>
              <w:pStyle w:val="Tabletext1"/>
              <w:ind w:left="0"/>
              <w:rPr>
                <w:rFonts w:cs="Calibri"/>
                <w:color w:val="000000"/>
              </w:rPr>
            </w:pPr>
            <w:r w:rsidRPr="000F4D40">
              <w:t>1.1851</w:t>
            </w:r>
          </w:p>
        </w:tc>
        <w:tc>
          <w:tcPr>
            <w:tcW w:w="550" w:type="pct"/>
            <w:tcBorders>
              <w:bottom w:val="single" w:sz="4" w:space="0" w:color="auto"/>
            </w:tcBorders>
            <w:noWrap/>
            <w:hideMark/>
          </w:tcPr>
          <w:p w14:paraId="513BB417" w14:textId="62BE69CE" w:rsidR="00B565B4" w:rsidRPr="005F76D9" w:rsidRDefault="00B565B4" w:rsidP="00246245">
            <w:pPr>
              <w:pStyle w:val="Tabletext1"/>
              <w:ind w:left="0"/>
              <w:rPr>
                <w:rFonts w:cs="Calibri"/>
                <w:color w:val="000000"/>
              </w:rPr>
            </w:pPr>
            <w:r w:rsidRPr="000F4D40">
              <w:t>$114,762</w:t>
            </w:r>
          </w:p>
        </w:tc>
        <w:tc>
          <w:tcPr>
            <w:tcW w:w="522" w:type="pct"/>
            <w:tcBorders>
              <w:bottom w:val="single" w:sz="4" w:space="0" w:color="auto"/>
            </w:tcBorders>
            <w:noWrap/>
            <w:hideMark/>
          </w:tcPr>
          <w:p w14:paraId="7A78B702" w14:textId="3DEDDF66" w:rsidR="00B565B4" w:rsidRPr="005F76D9" w:rsidRDefault="00B565B4" w:rsidP="00246245">
            <w:pPr>
              <w:pStyle w:val="Tabletext1"/>
              <w:ind w:left="0"/>
              <w:rPr>
                <w:rFonts w:cs="Calibri"/>
                <w:color w:val="000000"/>
              </w:rPr>
            </w:pPr>
            <w:r w:rsidRPr="000F4D40">
              <w:t>-1%</w:t>
            </w:r>
          </w:p>
        </w:tc>
      </w:tr>
      <w:tr w:rsidR="00246245" w:rsidRPr="005F76D9" w14:paraId="5EF2EE75" w14:textId="77777777" w:rsidTr="00246245">
        <w:trPr>
          <w:trHeight w:val="255"/>
        </w:trPr>
        <w:tc>
          <w:tcPr>
            <w:tcW w:w="2906" w:type="pct"/>
            <w:tcBorders>
              <w:bottom w:val="single" w:sz="4" w:space="0" w:color="auto"/>
              <w:right w:val="nil"/>
            </w:tcBorders>
            <w:noWrap/>
          </w:tcPr>
          <w:p w14:paraId="2D308F7E" w14:textId="25588178" w:rsidR="00246245" w:rsidRPr="00246245" w:rsidRDefault="00246245" w:rsidP="00246245">
            <w:pPr>
              <w:pStyle w:val="Tabletext1"/>
              <w:ind w:left="0"/>
              <w:rPr>
                <w:rFonts w:cs="Calibri"/>
                <w:b/>
                <w:color w:val="000000"/>
              </w:rPr>
            </w:pPr>
            <w:r w:rsidRPr="00246245">
              <w:rPr>
                <w:b/>
              </w:rPr>
              <w:t>AE associated with chronic use of steroids based on cumulative dose (base case: 0.003 and 0.004)</w:t>
            </w:r>
          </w:p>
        </w:tc>
        <w:tc>
          <w:tcPr>
            <w:tcW w:w="550" w:type="pct"/>
            <w:tcBorders>
              <w:left w:val="nil"/>
              <w:bottom w:val="single" w:sz="4" w:space="0" w:color="auto"/>
              <w:right w:val="nil"/>
            </w:tcBorders>
            <w:noWrap/>
          </w:tcPr>
          <w:p w14:paraId="3AFD9AD5" w14:textId="77777777" w:rsidR="00246245" w:rsidRPr="000F4D40" w:rsidRDefault="00246245" w:rsidP="00246245">
            <w:pPr>
              <w:pStyle w:val="Tabletext1"/>
            </w:pPr>
          </w:p>
        </w:tc>
        <w:tc>
          <w:tcPr>
            <w:tcW w:w="472" w:type="pct"/>
            <w:tcBorders>
              <w:left w:val="nil"/>
              <w:bottom w:val="single" w:sz="4" w:space="0" w:color="auto"/>
              <w:right w:val="nil"/>
            </w:tcBorders>
            <w:noWrap/>
          </w:tcPr>
          <w:p w14:paraId="2E29B0DA" w14:textId="77777777" w:rsidR="00246245" w:rsidRPr="000F4D40" w:rsidRDefault="00246245" w:rsidP="00246245">
            <w:pPr>
              <w:pStyle w:val="Tabletext1"/>
            </w:pPr>
          </w:p>
        </w:tc>
        <w:tc>
          <w:tcPr>
            <w:tcW w:w="550" w:type="pct"/>
            <w:tcBorders>
              <w:left w:val="nil"/>
              <w:bottom w:val="single" w:sz="4" w:space="0" w:color="auto"/>
              <w:right w:val="nil"/>
            </w:tcBorders>
            <w:noWrap/>
          </w:tcPr>
          <w:p w14:paraId="10725C03" w14:textId="77777777" w:rsidR="00246245" w:rsidRPr="000F4D40" w:rsidRDefault="00246245" w:rsidP="00246245">
            <w:pPr>
              <w:pStyle w:val="Tabletext1"/>
            </w:pPr>
          </w:p>
        </w:tc>
        <w:tc>
          <w:tcPr>
            <w:tcW w:w="522" w:type="pct"/>
            <w:tcBorders>
              <w:left w:val="nil"/>
              <w:bottom w:val="single" w:sz="4" w:space="0" w:color="auto"/>
            </w:tcBorders>
            <w:noWrap/>
          </w:tcPr>
          <w:p w14:paraId="0E409724" w14:textId="77777777" w:rsidR="00246245" w:rsidRPr="000F4D40" w:rsidRDefault="00246245" w:rsidP="00246245">
            <w:pPr>
              <w:pStyle w:val="Tabletext1"/>
            </w:pPr>
          </w:p>
        </w:tc>
      </w:tr>
      <w:tr w:rsidR="00246245" w:rsidRPr="005F76D9" w14:paraId="1DCE2131" w14:textId="77777777" w:rsidTr="00246245">
        <w:trPr>
          <w:trHeight w:val="255"/>
        </w:trPr>
        <w:tc>
          <w:tcPr>
            <w:tcW w:w="2906" w:type="pct"/>
            <w:tcBorders>
              <w:bottom w:val="single" w:sz="4" w:space="0" w:color="auto"/>
            </w:tcBorders>
            <w:noWrap/>
          </w:tcPr>
          <w:p w14:paraId="7556EDE5" w14:textId="4F6BAADD" w:rsidR="00246245" w:rsidRPr="005F76D9" w:rsidRDefault="00246245" w:rsidP="00246245">
            <w:pPr>
              <w:pStyle w:val="Tabletext1"/>
              <w:ind w:left="0"/>
              <w:rPr>
                <w:rFonts w:cs="Calibri"/>
                <w:color w:val="000000"/>
              </w:rPr>
            </w:pPr>
            <w:r w:rsidRPr="00B250FA">
              <w:t xml:space="preserve">No excess risk of AE based on higher cumulative doses of steroids </w:t>
            </w:r>
          </w:p>
        </w:tc>
        <w:tc>
          <w:tcPr>
            <w:tcW w:w="550" w:type="pct"/>
            <w:tcBorders>
              <w:bottom w:val="single" w:sz="4" w:space="0" w:color="auto"/>
            </w:tcBorders>
            <w:noWrap/>
          </w:tcPr>
          <w:p w14:paraId="22F1515F" w14:textId="1E540503" w:rsidR="00246245" w:rsidRPr="000F4D40" w:rsidRDefault="00246245" w:rsidP="00246245">
            <w:pPr>
              <w:pStyle w:val="Tabletext1"/>
              <w:ind w:left="0"/>
              <w:jc w:val="right"/>
            </w:pPr>
            <w:r w:rsidRPr="007E7EEC">
              <w:t>$134,919</w:t>
            </w:r>
          </w:p>
        </w:tc>
        <w:tc>
          <w:tcPr>
            <w:tcW w:w="472" w:type="pct"/>
            <w:tcBorders>
              <w:bottom w:val="single" w:sz="4" w:space="0" w:color="auto"/>
            </w:tcBorders>
            <w:noWrap/>
          </w:tcPr>
          <w:p w14:paraId="1ECB61A3" w14:textId="18510F78" w:rsidR="00246245" w:rsidRPr="000F4D40" w:rsidRDefault="00246245" w:rsidP="00246245">
            <w:pPr>
              <w:pStyle w:val="Tabletext1"/>
              <w:ind w:left="0"/>
              <w:jc w:val="right"/>
            </w:pPr>
            <w:r w:rsidRPr="007E7EEC">
              <w:t>1.0592</w:t>
            </w:r>
          </w:p>
        </w:tc>
        <w:tc>
          <w:tcPr>
            <w:tcW w:w="550" w:type="pct"/>
            <w:tcBorders>
              <w:bottom w:val="single" w:sz="4" w:space="0" w:color="auto"/>
            </w:tcBorders>
            <w:noWrap/>
          </w:tcPr>
          <w:p w14:paraId="7B6D5F8F" w14:textId="78CB3E17" w:rsidR="00246245" w:rsidRPr="000F4D40" w:rsidRDefault="00246245" w:rsidP="00246245">
            <w:pPr>
              <w:pStyle w:val="Tabletext1"/>
              <w:ind w:left="0"/>
              <w:jc w:val="right"/>
            </w:pPr>
            <w:r w:rsidRPr="007E7EEC">
              <w:t>$127,378</w:t>
            </w:r>
          </w:p>
        </w:tc>
        <w:tc>
          <w:tcPr>
            <w:tcW w:w="522" w:type="pct"/>
            <w:tcBorders>
              <w:bottom w:val="single" w:sz="4" w:space="0" w:color="auto"/>
            </w:tcBorders>
            <w:noWrap/>
          </w:tcPr>
          <w:p w14:paraId="2DF7FDBE" w14:textId="2819EDD8" w:rsidR="00246245" w:rsidRPr="000F4D40" w:rsidRDefault="00246245" w:rsidP="00246245">
            <w:pPr>
              <w:pStyle w:val="Tabletext1"/>
              <w:ind w:left="0"/>
              <w:jc w:val="right"/>
            </w:pPr>
            <w:r w:rsidRPr="007E7EEC">
              <w:t>10%</w:t>
            </w:r>
          </w:p>
        </w:tc>
      </w:tr>
      <w:tr w:rsidR="00B565B4" w:rsidRPr="005F76D9" w14:paraId="362ECA6B" w14:textId="77777777" w:rsidTr="00246245">
        <w:trPr>
          <w:trHeight w:val="255"/>
        </w:trPr>
        <w:tc>
          <w:tcPr>
            <w:tcW w:w="2906" w:type="pct"/>
            <w:tcBorders>
              <w:right w:val="nil"/>
            </w:tcBorders>
            <w:noWrap/>
            <w:hideMark/>
          </w:tcPr>
          <w:p w14:paraId="3B017242" w14:textId="77777777" w:rsidR="00B565B4" w:rsidRPr="005F76D9" w:rsidRDefault="00B565B4" w:rsidP="00246245">
            <w:pPr>
              <w:pStyle w:val="Tabletext1"/>
              <w:ind w:left="0"/>
              <w:rPr>
                <w:rFonts w:cs="Calibri"/>
                <w:b/>
                <w:bCs/>
                <w:color w:val="000000"/>
              </w:rPr>
            </w:pPr>
            <w:r w:rsidRPr="005F76D9">
              <w:rPr>
                <w:rFonts w:cs="Calibri"/>
                <w:b/>
                <w:bCs/>
                <w:color w:val="000000"/>
              </w:rPr>
              <w:t>Utility gain/loss with steroids use (base case: –0.003165)</w:t>
            </w:r>
          </w:p>
        </w:tc>
        <w:tc>
          <w:tcPr>
            <w:tcW w:w="550" w:type="pct"/>
            <w:tcBorders>
              <w:left w:val="nil"/>
              <w:right w:val="nil"/>
            </w:tcBorders>
            <w:noWrap/>
            <w:hideMark/>
          </w:tcPr>
          <w:p w14:paraId="41891EE6" w14:textId="69A0248B" w:rsidR="00B565B4" w:rsidRPr="005F76D9" w:rsidRDefault="00B565B4" w:rsidP="00246245">
            <w:pPr>
              <w:pStyle w:val="Tabletext1"/>
              <w:ind w:left="0"/>
              <w:rPr>
                <w:rFonts w:cs="Calibri"/>
                <w:b/>
                <w:bCs/>
                <w:color w:val="000000"/>
              </w:rPr>
            </w:pPr>
          </w:p>
        </w:tc>
        <w:tc>
          <w:tcPr>
            <w:tcW w:w="472" w:type="pct"/>
            <w:tcBorders>
              <w:left w:val="nil"/>
              <w:right w:val="nil"/>
            </w:tcBorders>
            <w:noWrap/>
            <w:hideMark/>
          </w:tcPr>
          <w:p w14:paraId="44733DFD" w14:textId="3FA6D631" w:rsidR="00B565B4" w:rsidRPr="005F76D9" w:rsidRDefault="00B565B4" w:rsidP="00246245">
            <w:pPr>
              <w:pStyle w:val="Tabletext1"/>
              <w:ind w:left="0"/>
            </w:pPr>
          </w:p>
        </w:tc>
        <w:tc>
          <w:tcPr>
            <w:tcW w:w="550" w:type="pct"/>
            <w:tcBorders>
              <w:left w:val="nil"/>
              <w:right w:val="nil"/>
            </w:tcBorders>
            <w:noWrap/>
            <w:hideMark/>
          </w:tcPr>
          <w:p w14:paraId="141DE3FC" w14:textId="7E73ECA4" w:rsidR="00B565B4" w:rsidRPr="005F76D9" w:rsidRDefault="00B565B4" w:rsidP="00246245">
            <w:pPr>
              <w:pStyle w:val="Tabletext1"/>
              <w:ind w:left="0"/>
            </w:pPr>
          </w:p>
        </w:tc>
        <w:tc>
          <w:tcPr>
            <w:tcW w:w="522" w:type="pct"/>
            <w:tcBorders>
              <w:left w:val="nil"/>
            </w:tcBorders>
            <w:noWrap/>
            <w:hideMark/>
          </w:tcPr>
          <w:p w14:paraId="59C0028D" w14:textId="404A3D6C" w:rsidR="00B565B4" w:rsidRPr="005F76D9" w:rsidRDefault="00B565B4" w:rsidP="00246245">
            <w:pPr>
              <w:pStyle w:val="Tabletext1"/>
              <w:ind w:left="0"/>
              <w:rPr>
                <w:rFonts w:cs="Calibri"/>
                <w:color w:val="000000"/>
              </w:rPr>
            </w:pPr>
          </w:p>
        </w:tc>
      </w:tr>
      <w:tr w:rsidR="00B565B4" w:rsidRPr="005F76D9" w14:paraId="40E9A2D4" w14:textId="77777777" w:rsidTr="00246245">
        <w:trPr>
          <w:trHeight w:val="255"/>
        </w:trPr>
        <w:tc>
          <w:tcPr>
            <w:tcW w:w="2906" w:type="pct"/>
            <w:noWrap/>
            <w:hideMark/>
          </w:tcPr>
          <w:p w14:paraId="3C1833A1" w14:textId="77777777" w:rsidR="00B565B4" w:rsidRPr="005F76D9" w:rsidRDefault="00B565B4" w:rsidP="00246245">
            <w:pPr>
              <w:pStyle w:val="Tabletext1"/>
              <w:ind w:left="0"/>
              <w:rPr>
                <w:rFonts w:cs="Calibri"/>
                <w:color w:val="000000"/>
              </w:rPr>
            </w:pPr>
            <w:r w:rsidRPr="005F76D9">
              <w:rPr>
                <w:rFonts w:cs="Calibri"/>
                <w:color w:val="000000"/>
              </w:rPr>
              <w:t>No associated disutility with steroids use</w:t>
            </w:r>
          </w:p>
        </w:tc>
        <w:tc>
          <w:tcPr>
            <w:tcW w:w="550" w:type="pct"/>
            <w:noWrap/>
            <w:hideMark/>
          </w:tcPr>
          <w:p w14:paraId="07816947" w14:textId="7B233D29" w:rsidR="00B565B4" w:rsidRPr="005F76D9" w:rsidRDefault="00B565B4" w:rsidP="00246245">
            <w:pPr>
              <w:pStyle w:val="Tabletext1"/>
              <w:ind w:left="0"/>
              <w:rPr>
                <w:rFonts w:cs="Calibri"/>
                <w:color w:val="000000"/>
              </w:rPr>
            </w:pPr>
            <w:r w:rsidRPr="000F4D40">
              <w:t>$137,443</w:t>
            </w:r>
          </w:p>
        </w:tc>
        <w:tc>
          <w:tcPr>
            <w:tcW w:w="472" w:type="pct"/>
            <w:noWrap/>
            <w:hideMark/>
          </w:tcPr>
          <w:p w14:paraId="0AB08EB4" w14:textId="11EE4170" w:rsidR="00B565B4" w:rsidRPr="005F76D9" w:rsidRDefault="00B565B4" w:rsidP="00246245">
            <w:pPr>
              <w:pStyle w:val="Tabletext1"/>
              <w:ind w:left="0"/>
              <w:rPr>
                <w:rFonts w:cs="Calibri"/>
                <w:color w:val="000000"/>
              </w:rPr>
            </w:pPr>
            <w:r w:rsidRPr="000F4D40">
              <w:t>1.0821</w:t>
            </w:r>
          </w:p>
        </w:tc>
        <w:tc>
          <w:tcPr>
            <w:tcW w:w="550" w:type="pct"/>
            <w:noWrap/>
            <w:hideMark/>
          </w:tcPr>
          <w:p w14:paraId="325F54ED" w14:textId="7C511CC2" w:rsidR="00B565B4" w:rsidRPr="005F76D9" w:rsidRDefault="00B565B4" w:rsidP="00246245">
            <w:pPr>
              <w:pStyle w:val="Tabletext1"/>
              <w:ind w:left="0"/>
              <w:rPr>
                <w:rFonts w:cs="Calibri"/>
                <w:color w:val="000000"/>
              </w:rPr>
            </w:pPr>
            <w:r w:rsidRPr="000F4D40">
              <w:t>$127,014</w:t>
            </w:r>
          </w:p>
        </w:tc>
        <w:tc>
          <w:tcPr>
            <w:tcW w:w="522" w:type="pct"/>
            <w:noWrap/>
            <w:hideMark/>
          </w:tcPr>
          <w:p w14:paraId="0E49D128" w14:textId="4EC92BB9" w:rsidR="00B565B4" w:rsidRPr="005F76D9" w:rsidRDefault="00B565B4" w:rsidP="00246245">
            <w:pPr>
              <w:pStyle w:val="Tabletext1"/>
              <w:ind w:left="0"/>
              <w:rPr>
                <w:rFonts w:cs="Calibri"/>
                <w:color w:val="000000"/>
              </w:rPr>
            </w:pPr>
            <w:r w:rsidRPr="000F4D40">
              <w:t>9%</w:t>
            </w:r>
          </w:p>
        </w:tc>
      </w:tr>
      <w:tr w:rsidR="00B565B4" w:rsidRPr="005F76D9" w14:paraId="7B4AC114" w14:textId="77777777" w:rsidTr="00246245">
        <w:trPr>
          <w:trHeight w:val="255"/>
        </w:trPr>
        <w:tc>
          <w:tcPr>
            <w:tcW w:w="2906" w:type="pct"/>
            <w:noWrap/>
            <w:hideMark/>
          </w:tcPr>
          <w:p w14:paraId="5E187ACD" w14:textId="77777777" w:rsidR="00B565B4" w:rsidRPr="005F76D9" w:rsidRDefault="00B565B4" w:rsidP="00246245">
            <w:pPr>
              <w:pStyle w:val="Tabletext1"/>
              <w:ind w:left="0"/>
              <w:rPr>
                <w:rFonts w:cs="Calibri"/>
                <w:color w:val="000000"/>
              </w:rPr>
            </w:pPr>
            <w:r>
              <w:rPr>
                <w:rFonts w:cs="Calibri"/>
                <w:color w:val="000000"/>
              </w:rPr>
              <w:t>Disutility applied only w</w:t>
            </w:r>
            <w:r w:rsidRPr="005F76D9">
              <w:rPr>
                <w:rFonts w:cs="Calibri"/>
                <w:color w:val="000000"/>
              </w:rPr>
              <w:t>hen on steroids treatment (no disutility applied after stopping treatment)</w:t>
            </w:r>
          </w:p>
        </w:tc>
        <w:tc>
          <w:tcPr>
            <w:tcW w:w="550" w:type="pct"/>
            <w:noWrap/>
            <w:hideMark/>
          </w:tcPr>
          <w:p w14:paraId="6C2BF7DE" w14:textId="735E52E4" w:rsidR="00B565B4" w:rsidRPr="005F76D9" w:rsidRDefault="00B565B4" w:rsidP="00246245">
            <w:pPr>
              <w:pStyle w:val="Tabletext1"/>
              <w:ind w:left="0"/>
              <w:rPr>
                <w:rFonts w:cs="Calibri"/>
                <w:color w:val="000000"/>
              </w:rPr>
            </w:pPr>
            <w:r w:rsidRPr="000F4D40">
              <w:t>$137,443</w:t>
            </w:r>
          </w:p>
        </w:tc>
        <w:tc>
          <w:tcPr>
            <w:tcW w:w="472" w:type="pct"/>
            <w:noWrap/>
            <w:hideMark/>
          </w:tcPr>
          <w:p w14:paraId="6DD0E0FA" w14:textId="613C44E0" w:rsidR="00B565B4" w:rsidRPr="005F76D9" w:rsidRDefault="00B565B4" w:rsidP="00246245">
            <w:pPr>
              <w:pStyle w:val="Tabletext1"/>
              <w:ind w:left="0"/>
              <w:rPr>
                <w:rFonts w:cs="Calibri"/>
                <w:color w:val="000000"/>
              </w:rPr>
            </w:pPr>
            <w:r w:rsidRPr="000F4D40">
              <w:t>1.1557</w:t>
            </w:r>
          </w:p>
        </w:tc>
        <w:tc>
          <w:tcPr>
            <w:tcW w:w="550" w:type="pct"/>
            <w:noWrap/>
            <w:hideMark/>
          </w:tcPr>
          <w:p w14:paraId="0153D53A" w14:textId="745E8FDC" w:rsidR="00B565B4" w:rsidRPr="005F76D9" w:rsidRDefault="00B565B4" w:rsidP="00246245">
            <w:pPr>
              <w:pStyle w:val="Tabletext1"/>
              <w:ind w:left="0"/>
              <w:rPr>
                <w:rFonts w:cs="Calibri"/>
                <w:color w:val="000000"/>
              </w:rPr>
            </w:pPr>
            <w:r w:rsidRPr="000F4D40">
              <w:t>$118,930</w:t>
            </w:r>
          </w:p>
        </w:tc>
        <w:tc>
          <w:tcPr>
            <w:tcW w:w="522" w:type="pct"/>
            <w:noWrap/>
            <w:hideMark/>
          </w:tcPr>
          <w:p w14:paraId="0827D609" w14:textId="2CED165F" w:rsidR="00B565B4" w:rsidRPr="005F76D9" w:rsidRDefault="00B565B4" w:rsidP="00246245">
            <w:pPr>
              <w:pStyle w:val="Tabletext1"/>
              <w:ind w:left="0"/>
              <w:rPr>
                <w:rFonts w:cs="Calibri"/>
                <w:color w:val="000000"/>
              </w:rPr>
            </w:pPr>
            <w:r w:rsidRPr="000F4D40">
              <w:t>2%</w:t>
            </w:r>
          </w:p>
        </w:tc>
      </w:tr>
      <w:tr w:rsidR="00B565B4" w:rsidRPr="005F76D9" w14:paraId="7530E25D" w14:textId="77777777" w:rsidTr="00246245">
        <w:trPr>
          <w:trHeight w:val="255"/>
        </w:trPr>
        <w:tc>
          <w:tcPr>
            <w:tcW w:w="2906" w:type="pct"/>
            <w:noWrap/>
            <w:hideMark/>
          </w:tcPr>
          <w:p w14:paraId="7DDE0F3D" w14:textId="77777777" w:rsidR="00B565B4" w:rsidRPr="005F76D9" w:rsidRDefault="00B565B4" w:rsidP="00246245">
            <w:pPr>
              <w:pStyle w:val="Tabletext1"/>
              <w:ind w:left="0"/>
              <w:rPr>
                <w:rFonts w:cs="Calibri"/>
                <w:color w:val="000000"/>
              </w:rPr>
            </w:pPr>
            <w:r w:rsidRPr="005F76D9">
              <w:rPr>
                <w:rFonts w:cs="Calibri"/>
                <w:color w:val="000000"/>
              </w:rPr>
              <w:t>Utility gain of 0.06 with steroids use</w:t>
            </w:r>
          </w:p>
        </w:tc>
        <w:tc>
          <w:tcPr>
            <w:tcW w:w="550" w:type="pct"/>
            <w:noWrap/>
            <w:hideMark/>
          </w:tcPr>
          <w:p w14:paraId="4AFBA034" w14:textId="2E97608A" w:rsidR="00B565B4" w:rsidRPr="005F76D9" w:rsidRDefault="00B565B4" w:rsidP="00246245">
            <w:pPr>
              <w:pStyle w:val="Tabletext1"/>
              <w:ind w:left="0"/>
              <w:rPr>
                <w:rFonts w:cs="Calibri"/>
                <w:color w:val="000000"/>
              </w:rPr>
            </w:pPr>
            <w:r w:rsidRPr="000F4D40">
              <w:t>$137,443</w:t>
            </w:r>
          </w:p>
        </w:tc>
        <w:tc>
          <w:tcPr>
            <w:tcW w:w="472" w:type="pct"/>
            <w:noWrap/>
            <w:hideMark/>
          </w:tcPr>
          <w:p w14:paraId="323DCD46" w14:textId="635618F8" w:rsidR="00B565B4" w:rsidRPr="005F76D9" w:rsidRDefault="00B565B4" w:rsidP="00246245">
            <w:pPr>
              <w:pStyle w:val="Tabletext1"/>
              <w:ind w:left="0"/>
              <w:rPr>
                <w:rFonts w:cs="Calibri"/>
                <w:color w:val="000000"/>
              </w:rPr>
            </w:pPr>
            <w:r w:rsidRPr="000F4D40">
              <w:t>0.9882</w:t>
            </w:r>
          </w:p>
        </w:tc>
        <w:tc>
          <w:tcPr>
            <w:tcW w:w="550" w:type="pct"/>
            <w:noWrap/>
            <w:hideMark/>
          </w:tcPr>
          <w:p w14:paraId="07F8BCDE" w14:textId="6171A51C" w:rsidR="00B565B4" w:rsidRPr="005F76D9" w:rsidRDefault="00B565B4" w:rsidP="00246245">
            <w:pPr>
              <w:pStyle w:val="Tabletext1"/>
              <w:ind w:left="0"/>
              <w:rPr>
                <w:rFonts w:cs="Calibri"/>
                <w:color w:val="000000"/>
              </w:rPr>
            </w:pPr>
            <w:r w:rsidRPr="000F4D40">
              <w:t>$139,082</w:t>
            </w:r>
          </w:p>
        </w:tc>
        <w:tc>
          <w:tcPr>
            <w:tcW w:w="522" w:type="pct"/>
            <w:noWrap/>
            <w:hideMark/>
          </w:tcPr>
          <w:p w14:paraId="6C723A3B" w14:textId="7FAFC41D" w:rsidR="00B565B4" w:rsidRPr="005F76D9" w:rsidRDefault="00B565B4" w:rsidP="00246245">
            <w:pPr>
              <w:pStyle w:val="Tabletext1"/>
              <w:ind w:left="0"/>
              <w:rPr>
                <w:rFonts w:cs="Calibri"/>
                <w:color w:val="000000"/>
              </w:rPr>
            </w:pPr>
            <w:r w:rsidRPr="000F4D40">
              <w:t>20%</w:t>
            </w:r>
          </w:p>
        </w:tc>
      </w:tr>
    </w:tbl>
    <w:p w14:paraId="6F691094" w14:textId="5BC03414" w:rsidR="00F64D12" w:rsidRDefault="00CB0278" w:rsidP="00CB0278">
      <w:pPr>
        <w:pStyle w:val="Tablenotes1"/>
      </w:pPr>
      <w:r>
        <w:t>Ig = immunoglobulin;</w:t>
      </w:r>
      <w:r w:rsidRPr="00EF530F">
        <w:t xml:space="preserve"> ICER = incremental cost-effectiveness ratio; Ig = immunoglobulin; Inc = Incremental;</w:t>
      </w:r>
      <w:r>
        <w:t xml:space="preserve"> IV = intravenous;</w:t>
      </w:r>
      <w:r w:rsidRPr="00EF530F">
        <w:t xml:space="preserve"> kg = kilograms; QALY = quality-adjusted life years</w:t>
      </w:r>
    </w:p>
    <w:p w14:paraId="28A773D8" w14:textId="77777777" w:rsidR="00F64D12" w:rsidRDefault="00F64D12" w:rsidP="00F64D12">
      <w:pPr>
        <w:pStyle w:val="Heading3"/>
      </w:pPr>
      <w:bookmarkStart w:id="572" w:name="_Toc69305637"/>
      <w:r>
        <w:t>Ig versus Plasma exchange</w:t>
      </w:r>
      <w:bookmarkEnd w:id="572"/>
    </w:p>
    <w:p w14:paraId="3B13F126" w14:textId="1F99C570" w:rsidR="0062453A" w:rsidRDefault="0062453A" w:rsidP="0062453A">
      <w:pPr>
        <w:pStyle w:val="Caption"/>
      </w:pPr>
      <w:bookmarkStart w:id="573" w:name="_Ref67997614"/>
      <w:bookmarkStart w:id="574" w:name="_Toc69305728"/>
      <w:r>
        <w:t xml:space="preserve">Table </w:t>
      </w:r>
      <w:r w:rsidR="00003BA5">
        <w:fldChar w:fldCharType="begin"/>
      </w:r>
      <w:r w:rsidR="00003BA5">
        <w:instrText xml:space="preserve"> SEQ Table \* ARABIC </w:instrText>
      </w:r>
      <w:r w:rsidR="00003BA5">
        <w:fldChar w:fldCharType="separate"/>
      </w:r>
      <w:r w:rsidR="004B3EA2">
        <w:rPr>
          <w:noProof/>
        </w:rPr>
        <w:t>87</w:t>
      </w:r>
      <w:r w:rsidR="00003BA5">
        <w:rPr>
          <w:noProof/>
        </w:rPr>
        <w:fldChar w:fldCharType="end"/>
      </w:r>
      <w:bookmarkEnd w:id="573"/>
      <w:r>
        <w:tab/>
        <w:t xml:space="preserve">Sensitivity analyses, Ig versus </w:t>
      </w:r>
      <w:r w:rsidR="00696D8F">
        <w:t>plasma exchange</w:t>
      </w:r>
      <w:bookmarkEnd w:id="574"/>
    </w:p>
    <w:tbl>
      <w:tblPr>
        <w:tblStyle w:val="TableGrid"/>
        <w:tblW w:w="5000" w:type="pct"/>
        <w:tblLayout w:type="fixed"/>
        <w:tblLook w:val="04A0" w:firstRow="1" w:lastRow="0" w:firstColumn="1" w:lastColumn="0" w:noHBand="0" w:noVBand="1"/>
        <w:tblCaption w:val="Sensitivity analyses, Ig versus plasma exchange"/>
        <w:tblDescription w:val="Sensitivity analyses, Ig versus plasma exchange"/>
      </w:tblPr>
      <w:tblGrid>
        <w:gridCol w:w="5240"/>
        <w:gridCol w:w="992"/>
        <w:gridCol w:w="851"/>
        <w:gridCol w:w="992"/>
        <w:gridCol w:w="941"/>
      </w:tblGrid>
      <w:tr w:rsidR="0062453A" w:rsidRPr="00F819DD" w14:paraId="69F049D7" w14:textId="77777777" w:rsidTr="00696D8F">
        <w:trPr>
          <w:trHeight w:val="255"/>
          <w:tblHeader/>
        </w:trPr>
        <w:tc>
          <w:tcPr>
            <w:tcW w:w="2906" w:type="pct"/>
            <w:tcBorders>
              <w:bottom w:val="single" w:sz="4" w:space="0" w:color="auto"/>
            </w:tcBorders>
            <w:noWrap/>
            <w:hideMark/>
          </w:tcPr>
          <w:p w14:paraId="071703D1" w14:textId="77777777" w:rsidR="0062453A" w:rsidRPr="00B144E4" w:rsidRDefault="0062453A" w:rsidP="00501DD7">
            <w:pPr>
              <w:pStyle w:val="TableHeading"/>
              <w:ind w:left="0"/>
            </w:pPr>
          </w:p>
        </w:tc>
        <w:tc>
          <w:tcPr>
            <w:tcW w:w="550" w:type="pct"/>
            <w:tcBorders>
              <w:bottom w:val="single" w:sz="4" w:space="0" w:color="auto"/>
            </w:tcBorders>
            <w:noWrap/>
            <w:hideMark/>
          </w:tcPr>
          <w:p w14:paraId="18FA2792" w14:textId="77777777" w:rsidR="0062453A" w:rsidRPr="00F819DD" w:rsidRDefault="0062453A" w:rsidP="00501DD7">
            <w:pPr>
              <w:pStyle w:val="TableHeading"/>
              <w:ind w:left="0"/>
              <w:rPr>
                <w:rFonts w:ascii="Calibri" w:hAnsi="Calibri" w:cs="Calibri"/>
                <w:bCs/>
              </w:rPr>
            </w:pPr>
            <w:r w:rsidRPr="00F819DD">
              <w:rPr>
                <w:rFonts w:ascii="Calibri" w:hAnsi="Calibri" w:cs="Calibri"/>
                <w:bCs/>
              </w:rPr>
              <w:t>Inc. cost</w:t>
            </w:r>
          </w:p>
        </w:tc>
        <w:tc>
          <w:tcPr>
            <w:tcW w:w="472" w:type="pct"/>
            <w:tcBorders>
              <w:bottom w:val="single" w:sz="4" w:space="0" w:color="auto"/>
            </w:tcBorders>
            <w:noWrap/>
            <w:hideMark/>
          </w:tcPr>
          <w:p w14:paraId="4FCCB9D2" w14:textId="77777777" w:rsidR="0062453A" w:rsidRPr="00F819DD" w:rsidRDefault="0062453A" w:rsidP="00501DD7">
            <w:pPr>
              <w:pStyle w:val="TableHeading"/>
              <w:ind w:left="0"/>
              <w:rPr>
                <w:rFonts w:ascii="Calibri" w:hAnsi="Calibri" w:cs="Calibri"/>
                <w:bCs/>
              </w:rPr>
            </w:pPr>
            <w:r w:rsidRPr="00F819DD">
              <w:rPr>
                <w:rFonts w:ascii="Calibri" w:hAnsi="Calibri" w:cs="Calibri"/>
                <w:bCs/>
              </w:rPr>
              <w:t>Inc. QALYs</w:t>
            </w:r>
          </w:p>
        </w:tc>
        <w:tc>
          <w:tcPr>
            <w:tcW w:w="550" w:type="pct"/>
            <w:tcBorders>
              <w:bottom w:val="single" w:sz="4" w:space="0" w:color="auto"/>
            </w:tcBorders>
            <w:noWrap/>
            <w:hideMark/>
          </w:tcPr>
          <w:p w14:paraId="7C018673" w14:textId="77777777" w:rsidR="0062453A" w:rsidRPr="00F819DD" w:rsidRDefault="0062453A" w:rsidP="00501DD7">
            <w:pPr>
              <w:pStyle w:val="TableHeading"/>
              <w:ind w:left="0"/>
              <w:rPr>
                <w:rFonts w:ascii="Calibri" w:hAnsi="Calibri" w:cs="Calibri"/>
                <w:bCs/>
              </w:rPr>
            </w:pPr>
            <w:r w:rsidRPr="00F819DD">
              <w:rPr>
                <w:rFonts w:ascii="Calibri" w:hAnsi="Calibri" w:cs="Calibri"/>
                <w:bCs/>
              </w:rPr>
              <w:t>ICER</w:t>
            </w:r>
          </w:p>
        </w:tc>
        <w:tc>
          <w:tcPr>
            <w:tcW w:w="522" w:type="pct"/>
            <w:tcBorders>
              <w:bottom w:val="single" w:sz="4" w:space="0" w:color="auto"/>
            </w:tcBorders>
            <w:noWrap/>
            <w:hideMark/>
          </w:tcPr>
          <w:p w14:paraId="618FEFD3" w14:textId="77777777" w:rsidR="0062453A" w:rsidRPr="00F819DD" w:rsidRDefault="0062453A" w:rsidP="00501DD7">
            <w:pPr>
              <w:pStyle w:val="TableHeading"/>
              <w:ind w:left="0"/>
              <w:rPr>
                <w:rFonts w:cs="Calibri"/>
              </w:rPr>
            </w:pPr>
            <w:r>
              <w:rPr>
                <w:rFonts w:cs="Calibri"/>
                <w:color w:val="000000"/>
              </w:rPr>
              <w:t>%C</w:t>
            </w:r>
            <w:r w:rsidRPr="005F76D9">
              <w:rPr>
                <w:rFonts w:cs="Calibri"/>
                <w:color w:val="000000"/>
              </w:rPr>
              <w:t>hange</w:t>
            </w:r>
            <w:r w:rsidRPr="00F819DD">
              <w:rPr>
                <w:rFonts w:cs="Calibri"/>
              </w:rPr>
              <w:t> </w:t>
            </w:r>
          </w:p>
        </w:tc>
      </w:tr>
      <w:tr w:rsidR="0062453A" w:rsidRPr="005F76D9" w14:paraId="4E512406" w14:textId="77777777" w:rsidTr="00696D8F">
        <w:trPr>
          <w:trHeight w:val="300"/>
        </w:trPr>
        <w:tc>
          <w:tcPr>
            <w:tcW w:w="2906" w:type="pct"/>
            <w:tcBorders>
              <w:right w:val="nil"/>
            </w:tcBorders>
            <w:noWrap/>
            <w:hideMark/>
          </w:tcPr>
          <w:p w14:paraId="424DB54A" w14:textId="77777777" w:rsidR="0062453A" w:rsidRPr="005F76D9" w:rsidRDefault="0062453A" w:rsidP="00501DD7">
            <w:pPr>
              <w:pStyle w:val="Tabletext1"/>
              <w:ind w:left="0"/>
              <w:rPr>
                <w:rFonts w:cs="Calibri"/>
                <w:b/>
                <w:bCs/>
                <w:color w:val="000000"/>
              </w:rPr>
            </w:pPr>
            <w:r w:rsidRPr="005F76D9">
              <w:rPr>
                <w:rFonts w:cs="Calibri"/>
                <w:b/>
                <w:bCs/>
                <w:color w:val="000000"/>
              </w:rPr>
              <w:t>Cost per gram of Ig</w:t>
            </w:r>
          </w:p>
        </w:tc>
        <w:tc>
          <w:tcPr>
            <w:tcW w:w="550" w:type="pct"/>
            <w:tcBorders>
              <w:left w:val="nil"/>
              <w:right w:val="nil"/>
            </w:tcBorders>
            <w:noWrap/>
          </w:tcPr>
          <w:p w14:paraId="3A30BF36" w14:textId="77777777" w:rsidR="0062453A" w:rsidRPr="005F76D9" w:rsidRDefault="0062453A" w:rsidP="00501DD7">
            <w:pPr>
              <w:pStyle w:val="Tabletext1"/>
              <w:ind w:left="0"/>
              <w:rPr>
                <w:rFonts w:ascii="Calibri" w:hAnsi="Calibri" w:cs="Calibri"/>
                <w:b/>
                <w:bCs/>
                <w:color w:val="44546A"/>
              </w:rPr>
            </w:pPr>
          </w:p>
        </w:tc>
        <w:tc>
          <w:tcPr>
            <w:tcW w:w="472" w:type="pct"/>
            <w:tcBorders>
              <w:left w:val="nil"/>
              <w:right w:val="nil"/>
            </w:tcBorders>
            <w:noWrap/>
          </w:tcPr>
          <w:p w14:paraId="7B244099" w14:textId="77777777" w:rsidR="0062453A" w:rsidRPr="005F76D9" w:rsidRDefault="0062453A" w:rsidP="00501DD7">
            <w:pPr>
              <w:pStyle w:val="Tabletext1"/>
              <w:ind w:left="0"/>
              <w:rPr>
                <w:rFonts w:ascii="Calibri" w:hAnsi="Calibri" w:cs="Calibri"/>
                <w:b/>
                <w:bCs/>
                <w:color w:val="44546A"/>
              </w:rPr>
            </w:pPr>
          </w:p>
        </w:tc>
        <w:tc>
          <w:tcPr>
            <w:tcW w:w="550" w:type="pct"/>
            <w:tcBorders>
              <w:left w:val="nil"/>
              <w:right w:val="nil"/>
            </w:tcBorders>
            <w:noWrap/>
          </w:tcPr>
          <w:p w14:paraId="38CF2073" w14:textId="77777777" w:rsidR="0062453A" w:rsidRPr="005F76D9" w:rsidRDefault="0062453A" w:rsidP="00501DD7">
            <w:pPr>
              <w:pStyle w:val="Tabletext1"/>
              <w:ind w:left="0"/>
              <w:rPr>
                <w:rFonts w:ascii="Calibri" w:hAnsi="Calibri" w:cs="Calibri"/>
                <w:b/>
                <w:bCs/>
                <w:color w:val="44546A"/>
              </w:rPr>
            </w:pPr>
          </w:p>
        </w:tc>
        <w:tc>
          <w:tcPr>
            <w:tcW w:w="522" w:type="pct"/>
            <w:tcBorders>
              <w:left w:val="nil"/>
            </w:tcBorders>
            <w:noWrap/>
            <w:hideMark/>
          </w:tcPr>
          <w:p w14:paraId="7D1CA0C8" w14:textId="77777777" w:rsidR="0062453A" w:rsidRPr="005F76D9" w:rsidRDefault="0062453A" w:rsidP="00501DD7">
            <w:pPr>
              <w:pStyle w:val="Tabletext1"/>
              <w:ind w:left="0"/>
              <w:rPr>
                <w:rFonts w:cs="Calibri"/>
                <w:color w:val="000000"/>
              </w:rPr>
            </w:pPr>
          </w:p>
        </w:tc>
      </w:tr>
      <w:tr w:rsidR="00150C7F" w:rsidRPr="00C93EA7" w14:paraId="13510CBF" w14:textId="77777777" w:rsidTr="00696D8F">
        <w:trPr>
          <w:trHeight w:val="255"/>
        </w:trPr>
        <w:tc>
          <w:tcPr>
            <w:tcW w:w="2906" w:type="pct"/>
            <w:noWrap/>
            <w:hideMark/>
          </w:tcPr>
          <w:p w14:paraId="19DFCE54" w14:textId="77777777" w:rsidR="00150C7F" w:rsidRPr="00246245" w:rsidRDefault="00150C7F" w:rsidP="00150C7F">
            <w:pPr>
              <w:pStyle w:val="Tabletext1"/>
              <w:ind w:left="0"/>
              <w:rPr>
                <w:rFonts w:cs="Calibri"/>
                <w:b/>
                <w:color w:val="000000"/>
              </w:rPr>
            </w:pPr>
            <w:r w:rsidRPr="00246245">
              <w:rPr>
                <w:rFonts w:cs="Calibri"/>
                <w:b/>
                <w:color w:val="000000"/>
              </w:rPr>
              <w:t>Base case (domestic IVIg, excluding cost of plasma), $60.41 per gram of Ig</w:t>
            </w:r>
          </w:p>
        </w:tc>
        <w:tc>
          <w:tcPr>
            <w:tcW w:w="550" w:type="pct"/>
            <w:noWrap/>
            <w:hideMark/>
          </w:tcPr>
          <w:p w14:paraId="39FB1F51" w14:textId="701EC210" w:rsidR="00150C7F" w:rsidRPr="00246245" w:rsidRDefault="00150C7F" w:rsidP="00150C7F">
            <w:pPr>
              <w:pStyle w:val="Tabletext1"/>
              <w:ind w:left="0"/>
              <w:rPr>
                <w:rFonts w:cs="Calibri"/>
                <w:b/>
                <w:color w:val="000000"/>
              </w:rPr>
            </w:pPr>
            <w:r w:rsidRPr="00246245">
              <w:rPr>
                <w:b/>
              </w:rPr>
              <w:t>$49,991</w:t>
            </w:r>
          </w:p>
        </w:tc>
        <w:tc>
          <w:tcPr>
            <w:tcW w:w="472" w:type="pct"/>
            <w:noWrap/>
            <w:hideMark/>
          </w:tcPr>
          <w:p w14:paraId="71ED461B" w14:textId="33779338" w:rsidR="00150C7F" w:rsidRPr="00246245" w:rsidRDefault="00150C7F" w:rsidP="00150C7F">
            <w:pPr>
              <w:pStyle w:val="Tabletext1"/>
              <w:ind w:left="0"/>
              <w:rPr>
                <w:rFonts w:cs="Calibri"/>
                <w:b/>
                <w:color w:val="000000"/>
              </w:rPr>
            </w:pPr>
            <w:r w:rsidRPr="00246245">
              <w:rPr>
                <w:b/>
              </w:rPr>
              <w:t>0.5316</w:t>
            </w:r>
          </w:p>
        </w:tc>
        <w:tc>
          <w:tcPr>
            <w:tcW w:w="550" w:type="pct"/>
            <w:noWrap/>
            <w:hideMark/>
          </w:tcPr>
          <w:p w14:paraId="36A7784A" w14:textId="756EB8FF" w:rsidR="00150C7F" w:rsidRPr="00246245" w:rsidRDefault="00150C7F" w:rsidP="00150C7F">
            <w:pPr>
              <w:pStyle w:val="Tabletext1"/>
              <w:ind w:left="0"/>
              <w:rPr>
                <w:rFonts w:cs="Calibri"/>
                <w:b/>
                <w:color w:val="000000"/>
              </w:rPr>
            </w:pPr>
            <w:r w:rsidRPr="00246245">
              <w:rPr>
                <w:b/>
              </w:rPr>
              <w:t>$94,038</w:t>
            </w:r>
          </w:p>
        </w:tc>
        <w:tc>
          <w:tcPr>
            <w:tcW w:w="522" w:type="pct"/>
            <w:noWrap/>
            <w:hideMark/>
          </w:tcPr>
          <w:p w14:paraId="51BE79BC" w14:textId="33BBF54A" w:rsidR="00150C7F" w:rsidRPr="00246245" w:rsidRDefault="00150C7F" w:rsidP="00150C7F">
            <w:pPr>
              <w:pStyle w:val="Tabletext1"/>
              <w:ind w:left="0"/>
              <w:rPr>
                <w:rFonts w:cs="Calibri"/>
                <w:b/>
                <w:color w:val="000000"/>
              </w:rPr>
            </w:pPr>
          </w:p>
        </w:tc>
      </w:tr>
      <w:tr w:rsidR="00150C7F" w:rsidRPr="005F76D9" w14:paraId="340362F6" w14:textId="77777777" w:rsidTr="00696D8F">
        <w:trPr>
          <w:trHeight w:val="270"/>
        </w:trPr>
        <w:tc>
          <w:tcPr>
            <w:tcW w:w="2906" w:type="pct"/>
            <w:noWrap/>
            <w:hideMark/>
          </w:tcPr>
          <w:p w14:paraId="2762C0FF" w14:textId="77777777" w:rsidR="00150C7F" w:rsidRPr="005F76D9" w:rsidRDefault="00150C7F" w:rsidP="00150C7F">
            <w:pPr>
              <w:pStyle w:val="Tabletext1"/>
              <w:ind w:left="0"/>
              <w:rPr>
                <w:rFonts w:cs="Calibri"/>
                <w:color w:val="000000"/>
              </w:rPr>
            </w:pPr>
            <w:r w:rsidRPr="005F76D9">
              <w:rPr>
                <w:rFonts w:cs="Calibri"/>
                <w:color w:val="000000"/>
              </w:rPr>
              <w:t>High cost (domestic IVIg, including cost of plasma), $140.18 per gram of Ig</w:t>
            </w:r>
          </w:p>
        </w:tc>
        <w:tc>
          <w:tcPr>
            <w:tcW w:w="550" w:type="pct"/>
            <w:noWrap/>
            <w:hideMark/>
          </w:tcPr>
          <w:p w14:paraId="1292C6AA" w14:textId="2D14A1B6" w:rsidR="00150C7F" w:rsidRPr="005F76D9" w:rsidRDefault="00150C7F" w:rsidP="00150C7F">
            <w:pPr>
              <w:pStyle w:val="Tabletext1"/>
              <w:ind w:left="0"/>
              <w:rPr>
                <w:rFonts w:cs="Calibri"/>
                <w:color w:val="000000"/>
              </w:rPr>
            </w:pPr>
            <w:r w:rsidRPr="00671B7C">
              <w:t>$223,343</w:t>
            </w:r>
          </w:p>
        </w:tc>
        <w:tc>
          <w:tcPr>
            <w:tcW w:w="472" w:type="pct"/>
            <w:noWrap/>
            <w:hideMark/>
          </w:tcPr>
          <w:p w14:paraId="23DC1AF0" w14:textId="278EACCE" w:rsidR="00150C7F" w:rsidRPr="005F76D9" w:rsidRDefault="00150C7F" w:rsidP="00150C7F">
            <w:pPr>
              <w:pStyle w:val="Tabletext1"/>
              <w:ind w:left="0"/>
              <w:rPr>
                <w:rFonts w:cs="Calibri"/>
                <w:color w:val="000000"/>
              </w:rPr>
            </w:pPr>
            <w:r w:rsidRPr="00671B7C">
              <w:t>0.5316</w:t>
            </w:r>
          </w:p>
        </w:tc>
        <w:tc>
          <w:tcPr>
            <w:tcW w:w="550" w:type="pct"/>
            <w:noWrap/>
            <w:hideMark/>
          </w:tcPr>
          <w:p w14:paraId="4E021EFC" w14:textId="2D1ABC63" w:rsidR="00150C7F" w:rsidRPr="005F76D9" w:rsidRDefault="00150C7F" w:rsidP="00150C7F">
            <w:pPr>
              <w:pStyle w:val="Tabletext1"/>
              <w:ind w:left="0"/>
              <w:rPr>
                <w:rFonts w:cs="Calibri"/>
                <w:color w:val="000000"/>
              </w:rPr>
            </w:pPr>
            <w:r w:rsidRPr="00671B7C">
              <w:t>$420,129</w:t>
            </w:r>
          </w:p>
        </w:tc>
        <w:tc>
          <w:tcPr>
            <w:tcW w:w="522" w:type="pct"/>
            <w:noWrap/>
            <w:hideMark/>
          </w:tcPr>
          <w:p w14:paraId="426B936C" w14:textId="77F5C26C" w:rsidR="00150C7F" w:rsidRPr="005F76D9" w:rsidRDefault="00150C7F" w:rsidP="00150C7F">
            <w:pPr>
              <w:pStyle w:val="Tabletext1"/>
              <w:ind w:left="0"/>
              <w:rPr>
                <w:rFonts w:cs="Calibri"/>
                <w:color w:val="000000"/>
              </w:rPr>
            </w:pPr>
            <w:r w:rsidRPr="00671B7C">
              <w:t>347%</w:t>
            </w:r>
          </w:p>
        </w:tc>
      </w:tr>
      <w:tr w:rsidR="00150C7F" w:rsidRPr="005F76D9" w14:paraId="2DFD5858" w14:textId="77777777" w:rsidTr="00696D8F">
        <w:trPr>
          <w:trHeight w:val="255"/>
        </w:trPr>
        <w:tc>
          <w:tcPr>
            <w:tcW w:w="2906" w:type="pct"/>
            <w:noWrap/>
            <w:hideMark/>
          </w:tcPr>
          <w:p w14:paraId="00F85136" w14:textId="77777777" w:rsidR="00150C7F" w:rsidRPr="005F76D9" w:rsidRDefault="00150C7F" w:rsidP="00150C7F">
            <w:pPr>
              <w:pStyle w:val="Tabletext1"/>
              <w:ind w:left="0"/>
              <w:rPr>
                <w:rFonts w:cs="Calibri"/>
                <w:color w:val="000000"/>
              </w:rPr>
            </w:pPr>
            <w:r w:rsidRPr="005F76D9">
              <w:rPr>
                <w:rFonts w:cs="Calibri"/>
                <w:color w:val="000000"/>
              </w:rPr>
              <w:t>Low cost (imported IVIg), $44.94 per gram of Ig</w:t>
            </w:r>
          </w:p>
        </w:tc>
        <w:tc>
          <w:tcPr>
            <w:tcW w:w="550" w:type="pct"/>
            <w:noWrap/>
            <w:hideMark/>
          </w:tcPr>
          <w:p w14:paraId="51502FED" w14:textId="27D57FF4" w:rsidR="00150C7F" w:rsidRPr="005F76D9" w:rsidRDefault="00150C7F" w:rsidP="00150C7F">
            <w:pPr>
              <w:pStyle w:val="Tabletext1"/>
              <w:ind w:left="0"/>
              <w:rPr>
                <w:rFonts w:cs="Calibri"/>
                <w:color w:val="000000"/>
              </w:rPr>
            </w:pPr>
            <w:r w:rsidRPr="00671B7C">
              <w:t>$16,373</w:t>
            </w:r>
          </w:p>
        </w:tc>
        <w:tc>
          <w:tcPr>
            <w:tcW w:w="472" w:type="pct"/>
            <w:noWrap/>
            <w:hideMark/>
          </w:tcPr>
          <w:p w14:paraId="0C4B707E" w14:textId="75E533DD" w:rsidR="00150C7F" w:rsidRPr="005F76D9" w:rsidRDefault="00150C7F" w:rsidP="00150C7F">
            <w:pPr>
              <w:pStyle w:val="Tabletext1"/>
              <w:ind w:left="0"/>
              <w:rPr>
                <w:rFonts w:cs="Calibri"/>
                <w:color w:val="000000"/>
              </w:rPr>
            </w:pPr>
            <w:r w:rsidRPr="00671B7C">
              <w:t>0.5316</w:t>
            </w:r>
          </w:p>
        </w:tc>
        <w:tc>
          <w:tcPr>
            <w:tcW w:w="550" w:type="pct"/>
            <w:noWrap/>
            <w:hideMark/>
          </w:tcPr>
          <w:p w14:paraId="45274519" w14:textId="27FEDD70" w:rsidR="00150C7F" w:rsidRPr="005F76D9" w:rsidRDefault="00150C7F" w:rsidP="00150C7F">
            <w:pPr>
              <w:pStyle w:val="Tabletext1"/>
              <w:ind w:left="0"/>
              <w:rPr>
                <w:rFonts w:cs="Calibri"/>
                <w:color w:val="000000"/>
              </w:rPr>
            </w:pPr>
            <w:r w:rsidRPr="00671B7C">
              <w:t>$30,799</w:t>
            </w:r>
          </w:p>
        </w:tc>
        <w:tc>
          <w:tcPr>
            <w:tcW w:w="522" w:type="pct"/>
            <w:noWrap/>
            <w:hideMark/>
          </w:tcPr>
          <w:p w14:paraId="0E92BA2F" w14:textId="4B108FED" w:rsidR="00150C7F" w:rsidRPr="005F76D9" w:rsidRDefault="00150C7F" w:rsidP="00150C7F">
            <w:pPr>
              <w:pStyle w:val="Tabletext1"/>
              <w:ind w:left="0"/>
              <w:rPr>
                <w:rFonts w:cs="Calibri"/>
                <w:color w:val="000000"/>
              </w:rPr>
            </w:pPr>
            <w:r w:rsidRPr="00671B7C">
              <w:t>-67%</w:t>
            </w:r>
          </w:p>
        </w:tc>
      </w:tr>
      <w:tr w:rsidR="00150C7F" w:rsidRPr="005F76D9" w14:paraId="33FDD648" w14:textId="77777777" w:rsidTr="00246245">
        <w:trPr>
          <w:trHeight w:val="255"/>
        </w:trPr>
        <w:tc>
          <w:tcPr>
            <w:tcW w:w="2906" w:type="pct"/>
            <w:tcBorders>
              <w:bottom w:val="single" w:sz="4" w:space="0" w:color="auto"/>
            </w:tcBorders>
            <w:noWrap/>
            <w:hideMark/>
          </w:tcPr>
          <w:p w14:paraId="6B32F571" w14:textId="77777777" w:rsidR="00150C7F" w:rsidRPr="005F76D9" w:rsidRDefault="00150C7F" w:rsidP="00150C7F">
            <w:pPr>
              <w:pStyle w:val="Tabletext1"/>
              <w:ind w:left="0"/>
              <w:rPr>
                <w:rFonts w:cs="Calibri"/>
                <w:color w:val="000000"/>
              </w:rPr>
            </w:pPr>
            <w:r w:rsidRPr="005F76D9">
              <w:rPr>
                <w:rFonts w:cs="Calibri"/>
                <w:color w:val="000000"/>
              </w:rPr>
              <w:t>weighted average across all indications, $94.51 per gram of Ig</w:t>
            </w:r>
          </w:p>
        </w:tc>
        <w:tc>
          <w:tcPr>
            <w:tcW w:w="550" w:type="pct"/>
            <w:tcBorders>
              <w:bottom w:val="single" w:sz="4" w:space="0" w:color="auto"/>
            </w:tcBorders>
            <w:noWrap/>
            <w:hideMark/>
          </w:tcPr>
          <w:p w14:paraId="1CFEE936" w14:textId="048B5435" w:rsidR="00150C7F" w:rsidRPr="005F76D9" w:rsidRDefault="00150C7F" w:rsidP="00150C7F">
            <w:pPr>
              <w:pStyle w:val="Tabletext1"/>
              <w:ind w:left="0"/>
              <w:rPr>
                <w:rFonts w:cs="Calibri"/>
                <w:color w:val="000000"/>
              </w:rPr>
            </w:pPr>
            <w:r w:rsidRPr="00671B7C">
              <w:t>$124,088</w:t>
            </w:r>
          </w:p>
        </w:tc>
        <w:tc>
          <w:tcPr>
            <w:tcW w:w="472" w:type="pct"/>
            <w:tcBorders>
              <w:bottom w:val="single" w:sz="4" w:space="0" w:color="auto"/>
            </w:tcBorders>
            <w:noWrap/>
            <w:hideMark/>
          </w:tcPr>
          <w:p w14:paraId="7A458B83" w14:textId="1D1B9797" w:rsidR="00150C7F" w:rsidRPr="005F76D9" w:rsidRDefault="00150C7F" w:rsidP="00150C7F">
            <w:pPr>
              <w:pStyle w:val="Tabletext1"/>
              <w:ind w:left="0"/>
              <w:rPr>
                <w:rFonts w:cs="Calibri"/>
                <w:color w:val="000000"/>
              </w:rPr>
            </w:pPr>
            <w:r w:rsidRPr="00671B7C">
              <w:t>0.5316</w:t>
            </w:r>
          </w:p>
        </w:tc>
        <w:tc>
          <w:tcPr>
            <w:tcW w:w="550" w:type="pct"/>
            <w:tcBorders>
              <w:bottom w:val="single" w:sz="4" w:space="0" w:color="auto"/>
            </w:tcBorders>
            <w:noWrap/>
            <w:hideMark/>
          </w:tcPr>
          <w:p w14:paraId="59062B0E" w14:textId="196E8BD4" w:rsidR="00150C7F" w:rsidRPr="005F76D9" w:rsidRDefault="00150C7F" w:rsidP="00150C7F">
            <w:pPr>
              <w:pStyle w:val="Tabletext1"/>
              <w:ind w:left="0"/>
              <w:rPr>
                <w:rFonts w:cs="Calibri"/>
                <w:color w:val="000000"/>
              </w:rPr>
            </w:pPr>
            <w:r w:rsidRPr="00671B7C">
              <w:t>$233,422</w:t>
            </w:r>
          </w:p>
        </w:tc>
        <w:tc>
          <w:tcPr>
            <w:tcW w:w="522" w:type="pct"/>
            <w:tcBorders>
              <w:bottom w:val="single" w:sz="4" w:space="0" w:color="auto"/>
            </w:tcBorders>
            <w:noWrap/>
            <w:hideMark/>
          </w:tcPr>
          <w:p w14:paraId="5CAEABB3" w14:textId="5D2B3253" w:rsidR="00150C7F" w:rsidRPr="005F76D9" w:rsidRDefault="00150C7F" w:rsidP="00150C7F">
            <w:pPr>
              <w:pStyle w:val="Tabletext1"/>
              <w:ind w:left="0"/>
              <w:rPr>
                <w:rFonts w:cs="Calibri"/>
                <w:color w:val="000000"/>
              </w:rPr>
            </w:pPr>
            <w:r w:rsidRPr="00671B7C">
              <w:t>148%</w:t>
            </w:r>
          </w:p>
        </w:tc>
      </w:tr>
      <w:tr w:rsidR="00150C7F" w:rsidRPr="005F76D9" w14:paraId="1BDAA666" w14:textId="77777777" w:rsidTr="00696D8F">
        <w:trPr>
          <w:trHeight w:val="255"/>
        </w:trPr>
        <w:tc>
          <w:tcPr>
            <w:tcW w:w="2906" w:type="pct"/>
            <w:tcBorders>
              <w:right w:val="nil"/>
            </w:tcBorders>
            <w:noWrap/>
            <w:hideMark/>
          </w:tcPr>
          <w:p w14:paraId="2C126358" w14:textId="77777777" w:rsidR="00150C7F" w:rsidRPr="00F819DD" w:rsidRDefault="00150C7F" w:rsidP="00150C7F">
            <w:pPr>
              <w:pStyle w:val="Tabletext1"/>
              <w:ind w:left="0"/>
              <w:rPr>
                <w:rFonts w:cs="Calibri"/>
                <w:b/>
                <w:color w:val="000000"/>
              </w:rPr>
            </w:pPr>
            <w:r w:rsidRPr="00F819DD">
              <w:rPr>
                <w:rFonts w:cs="Calibri"/>
                <w:b/>
                <w:color w:val="000000"/>
              </w:rPr>
              <w:t>Maintenance dose intervals for Ig (base case: 4 weeks)</w:t>
            </w:r>
          </w:p>
        </w:tc>
        <w:tc>
          <w:tcPr>
            <w:tcW w:w="550" w:type="pct"/>
            <w:tcBorders>
              <w:left w:val="nil"/>
              <w:right w:val="nil"/>
            </w:tcBorders>
            <w:noWrap/>
            <w:hideMark/>
          </w:tcPr>
          <w:p w14:paraId="587A02FB" w14:textId="77777777" w:rsidR="00150C7F" w:rsidRPr="005F76D9" w:rsidRDefault="00150C7F" w:rsidP="00150C7F">
            <w:pPr>
              <w:pStyle w:val="Tabletext1"/>
              <w:ind w:left="0"/>
              <w:rPr>
                <w:rFonts w:cs="Calibri"/>
                <w:color w:val="000000"/>
              </w:rPr>
            </w:pPr>
          </w:p>
        </w:tc>
        <w:tc>
          <w:tcPr>
            <w:tcW w:w="472" w:type="pct"/>
            <w:tcBorders>
              <w:left w:val="nil"/>
              <w:right w:val="nil"/>
            </w:tcBorders>
            <w:noWrap/>
            <w:hideMark/>
          </w:tcPr>
          <w:p w14:paraId="5BD1331F" w14:textId="77777777" w:rsidR="00150C7F" w:rsidRPr="005F76D9" w:rsidRDefault="00150C7F" w:rsidP="00150C7F">
            <w:pPr>
              <w:pStyle w:val="Tabletext1"/>
              <w:ind w:left="0"/>
            </w:pPr>
          </w:p>
        </w:tc>
        <w:tc>
          <w:tcPr>
            <w:tcW w:w="550" w:type="pct"/>
            <w:tcBorders>
              <w:left w:val="nil"/>
              <w:right w:val="nil"/>
            </w:tcBorders>
            <w:noWrap/>
            <w:hideMark/>
          </w:tcPr>
          <w:p w14:paraId="03A3013C" w14:textId="77777777" w:rsidR="00150C7F" w:rsidRPr="005F76D9" w:rsidRDefault="00150C7F" w:rsidP="00150C7F">
            <w:pPr>
              <w:pStyle w:val="Tabletext1"/>
              <w:ind w:left="0"/>
            </w:pPr>
          </w:p>
        </w:tc>
        <w:tc>
          <w:tcPr>
            <w:tcW w:w="522" w:type="pct"/>
            <w:tcBorders>
              <w:left w:val="nil"/>
            </w:tcBorders>
            <w:noWrap/>
            <w:hideMark/>
          </w:tcPr>
          <w:p w14:paraId="1F730D87" w14:textId="77777777" w:rsidR="00150C7F" w:rsidRPr="005F76D9" w:rsidRDefault="00150C7F" w:rsidP="00150C7F">
            <w:pPr>
              <w:pStyle w:val="Tabletext1"/>
              <w:ind w:left="0"/>
              <w:rPr>
                <w:rFonts w:cs="Calibri"/>
                <w:color w:val="000000"/>
              </w:rPr>
            </w:pPr>
          </w:p>
        </w:tc>
      </w:tr>
      <w:tr w:rsidR="00150C7F" w:rsidRPr="005F76D9" w14:paraId="5A2B31EA" w14:textId="77777777" w:rsidTr="00696D8F">
        <w:trPr>
          <w:trHeight w:val="255"/>
        </w:trPr>
        <w:tc>
          <w:tcPr>
            <w:tcW w:w="2906" w:type="pct"/>
            <w:noWrap/>
            <w:hideMark/>
          </w:tcPr>
          <w:p w14:paraId="2E2E4CEE" w14:textId="77777777" w:rsidR="00150C7F" w:rsidRPr="005F76D9" w:rsidRDefault="00150C7F" w:rsidP="00150C7F">
            <w:pPr>
              <w:pStyle w:val="Tabletext1"/>
              <w:ind w:left="0"/>
              <w:rPr>
                <w:rFonts w:cs="Calibri"/>
                <w:color w:val="000000"/>
              </w:rPr>
            </w:pPr>
            <w:r w:rsidRPr="005F76D9">
              <w:rPr>
                <w:rFonts w:cs="Calibri"/>
                <w:color w:val="000000"/>
              </w:rPr>
              <w:t>3 weeks</w:t>
            </w:r>
          </w:p>
        </w:tc>
        <w:tc>
          <w:tcPr>
            <w:tcW w:w="550" w:type="pct"/>
            <w:noWrap/>
            <w:hideMark/>
          </w:tcPr>
          <w:p w14:paraId="414A10F1" w14:textId="0E431AFB" w:rsidR="00150C7F" w:rsidRPr="005F76D9" w:rsidRDefault="00150C7F" w:rsidP="00150C7F">
            <w:pPr>
              <w:pStyle w:val="Tabletext1"/>
              <w:ind w:left="0"/>
              <w:rPr>
                <w:rFonts w:cs="Calibri"/>
                <w:color w:val="000000"/>
              </w:rPr>
            </w:pPr>
            <w:r w:rsidRPr="00671B7C">
              <w:t>$96,877</w:t>
            </w:r>
          </w:p>
        </w:tc>
        <w:tc>
          <w:tcPr>
            <w:tcW w:w="472" w:type="pct"/>
            <w:noWrap/>
            <w:hideMark/>
          </w:tcPr>
          <w:p w14:paraId="5178B628" w14:textId="1967C576" w:rsidR="00150C7F" w:rsidRPr="005F76D9" w:rsidRDefault="00150C7F" w:rsidP="00150C7F">
            <w:pPr>
              <w:pStyle w:val="Tabletext1"/>
              <w:ind w:left="0"/>
              <w:rPr>
                <w:rFonts w:cs="Calibri"/>
                <w:color w:val="000000"/>
              </w:rPr>
            </w:pPr>
            <w:r w:rsidRPr="00671B7C">
              <w:t>0.5249</w:t>
            </w:r>
          </w:p>
        </w:tc>
        <w:tc>
          <w:tcPr>
            <w:tcW w:w="550" w:type="pct"/>
            <w:noWrap/>
            <w:hideMark/>
          </w:tcPr>
          <w:p w14:paraId="1EF0F6BF" w14:textId="1C19CCBC" w:rsidR="00150C7F" w:rsidRPr="005F76D9" w:rsidRDefault="00150C7F" w:rsidP="00150C7F">
            <w:pPr>
              <w:pStyle w:val="Tabletext1"/>
              <w:ind w:left="0"/>
              <w:rPr>
                <w:rFonts w:cs="Calibri"/>
                <w:color w:val="000000"/>
              </w:rPr>
            </w:pPr>
            <w:r w:rsidRPr="00671B7C">
              <w:t>$184,579</w:t>
            </w:r>
          </w:p>
        </w:tc>
        <w:tc>
          <w:tcPr>
            <w:tcW w:w="522" w:type="pct"/>
            <w:noWrap/>
            <w:hideMark/>
          </w:tcPr>
          <w:p w14:paraId="1D36CB8A" w14:textId="5BA6F955" w:rsidR="00150C7F" w:rsidRPr="005F76D9" w:rsidRDefault="00150C7F" w:rsidP="00150C7F">
            <w:pPr>
              <w:pStyle w:val="Tabletext1"/>
              <w:ind w:left="0"/>
              <w:rPr>
                <w:rFonts w:cs="Calibri"/>
                <w:color w:val="000000"/>
              </w:rPr>
            </w:pPr>
            <w:r w:rsidRPr="00671B7C">
              <w:t>96%</w:t>
            </w:r>
          </w:p>
        </w:tc>
      </w:tr>
      <w:tr w:rsidR="00150C7F" w:rsidRPr="005F76D9" w14:paraId="55531AE6" w14:textId="77777777" w:rsidTr="00696D8F">
        <w:trPr>
          <w:trHeight w:val="255"/>
        </w:trPr>
        <w:tc>
          <w:tcPr>
            <w:tcW w:w="2906" w:type="pct"/>
            <w:noWrap/>
            <w:hideMark/>
          </w:tcPr>
          <w:p w14:paraId="4626D478" w14:textId="77777777" w:rsidR="00150C7F" w:rsidRPr="005F76D9" w:rsidRDefault="00150C7F" w:rsidP="00150C7F">
            <w:pPr>
              <w:pStyle w:val="Tabletext1"/>
              <w:ind w:left="0"/>
              <w:rPr>
                <w:rFonts w:cs="Calibri"/>
                <w:color w:val="000000"/>
              </w:rPr>
            </w:pPr>
            <w:r w:rsidRPr="005F76D9">
              <w:rPr>
                <w:rFonts w:cs="Calibri"/>
                <w:color w:val="000000"/>
              </w:rPr>
              <w:t>6 weeks</w:t>
            </w:r>
          </w:p>
        </w:tc>
        <w:tc>
          <w:tcPr>
            <w:tcW w:w="550" w:type="pct"/>
            <w:noWrap/>
            <w:hideMark/>
          </w:tcPr>
          <w:p w14:paraId="5AB1E01A" w14:textId="428C84AE" w:rsidR="00150C7F" w:rsidRPr="005F76D9" w:rsidRDefault="00150C7F" w:rsidP="00150C7F">
            <w:pPr>
              <w:pStyle w:val="Tabletext1"/>
              <w:ind w:left="0"/>
              <w:rPr>
                <w:rFonts w:cs="Calibri"/>
                <w:color w:val="000000"/>
              </w:rPr>
            </w:pPr>
            <w:r w:rsidRPr="00671B7C">
              <w:t>$3,106</w:t>
            </w:r>
          </w:p>
        </w:tc>
        <w:tc>
          <w:tcPr>
            <w:tcW w:w="472" w:type="pct"/>
            <w:noWrap/>
            <w:hideMark/>
          </w:tcPr>
          <w:p w14:paraId="74EF1D7C" w14:textId="38E6645F" w:rsidR="00150C7F" w:rsidRPr="005F76D9" w:rsidRDefault="00150C7F" w:rsidP="00150C7F">
            <w:pPr>
              <w:pStyle w:val="Tabletext1"/>
              <w:ind w:left="0"/>
              <w:rPr>
                <w:rFonts w:cs="Calibri"/>
                <w:color w:val="000000"/>
              </w:rPr>
            </w:pPr>
            <w:r w:rsidRPr="00671B7C">
              <w:t>0.5384</w:t>
            </w:r>
          </w:p>
        </w:tc>
        <w:tc>
          <w:tcPr>
            <w:tcW w:w="550" w:type="pct"/>
            <w:noWrap/>
            <w:hideMark/>
          </w:tcPr>
          <w:p w14:paraId="144B084C" w14:textId="56D19430" w:rsidR="00150C7F" w:rsidRPr="005F76D9" w:rsidRDefault="00150C7F" w:rsidP="00150C7F">
            <w:pPr>
              <w:pStyle w:val="Tabletext1"/>
              <w:ind w:left="0"/>
              <w:rPr>
                <w:rFonts w:cs="Calibri"/>
                <w:color w:val="000000"/>
              </w:rPr>
            </w:pPr>
            <w:r w:rsidRPr="00671B7C">
              <w:t>$5,769</w:t>
            </w:r>
          </w:p>
        </w:tc>
        <w:tc>
          <w:tcPr>
            <w:tcW w:w="522" w:type="pct"/>
            <w:noWrap/>
            <w:hideMark/>
          </w:tcPr>
          <w:p w14:paraId="1D8A14F7" w14:textId="401CB710" w:rsidR="00150C7F" w:rsidRPr="005F76D9" w:rsidRDefault="00150C7F" w:rsidP="00150C7F">
            <w:pPr>
              <w:pStyle w:val="Tabletext1"/>
              <w:ind w:left="0"/>
              <w:rPr>
                <w:rFonts w:cs="Calibri"/>
                <w:color w:val="000000"/>
              </w:rPr>
            </w:pPr>
            <w:r w:rsidRPr="00671B7C">
              <w:t>-94%</w:t>
            </w:r>
          </w:p>
        </w:tc>
      </w:tr>
      <w:tr w:rsidR="00150C7F" w:rsidRPr="005F76D9" w14:paraId="0ADB21C3" w14:textId="77777777" w:rsidTr="00696D8F">
        <w:trPr>
          <w:trHeight w:val="255"/>
        </w:trPr>
        <w:tc>
          <w:tcPr>
            <w:tcW w:w="2906" w:type="pct"/>
            <w:tcBorders>
              <w:bottom w:val="single" w:sz="4" w:space="0" w:color="auto"/>
            </w:tcBorders>
            <w:noWrap/>
            <w:hideMark/>
          </w:tcPr>
          <w:p w14:paraId="703BDB38" w14:textId="77777777" w:rsidR="00150C7F" w:rsidRPr="005F76D9" w:rsidRDefault="00150C7F" w:rsidP="00150C7F">
            <w:pPr>
              <w:pStyle w:val="Tabletext1"/>
              <w:ind w:left="0"/>
              <w:rPr>
                <w:rFonts w:cs="Calibri"/>
                <w:color w:val="000000"/>
              </w:rPr>
            </w:pPr>
            <w:r w:rsidRPr="005F76D9">
              <w:rPr>
                <w:rFonts w:cs="Calibri"/>
                <w:color w:val="000000"/>
              </w:rPr>
              <w:t>8 weeks</w:t>
            </w:r>
          </w:p>
        </w:tc>
        <w:tc>
          <w:tcPr>
            <w:tcW w:w="550" w:type="pct"/>
            <w:tcBorders>
              <w:bottom w:val="single" w:sz="4" w:space="0" w:color="auto"/>
            </w:tcBorders>
            <w:noWrap/>
            <w:hideMark/>
          </w:tcPr>
          <w:p w14:paraId="4355E23D" w14:textId="456B6D72" w:rsidR="00150C7F" w:rsidRPr="005F76D9" w:rsidRDefault="00150C7F" w:rsidP="00150C7F">
            <w:pPr>
              <w:pStyle w:val="Tabletext1"/>
              <w:ind w:left="0"/>
              <w:rPr>
                <w:rFonts w:cs="Calibri"/>
                <w:color w:val="000000"/>
              </w:rPr>
            </w:pPr>
            <w:r w:rsidRPr="00671B7C">
              <w:t>-$20,337</w:t>
            </w:r>
          </w:p>
        </w:tc>
        <w:tc>
          <w:tcPr>
            <w:tcW w:w="472" w:type="pct"/>
            <w:tcBorders>
              <w:bottom w:val="single" w:sz="4" w:space="0" w:color="auto"/>
            </w:tcBorders>
            <w:noWrap/>
            <w:hideMark/>
          </w:tcPr>
          <w:p w14:paraId="50D51168" w14:textId="07C3D400" w:rsidR="00150C7F" w:rsidRPr="005F76D9" w:rsidRDefault="00150C7F" w:rsidP="00150C7F">
            <w:pPr>
              <w:pStyle w:val="Tabletext1"/>
              <w:ind w:left="0"/>
              <w:rPr>
                <w:rFonts w:cs="Calibri"/>
                <w:color w:val="000000"/>
              </w:rPr>
            </w:pPr>
            <w:r w:rsidRPr="00671B7C">
              <w:t>0.5417</w:t>
            </w:r>
          </w:p>
        </w:tc>
        <w:tc>
          <w:tcPr>
            <w:tcW w:w="550" w:type="pct"/>
            <w:tcBorders>
              <w:bottom w:val="single" w:sz="4" w:space="0" w:color="auto"/>
            </w:tcBorders>
            <w:noWrap/>
            <w:hideMark/>
          </w:tcPr>
          <w:p w14:paraId="1909950E" w14:textId="28A21FDB" w:rsidR="00150C7F" w:rsidRPr="005F76D9" w:rsidRDefault="00150C7F" w:rsidP="00150C7F">
            <w:pPr>
              <w:pStyle w:val="Tabletext1"/>
              <w:ind w:left="0"/>
              <w:rPr>
                <w:rFonts w:cs="Calibri"/>
                <w:color w:val="000000"/>
              </w:rPr>
            </w:pPr>
            <w:r w:rsidRPr="00671B7C">
              <w:t>Dominant (ICER: –$37,541)</w:t>
            </w:r>
          </w:p>
        </w:tc>
        <w:tc>
          <w:tcPr>
            <w:tcW w:w="522" w:type="pct"/>
            <w:tcBorders>
              <w:bottom w:val="single" w:sz="4" w:space="0" w:color="auto"/>
            </w:tcBorders>
            <w:noWrap/>
            <w:hideMark/>
          </w:tcPr>
          <w:p w14:paraId="1FA7FE7F" w14:textId="7B598FB0" w:rsidR="00150C7F" w:rsidRPr="005F76D9" w:rsidRDefault="00150C7F" w:rsidP="00150C7F">
            <w:pPr>
              <w:pStyle w:val="Tabletext1"/>
              <w:ind w:left="0"/>
              <w:rPr>
                <w:rFonts w:cs="Calibri"/>
                <w:color w:val="000000"/>
              </w:rPr>
            </w:pPr>
            <w:r w:rsidRPr="00671B7C">
              <w:t>Dominant (ICER: –$37,541)</w:t>
            </w:r>
          </w:p>
        </w:tc>
      </w:tr>
      <w:tr w:rsidR="00150C7F" w:rsidRPr="005F76D9" w14:paraId="60DCC2EA" w14:textId="77777777" w:rsidTr="00696D8F">
        <w:trPr>
          <w:trHeight w:val="255"/>
        </w:trPr>
        <w:tc>
          <w:tcPr>
            <w:tcW w:w="2906" w:type="pct"/>
            <w:tcBorders>
              <w:right w:val="nil"/>
            </w:tcBorders>
            <w:noWrap/>
            <w:hideMark/>
          </w:tcPr>
          <w:p w14:paraId="13AADE3B" w14:textId="77777777" w:rsidR="00150C7F" w:rsidRPr="005F76D9" w:rsidRDefault="00150C7F" w:rsidP="00150C7F">
            <w:pPr>
              <w:pStyle w:val="Tabletext1"/>
              <w:ind w:left="0"/>
              <w:rPr>
                <w:rFonts w:cs="Calibri"/>
                <w:b/>
                <w:bCs/>
                <w:color w:val="000000"/>
              </w:rPr>
            </w:pPr>
            <w:r w:rsidRPr="005F76D9">
              <w:rPr>
                <w:rFonts w:cs="Calibri"/>
                <w:b/>
                <w:bCs/>
                <w:color w:val="000000"/>
              </w:rPr>
              <w:t xml:space="preserve">Maintenance </w:t>
            </w:r>
            <w:r>
              <w:rPr>
                <w:rFonts w:cs="Calibri"/>
                <w:b/>
                <w:bCs/>
                <w:color w:val="000000"/>
              </w:rPr>
              <w:t xml:space="preserve">IVIg </w:t>
            </w:r>
            <w:r w:rsidRPr="005F76D9">
              <w:rPr>
                <w:rFonts w:cs="Calibri"/>
                <w:b/>
                <w:bCs/>
                <w:color w:val="000000"/>
              </w:rPr>
              <w:t>dose per treatment course (base case: 0.7g/kg)</w:t>
            </w:r>
          </w:p>
        </w:tc>
        <w:tc>
          <w:tcPr>
            <w:tcW w:w="550" w:type="pct"/>
            <w:tcBorders>
              <w:left w:val="nil"/>
              <w:right w:val="nil"/>
            </w:tcBorders>
            <w:noWrap/>
            <w:hideMark/>
          </w:tcPr>
          <w:p w14:paraId="1D1C2D3E" w14:textId="77777777" w:rsidR="00150C7F" w:rsidRPr="005F76D9" w:rsidRDefault="00150C7F" w:rsidP="00150C7F">
            <w:pPr>
              <w:pStyle w:val="Tabletext1"/>
              <w:ind w:left="0"/>
              <w:rPr>
                <w:rFonts w:cs="Calibri"/>
                <w:b/>
                <w:bCs/>
                <w:color w:val="000000"/>
              </w:rPr>
            </w:pPr>
          </w:p>
        </w:tc>
        <w:tc>
          <w:tcPr>
            <w:tcW w:w="472" w:type="pct"/>
            <w:tcBorders>
              <w:left w:val="nil"/>
              <w:right w:val="nil"/>
            </w:tcBorders>
            <w:noWrap/>
            <w:hideMark/>
          </w:tcPr>
          <w:p w14:paraId="5D0052A7" w14:textId="77777777" w:rsidR="00150C7F" w:rsidRPr="005F76D9" w:rsidRDefault="00150C7F" w:rsidP="00150C7F">
            <w:pPr>
              <w:pStyle w:val="Tabletext1"/>
              <w:ind w:left="0"/>
            </w:pPr>
          </w:p>
        </w:tc>
        <w:tc>
          <w:tcPr>
            <w:tcW w:w="550" w:type="pct"/>
            <w:tcBorders>
              <w:left w:val="nil"/>
              <w:right w:val="nil"/>
            </w:tcBorders>
            <w:noWrap/>
            <w:hideMark/>
          </w:tcPr>
          <w:p w14:paraId="706FB42C" w14:textId="77777777" w:rsidR="00150C7F" w:rsidRPr="005F76D9" w:rsidRDefault="00150C7F" w:rsidP="00150C7F">
            <w:pPr>
              <w:pStyle w:val="Tabletext1"/>
              <w:ind w:left="0"/>
            </w:pPr>
          </w:p>
        </w:tc>
        <w:tc>
          <w:tcPr>
            <w:tcW w:w="522" w:type="pct"/>
            <w:tcBorders>
              <w:left w:val="nil"/>
            </w:tcBorders>
            <w:noWrap/>
            <w:hideMark/>
          </w:tcPr>
          <w:p w14:paraId="085FDE38" w14:textId="77777777" w:rsidR="00150C7F" w:rsidRPr="005F76D9" w:rsidRDefault="00150C7F" w:rsidP="00150C7F">
            <w:pPr>
              <w:pStyle w:val="Tabletext1"/>
              <w:ind w:left="0"/>
              <w:rPr>
                <w:rFonts w:cs="Calibri"/>
                <w:color w:val="000000"/>
              </w:rPr>
            </w:pPr>
          </w:p>
        </w:tc>
      </w:tr>
      <w:tr w:rsidR="00150C7F" w:rsidRPr="005F76D9" w14:paraId="23393C42" w14:textId="77777777" w:rsidTr="00696D8F">
        <w:trPr>
          <w:trHeight w:val="255"/>
        </w:trPr>
        <w:tc>
          <w:tcPr>
            <w:tcW w:w="2906" w:type="pct"/>
            <w:noWrap/>
            <w:hideMark/>
          </w:tcPr>
          <w:p w14:paraId="102E6A2C" w14:textId="77777777" w:rsidR="00150C7F" w:rsidRPr="005F76D9" w:rsidRDefault="00150C7F" w:rsidP="00150C7F">
            <w:pPr>
              <w:pStyle w:val="Tabletext1"/>
              <w:ind w:left="0"/>
              <w:rPr>
                <w:rFonts w:cs="Calibri"/>
                <w:color w:val="000000"/>
              </w:rPr>
            </w:pPr>
            <w:r w:rsidRPr="005F76D9">
              <w:rPr>
                <w:rFonts w:cs="Calibri"/>
                <w:color w:val="000000"/>
              </w:rPr>
              <w:t>0.4 g/kg</w:t>
            </w:r>
          </w:p>
        </w:tc>
        <w:tc>
          <w:tcPr>
            <w:tcW w:w="550" w:type="pct"/>
            <w:noWrap/>
            <w:hideMark/>
          </w:tcPr>
          <w:p w14:paraId="5FABC152" w14:textId="7A47D507" w:rsidR="00150C7F" w:rsidRPr="005F76D9" w:rsidRDefault="00150C7F" w:rsidP="00150C7F">
            <w:pPr>
              <w:pStyle w:val="Tabletext1"/>
              <w:ind w:left="0"/>
              <w:rPr>
                <w:rFonts w:cs="Calibri"/>
                <w:color w:val="000000"/>
              </w:rPr>
            </w:pPr>
            <w:r w:rsidRPr="00671B7C">
              <w:t>$176</w:t>
            </w:r>
          </w:p>
        </w:tc>
        <w:tc>
          <w:tcPr>
            <w:tcW w:w="472" w:type="pct"/>
            <w:noWrap/>
            <w:hideMark/>
          </w:tcPr>
          <w:p w14:paraId="5B244E7D" w14:textId="79ECB321" w:rsidR="00150C7F" w:rsidRPr="005F76D9" w:rsidRDefault="00150C7F" w:rsidP="00150C7F">
            <w:pPr>
              <w:pStyle w:val="Tabletext1"/>
              <w:ind w:left="0"/>
              <w:rPr>
                <w:rFonts w:cs="Calibri"/>
                <w:color w:val="000000"/>
              </w:rPr>
            </w:pPr>
            <w:r w:rsidRPr="00671B7C">
              <w:t>0.5316</w:t>
            </w:r>
          </w:p>
        </w:tc>
        <w:tc>
          <w:tcPr>
            <w:tcW w:w="550" w:type="pct"/>
            <w:noWrap/>
            <w:hideMark/>
          </w:tcPr>
          <w:p w14:paraId="1AE3FA3D" w14:textId="2128CE46" w:rsidR="00150C7F" w:rsidRPr="005F76D9" w:rsidRDefault="00150C7F" w:rsidP="00150C7F">
            <w:pPr>
              <w:pStyle w:val="Tabletext1"/>
              <w:ind w:left="0"/>
              <w:rPr>
                <w:rFonts w:cs="Calibri"/>
                <w:color w:val="000000"/>
              </w:rPr>
            </w:pPr>
            <w:r w:rsidRPr="00671B7C">
              <w:t>$331</w:t>
            </w:r>
          </w:p>
        </w:tc>
        <w:tc>
          <w:tcPr>
            <w:tcW w:w="522" w:type="pct"/>
            <w:noWrap/>
            <w:hideMark/>
          </w:tcPr>
          <w:p w14:paraId="3703AE0F" w14:textId="40DE4CCE" w:rsidR="00150C7F" w:rsidRPr="005F76D9" w:rsidRDefault="00150C7F" w:rsidP="00150C7F">
            <w:pPr>
              <w:pStyle w:val="Tabletext1"/>
              <w:ind w:left="0"/>
              <w:rPr>
                <w:rFonts w:cs="Calibri"/>
                <w:color w:val="000000"/>
              </w:rPr>
            </w:pPr>
            <w:r w:rsidRPr="00671B7C">
              <w:t>-100%</w:t>
            </w:r>
          </w:p>
        </w:tc>
      </w:tr>
      <w:tr w:rsidR="00150C7F" w:rsidRPr="005F76D9" w14:paraId="14401306" w14:textId="77777777" w:rsidTr="00696D8F">
        <w:trPr>
          <w:trHeight w:val="255"/>
        </w:trPr>
        <w:tc>
          <w:tcPr>
            <w:tcW w:w="2906" w:type="pct"/>
            <w:tcBorders>
              <w:bottom w:val="single" w:sz="4" w:space="0" w:color="auto"/>
            </w:tcBorders>
            <w:noWrap/>
            <w:hideMark/>
          </w:tcPr>
          <w:p w14:paraId="65C97C67" w14:textId="77777777" w:rsidR="00150C7F" w:rsidRPr="005F76D9" w:rsidRDefault="00150C7F" w:rsidP="00150C7F">
            <w:pPr>
              <w:pStyle w:val="Tabletext1"/>
              <w:ind w:left="0"/>
              <w:rPr>
                <w:rFonts w:cs="Calibri"/>
                <w:color w:val="000000"/>
              </w:rPr>
            </w:pPr>
            <w:r w:rsidRPr="005F76D9">
              <w:rPr>
                <w:rFonts w:cs="Calibri"/>
                <w:color w:val="000000"/>
              </w:rPr>
              <w:t>1.0 g/kg</w:t>
            </w:r>
          </w:p>
        </w:tc>
        <w:tc>
          <w:tcPr>
            <w:tcW w:w="550" w:type="pct"/>
            <w:tcBorders>
              <w:bottom w:val="single" w:sz="4" w:space="0" w:color="auto"/>
            </w:tcBorders>
            <w:noWrap/>
            <w:hideMark/>
          </w:tcPr>
          <w:p w14:paraId="7DB65FBE" w14:textId="369CB26D" w:rsidR="00150C7F" w:rsidRPr="005F76D9" w:rsidRDefault="00150C7F" w:rsidP="00150C7F">
            <w:pPr>
              <w:pStyle w:val="Tabletext1"/>
              <w:ind w:left="0"/>
              <w:rPr>
                <w:rFonts w:cs="Calibri"/>
                <w:color w:val="000000"/>
              </w:rPr>
            </w:pPr>
            <w:r w:rsidRPr="00671B7C">
              <w:t>$99,807</w:t>
            </w:r>
          </w:p>
        </w:tc>
        <w:tc>
          <w:tcPr>
            <w:tcW w:w="472" w:type="pct"/>
            <w:tcBorders>
              <w:bottom w:val="single" w:sz="4" w:space="0" w:color="auto"/>
            </w:tcBorders>
            <w:noWrap/>
            <w:hideMark/>
          </w:tcPr>
          <w:p w14:paraId="5884048B" w14:textId="294B820A" w:rsidR="00150C7F" w:rsidRPr="005F76D9" w:rsidRDefault="00150C7F" w:rsidP="00150C7F">
            <w:pPr>
              <w:pStyle w:val="Tabletext1"/>
              <w:ind w:left="0"/>
              <w:rPr>
                <w:rFonts w:cs="Calibri"/>
                <w:color w:val="000000"/>
              </w:rPr>
            </w:pPr>
            <w:r w:rsidRPr="00671B7C">
              <w:t>0.5316</w:t>
            </w:r>
          </w:p>
        </w:tc>
        <w:tc>
          <w:tcPr>
            <w:tcW w:w="550" w:type="pct"/>
            <w:tcBorders>
              <w:bottom w:val="single" w:sz="4" w:space="0" w:color="auto"/>
            </w:tcBorders>
            <w:noWrap/>
            <w:hideMark/>
          </w:tcPr>
          <w:p w14:paraId="5BAF2089" w14:textId="395E3FAC" w:rsidR="00150C7F" w:rsidRPr="005F76D9" w:rsidRDefault="00150C7F" w:rsidP="00150C7F">
            <w:pPr>
              <w:pStyle w:val="Tabletext1"/>
              <w:ind w:left="0"/>
              <w:rPr>
                <w:rFonts w:cs="Calibri"/>
                <w:color w:val="000000"/>
              </w:rPr>
            </w:pPr>
            <w:r w:rsidRPr="00671B7C">
              <w:t>$187,745</w:t>
            </w:r>
          </w:p>
        </w:tc>
        <w:tc>
          <w:tcPr>
            <w:tcW w:w="522" w:type="pct"/>
            <w:tcBorders>
              <w:bottom w:val="single" w:sz="4" w:space="0" w:color="auto"/>
            </w:tcBorders>
            <w:noWrap/>
            <w:hideMark/>
          </w:tcPr>
          <w:p w14:paraId="68801204" w14:textId="55696D0E" w:rsidR="00150C7F" w:rsidRPr="005F76D9" w:rsidRDefault="00150C7F" w:rsidP="00150C7F">
            <w:pPr>
              <w:pStyle w:val="Tabletext1"/>
              <w:ind w:left="0"/>
              <w:rPr>
                <w:rFonts w:cs="Calibri"/>
                <w:color w:val="000000"/>
              </w:rPr>
            </w:pPr>
            <w:r w:rsidRPr="00671B7C">
              <w:t>100%</w:t>
            </w:r>
          </w:p>
        </w:tc>
      </w:tr>
      <w:tr w:rsidR="00150C7F" w:rsidRPr="005F76D9" w14:paraId="70A4B190" w14:textId="77777777" w:rsidTr="00696D8F">
        <w:trPr>
          <w:trHeight w:val="255"/>
        </w:trPr>
        <w:tc>
          <w:tcPr>
            <w:tcW w:w="2906" w:type="pct"/>
            <w:tcBorders>
              <w:right w:val="nil"/>
            </w:tcBorders>
            <w:noWrap/>
            <w:hideMark/>
          </w:tcPr>
          <w:p w14:paraId="79269269" w14:textId="77777777" w:rsidR="00150C7F" w:rsidRPr="005F76D9" w:rsidRDefault="00150C7F" w:rsidP="00150C7F">
            <w:pPr>
              <w:pStyle w:val="Tabletext1"/>
              <w:ind w:left="0"/>
              <w:rPr>
                <w:rFonts w:cs="Calibri"/>
                <w:b/>
                <w:bCs/>
                <w:color w:val="000000"/>
              </w:rPr>
            </w:pPr>
            <w:r w:rsidRPr="005F76D9">
              <w:rPr>
                <w:rFonts w:cs="Calibri"/>
                <w:b/>
                <w:bCs/>
                <w:color w:val="000000"/>
              </w:rPr>
              <w:t>Weaning off trial for Ig</w:t>
            </w:r>
          </w:p>
        </w:tc>
        <w:tc>
          <w:tcPr>
            <w:tcW w:w="550" w:type="pct"/>
            <w:tcBorders>
              <w:left w:val="nil"/>
              <w:right w:val="nil"/>
            </w:tcBorders>
            <w:noWrap/>
            <w:hideMark/>
          </w:tcPr>
          <w:p w14:paraId="57CBC00D" w14:textId="77777777" w:rsidR="00150C7F" w:rsidRPr="005F76D9" w:rsidRDefault="00150C7F" w:rsidP="00150C7F">
            <w:pPr>
              <w:pStyle w:val="Tabletext1"/>
              <w:ind w:left="0"/>
              <w:rPr>
                <w:rFonts w:cs="Calibri"/>
                <w:b/>
                <w:bCs/>
                <w:color w:val="000000"/>
              </w:rPr>
            </w:pPr>
          </w:p>
        </w:tc>
        <w:tc>
          <w:tcPr>
            <w:tcW w:w="472" w:type="pct"/>
            <w:tcBorders>
              <w:left w:val="nil"/>
              <w:right w:val="nil"/>
            </w:tcBorders>
            <w:noWrap/>
            <w:hideMark/>
          </w:tcPr>
          <w:p w14:paraId="3E93A0F1" w14:textId="77777777" w:rsidR="00150C7F" w:rsidRPr="005F76D9" w:rsidRDefault="00150C7F" w:rsidP="00150C7F">
            <w:pPr>
              <w:pStyle w:val="Tabletext1"/>
              <w:ind w:left="0"/>
            </w:pPr>
          </w:p>
        </w:tc>
        <w:tc>
          <w:tcPr>
            <w:tcW w:w="550" w:type="pct"/>
            <w:tcBorders>
              <w:left w:val="nil"/>
              <w:right w:val="nil"/>
            </w:tcBorders>
            <w:noWrap/>
            <w:hideMark/>
          </w:tcPr>
          <w:p w14:paraId="40921ECF" w14:textId="77777777" w:rsidR="00150C7F" w:rsidRPr="005F76D9" w:rsidRDefault="00150C7F" w:rsidP="00150C7F">
            <w:pPr>
              <w:pStyle w:val="Tabletext1"/>
              <w:ind w:left="0"/>
            </w:pPr>
          </w:p>
        </w:tc>
        <w:tc>
          <w:tcPr>
            <w:tcW w:w="522" w:type="pct"/>
            <w:tcBorders>
              <w:left w:val="nil"/>
            </w:tcBorders>
            <w:noWrap/>
            <w:hideMark/>
          </w:tcPr>
          <w:p w14:paraId="40B4BC32" w14:textId="77777777" w:rsidR="00150C7F" w:rsidRPr="005F76D9" w:rsidRDefault="00150C7F" w:rsidP="00150C7F">
            <w:pPr>
              <w:pStyle w:val="Tabletext1"/>
              <w:ind w:left="0"/>
              <w:rPr>
                <w:rFonts w:cs="Calibri"/>
                <w:color w:val="000000"/>
              </w:rPr>
            </w:pPr>
          </w:p>
        </w:tc>
      </w:tr>
      <w:tr w:rsidR="00150C7F" w:rsidRPr="005F76D9" w14:paraId="0145DFE0" w14:textId="77777777" w:rsidTr="00696D8F">
        <w:trPr>
          <w:trHeight w:val="255"/>
        </w:trPr>
        <w:tc>
          <w:tcPr>
            <w:tcW w:w="2906" w:type="pct"/>
            <w:tcBorders>
              <w:bottom w:val="single" w:sz="4" w:space="0" w:color="auto"/>
            </w:tcBorders>
            <w:noWrap/>
            <w:hideMark/>
          </w:tcPr>
          <w:p w14:paraId="793CD4A0" w14:textId="77777777" w:rsidR="00150C7F" w:rsidRPr="005F76D9" w:rsidRDefault="00150C7F" w:rsidP="00150C7F">
            <w:pPr>
              <w:pStyle w:val="Tabletext1"/>
              <w:ind w:left="0"/>
              <w:rPr>
                <w:rFonts w:cs="Calibri"/>
                <w:color w:val="000000"/>
              </w:rPr>
            </w:pPr>
            <w:r w:rsidRPr="005F76D9">
              <w:rPr>
                <w:rFonts w:cs="Calibri"/>
                <w:color w:val="000000"/>
              </w:rPr>
              <w:t>Starting dose in maintenance phase- 1g/kg, then applying 20% dose reduction for 5 cycles</w:t>
            </w:r>
          </w:p>
        </w:tc>
        <w:tc>
          <w:tcPr>
            <w:tcW w:w="550" w:type="pct"/>
            <w:tcBorders>
              <w:bottom w:val="single" w:sz="4" w:space="0" w:color="auto"/>
            </w:tcBorders>
            <w:noWrap/>
            <w:hideMark/>
          </w:tcPr>
          <w:p w14:paraId="2DB5ECF2" w14:textId="6106068B" w:rsidR="00150C7F" w:rsidRPr="005F76D9" w:rsidRDefault="00150C7F" w:rsidP="00150C7F">
            <w:pPr>
              <w:pStyle w:val="Tabletext1"/>
              <w:ind w:left="0"/>
              <w:rPr>
                <w:rFonts w:cs="Calibri"/>
                <w:color w:val="000000"/>
              </w:rPr>
            </w:pPr>
            <w:r w:rsidRPr="00671B7C">
              <w:t>$13,107</w:t>
            </w:r>
          </w:p>
        </w:tc>
        <w:tc>
          <w:tcPr>
            <w:tcW w:w="472" w:type="pct"/>
            <w:tcBorders>
              <w:bottom w:val="single" w:sz="4" w:space="0" w:color="auto"/>
            </w:tcBorders>
            <w:noWrap/>
            <w:hideMark/>
          </w:tcPr>
          <w:p w14:paraId="374FCC44" w14:textId="114F9589" w:rsidR="00150C7F" w:rsidRPr="005F76D9" w:rsidRDefault="00150C7F" w:rsidP="00150C7F">
            <w:pPr>
              <w:pStyle w:val="Tabletext1"/>
              <w:ind w:left="0"/>
              <w:rPr>
                <w:rFonts w:cs="Calibri"/>
                <w:color w:val="000000"/>
              </w:rPr>
            </w:pPr>
            <w:r w:rsidRPr="00671B7C">
              <w:t>0.5316</w:t>
            </w:r>
          </w:p>
        </w:tc>
        <w:tc>
          <w:tcPr>
            <w:tcW w:w="550" w:type="pct"/>
            <w:tcBorders>
              <w:bottom w:val="single" w:sz="4" w:space="0" w:color="auto"/>
            </w:tcBorders>
            <w:noWrap/>
            <w:hideMark/>
          </w:tcPr>
          <w:p w14:paraId="0B5C2A11" w14:textId="6B7B4B1F" w:rsidR="00150C7F" w:rsidRPr="005F76D9" w:rsidRDefault="00150C7F" w:rsidP="00150C7F">
            <w:pPr>
              <w:pStyle w:val="Tabletext1"/>
              <w:ind w:left="0"/>
              <w:rPr>
                <w:rFonts w:cs="Calibri"/>
                <w:color w:val="000000"/>
              </w:rPr>
            </w:pPr>
            <w:r w:rsidRPr="00671B7C">
              <w:t>$24,656</w:t>
            </w:r>
          </w:p>
        </w:tc>
        <w:tc>
          <w:tcPr>
            <w:tcW w:w="522" w:type="pct"/>
            <w:tcBorders>
              <w:bottom w:val="single" w:sz="4" w:space="0" w:color="auto"/>
            </w:tcBorders>
            <w:noWrap/>
            <w:hideMark/>
          </w:tcPr>
          <w:p w14:paraId="69C68E16" w14:textId="6BA31876" w:rsidR="00150C7F" w:rsidRPr="005F76D9" w:rsidRDefault="00150C7F" w:rsidP="00150C7F">
            <w:pPr>
              <w:pStyle w:val="Tabletext1"/>
              <w:ind w:left="0"/>
              <w:rPr>
                <w:rFonts w:cs="Calibri"/>
                <w:color w:val="000000"/>
              </w:rPr>
            </w:pPr>
            <w:r w:rsidRPr="00671B7C">
              <w:t>-74%</w:t>
            </w:r>
          </w:p>
        </w:tc>
      </w:tr>
      <w:tr w:rsidR="00150C7F" w:rsidRPr="005F76D9" w14:paraId="03CDB992" w14:textId="77777777" w:rsidTr="00696D8F">
        <w:trPr>
          <w:trHeight w:val="255"/>
        </w:trPr>
        <w:tc>
          <w:tcPr>
            <w:tcW w:w="2906" w:type="pct"/>
            <w:tcBorders>
              <w:right w:val="nil"/>
            </w:tcBorders>
            <w:noWrap/>
            <w:hideMark/>
          </w:tcPr>
          <w:p w14:paraId="70AA4DD8" w14:textId="77777777" w:rsidR="00150C7F" w:rsidRPr="005F76D9" w:rsidRDefault="00150C7F" w:rsidP="00150C7F">
            <w:pPr>
              <w:pStyle w:val="Tabletext1"/>
              <w:ind w:left="0"/>
              <w:rPr>
                <w:rFonts w:cs="Calibri"/>
                <w:b/>
                <w:bCs/>
                <w:color w:val="000000"/>
              </w:rPr>
            </w:pPr>
            <w:r w:rsidRPr="005F76D9">
              <w:rPr>
                <w:rFonts w:cs="Calibri"/>
                <w:b/>
                <w:bCs/>
                <w:color w:val="000000"/>
              </w:rPr>
              <w:t>Utility gain with Ig (base case:0.12)</w:t>
            </w:r>
          </w:p>
        </w:tc>
        <w:tc>
          <w:tcPr>
            <w:tcW w:w="550" w:type="pct"/>
            <w:tcBorders>
              <w:left w:val="nil"/>
              <w:right w:val="nil"/>
            </w:tcBorders>
            <w:noWrap/>
            <w:hideMark/>
          </w:tcPr>
          <w:p w14:paraId="50793D86" w14:textId="77777777" w:rsidR="00150C7F" w:rsidRPr="005F76D9" w:rsidRDefault="00150C7F" w:rsidP="00150C7F">
            <w:pPr>
              <w:pStyle w:val="Tabletext1"/>
              <w:ind w:left="0"/>
              <w:rPr>
                <w:rFonts w:cs="Calibri"/>
                <w:b/>
                <w:bCs/>
                <w:color w:val="000000"/>
              </w:rPr>
            </w:pPr>
          </w:p>
        </w:tc>
        <w:tc>
          <w:tcPr>
            <w:tcW w:w="472" w:type="pct"/>
            <w:tcBorders>
              <w:left w:val="nil"/>
              <w:right w:val="nil"/>
            </w:tcBorders>
            <w:noWrap/>
            <w:hideMark/>
          </w:tcPr>
          <w:p w14:paraId="563A0BD4" w14:textId="77777777" w:rsidR="00150C7F" w:rsidRPr="005F76D9" w:rsidRDefault="00150C7F" w:rsidP="00150C7F">
            <w:pPr>
              <w:pStyle w:val="Tabletext1"/>
              <w:ind w:left="0"/>
            </w:pPr>
          </w:p>
        </w:tc>
        <w:tc>
          <w:tcPr>
            <w:tcW w:w="550" w:type="pct"/>
            <w:tcBorders>
              <w:left w:val="nil"/>
              <w:right w:val="nil"/>
            </w:tcBorders>
            <w:noWrap/>
            <w:hideMark/>
          </w:tcPr>
          <w:p w14:paraId="0BE4AF2B" w14:textId="77777777" w:rsidR="00150C7F" w:rsidRPr="005F76D9" w:rsidRDefault="00150C7F" w:rsidP="00150C7F">
            <w:pPr>
              <w:pStyle w:val="Tabletext1"/>
              <w:ind w:left="0"/>
            </w:pPr>
          </w:p>
        </w:tc>
        <w:tc>
          <w:tcPr>
            <w:tcW w:w="522" w:type="pct"/>
            <w:tcBorders>
              <w:left w:val="nil"/>
            </w:tcBorders>
            <w:noWrap/>
            <w:hideMark/>
          </w:tcPr>
          <w:p w14:paraId="5F20AE5B" w14:textId="77777777" w:rsidR="00150C7F" w:rsidRPr="005F76D9" w:rsidRDefault="00150C7F" w:rsidP="00150C7F">
            <w:pPr>
              <w:pStyle w:val="Tabletext1"/>
              <w:ind w:left="0"/>
              <w:rPr>
                <w:rFonts w:cs="Calibri"/>
                <w:color w:val="000000"/>
              </w:rPr>
            </w:pPr>
          </w:p>
        </w:tc>
      </w:tr>
      <w:tr w:rsidR="00150C7F" w:rsidRPr="005F76D9" w14:paraId="1E427838" w14:textId="77777777" w:rsidTr="00696D8F">
        <w:trPr>
          <w:trHeight w:val="255"/>
        </w:trPr>
        <w:tc>
          <w:tcPr>
            <w:tcW w:w="2906" w:type="pct"/>
            <w:noWrap/>
            <w:hideMark/>
          </w:tcPr>
          <w:p w14:paraId="0654C7B8" w14:textId="77777777" w:rsidR="00150C7F" w:rsidRPr="005F76D9" w:rsidRDefault="00150C7F" w:rsidP="00150C7F">
            <w:pPr>
              <w:pStyle w:val="Tabletext1"/>
              <w:ind w:left="0"/>
              <w:rPr>
                <w:rFonts w:cs="Calibri"/>
                <w:color w:val="000000"/>
              </w:rPr>
            </w:pPr>
            <w:r w:rsidRPr="005F76D9">
              <w:rPr>
                <w:rFonts w:cs="Calibri"/>
                <w:color w:val="000000"/>
              </w:rPr>
              <w:t>0.06</w:t>
            </w:r>
          </w:p>
        </w:tc>
        <w:tc>
          <w:tcPr>
            <w:tcW w:w="550" w:type="pct"/>
            <w:noWrap/>
            <w:hideMark/>
          </w:tcPr>
          <w:p w14:paraId="7D7EA1BA" w14:textId="55068587" w:rsidR="00150C7F" w:rsidRPr="005F76D9" w:rsidRDefault="00150C7F" w:rsidP="00150C7F">
            <w:pPr>
              <w:pStyle w:val="Tabletext1"/>
              <w:ind w:left="0"/>
              <w:rPr>
                <w:rFonts w:cs="Calibri"/>
                <w:color w:val="000000"/>
              </w:rPr>
            </w:pPr>
            <w:r w:rsidRPr="00671B7C">
              <w:t>$49,991</w:t>
            </w:r>
          </w:p>
        </w:tc>
        <w:tc>
          <w:tcPr>
            <w:tcW w:w="472" w:type="pct"/>
            <w:noWrap/>
            <w:hideMark/>
          </w:tcPr>
          <w:p w14:paraId="7E0F4C23" w14:textId="3034B5D7" w:rsidR="00150C7F" w:rsidRPr="005F76D9" w:rsidRDefault="00150C7F" w:rsidP="00150C7F">
            <w:pPr>
              <w:pStyle w:val="Tabletext1"/>
              <w:ind w:left="0"/>
              <w:rPr>
                <w:rFonts w:cs="Calibri"/>
                <w:color w:val="000000"/>
              </w:rPr>
            </w:pPr>
            <w:r w:rsidRPr="00671B7C">
              <w:t>0.3616</w:t>
            </w:r>
          </w:p>
        </w:tc>
        <w:tc>
          <w:tcPr>
            <w:tcW w:w="550" w:type="pct"/>
            <w:noWrap/>
            <w:hideMark/>
          </w:tcPr>
          <w:p w14:paraId="2BE8C663" w14:textId="753C8C12" w:rsidR="00150C7F" w:rsidRPr="005F76D9" w:rsidRDefault="00150C7F" w:rsidP="00150C7F">
            <w:pPr>
              <w:pStyle w:val="Tabletext1"/>
              <w:ind w:left="0"/>
              <w:rPr>
                <w:rFonts w:cs="Calibri"/>
                <w:color w:val="000000"/>
              </w:rPr>
            </w:pPr>
            <w:r w:rsidRPr="00671B7C">
              <w:t>$138,253</w:t>
            </w:r>
          </w:p>
        </w:tc>
        <w:tc>
          <w:tcPr>
            <w:tcW w:w="522" w:type="pct"/>
            <w:noWrap/>
            <w:hideMark/>
          </w:tcPr>
          <w:p w14:paraId="1C0F9E8E" w14:textId="77DE6463" w:rsidR="00150C7F" w:rsidRPr="005F76D9" w:rsidRDefault="00150C7F" w:rsidP="00150C7F">
            <w:pPr>
              <w:pStyle w:val="Tabletext1"/>
              <w:ind w:left="0"/>
              <w:rPr>
                <w:rFonts w:cs="Calibri"/>
                <w:color w:val="000000"/>
              </w:rPr>
            </w:pPr>
            <w:r w:rsidRPr="00671B7C">
              <w:t>47%</w:t>
            </w:r>
          </w:p>
        </w:tc>
      </w:tr>
      <w:tr w:rsidR="00150C7F" w:rsidRPr="005F76D9" w14:paraId="41667CD5" w14:textId="77777777" w:rsidTr="00696D8F">
        <w:trPr>
          <w:trHeight w:val="255"/>
        </w:trPr>
        <w:tc>
          <w:tcPr>
            <w:tcW w:w="2906" w:type="pct"/>
            <w:noWrap/>
            <w:hideMark/>
          </w:tcPr>
          <w:p w14:paraId="770AAC85" w14:textId="77777777" w:rsidR="00150C7F" w:rsidRPr="005F76D9" w:rsidRDefault="00150C7F" w:rsidP="00150C7F">
            <w:pPr>
              <w:pStyle w:val="Tabletext1"/>
              <w:ind w:left="0"/>
              <w:rPr>
                <w:rFonts w:cs="Calibri"/>
                <w:color w:val="000000"/>
              </w:rPr>
            </w:pPr>
            <w:r w:rsidRPr="005F76D9">
              <w:rPr>
                <w:rFonts w:cs="Calibri"/>
                <w:color w:val="000000"/>
              </w:rPr>
              <w:t>0.18</w:t>
            </w:r>
          </w:p>
        </w:tc>
        <w:tc>
          <w:tcPr>
            <w:tcW w:w="550" w:type="pct"/>
            <w:noWrap/>
            <w:hideMark/>
          </w:tcPr>
          <w:p w14:paraId="6F8962A6" w14:textId="006A19AE" w:rsidR="00150C7F" w:rsidRPr="005F76D9" w:rsidRDefault="00150C7F" w:rsidP="00150C7F">
            <w:pPr>
              <w:pStyle w:val="Tabletext1"/>
              <w:ind w:left="0"/>
              <w:rPr>
                <w:rFonts w:cs="Calibri"/>
                <w:color w:val="000000"/>
              </w:rPr>
            </w:pPr>
            <w:r w:rsidRPr="00671B7C">
              <w:t>$49,991</w:t>
            </w:r>
          </w:p>
        </w:tc>
        <w:tc>
          <w:tcPr>
            <w:tcW w:w="472" w:type="pct"/>
            <w:noWrap/>
            <w:hideMark/>
          </w:tcPr>
          <w:p w14:paraId="049A6FB9" w14:textId="05F3FCAE" w:rsidR="00150C7F" w:rsidRPr="005F76D9" w:rsidRDefault="00150C7F" w:rsidP="00150C7F">
            <w:pPr>
              <w:pStyle w:val="Tabletext1"/>
              <w:ind w:left="0"/>
              <w:rPr>
                <w:rFonts w:cs="Calibri"/>
                <w:color w:val="000000"/>
              </w:rPr>
            </w:pPr>
            <w:r w:rsidRPr="00671B7C">
              <w:t>0.7016</w:t>
            </w:r>
          </w:p>
        </w:tc>
        <w:tc>
          <w:tcPr>
            <w:tcW w:w="550" w:type="pct"/>
            <w:noWrap/>
            <w:hideMark/>
          </w:tcPr>
          <w:p w14:paraId="33BCB199" w14:textId="08EF2F32" w:rsidR="00150C7F" w:rsidRPr="005F76D9" w:rsidRDefault="00150C7F" w:rsidP="00150C7F">
            <w:pPr>
              <w:pStyle w:val="Tabletext1"/>
              <w:ind w:left="0"/>
              <w:rPr>
                <w:rFonts w:cs="Calibri"/>
                <w:color w:val="000000"/>
              </w:rPr>
            </w:pPr>
            <w:r w:rsidRPr="00671B7C">
              <w:t>$71,251</w:t>
            </w:r>
          </w:p>
        </w:tc>
        <w:tc>
          <w:tcPr>
            <w:tcW w:w="522" w:type="pct"/>
            <w:noWrap/>
            <w:hideMark/>
          </w:tcPr>
          <w:p w14:paraId="68F6068F" w14:textId="1C654C10" w:rsidR="00150C7F" w:rsidRPr="005F76D9" w:rsidRDefault="00150C7F" w:rsidP="00150C7F">
            <w:pPr>
              <w:pStyle w:val="Tabletext1"/>
              <w:ind w:left="0"/>
              <w:rPr>
                <w:rFonts w:cs="Calibri"/>
                <w:color w:val="000000"/>
              </w:rPr>
            </w:pPr>
            <w:r w:rsidRPr="00671B7C">
              <w:t>-24%</w:t>
            </w:r>
          </w:p>
        </w:tc>
      </w:tr>
      <w:tr w:rsidR="00150C7F" w:rsidRPr="005F76D9" w14:paraId="2A1C175D" w14:textId="77777777" w:rsidTr="00696D8F">
        <w:trPr>
          <w:trHeight w:val="255"/>
        </w:trPr>
        <w:tc>
          <w:tcPr>
            <w:tcW w:w="2906" w:type="pct"/>
            <w:noWrap/>
            <w:hideMark/>
          </w:tcPr>
          <w:p w14:paraId="13CFCBE7" w14:textId="345F75D5" w:rsidR="00150C7F" w:rsidRPr="005F76D9" w:rsidRDefault="00150C7F" w:rsidP="00150C7F">
            <w:pPr>
              <w:pStyle w:val="Tabletext1"/>
              <w:ind w:left="0"/>
              <w:rPr>
                <w:rFonts w:cs="Calibri"/>
                <w:b/>
                <w:bCs/>
                <w:color w:val="000000"/>
              </w:rPr>
            </w:pPr>
            <w:r w:rsidRPr="005F76D9">
              <w:rPr>
                <w:rFonts w:cs="Calibri"/>
                <w:b/>
                <w:bCs/>
                <w:color w:val="000000"/>
              </w:rPr>
              <w:t>Di</w:t>
            </w:r>
            <w:r w:rsidR="00CC6DE8">
              <w:rPr>
                <w:rFonts w:cs="Calibri"/>
                <w:b/>
                <w:bCs/>
                <w:color w:val="000000"/>
              </w:rPr>
              <w:t>s</w:t>
            </w:r>
            <w:r w:rsidRPr="005F76D9">
              <w:rPr>
                <w:rFonts w:cs="Calibri"/>
                <w:b/>
                <w:bCs/>
                <w:color w:val="000000"/>
              </w:rPr>
              <w:t>count rate (base-case: 5%)</w:t>
            </w:r>
          </w:p>
        </w:tc>
        <w:tc>
          <w:tcPr>
            <w:tcW w:w="550" w:type="pct"/>
            <w:noWrap/>
            <w:hideMark/>
          </w:tcPr>
          <w:p w14:paraId="25CE0C33" w14:textId="77777777" w:rsidR="00150C7F" w:rsidRPr="005F76D9" w:rsidRDefault="00150C7F" w:rsidP="00150C7F">
            <w:pPr>
              <w:pStyle w:val="Tabletext1"/>
              <w:ind w:left="0"/>
              <w:rPr>
                <w:rFonts w:cs="Calibri"/>
                <w:b/>
                <w:bCs/>
                <w:color w:val="000000"/>
              </w:rPr>
            </w:pPr>
          </w:p>
        </w:tc>
        <w:tc>
          <w:tcPr>
            <w:tcW w:w="472" w:type="pct"/>
            <w:noWrap/>
            <w:hideMark/>
          </w:tcPr>
          <w:p w14:paraId="6CB6CB9A" w14:textId="77777777" w:rsidR="00150C7F" w:rsidRPr="005F76D9" w:rsidRDefault="00150C7F" w:rsidP="00150C7F">
            <w:pPr>
              <w:pStyle w:val="Tabletext1"/>
              <w:ind w:left="0"/>
            </w:pPr>
          </w:p>
        </w:tc>
        <w:tc>
          <w:tcPr>
            <w:tcW w:w="550" w:type="pct"/>
            <w:noWrap/>
            <w:hideMark/>
          </w:tcPr>
          <w:p w14:paraId="3BADD34C" w14:textId="77777777" w:rsidR="00150C7F" w:rsidRPr="005F76D9" w:rsidRDefault="00150C7F" w:rsidP="00150C7F">
            <w:pPr>
              <w:pStyle w:val="Tabletext1"/>
              <w:ind w:left="0"/>
            </w:pPr>
          </w:p>
        </w:tc>
        <w:tc>
          <w:tcPr>
            <w:tcW w:w="522" w:type="pct"/>
            <w:noWrap/>
            <w:hideMark/>
          </w:tcPr>
          <w:p w14:paraId="168FEA4C" w14:textId="77777777" w:rsidR="00150C7F" w:rsidRPr="005F76D9" w:rsidRDefault="00150C7F" w:rsidP="00150C7F">
            <w:pPr>
              <w:pStyle w:val="Tabletext1"/>
              <w:ind w:left="0"/>
              <w:rPr>
                <w:rFonts w:cs="Calibri"/>
                <w:color w:val="000000"/>
              </w:rPr>
            </w:pPr>
          </w:p>
        </w:tc>
      </w:tr>
      <w:tr w:rsidR="00150C7F" w:rsidRPr="005F76D9" w14:paraId="1E8417EB" w14:textId="77777777" w:rsidTr="00696D8F">
        <w:trPr>
          <w:trHeight w:val="255"/>
        </w:trPr>
        <w:tc>
          <w:tcPr>
            <w:tcW w:w="2906" w:type="pct"/>
            <w:noWrap/>
            <w:hideMark/>
          </w:tcPr>
          <w:p w14:paraId="12B915A4" w14:textId="77777777" w:rsidR="00150C7F" w:rsidRPr="005F76D9" w:rsidRDefault="00150C7F" w:rsidP="00150C7F">
            <w:pPr>
              <w:pStyle w:val="Tabletext1"/>
              <w:ind w:left="0"/>
              <w:rPr>
                <w:rFonts w:cs="Calibri"/>
                <w:color w:val="000000"/>
              </w:rPr>
            </w:pPr>
            <w:r w:rsidRPr="005F76D9">
              <w:rPr>
                <w:rFonts w:cs="Calibri"/>
                <w:color w:val="000000"/>
              </w:rPr>
              <w:t>0% (undiscounted)</w:t>
            </w:r>
          </w:p>
        </w:tc>
        <w:tc>
          <w:tcPr>
            <w:tcW w:w="550" w:type="pct"/>
            <w:noWrap/>
            <w:hideMark/>
          </w:tcPr>
          <w:p w14:paraId="617FF9A9" w14:textId="761CA77C" w:rsidR="00150C7F" w:rsidRPr="005F76D9" w:rsidRDefault="00150C7F" w:rsidP="00150C7F">
            <w:pPr>
              <w:pStyle w:val="Tabletext1"/>
              <w:ind w:left="0"/>
              <w:rPr>
                <w:rFonts w:cs="Calibri"/>
                <w:color w:val="000000"/>
              </w:rPr>
            </w:pPr>
            <w:r w:rsidRPr="00671B7C">
              <w:t>$65,011</w:t>
            </w:r>
          </w:p>
        </w:tc>
        <w:tc>
          <w:tcPr>
            <w:tcW w:w="472" w:type="pct"/>
            <w:noWrap/>
            <w:hideMark/>
          </w:tcPr>
          <w:p w14:paraId="0599B45F" w14:textId="1E4A591C" w:rsidR="00150C7F" w:rsidRPr="005F76D9" w:rsidRDefault="00150C7F" w:rsidP="00150C7F">
            <w:pPr>
              <w:pStyle w:val="Tabletext1"/>
              <w:ind w:left="0"/>
              <w:rPr>
                <w:rFonts w:cs="Calibri"/>
                <w:color w:val="000000"/>
              </w:rPr>
            </w:pPr>
            <w:r w:rsidRPr="00671B7C">
              <w:t>0.7050</w:t>
            </w:r>
          </w:p>
        </w:tc>
        <w:tc>
          <w:tcPr>
            <w:tcW w:w="550" w:type="pct"/>
            <w:noWrap/>
            <w:hideMark/>
          </w:tcPr>
          <w:p w14:paraId="74A94A2B" w14:textId="061C5B51" w:rsidR="00150C7F" w:rsidRPr="005F76D9" w:rsidRDefault="00150C7F" w:rsidP="00150C7F">
            <w:pPr>
              <w:pStyle w:val="Tabletext1"/>
              <w:ind w:left="0"/>
              <w:rPr>
                <w:rFonts w:cs="Calibri"/>
                <w:color w:val="000000"/>
              </w:rPr>
            </w:pPr>
            <w:r w:rsidRPr="00671B7C">
              <w:t>$92,216</w:t>
            </w:r>
          </w:p>
        </w:tc>
        <w:tc>
          <w:tcPr>
            <w:tcW w:w="522" w:type="pct"/>
            <w:noWrap/>
            <w:hideMark/>
          </w:tcPr>
          <w:p w14:paraId="1D8F5387" w14:textId="42380E6E" w:rsidR="00150C7F" w:rsidRPr="005F76D9" w:rsidRDefault="00150C7F" w:rsidP="00150C7F">
            <w:pPr>
              <w:pStyle w:val="Tabletext1"/>
              <w:ind w:left="0"/>
              <w:rPr>
                <w:rFonts w:cs="Calibri"/>
                <w:color w:val="000000"/>
              </w:rPr>
            </w:pPr>
            <w:r w:rsidRPr="00671B7C">
              <w:t>-2%</w:t>
            </w:r>
          </w:p>
        </w:tc>
      </w:tr>
      <w:tr w:rsidR="00150C7F" w:rsidRPr="005F76D9" w14:paraId="04E64E42" w14:textId="77777777" w:rsidTr="00696D8F">
        <w:trPr>
          <w:trHeight w:val="255"/>
        </w:trPr>
        <w:tc>
          <w:tcPr>
            <w:tcW w:w="2906" w:type="pct"/>
            <w:tcBorders>
              <w:bottom w:val="single" w:sz="4" w:space="0" w:color="auto"/>
            </w:tcBorders>
            <w:noWrap/>
            <w:hideMark/>
          </w:tcPr>
          <w:p w14:paraId="4C965CD9" w14:textId="77777777" w:rsidR="00150C7F" w:rsidRPr="005F76D9" w:rsidRDefault="00150C7F" w:rsidP="00150C7F">
            <w:pPr>
              <w:pStyle w:val="Tabletext1"/>
              <w:ind w:left="0"/>
              <w:rPr>
                <w:rFonts w:cs="Calibri"/>
                <w:color w:val="000000"/>
              </w:rPr>
            </w:pPr>
            <w:r w:rsidRPr="005F76D9">
              <w:rPr>
                <w:rFonts w:cs="Calibri"/>
                <w:color w:val="000000"/>
              </w:rPr>
              <w:t>3%</w:t>
            </w:r>
          </w:p>
        </w:tc>
        <w:tc>
          <w:tcPr>
            <w:tcW w:w="550" w:type="pct"/>
            <w:tcBorders>
              <w:bottom w:val="single" w:sz="4" w:space="0" w:color="auto"/>
            </w:tcBorders>
            <w:noWrap/>
            <w:hideMark/>
          </w:tcPr>
          <w:p w14:paraId="3F74DFCD" w14:textId="1ED0AB6B" w:rsidR="00150C7F" w:rsidRPr="005F76D9" w:rsidRDefault="00150C7F" w:rsidP="00150C7F">
            <w:pPr>
              <w:pStyle w:val="Tabletext1"/>
              <w:ind w:left="0"/>
              <w:rPr>
                <w:rFonts w:cs="Calibri"/>
                <w:color w:val="000000"/>
              </w:rPr>
            </w:pPr>
            <w:r w:rsidRPr="00671B7C">
              <w:t>$55,327</w:t>
            </w:r>
          </w:p>
        </w:tc>
        <w:tc>
          <w:tcPr>
            <w:tcW w:w="472" w:type="pct"/>
            <w:tcBorders>
              <w:bottom w:val="single" w:sz="4" w:space="0" w:color="auto"/>
            </w:tcBorders>
            <w:noWrap/>
            <w:hideMark/>
          </w:tcPr>
          <w:p w14:paraId="01BA95B1" w14:textId="102858BF" w:rsidR="00150C7F" w:rsidRPr="005F76D9" w:rsidRDefault="00150C7F" w:rsidP="00150C7F">
            <w:pPr>
              <w:pStyle w:val="Tabletext1"/>
              <w:ind w:left="0"/>
              <w:rPr>
                <w:rFonts w:cs="Calibri"/>
                <w:color w:val="000000"/>
              </w:rPr>
            </w:pPr>
            <w:r w:rsidRPr="00671B7C">
              <w:t>0.5931</w:t>
            </w:r>
          </w:p>
        </w:tc>
        <w:tc>
          <w:tcPr>
            <w:tcW w:w="550" w:type="pct"/>
            <w:tcBorders>
              <w:bottom w:val="single" w:sz="4" w:space="0" w:color="auto"/>
            </w:tcBorders>
            <w:noWrap/>
            <w:hideMark/>
          </w:tcPr>
          <w:p w14:paraId="6E0D4F16" w14:textId="3B275BC9" w:rsidR="00150C7F" w:rsidRPr="005F76D9" w:rsidRDefault="00150C7F" w:rsidP="00150C7F">
            <w:pPr>
              <w:pStyle w:val="Tabletext1"/>
              <w:ind w:left="0"/>
              <w:rPr>
                <w:rFonts w:cs="Calibri"/>
                <w:color w:val="000000"/>
              </w:rPr>
            </w:pPr>
            <w:r w:rsidRPr="00671B7C">
              <w:t>$93,291</w:t>
            </w:r>
          </w:p>
        </w:tc>
        <w:tc>
          <w:tcPr>
            <w:tcW w:w="522" w:type="pct"/>
            <w:tcBorders>
              <w:bottom w:val="single" w:sz="4" w:space="0" w:color="auto"/>
            </w:tcBorders>
            <w:noWrap/>
            <w:hideMark/>
          </w:tcPr>
          <w:p w14:paraId="0F9FEA25" w14:textId="40954A3F" w:rsidR="00150C7F" w:rsidRPr="005F76D9" w:rsidRDefault="00150C7F" w:rsidP="00150C7F">
            <w:pPr>
              <w:pStyle w:val="Tabletext1"/>
              <w:ind w:left="0"/>
              <w:rPr>
                <w:rFonts w:cs="Calibri"/>
                <w:color w:val="000000"/>
              </w:rPr>
            </w:pPr>
            <w:r w:rsidRPr="00671B7C">
              <w:t>-1%</w:t>
            </w:r>
          </w:p>
        </w:tc>
      </w:tr>
      <w:tr w:rsidR="00150C7F" w:rsidRPr="005F76D9" w14:paraId="4D92EAB0" w14:textId="77777777" w:rsidTr="00696D8F">
        <w:trPr>
          <w:trHeight w:val="255"/>
        </w:trPr>
        <w:tc>
          <w:tcPr>
            <w:tcW w:w="2906" w:type="pct"/>
            <w:tcBorders>
              <w:right w:val="nil"/>
            </w:tcBorders>
            <w:noWrap/>
            <w:hideMark/>
          </w:tcPr>
          <w:p w14:paraId="1254F207" w14:textId="77777777" w:rsidR="00150C7F" w:rsidRPr="005F76D9" w:rsidRDefault="00150C7F" w:rsidP="00150C7F">
            <w:pPr>
              <w:pStyle w:val="Tabletext1"/>
              <w:ind w:left="0"/>
              <w:rPr>
                <w:rFonts w:cs="Calibri"/>
                <w:b/>
                <w:bCs/>
                <w:color w:val="000000"/>
              </w:rPr>
            </w:pPr>
            <w:r w:rsidRPr="005F76D9">
              <w:rPr>
                <w:rFonts w:cs="Calibri"/>
                <w:b/>
                <w:bCs/>
                <w:color w:val="000000"/>
              </w:rPr>
              <w:t>Modelled time horizon (base case: 10 years)</w:t>
            </w:r>
          </w:p>
        </w:tc>
        <w:tc>
          <w:tcPr>
            <w:tcW w:w="550" w:type="pct"/>
            <w:tcBorders>
              <w:left w:val="nil"/>
              <w:right w:val="nil"/>
            </w:tcBorders>
            <w:noWrap/>
            <w:hideMark/>
          </w:tcPr>
          <w:p w14:paraId="5FD5A4EC" w14:textId="77777777" w:rsidR="00150C7F" w:rsidRPr="005F76D9" w:rsidRDefault="00150C7F" w:rsidP="00150C7F">
            <w:pPr>
              <w:pStyle w:val="Tabletext1"/>
              <w:ind w:left="0"/>
              <w:rPr>
                <w:rFonts w:cs="Calibri"/>
                <w:b/>
                <w:bCs/>
                <w:color w:val="000000"/>
              </w:rPr>
            </w:pPr>
          </w:p>
        </w:tc>
        <w:tc>
          <w:tcPr>
            <w:tcW w:w="472" w:type="pct"/>
            <w:tcBorders>
              <w:left w:val="nil"/>
              <w:right w:val="nil"/>
            </w:tcBorders>
            <w:noWrap/>
            <w:hideMark/>
          </w:tcPr>
          <w:p w14:paraId="2224DC49" w14:textId="77777777" w:rsidR="00150C7F" w:rsidRPr="005F76D9" w:rsidRDefault="00150C7F" w:rsidP="00150C7F">
            <w:pPr>
              <w:pStyle w:val="Tabletext1"/>
              <w:ind w:left="0"/>
            </w:pPr>
          </w:p>
        </w:tc>
        <w:tc>
          <w:tcPr>
            <w:tcW w:w="550" w:type="pct"/>
            <w:tcBorders>
              <w:left w:val="nil"/>
              <w:right w:val="nil"/>
            </w:tcBorders>
            <w:noWrap/>
            <w:hideMark/>
          </w:tcPr>
          <w:p w14:paraId="7B239B3B" w14:textId="77777777" w:rsidR="00150C7F" w:rsidRPr="005F76D9" w:rsidRDefault="00150C7F" w:rsidP="00150C7F">
            <w:pPr>
              <w:pStyle w:val="Tabletext1"/>
              <w:ind w:left="0"/>
            </w:pPr>
          </w:p>
        </w:tc>
        <w:tc>
          <w:tcPr>
            <w:tcW w:w="522" w:type="pct"/>
            <w:tcBorders>
              <w:left w:val="nil"/>
            </w:tcBorders>
            <w:noWrap/>
            <w:hideMark/>
          </w:tcPr>
          <w:p w14:paraId="200727E9" w14:textId="77777777" w:rsidR="00150C7F" w:rsidRPr="005F76D9" w:rsidRDefault="00150C7F" w:rsidP="00150C7F">
            <w:pPr>
              <w:pStyle w:val="Tabletext1"/>
              <w:ind w:left="0"/>
              <w:rPr>
                <w:rFonts w:cs="Calibri"/>
                <w:color w:val="000000"/>
              </w:rPr>
            </w:pPr>
          </w:p>
        </w:tc>
      </w:tr>
      <w:tr w:rsidR="00150C7F" w:rsidRPr="005F76D9" w14:paraId="17FD2179" w14:textId="77777777" w:rsidTr="00696D8F">
        <w:trPr>
          <w:trHeight w:val="300"/>
        </w:trPr>
        <w:tc>
          <w:tcPr>
            <w:tcW w:w="2906" w:type="pct"/>
            <w:noWrap/>
            <w:hideMark/>
          </w:tcPr>
          <w:p w14:paraId="18424200" w14:textId="77777777" w:rsidR="00150C7F" w:rsidRPr="005F76D9" w:rsidRDefault="00150C7F" w:rsidP="00150C7F">
            <w:pPr>
              <w:pStyle w:val="Tabletext1"/>
              <w:ind w:left="0"/>
              <w:rPr>
                <w:rFonts w:cs="Calibri"/>
                <w:color w:val="000000"/>
              </w:rPr>
            </w:pPr>
            <w:r w:rsidRPr="005F76D9">
              <w:rPr>
                <w:rFonts w:cs="Calibri"/>
                <w:color w:val="000000"/>
              </w:rPr>
              <w:t>1 year</w:t>
            </w:r>
          </w:p>
        </w:tc>
        <w:tc>
          <w:tcPr>
            <w:tcW w:w="550" w:type="pct"/>
            <w:noWrap/>
            <w:hideMark/>
          </w:tcPr>
          <w:p w14:paraId="40EAA83B" w14:textId="666112DC" w:rsidR="00150C7F" w:rsidRPr="005F76D9" w:rsidRDefault="00150C7F" w:rsidP="00150C7F">
            <w:pPr>
              <w:pStyle w:val="Tabletext1"/>
              <w:ind w:left="0"/>
              <w:rPr>
                <w:rFonts w:cs="Calibri"/>
                <w:color w:val="000000"/>
              </w:rPr>
            </w:pPr>
            <w:r w:rsidRPr="00671B7C">
              <w:t>$3,590</w:t>
            </w:r>
          </w:p>
        </w:tc>
        <w:tc>
          <w:tcPr>
            <w:tcW w:w="472" w:type="pct"/>
            <w:noWrap/>
            <w:hideMark/>
          </w:tcPr>
          <w:p w14:paraId="0544BC0D" w14:textId="42C35499" w:rsidR="00150C7F" w:rsidRPr="005F76D9" w:rsidRDefault="00150C7F" w:rsidP="00150C7F">
            <w:pPr>
              <w:pStyle w:val="Tabletext1"/>
              <w:ind w:left="0"/>
              <w:rPr>
                <w:rFonts w:cs="Calibri"/>
                <w:color w:val="000000"/>
              </w:rPr>
            </w:pPr>
            <w:r w:rsidRPr="00671B7C">
              <w:t>0.0164</w:t>
            </w:r>
          </w:p>
        </w:tc>
        <w:tc>
          <w:tcPr>
            <w:tcW w:w="550" w:type="pct"/>
            <w:noWrap/>
            <w:hideMark/>
          </w:tcPr>
          <w:p w14:paraId="38EEDF51" w14:textId="127D461E" w:rsidR="00150C7F" w:rsidRPr="005F76D9" w:rsidRDefault="00150C7F" w:rsidP="00150C7F">
            <w:pPr>
              <w:pStyle w:val="Tabletext1"/>
              <w:ind w:left="0"/>
              <w:rPr>
                <w:rFonts w:cs="Calibri"/>
                <w:color w:val="000000"/>
              </w:rPr>
            </w:pPr>
            <w:r w:rsidRPr="00671B7C">
              <w:t>$218,409</w:t>
            </w:r>
          </w:p>
        </w:tc>
        <w:tc>
          <w:tcPr>
            <w:tcW w:w="522" w:type="pct"/>
            <w:noWrap/>
            <w:hideMark/>
          </w:tcPr>
          <w:p w14:paraId="3EFA00CA" w14:textId="39A50AFA" w:rsidR="00150C7F" w:rsidRPr="005F76D9" w:rsidRDefault="00150C7F" w:rsidP="00150C7F">
            <w:pPr>
              <w:pStyle w:val="Tabletext1"/>
              <w:ind w:left="0"/>
              <w:rPr>
                <w:rFonts w:cs="Calibri"/>
                <w:color w:val="000000"/>
              </w:rPr>
            </w:pPr>
            <w:r w:rsidRPr="00671B7C">
              <w:t>132%</w:t>
            </w:r>
          </w:p>
        </w:tc>
      </w:tr>
      <w:tr w:rsidR="00150C7F" w:rsidRPr="005F76D9" w14:paraId="3DF4E972" w14:textId="77777777" w:rsidTr="00696D8F">
        <w:trPr>
          <w:trHeight w:val="315"/>
        </w:trPr>
        <w:tc>
          <w:tcPr>
            <w:tcW w:w="2906" w:type="pct"/>
            <w:noWrap/>
            <w:hideMark/>
          </w:tcPr>
          <w:p w14:paraId="64F9DB7F" w14:textId="77777777" w:rsidR="00150C7F" w:rsidRPr="005F76D9" w:rsidRDefault="00150C7F" w:rsidP="00150C7F">
            <w:pPr>
              <w:pStyle w:val="Tabletext1"/>
              <w:ind w:left="0"/>
              <w:rPr>
                <w:rFonts w:cs="Calibri"/>
                <w:color w:val="000000"/>
              </w:rPr>
            </w:pPr>
            <w:r w:rsidRPr="005F76D9">
              <w:rPr>
                <w:rFonts w:cs="Calibri"/>
                <w:color w:val="000000"/>
              </w:rPr>
              <w:t>3 years</w:t>
            </w:r>
          </w:p>
        </w:tc>
        <w:tc>
          <w:tcPr>
            <w:tcW w:w="550" w:type="pct"/>
            <w:noWrap/>
            <w:hideMark/>
          </w:tcPr>
          <w:p w14:paraId="60668E59" w14:textId="057D8C7C" w:rsidR="00150C7F" w:rsidRPr="005F76D9" w:rsidRDefault="00150C7F" w:rsidP="00150C7F">
            <w:pPr>
              <w:pStyle w:val="Tabletext1"/>
              <w:ind w:left="0"/>
              <w:rPr>
                <w:rFonts w:cs="Calibri"/>
                <w:color w:val="000000"/>
              </w:rPr>
            </w:pPr>
            <w:r w:rsidRPr="00671B7C">
              <w:t>$12,974</w:t>
            </w:r>
          </w:p>
        </w:tc>
        <w:tc>
          <w:tcPr>
            <w:tcW w:w="472" w:type="pct"/>
            <w:noWrap/>
            <w:hideMark/>
          </w:tcPr>
          <w:p w14:paraId="596FC5CC" w14:textId="0D3144F6" w:rsidR="00150C7F" w:rsidRPr="005F76D9" w:rsidRDefault="00150C7F" w:rsidP="00150C7F">
            <w:pPr>
              <w:pStyle w:val="Tabletext1"/>
              <w:ind w:left="0"/>
              <w:rPr>
                <w:rFonts w:cs="Calibri"/>
                <w:color w:val="000000"/>
              </w:rPr>
            </w:pPr>
            <w:r w:rsidRPr="00671B7C">
              <w:t>0.1025</w:t>
            </w:r>
          </w:p>
        </w:tc>
        <w:tc>
          <w:tcPr>
            <w:tcW w:w="550" w:type="pct"/>
            <w:noWrap/>
            <w:hideMark/>
          </w:tcPr>
          <w:p w14:paraId="3003F84E" w14:textId="4D45F197" w:rsidR="00150C7F" w:rsidRPr="005F76D9" w:rsidRDefault="00150C7F" w:rsidP="00150C7F">
            <w:pPr>
              <w:pStyle w:val="Tabletext1"/>
              <w:ind w:left="0"/>
              <w:rPr>
                <w:rFonts w:cs="Calibri"/>
                <w:color w:val="000000"/>
              </w:rPr>
            </w:pPr>
            <w:r w:rsidRPr="00671B7C">
              <w:t>$126,578</w:t>
            </w:r>
          </w:p>
        </w:tc>
        <w:tc>
          <w:tcPr>
            <w:tcW w:w="522" w:type="pct"/>
            <w:noWrap/>
            <w:hideMark/>
          </w:tcPr>
          <w:p w14:paraId="23598FF8" w14:textId="59E9BEBB" w:rsidR="00150C7F" w:rsidRPr="005F76D9" w:rsidRDefault="00150C7F" w:rsidP="00150C7F">
            <w:pPr>
              <w:pStyle w:val="Tabletext1"/>
              <w:ind w:left="0"/>
              <w:rPr>
                <w:rFonts w:cs="Calibri"/>
                <w:color w:val="000000"/>
              </w:rPr>
            </w:pPr>
            <w:r w:rsidRPr="00671B7C">
              <w:t>35%</w:t>
            </w:r>
          </w:p>
        </w:tc>
      </w:tr>
      <w:tr w:rsidR="00150C7F" w:rsidRPr="005F76D9" w14:paraId="784189FC" w14:textId="77777777" w:rsidTr="00696D8F">
        <w:trPr>
          <w:trHeight w:val="300"/>
        </w:trPr>
        <w:tc>
          <w:tcPr>
            <w:tcW w:w="2906" w:type="pct"/>
            <w:noWrap/>
            <w:hideMark/>
          </w:tcPr>
          <w:p w14:paraId="77AC97C6" w14:textId="77777777" w:rsidR="00150C7F" w:rsidRPr="005F76D9" w:rsidRDefault="00150C7F" w:rsidP="00150C7F">
            <w:pPr>
              <w:pStyle w:val="Tabletext1"/>
              <w:ind w:left="0"/>
              <w:rPr>
                <w:rFonts w:cs="Calibri"/>
                <w:color w:val="000000"/>
              </w:rPr>
            </w:pPr>
            <w:r w:rsidRPr="005F76D9">
              <w:rPr>
                <w:rFonts w:cs="Calibri"/>
                <w:color w:val="000000"/>
              </w:rPr>
              <w:t>5 years</w:t>
            </w:r>
          </w:p>
        </w:tc>
        <w:tc>
          <w:tcPr>
            <w:tcW w:w="550" w:type="pct"/>
            <w:noWrap/>
            <w:hideMark/>
          </w:tcPr>
          <w:p w14:paraId="33476D35" w14:textId="76F222B3" w:rsidR="00150C7F" w:rsidRPr="005F76D9" w:rsidRDefault="00150C7F" w:rsidP="00150C7F">
            <w:pPr>
              <w:pStyle w:val="Tabletext1"/>
              <w:ind w:left="0"/>
              <w:rPr>
                <w:rFonts w:cs="Calibri"/>
                <w:color w:val="000000"/>
              </w:rPr>
            </w:pPr>
            <w:r w:rsidRPr="00671B7C">
              <w:t>$23,719</w:t>
            </w:r>
          </w:p>
        </w:tc>
        <w:tc>
          <w:tcPr>
            <w:tcW w:w="472" w:type="pct"/>
            <w:noWrap/>
            <w:hideMark/>
          </w:tcPr>
          <w:p w14:paraId="563561D8" w14:textId="67B6FAF0" w:rsidR="00150C7F" w:rsidRPr="005F76D9" w:rsidRDefault="00150C7F" w:rsidP="00150C7F">
            <w:pPr>
              <w:pStyle w:val="Tabletext1"/>
              <w:ind w:left="0"/>
              <w:rPr>
                <w:rFonts w:cs="Calibri"/>
                <w:color w:val="000000"/>
              </w:rPr>
            </w:pPr>
            <w:r w:rsidRPr="00671B7C">
              <w:t>0.2203</w:t>
            </w:r>
          </w:p>
        </w:tc>
        <w:tc>
          <w:tcPr>
            <w:tcW w:w="550" w:type="pct"/>
            <w:noWrap/>
            <w:hideMark/>
          </w:tcPr>
          <w:p w14:paraId="58F78245" w14:textId="46EF2AFF" w:rsidR="00150C7F" w:rsidRPr="005F76D9" w:rsidRDefault="00150C7F" w:rsidP="00150C7F">
            <w:pPr>
              <w:pStyle w:val="Tabletext1"/>
              <w:ind w:left="0"/>
              <w:rPr>
                <w:rFonts w:cs="Calibri"/>
                <w:color w:val="000000"/>
              </w:rPr>
            </w:pPr>
            <w:r w:rsidRPr="00671B7C">
              <w:t>$107,657</w:t>
            </w:r>
          </w:p>
        </w:tc>
        <w:tc>
          <w:tcPr>
            <w:tcW w:w="522" w:type="pct"/>
            <w:noWrap/>
            <w:hideMark/>
          </w:tcPr>
          <w:p w14:paraId="2A4D7300" w14:textId="2DBB82A1" w:rsidR="00150C7F" w:rsidRPr="005F76D9" w:rsidRDefault="00150C7F" w:rsidP="00150C7F">
            <w:pPr>
              <w:pStyle w:val="Tabletext1"/>
              <w:ind w:left="0"/>
              <w:rPr>
                <w:rFonts w:cs="Calibri"/>
                <w:color w:val="000000"/>
              </w:rPr>
            </w:pPr>
            <w:r w:rsidRPr="00671B7C">
              <w:t>14%</w:t>
            </w:r>
          </w:p>
        </w:tc>
      </w:tr>
      <w:tr w:rsidR="00150C7F" w:rsidRPr="005F76D9" w14:paraId="038555A8" w14:textId="77777777" w:rsidTr="00696D8F">
        <w:trPr>
          <w:trHeight w:val="255"/>
        </w:trPr>
        <w:tc>
          <w:tcPr>
            <w:tcW w:w="2906" w:type="pct"/>
            <w:tcBorders>
              <w:bottom w:val="single" w:sz="4" w:space="0" w:color="auto"/>
            </w:tcBorders>
            <w:noWrap/>
            <w:hideMark/>
          </w:tcPr>
          <w:p w14:paraId="0557713A" w14:textId="77777777" w:rsidR="00150C7F" w:rsidRPr="005F76D9" w:rsidRDefault="00150C7F" w:rsidP="00150C7F">
            <w:pPr>
              <w:pStyle w:val="Tabletext1"/>
              <w:ind w:left="0"/>
              <w:rPr>
                <w:rFonts w:cs="Calibri"/>
                <w:color w:val="000000"/>
              </w:rPr>
            </w:pPr>
            <w:r w:rsidRPr="005F76D9">
              <w:rPr>
                <w:rFonts w:cs="Calibri"/>
                <w:color w:val="000000"/>
              </w:rPr>
              <w:t>7 years</w:t>
            </w:r>
          </w:p>
        </w:tc>
        <w:tc>
          <w:tcPr>
            <w:tcW w:w="550" w:type="pct"/>
            <w:tcBorders>
              <w:bottom w:val="single" w:sz="4" w:space="0" w:color="auto"/>
            </w:tcBorders>
            <w:noWrap/>
            <w:hideMark/>
          </w:tcPr>
          <w:p w14:paraId="069F681C" w14:textId="45A9FC4C" w:rsidR="00150C7F" w:rsidRPr="005F76D9" w:rsidRDefault="00150C7F" w:rsidP="00150C7F">
            <w:pPr>
              <w:pStyle w:val="Tabletext1"/>
              <w:ind w:left="0"/>
              <w:rPr>
                <w:rFonts w:cs="Calibri"/>
                <w:color w:val="000000"/>
              </w:rPr>
            </w:pPr>
            <w:r w:rsidRPr="00671B7C">
              <w:t>$34,600</w:t>
            </w:r>
          </w:p>
        </w:tc>
        <w:tc>
          <w:tcPr>
            <w:tcW w:w="472" w:type="pct"/>
            <w:tcBorders>
              <w:bottom w:val="single" w:sz="4" w:space="0" w:color="auto"/>
            </w:tcBorders>
            <w:noWrap/>
            <w:hideMark/>
          </w:tcPr>
          <w:p w14:paraId="2C69A9D4" w14:textId="4312DE02" w:rsidR="00150C7F" w:rsidRPr="005F76D9" w:rsidRDefault="00150C7F" w:rsidP="00150C7F">
            <w:pPr>
              <w:pStyle w:val="Tabletext1"/>
              <w:ind w:left="0"/>
              <w:rPr>
                <w:rFonts w:cs="Calibri"/>
                <w:color w:val="000000"/>
              </w:rPr>
            </w:pPr>
            <w:r w:rsidRPr="00671B7C">
              <w:t>0.3472</w:t>
            </w:r>
          </w:p>
        </w:tc>
        <w:tc>
          <w:tcPr>
            <w:tcW w:w="550" w:type="pct"/>
            <w:tcBorders>
              <w:bottom w:val="single" w:sz="4" w:space="0" w:color="auto"/>
            </w:tcBorders>
            <w:noWrap/>
            <w:hideMark/>
          </w:tcPr>
          <w:p w14:paraId="6CA4F192" w14:textId="1ED02AFE" w:rsidR="00150C7F" w:rsidRPr="005F76D9" w:rsidRDefault="00150C7F" w:rsidP="00150C7F">
            <w:pPr>
              <w:pStyle w:val="Tabletext1"/>
              <w:ind w:left="0"/>
              <w:rPr>
                <w:rFonts w:cs="Calibri"/>
                <w:color w:val="000000"/>
              </w:rPr>
            </w:pPr>
            <w:r w:rsidRPr="00671B7C">
              <w:t>$99,650</w:t>
            </w:r>
          </w:p>
        </w:tc>
        <w:tc>
          <w:tcPr>
            <w:tcW w:w="522" w:type="pct"/>
            <w:tcBorders>
              <w:bottom w:val="single" w:sz="4" w:space="0" w:color="auto"/>
            </w:tcBorders>
            <w:noWrap/>
            <w:hideMark/>
          </w:tcPr>
          <w:p w14:paraId="0ED459CA" w14:textId="3F77A076" w:rsidR="00150C7F" w:rsidRPr="005F76D9" w:rsidRDefault="00150C7F" w:rsidP="00150C7F">
            <w:pPr>
              <w:pStyle w:val="Tabletext1"/>
              <w:ind w:left="0"/>
              <w:rPr>
                <w:rFonts w:cs="Calibri"/>
                <w:color w:val="000000"/>
              </w:rPr>
            </w:pPr>
            <w:r w:rsidRPr="00671B7C">
              <w:t>6%</w:t>
            </w:r>
          </w:p>
        </w:tc>
      </w:tr>
      <w:tr w:rsidR="00150C7F" w:rsidRPr="005F76D9" w14:paraId="16D472CC" w14:textId="77777777" w:rsidTr="00696D8F">
        <w:trPr>
          <w:trHeight w:val="255"/>
        </w:trPr>
        <w:tc>
          <w:tcPr>
            <w:tcW w:w="2906" w:type="pct"/>
            <w:tcBorders>
              <w:bottom w:val="single" w:sz="4" w:space="0" w:color="auto"/>
              <w:right w:val="nil"/>
            </w:tcBorders>
            <w:noWrap/>
            <w:hideMark/>
          </w:tcPr>
          <w:p w14:paraId="2D33B525" w14:textId="77777777" w:rsidR="00150C7F" w:rsidRPr="005F76D9" w:rsidRDefault="00150C7F" w:rsidP="00150C7F">
            <w:pPr>
              <w:pStyle w:val="Tabletext1"/>
              <w:ind w:left="0"/>
              <w:rPr>
                <w:rFonts w:cs="Calibri"/>
                <w:b/>
                <w:bCs/>
                <w:color w:val="000000"/>
              </w:rPr>
            </w:pPr>
            <w:r w:rsidRPr="005F76D9">
              <w:rPr>
                <w:rFonts w:cs="Calibri"/>
                <w:b/>
                <w:bCs/>
                <w:color w:val="000000"/>
              </w:rPr>
              <w:t>Demographics</w:t>
            </w:r>
          </w:p>
        </w:tc>
        <w:tc>
          <w:tcPr>
            <w:tcW w:w="550" w:type="pct"/>
            <w:tcBorders>
              <w:left w:val="nil"/>
              <w:bottom w:val="single" w:sz="4" w:space="0" w:color="auto"/>
              <w:right w:val="nil"/>
            </w:tcBorders>
            <w:noWrap/>
            <w:hideMark/>
          </w:tcPr>
          <w:p w14:paraId="33B91F3D" w14:textId="77777777" w:rsidR="00150C7F" w:rsidRPr="005F76D9" w:rsidRDefault="00150C7F" w:rsidP="00150C7F">
            <w:pPr>
              <w:pStyle w:val="Tabletext1"/>
              <w:ind w:left="0"/>
              <w:rPr>
                <w:rFonts w:cs="Calibri"/>
                <w:b/>
                <w:bCs/>
                <w:color w:val="000000"/>
              </w:rPr>
            </w:pPr>
          </w:p>
        </w:tc>
        <w:tc>
          <w:tcPr>
            <w:tcW w:w="472" w:type="pct"/>
            <w:tcBorders>
              <w:left w:val="nil"/>
              <w:bottom w:val="single" w:sz="4" w:space="0" w:color="auto"/>
              <w:right w:val="nil"/>
            </w:tcBorders>
            <w:noWrap/>
            <w:hideMark/>
          </w:tcPr>
          <w:p w14:paraId="5FF035FC" w14:textId="77777777" w:rsidR="00150C7F" w:rsidRPr="005F76D9" w:rsidRDefault="00150C7F" w:rsidP="00150C7F">
            <w:pPr>
              <w:pStyle w:val="Tabletext1"/>
              <w:ind w:left="0"/>
            </w:pPr>
          </w:p>
        </w:tc>
        <w:tc>
          <w:tcPr>
            <w:tcW w:w="550" w:type="pct"/>
            <w:tcBorders>
              <w:left w:val="nil"/>
              <w:bottom w:val="single" w:sz="4" w:space="0" w:color="auto"/>
              <w:right w:val="nil"/>
            </w:tcBorders>
            <w:noWrap/>
            <w:hideMark/>
          </w:tcPr>
          <w:p w14:paraId="1D53E1AF" w14:textId="77777777" w:rsidR="00150C7F" w:rsidRPr="005F76D9" w:rsidRDefault="00150C7F" w:rsidP="00150C7F">
            <w:pPr>
              <w:pStyle w:val="Tabletext1"/>
              <w:ind w:left="0"/>
            </w:pPr>
          </w:p>
        </w:tc>
        <w:tc>
          <w:tcPr>
            <w:tcW w:w="522" w:type="pct"/>
            <w:tcBorders>
              <w:left w:val="nil"/>
              <w:bottom w:val="single" w:sz="4" w:space="0" w:color="auto"/>
            </w:tcBorders>
            <w:noWrap/>
            <w:hideMark/>
          </w:tcPr>
          <w:p w14:paraId="3605C7F3" w14:textId="77777777" w:rsidR="00150C7F" w:rsidRPr="005F76D9" w:rsidRDefault="00150C7F" w:rsidP="00150C7F">
            <w:pPr>
              <w:pStyle w:val="Tabletext1"/>
              <w:ind w:left="0"/>
              <w:rPr>
                <w:rFonts w:cs="Calibri"/>
                <w:color w:val="000000"/>
              </w:rPr>
            </w:pPr>
          </w:p>
        </w:tc>
      </w:tr>
      <w:tr w:rsidR="00150C7F" w:rsidRPr="005F76D9" w14:paraId="241BF7FF" w14:textId="77777777" w:rsidTr="00696D8F">
        <w:trPr>
          <w:trHeight w:val="255"/>
        </w:trPr>
        <w:tc>
          <w:tcPr>
            <w:tcW w:w="2906" w:type="pct"/>
            <w:tcBorders>
              <w:right w:val="nil"/>
            </w:tcBorders>
            <w:noWrap/>
            <w:hideMark/>
          </w:tcPr>
          <w:p w14:paraId="6F44B474" w14:textId="77777777" w:rsidR="00150C7F" w:rsidRPr="005F76D9" w:rsidRDefault="00150C7F" w:rsidP="00150C7F">
            <w:pPr>
              <w:pStyle w:val="Tabletext1"/>
              <w:ind w:left="0"/>
              <w:rPr>
                <w:rFonts w:cs="Calibri"/>
                <w:color w:val="000000"/>
              </w:rPr>
            </w:pPr>
            <w:r w:rsidRPr="005F76D9">
              <w:rPr>
                <w:rFonts w:cs="Calibri"/>
                <w:color w:val="000000"/>
              </w:rPr>
              <w:t>Mean patient weight, base-case 78 Kg</w:t>
            </w:r>
          </w:p>
        </w:tc>
        <w:tc>
          <w:tcPr>
            <w:tcW w:w="550" w:type="pct"/>
            <w:tcBorders>
              <w:left w:val="nil"/>
              <w:right w:val="nil"/>
            </w:tcBorders>
            <w:noWrap/>
            <w:hideMark/>
          </w:tcPr>
          <w:p w14:paraId="39CBB6C2" w14:textId="77777777" w:rsidR="00150C7F" w:rsidRPr="005F76D9" w:rsidRDefault="00150C7F" w:rsidP="00150C7F">
            <w:pPr>
              <w:pStyle w:val="Tabletext1"/>
              <w:ind w:left="0"/>
              <w:rPr>
                <w:rFonts w:cs="Calibri"/>
                <w:color w:val="000000"/>
              </w:rPr>
            </w:pPr>
          </w:p>
        </w:tc>
        <w:tc>
          <w:tcPr>
            <w:tcW w:w="472" w:type="pct"/>
            <w:tcBorders>
              <w:left w:val="nil"/>
              <w:right w:val="nil"/>
            </w:tcBorders>
            <w:noWrap/>
            <w:hideMark/>
          </w:tcPr>
          <w:p w14:paraId="572F0A9D" w14:textId="77777777" w:rsidR="00150C7F" w:rsidRPr="005F76D9" w:rsidRDefault="00150C7F" w:rsidP="00150C7F">
            <w:pPr>
              <w:pStyle w:val="Tabletext1"/>
              <w:ind w:left="0"/>
            </w:pPr>
          </w:p>
        </w:tc>
        <w:tc>
          <w:tcPr>
            <w:tcW w:w="550" w:type="pct"/>
            <w:tcBorders>
              <w:left w:val="nil"/>
              <w:right w:val="nil"/>
            </w:tcBorders>
            <w:noWrap/>
            <w:hideMark/>
          </w:tcPr>
          <w:p w14:paraId="42B71695" w14:textId="77777777" w:rsidR="00150C7F" w:rsidRPr="005F76D9" w:rsidRDefault="00150C7F" w:rsidP="00150C7F">
            <w:pPr>
              <w:pStyle w:val="Tabletext1"/>
              <w:ind w:left="0"/>
            </w:pPr>
          </w:p>
        </w:tc>
        <w:tc>
          <w:tcPr>
            <w:tcW w:w="522" w:type="pct"/>
            <w:tcBorders>
              <w:left w:val="nil"/>
            </w:tcBorders>
            <w:noWrap/>
            <w:hideMark/>
          </w:tcPr>
          <w:p w14:paraId="04EA1B0A" w14:textId="77777777" w:rsidR="00150C7F" w:rsidRPr="005F76D9" w:rsidRDefault="00150C7F" w:rsidP="00150C7F">
            <w:pPr>
              <w:pStyle w:val="Tabletext1"/>
              <w:ind w:left="0"/>
              <w:rPr>
                <w:rFonts w:cs="Calibri"/>
                <w:color w:val="000000"/>
              </w:rPr>
            </w:pPr>
          </w:p>
        </w:tc>
      </w:tr>
      <w:tr w:rsidR="00150C7F" w:rsidRPr="005F76D9" w14:paraId="74E0A820" w14:textId="77777777" w:rsidTr="00696D8F">
        <w:trPr>
          <w:trHeight w:val="255"/>
        </w:trPr>
        <w:tc>
          <w:tcPr>
            <w:tcW w:w="2906" w:type="pct"/>
            <w:tcBorders>
              <w:bottom w:val="single" w:sz="4" w:space="0" w:color="auto"/>
            </w:tcBorders>
            <w:noWrap/>
            <w:hideMark/>
          </w:tcPr>
          <w:p w14:paraId="6005AF4D" w14:textId="77777777" w:rsidR="00150C7F" w:rsidRPr="005F76D9" w:rsidRDefault="00150C7F" w:rsidP="00150C7F">
            <w:pPr>
              <w:pStyle w:val="Tabletext1"/>
              <w:ind w:left="0"/>
              <w:rPr>
                <w:rFonts w:cs="Calibri"/>
                <w:color w:val="000000"/>
              </w:rPr>
            </w:pPr>
            <w:r w:rsidRPr="005F76D9">
              <w:rPr>
                <w:rFonts w:cs="Calibri"/>
                <w:color w:val="000000"/>
              </w:rPr>
              <w:t>Mean patient weight - 83.62 Kg (BloodStar summary data)</w:t>
            </w:r>
          </w:p>
        </w:tc>
        <w:tc>
          <w:tcPr>
            <w:tcW w:w="550" w:type="pct"/>
            <w:tcBorders>
              <w:bottom w:val="single" w:sz="4" w:space="0" w:color="auto"/>
            </w:tcBorders>
            <w:noWrap/>
            <w:hideMark/>
          </w:tcPr>
          <w:p w14:paraId="5523099E" w14:textId="024E2702" w:rsidR="00150C7F" w:rsidRPr="005F76D9" w:rsidRDefault="00150C7F" w:rsidP="00150C7F">
            <w:pPr>
              <w:pStyle w:val="Tabletext1"/>
              <w:ind w:left="0"/>
              <w:rPr>
                <w:rFonts w:cs="Calibri"/>
                <w:color w:val="000000"/>
              </w:rPr>
            </w:pPr>
            <w:r w:rsidRPr="00671B7C">
              <w:t>$57,852</w:t>
            </w:r>
          </w:p>
        </w:tc>
        <w:tc>
          <w:tcPr>
            <w:tcW w:w="472" w:type="pct"/>
            <w:tcBorders>
              <w:bottom w:val="single" w:sz="4" w:space="0" w:color="auto"/>
            </w:tcBorders>
            <w:noWrap/>
            <w:hideMark/>
          </w:tcPr>
          <w:p w14:paraId="3C34DAC6" w14:textId="7981E9B7" w:rsidR="00150C7F" w:rsidRPr="005F76D9" w:rsidRDefault="00150C7F" w:rsidP="00150C7F">
            <w:pPr>
              <w:pStyle w:val="Tabletext1"/>
              <w:ind w:left="0"/>
              <w:rPr>
                <w:rFonts w:cs="Calibri"/>
                <w:color w:val="000000"/>
              </w:rPr>
            </w:pPr>
            <w:r w:rsidRPr="00671B7C">
              <w:t>0.5316</w:t>
            </w:r>
          </w:p>
        </w:tc>
        <w:tc>
          <w:tcPr>
            <w:tcW w:w="550" w:type="pct"/>
            <w:tcBorders>
              <w:bottom w:val="single" w:sz="4" w:space="0" w:color="auto"/>
            </w:tcBorders>
            <w:noWrap/>
            <w:hideMark/>
          </w:tcPr>
          <w:p w14:paraId="52B9B8BE" w14:textId="1E870C09" w:rsidR="00150C7F" w:rsidRPr="005F76D9" w:rsidRDefault="00150C7F" w:rsidP="00150C7F">
            <w:pPr>
              <w:pStyle w:val="Tabletext1"/>
              <w:ind w:left="0"/>
              <w:rPr>
                <w:rFonts w:cs="Calibri"/>
                <w:color w:val="000000"/>
              </w:rPr>
            </w:pPr>
            <w:r w:rsidRPr="00671B7C">
              <w:t>$108,825</w:t>
            </w:r>
          </w:p>
        </w:tc>
        <w:tc>
          <w:tcPr>
            <w:tcW w:w="522" w:type="pct"/>
            <w:tcBorders>
              <w:bottom w:val="single" w:sz="4" w:space="0" w:color="auto"/>
            </w:tcBorders>
            <w:noWrap/>
            <w:hideMark/>
          </w:tcPr>
          <w:p w14:paraId="39F1308F" w14:textId="26A24588" w:rsidR="00150C7F" w:rsidRPr="005F76D9" w:rsidRDefault="00150C7F" w:rsidP="00150C7F">
            <w:pPr>
              <w:pStyle w:val="Tabletext1"/>
              <w:ind w:left="0"/>
              <w:rPr>
                <w:rFonts w:cs="Calibri"/>
                <w:color w:val="000000"/>
              </w:rPr>
            </w:pPr>
            <w:r w:rsidRPr="00671B7C">
              <w:t>16%</w:t>
            </w:r>
          </w:p>
        </w:tc>
      </w:tr>
      <w:tr w:rsidR="00150C7F" w:rsidRPr="005F76D9" w14:paraId="29BDF1EF" w14:textId="77777777" w:rsidTr="00696D8F">
        <w:trPr>
          <w:trHeight w:val="255"/>
        </w:trPr>
        <w:tc>
          <w:tcPr>
            <w:tcW w:w="2906" w:type="pct"/>
            <w:tcBorders>
              <w:right w:val="nil"/>
            </w:tcBorders>
            <w:noWrap/>
            <w:hideMark/>
          </w:tcPr>
          <w:p w14:paraId="699ECD15" w14:textId="77777777" w:rsidR="00150C7F" w:rsidRPr="005F76D9" w:rsidRDefault="00150C7F" w:rsidP="00150C7F">
            <w:pPr>
              <w:pStyle w:val="Tabletext1"/>
              <w:ind w:left="0"/>
              <w:rPr>
                <w:rFonts w:cs="Calibri"/>
                <w:color w:val="000000"/>
              </w:rPr>
            </w:pPr>
            <w:r w:rsidRPr="005F76D9">
              <w:rPr>
                <w:rFonts w:cs="Calibri"/>
                <w:color w:val="000000"/>
              </w:rPr>
              <w:t>Mean patient age (base case: 65 years)</w:t>
            </w:r>
          </w:p>
        </w:tc>
        <w:tc>
          <w:tcPr>
            <w:tcW w:w="550" w:type="pct"/>
            <w:tcBorders>
              <w:left w:val="nil"/>
              <w:right w:val="nil"/>
            </w:tcBorders>
            <w:noWrap/>
            <w:hideMark/>
          </w:tcPr>
          <w:p w14:paraId="0C2E8968" w14:textId="77777777" w:rsidR="00150C7F" w:rsidRPr="005F76D9" w:rsidRDefault="00150C7F" w:rsidP="00150C7F">
            <w:pPr>
              <w:pStyle w:val="Tabletext1"/>
              <w:ind w:left="0"/>
              <w:rPr>
                <w:rFonts w:cs="Calibri"/>
                <w:color w:val="000000"/>
              </w:rPr>
            </w:pPr>
          </w:p>
        </w:tc>
        <w:tc>
          <w:tcPr>
            <w:tcW w:w="472" w:type="pct"/>
            <w:tcBorders>
              <w:left w:val="nil"/>
              <w:right w:val="nil"/>
            </w:tcBorders>
            <w:noWrap/>
            <w:hideMark/>
          </w:tcPr>
          <w:p w14:paraId="705A0809" w14:textId="77777777" w:rsidR="00150C7F" w:rsidRPr="005F76D9" w:rsidRDefault="00150C7F" w:rsidP="00150C7F">
            <w:pPr>
              <w:pStyle w:val="Tabletext1"/>
              <w:ind w:left="0"/>
            </w:pPr>
          </w:p>
        </w:tc>
        <w:tc>
          <w:tcPr>
            <w:tcW w:w="550" w:type="pct"/>
            <w:tcBorders>
              <w:left w:val="nil"/>
              <w:right w:val="nil"/>
            </w:tcBorders>
            <w:noWrap/>
            <w:hideMark/>
          </w:tcPr>
          <w:p w14:paraId="48F33662" w14:textId="77777777" w:rsidR="00150C7F" w:rsidRPr="005F76D9" w:rsidRDefault="00150C7F" w:rsidP="00150C7F">
            <w:pPr>
              <w:pStyle w:val="Tabletext1"/>
              <w:ind w:left="0"/>
            </w:pPr>
          </w:p>
        </w:tc>
        <w:tc>
          <w:tcPr>
            <w:tcW w:w="522" w:type="pct"/>
            <w:tcBorders>
              <w:left w:val="nil"/>
            </w:tcBorders>
            <w:noWrap/>
            <w:hideMark/>
          </w:tcPr>
          <w:p w14:paraId="357A23D8" w14:textId="77777777" w:rsidR="00150C7F" w:rsidRPr="005F76D9" w:rsidRDefault="00150C7F" w:rsidP="00150C7F">
            <w:pPr>
              <w:pStyle w:val="Tabletext1"/>
              <w:ind w:left="0"/>
              <w:rPr>
                <w:rFonts w:cs="Calibri"/>
                <w:color w:val="000000"/>
              </w:rPr>
            </w:pPr>
          </w:p>
        </w:tc>
      </w:tr>
      <w:tr w:rsidR="00150C7F" w:rsidRPr="005F76D9" w14:paraId="2FD8C38A" w14:textId="77777777" w:rsidTr="00696D8F">
        <w:trPr>
          <w:trHeight w:val="255"/>
        </w:trPr>
        <w:tc>
          <w:tcPr>
            <w:tcW w:w="2906" w:type="pct"/>
            <w:noWrap/>
            <w:hideMark/>
          </w:tcPr>
          <w:p w14:paraId="76F716D7" w14:textId="77777777" w:rsidR="00150C7F" w:rsidRPr="005F76D9" w:rsidRDefault="00150C7F" w:rsidP="00150C7F">
            <w:pPr>
              <w:pStyle w:val="Tabletext1"/>
              <w:ind w:left="0"/>
              <w:rPr>
                <w:rFonts w:cs="Calibri"/>
                <w:color w:val="000000"/>
              </w:rPr>
            </w:pPr>
            <w:r w:rsidRPr="005F76D9">
              <w:rPr>
                <w:rFonts w:cs="Calibri"/>
                <w:color w:val="000000"/>
              </w:rPr>
              <w:t>50 years</w:t>
            </w:r>
          </w:p>
        </w:tc>
        <w:tc>
          <w:tcPr>
            <w:tcW w:w="550" w:type="pct"/>
            <w:noWrap/>
            <w:hideMark/>
          </w:tcPr>
          <w:p w14:paraId="00343F14" w14:textId="00EDCDF4" w:rsidR="00150C7F" w:rsidRPr="005F76D9" w:rsidRDefault="00150C7F" w:rsidP="00150C7F">
            <w:pPr>
              <w:pStyle w:val="Tabletext1"/>
              <w:ind w:left="0"/>
              <w:rPr>
                <w:rFonts w:cs="Calibri"/>
                <w:color w:val="000000"/>
              </w:rPr>
            </w:pPr>
            <w:r w:rsidRPr="00671B7C">
              <w:t>$51,895</w:t>
            </w:r>
          </w:p>
        </w:tc>
        <w:tc>
          <w:tcPr>
            <w:tcW w:w="472" w:type="pct"/>
            <w:noWrap/>
            <w:hideMark/>
          </w:tcPr>
          <w:p w14:paraId="6F64973D" w14:textId="08CDA8B5" w:rsidR="00150C7F" w:rsidRPr="005F76D9" w:rsidRDefault="00150C7F" w:rsidP="00150C7F">
            <w:pPr>
              <w:pStyle w:val="Tabletext1"/>
              <w:ind w:left="0"/>
              <w:rPr>
                <w:rFonts w:cs="Calibri"/>
                <w:color w:val="000000"/>
              </w:rPr>
            </w:pPr>
            <w:r w:rsidRPr="00671B7C">
              <w:t>0.5893</w:t>
            </w:r>
          </w:p>
        </w:tc>
        <w:tc>
          <w:tcPr>
            <w:tcW w:w="550" w:type="pct"/>
            <w:noWrap/>
            <w:hideMark/>
          </w:tcPr>
          <w:p w14:paraId="010AE91D" w14:textId="778B81AC" w:rsidR="00150C7F" w:rsidRPr="005F76D9" w:rsidRDefault="00150C7F" w:rsidP="00150C7F">
            <w:pPr>
              <w:pStyle w:val="Tabletext1"/>
              <w:ind w:left="0"/>
              <w:rPr>
                <w:rFonts w:cs="Calibri"/>
                <w:color w:val="000000"/>
              </w:rPr>
            </w:pPr>
            <w:r w:rsidRPr="00671B7C">
              <w:t>$88,057</w:t>
            </w:r>
          </w:p>
        </w:tc>
        <w:tc>
          <w:tcPr>
            <w:tcW w:w="522" w:type="pct"/>
            <w:noWrap/>
            <w:hideMark/>
          </w:tcPr>
          <w:p w14:paraId="1A9DB941" w14:textId="530A6CD2" w:rsidR="00150C7F" w:rsidRPr="005F76D9" w:rsidRDefault="00150C7F" w:rsidP="00150C7F">
            <w:pPr>
              <w:pStyle w:val="Tabletext1"/>
              <w:ind w:left="0"/>
              <w:rPr>
                <w:rFonts w:cs="Calibri"/>
                <w:color w:val="000000"/>
              </w:rPr>
            </w:pPr>
            <w:r w:rsidRPr="00671B7C">
              <w:t>-6%</w:t>
            </w:r>
          </w:p>
        </w:tc>
      </w:tr>
      <w:tr w:rsidR="00150C7F" w:rsidRPr="005F76D9" w14:paraId="590D0B5E" w14:textId="77777777" w:rsidTr="00696D8F">
        <w:trPr>
          <w:trHeight w:val="255"/>
        </w:trPr>
        <w:tc>
          <w:tcPr>
            <w:tcW w:w="2906" w:type="pct"/>
            <w:noWrap/>
            <w:hideMark/>
          </w:tcPr>
          <w:p w14:paraId="29D24AB5" w14:textId="77777777" w:rsidR="00150C7F" w:rsidRPr="005F76D9" w:rsidRDefault="00150C7F" w:rsidP="00150C7F">
            <w:pPr>
              <w:pStyle w:val="Tabletext1"/>
              <w:ind w:left="0"/>
              <w:rPr>
                <w:rFonts w:cs="Calibri"/>
                <w:color w:val="000000"/>
              </w:rPr>
            </w:pPr>
            <w:r w:rsidRPr="005F76D9">
              <w:rPr>
                <w:rFonts w:cs="Calibri"/>
                <w:color w:val="000000"/>
              </w:rPr>
              <w:t>55 years</w:t>
            </w:r>
          </w:p>
        </w:tc>
        <w:tc>
          <w:tcPr>
            <w:tcW w:w="550" w:type="pct"/>
            <w:noWrap/>
            <w:hideMark/>
          </w:tcPr>
          <w:p w14:paraId="0388BB1E" w14:textId="0F0125C9" w:rsidR="00150C7F" w:rsidRPr="005F76D9" w:rsidRDefault="00150C7F" w:rsidP="00150C7F">
            <w:pPr>
              <w:pStyle w:val="Tabletext1"/>
              <w:ind w:left="0"/>
              <w:rPr>
                <w:rFonts w:cs="Calibri"/>
                <w:color w:val="000000"/>
              </w:rPr>
            </w:pPr>
            <w:r w:rsidRPr="00671B7C">
              <w:t>$51,492</w:t>
            </w:r>
          </w:p>
        </w:tc>
        <w:tc>
          <w:tcPr>
            <w:tcW w:w="472" w:type="pct"/>
            <w:noWrap/>
            <w:hideMark/>
          </w:tcPr>
          <w:p w14:paraId="2F7F0FF4" w14:textId="0E8A4266" w:rsidR="00150C7F" w:rsidRPr="005F76D9" w:rsidRDefault="00150C7F" w:rsidP="00150C7F">
            <w:pPr>
              <w:pStyle w:val="Tabletext1"/>
              <w:ind w:left="0"/>
              <w:rPr>
                <w:rFonts w:cs="Calibri"/>
                <w:color w:val="000000"/>
              </w:rPr>
            </w:pPr>
            <w:r w:rsidRPr="00671B7C">
              <w:t>0.5738</w:t>
            </w:r>
          </w:p>
        </w:tc>
        <w:tc>
          <w:tcPr>
            <w:tcW w:w="550" w:type="pct"/>
            <w:noWrap/>
            <w:hideMark/>
          </w:tcPr>
          <w:p w14:paraId="3893DF9E" w14:textId="5A6B2981" w:rsidR="00150C7F" w:rsidRPr="005F76D9" w:rsidRDefault="00150C7F" w:rsidP="00150C7F">
            <w:pPr>
              <w:pStyle w:val="Tabletext1"/>
              <w:ind w:left="0"/>
              <w:rPr>
                <w:rFonts w:cs="Calibri"/>
                <w:color w:val="000000"/>
              </w:rPr>
            </w:pPr>
            <w:r w:rsidRPr="00671B7C">
              <w:t>$89,744</w:t>
            </w:r>
          </w:p>
        </w:tc>
        <w:tc>
          <w:tcPr>
            <w:tcW w:w="522" w:type="pct"/>
            <w:noWrap/>
            <w:hideMark/>
          </w:tcPr>
          <w:p w14:paraId="1BF675AC" w14:textId="6FC12A4D" w:rsidR="00150C7F" w:rsidRPr="005F76D9" w:rsidRDefault="00150C7F" w:rsidP="00150C7F">
            <w:pPr>
              <w:pStyle w:val="Tabletext1"/>
              <w:ind w:left="0"/>
              <w:rPr>
                <w:rFonts w:cs="Calibri"/>
                <w:color w:val="000000"/>
              </w:rPr>
            </w:pPr>
            <w:r w:rsidRPr="00671B7C">
              <w:t>-5%</w:t>
            </w:r>
          </w:p>
        </w:tc>
      </w:tr>
      <w:tr w:rsidR="00150C7F" w:rsidRPr="005F76D9" w14:paraId="1E8DCC19" w14:textId="77777777" w:rsidTr="00696D8F">
        <w:trPr>
          <w:trHeight w:val="255"/>
        </w:trPr>
        <w:tc>
          <w:tcPr>
            <w:tcW w:w="2906" w:type="pct"/>
            <w:tcBorders>
              <w:bottom w:val="single" w:sz="4" w:space="0" w:color="auto"/>
            </w:tcBorders>
            <w:noWrap/>
            <w:hideMark/>
          </w:tcPr>
          <w:p w14:paraId="647A04B7" w14:textId="77777777" w:rsidR="00150C7F" w:rsidRPr="005F76D9" w:rsidRDefault="00150C7F" w:rsidP="00150C7F">
            <w:pPr>
              <w:pStyle w:val="Tabletext1"/>
              <w:ind w:left="0"/>
              <w:rPr>
                <w:rFonts w:cs="Calibri"/>
                <w:color w:val="000000"/>
              </w:rPr>
            </w:pPr>
            <w:r w:rsidRPr="005F76D9">
              <w:rPr>
                <w:rFonts w:cs="Calibri"/>
                <w:color w:val="000000"/>
              </w:rPr>
              <w:t>60 years</w:t>
            </w:r>
          </w:p>
        </w:tc>
        <w:tc>
          <w:tcPr>
            <w:tcW w:w="550" w:type="pct"/>
            <w:tcBorders>
              <w:bottom w:val="single" w:sz="4" w:space="0" w:color="auto"/>
            </w:tcBorders>
            <w:noWrap/>
            <w:hideMark/>
          </w:tcPr>
          <w:p w14:paraId="3813CC14" w14:textId="45850A5B" w:rsidR="00150C7F" w:rsidRPr="005F76D9" w:rsidRDefault="00150C7F" w:rsidP="00150C7F">
            <w:pPr>
              <w:pStyle w:val="Tabletext1"/>
              <w:ind w:left="0"/>
              <w:rPr>
                <w:rFonts w:cs="Calibri"/>
                <w:color w:val="000000"/>
              </w:rPr>
            </w:pPr>
            <w:r w:rsidRPr="00671B7C">
              <w:t>$50,891</w:t>
            </w:r>
          </w:p>
        </w:tc>
        <w:tc>
          <w:tcPr>
            <w:tcW w:w="472" w:type="pct"/>
            <w:tcBorders>
              <w:bottom w:val="single" w:sz="4" w:space="0" w:color="auto"/>
            </w:tcBorders>
            <w:noWrap/>
            <w:hideMark/>
          </w:tcPr>
          <w:p w14:paraId="6A88EECF" w14:textId="27D07AED" w:rsidR="00150C7F" w:rsidRPr="005F76D9" w:rsidRDefault="00150C7F" w:rsidP="00150C7F">
            <w:pPr>
              <w:pStyle w:val="Tabletext1"/>
              <w:ind w:left="0"/>
              <w:rPr>
                <w:rFonts w:cs="Calibri"/>
                <w:color w:val="000000"/>
              </w:rPr>
            </w:pPr>
            <w:r w:rsidRPr="00671B7C">
              <w:t>0.5543</w:t>
            </w:r>
          </w:p>
        </w:tc>
        <w:tc>
          <w:tcPr>
            <w:tcW w:w="550" w:type="pct"/>
            <w:tcBorders>
              <w:bottom w:val="single" w:sz="4" w:space="0" w:color="auto"/>
            </w:tcBorders>
            <w:noWrap/>
            <w:hideMark/>
          </w:tcPr>
          <w:p w14:paraId="223E6959" w14:textId="5747B5ED" w:rsidR="00150C7F" w:rsidRPr="005F76D9" w:rsidRDefault="00150C7F" w:rsidP="00150C7F">
            <w:pPr>
              <w:pStyle w:val="Tabletext1"/>
              <w:ind w:left="0"/>
              <w:rPr>
                <w:rFonts w:cs="Calibri"/>
                <w:color w:val="000000"/>
              </w:rPr>
            </w:pPr>
            <w:r w:rsidRPr="00671B7C">
              <w:t>$91,819</w:t>
            </w:r>
          </w:p>
        </w:tc>
        <w:tc>
          <w:tcPr>
            <w:tcW w:w="522" w:type="pct"/>
            <w:tcBorders>
              <w:bottom w:val="single" w:sz="4" w:space="0" w:color="auto"/>
            </w:tcBorders>
            <w:noWrap/>
            <w:hideMark/>
          </w:tcPr>
          <w:p w14:paraId="4F5C2F42" w14:textId="2DC3803F" w:rsidR="00150C7F" w:rsidRPr="005F76D9" w:rsidRDefault="00150C7F" w:rsidP="00150C7F">
            <w:pPr>
              <w:pStyle w:val="Tabletext1"/>
              <w:ind w:left="0"/>
              <w:rPr>
                <w:rFonts w:cs="Calibri"/>
                <w:color w:val="000000"/>
              </w:rPr>
            </w:pPr>
            <w:r w:rsidRPr="00671B7C">
              <w:t>-2%</w:t>
            </w:r>
          </w:p>
        </w:tc>
      </w:tr>
      <w:tr w:rsidR="00150C7F" w:rsidRPr="005F76D9" w14:paraId="1FCFF2ED" w14:textId="77777777" w:rsidTr="00696D8F">
        <w:trPr>
          <w:trHeight w:val="255"/>
        </w:trPr>
        <w:tc>
          <w:tcPr>
            <w:tcW w:w="2906" w:type="pct"/>
            <w:tcBorders>
              <w:right w:val="nil"/>
            </w:tcBorders>
            <w:noWrap/>
            <w:hideMark/>
          </w:tcPr>
          <w:p w14:paraId="40DB9BBF" w14:textId="77777777" w:rsidR="00150C7F" w:rsidRPr="00F819DD" w:rsidRDefault="00150C7F" w:rsidP="00150C7F">
            <w:pPr>
              <w:pStyle w:val="Tabletext1"/>
              <w:ind w:left="0"/>
              <w:rPr>
                <w:rFonts w:cs="Calibri"/>
                <w:b/>
                <w:color w:val="000000"/>
              </w:rPr>
            </w:pPr>
            <w:r w:rsidRPr="00F819DD">
              <w:rPr>
                <w:rFonts w:cs="Calibri"/>
                <w:b/>
                <w:color w:val="000000"/>
              </w:rPr>
              <w:t>Administration costs per infusion (base case: $693)</w:t>
            </w:r>
          </w:p>
        </w:tc>
        <w:tc>
          <w:tcPr>
            <w:tcW w:w="550" w:type="pct"/>
            <w:tcBorders>
              <w:left w:val="nil"/>
              <w:right w:val="nil"/>
            </w:tcBorders>
            <w:noWrap/>
            <w:hideMark/>
          </w:tcPr>
          <w:p w14:paraId="43F2BEDC" w14:textId="77777777" w:rsidR="00150C7F" w:rsidRPr="005F76D9" w:rsidRDefault="00150C7F" w:rsidP="00150C7F">
            <w:pPr>
              <w:pStyle w:val="Tabletext1"/>
              <w:ind w:left="0"/>
              <w:rPr>
                <w:rFonts w:cs="Calibri"/>
                <w:color w:val="000000"/>
              </w:rPr>
            </w:pPr>
          </w:p>
        </w:tc>
        <w:tc>
          <w:tcPr>
            <w:tcW w:w="472" w:type="pct"/>
            <w:tcBorders>
              <w:left w:val="nil"/>
              <w:right w:val="nil"/>
            </w:tcBorders>
            <w:noWrap/>
            <w:hideMark/>
          </w:tcPr>
          <w:p w14:paraId="5290DAE8" w14:textId="77777777" w:rsidR="00150C7F" w:rsidRPr="005F76D9" w:rsidRDefault="00150C7F" w:rsidP="00150C7F">
            <w:pPr>
              <w:pStyle w:val="Tabletext1"/>
              <w:ind w:left="0"/>
            </w:pPr>
          </w:p>
        </w:tc>
        <w:tc>
          <w:tcPr>
            <w:tcW w:w="550" w:type="pct"/>
            <w:tcBorders>
              <w:left w:val="nil"/>
              <w:right w:val="nil"/>
            </w:tcBorders>
            <w:noWrap/>
            <w:hideMark/>
          </w:tcPr>
          <w:p w14:paraId="1A2AE015" w14:textId="77777777" w:rsidR="00150C7F" w:rsidRPr="005F76D9" w:rsidRDefault="00150C7F" w:rsidP="00150C7F">
            <w:pPr>
              <w:pStyle w:val="Tabletext1"/>
              <w:ind w:left="0"/>
            </w:pPr>
          </w:p>
        </w:tc>
        <w:tc>
          <w:tcPr>
            <w:tcW w:w="522" w:type="pct"/>
            <w:tcBorders>
              <w:left w:val="nil"/>
            </w:tcBorders>
            <w:noWrap/>
            <w:hideMark/>
          </w:tcPr>
          <w:p w14:paraId="79E34B62" w14:textId="77777777" w:rsidR="00150C7F" w:rsidRPr="005F76D9" w:rsidRDefault="00150C7F" w:rsidP="00150C7F">
            <w:pPr>
              <w:pStyle w:val="Tabletext1"/>
              <w:ind w:left="0"/>
              <w:rPr>
                <w:rFonts w:cs="Calibri"/>
                <w:color w:val="000000"/>
              </w:rPr>
            </w:pPr>
          </w:p>
        </w:tc>
      </w:tr>
      <w:tr w:rsidR="00150C7F" w:rsidRPr="005F76D9" w14:paraId="747088AB" w14:textId="77777777" w:rsidTr="00696D8F">
        <w:trPr>
          <w:trHeight w:val="255"/>
        </w:trPr>
        <w:tc>
          <w:tcPr>
            <w:tcW w:w="2906" w:type="pct"/>
            <w:noWrap/>
            <w:hideMark/>
          </w:tcPr>
          <w:p w14:paraId="07A73F8C" w14:textId="77777777" w:rsidR="00150C7F" w:rsidRPr="005F76D9" w:rsidRDefault="00150C7F" w:rsidP="00150C7F">
            <w:pPr>
              <w:pStyle w:val="Tabletext1"/>
              <w:ind w:left="0"/>
              <w:rPr>
                <w:rFonts w:cs="Calibri"/>
                <w:color w:val="000000"/>
              </w:rPr>
            </w:pPr>
            <w:r w:rsidRPr="005F76D9">
              <w:rPr>
                <w:rFonts w:cs="Calibri"/>
                <w:color w:val="000000"/>
              </w:rPr>
              <w:t>$371 (used in the previous DCAR)</w:t>
            </w:r>
          </w:p>
        </w:tc>
        <w:tc>
          <w:tcPr>
            <w:tcW w:w="550" w:type="pct"/>
            <w:noWrap/>
            <w:hideMark/>
          </w:tcPr>
          <w:p w14:paraId="363DA258" w14:textId="04629D13" w:rsidR="00150C7F" w:rsidRPr="005F76D9" w:rsidRDefault="00150C7F" w:rsidP="00150C7F">
            <w:pPr>
              <w:pStyle w:val="Tabletext1"/>
              <w:ind w:left="0"/>
              <w:rPr>
                <w:rFonts w:cs="Calibri"/>
                <w:color w:val="000000"/>
              </w:rPr>
            </w:pPr>
            <w:r w:rsidRPr="00671B7C">
              <w:t>$37,102</w:t>
            </w:r>
          </w:p>
        </w:tc>
        <w:tc>
          <w:tcPr>
            <w:tcW w:w="472" w:type="pct"/>
            <w:noWrap/>
            <w:hideMark/>
          </w:tcPr>
          <w:p w14:paraId="7589E48E" w14:textId="21BFB1D3" w:rsidR="00150C7F" w:rsidRPr="005F76D9" w:rsidRDefault="00150C7F" w:rsidP="00150C7F">
            <w:pPr>
              <w:pStyle w:val="Tabletext1"/>
              <w:ind w:left="0"/>
              <w:rPr>
                <w:rFonts w:cs="Calibri"/>
                <w:color w:val="000000"/>
              </w:rPr>
            </w:pPr>
            <w:r w:rsidRPr="00671B7C">
              <w:t>0.5316</w:t>
            </w:r>
          </w:p>
        </w:tc>
        <w:tc>
          <w:tcPr>
            <w:tcW w:w="550" w:type="pct"/>
            <w:noWrap/>
            <w:hideMark/>
          </w:tcPr>
          <w:p w14:paraId="46120C94" w14:textId="26075E50" w:rsidR="00150C7F" w:rsidRPr="005F76D9" w:rsidRDefault="00150C7F" w:rsidP="00150C7F">
            <w:pPr>
              <w:pStyle w:val="Tabletext1"/>
              <w:ind w:left="0"/>
              <w:rPr>
                <w:rFonts w:cs="Calibri"/>
                <w:color w:val="000000"/>
              </w:rPr>
            </w:pPr>
            <w:r w:rsidRPr="00671B7C">
              <w:t>$69,792</w:t>
            </w:r>
          </w:p>
        </w:tc>
        <w:tc>
          <w:tcPr>
            <w:tcW w:w="522" w:type="pct"/>
            <w:noWrap/>
            <w:hideMark/>
          </w:tcPr>
          <w:p w14:paraId="3D79604F" w14:textId="0E1FDE83" w:rsidR="00150C7F" w:rsidRPr="005F76D9" w:rsidRDefault="00150C7F" w:rsidP="00150C7F">
            <w:pPr>
              <w:pStyle w:val="Tabletext1"/>
              <w:ind w:left="0"/>
              <w:rPr>
                <w:rFonts w:cs="Calibri"/>
                <w:color w:val="000000"/>
              </w:rPr>
            </w:pPr>
            <w:r w:rsidRPr="00671B7C">
              <w:t>-26%</w:t>
            </w:r>
          </w:p>
        </w:tc>
      </w:tr>
      <w:tr w:rsidR="00150C7F" w:rsidRPr="005F76D9" w14:paraId="1B114D07" w14:textId="77777777" w:rsidTr="00696D8F">
        <w:trPr>
          <w:trHeight w:val="255"/>
        </w:trPr>
        <w:tc>
          <w:tcPr>
            <w:tcW w:w="2906" w:type="pct"/>
            <w:noWrap/>
            <w:hideMark/>
          </w:tcPr>
          <w:p w14:paraId="1C37FD63" w14:textId="77777777" w:rsidR="00150C7F" w:rsidRPr="005F76D9" w:rsidRDefault="00150C7F" w:rsidP="00150C7F">
            <w:pPr>
              <w:pStyle w:val="Tabletext1"/>
              <w:ind w:left="0"/>
              <w:rPr>
                <w:rFonts w:cs="Calibri"/>
                <w:color w:val="000000"/>
              </w:rPr>
            </w:pPr>
            <w:r w:rsidRPr="005F76D9">
              <w:rPr>
                <w:rFonts w:cs="Calibri"/>
                <w:color w:val="000000"/>
              </w:rPr>
              <w:t>$200</w:t>
            </w:r>
          </w:p>
        </w:tc>
        <w:tc>
          <w:tcPr>
            <w:tcW w:w="550" w:type="pct"/>
            <w:noWrap/>
            <w:hideMark/>
          </w:tcPr>
          <w:p w14:paraId="2B007CC8" w14:textId="024C0D5E" w:rsidR="00150C7F" w:rsidRPr="005F76D9" w:rsidRDefault="00150C7F" w:rsidP="00150C7F">
            <w:pPr>
              <w:pStyle w:val="Tabletext1"/>
              <w:ind w:left="0"/>
              <w:rPr>
                <w:rFonts w:cs="Calibri"/>
                <w:color w:val="000000"/>
              </w:rPr>
            </w:pPr>
            <w:r w:rsidRPr="00671B7C">
              <w:t>$30,257</w:t>
            </w:r>
          </w:p>
        </w:tc>
        <w:tc>
          <w:tcPr>
            <w:tcW w:w="472" w:type="pct"/>
            <w:noWrap/>
            <w:hideMark/>
          </w:tcPr>
          <w:p w14:paraId="4CBFD8E0" w14:textId="1671E9DE" w:rsidR="00150C7F" w:rsidRPr="005F76D9" w:rsidRDefault="00150C7F" w:rsidP="00150C7F">
            <w:pPr>
              <w:pStyle w:val="Tabletext1"/>
              <w:ind w:left="0"/>
              <w:rPr>
                <w:rFonts w:cs="Calibri"/>
                <w:color w:val="000000"/>
              </w:rPr>
            </w:pPr>
            <w:r w:rsidRPr="00671B7C">
              <w:t>0.5316</w:t>
            </w:r>
          </w:p>
        </w:tc>
        <w:tc>
          <w:tcPr>
            <w:tcW w:w="550" w:type="pct"/>
            <w:noWrap/>
            <w:hideMark/>
          </w:tcPr>
          <w:p w14:paraId="76EFE981" w14:textId="5F3FECD1" w:rsidR="00150C7F" w:rsidRPr="005F76D9" w:rsidRDefault="00150C7F" w:rsidP="00150C7F">
            <w:pPr>
              <w:pStyle w:val="Tabletext1"/>
              <w:ind w:left="0"/>
              <w:rPr>
                <w:rFonts w:cs="Calibri"/>
                <w:color w:val="000000"/>
              </w:rPr>
            </w:pPr>
            <w:r w:rsidRPr="00671B7C">
              <w:t>$56,916</w:t>
            </w:r>
          </w:p>
        </w:tc>
        <w:tc>
          <w:tcPr>
            <w:tcW w:w="522" w:type="pct"/>
            <w:noWrap/>
            <w:hideMark/>
          </w:tcPr>
          <w:p w14:paraId="6CDDFBC9" w14:textId="1BC4052C" w:rsidR="00150C7F" w:rsidRPr="005F76D9" w:rsidRDefault="00150C7F" w:rsidP="00150C7F">
            <w:pPr>
              <w:pStyle w:val="Tabletext1"/>
              <w:ind w:left="0"/>
              <w:rPr>
                <w:rFonts w:cs="Calibri"/>
                <w:color w:val="000000"/>
              </w:rPr>
            </w:pPr>
            <w:r w:rsidRPr="00671B7C">
              <w:t>-39%</w:t>
            </w:r>
          </w:p>
        </w:tc>
      </w:tr>
      <w:tr w:rsidR="00150C7F" w:rsidRPr="005F76D9" w14:paraId="453A38AE" w14:textId="77777777" w:rsidTr="00696D8F">
        <w:trPr>
          <w:trHeight w:val="255"/>
        </w:trPr>
        <w:tc>
          <w:tcPr>
            <w:tcW w:w="2906" w:type="pct"/>
            <w:noWrap/>
            <w:hideMark/>
          </w:tcPr>
          <w:p w14:paraId="01C4B487" w14:textId="77777777" w:rsidR="00150C7F" w:rsidRPr="005F76D9" w:rsidRDefault="00150C7F" w:rsidP="00150C7F">
            <w:pPr>
              <w:pStyle w:val="Tabletext1"/>
              <w:ind w:left="0"/>
              <w:rPr>
                <w:rFonts w:cs="Calibri"/>
                <w:color w:val="000000"/>
              </w:rPr>
            </w:pPr>
            <w:r w:rsidRPr="005F76D9">
              <w:rPr>
                <w:rFonts w:cs="Calibri"/>
                <w:color w:val="000000"/>
              </w:rPr>
              <w:t>$400</w:t>
            </w:r>
          </w:p>
        </w:tc>
        <w:tc>
          <w:tcPr>
            <w:tcW w:w="550" w:type="pct"/>
            <w:noWrap/>
            <w:hideMark/>
          </w:tcPr>
          <w:p w14:paraId="724E4E3F" w14:textId="11036834" w:rsidR="00150C7F" w:rsidRPr="005F76D9" w:rsidRDefault="00150C7F" w:rsidP="00150C7F">
            <w:pPr>
              <w:pStyle w:val="Tabletext1"/>
              <w:ind w:left="0"/>
              <w:rPr>
                <w:rFonts w:cs="Calibri"/>
                <w:color w:val="000000"/>
              </w:rPr>
            </w:pPr>
            <w:r w:rsidRPr="00671B7C">
              <w:t>$38,263</w:t>
            </w:r>
          </w:p>
        </w:tc>
        <w:tc>
          <w:tcPr>
            <w:tcW w:w="472" w:type="pct"/>
            <w:noWrap/>
            <w:hideMark/>
          </w:tcPr>
          <w:p w14:paraId="411CB15D" w14:textId="729302E1" w:rsidR="00150C7F" w:rsidRPr="005F76D9" w:rsidRDefault="00150C7F" w:rsidP="00150C7F">
            <w:pPr>
              <w:pStyle w:val="Tabletext1"/>
              <w:ind w:left="0"/>
              <w:rPr>
                <w:rFonts w:cs="Calibri"/>
                <w:color w:val="000000"/>
              </w:rPr>
            </w:pPr>
            <w:r w:rsidRPr="00671B7C">
              <w:t>0.5316</w:t>
            </w:r>
          </w:p>
        </w:tc>
        <w:tc>
          <w:tcPr>
            <w:tcW w:w="550" w:type="pct"/>
            <w:noWrap/>
            <w:hideMark/>
          </w:tcPr>
          <w:p w14:paraId="04CD0B8A" w14:textId="654B66F4" w:rsidR="00150C7F" w:rsidRPr="005F76D9" w:rsidRDefault="00150C7F" w:rsidP="00150C7F">
            <w:pPr>
              <w:pStyle w:val="Tabletext1"/>
              <w:ind w:left="0"/>
              <w:rPr>
                <w:rFonts w:cs="Calibri"/>
                <w:color w:val="000000"/>
              </w:rPr>
            </w:pPr>
            <w:r w:rsidRPr="00671B7C">
              <w:t>$71,976</w:t>
            </w:r>
          </w:p>
        </w:tc>
        <w:tc>
          <w:tcPr>
            <w:tcW w:w="522" w:type="pct"/>
            <w:noWrap/>
            <w:hideMark/>
          </w:tcPr>
          <w:p w14:paraId="49405CF0" w14:textId="2382BC7B" w:rsidR="00150C7F" w:rsidRPr="005F76D9" w:rsidRDefault="00150C7F" w:rsidP="00150C7F">
            <w:pPr>
              <w:pStyle w:val="Tabletext1"/>
              <w:ind w:left="0"/>
              <w:rPr>
                <w:rFonts w:cs="Calibri"/>
                <w:color w:val="000000"/>
              </w:rPr>
            </w:pPr>
            <w:r w:rsidRPr="00671B7C">
              <w:t>-23%</w:t>
            </w:r>
          </w:p>
        </w:tc>
      </w:tr>
      <w:tr w:rsidR="00150C7F" w:rsidRPr="005F76D9" w14:paraId="260824F9" w14:textId="77777777" w:rsidTr="00696D8F">
        <w:trPr>
          <w:trHeight w:val="255"/>
        </w:trPr>
        <w:tc>
          <w:tcPr>
            <w:tcW w:w="2906" w:type="pct"/>
            <w:tcBorders>
              <w:bottom w:val="single" w:sz="4" w:space="0" w:color="auto"/>
            </w:tcBorders>
            <w:noWrap/>
            <w:hideMark/>
          </w:tcPr>
          <w:p w14:paraId="659D4EB7" w14:textId="77777777" w:rsidR="00150C7F" w:rsidRPr="005F76D9" w:rsidRDefault="00150C7F" w:rsidP="00150C7F">
            <w:pPr>
              <w:pStyle w:val="Tabletext1"/>
              <w:ind w:left="0"/>
              <w:rPr>
                <w:rFonts w:cs="Calibri"/>
                <w:color w:val="000000"/>
              </w:rPr>
            </w:pPr>
            <w:r w:rsidRPr="005F76D9">
              <w:rPr>
                <w:rFonts w:cs="Calibri"/>
                <w:color w:val="000000"/>
              </w:rPr>
              <w:t>$500</w:t>
            </w:r>
          </w:p>
        </w:tc>
        <w:tc>
          <w:tcPr>
            <w:tcW w:w="550" w:type="pct"/>
            <w:tcBorders>
              <w:bottom w:val="single" w:sz="4" w:space="0" w:color="auto"/>
            </w:tcBorders>
            <w:noWrap/>
            <w:hideMark/>
          </w:tcPr>
          <w:p w14:paraId="5EE1A4B6" w14:textId="40FEABF6" w:rsidR="00150C7F" w:rsidRPr="005F76D9" w:rsidRDefault="00150C7F" w:rsidP="00150C7F">
            <w:pPr>
              <w:pStyle w:val="Tabletext1"/>
              <w:ind w:left="0"/>
              <w:rPr>
                <w:rFonts w:cs="Calibri"/>
                <w:color w:val="000000"/>
              </w:rPr>
            </w:pPr>
            <w:r w:rsidRPr="00671B7C">
              <w:t>$42,266</w:t>
            </w:r>
          </w:p>
        </w:tc>
        <w:tc>
          <w:tcPr>
            <w:tcW w:w="472" w:type="pct"/>
            <w:tcBorders>
              <w:bottom w:val="single" w:sz="4" w:space="0" w:color="auto"/>
            </w:tcBorders>
            <w:noWrap/>
            <w:hideMark/>
          </w:tcPr>
          <w:p w14:paraId="1178B8FB" w14:textId="7E4243C4" w:rsidR="00150C7F" w:rsidRPr="005F76D9" w:rsidRDefault="00150C7F" w:rsidP="00150C7F">
            <w:pPr>
              <w:pStyle w:val="Tabletext1"/>
              <w:ind w:left="0"/>
              <w:rPr>
                <w:rFonts w:cs="Calibri"/>
                <w:color w:val="000000"/>
              </w:rPr>
            </w:pPr>
            <w:r w:rsidRPr="00671B7C">
              <w:t>0.5316</w:t>
            </w:r>
          </w:p>
        </w:tc>
        <w:tc>
          <w:tcPr>
            <w:tcW w:w="550" w:type="pct"/>
            <w:tcBorders>
              <w:bottom w:val="single" w:sz="4" w:space="0" w:color="auto"/>
            </w:tcBorders>
            <w:noWrap/>
            <w:hideMark/>
          </w:tcPr>
          <w:p w14:paraId="5F5D2702" w14:textId="501DEE40" w:rsidR="00150C7F" w:rsidRPr="005F76D9" w:rsidRDefault="00150C7F" w:rsidP="00150C7F">
            <w:pPr>
              <w:pStyle w:val="Tabletext1"/>
              <w:ind w:left="0"/>
              <w:rPr>
                <w:rFonts w:cs="Calibri"/>
                <w:color w:val="000000"/>
              </w:rPr>
            </w:pPr>
            <w:r w:rsidRPr="00671B7C">
              <w:t>$79,506</w:t>
            </w:r>
          </w:p>
        </w:tc>
        <w:tc>
          <w:tcPr>
            <w:tcW w:w="522" w:type="pct"/>
            <w:tcBorders>
              <w:bottom w:val="single" w:sz="4" w:space="0" w:color="auto"/>
            </w:tcBorders>
            <w:noWrap/>
            <w:hideMark/>
          </w:tcPr>
          <w:p w14:paraId="13AE6FEA" w14:textId="583EDA05" w:rsidR="00150C7F" w:rsidRPr="005F76D9" w:rsidRDefault="00150C7F" w:rsidP="00150C7F">
            <w:pPr>
              <w:pStyle w:val="Tabletext1"/>
              <w:ind w:left="0"/>
              <w:rPr>
                <w:rFonts w:cs="Calibri"/>
                <w:color w:val="000000"/>
              </w:rPr>
            </w:pPr>
            <w:r w:rsidRPr="00671B7C">
              <w:t>-15%</w:t>
            </w:r>
          </w:p>
        </w:tc>
      </w:tr>
      <w:tr w:rsidR="00150C7F" w:rsidRPr="005F76D9" w14:paraId="03B52F29" w14:textId="77777777" w:rsidTr="00246245">
        <w:trPr>
          <w:trHeight w:val="255"/>
        </w:trPr>
        <w:tc>
          <w:tcPr>
            <w:tcW w:w="2906" w:type="pct"/>
            <w:tcBorders>
              <w:bottom w:val="single" w:sz="4" w:space="0" w:color="auto"/>
              <w:right w:val="nil"/>
            </w:tcBorders>
            <w:noWrap/>
            <w:hideMark/>
          </w:tcPr>
          <w:p w14:paraId="217F2A71" w14:textId="77777777" w:rsidR="00150C7F" w:rsidRPr="005F76D9" w:rsidRDefault="00150C7F" w:rsidP="00150C7F">
            <w:pPr>
              <w:pStyle w:val="Tabletext1"/>
              <w:ind w:left="0"/>
              <w:rPr>
                <w:rFonts w:cs="Calibri"/>
                <w:b/>
                <w:bCs/>
                <w:color w:val="000000"/>
              </w:rPr>
            </w:pPr>
            <w:r w:rsidRPr="005F76D9">
              <w:rPr>
                <w:rFonts w:cs="Calibri"/>
                <w:b/>
                <w:bCs/>
                <w:color w:val="000000"/>
              </w:rPr>
              <w:t>Health state transitions, Ig</w:t>
            </w:r>
          </w:p>
        </w:tc>
        <w:tc>
          <w:tcPr>
            <w:tcW w:w="550" w:type="pct"/>
            <w:tcBorders>
              <w:left w:val="nil"/>
              <w:bottom w:val="single" w:sz="4" w:space="0" w:color="auto"/>
              <w:right w:val="nil"/>
            </w:tcBorders>
            <w:noWrap/>
            <w:hideMark/>
          </w:tcPr>
          <w:p w14:paraId="268BFD8E" w14:textId="77777777" w:rsidR="00150C7F" w:rsidRPr="005F76D9" w:rsidRDefault="00150C7F" w:rsidP="00150C7F">
            <w:pPr>
              <w:pStyle w:val="Tabletext1"/>
              <w:ind w:left="0"/>
              <w:rPr>
                <w:rFonts w:cs="Calibri"/>
                <w:b/>
                <w:bCs/>
                <w:color w:val="000000"/>
              </w:rPr>
            </w:pPr>
          </w:p>
        </w:tc>
        <w:tc>
          <w:tcPr>
            <w:tcW w:w="472" w:type="pct"/>
            <w:tcBorders>
              <w:left w:val="nil"/>
              <w:bottom w:val="single" w:sz="4" w:space="0" w:color="auto"/>
              <w:right w:val="nil"/>
            </w:tcBorders>
            <w:noWrap/>
            <w:hideMark/>
          </w:tcPr>
          <w:p w14:paraId="638AF585" w14:textId="77777777" w:rsidR="00150C7F" w:rsidRPr="005F76D9" w:rsidRDefault="00150C7F" w:rsidP="00150C7F">
            <w:pPr>
              <w:pStyle w:val="Tabletext1"/>
              <w:ind w:left="0"/>
            </w:pPr>
          </w:p>
        </w:tc>
        <w:tc>
          <w:tcPr>
            <w:tcW w:w="550" w:type="pct"/>
            <w:tcBorders>
              <w:left w:val="nil"/>
              <w:bottom w:val="single" w:sz="4" w:space="0" w:color="auto"/>
              <w:right w:val="nil"/>
            </w:tcBorders>
            <w:noWrap/>
            <w:hideMark/>
          </w:tcPr>
          <w:p w14:paraId="64F9CD59" w14:textId="77777777" w:rsidR="00150C7F" w:rsidRPr="005F76D9" w:rsidRDefault="00150C7F" w:rsidP="00150C7F">
            <w:pPr>
              <w:pStyle w:val="Tabletext1"/>
              <w:ind w:left="0"/>
            </w:pPr>
          </w:p>
        </w:tc>
        <w:tc>
          <w:tcPr>
            <w:tcW w:w="522" w:type="pct"/>
            <w:tcBorders>
              <w:left w:val="nil"/>
              <w:bottom w:val="single" w:sz="4" w:space="0" w:color="auto"/>
            </w:tcBorders>
            <w:noWrap/>
            <w:hideMark/>
          </w:tcPr>
          <w:p w14:paraId="5E47CDF6" w14:textId="77777777" w:rsidR="00150C7F" w:rsidRPr="005F76D9" w:rsidRDefault="00150C7F" w:rsidP="00150C7F">
            <w:pPr>
              <w:pStyle w:val="Tabletext1"/>
              <w:ind w:left="0"/>
              <w:rPr>
                <w:rFonts w:cs="Calibri"/>
                <w:color w:val="000000"/>
              </w:rPr>
            </w:pPr>
          </w:p>
        </w:tc>
      </w:tr>
      <w:tr w:rsidR="00150C7F" w:rsidRPr="005F76D9" w14:paraId="28A5FEEA" w14:textId="77777777" w:rsidTr="00246245">
        <w:trPr>
          <w:trHeight w:val="255"/>
        </w:trPr>
        <w:tc>
          <w:tcPr>
            <w:tcW w:w="2906" w:type="pct"/>
            <w:tcBorders>
              <w:right w:val="nil"/>
            </w:tcBorders>
            <w:noWrap/>
            <w:hideMark/>
          </w:tcPr>
          <w:p w14:paraId="58DEF4BC" w14:textId="77777777" w:rsidR="00150C7F" w:rsidRPr="005F76D9" w:rsidRDefault="00150C7F" w:rsidP="00150C7F">
            <w:pPr>
              <w:pStyle w:val="Tabletext1"/>
              <w:ind w:left="0"/>
              <w:rPr>
                <w:rFonts w:cs="Calibri"/>
                <w:color w:val="000000"/>
              </w:rPr>
            </w:pPr>
            <w:r w:rsidRPr="005F76D9">
              <w:rPr>
                <w:rFonts w:cs="Calibri"/>
                <w:color w:val="000000"/>
              </w:rPr>
              <w:t>Treatment failure (base case: 3.1% per cycle in State A)</w:t>
            </w:r>
          </w:p>
        </w:tc>
        <w:tc>
          <w:tcPr>
            <w:tcW w:w="550" w:type="pct"/>
            <w:tcBorders>
              <w:left w:val="nil"/>
              <w:right w:val="nil"/>
            </w:tcBorders>
            <w:noWrap/>
            <w:hideMark/>
          </w:tcPr>
          <w:p w14:paraId="7C5FBD04" w14:textId="77777777" w:rsidR="00150C7F" w:rsidRPr="005F76D9" w:rsidRDefault="00150C7F" w:rsidP="00150C7F">
            <w:pPr>
              <w:pStyle w:val="Tabletext1"/>
              <w:ind w:left="0"/>
              <w:rPr>
                <w:rFonts w:cs="Calibri"/>
                <w:color w:val="000000"/>
              </w:rPr>
            </w:pPr>
          </w:p>
        </w:tc>
        <w:tc>
          <w:tcPr>
            <w:tcW w:w="472" w:type="pct"/>
            <w:tcBorders>
              <w:left w:val="nil"/>
              <w:right w:val="nil"/>
            </w:tcBorders>
            <w:noWrap/>
            <w:hideMark/>
          </w:tcPr>
          <w:p w14:paraId="7FE331CB" w14:textId="77777777" w:rsidR="00150C7F" w:rsidRPr="005F76D9" w:rsidRDefault="00150C7F" w:rsidP="00150C7F">
            <w:pPr>
              <w:pStyle w:val="Tabletext1"/>
              <w:ind w:left="0"/>
            </w:pPr>
          </w:p>
        </w:tc>
        <w:tc>
          <w:tcPr>
            <w:tcW w:w="550" w:type="pct"/>
            <w:tcBorders>
              <w:left w:val="nil"/>
              <w:right w:val="nil"/>
            </w:tcBorders>
            <w:noWrap/>
            <w:hideMark/>
          </w:tcPr>
          <w:p w14:paraId="49FA35F3" w14:textId="77777777" w:rsidR="00150C7F" w:rsidRPr="005F76D9" w:rsidRDefault="00150C7F" w:rsidP="00150C7F">
            <w:pPr>
              <w:pStyle w:val="Tabletext1"/>
              <w:ind w:left="0"/>
            </w:pPr>
          </w:p>
        </w:tc>
        <w:tc>
          <w:tcPr>
            <w:tcW w:w="522" w:type="pct"/>
            <w:tcBorders>
              <w:left w:val="nil"/>
            </w:tcBorders>
            <w:noWrap/>
            <w:hideMark/>
          </w:tcPr>
          <w:p w14:paraId="1EF49933" w14:textId="77777777" w:rsidR="00150C7F" w:rsidRPr="005F76D9" w:rsidRDefault="00150C7F" w:rsidP="00150C7F">
            <w:pPr>
              <w:pStyle w:val="Tabletext1"/>
              <w:ind w:left="0"/>
              <w:rPr>
                <w:rFonts w:cs="Calibri"/>
                <w:color w:val="000000"/>
              </w:rPr>
            </w:pPr>
          </w:p>
        </w:tc>
      </w:tr>
      <w:tr w:rsidR="00150C7F" w:rsidRPr="005F76D9" w14:paraId="7B237D80" w14:textId="77777777" w:rsidTr="00246245">
        <w:trPr>
          <w:trHeight w:val="255"/>
        </w:trPr>
        <w:tc>
          <w:tcPr>
            <w:tcW w:w="2906" w:type="pct"/>
            <w:tcBorders>
              <w:bottom w:val="single" w:sz="4" w:space="0" w:color="auto"/>
            </w:tcBorders>
            <w:noWrap/>
            <w:hideMark/>
          </w:tcPr>
          <w:p w14:paraId="03311221" w14:textId="77777777" w:rsidR="00150C7F" w:rsidRPr="005F76D9" w:rsidRDefault="00150C7F" w:rsidP="00150C7F">
            <w:pPr>
              <w:pStyle w:val="Tabletext1"/>
              <w:ind w:left="0"/>
              <w:rPr>
                <w:rFonts w:cs="Calibri"/>
                <w:color w:val="000000"/>
              </w:rPr>
            </w:pPr>
            <w:r w:rsidRPr="005F76D9">
              <w:rPr>
                <w:rFonts w:cs="Calibri"/>
                <w:color w:val="000000"/>
              </w:rPr>
              <w:t>8.72% per cycle in State A</w:t>
            </w:r>
          </w:p>
        </w:tc>
        <w:tc>
          <w:tcPr>
            <w:tcW w:w="550" w:type="pct"/>
            <w:tcBorders>
              <w:bottom w:val="single" w:sz="4" w:space="0" w:color="auto"/>
            </w:tcBorders>
            <w:noWrap/>
            <w:hideMark/>
          </w:tcPr>
          <w:p w14:paraId="0C913B88" w14:textId="4AC715D0" w:rsidR="00150C7F" w:rsidRPr="005F76D9" w:rsidRDefault="00150C7F" w:rsidP="00150C7F">
            <w:pPr>
              <w:pStyle w:val="Tabletext1"/>
              <w:ind w:left="0"/>
              <w:rPr>
                <w:rFonts w:cs="Calibri"/>
                <w:color w:val="000000"/>
              </w:rPr>
            </w:pPr>
            <w:r w:rsidRPr="00671B7C">
              <w:t>-$2,030</w:t>
            </w:r>
          </w:p>
        </w:tc>
        <w:tc>
          <w:tcPr>
            <w:tcW w:w="472" w:type="pct"/>
            <w:tcBorders>
              <w:bottom w:val="single" w:sz="4" w:space="0" w:color="auto"/>
            </w:tcBorders>
            <w:noWrap/>
            <w:hideMark/>
          </w:tcPr>
          <w:p w14:paraId="3AA58515" w14:textId="612C721E" w:rsidR="00150C7F" w:rsidRPr="005F76D9" w:rsidRDefault="00150C7F" w:rsidP="00150C7F">
            <w:pPr>
              <w:pStyle w:val="Tabletext1"/>
              <w:ind w:left="0"/>
              <w:rPr>
                <w:rFonts w:cs="Calibri"/>
                <w:color w:val="000000"/>
              </w:rPr>
            </w:pPr>
            <w:r w:rsidRPr="00671B7C">
              <w:t>-0.0357</w:t>
            </w:r>
          </w:p>
        </w:tc>
        <w:tc>
          <w:tcPr>
            <w:tcW w:w="550" w:type="pct"/>
            <w:tcBorders>
              <w:bottom w:val="single" w:sz="4" w:space="0" w:color="auto"/>
            </w:tcBorders>
            <w:noWrap/>
            <w:hideMark/>
          </w:tcPr>
          <w:p w14:paraId="7AEF5BB2" w14:textId="32E82108" w:rsidR="00150C7F" w:rsidRPr="005F76D9" w:rsidRDefault="00150C7F" w:rsidP="00150C7F">
            <w:pPr>
              <w:pStyle w:val="Tabletext1"/>
              <w:ind w:left="0"/>
              <w:rPr>
                <w:rFonts w:cs="Calibri"/>
                <w:color w:val="000000"/>
              </w:rPr>
            </w:pPr>
            <w:r w:rsidRPr="00671B7C">
              <w:t>Less costly, less effective (ICER: $56,869)</w:t>
            </w:r>
          </w:p>
        </w:tc>
        <w:tc>
          <w:tcPr>
            <w:tcW w:w="522" w:type="pct"/>
            <w:tcBorders>
              <w:bottom w:val="single" w:sz="4" w:space="0" w:color="auto"/>
            </w:tcBorders>
            <w:noWrap/>
            <w:hideMark/>
          </w:tcPr>
          <w:p w14:paraId="4B9DADDB" w14:textId="7D123CE7" w:rsidR="00150C7F" w:rsidRPr="005F76D9" w:rsidRDefault="00150C7F" w:rsidP="00150C7F">
            <w:pPr>
              <w:pStyle w:val="Tabletext1"/>
              <w:ind w:left="0"/>
              <w:rPr>
                <w:rFonts w:cs="Calibri"/>
                <w:color w:val="000000"/>
              </w:rPr>
            </w:pPr>
            <w:r w:rsidRPr="00671B7C">
              <w:t>Less costly, less effective (ICER: $56,869)</w:t>
            </w:r>
          </w:p>
        </w:tc>
      </w:tr>
      <w:tr w:rsidR="00150C7F" w:rsidRPr="005F76D9" w14:paraId="70A876BB" w14:textId="77777777" w:rsidTr="00246245">
        <w:trPr>
          <w:trHeight w:val="255"/>
        </w:trPr>
        <w:tc>
          <w:tcPr>
            <w:tcW w:w="2906" w:type="pct"/>
            <w:tcBorders>
              <w:right w:val="nil"/>
            </w:tcBorders>
            <w:noWrap/>
            <w:hideMark/>
          </w:tcPr>
          <w:p w14:paraId="1B929AA1" w14:textId="77777777" w:rsidR="00150C7F" w:rsidRPr="005F76D9" w:rsidRDefault="00150C7F" w:rsidP="00150C7F">
            <w:pPr>
              <w:pStyle w:val="Tabletext1"/>
              <w:ind w:left="0"/>
              <w:rPr>
                <w:rFonts w:cs="Calibri"/>
                <w:color w:val="000000"/>
              </w:rPr>
            </w:pPr>
            <w:r w:rsidRPr="005F76D9">
              <w:rPr>
                <w:rFonts w:cs="Calibri"/>
                <w:color w:val="000000"/>
              </w:rPr>
              <w:t>Proportion of patients relapsing in remission health state (base case: 3.8%)</w:t>
            </w:r>
          </w:p>
        </w:tc>
        <w:tc>
          <w:tcPr>
            <w:tcW w:w="550" w:type="pct"/>
            <w:tcBorders>
              <w:left w:val="nil"/>
              <w:right w:val="nil"/>
            </w:tcBorders>
            <w:noWrap/>
            <w:hideMark/>
          </w:tcPr>
          <w:p w14:paraId="6242C12B" w14:textId="77777777" w:rsidR="00150C7F" w:rsidRPr="005F76D9" w:rsidRDefault="00150C7F" w:rsidP="00150C7F">
            <w:pPr>
              <w:pStyle w:val="Tabletext1"/>
              <w:ind w:left="0"/>
              <w:rPr>
                <w:rFonts w:cs="Calibri"/>
                <w:color w:val="000000"/>
              </w:rPr>
            </w:pPr>
          </w:p>
        </w:tc>
        <w:tc>
          <w:tcPr>
            <w:tcW w:w="472" w:type="pct"/>
            <w:tcBorders>
              <w:left w:val="nil"/>
              <w:right w:val="nil"/>
            </w:tcBorders>
            <w:noWrap/>
            <w:hideMark/>
          </w:tcPr>
          <w:p w14:paraId="35F96EAE" w14:textId="77777777" w:rsidR="00150C7F" w:rsidRPr="005F76D9" w:rsidRDefault="00150C7F" w:rsidP="00150C7F">
            <w:pPr>
              <w:pStyle w:val="Tabletext1"/>
              <w:ind w:left="0"/>
            </w:pPr>
          </w:p>
        </w:tc>
        <w:tc>
          <w:tcPr>
            <w:tcW w:w="550" w:type="pct"/>
            <w:tcBorders>
              <w:left w:val="nil"/>
              <w:right w:val="nil"/>
            </w:tcBorders>
            <w:noWrap/>
            <w:hideMark/>
          </w:tcPr>
          <w:p w14:paraId="3D17DDCE" w14:textId="77777777" w:rsidR="00150C7F" w:rsidRPr="005F76D9" w:rsidRDefault="00150C7F" w:rsidP="00150C7F">
            <w:pPr>
              <w:pStyle w:val="Tabletext1"/>
              <w:ind w:left="0"/>
            </w:pPr>
          </w:p>
        </w:tc>
        <w:tc>
          <w:tcPr>
            <w:tcW w:w="522" w:type="pct"/>
            <w:tcBorders>
              <w:left w:val="nil"/>
            </w:tcBorders>
            <w:noWrap/>
            <w:hideMark/>
          </w:tcPr>
          <w:p w14:paraId="57A50472" w14:textId="77777777" w:rsidR="00150C7F" w:rsidRPr="005F76D9" w:rsidRDefault="00150C7F" w:rsidP="00150C7F">
            <w:pPr>
              <w:pStyle w:val="Tabletext1"/>
              <w:ind w:left="0"/>
              <w:rPr>
                <w:rFonts w:cs="Calibri"/>
                <w:color w:val="000000"/>
              </w:rPr>
            </w:pPr>
          </w:p>
        </w:tc>
      </w:tr>
      <w:tr w:rsidR="00150C7F" w:rsidRPr="005F76D9" w14:paraId="44903445" w14:textId="77777777" w:rsidTr="00696D8F">
        <w:trPr>
          <w:trHeight w:val="255"/>
        </w:trPr>
        <w:tc>
          <w:tcPr>
            <w:tcW w:w="2906" w:type="pct"/>
            <w:noWrap/>
            <w:hideMark/>
          </w:tcPr>
          <w:p w14:paraId="09DFE4AA" w14:textId="77777777" w:rsidR="00150C7F" w:rsidRPr="005F76D9" w:rsidRDefault="00150C7F" w:rsidP="00150C7F">
            <w:pPr>
              <w:pStyle w:val="Tabletext1"/>
              <w:ind w:left="0"/>
              <w:rPr>
                <w:rFonts w:cs="Calibri"/>
                <w:color w:val="000000"/>
              </w:rPr>
            </w:pPr>
            <w:r w:rsidRPr="005F76D9">
              <w:rPr>
                <w:rFonts w:cs="Calibri"/>
                <w:color w:val="000000"/>
              </w:rPr>
              <w:t>1.50%</w:t>
            </w:r>
          </w:p>
        </w:tc>
        <w:tc>
          <w:tcPr>
            <w:tcW w:w="550" w:type="pct"/>
            <w:noWrap/>
            <w:hideMark/>
          </w:tcPr>
          <w:p w14:paraId="6D5403A1" w14:textId="779369F5" w:rsidR="00150C7F" w:rsidRPr="005F76D9" w:rsidRDefault="00150C7F" w:rsidP="00150C7F">
            <w:pPr>
              <w:pStyle w:val="Tabletext1"/>
              <w:ind w:left="0"/>
              <w:rPr>
                <w:rFonts w:cs="Calibri"/>
                <w:color w:val="000000"/>
              </w:rPr>
            </w:pPr>
            <w:r w:rsidRPr="00671B7C">
              <w:t>$3,932</w:t>
            </w:r>
          </w:p>
        </w:tc>
        <w:tc>
          <w:tcPr>
            <w:tcW w:w="472" w:type="pct"/>
            <w:noWrap/>
            <w:hideMark/>
          </w:tcPr>
          <w:p w14:paraId="4B1C2854" w14:textId="69436996" w:rsidR="00150C7F" w:rsidRPr="005F76D9" w:rsidRDefault="00150C7F" w:rsidP="00150C7F">
            <w:pPr>
              <w:pStyle w:val="Tabletext1"/>
              <w:ind w:left="0"/>
              <w:rPr>
                <w:rFonts w:cs="Calibri"/>
                <w:color w:val="000000"/>
              </w:rPr>
            </w:pPr>
            <w:r w:rsidRPr="00671B7C">
              <w:t>0.6771</w:t>
            </w:r>
          </w:p>
        </w:tc>
        <w:tc>
          <w:tcPr>
            <w:tcW w:w="550" w:type="pct"/>
            <w:noWrap/>
            <w:hideMark/>
          </w:tcPr>
          <w:p w14:paraId="12440DA3" w14:textId="79016AB8" w:rsidR="00150C7F" w:rsidRPr="005F76D9" w:rsidRDefault="00150C7F" w:rsidP="00150C7F">
            <w:pPr>
              <w:pStyle w:val="Tabletext1"/>
              <w:ind w:left="0"/>
              <w:rPr>
                <w:rFonts w:cs="Calibri"/>
                <w:color w:val="000000"/>
              </w:rPr>
            </w:pPr>
            <w:r w:rsidRPr="00671B7C">
              <w:t>$5,807</w:t>
            </w:r>
          </w:p>
        </w:tc>
        <w:tc>
          <w:tcPr>
            <w:tcW w:w="522" w:type="pct"/>
            <w:noWrap/>
            <w:hideMark/>
          </w:tcPr>
          <w:p w14:paraId="57CBE800" w14:textId="1E532945" w:rsidR="00150C7F" w:rsidRPr="005F76D9" w:rsidRDefault="00150C7F" w:rsidP="00150C7F">
            <w:pPr>
              <w:pStyle w:val="Tabletext1"/>
              <w:ind w:left="0"/>
              <w:rPr>
                <w:rFonts w:cs="Calibri"/>
                <w:color w:val="000000"/>
              </w:rPr>
            </w:pPr>
            <w:r w:rsidRPr="00671B7C">
              <w:t>-94%</w:t>
            </w:r>
          </w:p>
        </w:tc>
      </w:tr>
      <w:tr w:rsidR="00150C7F" w:rsidRPr="005F76D9" w14:paraId="199E4634" w14:textId="77777777" w:rsidTr="00696D8F">
        <w:trPr>
          <w:trHeight w:val="255"/>
        </w:trPr>
        <w:tc>
          <w:tcPr>
            <w:tcW w:w="2906" w:type="pct"/>
            <w:tcBorders>
              <w:bottom w:val="single" w:sz="4" w:space="0" w:color="auto"/>
            </w:tcBorders>
            <w:noWrap/>
            <w:hideMark/>
          </w:tcPr>
          <w:p w14:paraId="6B3226F6" w14:textId="77777777" w:rsidR="00150C7F" w:rsidRPr="005F76D9" w:rsidRDefault="00150C7F" w:rsidP="00150C7F">
            <w:pPr>
              <w:pStyle w:val="Tabletext1"/>
              <w:ind w:left="0"/>
              <w:rPr>
                <w:rFonts w:cs="Calibri"/>
                <w:color w:val="000000"/>
              </w:rPr>
            </w:pPr>
            <w:r w:rsidRPr="005F76D9">
              <w:rPr>
                <w:rFonts w:cs="Calibri"/>
                <w:color w:val="000000"/>
              </w:rPr>
              <w:t>4.12%</w:t>
            </w:r>
          </w:p>
        </w:tc>
        <w:tc>
          <w:tcPr>
            <w:tcW w:w="550" w:type="pct"/>
            <w:tcBorders>
              <w:bottom w:val="single" w:sz="4" w:space="0" w:color="auto"/>
            </w:tcBorders>
            <w:noWrap/>
            <w:hideMark/>
          </w:tcPr>
          <w:p w14:paraId="7E0D9AC8" w14:textId="2AA34CA0" w:rsidR="00150C7F" w:rsidRPr="005F76D9" w:rsidRDefault="00150C7F" w:rsidP="00150C7F">
            <w:pPr>
              <w:pStyle w:val="Tabletext1"/>
              <w:ind w:left="0"/>
              <w:rPr>
                <w:rFonts w:cs="Calibri"/>
                <w:color w:val="000000"/>
              </w:rPr>
            </w:pPr>
            <w:r w:rsidRPr="00671B7C">
              <w:t>$55,633</w:t>
            </w:r>
          </w:p>
        </w:tc>
        <w:tc>
          <w:tcPr>
            <w:tcW w:w="472" w:type="pct"/>
            <w:tcBorders>
              <w:bottom w:val="single" w:sz="4" w:space="0" w:color="auto"/>
            </w:tcBorders>
            <w:noWrap/>
            <w:hideMark/>
          </w:tcPr>
          <w:p w14:paraId="6AF7EEC1" w14:textId="29BEC4DB" w:rsidR="00150C7F" w:rsidRPr="005F76D9" w:rsidRDefault="00150C7F" w:rsidP="00150C7F">
            <w:pPr>
              <w:pStyle w:val="Tabletext1"/>
              <w:ind w:left="0"/>
              <w:rPr>
                <w:rFonts w:cs="Calibri"/>
                <w:color w:val="000000"/>
              </w:rPr>
            </w:pPr>
            <w:r w:rsidRPr="00671B7C">
              <w:t>0.5165</w:t>
            </w:r>
          </w:p>
        </w:tc>
        <w:tc>
          <w:tcPr>
            <w:tcW w:w="550" w:type="pct"/>
            <w:tcBorders>
              <w:bottom w:val="single" w:sz="4" w:space="0" w:color="auto"/>
            </w:tcBorders>
            <w:noWrap/>
            <w:hideMark/>
          </w:tcPr>
          <w:p w14:paraId="448F44F2" w14:textId="196376D2" w:rsidR="00150C7F" w:rsidRPr="005F76D9" w:rsidRDefault="00150C7F" w:rsidP="00150C7F">
            <w:pPr>
              <w:pStyle w:val="Tabletext1"/>
              <w:ind w:left="0"/>
              <w:rPr>
                <w:rFonts w:cs="Calibri"/>
                <w:color w:val="000000"/>
              </w:rPr>
            </w:pPr>
            <w:r w:rsidRPr="00671B7C">
              <w:t>$107,710</w:t>
            </w:r>
          </w:p>
        </w:tc>
        <w:tc>
          <w:tcPr>
            <w:tcW w:w="522" w:type="pct"/>
            <w:tcBorders>
              <w:bottom w:val="single" w:sz="4" w:space="0" w:color="auto"/>
            </w:tcBorders>
            <w:noWrap/>
            <w:hideMark/>
          </w:tcPr>
          <w:p w14:paraId="4754C1DE" w14:textId="6ED08141" w:rsidR="00150C7F" w:rsidRPr="005F76D9" w:rsidRDefault="00150C7F" w:rsidP="00150C7F">
            <w:pPr>
              <w:pStyle w:val="Tabletext1"/>
              <w:ind w:left="0"/>
              <w:rPr>
                <w:rFonts w:cs="Calibri"/>
                <w:color w:val="000000"/>
              </w:rPr>
            </w:pPr>
            <w:r w:rsidRPr="00671B7C">
              <w:t>15%</w:t>
            </w:r>
          </w:p>
        </w:tc>
      </w:tr>
      <w:tr w:rsidR="00150C7F" w:rsidRPr="005F76D9" w14:paraId="0124BD8B" w14:textId="77777777" w:rsidTr="00696D8F">
        <w:trPr>
          <w:trHeight w:val="255"/>
        </w:trPr>
        <w:tc>
          <w:tcPr>
            <w:tcW w:w="2906" w:type="pct"/>
            <w:tcBorders>
              <w:right w:val="nil"/>
            </w:tcBorders>
            <w:noWrap/>
            <w:hideMark/>
          </w:tcPr>
          <w:p w14:paraId="67F80996" w14:textId="77777777" w:rsidR="00150C7F" w:rsidRPr="005F76D9" w:rsidRDefault="00150C7F" w:rsidP="00150C7F">
            <w:pPr>
              <w:pStyle w:val="Tabletext1"/>
              <w:ind w:left="0"/>
              <w:rPr>
                <w:rFonts w:cs="Calibri"/>
                <w:color w:val="000000"/>
              </w:rPr>
            </w:pPr>
            <w:r w:rsidRPr="005F76D9">
              <w:rPr>
                <w:rFonts w:cs="Calibri"/>
                <w:color w:val="000000"/>
              </w:rPr>
              <w:t>Treatment to in remission - off treatment health state (base case: 5.3%)</w:t>
            </w:r>
          </w:p>
        </w:tc>
        <w:tc>
          <w:tcPr>
            <w:tcW w:w="550" w:type="pct"/>
            <w:tcBorders>
              <w:left w:val="nil"/>
              <w:right w:val="nil"/>
            </w:tcBorders>
            <w:noWrap/>
            <w:hideMark/>
          </w:tcPr>
          <w:p w14:paraId="3194B162" w14:textId="77777777" w:rsidR="00150C7F" w:rsidRPr="005F76D9" w:rsidRDefault="00150C7F" w:rsidP="00150C7F">
            <w:pPr>
              <w:pStyle w:val="Tabletext1"/>
              <w:ind w:left="0"/>
              <w:rPr>
                <w:rFonts w:cs="Calibri"/>
                <w:color w:val="000000"/>
              </w:rPr>
            </w:pPr>
          </w:p>
        </w:tc>
        <w:tc>
          <w:tcPr>
            <w:tcW w:w="472" w:type="pct"/>
            <w:tcBorders>
              <w:left w:val="nil"/>
              <w:right w:val="nil"/>
            </w:tcBorders>
            <w:noWrap/>
            <w:hideMark/>
          </w:tcPr>
          <w:p w14:paraId="3065DA0A" w14:textId="77777777" w:rsidR="00150C7F" w:rsidRPr="005F76D9" w:rsidRDefault="00150C7F" w:rsidP="00150C7F">
            <w:pPr>
              <w:pStyle w:val="Tabletext1"/>
              <w:ind w:left="0"/>
            </w:pPr>
          </w:p>
        </w:tc>
        <w:tc>
          <w:tcPr>
            <w:tcW w:w="550" w:type="pct"/>
            <w:tcBorders>
              <w:left w:val="nil"/>
              <w:right w:val="nil"/>
            </w:tcBorders>
            <w:noWrap/>
            <w:hideMark/>
          </w:tcPr>
          <w:p w14:paraId="4E6A7884" w14:textId="77777777" w:rsidR="00150C7F" w:rsidRPr="005F76D9" w:rsidRDefault="00150C7F" w:rsidP="00150C7F">
            <w:pPr>
              <w:pStyle w:val="Tabletext1"/>
              <w:ind w:left="0"/>
            </w:pPr>
          </w:p>
        </w:tc>
        <w:tc>
          <w:tcPr>
            <w:tcW w:w="522" w:type="pct"/>
            <w:tcBorders>
              <w:left w:val="nil"/>
            </w:tcBorders>
            <w:noWrap/>
            <w:hideMark/>
          </w:tcPr>
          <w:p w14:paraId="659E3359" w14:textId="77777777" w:rsidR="00150C7F" w:rsidRPr="005F76D9" w:rsidRDefault="00150C7F" w:rsidP="00150C7F">
            <w:pPr>
              <w:pStyle w:val="Tabletext1"/>
              <w:ind w:left="0"/>
              <w:rPr>
                <w:rFonts w:cs="Calibri"/>
                <w:color w:val="000000"/>
              </w:rPr>
            </w:pPr>
          </w:p>
        </w:tc>
      </w:tr>
      <w:tr w:rsidR="00313F54" w:rsidRPr="005F76D9" w14:paraId="1F2B21CA" w14:textId="77777777" w:rsidTr="00696D8F">
        <w:trPr>
          <w:trHeight w:val="255"/>
        </w:trPr>
        <w:tc>
          <w:tcPr>
            <w:tcW w:w="2906" w:type="pct"/>
            <w:noWrap/>
            <w:hideMark/>
          </w:tcPr>
          <w:p w14:paraId="798839A9" w14:textId="47AB4F29" w:rsidR="00313F54" w:rsidRPr="005F76D9" w:rsidRDefault="00313F54" w:rsidP="00313F54">
            <w:pPr>
              <w:pStyle w:val="Tabletext1"/>
              <w:ind w:left="0"/>
              <w:rPr>
                <w:rFonts w:cs="Calibri"/>
                <w:color w:val="000000"/>
              </w:rPr>
            </w:pPr>
            <w:r>
              <w:rPr>
                <w:rFonts w:cs="Calibri"/>
                <w:color w:val="000000"/>
              </w:rPr>
              <w:t>0.57</w:t>
            </w:r>
            <w:r w:rsidRPr="005F76D9">
              <w:rPr>
                <w:rFonts w:cs="Calibri"/>
                <w:color w:val="000000"/>
              </w:rPr>
              <w:t>%</w:t>
            </w:r>
          </w:p>
        </w:tc>
        <w:tc>
          <w:tcPr>
            <w:tcW w:w="550" w:type="pct"/>
            <w:noWrap/>
            <w:hideMark/>
          </w:tcPr>
          <w:p w14:paraId="7A190320" w14:textId="5060101C" w:rsidR="00313F54" w:rsidRPr="005F76D9" w:rsidRDefault="00313F54" w:rsidP="00313F54">
            <w:pPr>
              <w:pStyle w:val="Tabletext1"/>
              <w:ind w:left="0"/>
              <w:rPr>
                <w:rFonts w:cs="Calibri"/>
                <w:color w:val="000000"/>
              </w:rPr>
            </w:pPr>
            <w:r w:rsidRPr="009F6978">
              <w:t>$189,143</w:t>
            </w:r>
          </w:p>
        </w:tc>
        <w:tc>
          <w:tcPr>
            <w:tcW w:w="472" w:type="pct"/>
            <w:noWrap/>
            <w:hideMark/>
          </w:tcPr>
          <w:p w14:paraId="2C99DC3C" w14:textId="6EE45507" w:rsidR="00313F54" w:rsidRPr="005F76D9" w:rsidRDefault="00313F54" w:rsidP="00313F54">
            <w:pPr>
              <w:pStyle w:val="Tabletext1"/>
              <w:ind w:left="0"/>
              <w:rPr>
                <w:rFonts w:cs="Calibri"/>
                <w:color w:val="000000"/>
              </w:rPr>
            </w:pPr>
            <w:r w:rsidRPr="009F6978">
              <w:t>0.4043</w:t>
            </w:r>
          </w:p>
        </w:tc>
        <w:tc>
          <w:tcPr>
            <w:tcW w:w="550" w:type="pct"/>
            <w:noWrap/>
            <w:hideMark/>
          </w:tcPr>
          <w:p w14:paraId="25A2BC25" w14:textId="116488F8" w:rsidR="00313F54" w:rsidRPr="005F76D9" w:rsidRDefault="00313F54" w:rsidP="00313F54">
            <w:pPr>
              <w:pStyle w:val="Tabletext1"/>
              <w:ind w:left="0"/>
              <w:rPr>
                <w:rFonts w:cs="Calibri"/>
                <w:color w:val="000000"/>
              </w:rPr>
            </w:pPr>
            <w:r w:rsidRPr="009F6978">
              <w:t>$467,878</w:t>
            </w:r>
          </w:p>
        </w:tc>
        <w:tc>
          <w:tcPr>
            <w:tcW w:w="522" w:type="pct"/>
            <w:noWrap/>
            <w:hideMark/>
          </w:tcPr>
          <w:p w14:paraId="6F18A2D1" w14:textId="3F3337DF" w:rsidR="00313F54" w:rsidRPr="005F76D9" w:rsidRDefault="00313F54" w:rsidP="00313F54">
            <w:pPr>
              <w:pStyle w:val="Tabletext1"/>
              <w:ind w:left="0"/>
              <w:rPr>
                <w:rFonts w:cs="Calibri"/>
                <w:color w:val="000000"/>
              </w:rPr>
            </w:pPr>
            <w:r w:rsidRPr="009F6978">
              <w:t>398%</w:t>
            </w:r>
          </w:p>
        </w:tc>
      </w:tr>
      <w:tr w:rsidR="00150C7F" w:rsidRPr="005F76D9" w14:paraId="7340D50F" w14:textId="77777777" w:rsidTr="00696D8F">
        <w:trPr>
          <w:trHeight w:val="255"/>
        </w:trPr>
        <w:tc>
          <w:tcPr>
            <w:tcW w:w="2906" w:type="pct"/>
            <w:noWrap/>
            <w:hideMark/>
          </w:tcPr>
          <w:p w14:paraId="54BC1195" w14:textId="77777777" w:rsidR="00150C7F" w:rsidRPr="005F76D9" w:rsidRDefault="00150C7F" w:rsidP="00150C7F">
            <w:pPr>
              <w:pStyle w:val="Tabletext1"/>
              <w:ind w:left="0"/>
              <w:rPr>
                <w:rFonts w:cs="Calibri"/>
                <w:color w:val="000000"/>
              </w:rPr>
            </w:pPr>
            <w:r w:rsidRPr="005F76D9">
              <w:rPr>
                <w:rFonts w:cs="Calibri"/>
                <w:color w:val="000000"/>
              </w:rPr>
              <w:t>1.03%</w:t>
            </w:r>
          </w:p>
        </w:tc>
        <w:tc>
          <w:tcPr>
            <w:tcW w:w="550" w:type="pct"/>
            <w:noWrap/>
            <w:hideMark/>
          </w:tcPr>
          <w:p w14:paraId="4DFB5ABE" w14:textId="756E7A8E" w:rsidR="00150C7F" w:rsidRPr="005F76D9" w:rsidRDefault="00150C7F" w:rsidP="00150C7F">
            <w:pPr>
              <w:pStyle w:val="Tabletext1"/>
              <w:ind w:left="0"/>
              <w:rPr>
                <w:rFonts w:cs="Calibri"/>
                <w:color w:val="000000"/>
              </w:rPr>
            </w:pPr>
            <w:r w:rsidRPr="00671B7C">
              <w:t>$164,603</w:t>
            </w:r>
          </w:p>
        </w:tc>
        <w:tc>
          <w:tcPr>
            <w:tcW w:w="472" w:type="pct"/>
            <w:noWrap/>
            <w:hideMark/>
          </w:tcPr>
          <w:p w14:paraId="3ED50E27" w14:textId="54A5A6D3" w:rsidR="00150C7F" w:rsidRPr="005F76D9" w:rsidRDefault="00150C7F" w:rsidP="00150C7F">
            <w:pPr>
              <w:pStyle w:val="Tabletext1"/>
              <w:ind w:left="0"/>
              <w:rPr>
                <w:rFonts w:cs="Calibri"/>
                <w:color w:val="000000"/>
              </w:rPr>
            </w:pPr>
            <w:r w:rsidRPr="00671B7C">
              <w:t>0.4240</w:t>
            </w:r>
          </w:p>
        </w:tc>
        <w:tc>
          <w:tcPr>
            <w:tcW w:w="550" w:type="pct"/>
            <w:noWrap/>
            <w:hideMark/>
          </w:tcPr>
          <w:p w14:paraId="0E8CD3ED" w14:textId="30FF3293" w:rsidR="00150C7F" w:rsidRPr="005F76D9" w:rsidRDefault="00150C7F" w:rsidP="00150C7F">
            <w:pPr>
              <w:pStyle w:val="Tabletext1"/>
              <w:ind w:left="0"/>
              <w:rPr>
                <w:rFonts w:cs="Calibri"/>
                <w:color w:val="000000"/>
              </w:rPr>
            </w:pPr>
            <w:r w:rsidRPr="00671B7C">
              <w:t>$388,257</w:t>
            </w:r>
          </w:p>
        </w:tc>
        <w:tc>
          <w:tcPr>
            <w:tcW w:w="522" w:type="pct"/>
            <w:noWrap/>
            <w:hideMark/>
          </w:tcPr>
          <w:p w14:paraId="4BAAD1D6" w14:textId="50597340" w:rsidR="00150C7F" w:rsidRPr="005F76D9" w:rsidRDefault="00150C7F" w:rsidP="00150C7F">
            <w:pPr>
              <w:pStyle w:val="Tabletext1"/>
              <w:ind w:left="0"/>
              <w:rPr>
                <w:rFonts w:cs="Calibri"/>
                <w:color w:val="000000"/>
              </w:rPr>
            </w:pPr>
            <w:r w:rsidRPr="00671B7C">
              <w:t>313%</w:t>
            </w:r>
          </w:p>
        </w:tc>
      </w:tr>
      <w:tr w:rsidR="00150C7F" w:rsidRPr="005F76D9" w14:paraId="28E8A2B0" w14:textId="77777777" w:rsidTr="00696D8F">
        <w:trPr>
          <w:trHeight w:val="255"/>
        </w:trPr>
        <w:tc>
          <w:tcPr>
            <w:tcW w:w="2906" w:type="pct"/>
            <w:noWrap/>
            <w:hideMark/>
          </w:tcPr>
          <w:p w14:paraId="193A83E2" w14:textId="77777777" w:rsidR="00150C7F" w:rsidRPr="005F76D9" w:rsidRDefault="00150C7F" w:rsidP="00150C7F">
            <w:pPr>
              <w:pStyle w:val="Tabletext1"/>
              <w:ind w:left="0"/>
              <w:rPr>
                <w:rFonts w:cs="Calibri"/>
                <w:color w:val="000000"/>
              </w:rPr>
            </w:pPr>
            <w:r w:rsidRPr="005F76D9">
              <w:rPr>
                <w:rFonts w:cs="Calibri"/>
                <w:color w:val="000000"/>
              </w:rPr>
              <w:t>3.66%</w:t>
            </w:r>
          </w:p>
        </w:tc>
        <w:tc>
          <w:tcPr>
            <w:tcW w:w="550" w:type="pct"/>
            <w:noWrap/>
            <w:hideMark/>
          </w:tcPr>
          <w:p w14:paraId="74E22A13" w14:textId="33F19E19" w:rsidR="00150C7F" w:rsidRPr="005F76D9" w:rsidRDefault="00150C7F" w:rsidP="00150C7F">
            <w:pPr>
              <w:pStyle w:val="Tabletext1"/>
              <w:ind w:left="0"/>
              <w:rPr>
                <w:rFonts w:cs="Calibri"/>
                <w:color w:val="000000"/>
              </w:rPr>
            </w:pPr>
            <w:r w:rsidRPr="00671B7C">
              <w:t>$78,791</w:t>
            </w:r>
          </w:p>
        </w:tc>
        <w:tc>
          <w:tcPr>
            <w:tcW w:w="472" w:type="pct"/>
            <w:noWrap/>
            <w:hideMark/>
          </w:tcPr>
          <w:p w14:paraId="237504DA" w14:textId="717348CD" w:rsidR="00150C7F" w:rsidRPr="005F76D9" w:rsidRDefault="00150C7F" w:rsidP="00150C7F">
            <w:pPr>
              <w:pStyle w:val="Tabletext1"/>
              <w:ind w:left="0"/>
              <w:rPr>
                <w:rFonts w:cs="Calibri"/>
                <w:color w:val="000000"/>
              </w:rPr>
            </w:pPr>
            <w:r w:rsidRPr="00671B7C">
              <w:t>0.4998</w:t>
            </w:r>
          </w:p>
        </w:tc>
        <w:tc>
          <w:tcPr>
            <w:tcW w:w="550" w:type="pct"/>
            <w:noWrap/>
            <w:hideMark/>
          </w:tcPr>
          <w:p w14:paraId="5B47F30A" w14:textId="5F9997DE" w:rsidR="00150C7F" w:rsidRPr="005F76D9" w:rsidRDefault="00150C7F" w:rsidP="00150C7F">
            <w:pPr>
              <w:pStyle w:val="Tabletext1"/>
              <w:ind w:left="0"/>
              <w:rPr>
                <w:rFonts w:cs="Calibri"/>
                <w:color w:val="000000"/>
              </w:rPr>
            </w:pPr>
            <w:r w:rsidRPr="00671B7C">
              <w:t>$157,633</w:t>
            </w:r>
          </w:p>
        </w:tc>
        <w:tc>
          <w:tcPr>
            <w:tcW w:w="522" w:type="pct"/>
            <w:noWrap/>
            <w:hideMark/>
          </w:tcPr>
          <w:p w14:paraId="7243AA49" w14:textId="754BD037" w:rsidR="00150C7F" w:rsidRPr="005F76D9" w:rsidRDefault="00150C7F" w:rsidP="00150C7F">
            <w:pPr>
              <w:pStyle w:val="Tabletext1"/>
              <w:ind w:left="0"/>
              <w:rPr>
                <w:rFonts w:cs="Calibri"/>
                <w:color w:val="000000"/>
              </w:rPr>
            </w:pPr>
            <w:r w:rsidRPr="00671B7C">
              <w:t>68%</w:t>
            </w:r>
          </w:p>
        </w:tc>
      </w:tr>
      <w:tr w:rsidR="00150C7F" w:rsidRPr="005F76D9" w14:paraId="66ED6E2A" w14:textId="77777777" w:rsidTr="00696D8F">
        <w:trPr>
          <w:trHeight w:val="255"/>
        </w:trPr>
        <w:tc>
          <w:tcPr>
            <w:tcW w:w="2906" w:type="pct"/>
            <w:tcBorders>
              <w:bottom w:val="single" w:sz="4" w:space="0" w:color="auto"/>
            </w:tcBorders>
            <w:noWrap/>
            <w:hideMark/>
          </w:tcPr>
          <w:p w14:paraId="7FB610A0" w14:textId="77777777" w:rsidR="00150C7F" w:rsidRPr="005F76D9" w:rsidRDefault="00150C7F" w:rsidP="00150C7F">
            <w:pPr>
              <w:pStyle w:val="Tabletext1"/>
              <w:ind w:left="0"/>
              <w:rPr>
                <w:rFonts w:cs="Calibri"/>
                <w:color w:val="000000"/>
              </w:rPr>
            </w:pPr>
            <w:r w:rsidRPr="005F76D9">
              <w:rPr>
                <w:rFonts w:cs="Calibri"/>
                <w:color w:val="000000"/>
              </w:rPr>
              <w:t>6.12%</w:t>
            </w:r>
          </w:p>
        </w:tc>
        <w:tc>
          <w:tcPr>
            <w:tcW w:w="550" w:type="pct"/>
            <w:tcBorders>
              <w:bottom w:val="single" w:sz="4" w:space="0" w:color="auto"/>
            </w:tcBorders>
            <w:noWrap/>
            <w:hideMark/>
          </w:tcPr>
          <w:p w14:paraId="06A8D066" w14:textId="57F38B64" w:rsidR="00150C7F" w:rsidRPr="005F76D9" w:rsidRDefault="00150C7F" w:rsidP="00150C7F">
            <w:pPr>
              <w:pStyle w:val="Tabletext1"/>
              <w:ind w:left="0"/>
              <w:rPr>
                <w:rFonts w:cs="Calibri"/>
                <w:color w:val="000000"/>
              </w:rPr>
            </w:pPr>
            <w:r w:rsidRPr="00671B7C">
              <w:t>$38,407</w:t>
            </w:r>
          </w:p>
        </w:tc>
        <w:tc>
          <w:tcPr>
            <w:tcW w:w="472" w:type="pct"/>
            <w:tcBorders>
              <w:bottom w:val="single" w:sz="4" w:space="0" w:color="auto"/>
            </w:tcBorders>
            <w:noWrap/>
            <w:hideMark/>
          </w:tcPr>
          <w:p w14:paraId="154F9FB7" w14:textId="2A23BDC1" w:rsidR="00150C7F" w:rsidRPr="005F76D9" w:rsidRDefault="00150C7F" w:rsidP="00150C7F">
            <w:pPr>
              <w:pStyle w:val="Tabletext1"/>
              <w:ind w:left="0"/>
              <w:rPr>
                <w:rFonts w:cs="Calibri"/>
                <w:color w:val="000000"/>
              </w:rPr>
            </w:pPr>
            <w:r w:rsidRPr="00671B7C">
              <w:t>0.5464</w:t>
            </w:r>
          </w:p>
        </w:tc>
        <w:tc>
          <w:tcPr>
            <w:tcW w:w="550" w:type="pct"/>
            <w:tcBorders>
              <w:bottom w:val="single" w:sz="4" w:space="0" w:color="auto"/>
            </w:tcBorders>
            <w:noWrap/>
            <w:hideMark/>
          </w:tcPr>
          <w:p w14:paraId="2AAEEDF9" w14:textId="2811D9DE" w:rsidR="00150C7F" w:rsidRPr="005F76D9" w:rsidRDefault="00150C7F" w:rsidP="00150C7F">
            <w:pPr>
              <w:pStyle w:val="Tabletext1"/>
              <w:ind w:left="0"/>
              <w:rPr>
                <w:rFonts w:cs="Calibri"/>
                <w:color w:val="000000"/>
              </w:rPr>
            </w:pPr>
            <w:r w:rsidRPr="00671B7C">
              <w:t>$70,294</w:t>
            </w:r>
          </w:p>
        </w:tc>
        <w:tc>
          <w:tcPr>
            <w:tcW w:w="522" w:type="pct"/>
            <w:tcBorders>
              <w:bottom w:val="single" w:sz="4" w:space="0" w:color="auto"/>
            </w:tcBorders>
            <w:noWrap/>
            <w:hideMark/>
          </w:tcPr>
          <w:p w14:paraId="13EC2FAB" w14:textId="596543EE" w:rsidR="00150C7F" w:rsidRPr="005F76D9" w:rsidRDefault="00150C7F" w:rsidP="00150C7F">
            <w:pPr>
              <w:pStyle w:val="Tabletext1"/>
              <w:ind w:left="0"/>
              <w:rPr>
                <w:rFonts w:cs="Calibri"/>
                <w:color w:val="000000"/>
              </w:rPr>
            </w:pPr>
            <w:r w:rsidRPr="00671B7C">
              <w:t>-25%</w:t>
            </w:r>
          </w:p>
        </w:tc>
      </w:tr>
      <w:tr w:rsidR="00150C7F" w:rsidRPr="005F76D9" w14:paraId="535196AD" w14:textId="77777777" w:rsidTr="00696D8F">
        <w:trPr>
          <w:trHeight w:val="255"/>
        </w:trPr>
        <w:tc>
          <w:tcPr>
            <w:tcW w:w="2906" w:type="pct"/>
            <w:tcBorders>
              <w:right w:val="nil"/>
            </w:tcBorders>
            <w:noWrap/>
            <w:hideMark/>
          </w:tcPr>
          <w:p w14:paraId="3DA82031" w14:textId="77777777" w:rsidR="00150C7F" w:rsidRPr="005F76D9" w:rsidRDefault="00150C7F" w:rsidP="00150C7F">
            <w:pPr>
              <w:pStyle w:val="Tabletext1"/>
              <w:ind w:left="0"/>
              <w:rPr>
                <w:rFonts w:cs="Calibri"/>
                <w:color w:val="000000"/>
              </w:rPr>
            </w:pPr>
            <w:r w:rsidRPr="005F76D9">
              <w:rPr>
                <w:rFonts w:cs="Calibri"/>
                <w:color w:val="000000"/>
              </w:rPr>
              <w:t>Severe adverse event (base case: 1.02%)</w:t>
            </w:r>
          </w:p>
        </w:tc>
        <w:tc>
          <w:tcPr>
            <w:tcW w:w="550" w:type="pct"/>
            <w:tcBorders>
              <w:left w:val="nil"/>
              <w:right w:val="nil"/>
            </w:tcBorders>
            <w:noWrap/>
            <w:hideMark/>
          </w:tcPr>
          <w:p w14:paraId="75E7D6F5" w14:textId="77777777" w:rsidR="00150C7F" w:rsidRPr="005F76D9" w:rsidRDefault="00150C7F" w:rsidP="00150C7F">
            <w:pPr>
              <w:pStyle w:val="Tabletext1"/>
              <w:ind w:left="0"/>
              <w:rPr>
                <w:rFonts w:cs="Calibri"/>
                <w:color w:val="000000"/>
              </w:rPr>
            </w:pPr>
          </w:p>
        </w:tc>
        <w:tc>
          <w:tcPr>
            <w:tcW w:w="472" w:type="pct"/>
            <w:tcBorders>
              <w:left w:val="nil"/>
              <w:right w:val="nil"/>
            </w:tcBorders>
            <w:noWrap/>
            <w:hideMark/>
          </w:tcPr>
          <w:p w14:paraId="5A2E6911" w14:textId="77777777" w:rsidR="00150C7F" w:rsidRPr="005F76D9" w:rsidRDefault="00150C7F" w:rsidP="00150C7F">
            <w:pPr>
              <w:pStyle w:val="Tabletext1"/>
              <w:ind w:left="0"/>
            </w:pPr>
          </w:p>
        </w:tc>
        <w:tc>
          <w:tcPr>
            <w:tcW w:w="550" w:type="pct"/>
            <w:tcBorders>
              <w:left w:val="nil"/>
              <w:right w:val="nil"/>
            </w:tcBorders>
            <w:noWrap/>
            <w:hideMark/>
          </w:tcPr>
          <w:p w14:paraId="418198F4" w14:textId="77777777" w:rsidR="00150C7F" w:rsidRPr="005F76D9" w:rsidRDefault="00150C7F" w:rsidP="00150C7F">
            <w:pPr>
              <w:pStyle w:val="Tabletext1"/>
              <w:ind w:left="0"/>
            </w:pPr>
          </w:p>
        </w:tc>
        <w:tc>
          <w:tcPr>
            <w:tcW w:w="522" w:type="pct"/>
            <w:tcBorders>
              <w:left w:val="nil"/>
            </w:tcBorders>
            <w:noWrap/>
            <w:hideMark/>
          </w:tcPr>
          <w:p w14:paraId="23D59213" w14:textId="77777777" w:rsidR="00150C7F" w:rsidRPr="005F76D9" w:rsidRDefault="00150C7F" w:rsidP="00150C7F">
            <w:pPr>
              <w:pStyle w:val="Tabletext1"/>
              <w:ind w:left="0"/>
              <w:rPr>
                <w:rFonts w:cs="Calibri"/>
                <w:color w:val="000000"/>
              </w:rPr>
            </w:pPr>
          </w:p>
        </w:tc>
      </w:tr>
      <w:tr w:rsidR="00150C7F" w:rsidRPr="005F76D9" w14:paraId="74FDD889" w14:textId="77777777" w:rsidTr="00696D8F">
        <w:trPr>
          <w:trHeight w:val="255"/>
        </w:trPr>
        <w:tc>
          <w:tcPr>
            <w:tcW w:w="2906" w:type="pct"/>
            <w:tcBorders>
              <w:bottom w:val="single" w:sz="4" w:space="0" w:color="auto"/>
            </w:tcBorders>
            <w:noWrap/>
            <w:hideMark/>
          </w:tcPr>
          <w:p w14:paraId="7C0E5864" w14:textId="77777777" w:rsidR="00150C7F" w:rsidRPr="005F76D9" w:rsidRDefault="00150C7F" w:rsidP="00150C7F">
            <w:pPr>
              <w:pStyle w:val="Tabletext1"/>
              <w:ind w:left="0"/>
              <w:rPr>
                <w:rFonts w:cs="Calibri"/>
                <w:color w:val="000000"/>
              </w:rPr>
            </w:pPr>
            <w:r w:rsidRPr="005F76D9">
              <w:rPr>
                <w:rFonts w:cs="Calibri"/>
                <w:color w:val="000000"/>
              </w:rPr>
              <w:t>0.03%</w:t>
            </w:r>
          </w:p>
        </w:tc>
        <w:tc>
          <w:tcPr>
            <w:tcW w:w="550" w:type="pct"/>
            <w:tcBorders>
              <w:bottom w:val="single" w:sz="4" w:space="0" w:color="auto"/>
            </w:tcBorders>
            <w:noWrap/>
            <w:hideMark/>
          </w:tcPr>
          <w:p w14:paraId="4D61E399" w14:textId="2381BA05" w:rsidR="00150C7F" w:rsidRPr="005F76D9" w:rsidRDefault="00150C7F" w:rsidP="00150C7F">
            <w:pPr>
              <w:pStyle w:val="Tabletext1"/>
              <w:ind w:left="0"/>
              <w:rPr>
                <w:rFonts w:cs="Calibri"/>
                <w:color w:val="000000"/>
              </w:rPr>
            </w:pPr>
            <w:r w:rsidRPr="00671B7C">
              <w:t>$62,085</w:t>
            </w:r>
          </w:p>
        </w:tc>
        <w:tc>
          <w:tcPr>
            <w:tcW w:w="472" w:type="pct"/>
            <w:tcBorders>
              <w:bottom w:val="single" w:sz="4" w:space="0" w:color="auto"/>
            </w:tcBorders>
            <w:noWrap/>
            <w:hideMark/>
          </w:tcPr>
          <w:p w14:paraId="3F653462" w14:textId="5EA97858" w:rsidR="00150C7F" w:rsidRPr="005F76D9" w:rsidRDefault="00150C7F" w:rsidP="00150C7F">
            <w:pPr>
              <w:pStyle w:val="Tabletext1"/>
              <w:ind w:left="0"/>
              <w:rPr>
                <w:rFonts w:cs="Calibri"/>
                <w:color w:val="000000"/>
              </w:rPr>
            </w:pPr>
            <w:r w:rsidRPr="00671B7C">
              <w:t>0.6612</w:t>
            </w:r>
          </w:p>
        </w:tc>
        <w:tc>
          <w:tcPr>
            <w:tcW w:w="550" w:type="pct"/>
            <w:tcBorders>
              <w:bottom w:val="single" w:sz="4" w:space="0" w:color="auto"/>
            </w:tcBorders>
            <w:noWrap/>
            <w:hideMark/>
          </w:tcPr>
          <w:p w14:paraId="2897583D" w14:textId="4A4ACC1C" w:rsidR="00150C7F" w:rsidRPr="005F76D9" w:rsidRDefault="00150C7F" w:rsidP="00150C7F">
            <w:pPr>
              <w:pStyle w:val="Tabletext1"/>
              <w:ind w:left="0"/>
              <w:rPr>
                <w:rFonts w:cs="Calibri"/>
                <w:color w:val="000000"/>
              </w:rPr>
            </w:pPr>
            <w:r w:rsidRPr="00671B7C">
              <w:t>$93,893</w:t>
            </w:r>
          </w:p>
        </w:tc>
        <w:tc>
          <w:tcPr>
            <w:tcW w:w="522" w:type="pct"/>
            <w:tcBorders>
              <w:bottom w:val="single" w:sz="4" w:space="0" w:color="auto"/>
            </w:tcBorders>
            <w:noWrap/>
            <w:hideMark/>
          </w:tcPr>
          <w:p w14:paraId="5120DE52" w14:textId="3C7BE8CF" w:rsidR="00150C7F" w:rsidRPr="005F76D9" w:rsidRDefault="00150C7F" w:rsidP="00150C7F">
            <w:pPr>
              <w:pStyle w:val="Tabletext1"/>
              <w:ind w:left="0"/>
              <w:rPr>
                <w:rFonts w:cs="Calibri"/>
                <w:color w:val="000000"/>
              </w:rPr>
            </w:pPr>
            <w:r w:rsidRPr="00671B7C">
              <w:t>0%</w:t>
            </w:r>
          </w:p>
        </w:tc>
      </w:tr>
      <w:tr w:rsidR="00696D8F" w:rsidRPr="00696D8F" w14:paraId="0CD5BF3A" w14:textId="77777777" w:rsidTr="00246245">
        <w:trPr>
          <w:trHeight w:val="255"/>
        </w:trPr>
        <w:tc>
          <w:tcPr>
            <w:tcW w:w="2906" w:type="pct"/>
            <w:tcBorders>
              <w:bottom w:val="single" w:sz="4" w:space="0" w:color="auto"/>
            </w:tcBorders>
            <w:noWrap/>
            <w:hideMark/>
          </w:tcPr>
          <w:p w14:paraId="4968FD6D" w14:textId="77777777" w:rsidR="00696D8F" w:rsidRPr="00246245" w:rsidRDefault="00696D8F" w:rsidP="00246245">
            <w:pPr>
              <w:pStyle w:val="Tabletext1"/>
              <w:ind w:left="0"/>
              <w:rPr>
                <w:b/>
              </w:rPr>
            </w:pPr>
            <w:r w:rsidRPr="00246245">
              <w:rPr>
                <w:b/>
              </w:rPr>
              <w:t>Health state transitions, PE</w:t>
            </w:r>
          </w:p>
        </w:tc>
        <w:tc>
          <w:tcPr>
            <w:tcW w:w="550" w:type="pct"/>
            <w:tcBorders>
              <w:bottom w:val="single" w:sz="4" w:space="0" w:color="auto"/>
            </w:tcBorders>
            <w:noWrap/>
            <w:hideMark/>
          </w:tcPr>
          <w:p w14:paraId="5BCF0999" w14:textId="77777777" w:rsidR="00696D8F" w:rsidRPr="00696D8F" w:rsidRDefault="00696D8F" w:rsidP="00246245">
            <w:pPr>
              <w:pStyle w:val="Tabletext1"/>
              <w:ind w:left="0"/>
            </w:pPr>
          </w:p>
        </w:tc>
        <w:tc>
          <w:tcPr>
            <w:tcW w:w="472" w:type="pct"/>
            <w:tcBorders>
              <w:bottom w:val="single" w:sz="4" w:space="0" w:color="auto"/>
            </w:tcBorders>
            <w:noWrap/>
            <w:hideMark/>
          </w:tcPr>
          <w:p w14:paraId="30B02BF8" w14:textId="77777777" w:rsidR="00696D8F" w:rsidRPr="00696D8F" w:rsidRDefault="00696D8F" w:rsidP="00246245">
            <w:pPr>
              <w:pStyle w:val="Tabletext1"/>
              <w:ind w:left="0"/>
            </w:pPr>
          </w:p>
        </w:tc>
        <w:tc>
          <w:tcPr>
            <w:tcW w:w="550" w:type="pct"/>
            <w:tcBorders>
              <w:bottom w:val="single" w:sz="4" w:space="0" w:color="auto"/>
            </w:tcBorders>
            <w:noWrap/>
            <w:hideMark/>
          </w:tcPr>
          <w:p w14:paraId="71938675" w14:textId="77777777" w:rsidR="00696D8F" w:rsidRPr="00696D8F" w:rsidRDefault="00696D8F" w:rsidP="00246245">
            <w:pPr>
              <w:pStyle w:val="Tabletext1"/>
              <w:ind w:left="0"/>
            </w:pPr>
          </w:p>
        </w:tc>
        <w:tc>
          <w:tcPr>
            <w:tcW w:w="522" w:type="pct"/>
            <w:tcBorders>
              <w:bottom w:val="single" w:sz="4" w:space="0" w:color="auto"/>
            </w:tcBorders>
            <w:noWrap/>
            <w:hideMark/>
          </w:tcPr>
          <w:p w14:paraId="439A2DA4" w14:textId="77777777" w:rsidR="00696D8F" w:rsidRPr="00696D8F" w:rsidRDefault="00696D8F" w:rsidP="00246245">
            <w:pPr>
              <w:pStyle w:val="Tabletext1"/>
              <w:ind w:left="0"/>
            </w:pPr>
          </w:p>
        </w:tc>
      </w:tr>
      <w:tr w:rsidR="00D61F65" w:rsidRPr="00696D8F" w14:paraId="53059A12" w14:textId="77777777" w:rsidTr="00246245">
        <w:trPr>
          <w:trHeight w:val="255"/>
        </w:trPr>
        <w:tc>
          <w:tcPr>
            <w:tcW w:w="2906" w:type="pct"/>
            <w:tcBorders>
              <w:right w:val="nil"/>
            </w:tcBorders>
            <w:noWrap/>
            <w:hideMark/>
          </w:tcPr>
          <w:p w14:paraId="7F15D4F4" w14:textId="74D15050" w:rsidR="00D61F65" w:rsidRPr="00696D8F" w:rsidRDefault="00D61F65" w:rsidP="00246245">
            <w:pPr>
              <w:pStyle w:val="Tabletext1"/>
              <w:ind w:left="0"/>
            </w:pPr>
            <w:r w:rsidRPr="00EA3844">
              <w:t>Treatment failure in State A (base case: 3.77%)</w:t>
            </w:r>
          </w:p>
        </w:tc>
        <w:tc>
          <w:tcPr>
            <w:tcW w:w="550" w:type="pct"/>
            <w:tcBorders>
              <w:left w:val="nil"/>
              <w:right w:val="nil"/>
            </w:tcBorders>
            <w:noWrap/>
            <w:hideMark/>
          </w:tcPr>
          <w:p w14:paraId="0397A063" w14:textId="77777777" w:rsidR="00D61F65" w:rsidRPr="00696D8F" w:rsidRDefault="00D61F65" w:rsidP="00246245">
            <w:pPr>
              <w:pStyle w:val="Tabletext1"/>
              <w:ind w:left="0"/>
            </w:pPr>
          </w:p>
        </w:tc>
        <w:tc>
          <w:tcPr>
            <w:tcW w:w="472" w:type="pct"/>
            <w:tcBorders>
              <w:left w:val="nil"/>
              <w:right w:val="nil"/>
            </w:tcBorders>
            <w:noWrap/>
            <w:hideMark/>
          </w:tcPr>
          <w:p w14:paraId="6AF0A04C" w14:textId="77777777" w:rsidR="00D61F65" w:rsidRPr="00696D8F" w:rsidRDefault="00D61F65" w:rsidP="00246245">
            <w:pPr>
              <w:pStyle w:val="Tabletext1"/>
              <w:ind w:left="0"/>
            </w:pPr>
          </w:p>
        </w:tc>
        <w:tc>
          <w:tcPr>
            <w:tcW w:w="550" w:type="pct"/>
            <w:tcBorders>
              <w:left w:val="nil"/>
              <w:right w:val="nil"/>
            </w:tcBorders>
            <w:noWrap/>
            <w:hideMark/>
          </w:tcPr>
          <w:p w14:paraId="2C427580" w14:textId="77777777" w:rsidR="00D61F65" w:rsidRPr="00696D8F" w:rsidRDefault="00D61F65" w:rsidP="00246245">
            <w:pPr>
              <w:pStyle w:val="Tabletext1"/>
              <w:ind w:left="0"/>
            </w:pPr>
          </w:p>
        </w:tc>
        <w:tc>
          <w:tcPr>
            <w:tcW w:w="522" w:type="pct"/>
            <w:tcBorders>
              <w:left w:val="nil"/>
            </w:tcBorders>
            <w:noWrap/>
            <w:hideMark/>
          </w:tcPr>
          <w:p w14:paraId="0CA28CF0" w14:textId="77777777" w:rsidR="00D61F65" w:rsidRPr="00696D8F" w:rsidRDefault="00D61F65" w:rsidP="00246245">
            <w:pPr>
              <w:pStyle w:val="Tabletext1"/>
              <w:ind w:left="0"/>
            </w:pPr>
          </w:p>
        </w:tc>
      </w:tr>
      <w:tr w:rsidR="00D61F65" w:rsidRPr="00696D8F" w14:paraId="275E20E5" w14:textId="77777777" w:rsidTr="00696D8F">
        <w:trPr>
          <w:trHeight w:val="255"/>
        </w:trPr>
        <w:tc>
          <w:tcPr>
            <w:tcW w:w="2906" w:type="pct"/>
            <w:noWrap/>
            <w:hideMark/>
          </w:tcPr>
          <w:p w14:paraId="18F477F0" w14:textId="1934DA9F" w:rsidR="00D61F65" w:rsidRPr="00696D8F" w:rsidRDefault="00D61F65" w:rsidP="00246245">
            <w:pPr>
              <w:pStyle w:val="Tabletext1"/>
              <w:ind w:left="0"/>
            </w:pPr>
            <w:r w:rsidRPr="00EA3844">
              <w:t>2.73%</w:t>
            </w:r>
          </w:p>
        </w:tc>
        <w:tc>
          <w:tcPr>
            <w:tcW w:w="550" w:type="pct"/>
            <w:noWrap/>
            <w:hideMark/>
          </w:tcPr>
          <w:p w14:paraId="75A9EC07" w14:textId="0CCFFF2F" w:rsidR="00D61F65" w:rsidRPr="00696D8F" w:rsidRDefault="00D61F65" w:rsidP="00246245">
            <w:pPr>
              <w:pStyle w:val="Tabletext1"/>
              <w:ind w:left="0"/>
            </w:pPr>
            <w:r w:rsidRPr="008A2961">
              <w:t>$42,102</w:t>
            </w:r>
          </w:p>
        </w:tc>
        <w:tc>
          <w:tcPr>
            <w:tcW w:w="472" w:type="pct"/>
            <w:noWrap/>
            <w:hideMark/>
          </w:tcPr>
          <w:p w14:paraId="12D0D171" w14:textId="3DEEFD16" w:rsidR="00D61F65" w:rsidRPr="00696D8F" w:rsidRDefault="00D61F65" w:rsidP="00246245">
            <w:pPr>
              <w:pStyle w:val="Tabletext1"/>
              <w:ind w:left="0"/>
            </w:pPr>
            <w:r w:rsidRPr="008A2961">
              <w:t>0.4434</w:t>
            </w:r>
          </w:p>
        </w:tc>
        <w:tc>
          <w:tcPr>
            <w:tcW w:w="550" w:type="pct"/>
            <w:noWrap/>
            <w:hideMark/>
          </w:tcPr>
          <w:p w14:paraId="6FFF8A21" w14:textId="29A556AC" w:rsidR="00D61F65" w:rsidRPr="00696D8F" w:rsidRDefault="00D61F65" w:rsidP="00246245">
            <w:pPr>
              <w:pStyle w:val="Tabletext1"/>
              <w:ind w:left="0"/>
            </w:pPr>
            <w:r w:rsidRPr="008A2961">
              <w:t>$94,950</w:t>
            </w:r>
          </w:p>
        </w:tc>
        <w:tc>
          <w:tcPr>
            <w:tcW w:w="522" w:type="pct"/>
            <w:noWrap/>
            <w:hideMark/>
          </w:tcPr>
          <w:p w14:paraId="39630907" w14:textId="212A2816" w:rsidR="00D61F65" w:rsidRPr="00696D8F" w:rsidRDefault="00D61F65" w:rsidP="00246245">
            <w:pPr>
              <w:pStyle w:val="Tabletext1"/>
              <w:ind w:left="0"/>
            </w:pPr>
            <w:r w:rsidRPr="008A2961">
              <w:t>1%</w:t>
            </w:r>
          </w:p>
        </w:tc>
      </w:tr>
      <w:tr w:rsidR="00D61F65" w:rsidRPr="00696D8F" w14:paraId="59D5CF31" w14:textId="77777777" w:rsidTr="00246245">
        <w:trPr>
          <w:trHeight w:val="255"/>
        </w:trPr>
        <w:tc>
          <w:tcPr>
            <w:tcW w:w="2906" w:type="pct"/>
            <w:tcBorders>
              <w:bottom w:val="single" w:sz="4" w:space="0" w:color="auto"/>
            </w:tcBorders>
            <w:noWrap/>
            <w:hideMark/>
          </w:tcPr>
          <w:p w14:paraId="6120B261" w14:textId="5C48A321" w:rsidR="00D61F65" w:rsidRPr="00696D8F" w:rsidRDefault="00D61F65" w:rsidP="00246245">
            <w:pPr>
              <w:pStyle w:val="Tabletext1"/>
              <w:ind w:left="0"/>
            </w:pPr>
            <w:r w:rsidRPr="00EA3844">
              <w:t>9.38%</w:t>
            </w:r>
          </w:p>
        </w:tc>
        <w:tc>
          <w:tcPr>
            <w:tcW w:w="550" w:type="pct"/>
            <w:tcBorders>
              <w:bottom w:val="single" w:sz="4" w:space="0" w:color="auto"/>
            </w:tcBorders>
            <w:noWrap/>
            <w:hideMark/>
          </w:tcPr>
          <w:p w14:paraId="3E680E20" w14:textId="5294CAD1" w:rsidR="00D61F65" w:rsidRPr="00696D8F" w:rsidRDefault="00D61F65" w:rsidP="00246245">
            <w:pPr>
              <w:pStyle w:val="Tabletext1"/>
              <w:ind w:left="0"/>
            </w:pPr>
            <w:r w:rsidRPr="008A2961">
              <w:t>$82,841</w:t>
            </w:r>
          </w:p>
        </w:tc>
        <w:tc>
          <w:tcPr>
            <w:tcW w:w="472" w:type="pct"/>
            <w:tcBorders>
              <w:bottom w:val="single" w:sz="4" w:space="0" w:color="auto"/>
            </w:tcBorders>
            <w:noWrap/>
            <w:hideMark/>
          </w:tcPr>
          <w:p w14:paraId="38F2C821" w14:textId="1DEBAE0B" w:rsidR="00D61F65" w:rsidRPr="00696D8F" w:rsidRDefault="00D61F65" w:rsidP="00246245">
            <w:pPr>
              <w:pStyle w:val="Tabletext1"/>
              <w:ind w:left="0"/>
            </w:pPr>
            <w:r w:rsidRPr="008A2961">
              <w:t>0.9031</w:t>
            </w:r>
          </w:p>
        </w:tc>
        <w:tc>
          <w:tcPr>
            <w:tcW w:w="550" w:type="pct"/>
            <w:tcBorders>
              <w:bottom w:val="single" w:sz="4" w:space="0" w:color="auto"/>
            </w:tcBorders>
            <w:noWrap/>
            <w:hideMark/>
          </w:tcPr>
          <w:p w14:paraId="54F4600C" w14:textId="648AB2E6" w:rsidR="00D61F65" w:rsidRPr="00696D8F" w:rsidRDefault="00D61F65" w:rsidP="00246245">
            <w:pPr>
              <w:pStyle w:val="Tabletext1"/>
              <w:ind w:left="0"/>
            </w:pPr>
            <w:r w:rsidRPr="008A2961">
              <w:t>$91,725</w:t>
            </w:r>
          </w:p>
        </w:tc>
        <w:tc>
          <w:tcPr>
            <w:tcW w:w="522" w:type="pct"/>
            <w:tcBorders>
              <w:bottom w:val="single" w:sz="4" w:space="0" w:color="auto"/>
            </w:tcBorders>
            <w:noWrap/>
            <w:hideMark/>
          </w:tcPr>
          <w:p w14:paraId="3E157FD4" w14:textId="25C4A1D0" w:rsidR="00D61F65" w:rsidRPr="00696D8F" w:rsidRDefault="00D61F65" w:rsidP="00246245">
            <w:pPr>
              <w:pStyle w:val="Tabletext1"/>
              <w:ind w:left="0"/>
            </w:pPr>
            <w:r w:rsidRPr="008A2961">
              <w:t>-2%</w:t>
            </w:r>
          </w:p>
        </w:tc>
      </w:tr>
      <w:tr w:rsidR="00150C7F" w:rsidRPr="00696D8F" w14:paraId="71BB9211" w14:textId="77777777" w:rsidTr="00246245">
        <w:trPr>
          <w:trHeight w:val="255"/>
        </w:trPr>
        <w:tc>
          <w:tcPr>
            <w:tcW w:w="2906" w:type="pct"/>
            <w:tcBorders>
              <w:right w:val="nil"/>
            </w:tcBorders>
            <w:noWrap/>
            <w:hideMark/>
          </w:tcPr>
          <w:p w14:paraId="7A7A6935" w14:textId="77777777" w:rsidR="00150C7F" w:rsidRPr="00696D8F" w:rsidRDefault="00150C7F" w:rsidP="00246245">
            <w:pPr>
              <w:pStyle w:val="Tabletext1"/>
              <w:ind w:left="0"/>
            </w:pPr>
            <w:r w:rsidRPr="00696D8F">
              <w:t>AE per PE procedure (base case: 1.68%)</w:t>
            </w:r>
          </w:p>
        </w:tc>
        <w:tc>
          <w:tcPr>
            <w:tcW w:w="550" w:type="pct"/>
            <w:tcBorders>
              <w:left w:val="nil"/>
              <w:right w:val="nil"/>
            </w:tcBorders>
            <w:noWrap/>
            <w:hideMark/>
          </w:tcPr>
          <w:p w14:paraId="4523115C" w14:textId="77777777" w:rsidR="00150C7F" w:rsidRPr="00696D8F" w:rsidRDefault="00150C7F" w:rsidP="00246245">
            <w:pPr>
              <w:pStyle w:val="Tabletext1"/>
              <w:ind w:left="0"/>
            </w:pPr>
          </w:p>
        </w:tc>
        <w:tc>
          <w:tcPr>
            <w:tcW w:w="472" w:type="pct"/>
            <w:tcBorders>
              <w:left w:val="nil"/>
              <w:right w:val="nil"/>
            </w:tcBorders>
            <w:noWrap/>
            <w:hideMark/>
          </w:tcPr>
          <w:p w14:paraId="6D5DE10B" w14:textId="77777777" w:rsidR="00150C7F" w:rsidRPr="00696D8F" w:rsidRDefault="00150C7F" w:rsidP="00246245">
            <w:pPr>
              <w:pStyle w:val="Tabletext1"/>
              <w:ind w:left="0"/>
            </w:pPr>
          </w:p>
        </w:tc>
        <w:tc>
          <w:tcPr>
            <w:tcW w:w="550" w:type="pct"/>
            <w:tcBorders>
              <w:left w:val="nil"/>
              <w:right w:val="nil"/>
            </w:tcBorders>
            <w:noWrap/>
            <w:hideMark/>
          </w:tcPr>
          <w:p w14:paraId="458F4F0B" w14:textId="77777777" w:rsidR="00150C7F" w:rsidRPr="00696D8F" w:rsidRDefault="00150C7F" w:rsidP="00246245">
            <w:pPr>
              <w:pStyle w:val="Tabletext1"/>
              <w:ind w:left="0"/>
            </w:pPr>
          </w:p>
        </w:tc>
        <w:tc>
          <w:tcPr>
            <w:tcW w:w="522" w:type="pct"/>
            <w:tcBorders>
              <w:left w:val="nil"/>
            </w:tcBorders>
            <w:noWrap/>
            <w:hideMark/>
          </w:tcPr>
          <w:p w14:paraId="25D83024" w14:textId="77777777" w:rsidR="00150C7F" w:rsidRPr="00696D8F" w:rsidRDefault="00150C7F" w:rsidP="00246245">
            <w:pPr>
              <w:pStyle w:val="Tabletext1"/>
              <w:ind w:left="0"/>
            </w:pPr>
          </w:p>
        </w:tc>
      </w:tr>
      <w:tr w:rsidR="00150C7F" w:rsidRPr="00696D8F" w14:paraId="55C8E919" w14:textId="77777777" w:rsidTr="00696D8F">
        <w:trPr>
          <w:trHeight w:val="255"/>
        </w:trPr>
        <w:tc>
          <w:tcPr>
            <w:tcW w:w="2906" w:type="pct"/>
            <w:noWrap/>
            <w:hideMark/>
          </w:tcPr>
          <w:p w14:paraId="43DF90D5" w14:textId="77777777" w:rsidR="00150C7F" w:rsidRPr="00696D8F" w:rsidRDefault="00150C7F" w:rsidP="00246245">
            <w:pPr>
              <w:pStyle w:val="Tabletext1"/>
              <w:ind w:left="0"/>
            </w:pPr>
            <w:r w:rsidRPr="00696D8F">
              <w:t>0.10%</w:t>
            </w:r>
          </w:p>
        </w:tc>
        <w:tc>
          <w:tcPr>
            <w:tcW w:w="550" w:type="pct"/>
            <w:noWrap/>
            <w:hideMark/>
          </w:tcPr>
          <w:p w14:paraId="72C4228D" w14:textId="725CCF01" w:rsidR="00150C7F" w:rsidRPr="00696D8F" w:rsidRDefault="00150C7F" w:rsidP="00246245">
            <w:pPr>
              <w:pStyle w:val="Tabletext1"/>
              <w:ind w:left="0"/>
            </w:pPr>
            <w:r w:rsidRPr="008A2961">
              <w:t>-$6,561</w:t>
            </w:r>
          </w:p>
        </w:tc>
        <w:tc>
          <w:tcPr>
            <w:tcW w:w="472" w:type="pct"/>
            <w:noWrap/>
            <w:hideMark/>
          </w:tcPr>
          <w:p w14:paraId="696E7FFE" w14:textId="208D0077" w:rsidR="00150C7F" w:rsidRPr="00696D8F" w:rsidRDefault="00150C7F" w:rsidP="00246245">
            <w:pPr>
              <w:pStyle w:val="Tabletext1"/>
              <w:ind w:left="0"/>
            </w:pPr>
            <w:r w:rsidRPr="008A2961">
              <w:t>-0.0702</w:t>
            </w:r>
          </w:p>
        </w:tc>
        <w:tc>
          <w:tcPr>
            <w:tcW w:w="550" w:type="pct"/>
            <w:noWrap/>
            <w:hideMark/>
          </w:tcPr>
          <w:p w14:paraId="4F312E61" w14:textId="24DF5C88" w:rsidR="00150C7F" w:rsidRPr="00696D8F" w:rsidRDefault="00150C7F" w:rsidP="00246245">
            <w:pPr>
              <w:pStyle w:val="Tabletext1"/>
              <w:ind w:left="0"/>
            </w:pPr>
            <w:r w:rsidRPr="008A2961">
              <w:t>Less costly, less effective (ICER: $93,483)</w:t>
            </w:r>
          </w:p>
        </w:tc>
        <w:tc>
          <w:tcPr>
            <w:tcW w:w="522" w:type="pct"/>
            <w:noWrap/>
            <w:hideMark/>
          </w:tcPr>
          <w:p w14:paraId="2CCD29CA" w14:textId="60B7CA44" w:rsidR="00150C7F" w:rsidRPr="00696D8F" w:rsidRDefault="00150C7F" w:rsidP="00246245">
            <w:pPr>
              <w:pStyle w:val="Tabletext1"/>
              <w:ind w:left="0"/>
            </w:pPr>
            <w:r w:rsidRPr="008A2961">
              <w:t>Less costly, less effective (ICER: $93,483)</w:t>
            </w:r>
          </w:p>
        </w:tc>
      </w:tr>
      <w:tr w:rsidR="00150C7F" w:rsidRPr="00696D8F" w14:paraId="4EB4DDAE" w14:textId="77777777" w:rsidTr="00246245">
        <w:trPr>
          <w:trHeight w:val="255"/>
        </w:trPr>
        <w:tc>
          <w:tcPr>
            <w:tcW w:w="2906" w:type="pct"/>
            <w:tcBorders>
              <w:bottom w:val="single" w:sz="4" w:space="0" w:color="auto"/>
            </w:tcBorders>
            <w:noWrap/>
            <w:hideMark/>
          </w:tcPr>
          <w:p w14:paraId="17A33F33" w14:textId="77777777" w:rsidR="00150C7F" w:rsidRPr="00696D8F" w:rsidRDefault="00150C7F" w:rsidP="00246245">
            <w:pPr>
              <w:pStyle w:val="Tabletext1"/>
              <w:ind w:left="0"/>
            </w:pPr>
            <w:r w:rsidRPr="00696D8F">
              <w:t>0.84%</w:t>
            </w:r>
          </w:p>
        </w:tc>
        <w:tc>
          <w:tcPr>
            <w:tcW w:w="550" w:type="pct"/>
            <w:tcBorders>
              <w:bottom w:val="single" w:sz="4" w:space="0" w:color="auto"/>
            </w:tcBorders>
            <w:noWrap/>
            <w:hideMark/>
          </w:tcPr>
          <w:p w14:paraId="6CBC3635" w14:textId="393A2AD1" w:rsidR="00150C7F" w:rsidRPr="00696D8F" w:rsidRDefault="00150C7F" w:rsidP="00246245">
            <w:pPr>
              <w:pStyle w:val="Tabletext1"/>
              <w:ind w:left="0"/>
            </w:pPr>
            <w:r w:rsidRPr="008A2961">
              <w:t>$24,815</w:t>
            </w:r>
          </w:p>
        </w:tc>
        <w:tc>
          <w:tcPr>
            <w:tcW w:w="472" w:type="pct"/>
            <w:tcBorders>
              <w:bottom w:val="single" w:sz="4" w:space="0" w:color="auto"/>
            </w:tcBorders>
            <w:noWrap/>
            <w:hideMark/>
          </w:tcPr>
          <w:p w14:paraId="0B786F51" w14:textId="3E560919" w:rsidR="00150C7F" w:rsidRPr="00696D8F" w:rsidRDefault="00150C7F" w:rsidP="00246245">
            <w:pPr>
              <w:pStyle w:val="Tabletext1"/>
              <w:ind w:left="0"/>
            </w:pPr>
            <w:r w:rsidRPr="008A2961">
              <w:t>0.2609</w:t>
            </w:r>
          </w:p>
        </w:tc>
        <w:tc>
          <w:tcPr>
            <w:tcW w:w="550" w:type="pct"/>
            <w:tcBorders>
              <w:bottom w:val="single" w:sz="4" w:space="0" w:color="auto"/>
            </w:tcBorders>
            <w:noWrap/>
            <w:hideMark/>
          </w:tcPr>
          <w:p w14:paraId="265324CF" w14:textId="15F361A6" w:rsidR="00150C7F" w:rsidRPr="00696D8F" w:rsidRDefault="00150C7F" w:rsidP="00246245">
            <w:pPr>
              <w:pStyle w:val="Tabletext1"/>
              <w:ind w:left="0"/>
            </w:pPr>
            <w:r w:rsidRPr="008A2961">
              <w:t>$95,119</w:t>
            </w:r>
          </w:p>
        </w:tc>
        <w:tc>
          <w:tcPr>
            <w:tcW w:w="522" w:type="pct"/>
            <w:tcBorders>
              <w:bottom w:val="single" w:sz="4" w:space="0" w:color="auto"/>
            </w:tcBorders>
            <w:noWrap/>
            <w:hideMark/>
          </w:tcPr>
          <w:p w14:paraId="5EB7DD62" w14:textId="55D014E5" w:rsidR="00150C7F" w:rsidRPr="00696D8F" w:rsidRDefault="00150C7F" w:rsidP="00246245">
            <w:pPr>
              <w:pStyle w:val="Tabletext1"/>
              <w:ind w:left="0"/>
            </w:pPr>
            <w:r w:rsidRPr="008A2961">
              <w:t>1%</w:t>
            </w:r>
          </w:p>
        </w:tc>
      </w:tr>
      <w:tr w:rsidR="00150C7F" w:rsidRPr="00696D8F" w14:paraId="21E1D03C" w14:textId="77777777" w:rsidTr="00246245">
        <w:trPr>
          <w:trHeight w:val="255"/>
        </w:trPr>
        <w:tc>
          <w:tcPr>
            <w:tcW w:w="2906" w:type="pct"/>
            <w:tcBorders>
              <w:right w:val="nil"/>
            </w:tcBorders>
            <w:noWrap/>
            <w:hideMark/>
          </w:tcPr>
          <w:p w14:paraId="0BA93754" w14:textId="77777777" w:rsidR="00150C7F" w:rsidRPr="00696D8F" w:rsidRDefault="00150C7F" w:rsidP="00246245">
            <w:pPr>
              <w:pStyle w:val="Tabletext1"/>
              <w:ind w:left="0"/>
            </w:pPr>
            <w:r w:rsidRPr="00696D8F">
              <w:t>Proportion of patients relapsing in remission health state (base case: 3.8%)</w:t>
            </w:r>
          </w:p>
        </w:tc>
        <w:tc>
          <w:tcPr>
            <w:tcW w:w="550" w:type="pct"/>
            <w:tcBorders>
              <w:left w:val="nil"/>
              <w:right w:val="nil"/>
            </w:tcBorders>
            <w:noWrap/>
            <w:hideMark/>
          </w:tcPr>
          <w:p w14:paraId="75BC4031" w14:textId="77777777" w:rsidR="00150C7F" w:rsidRPr="00696D8F" w:rsidRDefault="00150C7F" w:rsidP="00246245">
            <w:pPr>
              <w:pStyle w:val="Tabletext1"/>
              <w:ind w:left="0"/>
            </w:pPr>
          </w:p>
        </w:tc>
        <w:tc>
          <w:tcPr>
            <w:tcW w:w="472" w:type="pct"/>
            <w:tcBorders>
              <w:left w:val="nil"/>
              <w:right w:val="nil"/>
            </w:tcBorders>
            <w:noWrap/>
            <w:hideMark/>
          </w:tcPr>
          <w:p w14:paraId="51F79E39" w14:textId="77777777" w:rsidR="00150C7F" w:rsidRPr="00696D8F" w:rsidRDefault="00150C7F" w:rsidP="00246245">
            <w:pPr>
              <w:pStyle w:val="Tabletext1"/>
              <w:ind w:left="0"/>
            </w:pPr>
          </w:p>
        </w:tc>
        <w:tc>
          <w:tcPr>
            <w:tcW w:w="550" w:type="pct"/>
            <w:tcBorders>
              <w:left w:val="nil"/>
              <w:right w:val="nil"/>
            </w:tcBorders>
            <w:noWrap/>
            <w:hideMark/>
          </w:tcPr>
          <w:p w14:paraId="237DC574" w14:textId="77777777" w:rsidR="00150C7F" w:rsidRPr="00696D8F" w:rsidRDefault="00150C7F" w:rsidP="00246245">
            <w:pPr>
              <w:pStyle w:val="Tabletext1"/>
              <w:ind w:left="0"/>
            </w:pPr>
          </w:p>
        </w:tc>
        <w:tc>
          <w:tcPr>
            <w:tcW w:w="522" w:type="pct"/>
            <w:tcBorders>
              <w:left w:val="nil"/>
            </w:tcBorders>
            <w:noWrap/>
            <w:hideMark/>
          </w:tcPr>
          <w:p w14:paraId="2B0CB754" w14:textId="77777777" w:rsidR="00150C7F" w:rsidRPr="00696D8F" w:rsidRDefault="00150C7F" w:rsidP="00246245">
            <w:pPr>
              <w:pStyle w:val="Tabletext1"/>
              <w:ind w:left="0"/>
            </w:pPr>
          </w:p>
        </w:tc>
      </w:tr>
      <w:tr w:rsidR="00150C7F" w:rsidRPr="00696D8F" w14:paraId="4C588C7F" w14:textId="77777777" w:rsidTr="00696D8F">
        <w:trPr>
          <w:trHeight w:val="255"/>
        </w:trPr>
        <w:tc>
          <w:tcPr>
            <w:tcW w:w="2906" w:type="pct"/>
            <w:noWrap/>
            <w:hideMark/>
          </w:tcPr>
          <w:p w14:paraId="6EFE428B" w14:textId="77777777" w:rsidR="00150C7F" w:rsidRPr="00696D8F" w:rsidRDefault="00150C7F" w:rsidP="00246245">
            <w:pPr>
              <w:pStyle w:val="Tabletext1"/>
              <w:ind w:left="0"/>
            </w:pPr>
            <w:r w:rsidRPr="00696D8F">
              <w:t>0.015</w:t>
            </w:r>
          </w:p>
        </w:tc>
        <w:tc>
          <w:tcPr>
            <w:tcW w:w="550" w:type="pct"/>
            <w:noWrap/>
            <w:hideMark/>
          </w:tcPr>
          <w:p w14:paraId="2B4BC9E8" w14:textId="38379834" w:rsidR="00150C7F" w:rsidRPr="00696D8F" w:rsidRDefault="00150C7F" w:rsidP="00246245">
            <w:pPr>
              <w:pStyle w:val="Tabletext1"/>
              <w:ind w:left="0"/>
            </w:pPr>
            <w:r w:rsidRPr="00F12B91">
              <w:t>$75,651</w:t>
            </w:r>
          </w:p>
        </w:tc>
        <w:tc>
          <w:tcPr>
            <w:tcW w:w="472" w:type="pct"/>
            <w:noWrap/>
            <w:hideMark/>
          </w:tcPr>
          <w:p w14:paraId="158D830E" w14:textId="47D6D96F" w:rsidR="00150C7F" w:rsidRPr="00696D8F" w:rsidRDefault="00150C7F" w:rsidP="00246245">
            <w:pPr>
              <w:pStyle w:val="Tabletext1"/>
              <w:ind w:left="0"/>
            </w:pPr>
            <w:r w:rsidRPr="00F12B91">
              <w:t>0.3025</w:t>
            </w:r>
          </w:p>
        </w:tc>
        <w:tc>
          <w:tcPr>
            <w:tcW w:w="550" w:type="pct"/>
            <w:noWrap/>
            <w:hideMark/>
          </w:tcPr>
          <w:p w14:paraId="70E96548" w14:textId="1860494C" w:rsidR="00150C7F" w:rsidRPr="00696D8F" w:rsidRDefault="00150C7F" w:rsidP="00246245">
            <w:pPr>
              <w:pStyle w:val="Tabletext1"/>
              <w:ind w:left="0"/>
            </w:pPr>
            <w:r w:rsidRPr="00F12B91">
              <w:t>$250,127</w:t>
            </w:r>
          </w:p>
        </w:tc>
        <w:tc>
          <w:tcPr>
            <w:tcW w:w="522" w:type="pct"/>
            <w:noWrap/>
            <w:hideMark/>
          </w:tcPr>
          <w:p w14:paraId="44DF7A03" w14:textId="40E8B782" w:rsidR="00150C7F" w:rsidRPr="00696D8F" w:rsidRDefault="00150C7F" w:rsidP="00246245">
            <w:pPr>
              <w:pStyle w:val="Tabletext1"/>
              <w:ind w:left="0"/>
            </w:pPr>
            <w:r w:rsidRPr="00F12B91">
              <w:t>166%</w:t>
            </w:r>
          </w:p>
        </w:tc>
      </w:tr>
      <w:tr w:rsidR="00150C7F" w:rsidRPr="00696D8F" w14:paraId="06E40197" w14:textId="77777777" w:rsidTr="00246245">
        <w:trPr>
          <w:trHeight w:val="255"/>
        </w:trPr>
        <w:tc>
          <w:tcPr>
            <w:tcW w:w="2906" w:type="pct"/>
            <w:tcBorders>
              <w:bottom w:val="single" w:sz="4" w:space="0" w:color="auto"/>
            </w:tcBorders>
            <w:noWrap/>
            <w:hideMark/>
          </w:tcPr>
          <w:p w14:paraId="7C12C1F2" w14:textId="77777777" w:rsidR="00150C7F" w:rsidRPr="00696D8F" w:rsidRDefault="00150C7F" w:rsidP="00246245">
            <w:pPr>
              <w:pStyle w:val="Tabletext1"/>
              <w:ind w:left="0"/>
            </w:pPr>
            <w:r w:rsidRPr="00696D8F">
              <w:t>0.0412</w:t>
            </w:r>
          </w:p>
        </w:tc>
        <w:tc>
          <w:tcPr>
            <w:tcW w:w="550" w:type="pct"/>
            <w:tcBorders>
              <w:bottom w:val="single" w:sz="4" w:space="0" w:color="auto"/>
            </w:tcBorders>
            <w:noWrap/>
            <w:hideMark/>
          </w:tcPr>
          <w:p w14:paraId="76A74AA3" w14:textId="12C8BC22" w:rsidR="00150C7F" w:rsidRPr="00696D8F" w:rsidRDefault="00150C7F" w:rsidP="00246245">
            <w:pPr>
              <w:pStyle w:val="Tabletext1"/>
              <w:ind w:left="0"/>
            </w:pPr>
            <w:r w:rsidRPr="00F12B91">
              <w:t>$47,237</w:t>
            </w:r>
          </w:p>
        </w:tc>
        <w:tc>
          <w:tcPr>
            <w:tcW w:w="472" w:type="pct"/>
            <w:tcBorders>
              <w:bottom w:val="single" w:sz="4" w:space="0" w:color="auto"/>
            </w:tcBorders>
            <w:noWrap/>
            <w:hideMark/>
          </w:tcPr>
          <w:p w14:paraId="0AE73472" w14:textId="4CBC7FB6" w:rsidR="00150C7F" w:rsidRPr="00696D8F" w:rsidRDefault="00150C7F" w:rsidP="00246245">
            <w:pPr>
              <w:pStyle w:val="Tabletext1"/>
              <w:ind w:left="0"/>
            </w:pPr>
            <w:r w:rsidRPr="00F12B91">
              <w:t>0.5571</w:t>
            </w:r>
          </w:p>
        </w:tc>
        <w:tc>
          <w:tcPr>
            <w:tcW w:w="550" w:type="pct"/>
            <w:tcBorders>
              <w:bottom w:val="single" w:sz="4" w:space="0" w:color="auto"/>
            </w:tcBorders>
            <w:noWrap/>
            <w:hideMark/>
          </w:tcPr>
          <w:p w14:paraId="62D3BC2C" w14:textId="1874DEEE" w:rsidR="00150C7F" w:rsidRPr="00696D8F" w:rsidRDefault="00150C7F" w:rsidP="00246245">
            <w:pPr>
              <w:pStyle w:val="Tabletext1"/>
              <w:ind w:left="0"/>
            </w:pPr>
            <w:r w:rsidRPr="00F12B91">
              <w:t>$84,795</w:t>
            </w:r>
          </w:p>
        </w:tc>
        <w:tc>
          <w:tcPr>
            <w:tcW w:w="522" w:type="pct"/>
            <w:tcBorders>
              <w:bottom w:val="single" w:sz="4" w:space="0" w:color="auto"/>
            </w:tcBorders>
            <w:noWrap/>
            <w:hideMark/>
          </w:tcPr>
          <w:p w14:paraId="6FE6DE1D" w14:textId="4680E823" w:rsidR="00150C7F" w:rsidRPr="00696D8F" w:rsidRDefault="00150C7F" w:rsidP="00246245">
            <w:pPr>
              <w:pStyle w:val="Tabletext1"/>
              <w:ind w:left="0"/>
            </w:pPr>
            <w:r w:rsidRPr="00F12B91">
              <w:t>-10%</w:t>
            </w:r>
          </w:p>
        </w:tc>
      </w:tr>
      <w:tr w:rsidR="00150C7F" w:rsidRPr="00696D8F" w14:paraId="18BC417B" w14:textId="77777777" w:rsidTr="00246245">
        <w:trPr>
          <w:trHeight w:val="255"/>
        </w:trPr>
        <w:tc>
          <w:tcPr>
            <w:tcW w:w="2906" w:type="pct"/>
            <w:tcBorders>
              <w:right w:val="nil"/>
            </w:tcBorders>
            <w:noWrap/>
            <w:hideMark/>
          </w:tcPr>
          <w:p w14:paraId="741DA57D" w14:textId="77777777" w:rsidR="00150C7F" w:rsidRPr="00696D8F" w:rsidRDefault="00150C7F" w:rsidP="00246245">
            <w:pPr>
              <w:pStyle w:val="Tabletext1"/>
              <w:ind w:left="0"/>
            </w:pPr>
            <w:r w:rsidRPr="00696D8F">
              <w:t>Treatment to in remission - off treatment health state (base case: 2.09%)</w:t>
            </w:r>
          </w:p>
        </w:tc>
        <w:tc>
          <w:tcPr>
            <w:tcW w:w="550" w:type="pct"/>
            <w:tcBorders>
              <w:left w:val="nil"/>
              <w:right w:val="nil"/>
            </w:tcBorders>
            <w:noWrap/>
            <w:hideMark/>
          </w:tcPr>
          <w:p w14:paraId="3062AFFC" w14:textId="5A565B4F" w:rsidR="00150C7F" w:rsidRPr="00696D8F" w:rsidRDefault="00150C7F" w:rsidP="00246245">
            <w:pPr>
              <w:pStyle w:val="Tabletext1"/>
              <w:ind w:left="0"/>
            </w:pPr>
          </w:p>
        </w:tc>
        <w:tc>
          <w:tcPr>
            <w:tcW w:w="472" w:type="pct"/>
            <w:tcBorders>
              <w:left w:val="nil"/>
              <w:right w:val="nil"/>
            </w:tcBorders>
            <w:noWrap/>
            <w:hideMark/>
          </w:tcPr>
          <w:p w14:paraId="55062EE3" w14:textId="3DF9C250" w:rsidR="00150C7F" w:rsidRPr="00696D8F" w:rsidRDefault="00150C7F" w:rsidP="00246245">
            <w:pPr>
              <w:pStyle w:val="Tabletext1"/>
              <w:ind w:left="0"/>
            </w:pPr>
          </w:p>
        </w:tc>
        <w:tc>
          <w:tcPr>
            <w:tcW w:w="550" w:type="pct"/>
            <w:tcBorders>
              <w:left w:val="nil"/>
              <w:right w:val="nil"/>
            </w:tcBorders>
            <w:noWrap/>
            <w:hideMark/>
          </w:tcPr>
          <w:p w14:paraId="69419A39" w14:textId="31A03E05" w:rsidR="00150C7F" w:rsidRPr="00696D8F" w:rsidRDefault="00150C7F" w:rsidP="00246245">
            <w:pPr>
              <w:pStyle w:val="Tabletext1"/>
              <w:ind w:left="0"/>
            </w:pPr>
          </w:p>
        </w:tc>
        <w:tc>
          <w:tcPr>
            <w:tcW w:w="522" w:type="pct"/>
            <w:tcBorders>
              <w:left w:val="nil"/>
            </w:tcBorders>
            <w:noWrap/>
            <w:hideMark/>
          </w:tcPr>
          <w:p w14:paraId="14C65BCB" w14:textId="6B78202D" w:rsidR="00150C7F" w:rsidRPr="00696D8F" w:rsidRDefault="00150C7F" w:rsidP="00246245">
            <w:pPr>
              <w:pStyle w:val="Tabletext1"/>
              <w:ind w:left="0"/>
            </w:pPr>
          </w:p>
        </w:tc>
      </w:tr>
      <w:tr w:rsidR="00CC6DE8" w:rsidRPr="00696D8F" w14:paraId="697A2D65" w14:textId="77777777" w:rsidTr="00696D8F">
        <w:trPr>
          <w:trHeight w:val="255"/>
        </w:trPr>
        <w:tc>
          <w:tcPr>
            <w:tcW w:w="2906" w:type="pct"/>
            <w:noWrap/>
            <w:hideMark/>
          </w:tcPr>
          <w:p w14:paraId="0928D125" w14:textId="6ED99C3F" w:rsidR="00CC6DE8" w:rsidRPr="00696D8F" w:rsidRDefault="00CC6DE8" w:rsidP="00CC6DE8">
            <w:pPr>
              <w:pStyle w:val="Tabletext1"/>
              <w:ind w:left="0"/>
            </w:pPr>
            <w:r>
              <w:t>0.57</w:t>
            </w:r>
            <w:r w:rsidRPr="00696D8F">
              <w:t>%</w:t>
            </w:r>
          </w:p>
        </w:tc>
        <w:tc>
          <w:tcPr>
            <w:tcW w:w="550" w:type="pct"/>
            <w:noWrap/>
            <w:hideMark/>
          </w:tcPr>
          <w:p w14:paraId="7DEC3A86" w14:textId="4E906988" w:rsidR="00CC6DE8" w:rsidRPr="00696D8F" w:rsidRDefault="00CC6DE8" w:rsidP="00CC6DE8">
            <w:pPr>
              <w:pStyle w:val="Tabletext1"/>
              <w:ind w:left="0"/>
            </w:pPr>
            <w:r w:rsidRPr="00784B91">
              <w:t>$6,747</w:t>
            </w:r>
          </w:p>
        </w:tc>
        <w:tc>
          <w:tcPr>
            <w:tcW w:w="472" w:type="pct"/>
            <w:noWrap/>
            <w:hideMark/>
          </w:tcPr>
          <w:p w14:paraId="6A8E2ED2" w14:textId="08A9E45F" w:rsidR="00CC6DE8" w:rsidRPr="00696D8F" w:rsidRDefault="00CC6DE8" w:rsidP="00CC6DE8">
            <w:pPr>
              <w:pStyle w:val="Tabletext1"/>
              <w:ind w:left="0"/>
            </w:pPr>
            <w:r w:rsidRPr="00784B91">
              <w:t>0.9414</w:t>
            </w:r>
          </w:p>
        </w:tc>
        <w:tc>
          <w:tcPr>
            <w:tcW w:w="550" w:type="pct"/>
            <w:noWrap/>
            <w:hideMark/>
          </w:tcPr>
          <w:p w14:paraId="6BA73023" w14:textId="4D01F1FE" w:rsidR="00CC6DE8" w:rsidRPr="00696D8F" w:rsidRDefault="00CC6DE8" w:rsidP="00CC6DE8">
            <w:pPr>
              <w:pStyle w:val="Tabletext1"/>
              <w:ind w:left="0"/>
            </w:pPr>
            <w:r w:rsidRPr="00784B91">
              <w:t>$7,167</w:t>
            </w:r>
          </w:p>
        </w:tc>
        <w:tc>
          <w:tcPr>
            <w:tcW w:w="522" w:type="pct"/>
            <w:noWrap/>
            <w:hideMark/>
          </w:tcPr>
          <w:p w14:paraId="07EEA69B" w14:textId="3F4C6A61" w:rsidR="00CC6DE8" w:rsidRPr="00696D8F" w:rsidRDefault="00CC6DE8" w:rsidP="00CC6DE8">
            <w:pPr>
              <w:pStyle w:val="Tabletext1"/>
              <w:ind w:left="0"/>
            </w:pPr>
            <w:r w:rsidRPr="00784B91">
              <w:t>-92%</w:t>
            </w:r>
          </w:p>
        </w:tc>
      </w:tr>
      <w:tr w:rsidR="00150C7F" w:rsidRPr="00696D8F" w14:paraId="35331138" w14:textId="77777777" w:rsidTr="00246245">
        <w:trPr>
          <w:trHeight w:val="255"/>
        </w:trPr>
        <w:tc>
          <w:tcPr>
            <w:tcW w:w="2906" w:type="pct"/>
            <w:tcBorders>
              <w:bottom w:val="single" w:sz="4" w:space="0" w:color="auto"/>
            </w:tcBorders>
            <w:noWrap/>
            <w:hideMark/>
          </w:tcPr>
          <w:p w14:paraId="0F2C7886" w14:textId="77777777" w:rsidR="00150C7F" w:rsidRPr="00696D8F" w:rsidRDefault="00150C7F" w:rsidP="00246245">
            <w:pPr>
              <w:pStyle w:val="Tabletext1"/>
              <w:ind w:left="0"/>
            </w:pPr>
            <w:r w:rsidRPr="00696D8F">
              <w:t>6.12%</w:t>
            </w:r>
          </w:p>
        </w:tc>
        <w:tc>
          <w:tcPr>
            <w:tcW w:w="550" w:type="pct"/>
            <w:tcBorders>
              <w:bottom w:val="single" w:sz="4" w:space="0" w:color="auto"/>
            </w:tcBorders>
            <w:noWrap/>
            <w:hideMark/>
          </w:tcPr>
          <w:p w14:paraId="381877AF" w14:textId="7E0D084D" w:rsidR="00150C7F" w:rsidRPr="00696D8F" w:rsidRDefault="00150C7F" w:rsidP="00246245">
            <w:pPr>
              <w:pStyle w:val="Tabletext1"/>
              <w:ind w:left="0"/>
            </w:pPr>
            <w:r w:rsidRPr="00F12B91">
              <w:t>$54,845</w:t>
            </w:r>
          </w:p>
        </w:tc>
        <w:tc>
          <w:tcPr>
            <w:tcW w:w="472" w:type="pct"/>
            <w:tcBorders>
              <w:bottom w:val="single" w:sz="4" w:space="0" w:color="auto"/>
            </w:tcBorders>
            <w:noWrap/>
            <w:hideMark/>
          </w:tcPr>
          <w:p w14:paraId="1DB44799" w14:textId="26B9B8CE" w:rsidR="00150C7F" w:rsidRPr="00696D8F" w:rsidRDefault="00150C7F" w:rsidP="00246245">
            <w:pPr>
              <w:pStyle w:val="Tabletext1"/>
              <w:ind w:left="0"/>
            </w:pPr>
            <w:r w:rsidRPr="00F12B91">
              <w:t>0.4826</w:t>
            </w:r>
          </w:p>
        </w:tc>
        <w:tc>
          <w:tcPr>
            <w:tcW w:w="550" w:type="pct"/>
            <w:tcBorders>
              <w:bottom w:val="single" w:sz="4" w:space="0" w:color="auto"/>
            </w:tcBorders>
            <w:noWrap/>
            <w:hideMark/>
          </w:tcPr>
          <w:p w14:paraId="282B75F3" w14:textId="3ECF2A66" w:rsidR="00150C7F" w:rsidRPr="00696D8F" w:rsidRDefault="00150C7F" w:rsidP="00246245">
            <w:pPr>
              <w:pStyle w:val="Tabletext1"/>
              <w:ind w:left="0"/>
            </w:pPr>
            <w:r w:rsidRPr="00F12B91">
              <w:t>$113,655</w:t>
            </w:r>
          </w:p>
        </w:tc>
        <w:tc>
          <w:tcPr>
            <w:tcW w:w="522" w:type="pct"/>
            <w:tcBorders>
              <w:bottom w:val="single" w:sz="4" w:space="0" w:color="auto"/>
            </w:tcBorders>
            <w:noWrap/>
            <w:hideMark/>
          </w:tcPr>
          <w:p w14:paraId="2658BC0D" w14:textId="38882919" w:rsidR="00150C7F" w:rsidRPr="00696D8F" w:rsidRDefault="00150C7F" w:rsidP="00246245">
            <w:pPr>
              <w:pStyle w:val="Tabletext1"/>
              <w:ind w:left="0"/>
            </w:pPr>
            <w:r w:rsidRPr="00F12B91">
              <w:t>21%</w:t>
            </w:r>
          </w:p>
        </w:tc>
      </w:tr>
      <w:tr w:rsidR="00150C7F" w:rsidRPr="00696D8F" w14:paraId="0514DBAF" w14:textId="77777777" w:rsidTr="00246245">
        <w:trPr>
          <w:trHeight w:val="255"/>
        </w:trPr>
        <w:tc>
          <w:tcPr>
            <w:tcW w:w="2906" w:type="pct"/>
            <w:tcBorders>
              <w:right w:val="nil"/>
            </w:tcBorders>
            <w:noWrap/>
            <w:hideMark/>
          </w:tcPr>
          <w:p w14:paraId="03286AAA" w14:textId="5B55C913" w:rsidR="00150C7F" w:rsidRPr="00246245" w:rsidRDefault="00150C7F" w:rsidP="00CC6DE8">
            <w:pPr>
              <w:pStyle w:val="Tabletext1"/>
              <w:ind w:left="0"/>
              <w:rPr>
                <w:b/>
              </w:rPr>
            </w:pPr>
            <w:r w:rsidRPr="00246245">
              <w:rPr>
                <w:b/>
              </w:rPr>
              <w:t>Induction phase, number of exchanges for loading</w:t>
            </w:r>
            <w:r w:rsidR="00CC6DE8">
              <w:rPr>
                <w:b/>
              </w:rPr>
              <w:t xml:space="preserve"> treatment</w:t>
            </w:r>
            <w:r w:rsidRPr="00246245">
              <w:rPr>
                <w:b/>
              </w:rPr>
              <w:t xml:space="preserve"> (base case: 7)</w:t>
            </w:r>
          </w:p>
        </w:tc>
        <w:tc>
          <w:tcPr>
            <w:tcW w:w="550" w:type="pct"/>
            <w:tcBorders>
              <w:left w:val="nil"/>
              <w:right w:val="nil"/>
            </w:tcBorders>
            <w:noWrap/>
            <w:hideMark/>
          </w:tcPr>
          <w:p w14:paraId="40909CA7" w14:textId="5A9D8317" w:rsidR="00150C7F" w:rsidRPr="00696D8F" w:rsidRDefault="00150C7F" w:rsidP="00246245">
            <w:pPr>
              <w:pStyle w:val="Tabletext1"/>
              <w:ind w:left="0"/>
            </w:pPr>
          </w:p>
        </w:tc>
        <w:tc>
          <w:tcPr>
            <w:tcW w:w="472" w:type="pct"/>
            <w:tcBorders>
              <w:left w:val="nil"/>
              <w:right w:val="nil"/>
            </w:tcBorders>
            <w:noWrap/>
            <w:hideMark/>
          </w:tcPr>
          <w:p w14:paraId="06D6828C" w14:textId="67BAEF7B" w:rsidR="00150C7F" w:rsidRPr="00696D8F" w:rsidRDefault="00150C7F" w:rsidP="00246245">
            <w:pPr>
              <w:pStyle w:val="Tabletext1"/>
              <w:ind w:left="0"/>
            </w:pPr>
          </w:p>
        </w:tc>
        <w:tc>
          <w:tcPr>
            <w:tcW w:w="550" w:type="pct"/>
            <w:tcBorders>
              <w:left w:val="nil"/>
              <w:right w:val="nil"/>
            </w:tcBorders>
            <w:noWrap/>
            <w:hideMark/>
          </w:tcPr>
          <w:p w14:paraId="6E5AF119" w14:textId="098231A1" w:rsidR="00150C7F" w:rsidRPr="00696D8F" w:rsidRDefault="00150C7F" w:rsidP="00246245">
            <w:pPr>
              <w:pStyle w:val="Tabletext1"/>
              <w:ind w:left="0"/>
            </w:pPr>
          </w:p>
        </w:tc>
        <w:tc>
          <w:tcPr>
            <w:tcW w:w="522" w:type="pct"/>
            <w:tcBorders>
              <w:left w:val="nil"/>
            </w:tcBorders>
            <w:noWrap/>
            <w:hideMark/>
          </w:tcPr>
          <w:p w14:paraId="31E04DC9" w14:textId="62B6AF33" w:rsidR="00150C7F" w:rsidRPr="00696D8F" w:rsidRDefault="00150C7F" w:rsidP="00246245">
            <w:pPr>
              <w:pStyle w:val="Tabletext1"/>
              <w:ind w:left="0"/>
            </w:pPr>
          </w:p>
        </w:tc>
      </w:tr>
      <w:tr w:rsidR="00150C7F" w:rsidRPr="00696D8F" w14:paraId="56AF3902" w14:textId="77777777" w:rsidTr="00696D8F">
        <w:trPr>
          <w:trHeight w:val="255"/>
        </w:trPr>
        <w:tc>
          <w:tcPr>
            <w:tcW w:w="2906" w:type="pct"/>
            <w:noWrap/>
            <w:hideMark/>
          </w:tcPr>
          <w:p w14:paraId="0C3C7CE1" w14:textId="77777777" w:rsidR="00150C7F" w:rsidRPr="00696D8F" w:rsidRDefault="00150C7F" w:rsidP="00246245">
            <w:pPr>
              <w:pStyle w:val="Tabletext1"/>
              <w:ind w:left="0"/>
            </w:pPr>
            <w:r w:rsidRPr="00696D8F">
              <w:t>5</w:t>
            </w:r>
          </w:p>
        </w:tc>
        <w:tc>
          <w:tcPr>
            <w:tcW w:w="550" w:type="pct"/>
            <w:noWrap/>
            <w:hideMark/>
          </w:tcPr>
          <w:p w14:paraId="078F6EFA" w14:textId="156C1CD5" w:rsidR="00150C7F" w:rsidRPr="00696D8F" w:rsidRDefault="00150C7F" w:rsidP="00246245">
            <w:pPr>
              <w:pStyle w:val="Tabletext1"/>
              <w:ind w:left="0"/>
            </w:pPr>
            <w:r w:rsidRPr="00F12B91">
              <w:t>$55,150</w:t>
            </w:r>
          </w:p>
        </w:tc>
        <w:tc>
          <w:tcPr>
            <w:tcW w:w="472" w:type="pct"/>
            <w:noWrap/>
            <w:hideMark/>
          </w:tcPr>
          <w:p w14:paraId="24A118E1" w14:textId="6F9AE108" w:rsidR="00150C7F" w:rsidRPr="00696D8F" w:rsidRDefault="00150C7F" w:rsidP="00246245">
            <w:pPr>
              <w:pStyle w:val="Tabletext1"/>
              <w:ind w:left="0"/>
            </w:pPr>
            <w:r w:rsidRPr="00F12B91">
              <w:t>0.5298</w:t>
            </w:r>
          </w:p>
        </w:tc>
        <w:tc>
          <w:tcPr>
            <w:tcW w:w="550" w:type="pct"/>
            <w:noWrap/>
            <w:hideMark/>
          </w:tcPr>
          <w:p w14:paraId="53444215" w14:textId="23B7DEF4" w:rsidR="00150C7F" w:rsidRPr="00696D8F" w:rsidRDefault="00150C7F" w:rsidP="00246245">
            <w:pPr>
              <w:pStyle w:val="Tabletext1"/>
              <w:ind w:left="0"/>
            </w:pPr>
            <w:r w:rsidRPr="00F12B91">
              <w:t>$104,092</w:t>
            </w:r>
          </w:p>
        </w:tc>
        <w:tc>
          <w:tcPr>
            <w:tcW w:w="522" w:type="pct"/>
            <w:noWrap/>
            <w:hideMark/>
          </w:tcPr>
          <w:p w14:paraId="7CA8115E" w14:textId="5FF0F19C" w:rsidR="00150C7F" w:rsidRPr="00696D8F" w:rsidRDefault="00150C7F" w:rsidP="00246245">
            <w:pPr>
              <w:pStyle w:val="Tabletext1"/>
              <w:ind w:left="0"/>
            </w:pPr>
            <w:r w:rsidRPr="00F12B91">
              <w:t>11%</w:t>
            </w:r>
          </w:p>
        </w:tc>
      </w:tr>
      <w:tr w:rsidR="00150C7F" w:rsidRPr="00696D8F" w14:paraId="2EA269A1" w14:textId="77777777" w:rsidTr="00246245">
        <w:trPr>
          <w:trHeight w:val="255"/>
        </w:trPr>
        <w:tc>
          <w:tcPr>
            <w:tcW w:w="2906" w:type="pct"/>
            <w:tcBorders>
              <w:bottom w:val="single" w:sz="4" w:space="0" w:color="auto"/>
            </w:tcBorders>
            <w:noWrap/>
            <w:hideMark/>
          </w:tcPr>
          <w:p w14:paraId="1B2AF74B" w14:textId="77777777" w:rsidR="00150C7F" w:rsidRPr="00696D8F" w:rsidRDefault="00150C7F" w:rsidP="00246245">
            <w:pPr>
              <w:pStyle w:val="Tabletext1"/>
              <w:ind w:left="0"/>
            </w:pPr>
            <w:r w:rsidRPr="00696D8F">
              <w:t>10</w:t>
            </w:r>
          </w:p>
        </w:tc>
        <w:tc>
          <w:tcPr>
            <w:tcW w:w="550" w:type="pct"/>
            <w:tcBorders>
              <w:bottom w:val="single" w:sz="4" w:space="0" w:color="auto"/>
            </w:tcBorders>
            <w:noWrap/>
            <w:hideMark/>
          </w:tcPr>
          <w:p w14:paraId="5A5DAB7F" w14:textId="5CB7E17E" w:rsidR="00150C7F" w:rsidRPr="00696D8F" w:rsidRDefault="00150C7F" w:rsidP="00246245">
            <w:pPr>
              <w:pStyle w:val="Tabletext1"/>
              <w:ind w:left="0"/>
            </w:pPr>
            <w:r w:rsidRPr="00F12B91">
              <w:t>$42,254</w:t>
            </w:r>
          </w:p>
        </w:tc>
        <w:tc>
          <w:tcPr>
            <w:tcW w:w="472" w:type="pct"/>
            <w:tcBorders>
              <w:bottom w:val="single" w:sz="4" w:space="0" w:color="auto"/>
            </w:tcBorders>
            <w:noWrap/>
            <w:hideMark/>
          </w:tcPr>
          <w:p w14:paraId="56890A44" w14:textId="1BC9A418" w:rsidR="00150C7F" w:rsidRPr="00696D8F" w:rsidRDefault="00150C7F" w:rsidP="00246245">
            <w:pPr>
              <w:pStyle w:val="Tabletext1"/>
              <w:ind w:left="0"/>
            </w:pPr>
            <w:r w:rsidRPr="00F12B91">
              <w:t>0.5343</w:t>
            </w:r>
          </w:p>
        </w:tc>
        <w:tc>
          <w:tcPr>
            <w:tcW w:w="550" w:type="pct"/>
            <w:tcBorders>
              <w:bottom w:val="single" w:sz="4" w:space="0" w:color="auto"/>
            </w:tcBorders>
            <w:noWrap/>
            <w:hideMark/>
          </w:tcPr>
          <w:p w14:paraId="625BB874" w14:textId="6643549E" w:rsidR="00150C7F" w:rsidRPr="00696D8F" w:rsidRDefault="00150C7F" w:rsidP="00246245">
            <w:pPr>
              <w:pStyle w:val="Tabletext1"/>
              <w:ind w:left="0"/>
            </w:pPr>
            <w:r w:rsidRPr="00F12B91">
              <w:t>$79,084</w:t>
            </w:r>
          </w:p>
        </w:tc>
        <w:tc>
          <w:tcPr>
            <w:tcW w:w="522" w:type="pct"/>
            <w:tcBorders>
              <w:bottom w:val="single" w:sz="4" w:space="0" w:color="auto"/>
            </w:tcBorders>
            <w:noWrap/>
            <w:hideMark/>
          </w:tcPr>
          <w:p w14:paraId="73C02D9A" w14:textId="14CF1514" w:rsidR="00150C7F" w:rsidRPr="00696D8F" w:rsidRDefault="00150C7F" w:rsidP="00246245">
            <w:pPr>
              <w:pStyle w:val="Tabletext1"/>
              <w:ind w:left="0"/>
            </w:pPr>
            <w:r w:rsidRPr="00F12B91">
              <w:t>-16%</w:t>
            </w:r>
          </w:p>
        </w:tc>
      </w:tr>
      <w:tr w:rsidR="00150C7F" w:rsidRPr="00696D8F" w14:paraId="164D49B3" w14:textId="77777777" w:rsidTr="00246245">
        <w:trPr>
          <w:trHeight w:val="255"/>
        </w:trPr>
        <w:tc>
          <w:tcPr>
            <w:tcW w:w="2906" w:type="pct"/>
            <w:tcBorders>
              <w:right w:val="nil"/>
            </w:tcBorders>
            <w:noWrap/>
            <w:hideMark/>
          </w:tcPr>
          <w:p w14:paraId="27BB028F" w14:textId="77777777" w:rsidR="00150C7F" w:rsidRPr="00246245" w:rsidRDefault="00150C7F" w:rsidP="00246245">
            <w:pPr>
              <w:pStyle w:val="Tabletext1"/>
              <w:ind w:left="0"/>
              <w:rPr>
                <w:b/>
              </w:rPr>
            </w:pPr>
            <w:r w:rsidRPr="00246245">
              <w:rPr>
                <w:b/>
              </w:rPr>
              <w:t>Number of exchanges per maintenance treatment (base case: 1.5)</w:t>
            </w:r>
          </w:p>
        </w:tc>
        <w:tc>
          <w:tcPr>
            <w:tcW w:w="550" w:type="pct"/>
            <w:tcBorders>
              <w:left w:val="nil"/>
              <w:right w:val="nil"/>
            </w:tcBorders>
            <w:noWrap/>
            <w:hideMark/>
          </w:tcPr>
          <w:p w14:paraId="4C5DDCD9" w14:textId="676854DD" w:rsidR="00150C7F" w:rsidRPr="00696D8F" w:rsidRDefault="00150C7F" w:rsidP="00246245">
            <w:pPr>
              <w:pStyle w:val="Tabletext1"/>
              <w:ind w:left="0"/>
            </w:pPr>
          </w:p>
        </w:tc>
        <w:tc>
          <w:tcPr>
            <w:tcW w:w="472" w:type="pct"/>
            <w:tcBorders>
              <w:left w:val="nil"/>
              <w:right w:val="nil"/>
            </w:tcBorders>
            <w:noWrap/>
            <w:hideMark/>
          </w:tcPr>
          <w:p w14:paraId="47EE53D0" w14:textId="288C8FC2" w:rsidR="00150C7F" w:rsidRPr="00696D8F" w:rsidRDefault="00150C7F" w:rsidP="00246245">
            <w:pPr>
              <w:pStyle w:val="Tabletext1"/>
              <w:ind w:left="0"/>
            </w:pPr>
          </w:p>
        </w:tc>
        <w:tc>
          <w:tcPr>
            <w:tcW w:w="550" w:type="pct"/>
            <w:tcBorders>
              <w:left w:val="nil"/>
              <w:right w:val="nil"/>
            </w:tcBorders>
            <w:noWrap/>
            <w:hideMark/>
          </w:tcPr>
          <w:p w14:paraId="1D122A62" w14:textId="3373C76A" w:rsidR="00150C7F" w:rsidRPr="00696D8F" w:rsidRDefault="00150C7F" w:rsidP="00246245">
            <w:pPr>
              <w:pStyle w:val="Tabletext1"/>
              <w:ind w:left="0"/>
            </w:pPr>
          </w:p>
        </w:tc>
        <w:tc>
          <w:tcPr>
            <w:tcW w:w="522" w:type="pct"/>
            <w:tcBorders>
              <w:left w:val="nil"/>
            </w:tcBorders>
            <w:noWrap/>
            <w:hideMark/>
          </w:tcPr>
          <w:p w14:paraId="5CF0A095" w14:textId="7BB60159" w:rsidR="00150C7F" w:rsidRPr="00696D8F" w:rsidRDefault="00150C7F" w:rsidP="00246245">
            <w:pPr>
              <w:pStyle w:val="Tabletext1"/>
              <w:ind w:left="0"/>
            </w:pPr>
          </w:p>
        </w:tc>
      </w:tr>
      <w:tr w:rsidR="00150C7F" w:rsidRPr="00696D8F" w14:paraId="62F25CBC" w14:textId="77777777" w:rsidTr="00696D8F">
        <w:trPr>
          <w:trHeight w:val="255"/>
        </w:trPr>
        <w:tc>
          <w:tcPr>
            <w:tcW w:w="2906" w:type="pct"/>
            <w:noWrap/>
            <w:hideMark/>
          </w:tcPr>
          <w:p w14:paraId="2E111C23" w14:textId="77777777" w:rsidR="00150C7F" w:rsidRPr="00696D8F" w:rsidRDefault="00150C7F" w:rsidP="00246245">
            <w:pPr>
              <w:pStyle w:val="Tabletext1"/>
              <w:ind w:left="0"/>
            </w:pPr>
            <w:r w:rsidRPr="00696D8F">
              <w:t>1</w:t>
            </w:r>
          </w:p>
        </w:tc>
        <w:tc>
          <w:tcPr>
            <w:tcW w:w="550" w:type="pct"/>
            <w:noWrap/>
            <w:hideMark/>
          </w:tcPr>
          <w:p w14:paraId="617148D3" w14:textId="105EBD5A" w:rsidR="00150C7F" w:rsidRPr="00696D8F" w:rsidRDefault="00150C7F" w:rsidP="00246245">
            <w:pPr>
              <w:pStyle w:val="Tabletext1"/>
              <w:ind w:left="0"/>
            </w:pPr>
            <w:r w:rsidRPr="00F12B91">
              <w:t>$73,833</w:t>
            </w:r>
          </w:p>
        </w:tc>
        <w:tc>
          <w:tcPr>
            <w:tcW w:w="472" w:type="pct"/>
            <w:noWrap/>
            <w:hideMark/>
          </w:tcPr>
          <w:p w14:paraId="5203A5E3" w14:textId="1D92EFA7" w:rsidR="00150C7F" w:rsidRPr="00696D8F" w:rsidRDefault="00150C7F" w:rsidP="00246245">
            <w:pPr>
              <w:pStyle w:val="Tabletext1"/>
              <w:ind w:left="0"/>
            </w:pPr>
            <w:r w:rsidRPr="00F12B91">
              <w:t>0.5233</w:t>
            </w:r>
          </w:p>
        </w:tc>
        <w:tc>
          <w:tcPr>
            <w:tcW w:w="550" w:type="pct"/>
            <w:noWrap/>
            <w:hideMark/>
          </w:tcPr>
          <w:p w14:paraId="70FFCA22" w14:textId="290097DC" w:rsidR="00150C7F" w:rsidRPr="00696D8F" w:rsidRDefault="00150C7F" w:rsidP="00246245">
            <w:pPr>
              <w:pStyle w:val="Tabletext1"/>
              <w:ind w:left="0"/>
            </w:pPr>
            <w:r w:rsidRPr="00F12B91">
              <w:t>$141,078</w:t>
            </w:r>
          </w:p>
        </w:tc>
        <w:tc>
          <w:tcPr>
            <w:tcW w:w="522" w:type="pct"/>
            <w:noWrap/>
            <w:hideMark/>
          </w:tcPr>
          <w:p w14:paraId="1FFA5DEF" w14:textId="16CEA39F" w:rsidR="00150C7F" w:rsidRPr="00696D8F" w:rsidRDefault="00150C7F" w:rsidP="00246245">
            <w:pPr>
              <w:pStyle w:val="Tabletext1"/>
              <w:ind w:left="0"/>
            </w:pPr>
            <w:r w:rsidRPr="00F12B91">
              <w:t>50%</w:t>
            </w:r>
          </w:p>
        </w:tc>
      </w:tr>
      <w:tr w:rsidR="00150C7F" w:rsidRPr="00696D8F" w14:paraId="43FEC495" w14:textId="77777777" w:rsidTr="00246245">
        <w:trPr>
          <w:trHeight w:val="255"/>
        </w:trPr>
        <w:tc>
          <w:tcPr>
            <w:tcW w:w="2906" w:type="pct"/>
            <w:tcBorders>
              <w:bottom w:val="single" w:sz="4" w:space="0" w:color="auto"/>
            </w:tcBorders>
            <w:noWrap/>
            <w:hideMark/>
          </w:tcPr>
          <w:p w14:paraId="06DC7A02" w14:textId="77777777" w:rsidR="00150C7F" w:rsidRPr="00696D8F" w:rsidRDefault="00150C7F" w:rsidP="00246245">
            <w:pPr>
              <w:pStyle w:val="Tabletext1"/>
              <w:ind w:left="0"/>
            </w:pPr>
            <w:r w:rsidRPr="00696D8F">
              <w:t>2</w:t>
            </w:r>
          </w:p>
        </w:tc>
        <w:tc>
          <w:tcPr>
            <w:tcW w:w="550" w:type="pct"/>
            <w:tcBorders>
              <w:bottom w:val="single" w:sz="4" w:space="0" w:color="auto"/>
            </w:tcBorders>
            <w:noWrap/>
            <w:hideMark/>
          </w:tcPr>
          <w:p w14:paraId="53414CCE" w14:textId="7A94B251" w:rsidR="00150C7F" w:rsidRPr="00696D8F" w:rsidRDefault="00150C7F" w:rsidP="00246245">
            <w:pPr>
              <w:pStyle w:val="Tabletext1"/>
              <w:ind w:left="0"/>
            </w:pPr>
            <w:r w:rsidRPr="00F12B91">
              <w:t>$26,150</w:t>
            </w:r>
          </w:p>
        </w:tc>
        <w:tc>
          <w:tcPr>
            <w:tcW w:w="472" w:type="pct"/>
            <w:tcBorders>
              <w:bottom w:val="single" w:sz="4" w:space="0" w:color="auto"/>
            </w:tcBorders>
            <w:noWrap/>
            <w:hideMark/>
          </w:tcPr>
          <w:p w14:paraId="0B2C6FE1" w14:textId="7FCB2C07" w:rsidR="00150C7F" w:rsidRPr="00696D8F" w:rsidRDefault="00150C7F" w:rsidP="00246245">
            <w:pPr>
              <w:pStyle w:val="Tabletext1"/>
              <w:ind w:left="0"/>
            </w:pPr>
            <w:r w:rsidRPr="00F12B91">
              <w:t>0.5399</w:t>
            </w:r>
          </w:p>
        </w:tc>
        <w:tc>
          <w:tcPr>
            <w:tcW w:w="550" w:type="pct"/>
            <w:tcBorders>
              <w:bottom w:val="single" w:sz="4" w:space="0" w:color="auto"/>
            </w:tcBorders>
            <w:noWrap/>
            <w:hideMark/>
          </w:tcPr>
          <w:p w14:paraId="42CCB393" w14:textId="2C589861" w:rsidR="00150C7F" w:rsidRPr="00696D8F" w:rsidRDefault="00150C7F" w:rsidP="00246245">
            <w:pPr>
              <w:pStyle w:val="Tabletext1"/>
              <w:ind w:left="0"/>
            </w:pPr>
            <w:r w:rsidRPr="00F12B91">
              <w:t>$48,437</w:t>
            </w:r>
          </w:p>
        </w:tc>
        <w:tc>
          <w:tcPr>
            <w:tcW w:w="522" w:type="pct"/>
            <w:tcBorders>
              <w:bottom w:val="single" w:sz="4" w:space="0" w:color="auto"/>
            </w:tcBorders>
            <w:noWrap/>
            <w:hideMark/>
          </w:tcPr>
          <w:p w14:paraId="4211E804" w14:textId="221DF23F" w:rsidR="00150C7F" w:rsidRPr="00696D8F" w:rsidRDefault="00150C7F" w:rsidP="00246245">
            <w:pPr>
              <w:pStyle w:val="Tabletext1"/>
              <w:ind w:left="0"/>
            </w:pPr>
            <w:r w:rsidRPr="00F12B91">
              <w:t>-48%</w:t>
            </w:r>
          </w:p>
        </w:tc>
      </w:tr>
      <w:tr w:rsidR="00150C7F" w:rsidRPr="00696D8F" w14:paraId="77E455DF" w14:textId="77777777" w:rsidTr="00246245">
        <w:trPr>
          <w:trHeight w:val="255"/>
        </w:trPr>
        <w:tc>
          <w:tcPr>
            <w:tcW w:w="2906" w:type="pct"/>
            <w:tcBorders>
              <w:right w:val="nil"/>
            </w:tcBorders>
            <w:noWrap/>
            <w:hideMark/>
          </w:tcPr>
          <w:p w14:paraId="1FC86DE2" w14:textId="6E776A29" w:rsidR="00150C7F" w:rsidRPr="00246245" w:rsidRDefault="00150C7F" w:rsidP="00CC6DE8">
            <w:pPr>
              <w:pStyle w:val="Tabletext1"/>
              <w:ind w:left="0"/>
              <w:rPr>
                <w:b/>
              </w:rPr>
            </w:pPr>
            <w:r w:rsidRPr="00246245">
              <w:rPr>
                <w:b/>
              </w:rPr>
              <w:t xml:space="preserve">Plasma volume exchanged per </w:t>
            </w:r>
            <w:r w:rsidR="00CC6DE8">
              <w:rPr>
                <w:b/>
              </w:rPr>
              <w:t xml:space="preserve">treatment course </w:t>
            </w:r>
            <w:r w:rsidRPr="00246245">
              <w:rPr>
                <w:b/>
              </w:rPr>
              <w:t>(base case: 45 ml/kg)</w:t>
            </w:r>
          </w:p>
        </w:tc>
        <w:tc>
          <w:tcPr>
            <w:tcW w:w="550" w:type="pct"/>
            <w:tcBorders>
              <w:left w:val="nil"/>
              <w:right w:val="nil"/>
            </w:tcBorders>
            <w:noWrap/>
            <w:hideMark/>
          </w:tcPr>
          <w:p w14:paraId="672C4433" w14:textId="71E32C1B" w:rsidR="00150C7F" w:rsidRPr="00696D8F" w:rsidRDefault="00150C7F" w:rsidP="00246245">
            <w:pPr>
              <w:pStyle w:val="Tabletext1"/>
              <w:ind w:left="0"/>
            </w:pPr>
          </w:p>
        </w:tc>
        <w:tc>
          <w:tcPr>
            <w:tcW w:w="472" w:type="pct"/>
            <w:tcBorders>
              <w:left w:val="nil"/>
              <w:right w:val="nil"/>
            </w:tcBorders>
            <w:noWrap/>
            <w:hideMark/>
          </w:tcPr>
          <w:p w14:paraId="28415536" w14:textId="3320041E" w:rsidR="00150C7F" w:rsidRPr="00696D8F" w:rsidRDefault="00150C7F" w:rsidP="00246245">
            <w:pPr>
              <w:pStyle w:val="Tabletext1"/>
              <w:ind w:left="0"/>
            </w:pPr>
          </w:p>
        </w:tc>
        <w:tc>
          <w:tcPr>
            <w:tcW w:w="550" w:type="pct"/>
            <w:tcBorders>
              <w:left w:val="nil"/>
              <w:right w:val="nil"/>
            </w:tcBorders>
            <w:noWrap/>
            <w:hideMark/>
          </w:tcPr>
          <w:p w14:paraId="6D6EB5AE" w14:textId="6E4AB38F" w:rsidR="00150C7F" w:rsidRPr="00696D8F" w:rsidRDefault="00150C7F" w:rsidP="00246245">
            <w:pPr>
              <w:pStyle w:val="Tabletext1"/>
              <w:ind w:left="0"/>
            </w:pPr>
          </w:p>
        </w:tc>
        <w:tc>
          <w:tcPr>
            <w:tcW w:w="522" w:type="pct"/>
            <w:tcBorders>
              <w:left w:val="nil"/>
            </w:tcBorders>
            <w:noWrap/>
            <w:hideMark/>
          </w:tcPr>
          <w:p w14:paraId="4B3CD5D6" w14:textId="42D76BC9" w:rsidR="00150C7F" w:rsidRPr="00696D8F" w:rsidRDefault="00150C7F" w:rsidP="00246245">
            <w:pPr>
              <w:pStyle w:val="Tabletext1"/>
              <w:ind w:left="0"/>
            </w:pPr>
          </w:p>
        </w:tc>
      </w:tr>
      <w:tr w:rsidR="00150C7F" w:rsidRPr="00696D8F" w14:paraId="6C9C2877" w14:textId="77777777" w:rsidTr="00696D8F">
        <w:trPr>
          <w:trHeight w:val="315"/>
        </w:trPr>
        <w:tc>
          <w:tcPr>
            <w:tcW w:w="2906" w:type="pct"/>
            <w:noWrap/>
            <w:hideMark/>
          </w:tcPr>
          <w:p w14:paraId="0DBF31C5" w14:textId="77777777" w:rsidR="00150C7F" w:rsidRPr="00696D8F" w:rsidRDefault="00150C7F" w:rsidP="00246245">
            <w:pPr>
              <w:pStyle w:val="Tabletext1"/>
              <w:ind w:left="0"/>
            </w:pPr>
            <w:r w:rsidRPr="00696D8F">
              <w:t>40 ml/kg</w:t>
            </w:r>
          </w:p>
        </w:tc>
        <w:tc>
          <w:tcPr>
            <w:tcW w:w="550" w:type="pct"/>
            <w:noWrap/>
            <w:hideMark/>
          </w:tcPr>
          <w:p w14:paraId="7AE4F973" w14:textId="5D4EDB27" w:rsidR="00150C7F" w:rsidRPr="00696D8F" w:rsidRDefault="00150C7F" w:rsidP="00246245">
            <w:pPr>
              <w:pStyle w:val="Tabletext1"/>
              <w:ind w:left="0"/>
            </w:pPr>
            <w:r w:rsidRPr="00F12B91">
              <w:t>$50,488</w:t>
            </w:r>
          </w:p>
        </w:tc>
        <w:tc>
          <w:tcPr>
            <w:tcW w:w="472" w:type="pct"/>
            <w:noWrap/>
            <w:hideMark/>
          </w:tcPr>
          <w:p w14:paraId="3D42BB65" w14:textId="353A5EE8" w:rsidR="00150C7F" w:rsidRPr="00696D8F" w:rsidRDefault="00150C7F" w:rsidP="00246245">
            <w:pPr>
              <w:pStyle w:val="Tabletext1"/>
              <w:ind w:left="0"/>
            </w:pPr>
            <w:r w:rsidRPr="00F12B91">
              <w:t>0.5316</w:t>
            </w:r>
          </w:p>
        </w:tc>
        <w:tc>
          <w:tcPr>
            <w:tcW w:w="550" w:type="pct"/>
            <w:noWrap/>
            <w:hideMark/>
          </w:tcPr>
          <w:p w14:paraId="441BED07" w14:textId="1B57A7CD" w:rsidR="00150C7F" w:rsidRPr="00696D8F" w:rsidRDefault="00150C7F" w:rsidP="00246245">
            <w:pPr>
              <w:pStyle w:val="Tabletext1"/>
              <w:ind w:left="0"/>
            </w:pPr>
            <w:r w:rsidRPr="00F12B91">
              <w:t>$94,973</w:t>
            </w:r>
          </w:p>
        </w:tc>
        <w:tc>
          <w:tcPr>
            <w:tcW w:w="522" w:type="pct"/>
            <w:noWrap/>
            <w:hideMark/>
          </w:tcPr>
          <w:p w14:paraId="7E610F7D" w14:textId="0CCD1BD2" w:rsidR="00150C7F" w:rsidRPr="00696D8F" w:rsidRDefault="00150C7F" w:rsidP="00246245">
            <w:pPr>
              <w:pStyle w:val="Tabletext1"/>
              <w:ind w:left="0"/>
            </w:pPr>
            <w:r w:rsidRPr="00F12B91">
              <w:t>1%</w:t>
            </w:r>
          </w:p>
        </w:tc>
      </w:tr>
      <w:tr w:rsidR="00150C7F" w:rsidRPr="00696D8F" w14:paraId="62E5B330" w14:textId="77777777" w:rsidTr="00246245">
        <w:trPr>
          <w:trHeight w:val="255"/>
        </w:trPr>
        <w:tc>
          <w:tcPr>
            <w:tcW w:w="2906" w:type="pct"/>
            <w:tcBorders>
              <w:bottom w:val="single" w:sz="4" w:space="0" w:color="auto"/>
            </w:tcBorders>
            <w:noWrap/>
            <w:hideMark/>
          </w:tcPr>
          <w:p w14:paraId="3DC95963" w14:textId="77777777" w:rsidR="00150C7F" w:rsidRPr="00696D8F" w:rsidRDefault="00150C7F" w:rsidP="00246245">
            <w:pPr>
              <w:pStyle w:val="Tabletext1"/>
              <w:ind w:left="0"/>
            </w:pPr>
            <w:r w:rsidRPr="00696D8F">
              <w:t>50 ml/kg</w:t>
            </w:r>
          </w:p>
        </w:tc>
        <w:tc>
          <w:tcPr>
            <w:tcW w:w="550" w:type="pct"/>
            <w:tcBorders>
              <w:bottom w:val="single" w:sz="4" w:space="0" w:color="auto"/>
            </w:tcBorders>
            <w:noWrap/>
            <w:hideMark/>
          </w:tcPr>
          <w:p w14:paraId="7077040D" w14:textId="2AFADB90" w:rsidR="00150C7F" w:rsidRPr="00696D8F" w:rsidRDefault="00150C7F" w:rsidP="00246245">
            <w:pPr>
              <w:pStyle w:val="Tabletext1"/>
              <w:ind w:left="0"/>
            </w:pPr>
            <w:r w:rsidRPr="00F12B91">
              <w:t>$49,495</w:t>
            </w:r>
          </w:p>
        </w:tc>
        <w:tc>
          <w:tcPr>
            <w:tcW w:w="472" w:type="pct"/>
            <w:tcBorders>
              <w:bottom w:val="single" w:sz="4" w:space="0" w:color="auto"/>
            </w:tcBorders>
            <w:noWrap/>
            <w:hideMark/>
          </w:tcPr>
          <w:p w14:paraId="20E365CE" w14:textId="66B67F11" w:rsidR="00150C7F" w:rsidRPr="00696D8F" w:rsidRDefault="00150C7F" w:rsidP="00246245">
            <w:pPr>
              <w:pStyle w:val="Tabletext1"/>
              <w:ind w:left="0"/>
            </w:pPr>
            <w:r w:rsidRPr="00F12B91">
              <w:t>0.5316</w:t>
            </w:r>
          </w:p>
        </w:tc>
        <w:tc>
          <w:tcPr>
            <w:tcW w:w="550" w:type="pct"/>
            <w:tcBorders>
              <w:bottom w:val="single" w:sz="4" w:space="0" w:color="auto"/>
            </w:tcBorders>
            <w:noWrap/>
            <w:hideMark/>
          </w:tcPr>
          <w:p w14:paraId="4EC545B5" w14:textId="5F038004" w:rsidR="00150C7F" w:rsidRPr="00696D8F" w:rsidRDefault="00150C7F" w:rsidP="00246245">
            <w:pPr>
              <w:pStyle w:val="Tabletext1"/>
              <w:ind w:left="0"/>
            </w:pPr>
            <w:r w:rsidRPr="00F12B91">
              <w:t>$93,104</w:t>
            </w:r>
          </w:p>
        </w:tc>
        <w:tc>
          <w:tcPr>
            <w:tcW w:w="522" w:type="pct"/>
            <w:tcBorders>
              <w:bottom w:val="single" w:sz="4" w:space="0" w:color="auto"/>
            </w:tcBorders>
            <w:noWrap/>
            <w:hideMark/>
          </w:tcPr>
          <w:p w14:paraId="0110219A" w14:textId="1D74AB1D" w:rsidR="00150C7F" w:rsidRPr="00696D8F" w:rsidRDefault="00150C7F" w:rsidP="00246245">
            <w:pPr>
              <w:pStyle w:val="Tabletext1"/>
              <w:ind w:left="0"/>
            </w:pPr>
            <w:r w:rsidRPr="00F12B91">
              <w:t>-1%</w:t>
            </w:r>
          </w:p>
        </w:tc>
      </w:tr>
      <w:tr w:rsidR="00150C7F" w:rsidRPr="00696D8F" w14:paraId="01730ABA" w14:textId="77777777" w:rsidTr="00246245">
        <w:trPr>
          <w:trHeight w:val="315"/>
        </w:trPr>
        <w:tc>
          <w:tcPr>
            <w:tcW w:w="2906" w:type="pct"/>
            <w:tcBorders>
              <w:right w:val="nil"/>
            </w:tcBorders>
            <w:noWrap/>
            <w:hideMark/>
          </w:tcPr>
          <w:p w14:paraId="211812A8" w14:textId="77777777" w:rsidR="00150C7F" w:rsidRPr="00246245" w:rsidRDefault="00150C7F" w:rsidP="00246245">
            <w:pPr>
              <w:pStyle w:val="Tabletext1"/>
              <w:ind w:left="0"/>
              <w:rPr>
                <w:b/>
              </w:rPr>
            </w:pPr>
            <w:r w:rsidRPr="00246245">
              <w:rPr>
                <w:b/>
              </w:rPr>
              <w:t>Plasmapheresis administration cost (base case: $1,477)</w:t>
            </w:r>
          </w:p>
        </w:tc>
        <w:tc>
          <w:tcPr>
            <w:tcW w:w="550" w:type="pct"/>
            <w:tcBorders>
              <w:left w:val="nil"/>
              <w:right w:val="nil"/>
            </w:tcBorders>
            <w:noWrap/>
            <w:hideMark/>
          </w:tcPr>
          <w:p w14:paraId="33906A49" w14:textId="1FD53487" w:rsidR="00150C7F" w:rsidRPr="00696D8F" w:rsidRDefault="00150C7F" w:rsidP="00246245">
            <w:pPr>
              <w:pStyle w:val="Tabletext1"/>
              <w:ind w:left="0"/>
            </w:pPr>
          </w:p>
        </w:tc>
        <w:tc>
          <w:tcPr>
            <w:tcW w:w="472" w:type="pct"/>
            <w:tcBorders>
              <w:left w:val="nil"/>
              <w:right w:val="nil"/>
            </w:tcBorders>
            <w:noWrap/>
            <w:hideMark/>
          </w:tcPr>
          <w:p w14:paraId="464A2F49" w14:textId="514CF356" w:rsidR="00150C7F" w:rsidRPr="00696D8F" w:rsidRDefault="00150C7F" w:rsidP="00246245">
            <w:pPr>
              <w:pStyle w:val="Tabletext1"/>
              <w:ind w:left="0"/>
            </w:pPr>
          </w:p>
        </w:tc>
        <w:tc>
          <w:tcPr>
            <w:tcW w:w="550" w:type="pct"/>
            <w:tcBorders>
              <w:left w:val="nil"/>
              <w:right w:val="nil"/>
            </w:tcBorders>
            <w:noWrap/>
            <w:hideMark/>
          </w:tcPr>
          <w:p w14:paraId="2704E946" w14:textId="10201159" w:rsidR="00150C7F" w:rsidRPr="00696D8F" w:rsidRDefault="00150C7F" w:rsidP="00246245">
            <w:pPr>
              <w:pStyle w:val="Tabletext1"/>
              <w:ind w:left="0"/>
            </w:pPr>
          </w:p>
        </w:tc>
        <w:tc>
          <w:tcPr>
            <w:tcW w:w="522" w:type="pct"/>
            <w:tcBorders>
              <w:left w:val="nil"/>
            </w:tcBorders>
            <w:noWrap/>
            <w:hideMark/>
          </w:tcPr>
          <w:p w14:paraId="0275EF89" w14:textId="39463469" w:rsidR="00150C7F" w:rsidRPr="00696D8F" w:rsidRDefault="00150C7F" w:rsidP="00246245">
            <w:pPr>
              <w:pStyle w:val="Tabletext1"/>
              <w:ind w:left="0"/>
            </w:pPr>
          </w:p>
        </w:tc>
      </w:tr>
      <w:tr w:rsidR="00150C7F" w:rsidRPr="00696D8F" w14:paraId="5ECC4FE6" w14:textId="77777777" w:rsidTr="00246245">
        <w:trPr>
          <w:trHeight w:val="300"/>
        </w:trPr>
        <w:tc>
          <w:tcPr>
            <w:tcW w:w="2906" w:type="pct"/>
            <w:tcBorders>
              <w:bottom w:val="single" w:sz="4" w:space="0" w:color="auto"/>
            </w:tcBorders>
            <w:noWrap/>
            <w:hideMark/>
          </w:tcPr>
          <w:p w14:paraId="356F3EA4" w14:textId="77777777" w:rsidR="00150C7F" w:rsidRPr="00696D8F" w:rsidRDefault="00150C7F" w:rsidP="00246245">
            <w:pPr>
              <w:pStyle w:val="Tabletext1"/>
              <w:ind w:left="0"/>
            </w:pPr>
            <w:r w:rsidRPr="00696D8F">
              <w:t>$738</w:t>
            </w:r>
          </w:p>
        </w:tc>
        <w:tc>
          <w:tcPr>
            <w:tcW w:w="550" w:type="pct"/>
            <w:tcBorders>
              <w:bottom w:val="single" w:sz="4" w:space="0" w:color="auto"/>
            </w:tcBorders>
            <w:noWrap/>
            <w:hideMark/>
          </w:tcPr>
          <w:p w14:paraId="07C2E57A" w14:textId="55557902" w:rsidR="00150C7F" w:rsidRPr="00696D8F" w:rsidRDefault="00150C7F" w:rsidP="00246245">
            <w:pPr>
              <w:pStyle w:val="Tabletext1"/>
              <w:ind w:left="0"/>
            </w:pPr>
            <w:r w:rsidRPr="00F12B91">
              <w:t>$83,317</w:t>
            </w:r>
          </w:p>
        </w:tc>
        <w:tc>
          <w:tcPr>
            <w:tcW w:w="472" w:type="pct"/>
            <w:tcBorders>
              <w:bottom w:val="single" w:sz="4" w:space="0" w:color="auto"/>
            </w:tcBorders>
            <w:noWrap/>
            <w:hideMark/>
          </w:tcPr>
          <w:p w14:paraId="5AEA4020" w14:textId="4B102BE6" w:rsidR="00150C7F" w:rsidRPr="00696D8F" w:rsidRDefault="00150C7F" w:rsidP="00246245">
            <w:pPr>
              <w:pStyle w:val="Tabletext1"/>
              <w:ind w:left="0"/>
            </w:pPr>
            <w:r w:rsidRPr="00F12B91">
              <w:t>0.5316</w:t>
            </w:r>
          </w:p>
        </w:tc>
        <w:tc>
          <w:tcPr>
            <w:tcW w:w="550" w:type="pct"/>
            <w:tcBorders>
              <w:bottom w:val="single" w:sz="4" w:space="0" w:color="auto"/>
            </w:tcBorders>
            <w:noWrap/>
            <w:hideMark/>
          </w:tcPr>
          <w:p w14:paraId="67AAFE6A" w14:textId="4670FF28" w:rsidR="00150C7F" w:rsidRPr="00696D8F" w:rsidRDefault="00150C7F" w:rsidP="00246245">
            <w:pPr>
              <w:pStyle w:val="Tabletext1"/>
              <w:ind w:left="0"/>
            </w:pPr>
            <w:r w:rsidRPr="00F12B91">
              <w:t>$156,726</w:t>
            </w:r>
          </w:p>
        </w:tc>
        <w:tc>
          <w:tcPr>
            <w:tcW w:w="522" w:type="pct"/>
            <w:tcBorders>
              <w:bottom w:val="single" w:sz="4" w:space="0" w:color="auto"/>
            </w:tcBorders>
            <w:noWrap/>
            <w:hideMark/>
          </w:tcPr>
          <w:p w14:paraId="25EF0CD7" w14:textId="77F96AE2" w:rsidR="00150C7F" w:rsidRPr="00696D8F" w:rsidRDefault="00150C7F" w:rsidP="00246245">
            <w:pPr>
              <w:pStyle w:val="Tabletext1"/>
              <w:ind w:left="0"/>
            </w:pPr>
            <w:r w:rsidRPr="00F12B91">
              <w:t>67%</w:t>
            </w:r>
          </w:p>
        </w:tc>
      </w:tr>
      <w:tr w:rsidR="00150C7F" w:rsidRPr="00696D8F" w14:paraId="325766F1" w14:textId="77777777" w:rsidTr="00246245">
        <w:trPr>
          <w:trHeight w:val="255"/>
        </w:trPr>
        <w:tc>
          <w:tcPr>
            <w:tcW w:w="2906" w:type="pct"/>
            <w:tcBorders>
              <w:right w:val="nil"/>
            </w:tcBorders>
            <w:noWrap/>
            <w:hideMark/>
          </w:tcPr>
          <w:p w14:paraId="5F220272" w14:textId="3F1B18C5" w:rsidR="00150C7F" w:rsidRPr="00246245" w:rsidRDefault="00150C7F" w:rsidP="00CC6DE8">
            <w:pPr>
              <w:pStyle w:val="Tabletext1"/>
              <w:ind w:left="0"/>
              <w:rPr>
                <w:b/>
              </w:rPr>
            </w:pPr>
            <w:r w:rsidRPr="00246245">
              <w:rPr>
                <w:b/>
              </w:rPr>
              <w:t xml:space="preserve">Utility gain with PE </w:t>
            </w:r>
            <w:r w:rsidR="00CC6DE8">
              <w:rPr>
                <w:b/>
              </w:rPr>
              <w:t>therapy</w:t>
            </w:r>
            <w:r w:rsidRPr="00246245">
              <w:rPr>
                <w:b/>
              </w:rPr>
              <w:t xml:space="preserve"> (base case: 0.12)</w:t>
            </w:r>
          </w:p>
        </w:tc>
        <w:tc>
          <w:tcPr>
            <w:tcW w:w="550" w:type="pct"/>
            <w:tcBorders>
              <w:left w:val="nil"/>
              <w:right w:val="nil"/>
            </w:tcBorders>
            <w:noWrap/>
            <w:hideMark/>
          </w:tcPr>
          <w:p w14:paraId="36C4ABBA" w14:textId="368659A3" w:rsidR="00150C7F" w:rsidRPr="00696D8F" w:rsidRDefault="00150C7F" w:rsidP="00246245">
            <w:pPr>
              <w:pStyle w:val="Tabletext1"/>
              <w:ind w:left="0"/>
            </w:pPr>
          </w:p>
        </w:tc>
        <w:tc>
          <w:tcPr>
            <w:tcW w:w="472" w:type="pct"/>
            <w:tcBorders>
              <w:left w:val="nil"/>
              <w:right w:val="nil"/>
            </w:tcBorders>
            <w:noWrap/>
            <w:hideMark/>
          </w:tcPr>
          <w:p w14:paraId="31FCD005" w14:textId="5B298DAB" w:rsidR="00150C7F" w:rsidRPr="00696D8F" w:rsidRDefault="00150C7F" w:rsidP="00246245">
            <w:pPr>
              <w:pStyle w:val="Tabletext1"/>
              <w:ind w:left="0"/>
            </w:pPr>
          </w:p>
        </w:tc>
        <w:tc>
          <w:tcPr>
            <w:tcW w:w="550" w:type="pct"/>
            <w:tcBorders>
              <w:left w:val="nil"/>
              <w:right w:val="nil"/>
            </w:tcBorders>
            <w:noWrap/>
            <w:hideMark/>
          </w:tcPr>
          <w:p w14:paraId="4AC5144D" w14:textId="642CAF96" w:rsidR="00150C7F" w:rsidRPr="00696D8F" w:rsidRDefault="00150C7F" w:rsidP="00246245">
            <w:pPr>
              <w:pStyle w:val="Tabletext1"/>
              <w:ind w:left="0"/>
            </w:pPr>
          </w:p>
        </w:tc>
        <w:tc>
          <w:tcPr>
            <w:tcW w:w="522" w:type="pct"/>
            <w:tcBorders>
              <w:left w:val="nil"/>
            </w:tcBorders>
            <w:noWrap/>
            <w:hideMark/>
          </w:tcPr>
          <w:p w14:paraId="05A8A891" w14:textId="2158FEDC" w:rsidR="00150C7F" w:rsidRPr="00696D8F" w:rsidRDefault="00150C7F" w:rsidP="00246245">
            <w:pPr>
              <w:pStyle w:val="Tabletext1"/>
              <w:ind w:left="0"/>
            </w:pPr>
          </w:p>
        </w:tc>
      </w:tr>
      <w:tr w:rsidR="00150C7F" w:rsidRPr="00696D8F" w14:paraId="032BE2B4" w14:textId="77777777" w:rsidTr="00696D8F">
        <w:trPr>
          <w:trHeight w:val="255"/>
        </w:trPr>
        <w:tc>
          <w:tcPr>
            <w:tcW w:w="2906" w:type="pct"/>
            <w:noWrap/>
            <w:hideMark/>
          </w:tcPr>
          <w:p w14:paraId="5E150217" w14:textId="41B9DD2A" w:rsidR="00150C7F" w:rsidRPr="00696D8F" w:rsidRDefault="00150C7F" w:rsidP="00246245">
            <w:pPr>
              <w:pStyle w:val="Tabletext1"/>
              <w:ind w:left="0"/>
            </w:pPr>
            <w:r w:rsidRPr="00696D8F">
              <w:t>0</w:t>
            </w:r>
            <w:r w:rsidR="00D61F65">
              <w:t>.0</w:t>
            </w:r>
          </w:p>
        </w:tc>
        <w:tc>
          <w:tcPr>
            <w:tcW w:w="550" w:type="pct"/>
            <w:noWrap/>
            <w:hideMark/>
          </w:tcPr>
          <w:p w14:paraId="66FE24B0" w14:textId="6E3610F1" w:rsidR="00150C7F" w:rsidRPr="00696D8F" w:rsidRDefault="00150C7F" w:rsidP="00246245">
            <w:pPr>
              <w:pStyle w:val="Tabletext1"/>
              <w:ind w:left="0"/>
            </w:pPr>
            <w:r w:rsidRPr="00F12B91">
              <w:t>$49,991</w:t>
            </w:r>
          </w:p>
        </w:tc>
        <w:tc>
          <w:tcPr>
            <w:tcW w:w="472" w:type="pct"/>
            <w:noWrap/>
            <w:hideMark/>
          </w:tcPr>
          <w:p w14:paraId="3ED26933" w14:textId="2B34D148" w:rsidR="00150C7F" w:rsidRPr="00696D8F" w:rsidRDefault="00150C7F" w:rsidP="00246245">
            <w:pPr>
              <w:pStyle w:val="Tabletext1"/>
              <w:ind w:left="0"/>
            </w:pPr>
            <w:r w:rsidRPr="00F12B91">
              <w:t>0.7654</w:t>
            </w:r>
          </w:p>
        </w:tc>
        <w:tc>
          <w:tcPr>
            <w:tcW w:w="550" w:type="pct"/>
            <w:noWrap/>
            <w:hideMark/>
          </w:tcPr>
          <w:p w14:paraId="291AADA2" w14:textId="244D8802" w:rsidR="00150C7F" w:rsidRPr="00696D8F" w:rsidRDefault="00150C7F" w:rsidP="00246245">
            <w:pPr>
              <w:pStyle w:val="Tabletext1"/>
              <w:ind w:left="0"/>
            </w:pPr>
            <w:r w:rsidRPr="00F12B91">
              <w:t>$65,316</w:t>
            </w:r>
          </w:p>
        </w:tc>
        <w:tc>
          <w:tcPr>
            <w:tcW w:w="522" w:type="pct"/>
            <w:noWrap/>
            <w:hideMark/>
          </w:tcPr>
          <w:p w14:paraId="7F83ED19" w14:textId="4D6767D4" w:rsidR="00150C7F" w:rsidRPr="00696D8F" w:rsidRDefault="00150C7F" w:rsidP="00246245">
            <w:pPr>
              <w:pStyle w:val="Tabletext1"/>
              <w:ind w:left="0"/>
            </w:pPr>
            <w:r w:rsidRPr="00F12B91">
              <w:t>-31%</w:t>
            </w:r>
          </w:p>
        </w:tc>
      </w:tr>
      <w:tr w:rsidR="00150C7F" w:rsidRPr="00696D8F" w14:paraId="7E5B60C6" w14:textId="77777777" w:rsidTr="00696D8F">
        <w:trPr>
          <w:trHeight w:val="255"/>
        </w:trPr>
        <w:tc>
          <w:tcPr>
            <w:tcW w:w="2906" w:type="pct"/>
            <w:noWrap/>
            <w:hideMark/>
          </w:tcPr>
          <w:p w14:paraId="45A4C85D" w14:textId="77777777" w:rsidR="00150C7F" w:rsidRPr="00696D8F" w:rsidRDefault="00150C7F" w:rsidP="00246245">
            <w:pPr>
              <w:pStyle w:val="Tabletext1"/>
              <w:ind w:left="0"/>
            </w:pPr>
            <w:r w:rsidRPr="00696D8F">
              <w:t>0.06</w:t>
            </w:r>
          </w:p>
        </w:tc>
        <w:tc>
          <w:tcPr>
            <w:tcW w:w="550" w:type="pct"/>
            <w:noWrap/>
            <w:hideMark/>
          </w:tcPr>
          <w:p w14:paraId="5DA781BC" w14:textId="0F5FB040" w:rsidR="00150C7F" w:rsidRPr="00696D8F" w:rsidRDefault="00150C7F" w:rsidP="00246245">
            <w:pPr>
              <w:pStyle w:val="Tabletext1"/>
              <w:ind w:left="0"/>
            </w:pPr>
            <w:r w:rsidRPr="00F12B91">
              <w:t>$49,991</w:t>
            </w:r>
          </w:p>
        </w:tc>
        <w:tc>
          <w:tcPr>
            <w:tcW w:w="472" w:type="pct"/>
            <w:noWrap/>
            <w:hideMark/>
          </w:tcPr>
          <w:p w14:paraId="7E28F3FE" w14:textId="4C09184E" w:rsidR="00150C7F" w:rsidRPr="00696D8F" w:rsidRDefault="00150C7F" w:rsidP="00246245">
            <w:pPr>
              <w:pStyle w:val="Tabletext1"/>
              <w:ind w:left="0"/>
            </w:pPr>
            <w:r w:rsidRPr="00F12B91">
              <w:t>0.6485</w:t>
            </w:r>
          </w:p>
        </w:tc>
        <w:tc>
          <w:tcPr>
            <w:tcW w:w="550" w:type="pct"/>
            <w:noWrap/>
            <w:hideMark/>
          </w:tcPr>
          <w:p w14:paraId="04254A4B" w14:textId="6B32B48D" w:rsidR="00150C7F" w:rsidRPr="00696D8F" w:rsidRDefault="00150C7F" w:rsidP="00246245">
            <w:pPr>
              <w:pStyle w:val="Tabletext1"/>
              <w:ind w:left="0"/>
            </w:pPr>
            <w:r w:rsidRPr="00F12B91">
              <w:t>$77,089</w:t>
            </w:r>
          </w:p>
        </w:tc>
        <w:tc>
          <w:tcPr>
            <w:tcW w:w="522" w:type="pct"/>
            <w:noWrap/>
            <w:hideMark/>
          </w:tcPr>
          <w:p w14:paraId="259FCBD5" w14:textId="6842B036" w:rsidR="00150C7F" w:rsidRPr="00696D8F" w:rsidRDefault="00150C7F" w:rsidP="00246245">
            <w:pPr>
              <w:pStyle w:val="Tabletext1"/>
              <w:ind w:left="0"/>
            </w:pPr>
            <w:r w:rsidRPr="00F12B91">
              <w:t>-18%</w:t>
            </w:r>
          </w:p>
        </w:tc>
      </w:tr>
      <w:tr w:rsidR="00150C7F" w:rsidRPr="00696D8F" w14:paraId="4C924006" w14:textId="77777777" w:rsidTr="00696D8F">
        <w:trPr>
          <w:trHeight w:val="255"/>
        </w:trPr>
        <w:tc>
          <w:tcPr>
            <w:tcW w:w="2906" w:type="pct"/>
            <w:noWrap/>
            <w:hideMark/>
          </w:tcPr>
          <w:p w14:paraId="129C8731" w14:textId="77777777" w:rsidR="00150C7F" w:rsidRPr="00696D8F" w:rsidRDefault="00150C7F" w:rsidP="00246245">
            <w:pPr>
              <w:pStyle w:val="Tabletext1"/>
              <w:ind w:left="0"/>
            </w:pPr>
            <w:r w:rsidRPr="00696D8F">
              <w:t>0.18</w:t>
            </w:r>
          </w:p>
        </w:tc>
        <w:tc>
          <w:tcPr>
            <w:tcW w:w="550" w:type="pct"/>
            <w:noWrap/>
            <w:hideMark/>
          </w:tcPr>
          <w:p w14:paraId="19FB0EA3" w14:textId="791C1105" w:rsidR="00150C7F" w:rsidRPr="00696D8F" w:rsidRDefault="00150C7F" w:rsidP="00246245">
            <w:pPr>
              <w:pStyle w:val="Tabletext1"/>
              <w:ind w:left="0"/>
            </w:pPr>
            <w:r w:rsidRPr="00F12B91">
              <w:t>$49,991</w:t>
            </w:r>
          </w:p>
        </w:tc>
        <w:tc>
          <w:tcPr>
            <w:tcW w:w="472" w:type="pct"/>
            <w:noWrap/>
            <w:hideMark/>
          </w:tcPr>
          <w:p w14:paraId="4F6D40A8" w14:textId="79DA76B3" w:rsidR="00150C7F" w:rsidRPr="00696D8F" w:rsidRDefault="00150C7F" w:rsidP="00246245">
            <w:pPr>
              <w:pStyle w:val="Tabletext1"/>
              <w:ind w:left="0"/>
            </w:pPr>
            <w:r w:rsidRPr="00F12B91">
              <w:t>0.6485</w:t>
            </w:r>
          </w:p>
        </w:tc>
        <w:tc>
          <w:tcPr>
            <w:tcW w:w="550" w:type="pct"/>
            <w:noWrap/>
            <w:hideMark/>
          </w:tcPr>
          <w:p w14:paraId="2D5644C6" w14:textId="5EF1B3DF" w:rsidR="00150C7F" w:rsidRPr="00696D8F" w:rsidRDefault="00150C7F" w:rsidP="00246245">
            <w:pPr>
              <w:pStyle w:val="Tabletext1"/>
              <w:ind w:left="0"/>
            </w:pPr>
            <w:r w:rsidRPr="00F12B91">
              <w:t>$77,089</w:t>
            </w:r>
          </w:p>
        </w:tc>
        <w:tc>
          <w:tcPr>
            <w:tcW w:w="522" w:type="pct"/>
            <w:noWrap/>
            <w:hideMark/>
          </w:tcPr>
          <w:p w14:paraId="61992E4E" w14:textId="62B8DF19" w:rsidR="00150C7F" w:rsidRPr="00696D8F" w:rsidRDefault="00150C7F" w:rsidP="00246245">
            <w:pPr>
              <w:pStyle w:val="Tabletext1"/>
              <w:ind w:left="0"/>
            </w:pPr>
            <w:r w:rsidRPr="00F12B91">
              <w:t>-18%</w:t>
            </w:r>
          </w:p>
        </w:tc>
      </w:tr>
    </w:tbl>
    <w:p w14:paraId="21AF1048" w14:textId="558B767C" w:rsidR="00EC4086" w:rsidRDefault="00CB0278" w:rsidP="00CB0278">
      <w:pPr>
        <w:pStyle w:val="Tablenotes1"/>
      </w:pPr>
      <w:r>
        <w:t>Ig = immunoglobulin;</w:t>
      </w:r>
      <w:r w:rsidRPr="00EF530F">
        <w:t xml:space="preserve"> ICER = incremental cost-effectiveness ratio; Ig = immunoglobulin; Inc = Incremental;</w:t>
      </w:r>
      <w:r>
        <w:t xml:space="preserve"> IV = intravenous;</w:t>
      </w:r>
      <w:r w:rsidRPr="00EF530F">
        <w:t xml:space="preserve"> kg = kilograms; QALY = quality-adjusted life years</w:t>
      </w:r>
    </w:p>
    <w:p w14:paraId="5410556C" w14:textId="77777777" w:rsidR="00EC4086" w:rsidRDefault="00EC4086" w:rsidP="00EC4086">
      <w:pPr>
        <w:pStyle w:val="Heading3"/>
      </w:pPr>
      <w:bookmarkStart w:id="575" w:name="_Toc69305638"/>
      <w:r>
        <w:t>Ig versus placebo</w:t>
      </w:r>
      <w:bookmarkEnd w:id="575"/>
    </w:p>
    <w:p w14:paraId="11AA0414" w14:textId="627065E9" w:rsidR="00696D8F" w:rsidRDefault="00696D8F" w:rsidP="00696D8F">
      <w:pPr>
        <w:pStyle w:val="Caption"/>
      </w:pPr>
      <w:bookmarkStart w:id="576" w:name="_Ref68077419"/>
      <w:bookmarkStart w:id="577" w:name="_Toc69305729"/>
      <w:r>
        <w:t xml:space="preserve">Table </w:t>
      </w:r>
      <w:r w:rsidR="00003BA5">
        <w:fldChar w:fldCharType="begin"/>
      </w:r>
      <w:r w:rsidR="00003BA5">
        <w:instrText xml:space="preserve"> SEQ Table \* ARABIC </w:instrText>
      </w:r>
      <w:r w:rsidR="00003BA5">
        <w:fldChar w:fldCharType="separate"/>
      </w:r>
      <w:r w:rsidR="004B3EA2">
        <w:rPr>
          <w:noProof/>
        </w:rPr>
        <w:t>88</w:t>
      </w:r>
      <w:r w:rsidR="00003BA5">
        <w:rPr>
          <w:noProof/>
        </w:rPr>
        <w:fldChar w:fldCharType="end"/>
      </w:r>
      <w:bookmarkEnd w:id="576"/>
      <w:r>
        <w:tab/>
        <w:t xml:space="preserve">Sensitivity analyses, Ig versus </w:t>
      </w:r>
      <w:r w:rsidR="00FE112E">
        <w:t>best supportive care</w:t>
      </w:r>
      <w:bookmarkEnd w:id="577"/>
    </w:p>
    <w:tbl>
      <w:tblPr>
        <w:tblStyle w:val="TableGrid"/>
        <w:tblW w:w="5000" w:type="pct"/>
        <w:tblLayout w:type="fixed"/>
        <w:tblLook w:val="04A0" w:firstRow="1" w:lastRow="0" w:firstColumn="1" w:lastColumn="0" w:noHBand="0" w:noVBand="1"/>
        <w:tblCaption w:val="Sensitivity analyses, Ig versus best supportive care"/>
        <w:tblDescription w:val="Sensitivity analyses, Ig versus best supportive care"/>
      </w:tblPr>
      <w:tblGrid>
        <w:gridCol w:w="5240"/>
        <w:gridCol w:w="992"/>
        <w:gridCol w:w="851"/>
        <w:gridCol w:w="992"/>
        <w:gridCol w:w="941"/>
      </w:tblGrid>
      <w:tr w:rsidR="00696D8F" w:rsidRPr="00F819DD" w14:paraId="0899C9C7" w14:textId="77777777" w:rsidTr="00501DD7">
        <w:trPr>
          <w:trHeight w:val="255"/>
          <w:tblHeader/>
        </w:trPr>
        <w:tc>
          <w:tcPr>
            <w:tcW w:w="2906" w:type="pct"/>
            <w:tcBorders>
              <w:bottom w:val="single" w:sz="4" w:space="0" w:color="auto"/>
            </w:tcBorders>
            <w:noWrap/>
            <w:hideMark/>
          </w:tcPr>
          <w:p w14:paraId="426B1FB3" w14:textId="77777777" w:rsidR="00696D8F" w:rsidRPr="00B144E4" w:rsidRDefault="00696D8F" w:rsidP="00501DD7">
            <w:pPr>
              <w:pStyle w:val="TableHeading"/>
              <w:ind w:left="0"/>
            </w:pPr>
          </w:p>
        </w:tc>
        <w:tc>
          <w:tcPr>
            <w:tcW w:w="550" w:type="pct"/>
            <w:tcBorders>
              <w:bottom w:val="single" w:sz="4" w:space="0" w:color="auto"/>
            </w:tcBorders>
            <w:noWrap/>
            <w:hideMark/>
          </w:tcPr>
          <w:p w14:paraId="22ABE4DB" w14:textId="77777777" w:rsidR="00696D8F" w:rsidRPr="00F819DD" w:rsidRDefault="00696D8F" w:rsidP="00501DD7">
            <w:pPr>
              <w:pStyle w:val="TableHeading"/>
              <w:ind w:left="0"/>
              <w:rPr>
                <w:rFonts w:ascii="Calibri" w:hAnsi="Calibri" w:cs="Calibri"/>
                <w:bCs/>
              </w:rPr>
            </w:pPr>
            <w:r w:rsidRPr="00F819DD">
              <w:rPr>
                <w:rFonts w:ascii="Calibri" w:hAnsi="Calibri" w:cs="Calibri"/>
                <w:bCs/>
              </w:rPr>
              <w:t>Inc. cost</w:t>
            </w:r>
          </w:p>
        </w:tc>
        <w:tc>
          <w:tcPr>
            <w:tcW w:w="472" w:type="pct"/>
            <w:tcBorders>
              <w:bottom w:val="single" w:sz="4" w:space="0" w:color="auto"/>
            </w:tcBorders>
            <w:noWrap/>
            <w:hideMark/>
          </w:tcPr>
          <w:p w14:paraId="37775C55" w14:textId="77777777" w:rsidR="00696D8F" w:rsidRPr="00F819DD" w:rsidRDefault="00696D8F" w:rsidP="00501DD7">
            <w:pPr>
              <w:pStyle w:val="TableHeading"/>
              <w:ind w:left="0"/>
              <w:rPr>
                <w:rFonts w:ascii="Calibri" w:hAnsi="Calibri" w:cs="Calibri"/>
                <w:bCs/>
              </w:rPr>
            </w:pPr>
            <w:r w:rsidRPr="00F819DD">
              <w:rPr>
                <w:rFonts w:ascii="Calibri" w:hAnsi="Calibri" w:cs="Calibri"/>
                <w:bCs/>
              </w:rPr>
              <w:t>Inc. QALYs</w:t>
            </w:r>
          </w:p>
        </w:tc>
        <w:tc>
          <w:tcPr>
            <w:tcW w:w="550" w:type="pct"/>
            <w:tcBorders>
              <w:bottom w:val="single" w:sz="4" w:space="0" w:color="auto"/>
            </w:tcBorders>
            <w:noWrap/>
            <w:hideMark/>
          </w:tcPr>
          <w:p w14:paraId="791DFA3F" w14:textId="77777777" w:rsidR="00696D8F" w:rsidRPr="00F819DD" w:rsidRDefault="00696D8F" w:rsidP="00501DD7">
            <w:pPr>
              <w:pStyle w:val="TableHeading"/>
              <w:ind w:left="0"/>
              <w:rPr>
                <w:rFonts w:ascii="Calibri" w:hAnsi="Calibri" w:cs="Calibri"/>
                <w:bCs/>
              </w:rPr>
            </w:pPr>
            <w:r w:rsidRPr="00F819DD">
              <w:rPr>
                <w:rFonts w:ascii="Calibri" w:hAnsi="Calibri" w:cs="Calibri"/>
                <w:bCs/>
              </w:rPr>
              <w:t>ICER</w:t>
            </w:r>
          </w:p>
        </w:tc>
        <w:tc>
          <w:tcPr>
            <w:tcW w:w="522" w:type="pct"/>
            <w:tcBorders>
              <w:bottom w:val="single" w:sz="4" w:space="0" w:color="auto"/>
            </w:tcBorders>
            <w:noWrap/>
            <w:hideMark/>
          </w:tcPr>
          <w:p w14:paraId="0E164D22" w14:textId="77777777" w:rsidR="00696D8F" w:rsidRPr="00F819DD" w:rsidRDefault="00696D8F" w:rsidP="00501DD7">
            <w:pPr>
              <w:pStyle w:val="TableHeading"/>
              <w:ind w:left="0"/>
              <w:rPr>
                <w:rFonts w:cs="Calibri"/>
              </w:rPr>
            </w:pPr>
            <w:r>
              <w:rPr>
                <w:rFonts w:cs="Calibri"/>
                <w:color w:val="000000"/>
              </w:rPr>
              <w:t>%C</w:t>
            </w:r>
            <w:r w:rsidRPr="005F76D9">
              <w:rPr>
                <w:rFonts w:cs="Calibri"/>
                <w:color w:val="000000"/>
              </w:rPr>
              <w:t>hange</w:t>
            </w:r>
            <w:r w:rsidRPr="00F819DD">
              <w:rPr>
                <w:rFonts w:cs="Calibri"/>
              </w:rPr>
              <w:t> </w:t>
            </w:r>
          </w:p>
        </w:tc>
      </w:tr>
      <w:tr w:rsidR="00696D8F" w:rsidRPr="005F76D9" w14:paraId="60410B24" w14:textId="77777777" w:rsidTr="00501DD7">
        <w:trPr>
          <w:trHeight w:val="300"/>
        </w:trPr>
        <w:tc>
          <w:tcPr>
            <w:tcW w:w="2906" w:type="pct"/>
            <w:tcBorders>
              <w:right w:val="nil"/>
            </w:tcBorders>
            <w:noWrap/>
            <w:hideMark/>
          </w:tcPr>
          <w:p w14:paraId="0EDE8228" w14:textId="77777777" w:rsidR="00696D8F" w:rsidRPr="005F76D9" w:rsidRDefault="00696D8F" w:rsidP="00501DD7">
            <w:pPr>
              <w:pStyle w:val="Tabletext1"/>
              <w:ind w:left="0"/>
              <w:rPr>
                <w:rFonts w:cs="Calibri"/>
                <w:b/>
                <w:bCs/>
                <w:color w:val="000000"/>
              </w:rPr>
            </w:pPr>
            <w:r w:rsidRPr="005F76D9">
              <w:rPr>
                <w:rFonts w:cs="Calibri"/>
                <w:b/>
                <w:bCs/>
                <w:color w:val="000000"/>
              </w:rPr>
              <w:t>Cost per gram of Ig</w:t>
            </w:r>
          </w:p>
        </w:tc>
        <w:tc>
          <w:tcPr>
            <w:tcW w:w="550" w:type="pct"/>
            <w:tcBorders>
              <w:left w:val="nil"/>
              <w:right w:val="nil"/>
            </w:tcBorders>
            <w:noWrap/>
          </w:tcPr>
          <w:p w14:paraId="0933E81D" w14:textId="77777777" w:rsidR="00696D8F" w:rsidRPr="005F76D9" w:rsidRDefault="00696D8F" w:rsidP="00501DD7">
            <w:pPr>
              <w:pStyle w:val="Tabletext1"/>
              <w:ind w:left="0"/>
              <w:rPr>
                <w:rFonts w:ascii="Calibri" w:hAnsi="Calibri" w:cs="Calibri"/>
                <w:b/>
                <w:bCs/>
                <w:color w:val="44546A"/>
              </w:rPr>
            </w:pPr>
          </w:p>
        </w:tc>
        <w:tc>
          <w:tcPr>
            <w:tcW w:w="472" w:type="pct"/>
            <w:tcBorders>
              <w:left w:val="nil"/>
              <w:right w:val="nil"/>
            </w:tcBorders>
            <w:noWrap/>
          </w:tcPr>
          <w:p w14:paraId="275C6120" w14:textId="77777777" w:rsidR="00696D8F" w:rsidRPr="005F76D9" w:rsidRDefault="00696D8F" w:rsidP="00501DD7">
            <w:pPr>
              <w:pStyle w:val="Tabletext1"/>
              <w:ind w:left="0"/>
              <w:rPr>
                <w:rFonts w:ascii="Calibri" w:hAnsi="Calibri" w:cs="Calibri"/>
                <w:b/>
                <w:bCs/>
                <w:color w:val="44546A"/>
              </w:rPr>
            </w:pPr>
          </w:p>
        </w:tc>
        <w:tc>
          <w:tcPr>
            <w:tcW w:w="550" w:type="pct"/>
            <w:tcBorders>
              <w:left w:val="nil"/>
              <w:right w:val="nil"/>
            </w:tcBorders>
            <w:noWrap/>
          </w:tcPr>
          <w:p w14:paraId="1E06D222" w14:textId="77777777" w:rsidR="00696D8F" w:rsidRPr="005F76D9" w:rsidRDefault="00696D8F" w:rsidP="00501DD7">
            <w:pPr>
              <w:pStyle w:val="Tabletext1"/>
              <w:ind w:left="0"/>
              <w:rPr>
                <w:rFonts w:ascii="Calibri" w:hAnsi="Calibri" w:cs="Calibri"/>
                <w:b/>
                <w:bCs/>
                <w:color w:val="44546A"/>
              </w:rPr>
            </w:pPr>
          </w:p>
        </w:tc>
        <w:tc>
          <w:tcPr>
            <w:tcW w:w="522" w:type="pct"/>
            <w:tcBorders>
              <w:left w:val="nil"/>
            </w:tcBorders>
            <w:noWrap/>
            <w:hideMark/>
          </w:tcPr>
          <w:p w14:paraId="06B81D19" w14:textId="77777777" w:rsidR="00696D8F" w:rsidRPr="005F76D9" w:rsidRDefault="00696D8F" w:rsidP="00501DD7">
            <w:pPr>
              <w:pStyle w:val="Tabletext1"/>
              <w:ind w:left="0"/>
              <w:rPr>
                <w:rFonts w:cs="Calibri"/>
                <w:color w:val="000000"/>
              </w:rPr>
            </w:pPr>
          </w:p>
        </w:tc>
      </w:tr>
      <w:tr w:rsidR="00F228BC" w:rsidRPr="00F819DD" w14:paraId="04B6E957" w14:textId="77777777" w:rsidTr="00501DD7">
        <w:trPr>
          <w:trHeight w:val="255"/>
        </w:trPr>
        <w:tc>
          <w:tcPr>
            <w:tcW w:w="2906" w:type="pct"/>
            <w:noWrap/>
            <w:hideMark/>
          </w:tcPr>
          <w:p w14:paraId="3A5553B9" w14:textId="77777777" w:rsidR="00F228BC" w:rsidRPr="00F819DD" w:rsidRDefault="00F228BC" w:rsidP="00F228BC">
            <w:pPr>
              <w:pStyle w:val="Tabletext1"/>
              <w:ind w:left="0"/>
              <w:rPr>
                <w:rFonts w:cs="Calibri"/>
                <w:b/>
                <w:color w:val="000000"/>
              </w:rPr>
            </w:pPr>
            <w:r w:rsidRPr="00F819DD">
              <w:rPr>
                <w:rFonts w:cs="Calibri"/>
                <w:b/>
                <w:color w:val="000000"/>
              </w:rPr>
              <w:t>Base case (domestic IVIg, excluding cost of plasma), $60.41 per gram of Ig</w:t>
            </w:r>
          </w:p>
        </w:tc>
        <w:tc>
          <w:tcPr>
            <w:tcW w:w="550" w:type="pct"/>
            <w:noWrap/>
            <w:hideMark/>
          </w:tcPr>
          <w:p w14:paraId="7679AC68" w14:textId="557707AA" w:rsidR="00F228BC" w:rsidRPr="00490E11" w:rsidRDefault="00F228BC" w:rsidP="00F228BC">
            <w:pPr>
              <w:pStyle w:val="Tabletext1"/>
              <w:ind w:left="0"/>
              <w:rPr>
                <w:rFonts w:cs="Calibri"/>
                <w:b/>
                <w:color w:val="000000"/>
              </w:rPr>
            </w:pPr>
            <w:r w:rsidRPr="00313F54">
              <w:rPr>
                <w:b/>
              </w:rPr>
              <w:t>$159,573</w:t>
            </w:r>
          </w:p>
        </w:tc>
        <w:tc>
          <w:tcPr>
            <w:tcW w:w="472" w:type="pct"/>
            <w:noWrap/>
            <w:hideMark/>
          </w:tcPr>
          <w:p w14:paraId="34D80792" w14:textId="5D62F558" w:rsidR="00F228BC" w:rsidRPr="00490E11" w:rsidRDefault="00F228BC" w:rsidP="00F228BC">
            <w:pPr>
              <w:pStyle w:val="Tabletext1"/>
              <w:ind w:left="0"/>
              <w:rPr>
                <w:rFonts w:cs="Calibri"/>
                <w:b/>
                <w:color w:val="000000"/>
              </w:rPr>
            </w:pPr>
            <w:r w:rsidRPr="00313F54">
              <w:rPr>
                <w:b/>
              </w:rPr>
              <w:t>1.7162</w:t>
            </w:r>
          </w:p>
        </w:tc>
        <w:tc>
          <w:tcPr>
            <w:tcW w:w="550" w:type="pct"/>
            <w:noWrap/>
            <w:hideMark/>
          </w:tcPr>
          <w:p w14:paraId="5EA73432" w14:textId="01FFA588" w:rsidR="00F228BC" w:rsidRPr="00490E11" w:rsidRDefault="00F228BC" w:rsidP="00F228BC">
            <w:pPr>
              <w:pStyle w:val="Tabletext1"/>
              <w:ind w:left="0"/>
              <w:rPr>
                <w:rFonts w:cs="Calibri"/>
                <w:b/>
                <w:color w:val="000000"/>
              </w:rPr>
            </w:pPr>
            <w:r w:rsidRPr="00313F54">
              <w:rPr>
                <w:b/>
              </w:rPr>
              <w:t>$92,983</w:t>
            </w:r>
          </w:p>
        </w:tc>
        <w:tc>
          <w:tcPr>
            <w:tcW w:w="522" w:type="pct"/>
            <w:noWrap/>
            <w:hideMark/>
          </w:tcPr>
          <w:p w14:paraId="4F8A38EE" w14:textId="477E12FF" w:rsidR="00F228BC" w:rsidRPr="00490E11" w:rsidRDefault="00F228BC" w:rsidP="00F228BC">
            <w:pPr>
              <w:pStyle w:val="Tabletext1"/>
              <w:ind w:left="0"/>
              <w:rPr>
                <w:rFonts w:cs="Calibri"/>
                <w:b/>
                <w:color w:val="000000"/>
              </w:rPr>
            </w:pPr>
          </w:p>
        </w:tc>
      </w:tr>
      <w:tr w:rsidR="00F228BC" w:rsidRPr="005F76D9" w14:paraId="301506EB" w14:textId="77777777" w:rsidTr="00501DD7">
        <w:trPr>
          <w:trHeight w:val="270"/>
        </w:trPr>
        <w:tc>
          <w:tcPr>
            <w:tcW w:w="2906" w:type="pct"/>
            <w:noWrap/>
            <w:hideMark/>
          </w:tcPr>
          <w:p w14:paraId="78227124" w14:textId="77777777" w:rsidR="00F228BC" w:rsidRPr="005F76D9" w:rsidRDefault="00F228BC" w:rsidP="00F228BC">
            <w:pPr>
              <w:pStyle w:val="Tabletext1"/>
              <w:ind w:left="0"/>
              <w:rPr>
                <w:rFonts w:cs="Calibri"/>
                <w:color w:val="000000"/>
              </w:rPr>
            </w:pPr>
            <w:r w:rsidRPr="005F76D9">
              <w:rPr>
                <w:rFonts w:cs="Calibri"/>
                <w:color w:val="000000"/>
              </w:rPr>
              <w:t>High cost (domestic IVIg, including cost of plasma), $140.18 per gram of Ig</w:t>
            </w:r>
          </w:p>
        </w:tc>
        <w:tc>
          <w:tcPr>
            <w:tcW w:w="550" w:type="pct"/>
            <w:noWrap/>
            <w:hideMark/>
          </w:tcPr>
          <w:p w14:paraId="5C5B574E" w14:textId="31DF7F30" w:rsidR="00F228BC" w:rsidRPr="005F76D9" w:rsidRDefault="00F228BC" w:rsidP="00F228BC">
            <w:pPr>
              <w:pStyle w:val="Tabletext1"/>
              <w:ind w:left="0"/>
              <w:rPr>
                <w:rFonts w:cs="Calibri"/>
                <w:color w:val="000000"/>
              </w:rPr>
            </w:pPr>
            <w:r w:rsidRPr="00E81CF8">
              <w:t>$332,925</w:t>
            </w:r>
          </w:p>
        </w:tc>
        <w:tc>
          <w:tcPr>
            <w:tcW w:w="472" w:type="pct"/>
            <w:noWrap/>
            <w:hideMark/>
          </w:tcPr>
          <w:p w14:paraId="37313476" w14:textId="56394036" w:rsidR="00F228BC" w:rsidRPr="005F76D9" w:rsidRDefault="00F228BC" w:rsidP="00F228BC">
            <w:pPr>
              <w:pStyle w:val="Tabletext1"/>
              <w:ind w:left="0"/>
              <w:rPr>
                <w:rFonts w:cs="Calibri"/>
                <w:color w:val="000000"/>
              </w:rPr>
            </w:pPr>
            <w:r w:rsidRPr="00E81CF8">
              <w:t>1.7162</w:t>
            </w:r>
          </w:p>
        </w:tc>
        <w:tc>
          <w:tcPr>
            <w:tcW w:w="550" w:type="pct"/>
            <w:noWrap/>
            <w:hideMark/>
          </w:tcPr>
          <w:p w14:paraId="75B666A2" w14:textId="4864DCA1" w:rsidR="00F228BC" w:rsidRPr="005F76D9" w:rsidRDefault="00F228BC" w:rsidP="00F228BC">
            <w:pPr>
              <w:pStyle w:val="Tabletext1"/>
              <w:ind w:left="0"/>
              <w:rPr>
                <w:rFonts w:cs="Calibri"/>
                <w:color w:val="000000"/>
              </w:rPr>
            </w:pPr>
            <w:r w:rsidRPr="00E81CF8">
              <w:t>$193,995</w:t>
            </w:r>
          </w:p>
        </w:tc>
        <w:tc>
          <w:tcPr>
            <w:tcW w:w="522" w:type="pct"/>
            <w:noWrap/>
            <w:hideMark/>
          </w:tcPr>
          <w:p w14:paraId="718C57E6" w14:textId="643B8D77" w:rsidR="00F228BC" w:rsidRPr="005F76D9" w:rsidRDefault="00F228BC" w:rsidP="00F228BC">
            <w:pPr>
              <w:pStyle w:val="Tabletext1"/>
              <w:ind w:left="0"/>
              <w:rPr>
                <w:rFonts w:cs="Calibri"/>
                <w:color w:val="000000"/>
              </w:rPr>
            </w:pPr>
            <w:r w:rsidRPr="00E81CF8">
              <w:t>109%</w:t>
            </w:r>
          </w:p>
        </w:tc>
      </w:tr>
      <w:tr w:rsidR="00F228BC" w:rsidRPr="005F76D9" w14:paraId="258127B2" w14:textId="77777777" w:rsidTr="00501DD7">
        <w:trPr>
          <w:trHeight w:val="255"/>
        </w:trPr>
        <w:tc>
          <w:tcPr>
            <w:tcW w:w="2906" w:type="pct"/>
            <w:noWrap/>
            <w:hideMark/>
          </w:tcPr>
          <w:p w14:paraId="31B742A8" w14:textId="77777777" w:rsidR="00F228BC" w:rsidRPr="005F76D9" w:rsidRDefault="00F228BC" w:rsidP="00F228BC">
            <w:pPr>
              <w:pStyle w:val="Tabletext1"/>
              <w:ind w:left="0"/>
              <w:rPr>
                <w:rFonts w:cs="Calibri"/>
                <w:color w:val="000000"/>
              </w:rPr>
            </w:pPr>
            <w:r w:rsidRPr="005F76D9">
              <w:rPr>
                <w:rFonts w:cs="Calibri"/>
                <w:color w:val="000000"/>
              </w:rPr>
              <w:t>Low cost (imported IVIg), $44.94 per gram of Ig</w:t>
            </w:r>
          </w:p>
        </w:tc>
        <w:tc>
          <w:tcPr>
            <w:tcW w:w="550" w:type="pct"/>
            <w:noWrap/>
            <w:hideMark/>
          </w:tcPr>
          <w:p w14:paraId="5E850657" w14:textId="61E6F6BE" w:rsidR="00F228BC" w:rsidRPr="005F76D9" w:rsidRDefault="00F228BC" w:rsidP="00F228BC">
            <w:pPr>
              <w:pStyle w:val="Tabletext1"/>
              <w:ind w:left="0"/>
              <w:rPr>
                <w:rFonts w:cs="Calibri"/>
                <w:color w:val="000000"/>
              </w:rPr>
            </w:pPr>
            <w:r w:rsidRPr="00E81CF8">
              <w:t>$125,954</w:t>
            </w:r>
          </w:p>
        </w:tc>
        <w:tc>
          <w:tcPr>
            <w:tcW w:w="472" w:type="pct"/>
            <w:noWrap/>
            <w:hideMark/>
          </w:tcPr>
          <w:p w14:paraId="3051133E" w14:textId="0837D59D" w:rsidR="00F228BC" w:rsidRPr="005F76D9" w:rsidRDefault="00F228BC" w:rsidP="00F228BC">
            <w:pPr>
              <w:pStyle w:val="Tabletext1"/>
              <w:ind w:left="0"/>
              <w:rPr>
                <w:rFonts w:cs="Calibri"/>
                <w:color w:val="000000"/>
              </w:rPr>
            </w:pPr>
            <w:r w:rsidRPr="00E81CF8">
              <w:t>1.7162</w:t>
            </w:r>
          </w:p>
        </w:tc>
        <w:tc>
          <w:tcPr>
            <w:tcW w:w="550" w:type="pct"/>
            <w:noWrap/>
            <w:hideMark/>
          </w:tcPr>
          <w:p w14:paraId="315C10FC" w14:textId="714727E0" w:rsidR="00F228BC" w:rsidRPr="005F76D9" w:rsidRDefault="00F228BC" w:rsidP="00F228BC">
            <w:pPr>
              <w:pStyle w:val="Tabletext1"/>
              <w:ind w:left="0"/>
              <w:rPr>
                <w:rFonts w:cs="Calibri"/>
                <w:color w:val="000000"/>
              </w:rPr>
            </w:pPr>
            <w:r w:rsidRPr="00E81CF8">
              <w:t>$73,393</w:t>
            </w:r>
          </w:p>
        </w:tc>
        <w:tc>
          <w:tcPr>
            <w:tcW w:w="522" w:type="pct"/>
            <w:noWrap/>
            <w:hideMark/>
          </w:tcPr>
          <w:p w14:paraId="340456C2" w14:textId="76A98698" w:rsidR="00F228BC" w:rsidRPr="005F76D9" w:rsidRDefault="00F228BC" w:rsidP="00F228BC">
            <w:pPr>
              <w:pStyle w:val="Tabletext1"/>
              <w:ind w:left="0"/>
              <w:rPr>
                <w:rFonts w:cs="Calibri"/>
                <w:color w:val="000000"/>
              </w:rPr>
            </w:pPr>
            <w:r w:rsidRPr="00E81CF8">
              <w:t>-21%</w:t>
            </w:r>
          </w:p>
        </w:tc>
      </w:tr>
      <w:tr w:rsidR="00F228BC" w:rsidRPr="005F76D9" w14:paraId="7C10B4BF" w14:textId="77777777" w:rsidTr="00501DD7">
        <w:trPr>
          <w:trHeight w:val="255"/>
        </w:trPr>
        <w:tc>
          <w:tcPr>
            <w:tcW w:w="2906" w:type="pct"/>
            <w:tcBorders>
              <w:bottom w:val="single" w:sz="4" w:space="0" w:color="auto"/>
            </w:tcBorders>
            <w:noWrap/>
            <w:hideMark/>
          </w:tcPr>
          <w:p w14:paraId="66DC9B9F" w14:textId="77777777" w:rsidR="00F228BC" w:rsidRPr="005F76D9" w:rsidRDefault="00F228BC" w:rsidP="00F228BC">
            <w:pPr>
              <w:pStyle w:val="Tabletext1"/>
              <w:ind w:left="0"/>
              <w:rPr>
                <w:rFonts w:cs="Calibri"/>
                <w:color w:val="000000"/>
              </w:rPr>
            </w:pPr>
            <w:r w:rsidRPr="005F76D9">
              <w:rPr>
                <w:rFonts w:cs="Calibri"/>
                <w:color w:val="000000"/>
              </w:rPr>
              <w:t>weighted average across all indications, $94.51 per gram of Ig</w:t>
            </w:r>
          </w:p>
        </w:tc>
        <w:tc>
          <w:tcPr>
            <w:tcW w:w="550" w:type="pct"/>
            <w:tcBorders>
              <w:bottom w:val="single" w:sz="4" w:space="0" w:color="auto"/>
            </w:tcBorders>
            <w:noWrap/>
            <w:hideMark/>
          </w:tcPr>
          <w:p w14:paraId="384B194D" w14:textId="142FDC17" w:rsidR="00F228BC" w:rsidRPr="005F76D9" w:rsidRDefault="00F228BC" w:rsidP="00F228BC">
            <w:pPr>
              <w:pStyle w:val="Tabletext1"/>
              <w:ind w:left="0"/>
              <w:rPr>
                <w:rFonts w:cs="Calibri"/>
                <w:color w:val="000000"/>
              </w:rPr>
            </w:pPr>
            <w:r w:rsidRPr="00E81CF8">
              <w:t>$233,670</w:t>
            </w:r>
          </w:p>
        </w:tc>
        <w:tc>
          <w:tcPr>
            <w:tcW w:w="472" w:type="pct"/>
            <w:tcBorders>
              <w:bottom w:val="single" w:sz="4" w:space="0" w:color="auto"/>
            </w:tcBorders>
            <w:noWrap/>
            <w:hideMark/>
          </w:tcPr>
          <w:p w14:paraId="34166016" w14:textId="296AFFD6" w:rsidR="00F228BC" w:rsidRPr="005F76D9" w:rsidRDefault="00F228BC" w:rsidP="00F228BC">
            <w:pPr>
              <w:pStyle w:val="Tabletext1"/>
              <w:ind w:left="0"/>
              <w:rPr>
                <w:rFonts w:cs="Calibri"/>
                <w:color w:val="000000"/>
              </w:rPr>
            </w:pPr>
            <w:r w:rsidRPr="00E81CF8">
              <w:t>1.7162</w:t>
            </w:r>
          </w:p>
        </w:tc>
        <w:tc>
          <w:tcPr>
            <w:tcW w:w="550" w:type="pct"/>
            <w:tcBorders>
              <w:bottom w:val="single" w:sz="4" w:space="0" w:color="auto"/>
            </w:tcBorders>
            <w:noWrap/>
            <w:hideMark/>
          </w:tcPr>
          <w:p w14:paraId="5970FFE9" w14:textId="66BEBCC7" w:rsidR="00F228BC" w:rsidRPr="005F76D9" w:rsidRDefault="00F228BC" w:rsidP="00F228BC">
            <w:pPr>
              <w:pStyle w:val="Tabletext1"/>
              <w:ind w:left="0"/>
              <w:rPr>
                <w:rFonts w:cs="Calibri"/>
                <w:color w:val="000000"/>
              </w:rPr>
            </w:pPr>
            <w:r w:rsidRPr="00E81CF8">
              <w:t>$136,159</w:t>
            </w:r>
          </w:p>
        </w:tc>
        <w:tc>
          <w:tcPr>
            <w:tcW w:w="522" w:type="pct"/>
            <w:tcBorders>
              <w:bottom w:val="single" w:sz="4" w:space="0" w:color="auto"/>
            </w:tcBorders>
            <w:noWrap/>
            <w:hideMark/>
          </w:tcPr>
          <w:p w14:paraId="5F167844" w14:textId="11D888CF" w:rsidR="00F228BC" w:rsidRPr="005F76D9" w:rsidRDefault="00F228BC" w:rsidP="00F228BC">
            <w:pPr>
              <w:pStyle w:val="Tabletext1"/>
              <w:ind w:left="0"/>
              <w:rPr>
                <w:rFonts w:cs="Calibri"/>
                <w:color w:val="000000"/>
              </w:rPr>
            </w:pPr>
            <w:r w:rsidRPr="00E81CF8">
              <w:t>46%</w:t>
            </w:r>
          </w:p>
        </w:tc>
      </w:tr>
      <w:tr w:rsidR="00F228BC" w:rsidRPr="005F76D9" w14:paraId="5F0E14DF" w14:textId="77777777" w:rsidTr="00501DD7">
        <w:trPr>
          <w:trHeight w:val="255"/>
        </w:trPr>
        <w:tc>
          <w:tcPr>
            <w:tcW w:w="2906" w:type="pct"/>
            <w:tcBorders>
              <w:right w:val="nil"/>
            </w:tcBorders>
            <w:noWrap/>
            <w:hideMark/>
          </w:tcPr>
          <w:p w14:paraId="27F300BE" w14:textId="77777777" w:rsidR="00F228BC" w:rsidRPr="00F819DD" w:rsidRDefault="00F228BC" w:rsidP="00F228BC">
            <w:pPr>
              <w:pStyle w:val="Tabletext1"/>
              <w:ind w:left="0"/>
              <w:rPr>
                <w:rFonts w:cs="Calibri"/>
                <w:b/>
                <w:color w:val="000000"/>
              </w:rPr>
            </w:pPr>
            <w:r w:rsidRPr="00F819DD">
              <w:rPr>
                <w:rFonts w:cs="Calibri"/>
                <w:b/>
                <w:color w:val="000000"/>
              </w:rPr>
              <w:t>Maintenance dose intervals for Ig (base case: 4 weeks)</w:t>
            </w:r>
          </w:p>
        </w:tc>
        <w:tc>
          <w:tcPr>
            <w:tcW w:w="550" w:type="pct"/>
            <w:tcBorders>
              <w:left w:val="nil"/>
              <w:right w:val="nil"/>
            </w:tcBorders>
            <w:noWrap/>
            <w:hideMark/>
          </w:tcPr>
          <w:p w14:paraId="30704E85" w14:textId="77777777" w:rsidR="00F228BC" w:rsidRPr="005F76D9" w:rsidRDefault="00F228BC" w:rsidP="00F228BC">
            <w:pPr>
              <w:pStyle w:val="Tabletext1"/>
              <w:ind w:left="0"/>
              <w:rPr>
                <w:rFonts w:cs="Calibri"/>
                <w:color w:val="000000"/>
              </w:rPr>
            </w:pPr>
          </w:p>
        </w:tc>
        <w:tc>
          <w:tcPr>
            <w:tcW w:w="472" w:type="pct"/>
            <w:tcBorders>
              <w:left w:val="nil"/>
              <w:right w:val="nil"/>
            </w:tcBorders>
            <w:noWrap/>
            <w:hideMark/>
          </w:tcPr>
          <w:p w14:paraId="5F810175" w14:textId="77777777" w:rsidR="00F228BC" w:rsidRPr="005F76D9" w:rsidRDefault="00F228BC" w:rsidP="00F228BC">
            <w:pPr>
              <w:pStyle w:val="Tabletext1"/>
              <w:ind w:left="0"/>
            </w:pPr>
          </w:p>
        </w:tc>
        <w:tc>
          <w:tcPr>
            <w:tcW w:w="550" w:type="pct"/>
            <w:tcBorders>
              <w:left w:val="nil"/>
              <w:right w:val="nil"/>
            </w:tcBorders>
            <w:noWrap/>
            <w:hideMark/>
          </w:tcPr>
          <w:p w14:paraId="7321C7BB" w14:textId="77777777" w:rsidR="00F228BC" w:rsidRPr="005F76D9" w:rsidRDefault="00F228BC" w:rsidP="00F228BC">
            <w:pPr>
              <w:pStyle w:val="Tabletext1"/>
              <w:ind w:left="0"/>
            </w:pPr>
          </w:p>
        </w:tc>
        <w:tc>
          <w:tcPr>
            <w:tcW w:w="522" w:type="pct"/>
            <w:tcBorders>
              <w:left w:val="nil"/>
            </w:tcBorders>
            <w:noWrap/>
            <w:hideMark/>
          </w:tcPr>
          <w:p w14:paraId="71F85627" w14:textId="77777777" w:rsidR="00F228BC" w:rsidRPr="005F76D9" w:rsidRDefault="00F228BC" w:rsidP="00F228BC">
            <w:pPr>
              <w:pStyle w:val="Tabletext1"/>
              <w:ind w:left="0"/>
              <w:rPr>
                <w:rFonts w:cs="Calibri"/>
                <w:color w:val="000000"/>
              </w:rPr>
            </w:pPr>
          </w:p>
        </w:tc>
      </w:tr>
      <w:tr w:rsidR="00F228BC" w:rsidRPr="005F76D9" w14:paraId="6482A757" w14:textId="77777777" w:rsidTr="00501DD7">
        <w:trPr>
          <w:trHeight w:val="255"/>
        </w:trPr>
        <w:tc>
          <w:tcPr>
            <w:tcW w:w="2906" w:type="pct"/>
            <w:noWrap/>
            <w:hideMark/>
          </w:tcPr>
          <w:p w14:paraId="3A438ED8" w14:textId="77777777" w:rsidR="00F228BC" w:rsidRPr="005F76D9" w:rsidRDefault="00F228BC" w:rsidP="00F228BC">
            <w:pPr>
              <w:pStyle w:val="Tabletext1"/>
              <w:ind w:left="0"/>
              <w:rPr>
                <w:rFonts w:cs="Calibri"/>
                <w:color w:val="000000"/>
              </w:rPr>
            </w:pPr>
            <w:r w:rsidRPr="005F76D9">
              <w:rPr>
                <w:rFonts w:cs="Calibri"/>
                <w:color w:val="000000"/>
              </w:rPr>
              <w:t>3 weeks</w:t>
            </w:r>
          </w:p>
        </w:tc>
        <w:tc>
          <w:tcPr>
            <w:tcW w:w="550" w:type="pct"/>
            <w:noWrap/>
            <w:hideMark/>
          </w:tcPr>
          <w:p w14:paraId="4CCBDA85" w14:textId="4EFFBBCE" w:rsidR="00F228BC" w:rsidRPr="005F76D9" w:rsidRDefault="00F228BC" w:rsidP="00F228BC">
            <w:pPr>
              <w:pStyle w:val="Tabletext1"/>
              <w:ind w:left="0"/>
              <w:rPr>
                <w:rFonts w:cs="Calibri"/>
                <w:color w:val="000000"/>
              </w:rPr>
            </w:pPr>
            <w:r w:rsidRPr="00E81CF8">
              <w:t>$206,458</w:t>
            </w:r>
          </w:p>
        </w:tc>
        <w:tc>
          <w:tcPr>
            <w:tcW w:w="472" w:type="pct"/>
            <w:noWrap/>
            <w:hideMark/>
          </w:tcPr>
          <w:p w14:paraId="438B094B" w14:textId="4EA79B3D" w:rsidR="00F228BC" w:rsidRPr="005F76D9" w:rsidRDefault="00F228BC" w:rsidP="00F228BC">
            <w:pPr>
              <w:pStyle w:val="Tabletext1"/>
              <w:ind w:left="0"/>
              <w:rPr>
                <w:rFonts w:cs="Calibri"/>
                <w:color w:val="000000"/>
              </w:rPr>
            </w:pPr>
            <w:r w:rsidRPr="00E81CF8">
              <w:t>1.7094</w:t>
            </w:r>
          </w:p>
        </w:tc>
        <w:tc>
          <w:tcPr>
            <w:tcW w:w="550" w:type="pct"/>
            <w:noWrap/>
            <w:hideMark/>
          </w:tcPr>
          <w:p w14:paraId="47F04814" w14:textId="5813BE33" w:rsidR="00F228BC" w:rsidRPr="005F76D9" w:rsidRDefault="00F228BC" w:rsidP="00F228BC">
            <w:pPr>
              <w:pStyle w:val="Tabletext1"/>
              <w:ind w:left="0"/>
              <w:rPr>
                <w:rFonts w:cs="Calibri"/>
                <w:color w:val="000000"/>
              </w:rPr>
            </w:pPr>
            <w:r w:rsidRPr="00E81CF8">
              <w:t>$120,778</w:t>
            </w:r>
          </w:p>
        </w:tc>
        <w:tc>
          <w:tcPr>
            <w:tcW w:w="522" w:type="pct"/>
            <w:noWrap/>
            <w:hideMark/>
          </w:tcPr>
          <w:p w14:paraId="680A0C31" w14:textId="7A3A6DFB" w:rsidR="00F228BC" w:rsidRPr="005F76D9" w:rsidRDefault="00F228BC" w:rsidP="00F228BC">
            <w:pPr>
              <w:pStyle w:val="Tabletext1"/>
              <w:ind w:left="0"/>
              <w:rPr>
                <w:rFonts w:cs="Calibri"/>
                <w:color w:val="000000"/>
              </w:rPr>
            </w:pPr>
            <w:r w:rsidRPr="00E81CF8">
              <w:t>30%</w:t>
            </w:r>
          </w:p>
        </w:tc>
      </w:tr>
      <w:tr w:rsidR="00F228BC" w:rsidRPr="005F76D9" w14:paraId="3EA99251" w14:textId="77777777" w:rsidTr="00501DD7">
        <w:trPr>
          <w:trHeight w:val="255"/>
        </w:trPr>
        <w:tc>
          <w:tcPr>
            <w:tcW w:w="2906" w:type="pct"/>
            <w:noWrap/>
            <w:hideMark/>
          </w:tcPr>
          <w:p w14:paraId="035A91E5" w14:textId="77777777" w:rsidR="00F228BC" w:rsidRPr="005F76D9" w:rsidRDefault="00F228BC" w:rsidP="00F228BC">
            <w:pPr>
              <w:pStyle w:val="Tabletext1"/>
              <w:ind w:left="0"/>
              <w:rPr>
                <w:rFonts w:cs="Calibri"/>
                <w:color w:val="000000"/>
              </w:rPr>
            </w:pPr>
            <w:r w:rsidRPr="005F76D9">
              <w:rPr>
                <w:rFonts w:cs="Calibri"/>
                <w:color w:val="000000"/>
              </w:rPr>
              <w:t>6 weeks</w:t>
            </w:r>
          </w:p>
        </w:tc>
        <w:tc>
          <w:tcPr>
            <w:tcW w:w="550" w:type="pct"/>
            <w:noWrap/>
            <w:hideMark/>
          </w:tcPr>
          <w:p w14:paraId="449BB723" w14:textId="6A3CC721" w:rsidR="00F228BC" w:rsidRPr="005F76D9" w:rsidRDefault="00F228BC" w:rsidP="00F228BC">
            <w:pPr>
              <w:pStyle w:val="Tabletext1"/>
              <w:ind w:left="0"/>
              <w:rPr>
                <w:rFonts w:cs="Calibri"/>
                <w:color w:val="000000"/>
              </w:rPr>
            </w:pPr>
            <w:r w:rsidRPr="00E81CF8">
              <w:t>$112,687</w:t>
            </w:r>
          </w:p>
        </w:tc>
        <w:tc>
          <w:tcPr>
            <w:tcW w:w="472" w:type="pct"/>
            <w:noWrap/>
            <w:hideMark/>
          </w:tcPr>
          <w:p w14:paraId="24CD955B" w14:textId="5B117F04" w:rsidR="00F228BC" w:rsidRPr="005F76D9" w:rsidRDefault="00F228BC" w:rsidP="00F228BC">
            <w:pPr>
              <w:pStyle w:val="Tabletext1"/>
              <w:ind w:left="0"/>
              <w:rPr>
                <w:rFonts w:cs="Calibri"/>
                <w:color w:val="000000"/>
              </w:rPr>
            </w:pPr>
            <w:r w:rsidRPr="00E81CF8">
              <w:t>1.7229</w:t>
            </w:r>
          </w:p>
        </w:tc>
        <w:tc>
          <w:tcPr>
            <w:tcW w:w="550" w:type="pct"/>
            <w:noWrap/>
            <w:hideMark/>
          </w:tcPr>
          <w:p w14:paraId="7DE77D27" w14:textId="1CE551E4" w:rsidR="00F228BC" w:rsidRPr="005F76D9" w:rsidRDefault="00F228BC" w:rsidP="00F228BC">
            <w:pPr>
              <w:pStyle w:val="Tabletext1"/>
              <w:ind w:left="0"/>
              <w:rPr>
                <w:rFonts w:cs="Calibri"/>
                <w:color w:val="000000"/>
              </w:rPr>
            </w:pPr>
            <w:r w:rsidRPr="00E81CF8">
              <w:t>$65,405</w:t>
            </w:r>
          </w:p>
        </w:tc>
        <w:tc>
          <w:tcPr>
            <w:tcW w:w="522" w:type="pct"/>
            <w:noWrap/>
            <w:hideMark/>
          </w:tcPr>
          <w:p w14:paraId="34B92ABE" w14:textId="5F033D71" w:rsidR="00F228BC" w:rsidRPr="005F76D9" w:rsidRDefault="00F228BC" w:rsidP="00F228BC">
            <w:pPr>
              <w:pStyle w:val="Tabletext1"/>
              <w:ind w:left="0"/>
              <w:rPr>
                <w:rFonts w:cs="Calibri"/>
                <w:color w:val="000000"/>
              </w:rPr>
            </w:pPr>
            <w:r w:rsidRPr="00E81CF8">
              <w:t>-30%</w:t>
            </w:r>
          </w:p>
        </w:tc>
      </w:tr>
      <w:tr w:rsidR="00F228BC" w:rsidRPr="005F76D9" w14:paraId="09F2705C" w14:textId="77777777" w:rsidTr="00501DD7">
        <w:trPr>
          <w:trHeight w:val="255"/>
        </w:trPr>
        <w:tc>
          <w:tcPr>
            <w:tcW w:w="2906" w:type="pct"/>
            <w:tcBorders>
              <w:bottom w:val="single" w:sz="4" w:space="0" w:color="auto"/>
            </w:tcBorders>
            <w:noWrap/>
            <w:hideMark/>
          </w:tcPr>
          <w:p w14:paraId="0A5EF85C" w14:textId="77777777" w:rsidR="00F228BC" w:rsidRPr="005F76D9" w:rsidRDefault="00F228BC" w:rsidP="00F228BC">
            <w:pPr>
              <w:pStyle w:val="Tabletext1"/>
              <w:ind w:left="0"/>
              <w:rPr>
                <w:rFonts w:cs="Calibri"/>
                <w:color w:val="000000"/>
              </w:rPr>
            </w:pPr>
            <w:r w:rsidRPr="005F76D9">
              <w:rPr>
                <w:rFonts w:cs="Calibri"/>
                <w:color w:val="000000"/>
              </w:rPr>
              <w:t>8 weeks</w:t>
            </w:r>
          </w:p>
        </w:tc>
        <w:tc>
          <w:tcPr>
            <w:tcW w:w="550" w:type="pct"/>
            <w:tcBorders>
              <w:bottom w:val="single" w:sz="4" w:space="0" w:color="auto"/>
            </w:tcBorders>
            <w:noWrap/>
            <w:hideMark/>
          </w:tcPr>
          <w:p w14:paraId="786A871C" w14:textId="63D6CBE2" w:rsidR="00F228BC" w:rsidRPr="005F76D9" w:rsidRDefault="00F228BC" w:rsidP="00F228BC">
            <w:pPr>
              <w:pStyle w:val="Tabletext1"/>
              <w:ind w:left="0"/>
              <w:rPr>
                <w:rFonts w:cs="Calibri"/>
                <w:color w:val="000000"/>
              </w:rPr>
            </w:pPr>
            <w:r w:rsidRPr="00E81CF8">
              <w:t>$89,244</w:t>
            </w:r>
          </w:p>
        </w:tc>
        <w:tc>
          <w:tcPr>
            <w:tcW w:w="472" w:type="pct"/>
            <w:tcBorders>
              <w:bottom w:val="single" w:sz="4" w:space="0" w:color="auto"/>
            </w:tcBorders>
            <w:noWrap/>
            <w:hideMark/>
          </w:tcPr>
          <w:p w14:paraId="29CE2506" w14:textId="5913D37C" w:rsidR="00F228BC" w:rsidRPr="005F76D9" w:rsidRDefault="00F228BC" w:rsidP="00F228BC">
            <w:pPr>
              <w:pStyle w:val="Tabletext1"/>
              <w:ind w:left="0"/>
              <w:rPr>
                <w:rFonts w:cs="Calibri"/>
                <w:color w:val="000000"/>
              </w:rPr>
            </w:pPr>
            <w:r w:rsidRPr="00E81CF8">
              <w:t>1.7263</w:t>
            </w:r>
          </w:p>
        </w:tc>
        <w:tc>
          <w:tcPr>
            <w:tcW w:w="550" w:type="pct"/>
            <w:tcBorders>
              <w:bottom w:val="single" w:sz="4" w:space="0" w:color="auto"/>
            </w:tcBorders>
            <w:noWrap/>
            <w:hideMark/>
          </w:tcPr>
          <w:p w14:paraId="646F27BA" w14:textId="23C92EA9" w:rsidR="00F228BC" w:rsidRPr="005F76D9" w:rsidRDefault="00F228BC" w:rsidP="00F228BC">
            <w:pPr>
              <w:pStyle w:val="Tabletext1"/>
              <w:ind w:left="0"/>
              <w:rPr>
                <w:rFonts w:cs="Calibri"/>
                <w:color w:val="000000"/>
              </w:rPr>
            </w:pPr>
            <w:r w:rsidRPr="00E81CF8">
              <w:t>$51,697</w:t>
            </w:r>
          </w:p>
        </w:tc>
        <w:tc>
          <w:tcPr>
            <w:tcW w:w="522" w:type="pct"/>
            <w:tcBorders>
              <w:bottom w:val="single" w:sz="4" w:space="0" w:color="auto"/>
            </w:tcBorders>
            <w:noWrap/>
            <w:hideMark/>
          </w:tcPr>
          <w:p w14:paraId="1753EE87" w14:textId="10E71081" w:rsidR="00F228BC" w:rsidRPr="005F76D9" w:rsidRDefault="00F228BC" w:rsidP="00F228BC">
            <w:pPr>
              <w:pStyle w:val="Tabletext1"/>
              <w:ind w:left="0"/>
              <w:rPr>
                <w:rFonts w:cs="Calibri"/>
                <w:color w:val="000000"/>
              </w:rPr>
            </w:pPr>
            <w:r w:rsidRPr="00E81CF8">
              <w:t>-44%</w:t>
            </w:r>
          </w:p>
        </w:tc>
      </w:tr>
      <w:tr w:rsidR="00F228BC" w:rsidRPr="005F76D9" w14:paraId="421281A3" w14:textId="77777777" w:rsidTr="00501DD7">
        <w:trPr>
          <w:trHeight w:val="255"/>
        </w:trPr>
        <w:tc>
          <w:tcPr>
            <w:tcW w:w="2906" w:type="pct"/>
            <w:tcBorders>
              <w:right w:val="nil"/>
            </w:tcBorders>
            <w:noWrap/>
            <w:hideMark/>
          </w:tcPr>
          <w:p w14:paraId="34CD3F8E" w14:textId="77777777" w:rsidR="00F228BC" w:rsidRPr="005F76D9" w:rsidRDefault="00F228BC" w:rsidP="00F228BC">
            <w:pPr>
              <w:pStyle w:val="Tabletext1"/>
              <w:ind w:left="0"/>
              <w:rPr>
                <w:rFonts w:cs="Calibri"/>
                <w:b/>
                <w:bCs/>
                <w:color w:val="000000"/>
              </w:rPr>
            </w:pPr>
            <w:r w:rsidRPr="005F76D9">
              <w:rPr>
                <w:rFonts w:cs="Calibri"/>
                <w:b/>
                <w:bCs/>
                <w:color w:val="000000"/>
              </w:rPr>
              <w:t xml:space="preserve">Maintenance </w:t>
            </w:r>
            <w:r>
              <w:rPr>
                <w:rFonts w:cs="Calibri"/>
                <w:b/>
                <w:bCs/>
                <w:color w:val="000000"/>
              </w:rPr>
              <w:t xml:space="preserve">IVIg </w:t>
            </w:r>
            <w:r w:rsidRPr="005F76D9">
              <w:rPr>
                <w:rFonts w:cs="Calibri"/>
                <w:b/>
                <w:bCs/>
                <w:color w:val="000000"/>
              </w:rPr>
              <w:t>dose per treatment course (base case: 0.7g/kg)</w:t>
            </w:r>
          </w:p>
        </w:tc>
        <w:tc>
          <w:tcPr>
            <w:tcW w:w="550" w:type="pct"/>
            <w:tcBorders>
              <w:left w:val="nil"/>
              <w:right w:val="nil"/>
            </w:tcBorders>
            <w:noWrap/>
            <w:hideMark/>
          </w:tcPr>
          <w:p w14:paraId="410C0506" w14:textId="77777777" w:rsidR="00F228BC" w:rsidRPr="005F76D9" w:rsidRDefault="00F228BC" w:rsidP="00F228BC">
            <w:pPr>
              <w:pStyle w:val="Tabletext1"/>
              <w:ind w:left="0"/>
              <w:rPr>
                <w:rFonts w:cs="Calibri"/>
                <w:b/>
                <w:bCs/>
                <w:color w:val="000000"/>
              </w:rPr>
            </w:pPr>
          </w:p>
        </w:tc>
        <w:tc>
          <w:tcPr>
            <w:tcW w:w="472" w:type="pct"/>
            <w:tcBorders>
              <w:left w:val="nil"/>
              <w:right w:val="nil"/>
            </w:tcBorders>
            <w:noWrap/>
            <w:hideMark/>
          </w:tcPr>
          <w:p w14:paraId="05299A3D" w14:textId="77777777" w:rsidR="00F228BC" w:rsidRPr="005F76D9" w:rsidRDefault="00F228BC" w:rsidP="00F228BC">
            <w:pPr>
              <w:pStyle w:val="Tabletext1"/>
              <w:ind w:left="0"/>
            </w:pPr>
          </w:p>
        </w:tc>
        <w:tc>
          <w:tcPr>
            <w:tcW w:w="550" w:type="pct"/>
            <w:tcBorders>
              <w:left w:val="nil"/>
              <w:right w:val="nil"/>
            </w:tcBorders>
            <w:noWrap/>
            <w:hideMark/>
          </w:tcPr>
          <w:p w14:paraId="280ECE95" w14:textId="77777777" w:rsidR="00F228BC" w:rsidRPr="005F76D9" w:rsidRDefault="00F228BC" w:rsidP="00F228BC">
            <w:pPr>
              <w:pStyle w:val="Tabletext1"/>
              <w:ind w:left="0"/>
            </w:pPr>
          </w:p>
        </w:tc>
        <w:tc>
          <w:tcPr>
            <w:tcW w:w="522" w:type="pct"/>
            <w:tcBorders>
              <w:left w:val="nil"/>
            </w:tcBorders>
            <w:noWrap/>
            <w:hideMark/>
          </w:tcPr>
          <w:p w14:paraId="5B17FB5A" w14:textId="77777777" w:rsidR="00F228BC" w:rsidRPr="005F76D9" w:rsidRDefault="00F228BC" w:rsidP="00F228BC">
            <w:pPr>
              <w:pStyle w:val="Tabletext1"/>
              <w:ind w:left="0"/>
              <w:rPr>
                <w:rFonts w:cs="Calibri"/>
                <w:color w:val="000000"/>
              </w:rPr>
            </w:pPr>
          </w:p>
        </w:tc>
      </w:tr>
      <w:tr w:rsidR="00F228BC" w:rsidRPr="005F76D9" w14:paraId="38175ABE" w14:textId="77777777" w:rsidTr="00501DD7">
        <w:trPr>
          <w:trHeight w:val="255"/>
        </w:trPr>
        <w:tc>
          <w:tcPr>
            <w:tcW w:w="2906" w:type="pct"/>
            <w:noWrap/>
            <w:hideMark/>
          </w:tcPr>
          <w:p w14:paraId="5B04312A" w14:textId="77777777" w:rsidR="00F228BC" w:rsidRPr="005F76D9" w:rsidRDefault="00F228BC" w:rsidP="00F228BC">
            <w:pPr>
              <w:pStyle w:val="Tabletext1"/>
              <w:ind w:left="0"/>
              <w:rPr>
                <w:rFonts w:cs="Calibri"/>
                <w:color w:val="000000"/>
              </w:rPr>
            </w:pPr>
            <w:r w:rsidRPr="005F76D9">
              <w:rPr>
                <w:rFonts w:cs="Calibri"/>
                <w:color w:val="000000"/>
              </w:rPr>
              <w:t>0.4 g/kg</w:t>
            </w:r>
          </w:p>
        </w:tc>
        <w:tc>
          <w:tcPr>
            <w:tcW w:w="550" w:type="pct"/>
            <w:noWrap/>
            <w:hideMark/>
          </w:tcPr>
          <w:p w14:paraId="4ADF0820" w14:textId="029899BF" w:rsidR="00F228BC" w:rsidRPr="005F76D9" w:rsidRDefault="00F228BC" w:rsidP="00F228BC">
            <w:pPr>
              <w:pStyle w:val="Tabletext1"/>
              <w:ind w:left="0"/>
              <w:rPr>
                <w:rFonts w:cs="Calibri"/>
                <w:color w:val="000000"/>
              </w:rPr>
            </w:pPr>
            <w:r w:rsidRPr="00E81CF8">
              <w:t>$109,757</w:t>
            </w:r>
          </w:p>
        </w:tc>
        <w:tc>
          <w:tcPr>
            <w:tcW w:w="472" w:type="pct"/>
            <w:noWrap/>
            <w:hideMark/>
          </w:tcPr>
          <w:p w14:paraId="694794BB" w14:textId="7732C329" w:rsidR="00F228BC" w:rsidRPr="005F76D9" w:rsidRDefault="00F228BC" w:rsidP="00F228BC">
            <w:pPr>
              <w:pStyle w:val="Tabletext1"/>
              <w:ind w:left="0"/>
              <w:rPr>
                <w:rFonts w:cs="Calibri"/>
                <w:color w:val="000000"/>
              </w:rPr>
            </w:pPr>
            <w:r w:rsidRPr="00E81CF8">
              <w:t>1.7162</w:t>
            </w:r>
          </w:p>
        </w:tc>
        <w:tc>
          <w:tcPr>
            <w:tcW w:w="550" w:type="pct"/>
            <w:noWrap/>
            <w:hideMark/>
          </w:tcPr>
          <w:p w14:paraId="7A21B35B" w14:textId="554F8886" w:rsidR="00F228BC" w:rsidRPr="005F76D9" w:rsidRDefault="00F228BC" w:rsidP="00F228BC">
            <w:pPr>
              <w:pStyle w:val="Tabletext1"/>
              <w:ind w:left="0"/>
              <w:rPr>
                <w:rFonts w:cs="Calibri"/>
                <w:color w:val="000000"/>
              </w:rPr>
            </w:pPr>
            <w:r w:rsidRPr="00E81CF8">
              <w:t>$63,955</w:t>
            </w:r>
          </w:p>
        </w:tc>
        <w:tc>
          <w:tcPr>
            <w:tcW w:w="522" w:type="pct"/>
            <w:noWrap/>
            <w:hideMark/>
          </w:tcPr>
          <w:p w14:paraId="79EA99B3" w14:textId="02EC0D83" w:rsidR="00F228BC" w:rsidRPr="005F76D9" w:rsidRDefault="00F228BC" w:rsidP="00F228BC">
            <w:pPr>
              <w:pStyle w:val="Tabletext1"/>
              <w:ind w:left="0"/>
              <w:rPr>
                <w:rFonts w:cs="Calibri"/>
                <w:color w:val="000000"/>
              </w:rPr>
            </w:pPr>
            <w:r w:rsidRPr="00E81CF8">
              <w:t>-31%</w:t>
            </w:r>
          </w:p>
        </w:tc>
      </w:tr>
      <w:tr w:rsidR="00F228BC" w:rsidRPr="005F76D9" w14:paraId="19DAF8FC" w14:textId="77777777" w:rsidTr="00501DD7">
        <w:trPr>
          <w:trHeight w:val="255"/>
        </w:trPr>
        <w:tc>
          <w:tcPr>
            <w:tcW w:w="2906" w:type="pct"/>
            <w:tcBorders>
              <w:bottom w:val="single" w:sz="4" w:space="0" w:color="auto"/>
            </w:tcBorders>
            <w:noWrap/>
            <w:hideMark/>
          </w:tcPr>
          <w:p w14:paraId="73010875" w14:textId="77777777" w:rsidR="00F228BC" w:rsidRPr="005F76D9" w:rsidRDefault="00F228BC" w:rsidP="00F228BC">
            <w:pPr>
              <w:pStyle w:val="Tabletext1"/>
              <w:ind w:left="0"/>
              <w:rPr>
                <w:rFonts w:cs="Calibri"/>
                <w:color w:val="000000"/>
              </w:rPr>
            </w:pPr>
            <w:r w:rsidRPr="005F76D9">
              <w:rPr>
                <w:rFonts w:cs="Calibri"/>
                <w:color w:val="000000"/>
              </w:rPr>
              <w:t>1.0 g/kg</w:t>
            </w:r>
          </w:p>
        </w:tc>
        <w:tc>
          <w:tcPr>
            <w:tcW w:w="550" w:type="pct"/>
            <w:tcBorders>
              <w:bottom w:val="single" w:sz="4" w:space="0" w:color="auto"/>
            </w:tcBorders>
            <w:noWrap/>
            <w:hideMark/>
          </w:tcPr>
          <w:p w14:paraId="09AE5DC1" w14:textId="05A93BDF" w:rsidR="00F228BC" w:rsidRPr="005F76D9" w:rsidRDefault="00F228BC" w:rsidP="00F228BC">
            <w:pPr>
              <w:pStyle w:val="Tabletext1"/>
              <w:ind w:left="0"/>
              <w:rPr>
                <w:rFonts w:cs="Calibri"/>
                <w:color w:val="000000"/>
              </w:rPr>
            </w:pPr>
            <w:r w:rsidRPr="00E81CF8">
              <w:t>$209,388</w:t>
            </w:r>
          </w:p>
        </w:tc>
        <w:tc>
          <w:tcPr>
            <w:tcW w:w="472" w:type="pct"/>
            <w:tcBorders>
              <w:bottom w:val="single" w:sz="4" w:space="0" w:color="auto"/>
            </w:tcBorders>
            <w:noWrap/>
            <w:hideMark/>
          </w:tcPr>
          <w:p w14:paraId="014F624D" w14:textId="3C2FD5A8" w:rsidR="00F228BC" w:rsidRPr="005F76D9" w:rsidRDefault="00F228BC" w:rsidP="00F228BC">
            <w:pPr>
              <w:pStyle w:val="Tabletext1"/>
              <w:ind w:left="0"/>
              <w:rPr>
                <w:rFonts w:cs="Calibri"/>
                <w:color w:val="000000"/>
              </w:rPr>
            </w:pPr>
            <w:r w:rsidRPr="00E81CF8">
              <w:t>1.7162</w:t>
            </w:r>
          </w:p>
        </w:tc>
        <w:tc>
          <w:tcPr>
            <w:tcW w:w="550" w:type="pct"/>
            <w:tcBorders>
              <w:bottom w:val="single" w:sz="4" w:space="0" w:color="auto"/>
            </w:tcBorders>
            <w:noWrap/>
            <w:hideMark/>
          </w:tcPr>
          <w:p w14:paraId="5D7AC564" w14:textId="1BAE70CC" w:rsidR="00F228BC" w:rsidRPr="005F76D9" w:rsidRDefault="00F228BC" w:rsidP="00F228BC">
            <w:pPr>
              <w:pStyle w:val="Tabletext1"/>
              <w:ind w:left="0"/>
              <w:rPr>
                <w:rFonts w:cs="Calibri"/>
                <w:color w:val="000000"/>
              </w:rPr>
            </w:pPr>
            <w:r w:rsidRPr="00E81CF8">
              <w:t>$122,010</w:t>
            </w:r>
          </w:p>
        </w:tc>
        <w:tc>
          <w:tcPr>
            <w:tcW w:w="522" w:type="pct"/>
            <w:tcBorders>
              <w:bottom w:val="single" w:sz="4" w:space="0" w:color="auto"/>
            </w:tcBorders>
            <w:noWrap/>
            <w:hideMark/>
          </w:tcPr>
          <w:p w14:paraId="49F3679E" w14:textId="7A99EED8" w:rsidR="00F228BC" w:rsidRPr="005F76D9" w:rsidRDefault="00F228BC" w:rsidP="00F228BC">
            <w:pPr>
              <w:pStyle w:val="Tabletext1"/>
              <w:ind w:left="0"/>
              <w:rPr>
                <w:rFonts w:cs="Calibri"/>
                <w:color w:val="000000"/>
              </w:rPr>
            </w:pPr>
            <w:r w:rsidRPr="00E81CF8">
              <w:t>31%</w:t>
            </w:r>
          </w:p>
        </w:tc>
      </w:tr>
      <w:tr w:rsidR="00F228BC" w:rsidRPr="005F76D9" w14:paraId="285E8145" w14:textId="77777777" w:rsidTr="00501DD7">
        <w:trPr>
          <w:trHeight w:val="255"/>
        </w:trPr>
        <w:tc>
          <w:tcPr>
            <w:tcW w:w="2906" w:type="pct"/>
            <w:tcBorders>
              <w:right w:val="nil"/>
            </w:tcBorders>
            <w:noWrap/>
            <w:hideMark/>
          </w:tcPr>
          <w:p w14:paraId="008E9432" w14:textId="77777777" w:rsidR="00F228BC" w:rsidRPr="005F76D9" w:rsidRDefault="00F228BC" w:rsidP="00F228BC">
            <w:pPr>
              <w:pStyle w:val="Tabletext1"/>
              <w:ind w:left="0"/>
              <w:rPr>
                <w:rFonts w:cs="Calibri"/>
                <w:b/>
                <w:bCs/>
                <w:color w:val="000000"/>
              </w:rPr>
            </w:pPr>
            <w:r w:rsidRPr="005F76D9">
              <w:rPr>
                <w:rFonts w:cs="Calibri"/>
                <w:b/>
                <w:bCs/>
                <w:color w:val="000000"/>
              </w:rPr>
              <w:t>Weaning off trial for Ig</w:t>
            </w:r>
          </w:p>
        </w:tc>
        <w:tc>
          <w:tcPr>
            <w:tcW w:w="550" w:type="pct"/>
            <w:tcBorders>
              <w:left w:val="nil"/>
              <w:right w:val="nil"/>
            </w:tcBorders>
            <w:noWrap/>
            <w:hideMark/>
          </w:tcPr>
          <w:p w14:paraId="78D801ED" w14:textId="77777777" w:rsidR="00F228BC" w:rsidRPr="005F76D9" w:rsidRDefault="00F228BC" w:rsidP="00F228BC">
            <w:pPr>
              <w:pStyle w:val="Tabletext1"/>
              <w:ind w:left="0"/>
              <w:rPr>
                <w:rFonts w:cs="Calibri"/>
                <w:b/>
                <w:bCs/>
                <w:color w:val="000000"/>
              </w:rPr>
            </w:pPr>
          </w:p>
        </w:tc>
        <w:tc>
          <w:tcPr>
            <w:tcW w:w="472" w:type="pct"/>
            <w:tcBorders>
              <w:left w:val="nil"/>
              <w:right w:val="nil"/>
            </w:tcBorders>
            <w:noWrap/>
            <w:hideMark/>
          </w:tcPr>
          <w:p w14:paraId="11CED10B" w14:textId="77777777" w:rsidR="00F228BC" w:rsidRPr="005F76D9" w:rsidRDefault="00F228BC" w:rsidP="00F228BC">
            <w:pPr>
              <w:pStyle w:val="Tabletext1"/>
              <w:ind w:left="0"/>
            </w:pPr>
          </w:p>
        </w:tc>
        <w:tc>
          <w:tcPr>
            <w:tcW w:w="550" w:type="pct"/>
            <w:tcBorders>
              <w:left w:val="nil"/>
              <w:right w:val="nil"/>
            </w:tcBorders>
            <w:noWrap/>
            <w:hideMark/>
          </w:tcPr>
          <w:p w14:paraId="4636603F" w14:textId="77777777" w:rsidR="00F228BC" w:rsidRPr="005F76D9" w:rsidRDefault="00F228BC" w:rsidP="00F228BC">
            <w:pPr>
              <w:pStyle w:val="Tabletext1"/>
              <w:ind w:left="0"/>
            </w:pPr>
          </w:p>
        </w:tc>
        <w:tc>
          <w:tcPr>
            <w:tcW w:w="522" w:type="pct"/>
            <w:tcBorders>
              <w:left w:val="nil"/>
            </w:tcBorders>
            <w:noWrap/>
            <w:hideMark/>
          </w:tcPr>
          <w:p w14:paraId="2F173524" w14:textId="77777777" w:rsidR="00F228BC" w:rsidRPr="005F76D9" w:rsidRDefault="00F228BC" w:rsidP="00F228BC">
            <w:pPr>
              <w:pStyle w:val="Tabletext1"/>
              <w:ind w:left="0"/>
              <w:rPr>
                <w:rFonts w:cs="Calibri"/>
                <w:color w:val="000000"/>
              </w:rPr>
            </w:pPr>
          </w:p>
        </w:tc>
      </w:tr>
      <w:tr w:rsidR="00F228BC" w:rsidRPr="005F76D9" w14:paraId="4588F8FA" w14:textId="77777777" w:rsidTr="00501DD7">
        <w:trPr>
          <w:trHeight w:val="255"/>
        </w:trPr>
        <w:tc>
          <w:tcPr>
            <w:tcW w:w="2906" w:type="pct"/>
            <w:tcBorders>
              <w:bottom w:val="single" w:sz="4" w:space="0" w:color="auto"/>
            </w:tcBorders>
            <w:noWrap/>
            <w:hideMark/>
          </w:tcPr>
          <w:p w14:paraId="4C91E9B7" w14:textId="77777777" w:rsidR="00F228BC" w:rsidRPr="005F76D9" w:rsidRDefault="00F228BC" w:rsidP="00F228BC">
            <w:pPr>
              <w:pStyle w:val="Tabletext1"/>
              <w:ind w:left="0"/>
              <w:rPr>
                <w:rFonts w:cs="Calibri"/>
                <w:color w:val="000000"/>
              </w:rPr>
            </w:pPr>
            <w:r w:rsidRPr="005F76D9">
              <w:rPr>
                <w:rFonts w:cs="Calibri"/>
                <w:color w:val="000000"/>
              </w:rPr>
              <w:t>Starting dose in maintenance phase- 1g/kg, then applying 20% dose reduction for 5 cycles</w:t>
            </w:r>
          </w:p>
        </w:tc>
        <w:tc>
          <w:tcPr>
            <w:tcW w:w="550" w:type="pct"/>
            <w:tcBorders>
              <w:bottom w:val="single" w:sz="4" w:space="0" w:color="auto"/>
            </w:tcBorders>
            <w:noWrap/>
            <w:hideMark/>
          </w:tcPr>
          <w:p w14:paraId="14BFED6C" w14:textId="2C9E24E5" w:rsidR="00F228BC" w:rsidRPr="005F76D9" w:rsidRDefault="00F228BC" w:rsidP="00F228BC">
            <w:pPr>
              <w:pStyle w:val="Tabletext1"/>
              <w:ind w:left="0"/>
              <w:rPr>
                <w:rFonts w:cs="Calibri"/>
                <w:color w:val="000000"/>
              </w:rPr>
            </w:pPr>
            <w:r w:rsidRPr="00E81CF8">
              <w:t>$122,688</w:t>
            </w:r>
          </w:p>
        </w:tc>
        <w:tc>
          <w:tcPr>
            <w:tcW w:w="472" w:type="pct"/>
            <w:tcBorders>
              <w:bottom w:val="single" w:sz="4" w:space="0" w:color="auto"/>
            </w:tcBorders>
            <w:noWrap/>
            <w:hideMark/>
          </w:tcPr>
          <w:p w14:paraId="2203F6D8" w14:textId="1F53F2F6" w:rsidR="00F228BC" w:rsidRPr="005F76D9" w:rsidRDefault="00F228BC" w:rsidP="00F228BC">
            <w:pPr>
              <w:pStyle w:val="Tabletext1"/>
              <w:ind w:left="0"/>
              <w:rPr>
                <w:rFonts w:cs="Calibri"/>
                <w:color w:val="000000"/>
              </w:rPr>
            </w:pPr>
            <w:r w:rsidRPr="00E81CF8">
              <w:t>1.7162</w:t>
            </w:r>
          </w:p>
        </w:tc>
        <w:tc>
          <w:tcPr>
            <w:tcW w:w="550" w:type="pct"/>
            <w:tcBorders>
              <w:bottom w:val="single" w:sz="4" w:space="0" w:color="auto"/>
            </w:tcBorders>
            <w:noWrap/>
            <w:hideMark/>
          </w:tcPr>
          <w:p w14:paraId="0D216F33" w14:textId="7AAB24E9" w:rsidR="00F228BC" w:rsidRPr="005F76D9" w:rsidRDefault="00F228BC" w:rsidP="00F228BC">
            <w:pPr>
              <w:pStyle w:val="Tabletext1"/>
              <w:ind w:left="0"/>
              <w:rPr>
                <w:rFonts w:cs="Calibri"/>
                <w:color w:val="000000"/>
              </w:rPr>
            </w:pPr>
            <w:r w:rsidRPr="00E81CF8">
              <w:t>$71,490</w:t>
            </w:r>
          </w:p>
        </w:tc>
        <w:tc>
          <w:tcPr>
            <w:tcW w:w="522" w:type="pct"/>
            <w:tcBorders>
              <w:bottom w:val="single" w:sz="4" w:space="0" w:color="auto"/>
            </w:tcBorders>
            <w:noWrap/>
            <w:hideMark/>
          </w:tcPr>
          <w:p w14:paraId="56B3A9E1" w14:textId="1C9B2FB9" w:rsidR="00F228BC" w:rsidRPr="005F76D9" w:rsidRDefault="00F228BC" w:rsidP="00F228BC">
            <w:pPr>
              <w:pStyle w:val="Tabletext1"/>
              <w:ind w:left="0"/>
              <w:rPr>
                <w:rFonts w:cs="Calibri"/>
                <w:color w:val="000000"/>
              </w:rPr>
            </w:pPr>
            <w:r w:rsidRPr="00E81CF8">
              <w:t>-23%</w:t>
            </w:r>
          </w:p>
        </w:tc>
      </w:tr>
      <w:tr w:rsidR="00F228BC" w:rsidRPr="005F76D9" w14:paraId="2C0761A5" w14:textId="77777777" w:rsidTr="00501DD7">
        <w:trPr>
          <w:trHeight w:val="255"/>
        </w:trPr>
        <w:tc>
          <w:tcPr>
            <w:tcW w:w="2906" w:type="pct"/>
            <w:tcBorders>
              <w:right w:val="nil"/>
            </w:tcBorders>
            <w:noWrap/>
            <w:hideMark/>
          </w:tcPr>
          <w:p w14:paraId="32C4594D" w14:textId="77777777" w:rsidR="00F228BC" w:rsidRPr="005F76D9" w:rsidRDefault="00F228BC" w:rsidP="00F228BC">
            <w:pPr>
              <w:pStyle w:val="Tabletext1"/>
              <w:ind w:left="0"/>
              <w:rPr>
                <w:rFonts w:cs="Calibri"/>
                <w:b/>
                <w:bCs/>
                <w:color w:val="000000"/>
              </w:rPr>
            </w:pPr>
            <w:r w:rsidRPr="005F76D9">
              <w:rPr>
                <w:rFonts w:cs="Calibri"/>
                <w:b/>
                <w:bCs/>
                <w:color w:val="000000"/>
              </w:rPr>
              <w:t>Utility gain with Ig (base case:0.12)</w:t>
            </w:r>
          </w:p>
        </w:tc>
        <w:tc>
          <w:tcPr>
            <w:tcW w:w="550" w:type="pct"/>
            <w:tcBorders>
              <w:left w:val="nil"/>
              <w:right w:val="nil"/>
            </w:tcBorders>
            <w:noWrap/>
            <w:hideMark/>
          </w:tcPr>
          <w:p w14:paraId="31A2A794" w14:textId="77777777" w:rsidR="00F228BC" w:rsidRPr="005F76D9" w:rsidRDefault="00F228BC" w:rsidP="00F228BC">
            <w:pPr>
              <w:pStyle w:val="Tabletext1"/>
              <w:ind w:left="0"/>
              <w:rPr>
                <w:rFonts w:cs="Calibri"/>
                <w:b/>
                <w:bCs/>
                <w:color w:val="000000"/>
              </w:rPr>
            </w:pPr>
          </w:p>
        </w:tc>
        <w:tc>
          <w:tcPr>
            <w:tcW w:w="472" w:type="pct"/>
            <w:tcBorders>
              <w:left w:val="nil"/>
              <w:right w:val="nil"/>
            </w:tcBorders>
            <w:noWrap/>
            <w:hideMark/>
          </w:tcPr>
          <w:p w14:paraId="4803B2FB" w14:textId="77777777" w:rsidR="00F228BC" w:rsidRPr="005F76D9" w:rsidRDefault="00F228BC" w:rsidP="00F228BC">
            <w:pPr>
              <w:pStyle w:val="Tabletext1"/>
              <w:ind w:left="0"/>
            </w:pPr>
          </w:p>
        </w:tc>
        <w:tc>
          <w:tcPr>
            <w:tcW w:w="550" w:type="pct"/>
            <w:tcBorders>
              <w:left w:val="nil"/>
              <w:right w:val="nil"/>
            </w:tcBorders>
            <w:noWrap/>
            <w:hideMark/>
          </w:tcPr>
          <w:p w14:paraId="50F61555" w14:textId="77777777" w:rsidR="00F228BC" w:rsidRPr="005F76D9" w:rsidRDefault="00F228BC" w:rsidP="00F228BC">
            <w:pPr>
              <w:pStyle w:val="Tabletext1"/>
              <w:ind w:left="0"/>
            </w:pPr>
          </w:p>
        </w:tc>
        <w:tc>
          <w:tcPr>
            <w:tcW w:w="522" w:type="pct"/>
            <w:tcBorders>
              <w:left w:val="nil"/>
            </w:tcBorders>
            <w:noWrap/>
            <w:hideMark/>
          </w:tcPr>
          <w:p w14:paraId="0B9D4908" w14:textId="77777777" w:rsidR="00F228BC" w:rsidRPr="005F76D9" w:rsidRDefault="00F228BC" w:rsidP="00F228BC">
            <w:pPr>
              <w:pStyle w:val="Tabletext1"/>
              <w:ind w:left="0"/>
              <w:rPr>
                <w:rFonts w:cs="Calibri"/>
                <w:color w:val="000000"/>
              </w:rPr>
            </w:pPr>
          </w:p>
        </w:tc>
      </w:tr>
      <w:tr w:rsidR="00F228BC" w:rsidRPr="005F76D9" w14:paraId="612F70AE" w14:textId="77777777" w:rsidTr="00501DD7">
        <w:trPr>
          <w:trHeight w:val="255"/>
        </w:trPr>
        <w:tc>
          <w:tcPr>
            <w:tcW w:w="2906" w:type="pct"/>
            <w:noWrap/>
            <w:hideMark/>
          </w:tcPr>
          <w:p w14:paraId="3239B116" w14:textId="77777777" w:rsidR="00F228BC" w:rsidRPr="005F76D9" w:rsidRDefault="00F228BC" w:rsidP="00F228BC">
            <w:pPr>
              <w:pStyle w:val="Tabletext1"/>
              <w:ind w:left="0"/>
              <w:rPr>
                <w:rFonts w:cs="Calibri"/>
                <w:color w:val="000000"/>
              </w:rPr>
            </w:pPr>
            <w:r w:rsidRPr="005F76D9">
              <w:rPr>
                <w:rFonts w:cs="Calibri"/>
                <w:color w:val="000000"/>
              </w:rPr>
              <w:t>0.06</w:t>
            </w:r>
          </w:p>
        </w:tc>
        <w:tc>
          <w:tcPr>
            <w:tcW w:w="550" w:type="pct"/>
            <w:noWrap/>
            <w:hideMark/>
          </w:tcPr>
          <w:p w14:paraId="6A4B7108" w14:textId="11CDC9B9" w:rsidR="00F228BC" w:rsidRPr="005F76D9" w:rsidRDefault="00F228BC" w:rsidP="00F228BC">
            <w:pPr>
              <w:pStyle w:val="Tabletext1"/>
              <w:ind w:left="0"/>
              <w:rPr>
                <w:rFonts w:cs="Calibri"/>
                <w:color w:val="000000"/>
              </w:rPr>
            </w:pPr>
            <w:r w:rsidRPr="00E81CF8">
              <w:t>$159,573</w:t>
            </w:r>
          </w:p>
        </w:tc>
        <w:tc>
          <w:tcPr>
            <w:tcW w:w="472" w:type="pct"/>
            <w:noWrap/>
            <w:hideMark/>
          </w:tcPr>
          <w:p w14:paraId="6B3C2A27" w14:textId="5926691D" w:rsidR="00F228BC" w:rsidRPr="005F76D9" w:rsidRDefault="00F228BC" w:rsidP="00F228BC">
            <w:pPr>
              <w:pStyle w:val="Tabletext1"/>
              <w:ind w:left="0"/>
              <w:rPr>
                <w:rFonts w:cs="Calibri"/>
                <w:color w:val="000000"/>
              </w:rPr>
            </w:pPr>
            <w:r w:rsidRPr="00E81CF8">
              <w:t>1.5461</w:t>
            </w:r>
          </w:p>
        </w:tc>
        <w:tc>
          <w:tcPr>
            <w:tcW w:w="550" w:type="pct"/>
            <w:noWrap/>
            <w:hideMark/>
          </w:tcPr>
          <w:p w14:paraId="7E2A09BC" w14:textId="31DDD3BE" w:rsidR="00F228BC" w:rsidRPr="005F76D9" w:rsidRDefault="00F228BC" w:rsidP="00F228BC">
            <w:pPr>
              <w:pStyle w:val="Tabletext1"/>
              <w:ind w:left="0"/>
              <w:rPr>
                <w:rFonts w:cs="Calibri"/>
                <w:color w:val="000000"/>
              </w:rPr>
            </w:pPr>
            <w:r w:rsidRPr="00E81CF8">
              <w:t>$103,207</w:t>
            </w:r>
          </w:p>
        </w:tc>
        <w:tc>
          <w:tcPr>
            <w:tcW w:w="522" w:type="pct"/>
            <w:noWrap/>
            <w:hideMark/>
          </w:tcPr>
          <w:p w14:paraId="2DC45CF8" w14:textId="73B04C11" w:rsidR="00F228BC" w:rsidRPr="005F76D9" w:rsidRDefault="00F228BC" w:rsidP="00F228BC">
            <w:pPr>
              <w:pStyle w:val="Tabletext1"/>
              <w:ind w:left="0"/>
              <w:rPr>
                <w:rFonts w:cs="Calibri"/>
                <w:color w:val="000000"/>
              </w:rPr>
            </w:pPr>
            <w:r w:rsidRPr="00E81CF8">
              <w:t>11%</w:t>
            </w:r>
          </w:p>
        </w:tc>
      </w:tr>
      <w:tr w:rsidR="00F228BC" w:rsidRPr="005F76D9" w14:paraId="21ADF856" w14:textId="77777777" w:rsidTr="00501DD7">
        <w:trPr>
          <w:trHeight w:val="255"/>
        </w:trPr>
        <w:tc>
          <w:tcPr>
            <w:tcW w:w="2906" w:type="pct"/>
            <w:noWrap/>
            <w:hideMark/>
          </w:tcPr>
          <w:p w14:paraId="7402B433" w14:textId="77777777" w:rsidR="00F228BC" w:rsidRPr="005F76D9" w:rsidRDefault="00F228BC" w:rsidP="00F228BC">
            <w:pPr>
              <w:pStyle w:val="Tabletext1"/>
              <w:ind w:left="0"/>
              <w:rPr>
                <w:rFonts w:cs="Calibri"/>
                <w:color w:val="000000"/>
              </w:rPr>
            </w:pPr>
            <w:r w:rsidRPr="005F76D9">
              <w:rPr>
                <w:rFonts w:cs="Calibri"/>
                <w:color w:val="000000"/>
              </w:rPr>
              <w:t>0.18</w:t>
            </w:r>
          </w:p>
        </w:tc>
        <w:tc>
          <w:tcPr>
            <w:tcW w:w="550" w:type="pct"/>
            <w:noWrap/>
            <w:hideMark/>
          </w:tcPr>
          <w:p w14:paraId="26C8056F" w14:textId="6F7889E9" w:rsidR="00F228BC" w:rsidRPr="005F76D9" w:rsidRDefault="00F228BC" w:rsidP="00F228BC">
            <w:pPr>
              <w:pStyle w:val="Tabletext1"/>
              <w:ind w:left="0"/>
              <w:rPr>
                <w:rFonts w:cs="Calibri"/>
                <w:color w:val="000000"/>
              </w:rPr>
            </w:pPr>
            <w:r w:rsidRPr="00E81CF8">
              <w:t>$159,573</w:t>
            </w:r>
          </w:p>
        </w:tc>
        <w:tc>
          <w:tcPr>
            <w:tcW w:w="472" w:type="pct"/>
            <w:noWrap/>
            <w:hideMark/>
          </w:tcPr>
          <w:p w14:paraId="6285455E" w14:textId="525C06AE" w:rsidR="00F228BC" w:rsidRPr="005F76D9" w:rsidRDefault="00F228BC" w:rsidP="00F228BC">
            <w:pPr>
              <w:pStyle w:val="Tabletext1"/>
              <w:ind w:left="0"/>
              <w:rPr>
                <w:rFonts w:cs="Calibri"/>
                <w:color w:val="000000"/>
              </w:rPr>
            </w:pPr>
            <w:r w:rsidRPr="00E81CF8">
              <w:t>1.8862</w:t>
            </w:r>
          </w:p>
        </w:tc>
        <w:tc>
          <w:tcPr>
            <w:tcW w:w="550" w:type="pct"/>
            <w:noWrap/>
            <w:hideMark/>
          </w:tcPr>
          <w:p w14:paraId="2DC32362" w14:textId="53631B27" w:rsidR="00F228BC" w:rsidRPr="005F76D9" w:rsidRDefault="00F228BC" w:rsidP="00F228BC">
            <w:pPr>
              <w:pStyle w:val="Tabletext1"/>
              <w:ind w:left="0"/>
              <w:rPr>
                <w:rFonts w:cs="Calibri"/>
                <w:color w:val="000000"/>
              </w:rPr>
            </w:pPr>
            <w:r w:rsidRPr="00E81CF8">
              <w:t>$84,601</w:t>
            </w:r>
          </w:p>
        </w:tc>
        <w:tc>
          <w:tcPr>
            <w:tcW w:w="522" w:type="pct"/>
            <w:noWrap/>
            <w:hideMark/>
          </w:tcPr>
          <w:p w14:paraId="32312039" w14:textId="02811EB1" w:rsidR="00F228BC" w:rsidRPr="005F76D9" w:rsidRDefault="00F228BC" w:rsidP="00F228BC">
            <w:pPr>
              <w:pStyle w:val="Tabletext1"/>
              <w:ind w:left="0"/>
              <w:rPr>
                <w:rFonts w:cs="Calibri"/>
                <w:color w:val="000000"/>
              </w:rPr>
            </w:pPr>
            <w:r w:rsidRPr="00E81CF8">
              <w:t>-9%</w:t>
            </w:r>
          </w:p>
        </w:tc>
      </w:tr>
      <w:tr w:rsidR="00F228BC" w:rsidRPr="005F76D9" w14:paraId="6808E0BD" w14:textId="77777777" w:rsidTr="00501DD7">
        <w:trPr>
          <w:trHeight w:val="255"/>
        </w:trPr>
        <w:tc>
          <w:tcPr>
            <w:tcW w:w="2906" w:type="pct"/>
            <w:noWrap/>
            <w:hideMark/>
          </w:tcPr>
          <w:p w14:paraId="2A1CB59D" w14:textId="36F07D93" w:rsidR="00F228BC" w:rsidRPr="005F76D9" w:rsidRDefault="00F228BC" w:rsidP="00F228BC">
            <w:pPr>
              <w:pStyle w:val="Tabletext1"/>
              <w:ind w:left="0"/>
              <w:rPr>
                <w:rFonts w:cs="Calibri"/>
                <w:b/>
                <w:bCs/>
                <w:color w:val="000000"/>
              </w:rPr>
            </w:pPr>
            <w:r w:rsidRPr="005F76D9">
              <w:rPr>
                <w:rFonts w:cs="Calibri"/>
                <w:b/>
                <w:bCs/>
                <w:color w:val="000000"/>
              </w:rPr>
              <w:t>Di</w:t>
            </w:r>
            <w:r>
              <w:rPr>
                <w:rFonts w:cs="Calibri"/>
                <w:b/>
                <w:bCs/>
                <w:color w:val="000000"/>
              </w:rPr>
              <w:t>s</w:t>
            </w:r>
            <w:r w:rsidRPr="005F76D9">
              <w:rPr>
                <w:rFonts w:cs="Calibri"/>
                <w:b/>
                <w:bCs/>
                <w:color w:val="000000"/>
              </w:rPr>
              <w:t>count rate (base-case: 5%)</w:t>
            </w:r>
          </w:p>
        </w:tc>
        <w:tc>
          <w:tcPr>
            <w:tcW w:w="550" w:type="pct"/>
            <w:noWrap/>
            <w:hideMark/>
          </w:tcPr>
          <w:p w14:paraId="2A700E9F" w14:textId="77777777" w:rsidR="00F228BC" w:rsidRPr="005F76D9" w:rsidRDefault="00F228BC" w:rsidP="00F228BC">
            <w:pPr>
              <w:pStyle w:val="Tabletext1"/>
              <w:ind w:left="0"/>
              <w:rPr>
                <w:rFonts w:cs="Calibri"/>
                <w:b/>
                <w:bCs/>
                <w:color w:val="000000"/>
              </w:rPr>
            </w:pPr>
          </w:p>
        </w:tc>
        <w:tc>
          <w:tcPr>
            <w:tcW w:w="472" w:type="pct"/>
            <w:noWrap/>
            <w:hideMark/>
          </w:tcPr>
          <w:p w14:paraId="27EDA149" w14:textId="77777777" w:rsidR="00F228BC" w:rsidRPr="005F76D9" w:rsidRDefault="00F228BC" w:rsidP="00F228BC">
            <w:pPr>
              <w:pStyle w:val="Tabletext1"/>
              <w:ind w:left="0"/>
            </w:pPr>
          </w:p>
        </w:tc>
        <w:tc>
          <w:tcPr>
            <w:tcW w:w="550" w:type="pct"/>
            <w:noWrap/>
            <w:hideMark/>
          </w:tcPr>
          <w:p w14:paraId="625137D9" w14:textId="77777777" w:rsidR="00F228BC" w:rsidRPr="005F76D9" w:rsidRDefault="00F228BC" w:rsidP="00F228BC">
            <w:pPr>
              <w:pStyle w:val="Tabletext1"/>
              <w:ind w:left="0"/>
            </w:pPr>
          </w:p>
        </w:tc>
        <w:tc>
          <w:tcPr>
            <w:tcW w:w="522" w:type="pct"/>
            <w:noWrap/>
            <w:hideMark/>
          </w:tcPr>
          <w:p w14:paraId="60D860DD" w14:textId="77777777" w:rsidR="00F228BC" w:rsidRPr="005F76D9" w:rsidRDefault="00F228BC" w:rsidP="00F228BC">
            <w:pPr>
              <w:pStyle w:val="Tabletext1"/>
              <w:ind w:left="0"/>
              <w:rPr>
                <w:rFonts w:cs="Calibri"/>
                <w:color w:val="000000"/>
              </w:rPr>
            </w:pPr>
          </w:p>
        </w:tc>
      </w:tr>
      <w:tr w:rsidR="00F228BC" w:rsidRPr="005F76D9" w14:paraId="0582DF07" w14:textId="77777777" w:rsidTr="00501DD7">
        <w:trPr>
          <w:trHeight w:val="255"/>
        </w:trPr>
        <w:tc>
          <w:tcPr>
            <w:tcW w:w="2906" w:type="pct"/>
            <w:noWrap/>
            <w:hideMark/>
          </w:tcPr>
          <w:p w14:paraId="37A2A66D" w14:textId="77777777" w:rsidR="00F228BC" w:rsidRPr="005F76D9" w:rsidRDefault="00F228BC" w:rsidP="00F228BC">
            <w:pPr>
              <w:pStyle w:val="Tabletext1"/>
              <w:ind w:left="0"/>
              <w:rPr>
                <w:rFonts w:cs="Calibri"/>
                <w:color w:val="000000"/>
              </w:rPr>
            </w:pPr>
            <w:r w:rsidRPr="005F76D9">
              <w:rPr>
                <w:rFonts w:cs="Calibri"/>
                <w:color w:val="000000"/>
              </w:rPr>
              <w:t>0% (undiscounted)</w:t>
            </w:r>
          </w:p>
        </w:tc>
        <w:tc>
          <w:tcPr>
            <w:tcW w:w="550" w:type="pct"/>
            <w:noWrap/>
            <w:hideMark/>
          </w:tcPr>
          <w:p w14:paraId="75D76F6C" w14:textId="7835DDA7" w:rsidR="00F228BC" w:rsidRPr="005F76D9" w:rsidRDefault="00F228BC" w:rsidP="00F228BC">
            <w:pPr>
              <w:pStyle w:val="Tabletext1"/>
              <w:ind w:left="0"/>
              <w:rPr>
                <w:rFonts w:cs="Calibri"/>
                <w:color w:val="000000"/>
              </w:rPr>
            </w:pPr>
            <w:r w:rsidRPr="00E81CF8">
              <w:t>$193,257</w:t>
            </w:r>
          </w:p>
        </w:tc>
        <w:tc>
          <w:tcPr>
            <w:tcW w:w="472" w:type="pct"/>
            <w:noWrap/>
            <w:hideMark/>
          </w:tcPr>
          <w:p w14:paraId="64DA7B8B" w14:textId="257E5963" w:rsidR="00F228BC" w:rsidRPr="005F76D9" w:rsidRDefault="00F228BC" w:rsidP="00F228BC">
            <w:pPr>
              <w:pStyle w:val="Tabletext1"/>
              <w:ind w:left="0"/>
              <w:rPr>
                <w:rFonts w:cs="Calibri"/>
                <w:color w:val="000000"/>
              </w:rPr>
            </w:pPr>
            <w:r w:rsidRPr="00E81CF8">
              <w:t>2.1473</w:t>
            </w:r>
          </w:p>
        </w:tc>
        <w:tc>
          <w:tcPr>
            <w:tcW w:w="550" w:type="pct"/>
            <w:noWrap/>
            <w:hideMark/>
          </w:tcPr>
          <w:p w14:paraId="2CC26055" w14:textId="299F83C0" w:rsidR="00F228BC" w:rsidRPr="005F76D9" w:rsidRDefault="00F228BC" w:rsidP="00F228BC">
            <w:pPr>
              <w:pStyle w:val="Tabletext1"/>
              <w:ind w:left="0"/>
              <w:rPr>
                <w:rFonts w:cs="Calibri"/>
                <w:color w:val="000000"/>
              </w:rPr>
            </w:pPr>
            <w:r w:rsidRPr="00E81CF8">
              <w:t>$90,000</w:t>
            </w:r>
          </w:p>
        </w:tc>
        <w:tc>
          <w:tcPr>
            <w:tcW w:w="522" w:type="pct"/>
            <w:noWrap/>
            <w:hideMark/>
          </w:tcPr>
          <w:p w14:paraId="37F678BE" w14:textId="530DF057" w:rsidR="00F228BC" w:rsidRPr="005F76D9" w:rsidRDefault="00F228BC" w:rsidP="00F228BC">
            <w:pPr>
              <w:pStyle w:val="Tabletext1"/>
              <w:ind w:left="0"/>
              <w:rPr>
                <w:rFonts w:cs="Calibri"/>
                <w:color w:val="000000"/>
              </w:rPr>
            </w:pPr>
            <w:r w:rsidRPr="00E81CF8">
              <w:t>-3%</w:t>
            </w:r>
          </w:p>
        </w:tc>
      </w:tr>
      <w:tr w:rsidR="00F228BC" w:rsidRPr="005F76D9" w14:paraId="3E71EF6C" w14:textId="77777777" w:rsidTr="00501DD7">
        <w:trPr>
          <w:trHeight w:val="255"/>
        </w:trPr>
        <w:tc>
          <w:tcPr>
            <w:tcW w:w="2906" w:type="pct"/>
            <w:tcBorders>
              <w:bottom w:val="single" w:sz="4" w:space="0" w:color="auto"/>
            </w:tcBorders>
            <w:noWrap/>
            <w:hideMark/>
          </w:tcPr>
          <w:p w14:paraId="08B2C665" w14:textId="77777777" w:rsidR="00F228BC" w:rsidRPr="005F76D9" w:rsidRDefault="00F228BC" w:rsidP="00F228BC">
            <w:pPr>
              <w:pStyle w:val="Tabletext1"/>
              <w:ind w:left="0"/>
              <w:rPr>
                <w:rFonts w:cs="Calibri"/>
                <w:color w:val="000000"/>
              </w:rPr>
            </w:pPr>
            <w:r w:rsidRPr="005F76D9">
              <w:rPr>
                <w:rFonts w:cs="Calibri"/>
                <w:color w:val="000000"/>
              </w:rPr>
              <w:t>3%</w:t>
            </w:r>
          </w:p>
        </w:tc>
        <w:tc>
          <w:tcPr>
            <w:tcW w:w="550" w:type="pct"/>
            <w:tcBorders>
              <w:bottom w:val="single" w:sz="4" w:space="0" w:color="auto"/>
            </w:tcBorders>
            <w:noWrap/>
            <w:hideMark/>
          </w:tcPr>
          <w:p w14:paraId="4D71C2AB" w14:textId="5DBA32AB" w:rsidR="00F228BC" w:rsidRPr="005F76D9" w:rsidRDefault="00F228BC" w:rsidP="00F228BC">
            <w:pPr>
              <w:pStyle w:val="Tabletext1"/>
              <w:ind w:left="0"/>
              <w:rPr>
                <w:rFonts w:cs="Calibri"/>
                <w:color w:val="000000"/>
              </w:rPr>
            </w:pPr>
            <w:r w:rsidRPr="00E81CF8">
              <w:t>$171,656</w:t>
            </w:r>
          </w:p>
        </w:tc>
        <w:tc>
          <w:tcPr>
            <w:tcW w:w="472" w:type="pct"/>
            <w:tcBorders>
              <w:bottom w:val="single" w:sz="4" w:space="0" w:color="auto"/>
            </w:tcBorders>
            <w:noWrap/>
            <w:hideMark/>
          </w:tcPr>
          <w:p w14:paraId="2045F9E2" w14:textId="0B7917D1" w:rsidR="00F228BC" w:rsidRPr="005F76D9" w:rsidRDefault="00F228BC" w:rsidP="00F228BC">
            <w:pPr>
              <w:pStyle w:val="Tabletext1"/>
              <w:ind w:left="0"/>
              <w:rPr>
                <w:rFonts w:cs="Calibri"/>
                <w:color w:val="000000"/>
              </w:rPr>
            </w:pPr>
            <w:r w:rsidRPr="00E81CF8">
              <w:t>1.8706</w:t>
            </w:r>
          </w:p>
        </w:tc>
        <w:tc>
          <w:tcPr>
            <w:tcW w:w="550" w:type="pct"/>
            <w:tcBorders>
              <w:bottom w:val="single" w:sz="4" w:space="0" w:color="auto"/>
            </w:tcBorders>
            <w:noWrap/>
            <w:hideMark/>
          </w:tcPr>
          <w:p w14:paraId="37900BD3" w14:textId="14E315B6" w:rsidR="00F228BC" w:rsidRPr="005F76D9" w:rsidRDefault="00F228BC" w:rsidP="00F228BC">
            <w:pPr>
              <w:pStyle w:val="Tabletext1"/>
              <w:ind w:left="0"/>
              <w:rPr>
                <w:rFonts w:cs="Calibri"/>
                <w:color w:val="000000"/>
              </w:rPr>
            </w:pPr>
            <w:r w:rsidRPr="00E81CF8">
              <w:t>$91,767</w:t>
            </w:r>
          </w:p>
        </w:tc>
        <w:tc>
          <w:tcPr>
            <w:tcW w:w="522" w:type="pct"/>
            <w:tcBorders>
              <w:bottom w:val="single" w:sz="4" w:space="0" w:color="auto"/>
            </w:tcBorders>
            <w:noWrap/>
            <w:hideMark/>
          </w:tcPr>
          <w:p w14:paraId="2C226463" w14:textId="227F2775" w:rsidR="00F228BC" w:rsidRPr="005F76D9" w:rsidRDefault="00F228BC" w:rsidP="00F228BC">
            <w:pPr>
              <w:pStyle w:val="Tabletext1"/>
              <w:ind w:left="0"/>
              <w:rPr>
                <w:rFonts w:cs="Calibri"/>
                <w:color w:val="000000"/>
              </w:rPr>
            </w:pPr>
            <w:r w:rsidRPr="00E81CF8">
              <w:t>-1%</w:t>
            </w:r>
          </w:p>
        </w:tc>
      </w:tr>
      <w:tr w:rsidR="00F228BC" w:rsidRPr="005F76D9" w14:paraId="44097D39" w14:textId="77777777" w:rsidTr="00501DD7">
        <w:trPr>
          <w:trHeight w:val="255"/>
        </w:trPr>
        <w:tc>
          <w:tcPr>
            <w:tcW w:w="2906" w:type="pct"/>
            <w:tcBorders>
              <w:right w:val="nil"/>
            </w:tcBorders>
            <w:noWrap/>
            <w:hideMark/>
          </w:tcPr>
          <w:p w14:paraId="33FAEAAF" w14:textId="77777777" w:rsidR="00F228BC" w:rsidRPr="005F76D9" w:rsidRDefault="00F228BC" w:rsidP="00F228BC">
            <w:pPr>
              <w:pStyle w:val="Tabletext1"/>
              <w:ind w:left="0"/>
              <w:rPr>
                <w:rFonts w:cs="Calibri"/>
                <w:b/>
                <w:bCs/>
                <w:color w:val="000000"/>
              </w:rPr>
            </w:pPr>
            <w:r w:rsidRPr="005F76D9">
              <w:rPr>
                <w:rFonts w:cs="Calibri"/>
                <w:b/>
                <w:bCs/>
                <w:color w:val="000000"/>
              </w:rPr>
              <w:t>Modelled time horizon (base case: 10 years)</w:t>
            </w:r>
          </w:p>
        </w:tc>
        <w:tc>
          <w:tcPr>
            <w:tcW w:w="550" w:type="pct"/>
            <w:tcBorders>
              <w:left w:val="nil"/>
              <w:right w:val="nil"/>
            </w:tcBorders>
            <w:noWrap/>
            <w:hideMark/>
          </w:tcPr>
          <w:p w14:paraId="3C0A1D5B" w14:textId="77777777" w:rsidR="00F228BC" w:rsidRPr="005F76D9" w:rsidRDefault="00F228BC" w:rsidP="00F228BC">
            <w:pPr>
              <w:pStyle w:val="Tabletext1"/>
              <w:ind w:left="0"/>
              <w:rPr>
                <w:rFonts w:cs="Calibri"/>
                <w:b/>
                <w:bCs/>
                <w:color w:val="000000"/>
              </w:rPr>
            </w:pPr>
          </w:p>
        </w:tc>
        <w:tc>
          <w:tcPr>
            <w:tcW w:w="472" w:type="pct"/>
            <w:tcBorders>
              <w:left w:val="nil"/>
              <w:right w:val="nil"/>
            </w:tcBorders>
            <w:noWrap/>
            <w:hideMark/>
          </w:tcPr>
          <w:p w14:paraId="6B150778" w14:textId="77777777" w:rsidR="00F228BC" w:rsidRPr="005F76D9" w:rsidRDefault="00F228BC" w:rsidP="00F228BC">
            <w:pPr>
              <w:pStyle w:val="Tabletext1"/>
              <w:ind w:left="0"/>
            </w:pPr>
          </w:p>
        </w:tc>
        <w:tc>
          <w:tcPr>
            <w:tcW w:w="550" w:type="pct"/>
            <w:tcBorders>
              <w:left w:val="nil"/>
              <w:right w:val="nil"/>
            </w:tcBorders>
            <w:noWrap/>
            <w:hideMark/>
          </w:tcPr>
          <w:p w14:paraId="20CC7783" w14:textId="77777777" w:rsidR="00F228BC" w:rsidRPr="005F76D9" w:rsidRDefault="00F228BC" w:rsidP="00F228BC">
            <w:pPr>
              <w:pStyle w:val="Tabletext1"/>
              <w:ind w:left="0"/>
            </w:pPr>
          </w:p>
        </w:tc>
        <w:tc>
          <w:tcPr>
            <w:tcW w:w="522" w:type="pct"/>
            <w:tcBorders>
              <w:left w:val="nil"/>
            </w:tcBorders>
            <w:noWrap/>
            <w:hideMark/>
          </w:tcPr>
          <w:p w14:paraId="5F11AC3D" w14:textId="77777777" w:rsidR="00F228BC" w:rsidRPr="005F76D9" w:rsidRDefault="00F228BC" w:rsidP="00F228BC">
            <w:pPr>
              <w:pStyle w:val="Tabletext1"/>
              <w:ind w:left="0"/>
              <w:rPr>
                <w:rFonts w:cs="Calibri"/>
                <w:color w:val="000000"/>
              </w:rPr>
            </w:pPr>
          </w:p>
        </w:tc>
      </w:tr>
      <w:tr w:rsidR="00F228BC" w:rsidRPr="005F76D9" w14:paraId="125C38E4" w14:textId="77777777" w:rsidTr="00501DD7">
        <w:trPr>
          <w:trHeight w:val="300"/>
        </w:trPr>
        <w:tc>
          <w:tcPr>
            <w:tcW w:w="2906" w:type="pct"/>
            <w:noWrap/>
            <w:hideMark/>
          </w:tcPr>
          <w:p w14:paraId="3B15BE1D" w14:textId="77777777" w:rsidR="00F228BC" w:rsidRPr="005F76D9" w:rsidRDefault="00F228BC" w:rsidP="00F228BC">
            <w:pPr>
              <w:pStyle w:val="Tabletext1"/>
              <w:ind w:left="0"/>
              <w:rPr>
                <w:rFonts w:cs="Calibri"/>
                <w:color w:val="000000"/>
              </w:rPr>
            </w:pPr>
            <w:r w:rsidRPr="005F76D9">
              <w:rPr>
                <w:rFonts w:cs="Calibri"/>
                <w:color w:val="000000"/>
              </w:rPr>
              <w:t>1 year</w:t>
            </w:r>
          </w:p>
        </w:tc>
        <w:tc>
          <w:tcPr>
            <w:tcW w:w="550" w:type="pct"/>
            <w:noWrap/>
            <w:hideMark/>
          </w:tcPr>
          <w:p w14:paraId="4C2B202C" w14:textId="03C0D822" w:rsidR="00F228BC" w:rsidRPr="005F76D9" w:rsidRDefault="00F228BC" w:rsidP="00F228BC">
            <w:pPr>
              <w:pStyle w:val="Tabletext1"/>
              <w:ind w:left="0"/>
              <w:rPr>
                <w:rFonts w:cs="Calibri"/>
                <w:color w:val="000000"/>
              </w:rPr>
            </w:pPr>
            <w:r w:rsidRPr="00E81CF8">
              <w:t>$38,138</w:t>
            </w:r>
          </w:p>
        </w:tc>
        <w:tc>
          <w:tcPr>
            <w:tcW w:w="472" w:type="pct"/>
            <w:noWrap/>
            <w:hideMark/>
          </w:tcPr>
          <w:p w14:paraId="2D7E1652" w14:textId="0BAA6716" w:rsidR="00F228BC" w:rsidRPr="005F76D9" w:rsidRDefault="00F228BC" w:rsidP="00F228BC">
            <w:pPr>
              <w:pStyle w:val="Tabletext1"/>
              <w:ind w:left="0"/>
              <w:rPr>
                <w:rFonts w:cs="Calibri"/>
                <w:color w:val="000000"/>
              </w:rPr>
            </w:pPr>
            <w:r w:rsidRPr="00E81CF8">
              <w:t>0.1878</w:t>
            </w:r>
          </w:p>
        </w:tc>
        <w:tc>
          <w:tcPr>
            <w:tcW w:w="550" w:type="pct"/>
            <w:noWrap/>
            <w:hideMark/>
          </w:tcPr>
          <w:p w14:paraId="592B1590" w14:textId="1F3563FD" w:rsidR="00F228BC" w:rsidRPr="005F76D9" w:rsidRDefault="00F228BC" w:rsidP="00F228BC">
            <w:pPr>
              <w:pStyle w:val="Tabletext1"/>
              <w:ind w:left="0"/>
              <w:rPr>
                <w:rFonts w:cs="Calibri"/>
                <w:color w:val="000000"/>
              </w:rPr>
            </w:pPr>
            <w:r w:rsidRPr="00E81CF8">
              <w:t>$203,117</w:t>
            </w:r>
          </w:p>
        </w:tc>
        <w:tc>
          <w:tcPr>
            <w:tcW w:w="522" w:type="pct"/>
            <w:noWrap/>
            <w:hideMark/>
          </w:tcPr>
          <w:p w14:paraId="64E723FB" w14:textId="4A28A08B" w:rsidR="00F228BC" w:rsidRPr="005F76D9" w:rsidRDefault="00F228BC" w:rsidP="00F228BC">
            <w:pPr>
              <w:pStyle w:val="Tabletext1"/>
              <w:ind w:left="0"/>
              <w:rPr>
                <w:rFonts w:cs="Calibri"/>
                <w:color w:val="000000"/>
              </w:rPr>
            </w:pPr>
            <w:r w:rsidRPr="00E81CF8">
              <w:t>118%</w:t>
            </w:r>
          </w:p>
        </w:tc>
      </w:tr>
      <w:tr w:rsidR="00F228BC" w:rsidRPr="005F76D9" w14:paraId="4AAFDDA2" w14:textId="77777777" w:rsidTr="00501DD7">
        <w:trPr>
          <w:trHeight w:val="315"/>
        </w:trPr>
        <w:tc>
          <w:tcPr>
            <w:tcW w:w="2906" w:type="pct"/>
            <w:noWrap/>
            <w:hideMark/>
          </w:tcPr>
          <w:p w14:paraId="76FF3B19" w14:textId="77777777" w:rsidR="00F228BC" w:rsidRPr="005F76D9" w:rsidRDefault="00F228BC" w:rsidP="00F228BC">
            <w:pPr>
              <w:pStyle w:val="Tabletext1"/>
              <w:ind w:left="0"/>
              <w:rPr>
                <w:rFonts w:cs="Calibri"/>
                <w:color w:val="000000"/>
              </w:rPr>
            </w:pPr>
            <w:r w:rsidRPr="005F76D9">
              <w:rPr>
                <w:rFonts w:cs="Calibri"/>
                <w:color w:val="000000"/>
              </w:rPr>
              <w:t>3 years</w:t>
            </w:r>
          </w:p>
        </w:tc>
        <w:tc>
          <w:tcPr>
            <w:tcW w:w="550" w:type="pct"/>
            <w:noWrap/>
            <w:hideMark/>
          </w:tcPr>
          <w:p w14:paraId="388B17BB" w14:textId="0E15AC15" w:rsidR="00F228BC" w:rsidRPr="005F76D9" w:rsidRDefault="00F228BC" w:rsidP="00F228BC">
            <w:pPr>
              <w:pStyle w:val="Tabletext1"/>
              <w:ind w:left="0"/>
              <w:rPr>
                <w:rFonts w:cs="Calibri"/>
                <w:color w:val="000000"/>
              </w:rPr>
            </w:pPr>
            <w:r w:rsidRPr="00E81CF8">
              <w:t>$77,476</w:t>
            </w:r>
          </w:p>
        </w:tc>
        <w:tc>
          <w:tcPr>
            <w:tcW w:w="472" w:type="pct"/>
            <w:noWrap/>
            <w:hideMark/>
          </w:tcPr>
          <w:p w14:paraId="4B1A3F45" w14:textId="2CC6A175" w:rsidR="00F228BC" w:rsidRPr="005F76D9" w:rsidRDefault="00F228BC" w:rsidP="00F228BC">
            <w:pPr>
              <w:pStyle w:val="Tabletext1"/>
              <w:ind w:left="0"/>
              <w:rPr>
                <w:rFonts w:cs="Calibri"/>
                <w:color w:val="000000"/>
              </w:rPr>
            </w:pPr>
            <w:r w:rsidRPr="00E81CF8">
              <w:t>0.6408</w:t>
            </w:r>
          </w:p>
        </w:tc>
        <w:tc>
          <w:tcPr>
            <w:tcW w:w="550" w:type="pct"/>
            <w:noWrap/>
            <w:hideMark/>
          </w:tcPr>
          <w:p w14:paraId="48FA07D7" w14:textId="6067A855" w:rsidR="00F228BC" w:rsidRPr="005F76D9" w:rsidRDefault="00F228BC" w:rsidP="00F228BC">
            <w:pPr>
              <w:pStyle w:val="Tabletext1"/>
              <w:ind w:left="0"/>
              <w:rPr>
                <w:rFonts w:cs="Calibri"/>
                <w:color w:val="000000"/>
              </w:rPr>
            </w:pPr>
            <w:r w:rsidRPr="00E81CF8">
              <w:t>$120,906</w:t>
            </w:r>
          </w:p>
        </w:tc>
        <w:tc>
          <w:tcPr>
            <w:tcW w:w="522" w:type="pct"/>
            <w:noWrap/>
            <w:hideMark/>
          </w:tcPr>
          <w:p w14:paraId="3B0BB1C6" w14:textId="53CBE05B" w:rsidR="00F228BC" w:rsidRPr="005F76D9" w:rsidRDefault="00F228BC" w:rsidP="00F228BC">
            <w:pPr>
              <w:pStyle w:val="Tabletext1"/>
              <w:ind w:left="0"/>
              <w:rPr>
                <w:rFonts w:cs="Calibri"/>
                <w:color w:val="000000"/>
              </w:rPr>
            </w:pPr>
            <w:r w:rsidRPr="00E81CF8">
              <w:t>30%</w:t>
            </w:r>
          </w:p>
        </w:tc>
      </w:tr>
      <w:tr w:rsidR="00F228BC" w:rsidRPr="005F76D9" w14:paraId="055883E2" w14:textId="77777777" w:rsidTr="00501DD7">
        <w:trPr>
          <w:trHeight w:val="300"/>
        </w:trPr>
        <w:tc>
          <w:tcPr>
            <w:tcW w:w="2906" w:type="pct"/>
            <w:noWrap/>
            <w:hideMark/>
          </w:tcPr>
          <w:p w14:paraId="57D66E7C" w14:textId="77777777" w:rsidR="00F228BC" w:rsidRPr="005F76D9" w:rsidRDefault="00F228BC" w:rsidP="00F228BC">
            <w:pPr>
              <w:pStyle w:val="Tabletext1"/>
              <w:ind w:left="0"/>
              <w:rPr>
                <w:rFonts w:cs="Calibri"/>
                <w:color w:val="000000"/>
              </w:rPr>
            </w:pPr>
            <w:r w:rsidRPr="005F76D9">
              <w:rPr>
                <w:rFonts w:cs="Calibri"/>
                <w:color w:val="000000"/>
              </w:rPr>
              <w:t>5 years</w:t>
            </w:r>
          </w:p>
        </w:tc>
        <w:tc>
          <w:tcPr>
            <w:tcW w:w="550" w:type="pct"/>
            <w:noWrap/>
            <w:hideMark/>
          </w:tcPr>
          <w:p w14:paraId="585974B2" w14:textId="517B374C" w:rsidR="00F228BC" w:rsidRPr="005F76D9" w:rsidRDefault="00F228BC" w:rsidP="00F228BC">
            <w:pPr>
              <w:pStyle w:val="Tabletext1"/>
              <w:ind w:left="0"/>
              <w:rPr>
                <w:rFonts w:cs="Calibri"/>
                <w:color w:val="000000"/>
              </w:rPr>
            </w:pPr>
            <w:r w:rsidRPr="00E81CF8">
              <w:t>$106,839</w:t>
            </w:r>
          </w:p>
        </w:tc>
        <w:tc>
          <w:tcPr>
            <w:tcW w:w="472" w:type="pct"/>
            <w:noWrap/>
            <w:hideMark/>
          </w:tcPr>
          <w:p w14:paraId="7ADEAED8" w14:textId="04A438DA" w:rsidR="00F228BC" w:rsidRPr="005F76D9" w:rsidRDefault="00F228BC" w:rsidP="00F228BC">
            <w:pPr>
              <w:pStyle w:val="Tabletext1"/>
              <w:ind w:left="0"/>
              <w:rPr>
                <w:rFonts w:cs="Calibri"/>
                <w:color w:val="000000"/>
              </w:rPr>
            </w:pPr>
            <w:r w:rsidRPr="00E81CF8">
              <w:t>1.0259</w:t>
            </w:r>
          </w:p>
        </w:tc>
        <w:tc>
          <w:tcPr>
            <w:tcW w:w="550" w:type="pct"/>
            <w:noWrap/>
            <w:hideMark/>
          </w:tcPr>
          <w:p w14:paraId="4BE6A109" w14:textId="61732F6E" w:rsidR="00F228BC" w:rsidRPr="005F76D9" w:rsidRDefault="00F228BC" w:rsidP="00F228BC">
            <w:pPr>
              <w:pStyle w:val="Tabletext1"/>
              <w:ind w:left="0"/>
              <w:rPr>
                <w:rFonts w:cs="Calibri"/>
                <w:color w:val="000000"/>
              </w:rPr>
            </w:pPr>
            <w:r w:rsidRPr="00E81CF8">
              <w:t>$104,145</w:t>
            </w:r>
          </w:p>
        </w:tc>
        <w:tc>
          <w:tcPr>
            <w:tcW w:w="522" w:type="pct"/>
            <w:noWrap/>
            <w:hideMark/>
          </w:tcPr>
          <w:p w14:paraId="69BCA6D1" w14:textId="6FE47780" w:rsidR="00F228BC" w:rsidRPr="005F76D9" w:rsidRDefault="00F228BC" w:rsidP="00F228BC">
            <w:pPr>
              <w:pStyle w:val="Tabletext1"/>
              <w:ind w:left="0"/>
              <w:rPr>
                <w:rFonts w:cs="Calibri"/>
                <w:color w:val="000000"/>
              </w:rPr>
            </w:pPr>
            <w:r w:rsidRPr="00E81CF8">
              <w:t>12%</w:t>
            </w:r>
          </w:p>
        </w:tc>
      </w:tr>
      <w:tr w:rsidR="00F228BC" w:rsidRPr="005F76D9" w14:paraId="6F2B813C" w14:textId="77777777" w:rsidTr="00501DD7">
        <w:trPr>
          <w:trHeight w:val="255"/>
        </w:trPr>
        <w:tc>
          <w:tcPr>
            <w:tcW w:w="2906" w:type="pct"/>
            <w:tcBorders>
              <w:bottom w:val="single" w:sz="4" w:space="0" w:color="auto"/>
            </w:tcBorders>
            <w:noWrap/>
            <w:hideMark/>
          </w:tcPr>
          <w:p w14:paraId="2FC8346B" w14:textId="77777777" w:rsidR="00F228BC" w:rsidRPr="005F76D9" w:rsidRDefault="00F228BC" w:rsidP="00F228BC">
            <w:pPr>
              <w:pStyle w:val="Tabletext1"/>
              <w:ind w:left="0"/>
              <w:rPr>
                <w:rFonts w:cs="Calibri"/>
                <w:color w:val="000000"/>
              </w:rPr>
            </w:pPr>
            <w:r w:rsidRPr="005F76D9">
              <w:rPr>
                <w:rFonts w:cs="Calibri"/>
                <w:color w:val="000000"/>
              </w:rPr>
              <w:t>7 years</w:t>
            </w:r>
          </w:p>
        </w:tc>
        <w:tc>
          <w:tcPr>
            <w:tcW w:w="550" w:type="pct"/>
            <w:tcBorders>
              <w:bottom w:val="single" w:sz="4" w:space="0" w:color="auto"/>
            </w:tcBorders>
            <w:noWrap/>
            <w:hideMark/>
          </w:tcPr>
          <w:p w14:paraId="2E8FB301" w14:textId="0B19F974" w:rsidR="00F228BC" w:rsidRPr="005F76D9" w:rsidRDefault="00F228BC" w:rsidP="00F228BC">
            <w:pPr>
              <w:pStyle w:val="Tabletext1"/>
              <w:ind w:left="0"/>
              <w:rPr>
                <w:rFonts w:cs="Calibri"/>
                <w:color w:val="000000"/>
              </w:rPr>
            </w:pPr>
            <w:r w:rsidRPr="00E81CF8">
              <w:t>$130,976</w:t>
            </w:r>
          </w:p>
        </w:tc>
        <w:tc>
          <w:tcPr>
            <w:tcW w:w="472" w:type="pct"/>
            <w:tcBorders>
              <w:bottom w:val="single" w:sz="4" w:space="0" w:color="auto"/>
            </w:tcBorders>
            <w:noWrap/>
            <w:hideMark/>
          </w:tcPr>
          <w:p w14:paraId="59D307CD" w14:textId="16DCC769" w:rsidR="00F228BC" w:rsidRPr="005F76D9" w:rsidRDefault="00F228BC" w:rsidP="00F228BC">
            <w:pPr>
              <w:pStyle w:val="Tabletext1"/>
              <w:ind w:left="0"/>
              <w:rPr>
                <w:rFonts w:cs="Calibri"/>
                <w:color w:val="000000"/>
              </w:rPr>
            </w:pPr>
            <w:r w:rsidRPr="00E81CF8">
              <w:t>1.3438</w:t>
            </w:r>
          </w:p>
        </w:tc>
        <w:tc>
          <w:tcPr>
            <w:tcW w:w="550" w:type="pct"/>
            <w:tcBorders>
              <w:bottom w:val="single" w:sz="4" w:space="0" w:color="auto"/>
            </w:tcBorders>
            <w:noWrap/>
            <w:hideMark/>
          </w:tcPr>
          <w:p w14:paraId="0FDF2688" w14:textId="19ABE6A0" w:rsidR="00F228BC" w:rsidRPr="005F76D9" w:rsidRDefault="00F228BC" w:rsidP="00F228BC">
            <w:pPr>
              <w:pStyle w:val="Tabletext1"/>
              <w:ind w:left="0"/>
              <w:rPr>
                <w:rFonts w:cs="Calibri"/>
                <w:color w:val="000000"/>
              </w:rPr>
            </w:pPr>
            <w:r w:rsidRPr="00E81CF8">
              <w:t>$97,465</w:t>
            </w:r>
          </w:p>
        </w:tc>
        <w:tc>
          <w:tcPr>
            <w:tcW w:w="522" w:type="pct"/>
            <w:tcBorders>
              <w:bottom w:val="single" w:sz="4" w:space="0" w:color="auto"/>
            </w:tcBorders>
            <w:noWrap/>
            <w:hideMark/>
          </w:tcPr>
          <w:p w14:paraId="7ED5E7D3" w14:textId="140CD311" w:rsidR="00F228BC" w:rsidRPr="005F76D9" w:rsidRDefault="00F228BC" w:rsidP="00F228BC">
            <w:pPr>
              <w:pStyle w:val="Tabletext1"/>
              <w:ind w:left="0"/>
              <w:rPr>
                <w:rFonts w:cs="Calibri"/>
                <w:color w:val="000000"/>
              </w:rPr>
            </w:pPr>
            <w:r w:rsidRPr="00E81CF8">
              <w:t>5%</w:t>
            </w:r>
          </w:p>
        </w:tc>
      </w:tr>
      <w:tr w:rsidR="00F228BC" w:rsidRPr="005F76D9" w14:paraId="497D042F" w14:textId="77777777" w:rsidTr="00501DD7">
        <w:trPr>
          <w:trHeight w:val="255"/>
        </w:trPr>
        <w:tc>
          <w:tcPr>
            <w:tcW w:w="2906" w:type="pct"/>
            <w:tcBorders>
              <w:bottom w:val="single" w:sz="4" w:space="0" w:color="auto"/>
              <w:right w:val="nil"/>
            </w:tcBorders>
            <w:noWrap/>
            <w:hideMark/>
          </w:tcPr>
          <w:p w14:paraId="7309D71A" w14:textId="77777777" w:rsidR="00F228BC" w:rsidRPr="005F76D9" w:rsidRDefault="00F228BC" w:rsidP="00F228BC">
            <w:pPr>
              <w:pStyle w:val="Tabletext1"/>
              <w:ind w:left="0"/>
              <w:rPr>
                <w:rFonts w:cs="Calibri"/>
                <w:b/>
                <w:bCs/>
                <w:color w:val="000000"/>
              </w:rPr>
            </w:pPr>
            <w:r w:rsidRPr="005F76D9">
              <w:rPr>
                <w:rFonts w:cs="Calibri"/>
                <w:b/>
                <w:bCs/>
                <w:color w:val="000000"/>
              </w:rPr>
              <w:t>Demographics</w:t>
            </w:r>
          </w:p>
        </w:tc>
        <w:tc>
          <w:tcPr>
            <w:tcW w:w="550" w:type="pct"/>
            <w:tcBorders>
              <w:left w:val="nil"/>
              <w:bottom w:val="single" w:sz="4" w:space="0" w:color="auto"/>
              <w:right w:val="nil"/>
            </w:tcBorders>
            <w:noWrap/>
            <w:hideMark/>
          </w:tcPr>
          <w:p w14:paraId="5B8DE778" w14:textId="77777777" w:rsidR="00F228BC" w:rsidRPr="005F76D9" w:rsidRDefault="00F228BC" w:rsidP="00F228BC">
            <w:pPr>
              <w:pStyle w:val="Tabletext1"/>
              <w:ind w:left="0"/>
              <w:rPr>
                <w:rFonts w:cs="Calibri"/>
                <w:b/>
                <w:bCs/>
                <w:color w:val="000000"/>
              </w:rPr>
            </w:pPr>
          </w:p>
        </w:tc>
        <w:tc>
          <w:tcPr>
            <w:tcW w:w="472" w:type="pct"/>
            <w:tcBorders>
              <w:left w:val="nil"/>
              <w:bottom w:val="single" w:sz="4" w:space="0" w:color="auto"/>
              <w:right w:val="nil"/>
            </w:tcBorders>
            <w:noWrap/>
            <w:hideMark/>
          </w:tcPr>
          <w:p w14:paraId="6DF5DD81" w14:textId="77777777" w:rsidR="00F228BC" w:rsidRPr="005F76D9" w:rsidRDefault="00F228BC" w:rsidP="00F228BC">
            <w:pPr>
              <w:pStyle w:val="Tabletext1"/>
              <w:ind w:left="0"/>
            </w:pPr>
          </w:p>
        </w:tc>
        <w:tc>
          <w:tcPr>
            <w:tcW w:w="550" w:type="pct"/>
            <w:tcBorders>
              <w:left w:val="nil"/>
              <w:bottom w:val="single" w:sz="4" w:space="0" w:color="auto"/>
              <w:right w:val="nil"/>
            </w:tcBorders>
            <w:noWrap/>
            <w:hideMark/>
          </w:tcPr>
          <w:p w14:paraId="0C3F81D2" w14:textId="77777777" w:rsidR="00F228BC" w:rsidRPr="005F76D9" w:rsidRDefault="00F228BC" w:rsidP="00F228BC">
            <w:pPr>
              <w:pStyle w:val="Tabletext1"/>
              <w:ind w:left="0"/>
            </w:pPr>
          </w:p>
        </w:tc>
        <w:tc>
          <w:tcPr>
            <w:tcW w:w="522" w:type="pct"/>
            <w:tcBorders>
              <w:left w:val="nil"/>
              <w:bottom w:val="single" w:sz="4" w:space="0" w:color="auto"/>
            </w:tcBorders>
            <w:noWrap/>
            <w:hideMark/>
          </w:tcPr>
          <w:p w14:paraId="7B6414C0" w14:textId="77777777" w:rsidR="00F228BC" w:rsidRPr="005F76D9" w:rsidRDefault="00F228BC" w:rsidP="00F228BC">
            <w:pPr>
              <w:pStyle w:val="Tabletext1"/>
              <w:ind w:left="0"/>
              <w:rPr>
                <w:rFonts w:cs="Calibri"/>
                <w:color w:val="000000"/>
              </w:rPr>
            </w:pPr>
          </w:p>
        </w:tc>
      </w:tr>
      <w:tr w:rsidR="00F228BC" w:rsidRPr="005F76D9" w14:paraId="1871FAFF" w14:textId="77777777" w:rsidTr="00501DD7">
        <w:trPr>
          <w:trHeight w:val="255"/>
        </w:trPr>
        <w:tc>
          <w:tcPr>
            <w:tcW w:w="2906" w:type="pct"/>
            <w:tcBorders>
              <w:right w:val="nil"/>
            </w:tcBorders>
            <w:noWrap/>
            <w:hideMark/>
          </w:tcPr>
          <w:p w14:paraId="5C16516B" w14:textId="77777777" w:rsidR="00F228BC" w:rsidRPr="005F76D9" w:rsidRDefault="00F228BC" w:rsidP="00F228BC">
            <w:pPr>
              <w:pStyle w:val="Tabletext1"/>
              <w:ind w:left="0"/>
              <w:rPr>
                <w:rFonts w:cs="Calibri"/>
                <w:color w:val="000000"/>
              </w:rPr>
            </w:pPr>
            <w:r w:rsidRPr="005F76D9">
              <w:rPr>
                <w:rFonts w:cs="Calibri"/>
                <w:color w:val="000000"/>
              </w:rPr>
              <w:t>Mean patient weight, base-case 78 Kg</w:t>
            </w:r>
          </w:p>
        </w:tc>
        <w:tc>
          <w:tcPr>
            <w:tcW w:w="550" w:type="pct"/>
            <w:tcBorders>
              <w:left w:val="nil"/>
              <w:right w:val="nil"/>
            </w:tcBorders>
            <w:noWrap/>
            <w:hideMark/>
          </w:tcPr>
          <w:p w14:paraId="5F3E679C" w14:textId="77777777" w:rsidR="00F228BC" w:rsidRPr="005F76D9" w:rsidRDefault="00F228BC" w:rsidP="00F228BC">
            <w:pPr>
              <w:pStyle w:val="Tabletext1"/>
              <w:ind w:left="0"/>
              <w:rPr>
                <w:rFonts w:cs="Calibri"/>
                <w:color w:val="000000"/>
              </w:rPr>
            </w:pPr>
          </w:p>
        </w:tc>
        <w:tc>
          <w:tcPr>
            <w:tcW w:w="472" w:type="pct"/>
            <w:tcBorders>
              <w:left w:val="nil"/>
              <w:right w:val="nil"/>
            </w:tcBorders>
            <w:noWrap/>
            <w:hideMark/>
          </w:tcPr>
          <w:p w14:paraId="7819C188" w14:textId="77777777" w:rsidR="00F228BC" w:rsidRPr="005F76D9" w:rsidRDefault="00F228BC" w:rsidP="00F228BC">
            <w:pPr>
              <w:pStyle w:val="Tabletext1"/>
              <w:ind w:left="0"/>
            </w:pPr>
          </w:p>
        </w:tc>
        <w:tc>
          <w:tcPr>
            <w:tcW w:w="550" w:type="pct"/>
            <w:tcBorders>
              <w:left w:val="nil"/>
              <w:right w:val="nil"/>
            </w:tcBorders>
            <w:noWrap/>
            <w:hideMark/>
          </w:tcPr>
          <w:p w14:paraId="0F2273E6" w14:textId="77777777" w:rsidR="00F228BC" w:rsidRPr="005F76D9" w:rsidRDefault="00F228BC" w:rsidP="00F228BC">
            <w:pPr>
              <w:pStyle w:val="Tabletext1"/>
              <w:ind w:left="0"/>
            </w:pPr>
          </w:p>
        </w:tc>
        <w:tc>
          <w:tcPr>
            <w:tcW w:w="522" w:type="pct"/>
            <w:tcBorders>
              <w:left w:val="nil"/>
            </w:tcBorders>
            <w:noWrap/>
            <w:hideMark/>
          </w:tcPr>
          <w:p w14:paraId="37C4EAD7" w14:textId="77777777" w:rsidR="00F228BC" w:rsidRPr="005F76D9" w:rsidRDefault="00F228BC" w:rsidP="00F228BC">
            <w:pPr>
              <w:pStyle w:val="Tabletext1"/>
              <w:ind w:left="0"/>
              <w:rPr>
                <w:rFonts w:cs="Calibri"/>
                <w:color w:val="000000"/>
              </w:rPr>
            </w:pPr>
          </w:p>
        </w:tc>
      </w:tr>
      <w:tr w:rsidR="00F228BC" w:rsidRPr="005F76D9" w14:paraId="59ED672F" w14:textId="77777777" w:rsidTr="00501DD7">
        <w:trPr>
          <w:trHeight w:val="255"/>
        </w:trPr>
        <w:tc>
          <w:tcPr>
            <w:tcW w:w="2906" w:type="pct"/>
            <w:tcBorders>
              <w:bottom w:val="single" w:sz="4" w:space="0" w:color="auto"/>
            </w:tcBorders>
            <w:noWrap/>
            <w:hideMark/>
          </w:tcPr>
          <w:p w14:paraId="67B6C7A6" w14:textId="77777777" w:rsidR="00F228BC" w:rsidRPr="005F76D9" w:rsidRDefault="00F228BC" w:rsidP="00F228BC">
            <w:pPr>
              <w:pStyle w:val="Tabletext1"/>
              <w:ind w:left="0"/>
              <w:rPr>
                <w:rFonts w:cs="Calibri"/>
                <w:color w:val="000000"/>
              </w:rPr>
            </w:pPr>
            <w:r w:rsidRPr="005F76D9">
              <w:rPr>
                <w:rFonts w:cs="Calibri"/>
                <w:color w:val="000000"/>
              </w:rPr>
              <w:t>Mean patient weight - 83.62 Kg (BloodStar summary data)</w:t>
            </w:r>
          </w:p>
        </w:tc>
        <w:tc>
          <w:tcPr>
            <w:tcW w:w="550" w:type="pct"/>
            <w:tcBorders>
              <w:bottom w:val="single" w:sz="4" w:space="0" w:color="auto"/>
            </w:tcBorders>
            <w:noWrap/>
            <w:hideMark/>
          </w:tcPr>
          <w:p w14:paraId="6A16224A" w14:textId="59ED37C8" w:rsidR="00F228BC" w:rsidRPr="005F76D9" w:rsidRDefault="00F228BC" w:rsidP="00F228BC">
            <w:pPr>
              <w:pStyle w:val="Tabletext1"/>
              <w:ind w:left="0"/>
              <w:rPr>
                <w:rFonts w:cs="Calibri"/>
                <w:color w:val="000000"/>
              </w:rPr>
            </w:pPr>
            <w:r w:rsidRPr="00E81CF8">
              <w:t>$169,031</w:t>
            </w:r>
          </w:p>
        </w:tc>
        <w:tc>
          <w:tcPr>
            <w:tcW w:w="472" w:type="pct"/>
            <w:tcBorders>
              <w:bottom w:val="single" w:sz="4" w:space="0" w:color="auto"/>
            </w:tcBorders>
            <w:noWrap/>
            <w:hideMark/>
          </w:tcPr>
          <w:p w14:paraId="6E2E5BCE" w14:textId="1C86FDDC" w:rsidR="00F228BC" w:rsidRPr="005F76D9" w:rsidRDefault="00F228BC" w:rsidP="00F228BC">
            <w:pPr>
              <w:pStyle w:val="Tabletext1"/>
              <w:ind w:left="0"/>
              <w:rPr>
                <w:rFonts w:cs="Calibri"/>
                <w:color w:val="000000"/>
              </w:rPr>
            </w:pPr>
            <w:r w:rsidRPr="00E81CF8">
              <w:t>1.7162</w:t>
            </w:r>
          </w:p>
        </w:tc>
        <w:tc>
          <w:tcPr>
            <w:tcW w:w="550" w:type="pct"/>
            <w:tcBorders>
              <w:bottom w:val="single" w:sz="4" w:space="0" w:color="auto"/>
            </w:tcBorders>
            <w:noWrap/>
            <w:hideMark/>
          </w:tcPr>
          <w:p w14:paraId="0384CF66" w14:textId="173937EE" w:rsidR="00F228BC" w:rsidRPr="005F76D9" w:rsidRDefault="00F228BC" w:rsidP="00F228BC">
            <w:pPr>
              <w:pStyle w:val="Tabletext1"/>
              <w:ind w:left="0"/>
              <w:rPr>
                <w:rFonts w:cs="Calibri"/>
                <w:color w:val="000000"/>
              </w:rPr>
            </w:pPr>
            <w:r w:rsidRPr="00E81CF8">
              <w:t>$98,494</w:t>
            </w:r>
          </w:p>
        </w:tc>
        <w:tc>
          <w:tcPr>
            <w:tcW w:w="522" w:type="pct"/>
            <w:tcBorders>
              <w:bottom w:val="single" w:sz="4" w:space="0" w:color="auto"/>
            </w:tcBorders>
            <w:noWrap/>
            <w:hideMark/>
          </w:tcPr>
          <w:p w14:paraId="19151C5A" w14:textId="3078E56D" w:rsidR="00F228BC" w:rsidRPr="005F76D9" w:rsidRDefault="00F228BC" w:rsidP="00F228BC">
            <w:pPr>
              <w:pStyle w:val="Tabletext1"/>
              <w:ind w:left="0"/>
              <w:rPr>
                <w:rFonts w:cs="Calibri"/>
                <w:color w:val="000000"/>
              </w:rPr>
            </w:pPr>
            <w:r w:rsidRPr="00E81CF8">
              <w:t>6%</w:t>
            </w:r>
          </w:p>
        </w:tc>
      </w:tr>
      <w:tr w:rsidR="00F228BC" w:rsidRPr="005F76D9" w14:paraId="6EB0DEFD" w14:textId="77777777" w:rsidTr="00501DD7">
        <w:trPr>
          <w:trHeight w:val="255"/>
        </w:trPr>
        <w:tc>
          <w:tcPr>
            <w:tcW w:w="2906" w:type="pct"/>
            <w:tcBorders>
              <w:right w:val="nil"/>
            </w:tcBorders>
            <w:noWrap/>
            <w:hideMark/>
          </w:tcPr>
          <w:p w14:paraId="039C62A6" w14:textId="77777777" w:rsidR="00F228BC" w:rsidRPr="005F76D9" w:rsidRDefault="00F228BC" w:rsidP="00F228BC">
            <w:pPr>
              <w:pStyle w:val="Tabletext1"/>
              <w:ind w:left="0"/>
              <w:rPr>
                <w:rFonts w:cs="Calibri"/>
                <w:color w:val="000000"/>
              </w:rPr>
            </w:pPr>
            <w:r w:rsidRPr="005F76D9">
              <w:rPr>
                <w:rFonts w:cs="Calibri"/>
                <w:color w:val="000000"/>
              </w:rPr>
              <w:t>Mean patient age (base case: 65 years)</w:t>
            </w:r>
          </w:p>
        </w:tc>
        <w:tc>
          <w:tcPr>
            <w:tcW w:w="550" w:type="pct"/>
            <w:tcBorders>
              <w:left w:val="nil"/>
              <w:right w:val="nil"/>
            </w:tcBorders>
            <w:noWrap/>
            <w:hideMark/>
          </w:tcPr>
          <w:p w14:paraId="2181355A" w14:textId="77777777" w:rsidR="00F228BC" w:rsidRPr="005F76D9" w:rsidRDefault="00F228BC" w:rsidP="00F228BC">
            <w:pPr>
              <w:pStyle w:val="Tabletext1"/>
              <w:ind w:left="0"/>
              <w:rPr>
                <w:rFonts w:cs="Calibri"/>
                <w:color w:val="000000"/>
              </w:rPr>
            </w:pPr>
          </w:p>
        </w:tc>
        <w:tc>
          <w:tcPr>
            <w:tcW w:w="472" w:type="pct"/>
            <w:tcBorders>
              <w:left w:val="nil"/>
              <w:right w:val="nil"/>
            </w:tcBorders>
            <w:noWrap/>
            <w:hideMark/>
          </w:tcPr>
          <w:p w14:paraId="74E87643" w14:textId="77777777" w:rsidR="00F228BC" w:rsidRPr="005F76D9" w:rsidRDefault="00F228BC" w:rsidP="00F228BC">
            <w:pPr>
              <w:pStyle w:val="Tabletext1"/>
              <w:ind w:left="0"/>
            </w:pPr>
          </w:p>
        </w:tc>
        <w:tc>
          <w:tcPr>
            <w:tcW w:w="550" w:type="pct"/>
            <w:tcBorders>
              <w:left w:val="nil"/>
              <w:right w:val="nil"/>
            </w:tcBorders>
            <w:noWrap/>
            <w:hideMark/>
          </w:tcPr>
          <w:p w14:paraId="150DEDDD" w14:textId="77777777" w:rsidR="00F228BC" w:rsidRPr="005F76D9" w:rsidRDefault="00F228BC" w:rsidP="00F228BC">
            <w:pPr>
              <w:pStyle w:val="Tabletext1"/>
              <w:ind w:left="0"/>
            </w:pPr>
          </w:p>
        </w:tc>
        <w:tc>
          <w:tcPr>
            <w:tcW w:w="522" w:type="pct"/>
            <w:tcBorders>
              <w:left w:val="nil"/>
            </w:tcBorders>
            <w:noWrap/>
            <w:hideMark/>
          </w:tcPr>
          <w:p w14:paraId="526B0523" w14:textId="77777777" w:rsidR="00F228BC" w:rsidRPr="005F76D9" w:rsidRDefault="00F228BC" w:rsidP="00F228BC">
            <w:pPr>
              <w:pStyle w:val="Tabletext1"/>
              <w:ind w:left="0"/>
              <w:rPr>
                <w:rFonts w:cs="Calibri"/>
                <w:color w:val="000000"/>
              </w:rPr>
            </w:pPr>
          </w:p>
        </w:tc>
      </w:tr>
      <w:tr w:rsidR="00F228BC" w:rsidRPr="005F76D9" w14:paraId="73D638B3" w14:textId="77777777" w:rsidTr="00501DD7">
        <w:trPr>
          <w:trHeight w:val="255"/>
        </w:trPr>
        <w:tc>
          <w:tcPr>
            <w:tcW w:w="2906" w:type="pct"/>
            <w:noWrap/>
            <w:hideMark/>
          </w:tcPr>
          <w:p w14:paraId="1267707F" w14:textId="77777777" w:rsidR="00F228BC" w:rsidRPr="005F76D9" w:rsidRDefault="00F228BC" w:rsidP="00F228BC">
            <w:pPr>
              <w:pStyle w:val="Tabletext1"/>
              <w:ind w:left="0"/>
              <w:rPr>
                <w:rFonts w:cs="Calibri"/>
                <w:color w:val="000000"/>
              </w:rPr>
            </w:pPr>
            <w:r w:rsidRPr="005F76D9">
              <w:rPr>
                <w:rFonts w:cs="Calibri"/>
                <w:color w:val="000000"/>
              </w:rPr>
              <w:t>50 years</w:t>
            </w:r>
          </w:p>
        </w:tc>
        <w:tc>
          <w:tcPr>
            <w:tcW w:w="550" w:type="pct"/>
            <w:noWrap/>
            <w:hideMark/>
          </w:tcPr>
          <w:p w14:paraId="255370DC" w14:textId="73DCA3CC" w:rsidR="00F228BC" w:rsidRPr="005F76D9" w:rsidRDefault="00F228BC" w:rsidP="00F228BC">
            <w:pPr>
              <w:pStyle w:val="Tabletext1"/>
              <w:ind w:left="0"/>
              <w:rPr>
                <w:rFonts w:cs="Calibri"/>
                <w:color w:val="000000"/>
              </w:rPr>
            </w:pPr>
            <w:r w:rsidRPr="00E81CF8">
              <w:t>$163,800</w:t>
            </w:r>
          </w:p>
        </w:tc>
        <w:tc>
          <w:tcPr>
            <w:tcW w:w="472" w:type="pct"/>
            <w:noWrap/>
            <w:hideMark/>
          </w:tcPr>
          <w:p w14:paraId="0D1D6EA8" w14:textId="6A31BEFC" w:rsidR="00F228BC" w:rsidRPr="005F76D9" w:rsidRDefault="00F228BC" w:rsidP="00F228BC">
            <w:pPr>
              <w:pStyle w:val="Tabletext1"/>
              <w:ind w:left="0"/>
              <w:rPr>
                <w:rFonts w:cs="Calibri"/>
                <w:color w:val="000000"/>
              </w:rPr>
            </w:pPr>
            <w:r w:rsidRPr="00E81CF8">
              <w:t>1.8870</w:t>
            </w:r>
          </w:p>
        </w:tc>
        <w:tc>
          <w:tcPr>
            <w:tcW w:w="550" w:type="pct"/>
            <w:noWrap/>
            <w:hideMark/>
          </w:tcPr>
          <w:p w14:paraId="3D2AE87E" w14:textId="5E0F4864" w:rsidR="00F228BC" w:rsidRPr="005F76D9" w:rsidRDefault="00F228BC" w:rsidP="00F228BC">
            <w:pPr>
              <w:pStyle w:val="Tabletext1"/>
              <w:ind w:left="0"/>
              <w:rPr>
                <w:rFonts w:cs="Calibri"/>
                <w:color w:val="000000"/>
              </w:rPr>
            </w:pPr>
            <w:r w:rsidRPr="00E81CF8">
              <w:t>$86,803</w:t>
            </w:r>
          </w:p>
        </w:tc>
        <w:tc>
          <w:tcPr>
            <w:tcW w:w="522" w:type="pct"/>
            <w:noWrap/>
            <w:hideMark/>
          </w:tcPr>
          <w:p w14:paraId="3225EBDD" w14:textId="730CA768" w:rsidR="00F228BC" w:rsidRPr="005F76D9" w:rsidRDefault="00F228BC" w:rsidP="00F228BC">
            <w:pPr>
              <w:pStyle w:val="Tabletext1"/>
              <w:ind w:left="0"/>
              <w:rPr>
                <w:rFonts w:cs="Calibri"/>
                <w:color w:val="000000"/>
              </w:rPr>
            </w:pPr>
            <w:r w:rsidRPr="00E81CF8">
              <w:t>-7%</w:t>
            </w:r>
          </w:p>
        </w:tc>
      </w:tr>
      <w:tr w:rsidR="00F228BC" w:rsidRPr="005F76D9" w14:paraId="368F1BDD" w14:textId="77777777" w:rsidTr="00501DD7">
        <w:trPr>
          <w:trHeight w:val="255"/>
        </w:trPr>
        <w:tc>
          <w:tcPr>
            <w:tcW w:w="2906" w:type="pct"/>
            <w:noWrap/>
            <w:hideMark/>
          </w:tcPr>
          <w:p w14:paraId="7C4A2CCD" w14:textId="77777777" w:rsidR="00F228BC" w:rsidRPr="005F76D9" w:rsidRDefault="00F228BC" w:rsidP="00F228BC">
            <w:pPr>
              <w:pStyle w:val="Tabletext1"/>
              <w:ind w:left="0"/>
              <w:rPr>
                <w:rFonts w:cs="Calibri"/>
                <w:color w:val="000000"/>
              </w:rPr>
            </w:pPr>
            <w:r w:rsidRPr="005F76D9">
              <w:rPr>
                <w:rFonts w:cs="Calibri"/>
                <w:color w:val="000000"/>
              </w:rPr>
              <w:t>55 years</w:t>
            </w:r>
          </w:p>
        </w:tc>
        <w:tc>
          <w:tcPr>
            <w:tcW w:w="550" w:type="pct"/>
            <w:noWrap/>
            <w:hideMark/>
          </w:tcPr>
          <w:p w14:paraId="44A5A564" w14:textId="7706DFA3" w:rsidR="00F228BC" w:rsidRPr="005F76D9" w:rsidRDefault="00F228BC" w:rsidP="00F228BC">
            <w:pPr>
              <w:pStyle w:val="Tabletext1"/>
              <w:ind w:left="0"/>
              <w:rPr>
                <w:rFonts w:cs="Calibri"/>
                <w:color w:val="000000"/>
              </w:rPr>
            </w:pPr>
            <w:r w:rsidRPr="00E81CF8">
              <w:t>$162,908</w:t>
            </w:r>
          </w:p>
        </w:tc>
        <w:tc>
          <w:tcPr>
            <w:tcW w:w="472" w:type="pct"/>
            <w:noWrap/>
            <w:hideMark/>
          </w:tcPr>
          <w:p w14:paraId="21C6BCFB" w14:textId="6C8FBA57" w:rsidR="00F228BC" w:rsidRPr="005F76D9" w:rsidRDefault="00F228BC" w:rsidP="00F228BC">
            <w:pPr>
              <w:pStyle w:val="Tabletext1"/>
              <w:ind w:left="0"/>
              <w:rPr>
                <w:rFonts w:cs="Calibri"/>
                <w:color w:val="000000"/>
              </w:rPr>
            </w:pPr>
            <w:r w:rsidRPr="00E81CF8">
              <w:t>1.8445</w:t>
            </w:r>
          </w:p>
        </w:tc>
        <w:tc>
          <w:tcPr>
            <w:tcW w:w="550" w:type="pct"/>
            <w:noWrap/>
            <w:hideMark/>
          </w:tcPr>
          <w:p w14:paraId="604C9FE1" w14:textId="6C64F116" w:rsidR="00F228BC" w:rsidRPr="005F76D9" w:rsidRDefault="00F228BC" w:rsidP="00F228BC">
            <w:pPr>
              <w:pStyle w:val="Tabletext1"/>
              <w:ind w:left="0"/>
              <w:rPr>
                <w:rFonts w:cs="Calibri"/>
                <w:color w:val="000000"/>
              </w:rPr>
            </w:pPr>
            <w:r w:rsidRPr="00E81CF8">
              <w:t>$88,322</w:t>
            </w:r>
          </w:p>
        </w:tc>
        <w:tc>
          <w:tcPr>
            <w:tcW w:w="522" w:type="pct"/>
            <w:noWrap/>
            <w:hideMark/>
          </w:tcPr>
          <w:p w14:paraId="769E6B81" w14:textId="466B7F0E" w:rsidR="00F228BC" w:rsidRPr="005F76D9" w:rsidRDefault="00F228BC" w:rsidP="00F228BC">
            <w:pPr>
              <w:pStyle w:val="Tabletext1"/>
              <w:ind w:left="0"/>
              <w:rPr>
                <w:rFonts w:cs="Calibri"/>
                <w:color w:val="000000"/>
              </w:rPr>
            </w:pPr>
            <w:r w:rsidRPr="00E81CF8">
              <w:t>-5%</w:t>
            </w:r>
          </w:p>
        </w:tc>
      </w:tr>
      <w:tr w:rsidR="00F228BC" w:rsidRPr="005F76D9" w14:paraId="1609E5E9" w14:textId="77777777" w:rsidTr="00501DD7">
        <w:trPr>
          <w:trHeight w:val="255"/>
        </w:trPr>
        <w:tc>
          <w:tcPr>
            <w:tcW w:w="2906" w:type="pct"/>
            <w:tcBorders>
              <w:bottom w:val="single" w:sz="4" w:space="0" w:color="auto"/>
            </w:tcBorders>
            <w:noWrap/>
            <w:hideMark/>
          </w:tcPr>
          <w:p w14:paraId="2B2CCB9F" w14:textId="77777777" w:rsidR="00F228BC" w:rsidRPr="005F76D9" w:rsidRDefault="00F228BC" w:rsidP="00F228BC">
            <w:pPr>
              <w:pStyle w:val="Tabletext1"/>
              <w:ind w:left="0"/>
              <w:rPr>
                <w:rFonts w:cs="Calibri"/>
                <w:color w:val="000000"/>
              </w:rPr>
            </w:pPr>
            <w:r w:rsidRPr="005F76D9">
              <w:rPr>
                <w:rFonts w:cs="Calibri"/>
                <w:color w:val="000000"/>
              </w:rPr>
              <w:t>60 years</w:t>
            </w:r>
          </w:p>
        </w:tc>
        <w:tc>
          <w:tcPr>
            <w:tcW w:w="550" w:type="pct"/>
            <w:tcBorders>
              <w:bottom w:val="single" w:sz="4" w:space="0" w:color="auto"/>
            </w:tcBorders>
            <w:noWrap/>
            <w:hideMark/>
          </w:tcPr>
          <w:p w14:paraId="708C6089" w14:textId="0D529231" w:rsidR="00F228BC" w:rsidRPr="005F76D9" w:rsidRDefault="00F228BC" w:rsidP="00F228BC">
            <w:pPr>
              <w:pStyle w:val="Tabletext1"/>
              <w:ind w:left="0"/>
              <w:rPr>
                <w:rFonts w:cs="Calibri"/>
                <w:color w:val="000000"/>
              </w:rPr>
            </w:pPr>
            <w:r w:rsidRPr="00E81CF8">
              <w:t>$161,564</w:t>
            </w:r>
          </w:p>
        </w:tc>
        <w:tc>
          <w:tcPr>
            <w:tcW w:w="472" w:type="pct"/>
            <w:tcBorders>
              <w:bottom w:val="single" w:sz="4" w:space="0" w:color="auto"/>
            </w:tcBorders>
            <w:noWrap/>
            <w:hideMark/>
          </w:tcPr>
          <w:p w14:paraId="54605670" w14:textId="4341663E" w:rsidR="00F228BC" w:rsidRPr="005F76D9" w:rsidRDefault="00F228BC" w:rsidP="00F228BC">
            <w:pPr>
              <w:pStyle w:val="Tabletext1"/>
              <w:ind w:left="0"/>
              <w:rPr>
                <w:rFonts w:cs="Calibri"/>
                <w:color w:val="000000"/>
              </w:rPr>
            </w:pPr>
            <w:r w:rsidRPr="00E81CF8">
              <w:t>1.7840</w:t>
            </w:r>
          </w:p>
        </w:tc>
        <w:tc>
          <w:tcPr>
            <w:tcW w:w="550" w:type="pct"/>
            <w:tcBorders>
              <w:bottom w:val="single" w:sz="4" w:space="0" w:color="auto"/>
            </w:tcBorders>
            <w:noWrap/>
            <w:hideMark/>
          </w:tcPr>
          <w:p w14:paraId="0EE0EB78" w14:textId="6CAEE53F" w:rsidR="00F228BC" w:rsidRPr="005F76D9" w:rsidRDefault="00F228BC" w:rsidP="00F228BC">
            <w:pPr>
              <w:pStyle w:val="Tabletext1"/>
              <w:ind w:left="0"/>
              <w:rPr>
                <w:rFonts w:cs="Calibri"/>
                <w:color w:val="000000"/>
              </w:rPr>
            </w:pPr>
            <w:r w:rsidRPr="00E81CF8">
              <w:t>$90,562</w:t>
            </w:r>
          </w:p>
        </w:tc>
        <w:tc>
          <w:tcPr>
            <w:tcW w:w="522" w:type="pct"/>
            <w:tcBorders>
              <w:bottom w:val="single" w:sz="4" w:space="0" w:color="auto"/>
            </w:tcBorders>
            <w:noWrap/>
            <w:hideMark/>
          </w:tcPr>
          <w:p w14:paraId="65B619D5" w14:textId="1568E93A" w:rsidR="00F228BC" w:rsidRPr="005F76D9" w:rsidRDefault="00F228BC" w:rsidP="00F228BC">
            <w:pPr>
              <w:pStyle w:val="Tabletext1"/>
              <w:ind w:left="0"/>
              <w:rPr>
                <w:rFonts w:cs="Calibri"/>
                <w:color w:val="000000"/>
              </w:rPr>
            </w:pPr>
            <w:r w:rsidRPr="00E81CF8">
              <w:t>-3%</w:t>
            </w:r>
          </w:p>
        </w:tc>
      </w:tr>
      <w:tr w:rsidR="00F228BC" w:rsidRPr="005F76D9" w14:paraId="53D6CFAE" w14:textId="77777777" w:rsidTr="00501DD7">
        <w:trPr>
          <w:trHeight w:val="255"/>
        </w:trPr>
        <w:tc>
          <w:tcPr>
            <w:tcW w:w="2906" w:type="pct"/>
            <w:tcBorders>
              <w:right w:val="nil"/>
            </w:tcBorders>
            <w:noWrap/>
            <w:hideMark/>
          </w:tcPr>
          <w:p w14:paraId="14C5D3D8" w14:textId="77777777" w:rsidR="00F228BC" w:rsidRPr="00F819DD" w:rsidRDefault="00F228BC" w:rsidP="00F228BC">
            <w:pPr>
              <w:pStyle w:val="Tabletext1"/>
              <w:ind w:left="0"/>
              <w:rPr>
                <w:rFonts w:cs="Calibri"/>
                <w:b/>
                <w:color w:val="000000"/>
              </w:rPr>
            </w:pPr>
            <w:r w:rsidRPr="00F819DD">
              <w:rPr>
                <w:rFonts w:cs="Calibri"/>
                <w:b/>
                <w:color w:val="000000"/>
              </w:rPr>
              <w:t>Administration costs per infusion (base case: $693)</w:t>
            </w:r>
          </w:p>
        </w:tc>
        <w:tc>
          <w:tcPr>
            <w:tcW w:w="550" w:type="pct"/>
            <w:tcBorders>
              <w:left w:val="nil"/>
              <w:right w:val="nil"/>
            </w:tcBorders>
            <w:noWrap/>
            <w:hideMark/>
          </w:tcPr>
          <w:p w14:paraId="045CC1CA" w14:textId="77777777" w:rsidR="00F228BC" w:rsidRPr="005F76D9" w:rsidRDefault="00F228BC" w:rsidP="00F228BC">
            <w:pPr>
              <w:pStyle w:val="Tabletext1"/>
              <w:ind w:left="0"/>
              <w:rPr>
                <w:rFonts w:cs="Calibri"/>
                <w:color w:val="000000"/>
              </w:rPr>
            </w:pPr>
          </w:p>
        </w:tc>
        <w:tc>
          <w:tcPr>
            <w:tcW w:w="472" w:type="pct"/>
            <w:tcBorders>
              <w:left w:val="nil"/>
              <w:right w:val="nil"/>
            </w:tcBorders>
            <w:noWrap/>
            <w:hideMark/>
          </w:tcPr>
          <w:p w14:paraId="75831E53" w14:textId="77777777" w:rsidR="00F228BC" w:rsidRPr="005F76D9" w:rsidRDefault="00F228BC" w:rsidP="00F228BC">
            <w:pPr>
              <w:pStyle w:val="Tabletext1"/>
              <w:ind w:left="0"/>
            </w:pPr>
          </w:p>
        </w:tc>
        <w:tc>
          <w:tcPr>
            <w:tcW w:w="550" w:type="pct"/>
            <w:tcBorders>
              <w:left w:val="nil"/>
              <w:right w:val="nil"/>
            </w:tcBorders>
            <w:noWrap/>
            <w:hideMark/>
          </w:tcPr>
          <w:p w14:paraId="422F3BFB" w14:textId="77777777" w:rsidR="00F228BC" w:rsidRPr="005F76D9" w:rsidRDefault="00F228BC" w:rsidP="00F228BC">
            <w:pPr>
              <w:pStyle w:val="Tabletext1"/>
              <w:ind w:left="0"/>
            </w:pPr>
          </w:p>
        </w:tc>
        <w:tc>
          <w:tcPr>
            <w:tcW w:w="522" w:type="pct"/>
            <w:tcBorders>
              <w:left w:val="nil"/>
            </w:tcBorders>
            <w:noWrap/>
            <w:hideMark/>
          </w:tcPr>
          <w:p w14:paraId="291CE054" w14:textId="77777777" w:rsidR="00F228BC" w:rsidRPr="005F76D9" w:rsidRDefault="00F228BC" w:rsidP="00F228BC">
            <w:pPr>
              <w:pStyle w:val="Tabletext1"/>
              <w:ind w:left="0"/>
              <w:rPr>
                <w:rFonts w:cs="Calibri"/>
                <w:color w:val="000000"/>
              </w:rPr>
            </w:pPr>
          </w:p>
        </w:tc>
      </w:tr>
      <w:tr w:rsidR="00F228BC" w:rsidRPr="005F76D9" w14:paraId="54A38FBE" w14:textId="77777777" w:rsidTr="00501DD7">
        <w:trPr>
          <w:trHeight w:val="255"/>
        </w:trPr>
        <w:tc>
          <w:tcPr>
            <w:tcW w:w="2906" w:type="pct"/>
            <w:noWrap/>
            <w:hideMark/>
          </w:tcPr>
          <w:p w14:paraId="72EA25E4" w14:textId="77777777" w:rsidR="00F228BC" w:rsidRPr="005F76D9" w:rsidRDefault="00F228BC" w:rsidP="00F228BC">
            <w:pPr>
              <w:pStyle w:val="Tabletext1"/>
              <w:ind w:left="0"/>
              <w:rPr>
                <w:rFonts w:cs="Calibri"/>
                <w:color w:val="000000"/>
              </w:rPr>
            </w:pPr>
            <w:r w:rsidRPr="005F76D9">
              <w:rPr>
                <w:rFonts w:cs="Calibri"/>
                <w:color w:val="000000"/>
              </w:rPr>
              <w:t>$371 (used in the previous DCAR)</w:t>
            </w:r>
          </w:p>
        </w:tc>
        <w:tc>
          <w:tcPr>
            <w:tcW w:w="550" w:type="pct"/>
            <w:noWrap/>
            <w:hideMark/>
          </w:tcPr>
          <w:p w14:paraId="1BBC9A4F" w14:textId="3B7BD681" w:rsidR="00F228BC" w:rsidRPr="005F76D9" w:rsidRDefault="00F228BC" w:rsidP="00F228BC">
            <w:pPr>
              <w:pStyle w:val="Tabletext1"/>
              <w:ind w:left="0"/>
              <w:rPr>
                <w:rFonts w:cs="Calibri"/>
                <w:color w:val="000000"/>
              </w:rPr>
            </w:pPr>
            <w:r w:rsidRPr="00E81CF8">
              <w:t>$146,683</w:t>
            </w:r>
          </w:p>
        </w:tc>
        <w:tc>
          <w:tcPr>
            <w:tcW w:w="472" w:type="pct"/>
            <w:noWrap/>
            <w:hideMark/>
          </w:tcPr>
          <w:p w14:paraId="2D78938E" w14:textId="053F2596" w:rsidR="00F228BC" w:rsidRPr="005F76D9" w:rsidRDefault="00F228BC" w:rsidP="00F228BC">
            <w:pPr>
              <w:pStyle w:val="Tabletext1"/>
              <w:ind w:left="0"/>
              <w:rPr>
                <w:rFonts w:cs="Calibri"/>
                <w:color w:val="000000"/>
              </w:rPr>
            </w:pPr>
            <w:r w:rsidRPr="00E81CF8">
              <w:t>1.7162</w:t>
            </w:r>
          </w:p>
        </w:tc>
        <w:tc>
          <w:tcPr>
            <w:tcW w:w="550" w:type="pct"/>
            <w:noWrap/>
            <w:hideMark/>
          </w:tcPr>
          <w:p w14:paraId="05C173AC" w14:textId="09808B44" w:rsidR="00F228BC" w:rsidRPr="005F76D9" w:rsidRDefault="00F228BC" w:rsidP="00F228BC">
            <w:pPr>
              <w:pStyle w:val="Tabletext1"/>
              <w:ind w:left="0"/>
              <w:rPr>
                <w:rFonts w:cs="Calibri"/>
                <w:color w:val="000000"/>
              </w:rPr>
            </w:pPr>
            <w:r w:rsidRPr="00E81CF8">
              <w:t>$85,472</w:t>
            </w:r>
          </w:p>
        </w:tc>
        <w:tc>
          <w:tcPr>
            <w:tcW w:w="522" w:type="pct"/>
            <w:noWrap/>
            <w:hideMark/>
          </w:tcPr>
          <w:p w14:paraId="697F5317" w14:textId="6B7D99B9" w:rsidR="00F228BC" w:rsidRPr="005F76D9" w:rsidRDefault="00F228BC" w:rsidP="00F228BC">
            <w:pPr>
              <w:pStyle w:val="Tabletext1"/>
              <w:ind w:left="0"/>
              <w:rPr>
                <w:rFonts w:cs="Calibri"/>
                <w:color w:val="000000"/>
              </w:rPr>
            </w:pPr>
            <w:r w:rsidRPr="00E81CF8">
              <w:t>-8%</w:t>
            </w:r>
          </w:p>
        </w:tc>
      </w:tr>
      <w:tr w:rsidR="00F228BC" w:rsidRPr="005F76D9" w14:paraId="1DF5AF31" w14:textId="77777777" w:rsidTr="00501DD7">
        <w:trPr>
          <w:trHeight w:val="255"/>
        </w:trPr>
        <w:tc>
          <w:tcPr>
            <w:tcW w:w="2906" w:type="pct"/>
            <w:noWrap/>
            <w:hideMark/>
          </w:tcPr>
          <w:p w14:paraId="21CE4591" w14:textId="77777777" w:rsidR="00F228BC" w:rsidRPr="005F76D9" w:rsidRDefault="00F228BC" w:rsidP="00F228BC">
            <w:pPr>
              <w:pStyle w:val="Tabletext1"/>
              <w:ind w:left="0"/>
              <w:rPr>
                <w:rFonts w:cs="Calibri"/>
                <w:color w:val="000000"/>
              </w:rPr>
            </w:pPr>
            <w:r w:rsidRPr="005F76D9">
              <w:rPr>
                <w:rFonts w:cs="Calibri"/>
                <w:color w:val="000000"/>
              </w:rPr>
              <w:t>$200</w:t>
            </w:r>
          </w:p>
        </w:tc>
        <w:tc>
          <w:tcPr>
            <w:tcW w:w="550" w:type="pct"/>
            <w:noWrap/>
            <w:hideMark/>
          </w:tcPr>
          <w:p w14:paraId="014F817A" w14:textId="48FBBA65" w:rsidR="00F228BC" w:rsidRPr="005F76D9" w:rsidRDefault="00F228BC" w:rsidP="00F228BC">
            <w:pPr>
              <w:pStyle w:val="Tabletext1"/>
              <w:ind w:left="0"/>
              <w:rPr>
                <w:rFonts w:cs="Calibri"/>
                <w:color w:val="000000"/>
              </w:rPr>
            </w:pPr>
            <w:r w:rsidRPr="00E81CF8">
              <w:t>$139,838</w:t>
            </w:r>
          </w:p>
        </w:tc>
        <w:tc>
          <w:tcPr>
            <w:tcW w:w="472" w:type="pct"/>
            <w:noWrap/>
            <w:hideMark/>
          </w:tcPr>
          <w:p w14:paraId="6226E8D4" w14:textId="06DEB244" w:rsidR="00F228BC" w:rsidRPr="005F76D9" w:rsidRDefault="00F228BC" w:rsidP="00F228BC">
            <w:pPr>
              <w:pStyle w:val="Tabletext1"/>
              <w:ind w:left="0"/>
              <w:rPr>
                <w:rFonts w:cs="Calibri"/>
                <w:color w:val="000000"/>
              </w:rPr>
            </w:pPr>
            <w:r w:rsidRPr="00E81CF8">
              <w:t>1.7162</w:t>
            </w:r>
          </w:p>
        </w:tc>
        <w:tc>
          <w:tcPr>
            <w:tcW w:w="550" w:type="pct"/>
            <w:noWrap/>
            <w:hideMark/>
          </w:tcPr>
          <w:p w14:paraId="09BF001C" w14:textId="724CE5BA" w:rsidR="00F228BC" w:rsidRPr="005F76D9" w:rsidRDefault="00F228BC" w:rsidP="00F228BC">
            <w:pPr>
              <w:pStyle w:val="Tabletext1"/>
              <w:ind w:left="0"/>
              <w:rPr>
                <w:rFonts w:cs="Calibri"/>
                <w:color w:val="000000"/>
              </w:rPr>
            </w:pPr>
            <w:r w:rsidRPr="00E81CF8">
              <w:t>$81,483</w:t>
            </w:r>
          </w:p>
        </w:tc>
        <w:tc>
          <w:tcPr>
            <w:tcW w:w="522" w:type="pct"/>
            <w:noWrap/>
            <w:hideMark/>
          </w:tcPr>
          <w:p w14:paraId="7F73F11C" w14:textId="68CD8AD4" w:rsidR="00F228BC" w:rsidRPr="005F76D9" w:rsidRDefault="00F228BC" w:rsidP="00F228BC">
            <w:pPr>
              <w:pStyle w:val="Tabletext1"/>
              <w:ind w:left="0"/>
              <w:rPr>
                <w:rFonts w:cs="Calibri"/>
                <w:color w:val="000000"/>
              </w:rPr>
            </w:pPr>
            <w:r w:rsidRPr="00E81CF8">
              <w:t>-12%</w:t>
            </w:r>
          </w:p>
        </w:tc>
      </w:tr>
      <w:tr w:rsidR="00F228BC" w:rsidRPr="005F76D9" w14:paraId="26AD7AA6" w14:textId="77777777" w:rsidTr="00501DD7">
        <w:trPr>
          <w:trHeight w:val="255"/>
        </w:trPr>
        <w:tc>
          <w:tcPr>
            <w:tcW w:w="2906" w:type="pct"/>
            <w:noWrap/>
            <w:hideMark/>
          </w:tcPr>
          <w:p w14:paraId="754EB38E" w14:textId="77777777" w:rsidR="00F228BC" w:rsidRPr="005F76D9" w:rsidRDefault="00F228BC" w:rsidP="00F228BC">
            <w:pPr>
              <w:pStyle w:val="Tabletext1"/>
              <w:ind w:left="0"/>
              <w:rPr>
                <w:rFonts w:cs="Calibri"/>
                <w:color w:val="000000"/>
              </w:rPr>
            </w:pPr>
            <w:r w:rsidRPr="005F76D9">
              <w:rPr>
                <w:rFonts w:cs="Calibri"/>
                <w:color w:val="000000"/>
              </w:rPr>
              <w:t>$400</w:t>
            </w:r>
          </w:p>
        </w:tc>
        <w:tc>
          <w:tcPr>
            <w:tcW w:w="550" w:type="pct"/>
            <w:noWrap/>
            <w:hideMark/>
          </w:tcPr>
          <w:p w14:paraId="674B36BC" w14:textId="1CBD8DD2" w:rsidR="00F228BC" w:rsidRPr="005F76D9" w:rsidRDefault="00F228BC" w:rsidP="00F228BC">
            <w:pPr>
              <w:pStyle w:val="Tabletext1"/>
              <w:ind w:left="0"/>
              <w:rPr>
                <w:rFonts w:cs="Calibri"/>
                <w:color w:val="000000"/>
              </w:rPr>
            </w:pPr>
            <w:r w:rsidRPr="00E81CF8">
              <w:t>$147,844</w:t>
            </w:r>
          </w:p>
        </w:tc>
        <w:tc>
          <w:tcPr>
            <w:tcW w:w="472" w:type="pct"/>
            <w:noWrap/>
            <w:hideMark/>
          </w:tcPr>
          <w:p w14:paraId="4B7FB6B8" w14:textId="41197B9F" w:rsidR="00F228BC" w:rsidRPr="005F76D9" w:rsidRDefault="00F228BC" w:rsidP="00F228BC">
            <w:pPr>
              <w:pStyle w:val="Tabletext1"/>
              <w:ind w:left="0"/>
              <w:rPr>
                <w:rFonts w:cs="Calibri"/>
                <w:color w:val="000000"/>
              </w:rPr>
            </w:pPr>
            <w:r w:rsidRPr="00E81CF8">
              <w:t>1.7162</w:t>
            </w:r>
          </w:p>
        </w:tc>
        <w:tc>
          <w:tcPr>
            <w:tcW w:w="550" w:type="pct"/>
            <w:noWrap/>
            <w:hideMark/>
          </w:tcPr>
          <w:p w14:paraId="7D91844F" w14:textId="195A441D" w:rsidR="00F228BC" w:rsidRPr="005F76D9" w:rsidRDefault="00F228BC" w:rsidP="00F228BC">
            <w:pPr>
              <w:pStyle w:val="Tabletext1"/>
              <w:ind w:left="0"/>
              <w:rPr>
                <w:rFonts w:cs="Calibri"/>
                <w:color w:val="000000"/>
              </w:rPr>
            </w:pPr>
            <w:r w:rsidRPr="00E81CF8">
              <w:t>$86,148</w:t>
            </w:r>
          </w:p>
        </w:tc>
        <w:tc>
          <w:tcPr>
            <w:tcW w:w="522" w:type="pct"/>
            <w:noWrap/>
            <w:hideMark/>
          </w:tcPr>
          <w:p w14:paraId="528DD83D" w14:textId="421C8D9D" w:rsidR="00F228BC" w:rsidRPr="005F76D9" w:rsidRDefault="00F228BC" w:rsidP="00F228BC">
            <w:pPr>
              <w:pStyle w:val="Tabletext1"/>
              <w:ind w:left="0"/>
              <w:rPr>
                <w:rFonts w:cs="Calibri"/>
                <w:color w:val="000000"/>
              </w:rPr>
            </w:pPr>
            <w:r w:rsidRPr="00E81CF8">
              <w:t>-7%</w:t>
            </w:r>
          </w:p>
        </w:tc>
      </w:tr>
      <w:tr w:rsidR="00F228BC" w:rsidRPr="005F76D9" w14:paraId="031C901F" w14:textId="77777777" w:rsidTr="00501DD7">
        <w:trPr>
          <w:trHeight w:val="255"/>
        </w:trPr>
        <w:tc>
          <w:tcPr>
            <w:tcW w:w="2906" w:type="pct"/>
            <w:tcBorders>
              <w:bottom w:val="single" w:sz="4" w:space="0" w:color="auto"/>
            </w:tcBorders>
            <w:noWrap/>
            <w:hideMark/>
          </w:tcPr>
          <w:p w14:paraId="6846E7A7" w14:textId="77777777" w:rsidR="00F228BC" w:rsidRPr="005F76D9" w:rsidRDefault="00F228BC" w:rsidP="00F228BC">
            <w:pPr>
              <w:pStyle w:val="Tabletext1"/>
              <w:ind w:left="0"/>
              <w:rPr>
                <w:rFonts w:cs="Calibri"/>
                <w:color w:val="000000"/>
              </w:rPr>
            </w:pPr>
            <w:r w:rsidRPr="005F76D9">
              <w:rPr>
                <w:rFonts w:cs="Calibri"/>
                <w:color w:val="000000"/>
              </w:rPr>
              <w:t>$500</w:t>
            </w:r>
          </w:p>
        </w:tc>
        <w:tc>
          <w:tcPr>
            <w:tcW w:w="550" w:type="pct"/>
            <w:tcBorders>
              <w:bottom w:val="single" w:sz="4" w:space="0" w:color="auto"/>
            </w:tcBorders>
            <w:noWrap/>
            <w:hideMark/>
          </w:tcPr>
          <w:p w14:paraId="0331D819" w14:textId="0BC767F5" w:rsidR="00F228BC" w:rsidRPr="005F76D9" w:rsidRDefault="00F228BC" w:rsidP="00F228BC">
            <w:pPr>
              <w:pStyle w:val="Tabletext1"/>
              <w:ind w:left="0"/>
              <w:rPr>
                <w:rFonts w:cs="Calibri"/>
                <w:color w:val="000000"/>
              </w:rPr>
            </w:pPr>
            <w:r w:rsidRPr="00E81CF8">
              <w:t>$151,847</w:t>
            </w:r>
          </w:p>
        </w:tc>
        <w:tc>
          <w:tcPr>
            <w:tcW w:w="472" w:type="pct"/>
            <w:tcBorders>
              <w:bottom w:val="single" w:sz="4" w:space="0" w:color="auto"/>
            </w:tcBorders>
            <w:noWrap/>
            <w:hideMark/>
          </w:tcPr>
          <w:p w14:paraId="2A3BF62C" w14:textId="2291B409" w:rsidR="00F228BC" w:rsidRPr="005F76D9" w:rsidRDefault="00F228BC" w:rsidP="00F228BC">
            <w:pPr>
              <w:pStyle w:val="Tabletext1"/>
              <w:ind w:left="0"/>
              <w:rPr>
                <w:rFonts w:cs="Calibri"/>
                <w:color w:val="000000"/>
              </w:rPr>
            </w:pPr>
            <w:r w:rsidRPr="00E81CF8">
              <w:t>1.7162</w:t>
            </w:r>
          </w:p>
        </w:tc>
        <w:tc>
          <w:tcPr>
            <w:tcW w:w="550" w:type="pct"/>
            <w:tcBorders>
              <w:bottom w:val="single" w:sz="4" w:space="0" w:color="auto"/>
            </w:tcBorders>
            <w:noWrap/>
            <w:hideMark/>
          </w:tcPr>
          <w:p w14:paraId="595FCD94" w14:textId="0CA8A3C3" w:rsidR="00F228BC" w:rsidRPr="005F76D9" w:rsidRDefault="00F228BC" w:rsidP="00F228BC">
            <w:pPr>
              <w:pStyle w:val="Tabletext1"/>
              <w:ind w:left="0"/>
              <w:rPr>
                <w:rFonts w:cs="Calibri"/>
                <w:color w:val="000000"/>
              </w:rPr>
            </w:pPr>
            <w:r w:rsidRPr="00E81CF8">
              <w:t>$88,481</w:t>
            </w:r>
          </w:p>
        </w:tc>
        <w:tc>
          <w:tcPr>
            <w:tcW w:w="522" w:type="pct"/>
            <w:tcBorders>
              <w:bottom w:val="single" w:sz="4" w:space="0" w:color="auto"/>
            </w:tcBorders>
            <w:noWrap/>
            <w:hideMark/>
          </w:tcPr>
          <w:p w14:paraId="4B5E7E35" w14:textId="40822771" w:rsidR="00F228BC" w:rsidRPr="005F76D9" w:rsidRDefault="00F228BC" w:rsidP="00F228BC">
            <w:pPr>
              <w:pStyle w:val="Tabletext1"/>
              <w:ind w:left="0"/>
              <w:rPr>
                <w:rFonts w:cs="Calibri"/>
                <w:color w:val="000000"/>
              </w:rPr>
            </w:pPr>
            <w:r w:rsidRPr="00E81CF8">
              <w:t>-5%</w:t>
            </w:r>
          </w:p>
        </w:tc>
      </w:tr>
      <w:tr w:rsidR="00F228BC" w:rsidRPr="005F76D9" w14:paraId="5701D9EC" w14:textId="77777777" w:rsidTr="00313F54">
        <w:trPr>
          <w:trHeight w:val="255"/>
        </w:trPr>
        <w:tc>
          <w:tcPr>
            <w:tcW w:w="2906" w:type="pct"/>
            <w:tcBorders>
              <w:bottom w:val="single" w:sz="4" w:space="0" w:color="auto"/>
              <w:right w:val="nil"/>
            </w:tcBorders>
            <w:noWrap/>
            <w:hideMark/>
          </w:tcPr>
          <w:p w14:paraId="79D1B912" w14:textId="77777777" w:rsidR="00F228BC" w:rsidRPr="005F76D9" w:rsidRDefault="00F228BC" w:rsidP="00F228BC">
            <w:pPr>
              <w:pStyle w:val="Tabletext1"/>
              <w:ind w:left="0"/>
              <w:rPr>
                <w:rFonts w:cs="Calibri"/>
                <w:b/>
                <w:bCs/>
                <w:color w:val="000000"/>
              </w:rPr>
            </w:pPr>
            <w:r w:rsidRPr="005F76D9">
              <w:rPr>
                <w:rFonts w:cs="Calibri"/>
                <w:b/>
                <w:bCs/>
                <w:color w:val="000000"/>
              </w:rPr>
              <w:t>Health state transitions, Ig</w:t>
            </w:r>
          </w:p>
        </w:tc>
        <w:tc>
          <w:tcPr>
            <w:tcW w:w="550" w:type="pct"/>
            <w:tcBorders>
              <w:left w:val="nil"/>
              <w:bottom w:val="single" w:sz="4" w:space="0" w:color="auto"/>
              <w:right w:val="nil"/>
            </w:tcBorders>
            <w:noWrap/>
            <w:hideMark/>
          </w:tcPr>
          <w:p w14:paraId="7DB5D023" w14:textId="77777777" w:rsidR="00F228BC" w:rsidRPr="005F76D9" w:rsidRDefault="00F228BC" w:rsidP="00F228BC">
            <w:pPr>
              <w:pStyle w:val="Tabletext1"/>
              <w:ind w:left="0"/>
              <w:rPr>
                <w:rFonts w:cs="Calibri"/>
                <w:b/>
                <w:bCs/>
                <w:color w:val="000000"/>
              </w:rPr>
            </w:pPr>
          </w:p>
        </w:tc>
        <w:tc>
          <w:tcPr>
            <w:tcW w:w="472" w:type="pct"/>
            <w:tcBorders>
              <w:left w:val="nil"/>
              <w:bottom w:val="single" w:sz="4" w:space="0" w:color="auto"/>
              <w:right w:val="nil"/>
            </w:tcBorders>
            <w:noWrap/>
            <w:hideMark/>
          </w:tcPr>
          <w:p w14:paraId="42FED583" w14:textId="77777777" w:rsidR="00F228BC" w:rsidRPr="005F76D9" w:rsidRDefault="00F228BC" w:rsidP="00F228BC">
            <w:pPr>
              <w:pStyle w:val="Tabletext1"/>
              <w:ind w:left="0"/>
            </w:pPr>
          </w:p>
        </w:tc>
        <w:tc>
          <w:tcPr>
            <w:tcW w:w="550" w:type="pct"/>
            <w:tcBorders>
              <w:left w:val="nil"/>
              <w:bottom w:val="single" w:sz="4" w:space="0" w:color="auto"/>
              <w:right w:val="nil"/>
            </w:tcBorders>
            <w:noWrap/>
            <w:hideMark/>
          </w:tcPr>
          <w:p w14:paraId="4551D3BD" w14:textId="77777777" w:rsidR="00F228BC" w:rsidRPr="005F76D9" w:rsidRDefault="00F228BC" w:rsidP="00F228BC">
            <w:pPr>
              <w:pStyle w:val="Tabletext1"/>
              <w:ind w:left="0"/>
            </w:pPr>
          </w:p>
        </w:tc>
        <w:tc>
          <w:tcPr>
            <w:tcW w:w="522" w:type="pct"/>
            <w:tcBorders>
              <w:left w:val="nil"/>
              <w:bottom w:val="single" w:sz="4" w:space="0" w:color="auto"/>
            </w:tcBorders>
            <w:noWrap/>
            <w:hideMark/>
          </w:tcPr>
          <w:p w14:paraId="6F34C8A2" w14:textId="77777777" w:rsidR="00F228BC" w:rsidRPr="005F76D9" w:rsidRDefault="00F228BC" w:rsidP="00F228BC">
            <w:pPr>
              <w:pStyle w:val="Tabletext1"/>
              <w:ind w:left="0"/>
              <w:rPr>
                <w:rFonts w:cs="Calibri"/>
                <w:color w:val="000000"/>
              </w:rPr>
            </w:pPr>
          </w:p>
        </w:tc>
      </w:tr>
      <w:tr w:rsidR="00F228BC" w:rsidRPr="005F76D9" w14:paraId="4B0F57F6" w14:textId="77777777" w:rsidTr="00313F54">
        <w:trPr>
          <w:trHeight w:val="255"/>
        </w:trPr>
        <w:tc>
          <w:tcPr>
            <w:tcW w:w="2906" w:type="pct"/>
            <w:tcBorders>
              <w:right w:val="nil"/>
            </w:tcBorders>
            <w:noWrap/>
            <w:hideMark/>
          </w:tcPr>
          <w:p w14:paraId="7D12224D" w14:textId="77777777" w:rsidR="00F228BC" w:rsidRPr="005F76D9" w:rsidRDefault="00F228BC" w:rsidP="00F228BC">
            <w:pPr>
              <w:pStyle w:val="Tabletext1"/>
              <w:ind w:left="0"/>
              <w:rPr>
                <w:rFonts w:cs="Calibri"/>
                <w:color w:val="000000"/>
              </w:rPr>
            </w:pPr>
            <w:r w:rsidRPr="005F76D9">
              <w:rPr>
                <w:rFonts w:cs="Calibri"/>
                <w:color w:val="000000"/>
              </w:rPr>
              <w:t>Treatment failure (base case: 3.1% per cycle in State A)</w:t>
            </w:r>
          </w:p>
        </w:tc>
        <w:tc>
          <w:tcPr>
            <w:tcW w:w="550" w:type="pct"/>
            <w:tcBorders>
              <w:left w:val="nil"/>
              <w:right w:val="nil"/>
            </w:tcBorders>
            <w:noWrap/>
            <w:hideMark/>
          </w:tcPr>
          <w:p w14:paraId="3BBACF92" w14:textId="77777777" w:rsidR="00F228BC" w:rsidRPr="005F76D9" w:rsidRDefault="00F228BC" w:rsidP="00F228BC">
            <w:pPr>
              <w:pStyle w:val="Tabletext1"/>
              <w:ind w:left="0"/>
              <w:rPr>
                <w:rFonts w:cs="Calibri"/>
                <w:color w:val="000000"/>
              </w:rPr>
            </w:pPr>
          </w:p>
        </w:tc>
        <w:tc>
          <w:tcPr>
            <w:tcW w:w="472" w:type="pct"/>
            <w:tcBorders>
              <w:left w:val="nil"/>
              <w:right w:val="nil"/>
            </w:tcBorders>
            <w:noWrap/>
            <w:hideMark/>
          </w:tcPr>
          <w:p w14:paraId="08B9E796" w14:textId="77777777" w:rsidR="00F228BC" w:rsidRPr="005F76D9" w:rsidRDefault="00F228BC" w:rsidP="00F228BC">
            <w:pPr>
              <w:pStyle w:val="Tabletext1"/>
              <w:ind w:left="0"/>
            </w:pPr>
          </w:p>
        </w:tc>
        <w:tc>
          <w:tcPr>
            <w:tcW w:w="550" w:type="pct"/>
            <w:tcBorders>
              <w:left w:val="nil"/>
              <w:right w:val="nil"/>
            </w:tcBorders>
            <w:noWrap/>
            <w:hideMark/>
          </w:tcPr>
          <w:p w14:paraId="5EF62D46" w14:textId="77777777" w:rsidR="00F228BC" w:rsidRPr="005F76D9" w:rsidRDefault="00F228BC" w:rsidP="00F228BC">
            <w:pPr>
              <w:pStyle w:val="Tabletext1"/>
              <w:ind w:left="0"/>
            </w:pPr>
          </w:p>
        </w:tc>
        <w:tc>
          <w:tcPr>
            <w:tcW w:w="522" w:type="pct"/>
            <w:tcBorders>
              <w:left w:val="nil"/>
            </w:tcBorders>
            <w:noWrap/>
            <w:hideMark/>
          </w:tcPr>
          <w:p w14:paraId="2533B0B8" w14:textId="77777777" w:rsidR="00F228BC" w:rsidRPr="005F76D9" w:rsidRDefault="00F228BC" w:rsidP="00F228BC">
            <w:pPr>
              <w:pStyle w:val="Tabletext1"/>
              <w:ind w:left="0"/>
              <w:rPr>
                <w:rFonts w:cs="Calibri"/>
                <w:color w:val="000000"/>
              </w:rPr>
            </w:pPr>
          </w:p>
        </w:tc>
      </w:tr>
      <w:tr w:rsidR="00F228BC" w:rsidRPr="005F76D9" w14:paraId="4C70FB9B" w14:textId="77777777" w:rsidTr="00501DD7">
        <w:trPr>
          <w:trHeight w:val="255"/>
        </w:trPr>
        <w:tc>
          <w:tcPr>
            <w:tcW w:w="2906" w:type="pct"/>
            <w:tcBorders>
              <w:bottom w:val="single" w:sz="4" w:space="0" w:color="auto"/>
            </w:tcBorders>
            <w:noWrap/>
            <w:hideMark/>
          </w:tcPr>
          <w:p w14:paraId="26AE5F65" w14:textId="77777777" w:rsidR="00F228BC" w:rsidRPr="005F76D9" w:rsidRDefault="00F228BC" w:rsidP="00F228BC">
            <w:pPr>
              <w:pStyle w:val="Tabletext1"/>
              <w:ind w:left="0"/>
              <w:rPr>
                <w:rFonts w:cs="Calibri"/>
                <w:color w:val="000000"/>
              </w:rPr>
            </w:pPr>
            <w:r w:rsidRPr="005F76D9">
              <w:rPr>
                <w:rFonts w:cs="Calibri"/>
                <w:color w:val="000000"/>
              </w:rPr>
              <w:t>8.72% per cycle in State A</w:t>
            </w:r>
          </w:p>
        </w:tc>
        <w:tc>
          <w:tcPr>
            <w:tcW w:w="550" w:type="pct"/>
            <w:tcBorders>
              <w:bottom w:val="single" w:sz="4" w:space="0" w:color="auto"/>
            </w:tcBorders>
            <w:noWrap/>
            <w:hideMark/>
          </w:tcPr>
          <w:p w14:paraId="0A8E762B" w14:textId="375E7B7C" w:rsidR="00F228BC" w:rsidRPr="005F76D9" w:rsidRDefault="00F228BC" w:rsidP="00F228BC">
            <w:pPr>
              <w:pStyle w:val="Tabletext1"/>
              <w:ind w:left="0"/>
              <w:rPr>
                <w:rFonts w:cs="Calibri"/>
                <w:color w:val="000000"/>
              </w:rPr>
            </w:pPr>
            <w:r w:rsidRPr="00E81CF8">
              <w:t>$107,551</w:t>
            </w:r>
          </w:p>
        </w:tc>
        <w:tc>
          <w:tcPr>
            <w:tcW w:w="472" w:type="pct"/>
            <w:tcBorders>
              <w:bottom w:val="single" w:sz="4" w:space="0" w:color="auto"/>
            </w:tcBorders>
            <w:noWrap/>
            <w:hideMark/>
          </w:tcPr>
          <w:p w14:paraId="1658063F" w14:textId="1B0E8BA1" w:rsidR="00F228BC" w:rsidRPr="005F76D9" w:rsidRDefault="00F228BC" w:rsidP="00F228BC">
            <w:pPr>
              <w:pStyle w:val="Tabletext1"/>
              <w:ind w:left="0"/>
              <w:rPr>
                <w:rFonts w:cs="Calibri"/>
                <w:color w:val="000000"/>
              </w:rPr>
            </w:pPr>
            <w:r w:rsidRPr="00E81CF8">
              <w:t>1.1488</w:t>
            </w:r>
          </w:p>
        </w:tc>
        <w:tc>
          <w:tcPr>
            <w:tcW w:w="550" w:type="pct"/>
            <w:tcBorders>
              <w:bottom w:val="single" w:sz="4" w:space="0" w:color="auto"/>
            </w:tcBorders>
            <w:noWrap/>
            <w:hideMark/>
          </w:tcPr>
          <w:p w14:paraId="49F46252" w14:textId="1E986349" w:rsidR="00F228BC" w:rsidRPr="005F76D9" w:rsidRDefault="00F228BC" w:rsidP="00F228BC">
            <w:pPr>
              <w:pStyle w:val="Tabletext1"/>
              <w:ind w:left="0"/>
              <w:rPr>
                <w:rFonts w:cs="Calibri"/>
                <w:color w:val="000000"/>
              </w:rPr>
            </w:pPr>
            <w:r w:rsidRPr="00E81CF8">
              <w:t>$93,616</w:t>
            </w:r>
          </w:p>
        </w:tc>
        <w:tc>
          <w:tcPr>
            <w:tcW w:w="522" w:type="pct"/>
            <w:tcBorders>
              <w:bottom w:val="single" w:sz="4" w:space="0" w:color="auto"/>
            </w:tcBorders>
            <w:noWrap/>
            <w:hideMark/>
          </w:tcPr>
          <w:p w14:paraId="3F6CCFE9" w14:textId="59EE6C57" w:rsidR="00F228BC" w:rsidRPr="005F76D9" w:rsidRDefault="00F228BC" w:rsidP="00F228BC">
            <w:pPr>
              <w:pStyle w:val="Tabletext1"/>
              <w:ind w:left="0"/>
              <w:rPr>
                <w:rFonts w:cs="Calibri"/>
                <w:color w:val="000000"/>
              </w:rPr>
            </w:pPr>
            <w:r w:rsidRPr="00E81CF8">
              <w:t>1%</w:t>
            </w:r>
          </w:p>
        </w:tc>
      </w:tr>
      <w:tr w:rsidR="00F228BC" w:rsidRPr="005F76D9" w14:paraId="40D13BDA" w14:textId="77777777" w:rsidTr="00501DD7">
        <w:trPr>
          <w:trHeight w:val="255"/>
        </w:trPr>
        <w:tc>
          <w:tcPr>
            <w:tcW w:w="2906" w:type="pct"/>
            <w:tcBorders>
              <w:right w:val="nil"/>
            </w:tcBorders>
            <w:noWrap/>
            <w:hideMark/>
          </w:tcPr>
          <w:p w14:paraId="25713A9C" w14:textId="77777777" w:rsidR="00F228BC" w:rsidRPr="005F76D9" w:rsidRDefault="00F228BC" w:rsidP="00F228BC">
            <w:pPr>
              <w:pStyle w:val="Tabletext1"/>
              <w:ind w:left="0"/>
              <w:rPr>
                <w:rFonts w:cs="Calibri"/>
                <w:color w:val="000000"/>
              </w:rPr>
            </w:pPr>
            <w:r w:rsidRPr="005F76D9">
              <w:rPr>
                <w:rFonts w:cs="Calibri"/>
                <w:color w:val="000000"/>
              </w:rPr>
              <w:t>Proportion of patients relapsing in remission health state (base case: 3.8%)</w:t>
            </w:r>
          </w:p>
        </w:tc>
        <w:tc>
          <w:tcPr>
            <w:tcW w:w="550" w:type="pct"/>
            <w:tcBorders>
              <w:left w:val="nil"/>
              <w:right w:val="nil"/>
            </w:tcBorders>
            <w:noWrap/>
            <w:hideMark/>
          </w:tcPr>
          <w:p w14:paraId="03E22939" w14:textId="77777777" w:rsidR="00F228BC" w:rsidRPr="005F76D9" w:rsidRDefault="00F228BC" w:rsidP="00F228BC">
            <w:pPr>
              <w:pStyle w:val="Tabletext1"/>
              <w:ind w:left="0"/>
              <w:rPr>
                <w:rFonts w:cs="Calibri"/>
                <w:color w:val="000000"/>
              </w:rPr>
            </w:pPr>
          </w:p>
        </w:tc>
        <w:tc>
          <w:tcPr>
            <w:tcW w:w="472" w:type="pct"/>
            <w:tcBorders>
              <w:left w:val="nil"/>
              <w:right w:val="nil"/>
            </w:tcBorders>
            <w:noWrap/>
            <w:hideMark/>
          </w:tcPr>
          <w:p w14:paraId="16542C2D" w14:textId="77777777" w:rsidR="00F228BC" w:rsidRPr="005F76D9" w:rsidRDefault="00F228BC" w:rsidP="00F228BC">
            <w:pPr>
              <w:pStyle w:val="Tabletext1"/>
              <w:ind w:left="0"/>
            </w:pPr>
          </w:p>
        </w:tc>
        <w:tc>
          <w:tcPr>
            <w:tcW w:w="550" w:type="pct"/>
            <w:tcBorders>
              <w:left w:val="nil"/>
              <w:right w:val="nil"/>
            </w:tcBorders>
            <w:noWrap/>
            <w:hideMark/>
          </w:tcPr>
          <w:p w14:paraId="362F843A" w14:textId="77777777" w:rsidR="00F228BC" w:rsidRPr="005F76D9" w:rsidRDefault="00F228BC" w:rsidP="00F228BC">
            <w:pPr>
              <w:pStyle w:val="Tabletext1"/>
              <w:ind w:left="0"/>
            </w:pPr>
          </w:p>
        </w:tc>
        <w:tc>
          <w:tcPr>
            <w:tcW w:w="522" w:type="pct"/>
            <w:tcBorders>
              <w:left w:val="nil"/>
            </w:tcBorders>
            <w:noWrap/>
            <w:hideMark/>
          </w:tcPr>
          <w:p w14:paraId="57F082A8" w14:textId="77777777" w:rsidR="00F228BC" w:rsidRPr="005F76D9" w:rsidRDefault="00F228BC" w:rsidP="00F228BC">
            <w:pPr>
              <w:pStyle w:val="Tabletext1"/>
              <w:ind w:left="0"/>
              <w:rPr>
                <w:rFonts w:cs="Calibri"/>
                <w:color w:val="000000"/>
              </w:rPr>
            </w:pPr>
          </w:p>
        </w:tc>
      </w:tr>
      <w:tr w:rsidR="00F228BC" w:rsidRPr="005F76D9" w14:paraId="366443C0" w14:textId="77777777" w:rsidTr="00501DD7">
        <w:trPr>
          <w:trHeight w:val="255"/>
        </w:trPr>
        <w:tc>
          <w:tcPr>
            <w:tcW w:w="2906" w:type="pct"/>
            <w:noWrap/>
            <w:hideMark/>
          </w:tcPr>
          <w:p w14:paraId="35F1E559" w14:textId="77777777" w:rsidR="00F228BC" w:rsidRPr="005F76D9" w:rsidRDefault="00F228BC" w:rsidP="00F228BC">
            <w:pPr>
              <w:pStyle w:val="Tabletext1"/>
              <w:ind w:left="0"/>
              <w:rPr>
                <w:rFonts w:cs="Calibri"/>
                <w:color w:val="000000"/>
              </w:rPr>
            </w:pPr>
            <w:r w:rsidRPr="005F76D9">
              <w:rPr>
                <w:rFonts w:cs="Calibri"/>
                <w:color w:val="000000"/>
              </w:rPr>
              <w:t>1.50%</w:t>
            </w:r>
          </w:p>
        </w:tc>
        <w:tc>
          <w:tcPr>
            <w:tcW w:w="550" w:type="pct"/>
            <w:noWrap/>
            <w:hideMark/>
          </w:tcPr>
          <w:p w14:paraId="1BF8684B" w14:textId="035F507C" w:rsidR="00F228BC" w:rsidRPr="005F76D9" w:rsidRDefault="00F228BC" w:rsidP="00F228BC">
            <w:pPr>
              <w:pStyle w:val="Tabletext1"/>
              <w:ind w:left="0"/>
              <w:rPr>
                <w:rFonts w:cs="Calibri"/>
                <w:color w:val="000000"/>
              </w:rPr>
            </w:pPr>
            <w:r w:rsidRPr="00E81CF8">
              <w:t>$113,513</w:t>
            </w:r>
          </w:p>
        </w:tc>
        <w:tc>
          <w:tcPr>
            <w:tcW w:w="472" w:type="pct"/>
            <w:noWrap/>
            <w:hideMark/>
          </w:tcPr>
          <w:p w14:paraId="23C5BA5F" w14:textId="4C75F0F9" w:rsidR="00F228BC" w:rsidRPr="005F76D9" w:rsidRDefault="00F228BC" w:rsidP="00F228BC">
            <w:pPr>
              <w:pStyle w:val="Tabletext1"/>
              <w:ind w:left="0"/>
              <w:rPr>
                <w:rFonts w:cs="Calibri"/>
                <w:color w:val="000000"/>
              </w:rPr>
            </w:pPr>
            <w:r w:rsidRPr="00E81CF8">
              <w:t>1.8616</w:t>
            </w:r>
          </w:p>
        </w:tc>
        <w:tc>
          <w:tcPr>
            <w:tcW w:w="550" w:type="pct"/>
            <w:noWrap/>
            <w:hideMark/>
          </w:tcPr>
          <w:p w14:paraId="738BA008" w14:textId="1BFD48C3" w:rsidR="00F228BC" w:rsidRPr="005F76D9" w:rsidRDefault="00F228BC" w:rsidP="00F228BC">
            <w:pPr>
              <w:pStyle w:val="Tabletext1"/>
              <w:ind w:left="0"/>
              <w:rPr>
                <w:rFonts w:cs="Calibri"/>
                <w:color w:val="000000"/>
              </w:rPr>
            </w:pPr>
            <w:r w:rsidRPr="00E81CF8">
              <w:t>$60,976</w:t>
            </w:r>
          </w:p>
        </w:tc>
        <w:tc>
          <w:tcPr>
            <w:tcW w:w="522" w:type="pct"/>
            <w:noWrap/>
            <w:hideMark/>
          </w:tcPr>
          <w:p w14:paraId="4E8744B9" w14:textId="660A4EEF" w:rsidR="00F228BC" w:rsidRPr="005F76D9" w:rsidRDefault="00F228BC" w:rsidP="00F228BC">
            <w:pPr>
              <w:pStyle w:val="Tabletext1"/>
              <w:ind w:left="0"/>
              <w:rPr>
                <w:rFonts w:cs="Calibri"/>
                <w:color w:val="000000"/>
              </w:rPr>
            </w:pPr>
            <w:r w:rsidRPr="00E81CF8">
              <w:t>-34%</w:t>
            </w:r>
          </w:p>
        </w:tc>
      </w:tr>
      <w:tr w:rsidR="00F228BC" w:rsidRPr="005F76D9" w14:paraId="4702B19F" w14:textId="77777777" w:rsidTr="00501DD7">
        <w:trPr>
          <w:trHeight w:val="255"/>
        </w:trPr>
        <w:tc>
          <w:tcPr>
            <w:tcW w:w="2906" w:type="pct"/>
            <w:tcBorders>
              <w:bottom w:val="single" w:sz="4" w:space="0" w:color="auto"/>
            </w:tcBorders>
            <w:noWrap/>
            <w:hideMark/>
          </w:tcPr>
          <w:p w14:paraId="3F87EEB9" w14:textId="77777777" w:rsidR="00F228BC" w:rsidRPr="005F76D9" w:rsidRDefault="00F228BC" w:rsidP="00F228BC">
            <w:pPr>
              <w:pStyle w:val="Tabletext1"/>
              <w:ind w:left="0"/>
              <w:rPr>
                <w:rFonts w:cs="Calibri"/>
                <w:color w:val="000000"/>
              </w:rPr>
            </w:pPr>
            <w:r w:rsidRPr="005F76D9">
              <w:rPr>
                <w:rFonts w:cs="Calibri"/>
                <w:color w:val="000000"/>
              </w:rPr>
              <w:t>4.12%</w:t>
            </w:r>
          </w:p>
        </w:tc>
        <w:tc>
          <w:tcPr>
            <w:tcW w:w="550" w:type="pct"/>
            <w:tcBorders>
              <w:bottom w:val="single" w:sz="4" w:space="0" w:color="auto"/>
            </w:tcBorders>
            <w:noWrap/>
            <w:hideMark/>
          </w:tcPr>
          <w:p w14:paraId="5CDDFE1B" w14:textId="264F0B49" w:rsidR="00F228BC" w:rsidRPr="005F76D9" w:rsidRDefault="00F228BC" w:rsidP="00F228BC">
            <w:pPr>
              <w:pStyle w:val="Tabletext1"/>
              <w:ind w:left="0"/>
              <w:rPr>
                <w:rFonts w:cs="Calibri"/>
                <w:color w:val="000000"/>
              </w:rPr>
            </w:pPr>
            <w:r w:rsidRPr="00E81CF8">
              <w:t>$165,214</w:t>
            </w:r>
          </w:p>
        </w:tc>
        <w:tc>
          <w:tcPr>
            <w:tcW w:w="472" w:type="pct"/>
            <w:tcBorders>
              <w:bottom w:val="single" w:sz="4" w:space="0" w:color="auto"/>
            </w:tcBorders>
            <w:noWrap/>
            <w:hideMark/>
          </w:tcPr>
          <w:p w14:paraId="4B6A35EA" w14:textId="1D3A737F" w:rsidR="00F228BC" w:rsidRPr="005F76D9" w:rsidRDefault="00F228BC" w:rsidP="00F228BC">
            <w:pPr>
              <w:pStyle w:val="Tabletext1"/>
              <w:ind w:left="0"/>
              <w:rPr>
                <w:rFonts w:cs="Calibri"/>
                <w:color w:val="000000"/>
              </w:rPr>
            </w:pPr>
            <w:r w:rsidRPr="00E81CF8">
              <w:t>1.7011</w:t>
            </w:r>
          </w:p>
        </w:tc>
        <w:tc>
          <w:tcPr>
            <w:tcW w:w="550" w:type="pct"/>
            <w:tcBorders>
              <w:bottom w:val="single" w:sz="4" w:space="0" w:color="auto"/>
            </w:tcBorders>
            <w:noWrap/>
            <w:hideMark/>
          </w:tcPr>
          <w:p w14:paraId="44A31F42" w14:textId="12CE0BFC" w:rsidR="00F228BC" w:rsidRPr="005F76D9" w:rsidRDefault="00F228BC" w:rsidP="00F228BC">
            <w:pPr>
              <w:pStyle w:val="Tabletext1"/>
              <w:ind w:left="0"/>
              <w:rPr>
                <w:rFonts w:cs="Calibri"/>
                <w:color w:val="000000"/>
              </w:rPr>
            </w:pPr>
            <w:r w:rsidRPr="00E81CF8">
              <w:t>$97,125</w:t>
            </w:r>
          </w:p>
        </w:tc>
        <w:tc>
          <w:tcPr>
            <w:tcW w:w="522" w:type="pct"/>
            <w:tcBorders>
              <w:bottom w:val="single" w:sz="4" w:space="0" w:color="auto"/>
            </w:tcBorders>
            <w:noWrap/>
            <w:hideMark/>
          </w:tcPr>
          <w:p w14:paraId="40F30B3B" w14:textId="1342BB37" w:rsidR="00F228BC" w:rsidRPr="005F76D9" w:rsidRDefault="00F228BC" w:rsidP="00F228BC">
            <w:pPr>
              <w:pStyle w:val="Tabletext1"/>
              <w:ind w:left="0"/>
              <w:rPr>
                <w:rFonts w:cs="Calibri"/>
                <w:color w:val="000000"/>
              </w:rPr>
            </w:pPr>
            <w:r w:rsidRPr="00E81CF8">
              <w:t>4%</w:t>
            </w:r>
          </w:p>
        </w:tc>
      </w:tr>
      <w:tr w:rsidR="00F228BC" w:rsidRPr="007C14BE" w14:paraId="4E22A1DC" w14:textId="77777777" w:rsidTr="00501DD7">
        <w:trPr>
          <w:trHeight w:val="255"/>
        </w:trPr>
        <w:tc>
          <w:tcPr>
            <w:tcW w:w="2906" w:type="pct"/>
            <w:tcBorders>
              <w:right w:val="nil"/>
            </w:tcBorders>
            <w:noWrap/>
            <w:hideMark/>
          </w:tcPr>
          <w:p w14:paraId="4D64FCC6" w14:textId="77777777" w:rsidR="00F228BC" w:rsidRPr="00313F54" w:rsidRDefault="00F228BC" w:rsidP="00F228BC">
            <w:pPr>
              <w:pStyle w:val="Tabletext1"/>
              <w:ind w:left="0"/>
              <w:rPr>
                <w:rFonts w:cs="Calibri"/>
                <w:b/>
                <w:color w:val="000000"/>
              </w:rPr>
            </w:pPr>
            <w:r w:rsidRPr="00313F54">
              <w:rPr>
                <w:rFonts w:cs="Calibri"/>
                <w:b/>
                <w:color w:val="000000"/>
              </w:rPr>
              <w:t>Treatment to in remission - off treatment health state (base case: 5.3%)</w:t>
            </w:r>
          </w:p>
        </w:tc>
        <w:tc>
          <w:tcPr>
            <w:tcW w:w="550" w:type="pct"/>
            <w:tcBorders>
              <w:left w:val="nil"/>
              <w:right w:val="nil"/>
            </w:tcBorders>
            <w:noWrap/>
            <w:hideMark/>
          </w:tcPr>
          <w:p w14:paraId="364213DE" w14:textId="77777777" w:rsidR="00F228BC" w:rsidRPr="00313F54" w:rsidRDefault="00F228BC" w:rsidP="00F228BC">
            <w:pPr>
              <w:pStyle w:val="Tabletext1"/>
              <w:ind w:left="0"/>
              <w:rPr>
                <w:rFonts w:cs="Calibri"/>
                <w:b/>
                <w:color w:val="000000"/>
              </w:rPr>
            </w:pPr>
          </w:p>
        </w:tc>
        <w:tc>
          <w:tcPr>
            <w:tcW w:w="472" w:type="pct"/>
            <w:tcBorders>
              <w:left w:val="nil"/>
              <w:right w:val="nil"/>
            </w:tcBorders>
            <w:noWrap/>
            <w:hideMark/>
          </w:tcPr>
          <w:p w14:paraId="2001009F" w14:textId="77777777" w:rsidR="00F228BC" w:rsidRPr="00313F54" w:rsidRDefault="00F228BC" w:rsidP="00F228BC">
            <w:pPr>
              <w:pStyle w:val="Tabletext1"/>
              <w:ind w:left="0"/>
              <w:rPr>
                <w:b/>
              </w:rPr>
            </w:pPr>
          </w:p>
        </w:tc>
        <w:tc>
          <w:tcPr>
            <w:tcW w:w="550" w:type="pct"/>
            <w:tcBorders>
              <w:left w:val="nil"/>
              <w:right w:val="nil"/>
            </w:tcBorders>
            <w:noWrap/>
            <w:hideMark/>
          </w:tcPr>
          <w:p w14:paraId="6181867D" w14:textId="77777777" w:rsidR="00F228BC" w:rsidRPr="00313F54" w:rsidRDefault="00F228BC" w:rsidP="00F228BC">
            <w:pPr>
              <w:pStyle w:val="Tabletext1"/>
              <w:ind w:left="0"/>
              <w:rPr>
                <w:b/>
              </w:rPr>
            </w:pPr>
          </w:p>
        </w:tc>
        <w:tc>
          <w:tcPr>
            <w:tcW w:w="522" w:type="pct"/>
            <w:tcBorders>
              <w:left w:val="nil"/>
            </w:tcBorders>
            <w:noWrap/>
            <w:hideMark/>
          </w:tcPr>
          <w:p w14:paraId="41114220" w14:textId="77777777" w:rsidR="00F228BC" w:rsidRPr="00313F54" w:rsidRDefault="00F228BC" w:rsidP="00F228BC">
            <w:pPr>
              <w:pStyle w:val="Tabletext1"/>
              <w:ind w:left="0"/>
              <w:rPr>
                <w:rFonts w:cs="Calibri"/>
                <w:b/>
                <w:color w:val="000000"/>
              </w:rPr>
            </w:pPr>
          </w:p>
        </w:tc>
      </w:tr>
      <w:tr w:rsidR="00313F54" w:rsidRPr="005F76D9" w14:paraId="7E304FF5" w14:textId="77777777" w:rsidTr="00501DD7">
        <w:trPr>
          <w:trHeight w:val="255"/>
        </w:trPr>
        <w:tc>
          <w:tcPr>
            <w:tcW w:w="2906" w:type="pct"/>
            <w:noWrap/>
            <w:hideMark/>
          </w:tcPr>
          <w:p w14:paraId="21A865C4" w14:textId="4C36F12F" w:rsidR="00313F54" w:rsidRPr="005F76D9" w:rsidRDefault="00313F54" w:rsidP="00313F54">
            <w:pPr>
              <w:pStyle w:val="Tabletext1"/>
              <w:ind w:left="0"/>
              <w:rPr>
                <w:rFonts w:cs="Calibri"/>
                <w:color w:val="000000"/>
              </w:rPr>
            </w:pPr>
            <w:r>
              <w:rPr>
                <w:rFonts w:cs="Calibri"/>
                <w:color w:val="000000"/>
              </w:rPr>
              <w:t>0.57</w:t>
            </w:r>
            <w:r w:rsidRPr="005F76D9">
              <w:rPr>
                <w:rFonts w:cs="Calibri"/>
                <w:color w:val="000000"/>
              </w:rPr>
              <w:t>%</w:t>
            </w:r>
          </w:p>
        </w:tc>
        <w:tc>
          <w:tcPr>
            <w:tcW w:w="550" w:type="pct"/>
            <w:noWrap/>
            <w:hideMark/>
          </w:tcPr>
          <w:p w14:paraId="5454D8CF" w14:textId="3A9B52BD" w:rsidR="00313F54" w:rsidRPr="005F76D9" w:rsidRDefault="00313F54" w:rsidP="00313F54">
            <w:pPr>
              <w:pStyle w:val="Tabletext1"/>
              <w:ind w:left="0"/>
              <w:rPr>
                <w:rFonts w:cs="Calibri"/>
                <w:color w:val="000000"/>
              </w:rPr>
            </w:pPr>
            <w:r w:rsidRPr="00DE158F">
              <w:t>$298,724</w:t>
            </w:r>
          </w:p>
        </w:tc>
        <w:tc>
          <w:tcPr>
            <w:tcW w:w="472" w:type="pct"/>
            <w:noWrap/>
            <w:hideMark/>
          </w:tcPr>
          <w:p w14:paraId="560E5769" w14:textId="70C19933" w:rsidR="00313F54" w:rsidRPr="005F76D9" w:rsidRDefault="00313F54" w:rsidP="00313F54">
            <w:pPr>
              <w:pStyle w:val="Tabletext1"/>
              <w:ind w:left="0"/>
              <w:rPr>
                <w:rFonts w:cs="Calibri"/>
                <w:color w:val="000000"/>
              </w:rPr>
            </w:pPr>
            <w:r w:rsidRPr="00DE158F">
              <w:t>1.5888</w:t>
            </w:r>
          </w:p>
        </w:tc>
        <w:tc>
          <w:tcPr>
            <w:tcW w:w="550" w:type="pct"/>
            <w:noWrap/>
            <w:hideMark/>
          </w:tcPr>
          <w:p w14:paraId="7F3C4BA8" w14:textId="1BC071AC" w:rsidR="00313F54" w:rsidRPr="005F76D9" w:rsidRDefault="00313F54" w:rsidP="00313F54">
            <w:pPr>
              <w:pStyle w:val="Tabletext1"/>
              <w:ind w:left="0"/>
              <w:rPr>
                <w:rFonts w:cs="Calibri"/>
                <w:color w:val="000000"/>
              </w:rPr>
            </w:pPr>
            <w:r w:rsidRPr="00DE158F">
              <w:t>$188,018</w:t>
            </w:r>
          </w:p>
        </w:tc>
        <w:tc>
          <w:tcPr>
            <w:tcW w:w="522" w:type="pct"/>
            <w:noWrap/>
            <w:hideMark/>
          </w:tcPr>
          <w:p w14:paraId="472F572E" w14:textId="5A094427" w:rsidR="00313F54" w:rsidRPr="005F76D9" w:rsidRDefault="00313F54" w:rsidP="00313F54">
            <w:pPr>
              <w:pStyle w:val="Tabletext1"/>
              <w:ind w:left="0"/>
              <w:rPr>
                <w:rFonts w:cs="Calibri"/>
                <w:color w:val="000000"/>
              </w:rPr>
            </w:pPr>
            <w:r w:rsidRPr="00DE158F">
              <w:t>102%</w:t>
            </w:r>
          </w:p>
        </w:tc>
      </w:tr>
      <w:tr w:rsidR="00F228BC" w:rsidRPr="005F76D9" w14:paraId="2C70F1FC" w14:textId="77777777" w:rsidTr="00501DD7">
        <w:trPr>
          <w:trHeight w:val="255"/>
        </w:trPr>
        <w:tc>
          <w:tcPr>
            <w:tcW w:w="2906" w:type="pct"/>
            <w:noWrap/>
            <w:hideMark/>
          </w:tcPr>
          <w:p w14:paraId="1E785873" w14:textId="77777777" w:rsidR="00F228BC" w:rsidRPr="005F76D9" w:rsidRDefault="00F228BC" w:rsidP="00F228BC">
            <w:pPr>
              <w:pStyle w:val="Tabletext1"/>
              <w:ind w:left="0"/>
              <w:rPr>
                <w:rFonts w:cs="Calibri"/>
                <w:color w:val="000000"/>
              </w:rPr>
            </w:pPr>
            <w:r w:rsidRPr="005F76D9">
              <w:rPr>
                <w:rFonts w:cs="Calibri"/>
                <w:color w:val="000000"/>
              </w:rPr>
              <w:t>1.03%</w:t>
            </w:r>
          </w:p>
        </w:tc>
        <w:tc>
          <w:tcPr>
            <w:tcW w:w="550" w:type="pct"/>
            <w:noWrap/>
            <w:hideMark/>
          </w:tcPr>
          <w:p w14:paraId="09E603BB" w14:textId="256D52FF" w:rsidR="00F228BC" w:rsidRPr="005F76D9" w:rsidRDefault="00F228BC" w:rsidP="00F228BC">
            <w:pPr>
              <w:pStyle w:val="Tabletext1"/>
              <w:ind w:left="0"/>
              <w:rPr>
                <w:rFonts w:cs="Calibri"/>
                <w:color w:val="000000"/>
              </w:rPr>
            </w:pPr>
            <w:r w:rsidRPr="00E81CF8">
              <w:t>$274,184</w:t>
            </w:r>
          </w:p>
        </w:tc>
        <w:tc>
          <w:tcPr>
            <w:tcW w:w="472" w:type="pct"/>
            <w:noWrap/>
            <w:hideMark/>
          </w:tcPr>
          <w:p w14:paraId="5829C924" w14:textId="5391585A" w:rsidR="00F228BC" w:rsidRPr="005F76D9" w:rsidRDefault="00F228BC" w:rsidP="00F228BC">
            <w:pPr>
              <w:pStyle w:val="Tabletext1"/>
              <w:ind w:left="0"/>
              <w:rPr>
                <w:rFonts w:cs="Calibri"/>
                <w:color w:val="000000"/>
              </w:rPr>
            </w:pPr>
            <w:r w:rsidRPr="00E81CF8">
              <w:t>1.6085</w:t>
            </w:r>
          </w:p>
        </w:tc>
        <w:tc>
          <w:tcPr>
            <w:tcW w:w="550" w:type="pct"/>
            <w:noWrap/>
            <w:hideMark/>
          </w:tcPr>
          <w:p w14:paraId="56164A5C" w14:textId="6E9B3A4D" w:rsidR="00F228BC" w:rsidRPr="005F76D9" w:rsidRDefault="00F228BC" w:rsidP="00F228BC">
            <w:pPr>
              <w:pStyle w:val="Tabletext1"/>
              <w:ind w:left="0"/>
              <w:rPr>
                <w:rFonts w:cs="Calibri"/>
                <w:color w:val="000000"/>
              </w:rPr>
            </w:pPr>
            <w:r w:rsidRPr="00E81CF8">
              <w:t>$170,459</w:t>
            </w:r>
          </w:p>
        </w:tc>
        <w:tc>
          <w:tcPr>
            <w:tcW w:w="522" w:type="pct"/>
            <w:noWrap/>
            <w:hideMark/>
          </w:tcPr>
          <w:p w14:paraId="302F94EC" w14:textId="4F3D7B51" w:rsidR="00F228BC" w:rsidRPr="005F76D9" w:rsidRDefault="00F228BC" w:rsidP="00F228BC">
            <w:pPr>
              <w:pStyle w:val="Tabletext1"/>
              <w:ind w:left="0"/>
              <w:rPr>
                <w:rFonts w:cs="Calibri"/>
                <w:color w:val="000000"/>
              </w:rPr>
            </w:pPr>
            <w:r w:rsidRPr="00E81CF8">
              <w:t>83%</w:t>
            </w:r>
          </w:p>
        </w:tc>
      </w:tr>
      <w:tr w:rsidR="00F228BC" w:rsidRPr="005F76D9" w14:paraId="1C41F5D5" w14:textId="77777777" w:rsidTr="00501DD7">
        <w:trPr>
          <w:trHeight w:val="255"/>
        </w:trPr>
        <w:tc>
          <w:tcPr>
            <w:tcW w:w="2906" w:type="pct"/>
            <w:noWrap/>
            <w:hideMark/>
          </w:tcPr>
          <w:p w14:paraId="040018A2" w14:textId="77777777" w:rsidR="00F228BC" w:rsidRPr="005F76D9" w:rsidRDefault="00F228BC" w:rsidP="00F228BC">
            <w:pPr>
              <w:pStyle w:val="Tabletext1"/>
              <w:ind w:left="0"/>
              <w:rPr>
                <w:rFonts w:cs="Calibri"/>
                <w:color w:val="000000"/>
              </w:rPr>
            </w:pPr>
            <w:r w:rsidRPr="005F76D9">
              <w:rPr>
                <w:rFonts w:cs="Calibri"/>
                <w:color w:val="000000"/>
              </w:rPr>
              <w:t>3.66%</w:t>
            </w:r>
          </w:p>
        </w:tc>
        <w:tc>
          <w:tcPr>
            <w:tcW w:w="550" w:type="pct"/>
            <w:noWrap/>
            <w:hideMark/>
          </w:tcPr>
          <w:p w14:paraId="12BDA84A" w14:textId="0BD2BB97" w:rsidR="00F228BC" w:rsidRPr="005F76D9" w:rsidRDefault="00F228BC" w:rsidP="00F228BC">
            <w:pPr>
              <w:pStyle w:val="Tabletext1"/>
              <w:ind w:left="0"/>
              <w:rPr>
                <w:rFonts w:cs="Calibri"/>
                <w:color w:val="000000"/>
              </w:rPr>
            </w:pPr>
            <w:r w:rsidRPr="00E81CF8">
              <w:t>$188,373</w:t>
            </w:r>
          </w:p>
        </w:tc>
        <w:tc>
          <w:tcPr>
            <w:tcW w:w="472" w:type="pct"/>
            <w:noWrap/>
            <w:hideMark/>
          </w:tcPr>
          <w:p w14:paraId="10EDE385" w14:textId="1771FF7A" w:rsidR="00F228BC" w:rsidRPr="005F76D9" w:rsidRDefault="00F228BC" w:rsidP="00F228BC">
            <w:pPr>
              <w:pStyle w:val="Tabletext1"/>
              <w:ind w:left="0"/>
              <w:rPr>
                <w:rFonts w:cs="Calibri"/>
                <w:color w:val="000000"/>
              </w:rPr>
            </w:pPr>
            <w:r w:rsidRPr="00E81CF8">
              <w:t>1.6844</w:t>
            </w:r>
          </w:p>
        </w:tc>
        <w:tc>
          <w:tcPr>
            <w:tcW w:w="550" w:type="pct"/>
            <w:noWrap/>
            <w:hideMark/>
          </w:tcPr>
          <w:p w14:paraId="113E277B" w14:textId="6119ADCA" w:rsidR="00F228BC" w:rsidRPr="005F76D9" w:rsidRDefault="00F228BC" w:rsidP="00F228BC">
            <w:pPr>
              <w:pStyle w:val="Tabletext1"/>
              <w:ind w:left="0"/>
              <w:rPr>
                <w:rFonts w:cs="Calibri"/>
                <w:color w:val="000000"/>
              </w:rPr>
            </w:pPr>
            <w:r w:rsidRPr="00E81CF8">
              <w:t>$111,834</w:t>
            </w:r>
          </w:p>
        </w:tc>
        <w:tc>
          <w:tcPr>
            <w:tcW w:w="522" w:type="pct"/>
            <w:noWrap/>
            <w:hideMark/>
          </w:tcPr>
          <w:p w14:paraId="187D5C13" w14:textId="270FFF4D" w:rsidR="00F228BC" w:rsidRPr="005F76D9" w:rsidRDefault="00F228BC" w:rsidP="00F228BC">
            <w:pPr>
              <w:pStyle w:val="Tabletext1"/>
              <w:ind w:left="0"/>
              <w:rPr>
                <w:rFonts w:cs="Calibri"/>
                <w:color w:val="000000"/>
              </w:rPr>
            </w:pPr>
            <w:r w:rsidRPr="00E81CF8">
              <w:t>20%</w:t>
            </w:r>
          </w:p>
        </w:tc>
      </w:tr>
      <w:tr w:rsidR="00F228BC" w:rsidRPr="005F76D9" w14:paraId="05B69478" w14:textId="77777777" w:rsidTr="00501DD7">
        <w:trPr>
          <w:trHeight w:val="255"/>
        </w:trPr>
        <w:tc>
          <w:tcPr>
            <w:tcW w:w="2906" w:type="pct"/>
            <w:tcBorders>
              <w:bottom w:val="single" w:sz="4" w:space="0" w:color="auto"/>
            </w:tcBorders>
            <w:noWrap/>
            <w:hideMark/>
          </w:tcPr>
          <w:p w14:paraId="2980B74F" w14:textId="77777777" w:rsidR="00F228BC" w:rsidRPr="005F76D9" w:rsidRDefault="00F228BC" w:rsidP="00F228BC">
            <w:pPr>
              <w:pStyle w:val="Tabletext1"/>
              <w:ind w:left="0"/>
              <w:rPr>
                <w:rFonts w:cs="Calibri"/>
                <w:color w:val="000000"/>
              </w:rPr>
            </w:pPr>
            <w:r w:rsidRPr="005F76D9">
              <w:rPr>
                <w:rFonts w:cs="Calibri"/>
                <w:color w:val="000000"/>
              </w:rPr>
              <w:t>6.12%</w:t>
            </w:r>
          </w:p>
        </w:tc>
        <w:tc>
          <w:tcPr>
            <w:tcW w:w="550" w:type="pct"/>
            <w:tcBorders>
              <w:bottom w:val="single" w:sz="4" w:space="0" w:color="auto"/>
            </w:tcBorders>
            <w:noWrap/>
            <w:hideMark/>
          </w:tcPr>
          <w:p w14:paraId="4A051DC0" w14:textId="4A8CADC4" w:rsidR="00F228BC" w:rsidRPr="005F76D9" w:rsidRDefault="00F228BC" w:rsidP="00F228BC">
            <w:pPr>
              <w:pStyle w:val="Tabletext1"/>
              <w:ind w:left="0"/>
              <w:rPr>
                <w:rFonts w:cs="Calibri"/>
                <w:color w:val="000000"/>
              </w:rPr>
            </w:pPr>
            <w:r w:rsidRPr="00E81CF8">
              <w:t>$147,988</w:t>
            </w:r>
          </w:p>
        </w:tc>
        <w:tc>
          <w:tcPr>
            <w:tcW w:w="472" w:type="pct"/>
            <w:tcBorders>
              <w:bottom w:val="single" w:sz="4" w:space="0" w:color="auto"/>
            </w:tcBorders>
            <w:noWrap/>
            <w:hideMark/>
          </w:tcPr>
          <w:p w14:paraId="4153369A" w14:textId="33223786" w:rsidR="00F228BC" w:rsidRPr="005F76D9" w:rsidRDefault="00F228BC" w:rsidP="00F228BC">
            <w:pPr>
              <w:pStyle w:val="Tabletext1"/>
              <w:ind w:left="0"/>
              <w:rPr>
                <w:rFonts w:cs="Calibri"/>
                <w:color w:val="000000"/>
              </w:rPr>
            </w:pPr>
            <w:r w:rsidRPr="00E81CF8">
              <w:t>1.7309</w:t>
            </w:r>
          </w:p>
        </w:tc>
        <w:tc>
          <w:tcPr>
            <w:tcW w:w="550" w:type="pct"/>
            <w:tcBorders>
              <w:bottom w:val="single" w:sz="4" w:space="0" w:color="auto"/>
            </w:tcBorders>
            <w:noWrap/>
            <w:hideMark/>
          </w:tcPr>
          <w:p w14:paraId="30628258" w14:textId="4BB53B8C" w:rsidR="00F228BC" w:rsidRPr="005F76D9" w:rsidRDefault="00F228BC" w:rsidP="00F228BC">
            <w:pPr>
              <w:pStyle w:val="Tabletext1"/>
              <w:ind w:left="0"/>
              <w:rPr>
                <w:rFonts w:cs="Calibri"/>
                <w:color w:val="000000"/>
              </w:rPr>
            </w:pPr>
            <w:r w:rsidRPr="00E81CF8">
              <w:t>$85,497</w:t>
            </w:r>
          </w:p>
        </w:tc>
        <w:tc>
          <w:tcPr>
            <w:tcW w:w="522" w:type="pct"/>
            <w:tcBorders>
              <w:bottom w:val="single" w:sz="4" w:space="0" w:color="auto"/>
            </w:tcBorders>
            <w:noWrap/>
            <w:hideMark/>
          </w:tcPr>
          <w:p w14:paraId="4E2F3FFC" w14:textId="3F9B9200" w:rsidR="00F228BC" w:rsidRPr="005F76D9" w:rsidRDefault="00F228BC" w:rsidP="00F228BC">
            <w:pPr>
              <w:pStyle w:val="Tabletext1"/>
              <w:ind w:left="0"/>
              <w:rPr>
                <w:rFonts w:cs="Calibri"/>
                <w:color w:val="000000"/>
              </w:rPr>
            </w:pPr>
            <w:r w:rsidRPr="00E81CF8">
              <w:t>-8%</w:t>
            </w:r>
          </w:p>
        </w:tc>
      </w:tr>
      <w:tr w:rsidR="00F228BC" w:rsidRPr="007C14BE" w14:paraId="74210B2D" w14:textId="77777777" w:rsidTr="00501DD7">
        <w:trPr>
          <w:trHeight w:val="255"/>
        </w:trPr>
        <w:tc>
          <w:tcPr>
            <w:tcW w:w="2906" w:type="pct"/>
            <w:tcBorders>
              <w:right w:val="nil"/>
            </w:tcBorders>
            <w:noWrap/>
            <w:hideMark/>
          </w:tcPr>
          <w:p w14:paraId="486A84FA" w14:textId="77777777" w:rsidR="00F228BC" w:rsidRPr="00313F54" w:rsidRDefault="00F228BC" w:rsidP="00F228BC">
            <w:pPr>
              <w:pStyle w:val="Tabletext1"/>
              <w:ind w:left="0"/>
              <w:rPr>
                <w:rFonts w:cs="Calibri"/>
                <w:b/>
                <w:color w:val="000000"/>
              </w:rPr>
            </w:pPr>
            <w:r w:rsidRPr="00313F54">
              <w:rPr>
                <w:rFonts w:cs="Calibri"/>
                <w:b/>
                <w:color w:val="000000"/>
              </w:rPr>
              <w:t>Severe adverse event (base case: 1.02%)</w:t>
            </w:r>
          </w:p>
        </w:tc>
        <w:tc>
          <w:tcPr>
            <w:tcW w:w="550" w:type="pct"/>
            <w:tcBorders>
              <w:left w:val="nil"/>
              <w:right w:val="nil"/>
            </w:tcBorders>
            <w:noWrap/>
            <w:hideMark/>
          </w:tcPr>
          <w:p w14:paraId="397C4C4E" w14:textId="77777777" w:rsidR="00F228BC" w:rsidRPr="00313F54" w:rsidRDefault="00F228BC" w:rsidP="00F228BC">
            <w:pPr>
              <w:pStyle w:val="Tabletext1"/>
              <w:ind w:left="0"/>
              <w:rPr>
                <w:rFonts w:cs="Calibri"/>
                <w:b/>
                <w:color w:val="000000"/>
              </w:rPr>
            </w:pPr>
          </w:p>
        </w:tc>
        <w:tc>
          <w:tcPr>
            <w:tcW w:w="472" w:type="pct"/>
            <w:tcBorders>
              <w:left w:val="nil"/>
              <w:right w:val="nil"/>
            </w:tcBorders>
            <w:noWrap/>
            <w:hideMark/>
          </w:tcPr>
          <w:p w14:paraId="70880BDF" w14:textId="77777777" w:rsidR="00F228BC" w:rsidRPr="00313F54" w:rsidRDefault="00F228BC" w:rsidP="00F228BC">
            <w:pPr>
              <w:pStyle w:val="Tabletext1"/>
              <w:ind w:left="0"/>
              <w:rPr>
                <w:b/>
              </w:rPr>
            </w:pPr>
          </w:p>
        </w:tc>
        <w:tc>
          <w:tcPr>
            <w:tcW w:w="550" w:type="pct"/>
            <w:tcBorders>
              <w:left w:val="nil"/>
              <w:right w:val="nil"/>
            </w:tcBorders>
            <w:noWrap/>
            <w:hideMark/>
          </w:tcPr>
          <w:p w14:paraId="2E3C6B6A" w14:textId="77777777" w:rsidR="00F228BC" w:rsidRPr="00313F54" w:rsidRDefault="00F228BC" w:rsidP="00F228BC">
            <w:pPr>
              <w:pStyle w:val="Tabletext1"/>
              <w:ind w:left="0"/>
              <w:rPr>
                <w:b/>
              </w:rPr>
            </w:pPr>
          </w:p>
        </w:tc>
        <w:tc>
          <w:tcPr>
            <w:tcW w:w="522" w:type="pct"/>
            <w:tcBorders>
              <w:left w:val="nil"/>
            </w:tcBorders>
            <w:noWrap/>
            <w:hideMark/>
          </w:tcPr>
          <w:p w14:paraId="5EF18FA8" w14:textId="77777777" w:rsidR="00F228BC" w:rsidRPr="00313F54" w:rsidRDefault="00F228BC" w:rsidP="00F228BC">
            <w:pPr>
              <w:pStyle w:val="Tabletext1"/>
              <w:ind w:left="0"/>
              <w:rPr>
                <w:rFonts w:cs="Calibri"/>
                <w:b/>
                <w:color w:val="000000"/>
              </w:rPr>
            </w:pPr>
          </w:p>
        </w:tc>
      </w:tr>
      <w:tr w:rsidR="00F228BC" w:rsidRPr="005F76D9" w14:paraId="6945DA12" w14:textId="77777777" w:rsidTr="00501DD7">
        <w:trPr>
          <w:trHeight w:val="255"/>
        </w:trPr>
        <w:tc>
          <w:tcPr>
            <w:tcW w:w="2906" w:type="pct"/>
            <w:tcBorders>
              <w:bottom w:val="single" w:sz="4" w:space="0" w:color="auto"/>
            </w:tcBorders>
            <w:noWrap/>
            <w:hideMark/>
          </w:tcPr>
          <w:p w14:paraId="32B6B3CF" w14:textId="77777777" w:rsidR="00F228BC" w:rsidRPr="005F76D9" w:rsidRDefault="00F228BC" w:rsidP="00F228BC">
            <w:pPr>
              <w:pStyle w:val="Tabletext1"/>
              <w:ind w:left="0"/>
              <w:rPr>
                <w:rFonts w:cs="Calibri"/>
                <w:color w:val="000000"/>
              </w:rPr>
            </w:pPr>
            <w:r w:rsidRPr="005F76D9">
              <w:rPr>
                <w:rFonts w:cs="Calibri"/>
                <w:color w:val="000000"/>
              </w:rPr>
              <w:t>0.03%</w:t>
            </w:r>
          </w:p>
        </w:tc>
        <w:tc>
          <w:tcPr>
            <w:tcW w:w="550" w:type="pct"/>
            <w:tcBorders>
              <w:bottom w:val="single" w:sz="4" w:space="0" w:color="auto"/>
            </w:tcBorders>
            <w:noWrap/>
            <w:hideMark/>
          </w:tcPr>
          <w:p w14:paraId="261CECC9" w14:textId="1098FC4F" w:rsidR="00F228BC" w:rsidRPr="005F76D9" w:rsidRDefault="00F228BC" w:rsidP="00F228BC">
            <w:pPr>
              <w:pStyle w:val="Tabletext1"/>
              <w:ind w:left="0"/>
              <w:rPr>
                <w:rFonts w:cs="Calibri"/>
                <w:color w:val="000000"/>
              </w:rPr>
            </w:pPr>
            <w:r w:rsidRPr="00E81CF8">
              <w:t>$171,666</w:t>
            </w:r>
          </w:p>
        </w:tc>
        <w:tc>
          <w:tcPr>
            <w:tcW w:w="472" w:type="pct"/>
            <w:tcBorders>
              <w:bottom w:val="single" w:sz="4" w:space="0" w:color="auto"/>
            </w:tcBorders>
            <w:noWrap/>
            <w:hideMark/>
          </w:tcPr>
          <w:p w14:paraId="3EB493AA" w14:textId="1894AC24" w:rsidR="00F228BC" w:rsidRPr="005F76D9" w:rsidRDefault="00F228BC" w:rsidP="00F228BC">
            <w:pPr>
              <w:pStyle w:val="Tabletext1"/>
              <w:ind w:left="0"/>
              <w:rPr>
                <w:rFonts w:cs="Calibri"/>
                <w:color w:val="000000"/>
              </w:rPr>
            </w:pPr>
            <w:r w:rsidRPr="00E81CF8">
              <w:t>1.8458</w:t>
            </w:r>
          </w:p>
        </w:tc>
        <w:tc>
          <w:tcPr>
            <w:tcW w:w="550" w:type="pct"/>
            <w:tcBorders>
              <w:bottom w:val="single" w:sz="4" w:space="0" w:color="auto"/>
            </w:tcBorders>
            <w:noWrap/>
            <w:hideMark/>
          </w:tcPr>
          <w:p w14:paraId="3091C6E3" w14:textId="0315E79C" w:rsidR="00F228BC" w:rsidRPr="005F76D9" w:rsidRDefault="00F228BC" w:rsidP="00F228BC">
            <w:pPr>
              <w:pStyle w:val="Tabletext1"/>
              <w:ind w:left="0"/>
              <w:rPr>
                <w:rFonts w:cs="Calibri"/>
                <w:color w:val="000000"/>
              </w:rPr>
            </w:pPr>
            <w:r w:rsidRPr="00E81CF8">
              <w:t>$93,005</w:t>
            </w:r>
          </w:p>
        </w:tc>
        <w:tc>
          <w:tcPr>
            <w:tcW w:w="522" w:type="pct"/>
            <w:tcBorders>
              <w:bottom w:val="single" w:sz="4" w:space="0" w:color="auto"/>
            </w:tcBorders>
            <w:noWrap/>
            <w:hideMark/>
          </w:tcPr>
          <w:p w14:paraId="6387BC0B" w14:textId="407C0228" w:rsidR="00F228BC" w:rsidRPr="005F76D9" w:rsidRDefault="00F228BC" w:rsidP="00F228BC">
            <w:pPr>
              <w:pStyle w:val="Tabletext1"/>
              <w:ind w:left="0"/>
              <w:rPr>
                <w:rFonts w:cs="Calibri"/>
                <w:color w:val="000000"/>
              </w:rPr>
            </w:pPr>
            <w:r w:rsidRPr="00E81CF8">
              <w:t>0%</w:t>
            </w:r>
          </w:p>
        </w:tc>
      </w:tr>
    </w:tbl>
    <w:p w14:paraId="200B2D20" w14:textId="5BF4034C" w:rsidR="00021A77" w:rsidRPr="00021A77" w:rsidRDefault="00CB0278" w:rsidP="00CB0278">
      <w:pPr>
        <w:pStyle w:val="Tablenotes1"/>
      </w:pPr>
      <w:r>
        <w:t>Ig = immunoglobulin;</w:t>
      </w:r>
      <w:r w:rsidRPr="00EF530F">
        <w:t xml:space="preserve"> ICER = incremental cost-effectiveness ratio; Ig = immunoglobulin; Inc = Incremental;</w:t>
      </w:r>
      <w:r>
        <w:t xml:space="preserve"> IV = intravenous;</w:t>
      </w:r>
      <w:r w:rsidRPr="00EF530F">
        <w:t xml:space="preserve"> kg = kilograms; QALY = quality-adjusted life years</w:t>
      </w:r>
      <w:r w:rsidRPr="00EF530F" w:rsidDel="0088260D">
        <w:t xml:space="preserve"> </w:t>
      </w:r>
    </w:p>
    <w:p w14:paraId="67CEED4E" w14:textId="055ABD15" w:rsidR="00920A12" w:rsidRPr="00183E4D" w:rsidRDefault="00920A12" w:rsidP="00920A12">
      <w:pPr>
        <w:pStyle w:val="Heading1"/>
      </w:pPr>
      <w:bookmarkStart w:id="578" w:name="_Toc16671595"/>
      <w:bookmarkStart w:id="579" w:name="_Toc69305639"/>
      <w:r w:rsidRPr="00183E4D">
        <w:t xml:space="preserve">Appendix </w:t>
      </w:r>
      <w:r w:rsidR="002047FB">
        <w:rPr>
          <w:noProof/>
        </w:rPr>
        <w:t>H</w:t>
      </w:r>
      <w:r w:rsidRPr="00183E4D">
        <w:tab/>
      </w:r>
      <w:r>
        <w:t>Financial implications appendix</w:t>
      </w:r>
      <w:bookmarkEnd w:id="578"/>
      <w:bookmarkEnd w:id="579"/>
    </w:p>
    <w:p w14:paraId="0872AA86" w14:textId="46D5957E" w:rsidR="00920A12" w:rsidRDefault="00920A12" w:rsidP="00920A12">
      <w:pPr>
        <w:pStyle w:val="Heading2"/>
      </w:pPr>
      <w:bookmarkStart w:id="580" w:name="_Toc16671596"/>
      <w:bookmarkStart w:id="581" w:name="_Toc69305640"/>
      <w:r>
        <w:t>Identification, estimation and reduction of uncertainty</w:t>
      </w:r>
      <w:bookmarkEnd w:id="580"/>
      <w:bookmarkEnd w:id="581"/>
    </w:p>
    <w:p w14:paraId="32047A59" w14:textId="75438380" w:rsidR="00920A12" w:rsidRPr="008474CF" w:rsidRDefault="00920A12" w:rsidP="00920A12">
      <w:pPr>
        <w:pStyle w:val="Caption"/>
      </w:pPr>
      <w:bookmarkStart w:id="582" w:name="_Ref16607859"/>
      <w:bookmarkStart w:id="583" w:name="_Toc16671696"/>
      <w:bookmarkStart w:id="584" w:name="_Toc69305730"/>
      <w:r w:rsidRPr="008474CF">
        <w:t xml:space="preserve">Table </w:t>
      </w:r>
      <w:r>
        <w:rPr>
          <w:noProof/>
        </w:rPr>
        <w:fldChar w:fldCharType="begin"/>
      </w:r>
      <w:r>
        <w:rPr>
          <w:noProof/>
        </w:rPr>
        <w:instrText xml:space="preserve"> SEQ Table \* ARABIC </w:instrText>
      </w:r>
      <w:r>
        <w:rPr>
          <w:noProof/>
        </w:rPr>
        <w:fldChar w:fldCharType="separate"/>
      </w:r>
      <w:r w:rsidR="004B3EA2">
        <w:rPr>
          <w:noProof/>
        </w:rPr>
        <w:t>89</w:t>
      </w:r>
      <w:r>
        <w:rPr>
          <w:noProof/>
        </w:rPr>
        <w:fldChar w:fldCharType="end"/>
      </w:r>
      <w:bookmarkEnd w:id="582"/>
      <w:r w:rsidRPr="008474CF">
        <w:tab/>
        <w:t xml:space="preserve">Estimation of the average weighted cost per gram within the </w:t>
      </w:r>
      <w:bookmarkEnd w:id="583"/>
      <w:r>
        <w:t>CIDP indications</w:t>
      </w:r>
      <w:bookmarkEnd w:id="584"/>
    </w:p>
    <w:tbl>
      <w:tblPr>
        <w:tblStyle w:val="TableGrid"/>
        <w:tblW w:w="5000" w:type="pct"/>
        <w:tblLook w:val="04A0" w:firstRow="1" w:lastRow="0" w:firstColumn="1" w:lastColumn="0" w:noHBand="0" w:noVBand="1"/>
        <w:tblCaption w:val="Estimation of the average weighted cost per gram within the CIDP indications"/>
        <w:tblDescription w:val="Estimation of the average weighted cost per gram within the CIDP indications"/>
      </w:tblPr>
      <w:tblGrid>
        <w:gridCol w:w="2239"/>
        <w:gridCol w:w="2238"/>
        <w:gridCol w:w="2303"/>
        <w:gridCol w:w="2236"/>
      </w:tblGrid>
      <w:tr w:rsidR="00920A12" w:rsidRPr="00A21EDA" w14:paraId="407BCA6E" w14:textId="77777777" w:rsidTr="008E718E">
        <w:trPr>
          <w:trHeight w:val="300"/>
          <w:tblHeader/>
        </w:trPr>
        <w:tc>
          <w:tcPr>
            <w:tcW w:w="1242" w:type="pct"/>
            <w:noWrap/>
            <w:hideMark/>
          </w:tcPr>
          <w:p w14:paraId="70D66D7D" w14:textId="77777777" w:rsidR="00920A12" w:rsidRPr="00A21EDA" w:rsidRDefault="00920A12" w:rsidP="008E718E">
            <w:pPr>
              <w:pStyle w:val="TableHeading"/>
            </w:pPr>
          </w:p>
        </w:tc>
        <w:tc>
          <w:tcPr>
            <w:tcW w:w="1241" w:type="pct"/>
            <w:noWrap/>
            <w:hideMark/>
          </w:tcPr>
          <w:p w14:paraId="6D334759" w14:textId="77777777" w:rsidR="00920A12" w:rsidRPr="00A21EDA" w:rsidRDefault="00920A12" w:rsidP="008E718E">
            <w:pPr>
              <w:pStyle w:val="TableHeading"/>
              <w:jc w:val="center"/>
            </w:pPr>
            <w:r w:rsidRPr="00A21EDA">
              <w:t>Usage (grams)</w:t>
            </w:r>
          </w:p>
        </w:tc>
        <w:tc>
          <w:tcPr>
            <w:tcW w:w="1277" w:type="pct"/>
            <w:noWrap/>
            <w:hideMark/>
          </w:tcPr>
          <w:p w14:paraId="634513BF" w14:textId="77777777" w:rsidR="00920A12" w:rsidRPr="00A21EDA" w:rsidRDefault="00920A12" w:rsidP="008E718E">
            <w:pPr>
              <w:pStyle w:val="TableHeading"/>
              <w:jc w:val="center"/>
            </w:pPr>
            <w:r w:rsidRPr="00A21EDA">
              <w:t>Proportion of use</w:t>
            </w:r>
          </w:p>
        </w:tc>
        <w:tc>
          <w:tcPr>
            <w:tcW w:w="1240" w:type="pct"/>
          </w:tcPr>
          <w:p w14:paraId="6C136E4F" w14:textId="77777777" w:rsidR="00920A12" w:rsidRPr="00A21EDA" w:rsidRDefault="00920A12" w:rsidP="008E718E">
            <w:pPr>
              <w:pStyle w:val="TableHeading"/>
              <w:jc w:val="center"/>
            </w:pPr>
            <w:r w:rsidRPr="00A21EDA">
              <w:t>Cost per gram</w:t>
            </w:r>
          </w:p>
        </w:tc>
      </w:tr>
      <w:tr w:rsidR="00920A12" w:rsidRPr="00A21EDA" w14:paraId="1E8759B0" w14:textId="77777777" w:rsidTr="008E718E">
        <w:trPr>
          <w:trHeight w:val="300"/>
        </w:trPr>
        <w:tc>
          <w:tcPr>
            <w:tcW w:w="1242" w:type="pct"/>
            <w:noWrap/>
            <w:hideMark/>
          </w:tcPr>
          <w:p w14:paraId="6811B001" w14:textId="77777777" w:rsidR="00920A12" w:rsidRPr="00A21EDA" w:rsidRDefault="00920A12" w:rsidP="008E718E">
            <w:pPr>
              <w:pStyle w:val="Tabletext1"/>
            </w:pPr>
            <w:r w:rsidRPr="00A21EDA">
              <w:t>Domestic IVIg</w:t>
            </w:r>
          </w:p>
        </w:tc>
        <w:tc>
          <w:tcPr>
            <w:tcW w:w="1241" w:type="pct"/>
            <w:noWrap/>
            <w:hideMark/>
          </w:tcPr>
          <w:p w14:paraId="099A1299" w14:textId="77777777" w:rsidR="00920A12" w:rsidRPr="00A21EDA" w:rsidRDefault="00920A12" w:rsidP="008E718E">
            <w:pPr>
              <w:pStyle w:val="Tabletext1"/>
              <w:jc w:val="center"/>
            </w:pPr>
            <w:r w:rsidRPr="00A929C2">
              <w:t>418,630</w:t>
            </w:r>
          </w:p>
        </w:tc>
        <w:tc>
          <w:tcPr>
            <w:tcW w:w="1277" w:type="pct"/>
            <w:noWrap/>
            <w:hideMark/>
          </w:tcPr>
          <w:p w14:paraId="76C83133" w14:textId="77777777" w:rsidR="00920A12" w:rsidRPr="00A21EDA" w:rsidRDefault="00920A12" w:rsidP="008E718E">
            <w:pPr>
              <w:pStyle w:val="Tabletext1"/>
              <w:jc w:val="center"/>
            </w:pPr>
            <w:r w:rsidRPr="003214C1">
              <w:t>28%</w:t>
            </w:r>
          </w:p>
        </w:tc>
        <w:tc>
          <w:tcPr>
            <w:tcW w:w="1240" w:type="pct"/>
          </w:tcPr>
          <w:p w14:paraId="79146583" w14:textId="77777777" w:rsidR="00920A12" w:rsidRPr="000C063B" w:rsidRDefault="00920A12" w:rsidP="008E718E">
            <w:pPr>
              <w:pStyle w:val="Tabletext1"/>
              <w:jc w:val="center"/>
            </w:pPr>
            <w:r w:rsidRPr="000C063B">
              <w:t>$140.18</w:t>
            </w:r>
          </w:p>
        </w:tc>
      </w:tr>
      <w:tr w:rsidR="00920A12" w:rsidRPr="00A21EDA" w14:paraId="5DCB91B3" w14:textId="77777777" w:rsidTr="008E718E">
        <w:trPr>
          <w:trHeight w:val="300"/>
        </w:trPr>
        <w:tc>
          <w:tcPr>
            <w:tcW w:w="1242" w:type="pct"/>
            <w:noWrap/>
            <w:hideMark/>
          </w:tcPr>
          <w:p w14:paraId="49887B98" w14:textId="77777777" w:rsidR="00920A12" w:rsidRPr="00A21EDA" w:rsidRDefault="00920A12" w:rsidP="008E718E">
            <w:pPr>
              <w:pStyle w:val="Tabletext1"/>
            </w:pPr>
            <w:r w:rsidRPr="00A21EDA">
              <w:t>Imported IVIg</w:t>
            </w:r>
          </w:p>
        </w:tc>
        <w:tc>
          <w:tcPr>
            <w:tcW w:w="1241" w:type="pct"/>
            <w:noWrap/>
            <w:hideMark/>
          </w:tcPr>
          <w:p w14:paraId="13FA5B13" w14:textId="77777777" w:rsidR="00920A12" w:rsidRPr="00A21EDA" w:rsidRDefault="00920A12" w:rsidP="008E718E">
            <w:pPr>
              <w:pStyle w:val="Tabletext1"/>
              <w:jc w:val="center"/>
            </w:pPr>
            <w:r w:rsidRPr="00A929C2">
              <w:t>1,041,822</w:t>
            </w:r>
          </w:p>
        </w:tc>
        <w:tc>
          <w:tcPr>
            <w:tcW w:w="1277" w:type="pct"/>
            <w:noWrap/>
            <w:hideMark/>
          </w:tcPr>
          <w:p w14:paraId="0684AE1D" w14:textId="77777777" w:rsidR="00920A12" w:rsidRPr="00A21EDA" w:rsidRDefault="00920A12" w:rsidP="008E718E">
            <w:pPr>
              <w:pStyle w:val="Tabletext1"/>
              <w:jc w:val="center"/>
            </w:pPr>
            <w:r w:rsidRPr="003214C1">
              <w:t>70%</w:t>
            </w:r>
          </w:p>
        </w:tc>
        <w:tc>
          <w:tcPr>
            <w:tcW w:w="1240" w:type="pct"/>
          </w:tcPr>
          <w:p w14:paraId="2B184995" w14:textId="77777777" w:rsidR="00920A12" w:rsidRPr="000C063B" w:rsidRDefault="00920A12" w:rsidP="008E718E">
            <w:pPr>
              <w:pStyle w:val="Tabletext1"/>
              <w:jc w:val="center"/>
            </w:pPr>
            <w:r w:rsidRPr="000C063B">
              <w:t>$44.94</w:t>
            </w:r>
          </w:p>
        </w:tc>
      </w:tr>
      <w:tr w:rsidR="00920A12" w:rsidRPr="00A21EDA" w14:paraId="5592BA23" w14:textId="77777777" w:rsidTr="008E718E">
        <w:trPr>
          <w:trHeight w:val="300"/>
        </w:trPr>
        <w:tc>
          <w:tcPr>
            <w:tcW w:w="1242" w:type="pct"/>
            <w:noWrap/>
            <w:hideMark/>
          </w:tcPr>
          <w:p w14:paraId="65A15F2F" w14:textId="77777777" w:rsidR="00920A12" w:rsidRPr="00A21EDA" w:rsidRDefault="00920A12" w:rsidP="008E718E">
            <w:pPr>
              <w:pStyle w:val="Tabletext1"/>
            </w:pPr>
            <w:r w:rsidRPr="00A21EDA">
              <w:t xml:space="preserve">Domestic SCIg </w:t>
            </w:r>
          </w:p>
        </w:tc>
        <w:tc>
          <w:tcPr>
            <w:tcW w:w="1241" w:type="pct"/>
            <w:noWrap/>
            <w:hideMark/>
          </w:tcPr>
          <w:p w14:paraId="7ACD8223" w14:textId="77777777" w:rsidR="00920A12" w:rsidRPr="00A21EDA" w:rsidRDefault="00920A12" w:rsidP="008E718E">
            <w:pPr>
              <w:pStyle w:val="Tabletext1"/>
              <w:jc w:val="center"/>
            </w:pPr>
            <w:r>
              <w:t>-</w:t>
            </w:r>
          </w:p>
        </w:tc>
        <w:tc>
          <w:tcPr>
            <w:tcW w:w="1277" w:type="pct"/>
            <w:noWrap/>
            <w:hideMark/>
          </w:tcPr>
          <w:p w14:paraId="3906606B" w14:textId="77777777" w:rsidR="00920A12" w:rsidRPr="00A21EDA" w:rsidRDefault="00920A12" w:rsidP="008E718E">
            <w:pPr>
              <w:pStyle w:val="Tabletext1"/>
              <w:jc w:val="center"/>
            </w:pPr>
            <w:r w:rsidRPr="003214C1">
              <w:t>0%</w:t>
            </w:r>
          </w:p>
        </w:tc>
        <w:tc>
          <w:tcPr>
            <w:tcW w:w="1240" w:type="pct"/>
          </w:tcPr>
          <w:p w14:paraId="44ADAB55" w14:textId="77777777" w:rsidR="00920A12" w:rsidRPr="000C063B" w:rsidRDefault="00920A12" w:rsidP="008E718E">
            <w:pPr>
              <w:pStyle w:val="Tabletext1"/>
              <w:jc w:val="center"/>
            </w:pPr>
            <w:r w:rsidRPr="000C063B">
              <w:t>$62.45</w:t>
            </w:r>
          </w:p>
        </w:tc>
      </w:tr>
      <w:tr w:rsidR="00920A12" w:rsidRPr="00A21EDA" w14:paraId="3E459BB3" w14:textId="77777777" w:rsidTr="008E718E">
        <w:trPr>
          <w:trHeight w:val="300"/>
        </w:trPr>
        <w:tc>
          <w:tcPr>
            <w:tcW w:w="1242" w:type="pct"/>
            <w:noWrap/>
            <w:hideMark/>
          </w:tcPr>
          <w:p w14:paraId="78FBBDE2" w14:textId="77777777" w:rsidR="00920A12" w:rsidRPr="00A21EDA" w:rsidRDefault="00920A12" w:rsidP="008E718E">
            <w:pPr>
              <w:pStyle w:val="Tabletext1"/>
            </w:pPr>
            <w:r w:rsidRPr="00A21EDA">
              <w:t>Imported SCIg</w:t>
            </w:r>
          </w:p>
        </w:tc>
        <w:tc>
          <w:tcPr>
            <w:tcW w:w="1241" w:type="pct"/>
            <w:noWrap/>
            <w:hideMark/>
          </w:tcPr>
          <w:p w14:paraId="6CB079E4" w14:textId="77777777" w:rsidR="00920A12" w:rsidRPr="00A21EDA" w:rsidRDefault="00920A12" w:rsidP="008E718E">
            <w:pPr>
              <w:pStyle w:val="Tabletext1"/>
              <w:jc w:val="center"/>
            </w:pPr>
            <w:r w:rsidRPr="00A929C2">
              <w:t>33,996</w:t>
            </w:r>
          </w:p>
        </w:tc>
        <w:tc>
          <w:tcPr>
            <w:tcW w:w="1277" w:type="pct"/>
            <w:noWrap/>
            <w:hideMark/>
          </w:tcPr>
          <w:p w14:paraId="49410428" w14:textId="77777777" w:rsidR="00920A12" w:rsidRPr="00A21EDA" w:rsidRDefault="00920A12" w:rsidP="008E718E">
            <w:pPr>
              <w:pStyle w:val="Tabletext1"/>
              <w:jc w:val="center"/>
            </w:pPr>
            <w:r w:rsidRPr="003214C1">
              <w:t>2%</w:t>
            </w:r>
          </w:p>
        </w:tc>
        <w:tc>
          <w:tcPr>
            <w:tcW w:w="1240" w:type="pct"/>
          </w:tcPr>
          <w:p w14:paraId="5E4954C3" w14:textId="77777777" w:rsidR="00920A12" w:rsidRPr="000C063B" w:rsidRDefault="00920A12" w:rsidP="008E718E">
            <w:pPr>
              <w:pStyle w:val="Tabletext1"/>
              <w:jc w:val="center"/>
            </w:pPr>
            <w:r w:rsidRPr="000C063B">
              <w:t>$55.66</w:t>
            </w:r>
          </w:p>
        </w:tc>
      </w:tr>
      <w:tr w:rsidR="00920A12" w:rsidRPr="00A21EDA" w14:paraId="2977BED3" w14:textId="77777777" w:rsidTr="008E718E">
        <w:trPr>
          <w:trHeight w:val="300"/>
        </w:trPr>
        <w:tc>
          <w:tcPr>
            <w:tcW w:w="1242" w:type="pct"/>
            <w:noWrap/>
            <w:hideMark/>
          </w:tcPr>
          <w:p w14:paraId="0F72FA39" w14:textId="77777777" w:rsidR="00920A12" w:rsidRPr="00A21EDA" w:rsidRDefault="00920A12" w:rsidP="008E718E">
            <w:pPr>
              <w:pStyle w:val="Tabletext1"/>
              <w:rPr>
                <w:b/>
              </w:rPr>
            </w:pPr>
            <w:r w:rsidRPr="00A21EDA">
              <w:rPr>
                <w:b/>
              </w:rPr>
              <w:t>Weighted price</w:t>
            </w:r>
          </w:p>
        </w:tc>
        <w:tc>
          <w:tcPr>
            <w:tcW w:w="1241" w:type="pct"/>
            <w:noWrap/>
            <w:hideMark/>
          </w:tcPr>
          <w:p w14:paraId="48F6082A" w14:textId="77777777" w:rsidR="00920A12" w:rsidRPr="00A21EDA" w:rsidRDefault="00920A12" w:rsidP="008E718E">
            <w:pPr>
              <w:pStyle w:val="Tabletext1"/>
              <w:jc w:val="center"/>
              <w:rPr>
                <w:b/>
              </w:rPr>
            </w:pPr>
          </w:p>
        </w:tc>
        <w:tc>
          <w:tcPr>
            <w:tcW w:w="1277" w:type="pct"/>
            <w:noWrap/>
            <w:hideMark/>
          </w:tcPr>
          <w:p w14:paraId="21A41A96" w14:textId="77777777" w:rsidR="00920A12" w:rsidRPr="00A21EDA" w:rsidRDefault="00920A12" w:rsidP="008E718E">
            <w:pPr>
              <w:pStyle w:val="Tabletext1"/>
              <w:jc w:val="center"/>
              <w:rPr>
                <w:b/>
              </w:rPr>
            </w:pPr>
          </w:p>
        </w:tc>
        <w:tc>
          <w:tcPr>
            <w:tcW w:w="1240" w:type="pct"/>
          </w:tcPr>
          <w:p w14:paraId="2F9CB27A" w14:textId="77777777" w:rsidR="00920A12" w:rsidRPr="00202274" w:rsidRDefault="00920A12" w:rsidP="008E718E">
            <w:pPr>
              <w:pStyle w:val="Tabletext1"/>
              <w:jc w:val="center"/>
              <w:rPr>
                <w:b/>
              </w:rPr>
            </w:pPr>
            <w:r w:rsidRPr="00202274">
              <w:rPr>
                <w:b/>
              </w:rPr>
              <w:t>$</w:t>
            </w:r>
            <w:r>
              <w:rPr>
                <w:b/>
              </w:rPr>
              <w:t>71.86</w:t>
            </w:r>
          </w:p>
        </w:tc>
      </w:tr>
    </w:tbl>
    <w:p w14:paraId="71E06995" w14:textId="77777777" w:rsidR="00920A12" w:rsidRDefault="00920A12" w:rsidP="00920A12">
      <w:pPr>
        <w:pStyle w:val="Tablenotes1"/>
      </w:pPr>
      <w:r>
        <w:t>CIDP = chronic inflammatory demyelinating polyneuropathy; Ig = immunoglobulin; IVIg = intravenous immunoglobulin; SCIg = subcutaneous immunoglobulin.</w:t>
      </w:r>
    </w:p>
    <w:p w14:paraId="23BF7C63" w14:textId="5154A408" w:rsidR="007C6B44" w:rsidRPr="004C6054" w:rsidRDefault="00920A12" w:rsidP="005B10F4">
      <w:pPr>
        <w:pStyle w:val="Tablenotes1"/>
      </w:pPr>
      <w:r>
        <w:t>Source: ‘NBA Ig use’ worksheet in</w:t>
      </w:r>
      <w:r w:rsidRPr="00A21EDA">
        <w:t xml:space="preserve"> the 'HTA Data </w:t>
      </w:r>
      <w:r>
        <w:t>December 2020</w:t>
      </w:r>
      <w:r w:rsidRPr="00A21EDA">
        <w:t>.xlsx' workbook</w:t>
      </w:r>
      <w:r>
        <w:t>.</w:t>
      </w:r>
    </w:p>
    <w:p w14:paraId="2F9AE9BC" w14:textId="5E6AD15B" w:rsidR="00E2648D" w:rsidRDefault="008F59A8" w:rsidP="00DF343F">
      <w:pPr>
        <w:pStyle w:val="Heading1"/>
        <w:jc w:val="both"/>
      </w:pPr>
      <w:bookmarkStart w:id="585" w:name="_Toc379118117"/>
      <w:bookmarkStart w:id="586" w:name="_Toc381796514"/>
      <w:bookmarkStart w:id="587" w:name="_Toc69305641"/>
      <w:r w:rsidRPr="00E3331A">
        <w:t>References</w:t>
      </w:r>
      <w:bookmarkEnd w:id="585"/>
      <w:bookmarkEnd w:id="586"/>
      <w:bookmarkEnd w:id="587"/>
    </w:p>
    <w:p w14:paraId="2114AB18" w14:textId="77777777" w:rsidR="00D726F6" w:rsidRPr="00D726F6" w:rsidRDefault="00E2648D" w:rsidP="00D726F6">
      <w:pPr>
        <w:pStyle w:val="EndNoteBibliography"/>
      </w:pPr>
      <w:r>
        <w:fldChar w:fldCharType="begin"/>
      </w:r>
      <w:r>
        <w:instrText xml:space="preserve"> ADDIN EN.REFLIST </w:instrText>
      </w:r>
      <w:r>
        <w:fldChar w:fldCharType="separate"/>
      </w:r>
      <w:bookmarkStart w:id="588" w:name="_ENREF_1"/>
      <w:r w:rsidR="00D726F6" w:rsidRPr="00D726F6">
        <w:t xml:space="preserve">Abimanyi-Ochom, J, Watts, JJ, Borgström, F, Nicholson, GC, Shore-Lorenti, C, Stuart, AL, Zhang, Y, Iuliano, S, Seeman, E, Prince, R, March, L, Cross, M, Winzenberg, T, Laslett, LL, Duque, G, Ebeling, PR &amp; Sanders, KM 2015, 'Changes in quality of life associated with fragility fractures: Australian arm of the International Cost and Utility Related to Osteoporotic Fractures Study (AusICUROS)', </w:t>
      </w:r>
      <w:r w:rsidR="00D726F6" w:rsidRPr="00D726F6">
        <w:rPr>
          <w:i/>
        </w:rPr>
        <w:t>Osteoporos Int</w:t>
      </w:r>
      <w:r w:rsidR="00D726F6" w:rsidRPr="00D726F6">
        <w:t>, vol. 26, no. 6, Jun, pp. 1781-1790.</w:t>
      </w:r>
    </w:p>
    <w:bookmarkEnd w:id="588"/>
    <w:p w14:paraId="3044BAD9" w14:textId="77777777" w:rsidR="00D726F6" w:rsidRPr="00D726F6" w:rsidRDefault="00D726F6" w:rsidP="00D726F6">
      <w:pPr>
        <w:pStyle w:val="EndNoteBibliography"/>
        <w:spacing w:after="0"/>
      </w:pPr>
    </w:p>
    <w:p w14:paraId="06D322DC" w14:textId="50D069AF" w:rsidR="00D726F6" w:rsidRPr="00D726F6" w:rsidRDefault="00D726F6" w:rsidP="00D726F6">
      <w:pPr>
        <w:pStyle w:val="EndNoteBibliography"/>
      </w:pPr>
      <w:bookmarkStart w:id="589" w:name="_ENREF_2"/>
      <w:r w:rsidRPr="00D726F6">
        <w:t>ABS 2020a, '6401.0 - Consumer Price Index, Australia, Jun 2020', in Australian Bureau of Statistics (ed.)Canberra, viewed 20 January 2021,&lt;</w:t>
      </w:r>
      <w:hyperlink r:id="rId75" w:history="1">
        <w:r w:rsidRPr="00D726F6">
          <w:rPr>
            <w:rStyle w:val="Hyperlink"/>
          </w:rPr>
          <w:t>https://www.abs.gov.au/statistics/people/population/life-tables/2017-2019</w:t>
        </w:r>
      </w:hyperlink>
      <w:r w:rsidRPr="00D726F6">
        <w:t>&gt;.</w:t>
      </w:r>
    </w:p>
    <w:bookmarkEnd w:id="589"/>
    <w:p w14:paraId="5A59DE38" w14:textId="77777777" w:rsidR="00D726F6" w:rsidRPr="00D726F6" w:rsidRDefault="00D726F6" w:rsidP="00D726F6">
      <w:pPr>
        <w:pStyle w:val="EndNoteBibliography"/>
        <w:spacing w:after="0"/>
      </w:pPr>
    </w:p>
    <w:p w14:paraId="152FDD19" w14:textId="66733D48" w:rsidR="00D726F6" w:rsidRPr="00D726F6" w:rsidRDefault="00D726F6" w:rsidP="00D726F6">
      <w:pPr>
        <w:pStyle w:val="EndNoteBibliography"/>
      </w:pPr>
      <w:bookmarkStart w:id="590" w:name="_ENREF_3"/>
      <w:r w:rsidRPr="00D726F6">
        <w:t>ABS 2020b, 'Table 1.9 Life Tables, Australia, 2017-2019', in Australian Bureau of Statistics (ed.)Canberra, viewed 20 January 2021,&lt;</w:t>
      </w:r>
      <w:hyperlink r:id="rId76" w:history="1">
        <w:r w:rsidRPr="00D726F6">
          <w:rPr>
            <w:rStyle w:val="Hyperlink"/>
          </w:rPr>
          <w:t>https://www.abs.gov.au/statistics/people/population/life-tables/2017-2019</w:t>
        </w:r>
      </w:hyperlink>
      <w:r w:rsidRPr="00D726F6">
        <w:t>&gt;.</w:t>
      </w:r>
    </w:p>
    <w:bookmarkEnd w:id="590"/>
    <w:p w14:paraId="3F62F07D" w14:textId="77777777" w:rsidR="00D726F6" w:rsidRPr="00D726F6" w:rsidRDefault="00D726F6" w:rsidP="00D726F6">
      <w:pPr>
        <w:pStyle w:val="EndNoteBibliography"/>
        <w:spacing w:after="0"/>
      </w:pPr>
    </w:p>
    <w:p w14:paraId="5A38FC6B" w14:textId="77777777" w:rsidR="00D726F6" w:rsidRPr="00D726F6" w:rsidRDefault="00D726F6" w:rsidP="00D726F6">
      <w:pPr>
        <w:pStyle w:val="EndNoteBibliography"/>
      </w:pPr>
      <w:bookmarkStart w:id="591" w:name="_ENREF_4"/>
      <w:r w:rsidRPr="00D726F6">
        <w:t xml:space="preserve">Ahmad, H, van der Mei, I, Taylor, BV, Campbell, JA &amp; Palmer, AJ 2020, 'Measuring the health-related quality of life in Australians with multiple sclerosis using the assessment of quality of life-8-dimension (AQoL-8D) multi-attribute utility instrument', </w:t>
      </w:r>
      <w:r w:rsidRPr="00D726F6">
        <w:rPr>
          <w:i/>
        </w:rPr>
        <w:t>Mult Scler Relat Disord</w:t>
      </w:r>
      <w:r w:rsidRPr="00D726F6">
        <w:t>, vol. 44, Sep, p. 102358.</w:t>
      </w:r>
    </w:p>
    <w:bookmarkEnd w:id="591"/>
    <w:p w14:paraId="2DD06D33" w14:textId="77777777" w:rsidR="00D726F6" w:rsidRPr="00D726F6" w:rsidRDefault="00D726F6" w:rsidP="00D726F6">
      <w:pPr>
        <w:pStyle w:val="EndNoteBibliography"/>
        <w:spacing w:after="0"/>
      </w:pPr>
    </w:p>
    <w:p w14:paraId="5205EC45" w14:textId="77777777" w:rsidR="00D726F6" w:rsidRPr="00D726F6" w:rsidRDefault="00D726F6" w:rsidP="00D726F6">
      <w:pPr>
        <w:pStyle w:val="EndNoteBibliography"/>
      </w:pPr>
      <w:bookmarkStart w:id="592" w:name="_ENREF_5"/>
      <w:r w:rsidRPr="00D726F6">
        <w:t xml:space="preserve">Basic-Jukic, N, Kes, P, Glavas-Boras, S, Brunetta, B, Bubic-Filipi, L &amp; Puretic, Z 2005, 'Complications of Therapeutic Plasma Exchange: Experience With 4857 Treatments', </w:t>
      </w:r>
      <w:r w:rsidRPr="00D726F6">
        <w:rPr>
          <w:i/>
        </w:rPr>
        <w:t>Therapeutic Apheresis and Dialysis</w:t>
      </w:r>
      <w:r w:rsidRPr="00D726F6">
        <w:t>, vol. 9, no. 5, pp. 391-395.</w:t>
      </w:r>
    </w:p>
    <w:bookmarkEnd w:id="592"/>
    <w:p w14:paraId="3F44DEF1" w14:textId="77777777" w:rsidR="00D726F6" w:rsidRPr="00D726F6" w:rsidRDefault="00D726F6" w:rsidP="00D726F6">
      <w:pPr>
        <w:pStyle w:val="EndNoteBibliography"/>
        <w:spacing w:after="0"/>
      </w:pPr>
    </w:p>
    <w:p w14:paraId="6317BB58" w14:textId="77777777" w:rsidR="00D726F6" w:rsidRPr="00D726F6" w:rsidRDefault="00D726F6" w:rsidP="00D726F6">
      <w:pPr>
        <w:pStyle w:val="EndNoteBibliography"/>
      </w:pPr>
      <w:bookmarkStart w:id="593" w:name="_ENREF_6"/>
      <w:r w:rsidRPr="00D726F6">
        <w:t xml:space="preserve">Börü Ü, T, Erdoğan, H, Alp, R, Taşdemir, M, Yıldırım, S, Bilgiç, A, Duman, A &amp; Arslan, A 2014, 'Treatment of chronic inflammatory demyelinating polyneuropathy with high dose intravenous methylprednisolone monthly for five years: 10-Year follow up', </w:t>
      </w:r>
      <w:r w:rsidRPr="00D726F6">
        <w:rPr>
          <w:i/>
        </w:rPr>
        <w:t>Clin Neurol Neurosurg</w:t>
      </w:r>
      <w:r w:rsidRPr="00D726F6">
        <w:t>, vol. 118, Mar, pp. 89-93.</w:t>
      </w:r>
    </w:p>
    <w:bookmarkEnd w:id="593"/>
    <w:p w14:paraId="2C96019C" w14:textId="77777777" w:rsidR="00D726F6" w:rsidRPr="00D726F6" w:rsidRDefault="00D726F6" w:rsidP="00D726F6">
      <w:pPr>
        <w:pStyle w:val="EndNoteBibliography"/>
        <w:spacing w:after="0"/>
      </w:pPr>
    </w:p>
    <w:p w14:paraId="181B2BD8" w14:textId="77777777" w:rsidR="00D726F6" w:rsidRPr="00D726F6" w:rsidRDefault="00D726F6" w:rsidP="00D726F6">
      <w:pPr>
        <w:pStyle w:val="EndNoteBibliography"/>
      </w:pPr>
      <w:bookmarkStart w:id="594" w:name="_ENREF_7"/>
      <w:r w:rsidRPr="00D726F6">
        <w:t xml:space="preserve">Choudhary, PP &amp; Hughes, RA 1995, 'Long-term treatment of chronic inflammatory demyelinating polyradiculoneuropathy with plasma exchange or intravenous immunoglobulin', </w:t>
      </w:r>
      <w:r w:rsidRPr="00D726F6">
        <w:rPr>
          <w:i/>
        </w:rPr>
        <w:t>QJM</w:t>
      </w:r>
      <w:r w:rsidRPr="00D726F6">
        <w:t>, vol. 88, no. 7, Jul, pp. 493-502.</w:t>
      </w:r>
    </w:p>
    <w:bookmarkEnd w:id="594"/>
    <w:p w14:paraId="3FE73A85" w14:textId="77777777" w:rsidR="00D726F6" w:rsidRPr="00D726F6" w:rsidRDefault="00D726F6" w:rsidP="00D726F6">
      <w:pPr>
        <w:pStyle w:val="EndNoteBibliography"/>
        <w:spacing w:after="0"/>
      </w:pPr>
    </w:p>
    <w:p w14:paraId="778B4824" w14:textId="77777777" w:rsidR="00D726F6" w:rsidRPr="00D726F6" w:rsidRDefault="00D726F6" w:rsidP="00D726F6">
      <w:pPr>
        <w:pStyle w:val="EndNoteBibliography"/>
      </w:pPr>
      <w:bookmarkStart w:id="595" w:name="_ENREF_8"/>
      <w:r w:rsidRPr="00D726F6">
        <w:t xml:space="preserve">Clemens, S, Begum, N, Harper, C, Whitty, JA &amp; Scuffham, PA 2014, 'A comparison of EQ-5D-3L population norms in Queensland, Australia, estimated using utility value sets from Australia, the UK and USA', </w:t>
      </w:r>
      <w:r w:rsidRPr="00D726F6">
        <w:rPr>
          <w:i/>
        </w:rPr>
        <w:t>Quality of Life Research</w:t>
      </w:r>
      <w:r w:rsidRPr="00D726F6">
        <w:t>, vol. 23, no. 8, 2014/10/01, pp. 2375-2381.</w:t>
      </w:r>
    </w:p>
    <w:bookmarkEnd w:id="595"/>
    <w:p w14:paraId="1305E364" w14:textId="77777777" w:rsidR="00D726F6" w:rsidRPr="00D726F6" w:rsidRDefault="00D726F6" w:rsidP="00D726F6">
      <w:pPr>
        <w:pStyle w:val="EndNoteBibliography"/>
        <w:spacing w:after="0"/>
      </w:pPr>
    </w:p>
    <w:p w14:paraId="2FD8B55B" w14:textId="77777777" w:rsidR="00D726F6" w:rsidRPr="00D726F6" w:rsidRDefault="00D726F6" w:rsidP="00D726F6">
      <w:pPr>
        <w:pStyle w:val="EndNoteBibliography"/>
      </w:pPr>
      <w:bookmarkStart w:id="596" w:name="_ENREF_9"/>
      <w:r w:rsidRPr="00D726F6">
        <w:t xml:space="preserve">Codron, P, Cousin, M, Subra, JF, Pautot, V, Letournel, F, Verny, C &amp; Cassereau, J 2017, 'Therapeutic plasma exchange in chronic dysimmune peripheral neuropathies: A 10-year retrospective study', </w:t>
      </w:r>
      <w:r w:rsidRPr="00D726F6">
        <w:rPr>
          <w:i/>
        </w:rPr>
        <w:t>J Clin Apher</w:t>
      </w:r>
      <w:r w:rsidRPr="00D726F6">
        <w:t>, vol. 32, no. 6, Dec, pp. 413-422.</w:t>
      </w:r>
    </w:p>
    <w:bookmarkEnd w:id="596"/>
    <w:p w14:paraId="7A4885E1" w14:textId="77777777" w:rsidR="00D726F6" w:rsidRPr="00D726F6" w:rsidRDefault="00D726F6" w:rsidP="00D726F6">
      <w:pPr>
        <w:pStyle w:val="EndNoteBibliography"/>
        <w:spacing w:after="0"/>
      </w:pPr>
    </w:p>
    <w:p w14:paraId="10036142" w14:textId="77777777" w:rsidR="00D726F6" w:rsidRPr="00D726F6" w:rsidRDefault="00D726F6" w:rsidP="00D726F6">
      <w:pPr>
        <w:pStyle w:val="EndNoteBibliography"/>
      </w:pPr>
      <w:bookmarkStart w:id="597" w:name="_ENREF_10"/>
      <w:r w:rsidRPr="00D726F6">
        <w:t xml:space="preserve">Curtis, JR, Westfall, AO, Allison, J, Bijlsma, JW, Freeman, A, George, V, Kovac, SH, Spettell, CM &amp; Saag, KG 2006, 'Population-based assessment of adverse events associated with long-term glucocorticoid use', </w:t>
      </w:r>
      <w:r w:rsidRPr="00D726F6">
        <w:rPr>
          <w:i/>
        </w:rPr>
        <w:t>Arthritis Care &amp; Research</w:t>
      </w:r>
      <w:r w:rsidRPr="00D726F6">
        <w:t>, vol. 55, no. 3, pp. 420-426.</w:t>
      </w:r>
    </w:p>
    <w:bookmarkEnd w:id="597"/>
    <w:p w14:paraId="3DFE2C6F" w14:textId="77777777" w:rsidR="00D726F6" w:rsidRPr="00D726F6" w:rsidRDefault="00D726F6" w:rsidP="00D726F6">
      <w:pPr>
        <w:pStyle w:val="EndNoteBibliography"/>
        <w:spacing w:after="0"/>
      </w:pPr>
    </w:p>
    <w:p w14:paraId="3D6949A8" w14:textId="77777777" w:rsidR="00D726F6" w:rsidRPr="00D726F6" w:rsidRDefault="00D726F6" w:rsidP="00D726F6">
      <w:pPr>
        <w:pStyle w:val="EndNoteBibliography"/>
      </w:pPr>
      <w:bookmarkStart w:id="598" w:name="_ENREF_11"/>
      <w:r w:rsidRPr="00D726F6">
        <w:t xml:space="preserve">Delgleize, E, Leeuwenkamp, O, Theodorou, E &amp; Van de Velde, N 2016, 'Cost-effectiveness analysis of routine pneumococcal vaccination in the UK: a comparison of the PHiD-CV vaccine and the PCV-13 vaccine using a Markov model', </w:t>
      </w:r>
      <w:r w:rsidRPr="00D726F6">
        <w:rPr>
          <w:i/>
        </w:rPr>
        <w:t>BMJ Open</w:t>
      </w:r>
      <w:r w:rsidRPr="00D726F6">
        <w:t>, vol. 6, no. 11, Nov 30, p. e010776.</w:t>
      </w:r>
    </w:p>
    <w:bookmarkEnd w:id="598"/>
    <w:p w14:paraId="02F6A3C7" w14:textId="77777777" w:rsidR="00D726F6" w:rsidRPr="00D726F6" w:rsidRDefault="00D726F6" w:rsidP="00D726F6">
      <w:pPr>
        <w:pStyle w:val="EndNoteBibliography"/>
        <w:spacing w:after="0"/>
      </w:pPr>
    </w:p>
    <w:p w14:paraId="0DD38360" w14:textId="77777777" w:rsidR="00D726F6" w:rsidRPr="00D726F6" w:rsidRDefault="00D726F6" w:rsidP="00D726F6">
      <w:pPr>
        <w:pStyle w:val="EndNoteBibliography"/>
      </w:pPr>
      <w:bookmarkStart w:id="599" w:name="_ENREF_12"/>
      <w:r w:rsidRPr="00D726F6">
        <w:t>Department of Health 2021a, 'Clinical expert advice provided as feedback to the draft MSAC 1564.1 report'.</w:t>
      </w:r>
    </w:p>
    <w:bookmarkEnd w:id="599"/>
    <w:p w14:paraId="38742D93" w14:textId="77777777" w:rsidR="00D726F6" w:rsidRPr="00D726F6" w:rsidRDefault="00D726F6" w:rsidP="00D726F6">
      <w:pPr>
        <w:pStyle w:val="EndNoteBibliography"/>
        <w:spacing w:after="0"/>
      </w:pPr>
    </w:p>
    <w:p w14:paraId="14F0FDD2" w14:textId="77777777" w:rsidR="00D726F6" w:rsidRPr="00D726F6" w:rsidRDefault="00D726F6" w:rsidP="00D726F6">
      <w:pPr>
        <w:pStyle w:val="EndNoteBibliography"/>
      </w:pPr>
      <w:bookmarkStart w:id="600" w:name="_ENREF_13"/>
      <w:r w:rsidRPr="00D726F6">
        <w:t>Department of Health 2021b, 'Updated utilisation analysis of BloodSTAR Data Provided by National Blood Authority (NBA) and Collected under Criteria V3 for MSAC Application 1564.1 performed by the DUSC and PMR Section of TAAD', Data analysis, 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 edn.</w:t>
      </w:r>
    </w:p>
    <w:bookmarkEnd w:id="600"/>
    <w:p w14:paraId="26B17F39" w14:textId="77777777" w:rsidR="00D726F6" w:rsidRPr="00D726F6" w:rsidRDefault="00D726F6" w:rsidP="00D726F6">
      <w:pPr>
        <w:pStyle w:val="EndNoteBibliography"/>
        <w:spacing w:after="0"/>
      </w:pPr>
    </w:p>
    <w:p w14:paraId="53966A23" w14:textId="77777777" w:rsidR="00D726F6" w:rsidRPr="00D726F6" w:rsidRDefault="00D726F6" w:rsidP="00D726F6">
      <w:pPr>
        <w:pStyle w:val="EndNoteBibliography"/>
      </w:pPr>
      <w:bookmarkStart w:id="601" w:name="_ENREF_14"/>
      <w:r w:rsidRPr="00D726F6">
        <w:t>Department of Health 2021c, 'Utilisation Analysis of BloodSTAR Data Provided by National Blood Authority (NBA) and Collected under Criteria V3 for MSAC Application 1564.1 performed by the DUSC and PMR Section of TAAD', Data analysis, 0De-identified, patient-level data for CIDP patients were extracted from the BloodSTAR system and provided by the National Blood Authority (NBA) to the PMR Section in TAAD. Data were extracted for new patients who commenced Ig treatment (based on authorisation date) for CIDP between 1 November 2018 and 30 April 2019. This initiating cohort were followed through to 31 December 2020 edn.</w:t>
      </w:r>
    </w:p>
    <w:bookmarkEnd w:id="601"/>
    <w:p w14:paraId="67B37C4F" w14:textId="77777777" w:rsidR="00D726F6" w:rsidRPr="00D726F6" w:rsidRDefault="00D726F6" w:rsidP="00D726F6">
      <w:pPr>
        <w:pStyle w:val="EndNoteBibliography"/>
        <w:spacing w:after="0"/>
      </w:pPr>
    </w:p>
    <w:p w14:paraId="1568E9FB" w14:textId="77777777" w:rsidR="00D726F6" w:rsidRPr="00D726F6" w:rsidRDefault="00D726F6" w:rsidP="00D726F6">
      <w:pPr>
        <w:pStyle w:val="EndNoteBibliography"/>
      </w:pPr>
      <w:bookmarkStart w:id="602" w:name="_ENREF_15"/>
      <w:r w:rsidRPr="00D726F6">
        <w:t xml:space="preserve">Dirani, M, Crowston, JG, Taylor, PS, Moore, PT, Rogers, S, Pezzullo, ML, Keeffe, JE &amp; Taylor, HR 2011, 'Economic impact of primary open-angle glaucoma in Australia', </w:t>
      </w:r>
      <w:r w:rsidRPr="00D726F6">
        <w:rPr>
          <w:i/>
        </w:rPr>
        <w:t>Clin Exp Ophthalmol</w:t>
      </w:r>
      <w:r w:rsidRPr="00D726F6">
        <w:t>, vol. 39, no. 7, Sep-Oct, pp. 623-632.</w:t>
      </w:r>
    </w:p>
    <w:bookmarkEnd w:id="602"/>
    <w:p w14:paraId="107D1161" w14:textId="77777777" w:rsidR="00D726F6" w:rsidRPr="00D726F6" w:rsidRDefault="00D726F6" w:rsidP="00D726F6">
      <w:pPr>
        <w:pStyle w:val="EndNoteBibliography"/>
        <w:spacing w:after="0"/>
      </w:pPr>
    </w:p>
    <w:p w14:paraId="10CB4B7F" w14:textId="77777777" w:rsidR="00D726F6" w:rsidRPr="00D726F6" w:rsidRDefault="00D726F6" w:rsidP="00D726F6">
      <w:pPr>
        <w:pStyle w:val="EndNoteBibliography"/>
      </w:pPr>
      <w:bookmarkStart w:id="603" w:name="_ENREF_16"/>
      <w:r w:rsidRPr="00D726F6">
        <w:t xml:space="preserve">Duncan J, McLeod R, Lambert R, Vanderpeer M &amp; Tivey D 2019, </w:t>
      </w:r>
      <w:r w:rsidRPr="00D726F6">
        <w:rPr>
          <w:i/>
        </w:rPr>
        <w:t>Immunoglobulin for chronic inflammatory demyelinating polyneuropathy</w:t>
      </w:r>
      <w:r w:rsidRPr="00D726F6">
        <w:t>,  MSAC Application 1564 Assessment Report, Department of Health, Canberra.</w:t>
      </w:r>
    </w:p>
    <w:bookmarkEnd w:id="603"/>
    <w:p w14:paraId="64D1FD12" w14:textId="77777777" w:rsidR="00D726F6" w:rsidRPr="00D726F6" w:rsidRDefault="00D726F6" w:rsidP="00D726F6">
      <w:pPr>
        <w:pStyle w:val="EndNoteBibliography"/>
        <w:spacing w:after="0"/>
      </w:pPr>
    </w:p>
    <w:p w14:paraId="27E99D7A" w14:textId="77777777" w:rsidR="00D726F6" w:rsidRPr="00D726F6" w:rsidRDefault="00D726F6" w:rsidP="00D726F6">
      <w:pPr>
        <w:pStyle w:val="EndNoteBibliography"/>
      </w:pPr>
      <w:bookmarkStart w:id="604" w:name="_ENREF_17"/>
      <w:r w:rsidRPr="00D726F6">
        <w:t xml:space="preserve">Dyck, PJ, Litchy, WJ, Kratz, KM, Suarez, GA, Low, PA, Pineda, AA, Windebank, AJ, Karnes, JL &amp; O'Brien, PC 1994, 'A plasma exchange versus immune globulin infusion trial in chronic inflammatory demyelinating polyradiculoneuropathy', </w:t>
      </w:r>
      <w:r w:rsidRPr="00D726F6">
        <w:rPr>
          <w:i/>
        </w:rPr>
        <w:t>Ann Neurol</w:t>
      </w:r>
      <w:r w:rsidRPr="00D726F6">
        <w:t>, vol. 36, no. 6, Dec, pp. 838-845.</w:t>
      </w:r>
    </w:p>
    <w:bookmarkEnd w:id="604"/>
    <w:p w14:paraId="063C7BA6" w14:textId="77777777" w:rsidR="00D726F6" w:rsidRPr="00D726F6" w:rsidRDefault="00D726F6" w:rsidP="00D726F6">
      <w:pPr>
        <w:pStyle w:val="EndNoteBibliography"/>
        <w:spacing w:after="0"/>
      </w:pPr>
    </w:p>
    <w:p w14:paraId="7E287FD3" w14:textId="77777777" w:rsidR="00D726F6" w:rsidRPr="00D726F6" w:rsidRDefault="00D726F6" w:rsidP="00D726F6">
      <w:pPr>
        <w:pStyle w:val="EndNoteBibliography"/>
      </w:pPr>
      <w:bookmarkStart w:id="605" w:name="_ENREF_18"/>
      <w:r w:rsidRPr="00D726F6">
        <w:t xml:space="preserve">Eftimov, F, Vermeulen, M, van Doorn, PA, Brusse, E &amp; van Schaik, IN 2012, 'Long-term remission of CIDP after pulsed dexamethasone or short-term prednisolone treatment', </w:t>
      </w:r>
      <w:r w:rsidRPr="00D726F6">
        <w:rPr>
          <w:i/>
        </w:rPr>
        <w:t>Neurology</w:t>
      </w:r>
      <w:r w:rsidRPr="00D726F6">
        <w:t>, vol. 78, no. 14, Apr 3, pp. 1079-1084.</w:t>
      </w:r>
    </w:p>
    <w:bookmarkEnd w:id="605"/>
    <w:p w14:paraId="4DB94810" w14:textId="77777777" w:rsidR="00D726F6" w:rsidRPr="00D726F6" w:rsidRDefault="00D726F6" w:rsidP="00D726F6">
      <w:pPr>
        <w:pStyle w:val="EndNoteBibliography"/>
        <w:spacing w:after="0"/>
      </w:pPr>
    </w:p>
    <w:p w14:paraId="532DEF72" w14:textId="77777777" w:rsidR="00D726F6" w:rsidRPr="00D726F6" w:rsidRDefault="00D726F6" w:rsidP="00D726F6">
      <w:pPr>
        <w:pStyle w:val="EndNoteBibliography"/>
      </w:pPr>
      <w:bookmarkStart w:id="606" w:name="_ENREF_19"/>
      <w:r w:rsidRPr="00D726F6">
        <w:t xml:space="preserve">Gaebel, K, Blackhouse, G, Campbell, K, Robertson, D, Xie, F, Assasi, N, Chalk, C, Levine, M &amp; Goeree, R 2010, 'Intravenous immunoglobulin for the treatment of chronic inflammatory demyelinating polyradiculoneuropathy: a systematic review and meta-analysis', </w:t>
      </w:r>
      <w:r w:rsidRPr="00D726F6">
        <w:rPr>
          <w:i/>
        </w:rPr>
        <w:t>Open Med</w:t>
      </w:r>
      <w:r w:rsidRPr="00D726F6">
        <w:t>, vol. 4, no. 3, pp. e154-166.</w:t>
      </w:r>
    </w:p>
    <w:bookmarkEnd w:id="606"/>
    <w:p w14:paraId="6EB4F7A3" w14:textId="77777777" w:rsidR="00D726F6" w:rsidRPr="00D726F6" w:rsidRDefault="00D726F6" w:rsidP="00D726F6">
      <w:pPr>
        <w:pStyle w:val="EndNoteBibliography"/>
        <w:spacing w:after="0"/>
      </w:pPr>
    </w:p>
    <w:p w14:paraId="27D65859" w14:textId="77777777" w:rsidR="00D726F6" w:rsidRPr="00D726F6" w:rsidRDefault="00D726F6" w:rsidP="00D726F6">
      <w:pPr>
        <w:pStyle w:val="EndNoteBibliography"/>
      </w:pPr>
      <w:bookmarkStart w:id="607" w:name="_ENREF_20"/>
      <w:r w:rsidRPr="00D726F6">
        <w:t xml:space="preserve">Gorson, KC, van Schaik, IN, Merkies, IS, Lewis, RA, Barohn, RJ, Koski, CL, Cornblath, DR, Hughes, RA, Hahn, AF, Baumgarten, M, Goldstein, J, Katz, J, Graves, M, Parry, G &amp; van Doorn, PA 2010, 'Chronic inflammatory demyelinating polyneuropathy disease activity status: recommendations for clinical research standards and use in clinical practice', </w:t>
      </w:r>
      <w:r w:rsidRPr="00D726F6">
        <w:rPr>
          <w:i/>
        </w:rPr>
        <w:t>J Peripher Nerv Syst</w:t>
      </w:r>
      <w:r w:rsidRPr="00D726F6">
        <w:t>, vol. 15, no. 4, Dec, pp. 326-333.</w:t>
      </w:r>
    </w:p>
    <w:bookmarkEnd w:id="607"/>
    <w:p w14:paraId="03BAE004" w14:textId="77777777" w:rsidR="00D726F6" w:rsidRPr="00D726F6" w:rsidRDefault="00D726F6" w:rsidP="00D726F6">
      <w:pPr>
        <w:pStyle w:val="EndNoteBibliography"/>
        <w:spacing w:after="0"/>
      </w:pPr>
    </w:p>
    <w:p w14:paraId="3FE96CA9" w14:textId="77777777" w:rsidR="00D726F6" w:rsidRPr="00D726F6" w:rsidRDefault="00D726F6" w:rsidP="00D726F6">
      <w:pPr>
        <w:pStyle w:val="EndNoteBibliography"/>
      </w:pPr>
      <w:bookmarkStart w:id="608" w:name="_ENREF_21"/>
      <w:r w:rsidRPr="00D726F6">
        <w:t xml:space="preserve">Guptill, JT, Runken, MC, Eaddy, M, Lunacsek, O &amp; Fuldeore, RM 2019, 'Treatment Patterns and Costs of Chronic Inflammatory Demyelinating Polyneuropathy: A Claims Database Analysis', </w:t>
      </w:r>
      <w:r w:rsidRPr="00D726F6">
        <w:rPr>
          <w:i/>
        </w:rPr>
        <w:t>Am Health Drug Benefits</w:t>
      </w:r>
      <w:r w:rsidRPr="00D726F6">
        <w:t>, vol. 12, no. 3, May, pp. 127-135.</w:t>
      </w:r>
    </w:p>
    <w:bookmarkEnd w:id="608"/>
    <w:p w14:paraId="3B1F6366" w14:textId="77777777" w:rsidR="00D726F6" w:rsidRPr="00D726F6" w:rsidRDefault="00D726F6" w:rsidP="00D726F6">
      <w:pPr>
        <w:pStyle w:val="EndNoteBibliography"/>
        <w:spacing w:after="0"/>
      </w:pPr>
    </w:p>
    <w:p w14:paraId="151B4448" w14:textId="77777777" w:rsidR="00D726F6" w:rsidRPr="00D726F6" w:rsidRDefault="00D726F6" w:rsidP="00D726F6">
      <w:pPr>
        <w:pStyle w:val="EndNoteBibliography"/>
      </w:pPr>
      <w:bookmarkStart w:id="609" w:name="_ENREF_22"/>
      <w:r w:rsidRPr="00D726F6">
        <w:t xml:space="preserve">Gwathmey, K 2020, 'Chronic Inflammatory Demyelinating Polyradiculoneuropathy and Its Variants', </w:t>
      </w:r>
      <w:r w:rsidRPr="00D726F6">
        <w:rPr>
          <w:i/>
        </w:rPr>
        <w:t>Continuum (Minneap Minn)</w:t>
      </w:r>
      <w:r w:rsidRPr="00D726F6">
        <w:t>, vol. 26, no. 5, Oct, pp. 1205-1223.</w:t>
      </w:r>
    </w:p>
    <w:bookmarkEnd w:id="609"/>
    <w:p w14:paraId="6092919B" w14:textId="77777777" w:rsidR="00D726F6" w:rsidRPr="00D726F6" w:rsidRDefault="00D726F6" w:rsidP="00D726F6">
      <w:pPr>
        <w:pStyle w:val="EndNoteBibliography"/>
        <w:spacing w:after="0"/>
      </w:pPr>
    </w:p>
    <w:p w14:paraId="2C3D90EF" w14:textId="77777777" w:rsidR="00D726F6" w:rsidRPr="00D726F6" w:rsidRDefault="00D726F6" w:rsidP="00D726F6">
      <w:pPr>
        <w:pStyle w:val="EndNoteBibliography"/>
      </w:pPr>
      <w:bookmarkStart w:id="610" w:name="_ENREF_23"/>
      <w:r w:rsidRPr="00D726F6">
        <w:t xml:space="preserve">Hadden, RDM &amp; Marreno, F 2015, 'Switch from intravenous to subcutaneous immunoglobulin in CIDP and MMN: improved tolerability and patient satisfaction', </w:t>
      </w:r>
      <w:r w:rsidRPr="00D726F6">
        <w:rPr>
          <w:i/>
        </w:rPr>
        <w:t>Therapeutic advances in neurological disorders</w:t>
      </w:r>
      <w:r w:rsidRPr="00D726F6">
        <w:t>, vol. 8, no. 1, pp. 14-19.</w:t>
      </w:r>
    </w:p>
    <w:bookmarkEnd w:id="610"/>
    <w:p w14:paraId="509CECA2" w14:textId="77777777" w:rsidR="00D726F6" w:rsidRPr="00D726F6" w:rsidRDefault="00D726F6" w:rsidP="00D726F6">
      <w:pPr>
        <w:pStyle w:val="EndNoteBibliography"/>
        <w:spacing w:after="0"/>
      </w:pPr>
    </w:p>
    <w:p w14:paraId="196547CE" w14:textId="77777777" w:rsidR="00D726F6" w:rsidRPr="00D726F6" w:rsidRDefault="00D726F6" w:rsidP="00D726F6">
      <w:pPr>
        <w:pStyle w:val="EndNoteBibliography"/>
      </w:pPr>
      <w:bookmarkStart w:id="611" w:name="_ENREF_24"/>
      <w:r w:rsidRPr="00D726F6">
        <w:t xml:space="preserve">Hafsteinsdottir, B &amp; Olafsson, E 2016, 'Incidence and Natural History of Idiopathic Chronic Inflammatory Demyelinating Polyneuropathy: A Population-Based Study in Iceland', </w:t>
      </w:r>
      <w:r w:rsidRPr="00D726F6">
        <w:rPr>
          <w:i/>
        </w:rPr>
        <w:t>Eur Neurol</w:t>
      </w:r>
      <w:r w:rsidRPr="00D726F6">
        <w:t>, vol. 75, no. 5-6, pp. 263-268.</w:t>
      </w:r>
    </w:p>
    <w:bookmarkEnd w:id="611"/>
    <w:p w14:paraId="2476AA79" w14:textId="77777777" w:rsidR="00D726F6" w:rsidRPr="00D726F6" w:rsidRDefault="00D726F6" w:rsidP="00D726F6">
      <w:pPr>
        <w:pStyle w:val="EndNoteBibliography"/>
        <w:spacing w:after="0"/>
      </w:pPr>
    </w:p>
    <w:p w14:paraId="7D92204E" w14:textId="77777777" w:rsidR="00D726F6" w:rsidRPr="00D726F6" w:rsidRDefault="00D726F6" w:rsidP="00D726F6">
      <w:pPr>
        <w:pStyle w:val="EndNoteBibliography"/>
      </w:pPr>
      <w:bookmarkStart w:id="612" w:name="_ENREF_25"/>
      <w:r w:rsidRPr="00D726F6">
        <w:t xml:space="preserve">Hahn, AF, Bolton, CF, Pillay, N, Chalk, C, Benstead, T, Bril, V, Shumak, K, Vandervoort, MK &amp; Feasby, TE 1996, 'Plasma-exchange therapy in chronic inflammatory demyelinating polyneuropathy. A double-blind, sham-controlled, cross-over study', </w:t>
      </w:r>
      <w:r w:rsidRPr="00D726F6">
        <w:rPr>
          <w:i/>
        </w:rPr>
        <w:t>Brain</w:t>
      </w:r>
      <w:r w:rsidRPr="00D726F6">
        <w:t>, vol. 119 ( Pt 4), Aug, pp. 1055-1066.</w:t>
      </w:r>
    </w:p>
    <w:bookmarkEnd w:id="612"/>
    <w:p w14:paraId="76A8AF0C" w14:textId="77777777" w:rsidR="00D726F6" w:rsidRPr="00D726F6" w:rsidRDefault="00D726F6" w:rsidP="00D726F6">
      <w:pPr>
        <w:pStyle w:val="EndNoteBibliography"/>
        <w:spacing w:after="0"/>
      </w:pPr>
    </w:p>
    <w:p w14:paraId="798FD917" w14:textId="77777777" w:rsidR="00D726F6" w:rsidRPr="00D726F6" w:rsidRDefault="00D726F6" w:rsidP="00D726F6">
      <w:pPr>
        <w:pStyle w:val="EndNoteBibliography"/>
      </w:pPr>
      <w:bookmarkStart w:id="613" w:name="_ENREF_26"/>
      <w:r w:rsidRPr="00D726F6">
        <w:t xml:space="preserve">Hahn, AF, Bolton, CF, Zochodne, D &amp; Feasby, TE 1996, 'Intravenous immunoglobulin treatment in chronic inflammatory demyelinating polyneuropathy. A double-blind, placebo-controlled, cross-over study', </w:t>
      </w:r>
      <w:r w:rsidRPr="00D726F6">
        <w:rPr>
          <w:i/>
        </w:rPr>
        <w:t>Brain</w:t>
      </w:r>
      <w:r w:rsidRPr="00D726F6">
        <w:t>, vol. 119 ( Pt 4), Aug, pp. 1067-1077.</w:t>
      </w:r>
    </w:p>
    <w:bookmarkEnd w:id="613"/>
    <w:p w14:paraId="6A316D18" w14:textId="77777777" w:rsidR="00D726F6" w:rsidRPr="00D726F6" w:rsidRDefault="00D726F6" w:rsidP="00D726F6">
      <w:pPr>
        <w:pStyle w:val="EndNoteBibliography"/>
        <w:spacing w:after="0"/>
      </w:pPr>
    </w:p>
    <w:p w14:paraId="23EDCB7F" w14:textId="77777777" w:rsidR="00D726F6" w:rsidRPr="00D726F6" w:rsidRDefault="00D726F6" w:rsidP="00D726F6">
      <w:pPr>
        <w:pStyle w:val="EndNoteBibliography"/>
      </w:pPr>
      <w:bookmarkStart w:id="614" w:name="_ENREF_27"/>
      <w:r w:rsidRPr="00D726F6">
        <w:t xml:space="preserve">Hartung, HP, Mallick, R, Bril, V, Lewis, RA, Sobue, G, Lawo, JP, Mielke, O, Durn, BL, Cornblath, DR, Merkies, ISJ &amp; van Schaik, IN 2019, 'Patient-reported outcomes with subcutaneous immunoglobulin in chronic inflammatory demyelinating polyneuropathy: the PATH study', </w:t>
      </w:r>
      <w:r w:rsidRPr="00D726F6">
        <w:rPr>
          <w:i/>
        </w:rPr>
        <w:t>European Journal of Neurology</w:t>
      </w:r>
      <w:r w:rsidRPr="00D726F6">
        <w:t>.</w:t>
      </w:r>
    </w:p>
    <w:bookmarkEnd w:id="614"/>
    <w:p w14:paraId="6767CF07" w14:textId="77777777" w:rsidR="00D726F6" w:rsidRPr="00D726F6" w:rsidRDefault="00D726F6" w:rsidP="00D726F6">
      <w:pPr>
        <w:pStyle w:val="EndNoteBibliography"/>
        <w:spacing w:after="0"/>
      </w:pPr>
    </w:p>
    <w:p w14:paraId="5CDEB254" w14:textId="77777777" w:rsidR="00D726F6" w:rsidRPr="00D726F6" w:rsidRDefault="00D726F6" w:rsidP="00D726F6">
      <w:pPr>
        <w:pStyle w:val="EndNoteBibliography"/>
      </w:pPr>
      <w:bookmarkStart w:id="615" w:name="_ENREF_28"/>
      <w:r w:rsidRPr="00D726F6">
        <w:t xml:space="preserve">Hughes, RA, Donofrio, P, Bril, V, Dalakas, MC, Deng, C, Hanna, K, Hartung, HP, Latov, N, Merkies, IS &amp; van Doorn, PA 2008, 'Intravenous immune globulin (10% caprylate-chromatography purified) for the treatment of chronic inflammatory demyelinating polyradiculoneuropathy (ICE study): a randomised placebo-controlled trial', </w:t>
      </w:r>
      <w:r w:rsidRPr="00D726F6">
        <w:rPr>
          <w:i/>
        </w:rPr>
        <w:t>Lancet Neurol</w:t>
      </w:r>
      <w:r w:rsidRPr="00D726F6">
        <w:t>, vol. 7, no. 2, Feb, pp. 136-144.</w:t>
      </w:r>
    </w:p>
    <w:bookmarkEnd w:id="615"/>
    <w:p w14:paraId="5FDF3CD4" w14:textId="77777777" w:rsidR="00D726F6" w:rsidRPr="00D726F6" w:rsidRDefault="00D726F6" w:rsidP="00D726F6">
      <w:pPr>
        <w:pStyle w:val="EndNoteBibliography"/>
        <w:spacing w:after="0"/>
      </w:pPr>
    </w:p>
    <w:p w14:paraId="21A1038C" w14:textId="77777777" w:rsidR="00D726F6" w:rsidRPr="00D726F6" w:rsidRDefault="00D726F6" w:rsidP="00D726F6">
      <w:pPr>
        <w:pStyle w:val="EndNoteBibliography"/>
      </w:pPr>
      <w:bookmarkStart w:id="616" w:name="_ENREF_29"/>
      <w:r w:rsidRPr="00D726F6">
        <w:t xml:space="preserve">Huscher, D, Thiele, K, Gromnica-Ihle, E, Hein, G, Demary, W, Dreher, R, Zink, A &amp; Buttgereit, F 2009, 'Dose-related patterns of glucocorticoid-induced side effects', </w:t>
      </w:r>
      <w:r w:rsidRPr="00D726F6">
        <w:rPr>
          <w:i/>
        </w:rPr>
        <w:t>Ann Rheum Dis</w:t>
      </w:r>
      <w:r w:rsidRPr="00D726F6">
        <w:t>, vol. 68, no. 7, Jul, pp. 1119-1124.</w:t>
      </w:r>
    </w:p>
    <w:bookmarkEnd w:id="616"/>
    <w:p w14:paraId="7D589D0B" w14:textId="77777777" w:rsidR="00D726F6" w:rsidRPr="00D726F6" w:rsidRDefault="00D726F6" w:rsidP="00D726F6">
      <w:pPr>
        <w:pStyle w:val="EndNoteBibliography"/>
        <w:spacing w:after="0"/>
      </w:pPr>
    </w:p>
    <w:p w14:paraId="7288BC61" w14:textId="77777777" w:rsidR="00D726F6" w:rsidRPr="00D726F6" w:rsidRDefault="00D726F6" w:rsidP="00D726F6">
      <w:pPr>
        <w:pStyle w:val="EndNoteBibliography"/>
      </w:pPr>
      <w:bookmarkStart w:id="617" w:name="_ENREF_30"/>
      <w:r w:rsidRPr="00D726F6">
        <w:t xml:space="preserve">IHPA 2021, </w:t>
      </w:r>
      <w:r w:rsidRPr="00D726F6">
        <w:rPr>
          <w:i/>
        </w:rPr>
        <w:t>NATIONAL HOSPITAL COST DATA COLLECTION, COST WEIGHTS FOR AR-DRG VERSION 10.0, Round 23 (2018-19), Public Sector</w:t>
      </w:r>
      <w:r w:rsidRPr="00D726F6">
        <w:t>, The Independent Hospital Pricing Authority TIHP Authority.</w:t>
      </w:r>
    </w:p>
    <w:bookmarkEnd w:id="617"/>
    <w:p w14:paraId="2D7CAEBB" w14:textId="77777777" w:rsidR="00D726F6" w:rsidRPr="00D726F6" w:rsidRDefault="00D726F6" w:rsidP="00D726F6">
      <w:pPr>
        <w:pStyle w:val="EndNoteBibliography"/>
        <w:spacing w:after="0"/>
      </w:pPr>
    </w:p>
    <w:p w14:paraId="1EF6DB6D" w14:textId="77777777" w:rsidR="00D726F6" w:rsidRPr="00D726F6" w:rsidRDefault="00D726F6" w:rsidP="00D726F6">
      <w:pPr>
        <w:pStyle w:val="EndNoteBibliography"/>
      </w:pPr>
      <w:bookmarkStart w:id="618" w:name="_ENREF_31"/>
      <w:r w:rsidRPr="00D726F6">
        <w:t xml:space="preserve">Jann, S, Beretta, S &amp; Bramerio, MA 2005, 'Different types of chronic inflammatory demyelinating polyneuropathy have a different clinical course and response to treatment', </w:t>
      </w:r>
      <w:r w:rsidRPr="00D726F6">
        <w:rPr>
          <w:i/>
        </w:rPr>
        <w:t>Muscle Nerve</w:t>
      </w:r>
      <w:r w:rsidRPr="00D726F6">
        <w:t>, vol. 32, no. 3, Sep, pp. 351-356.</w:t>
      </w:r>
    </w:p>
    <w:bookmarkEnd w:id="618"/>
    <w:p w14:paraId="3BD13BC7" w14:textId="77777777" w:rsidR="00D726F6" w:rsidRPr="00D726F6" w:rsidRDefault="00D726F6" w:rsidP="00D726F6">
      <w:pPr>
        <w:pStyle w:val="EndNoteBibliography"/>
        <w:spacing w:after="0"/>
      </w:pPr>
    </w:p>
    <w:p w14:paraId="054BBAF0" w14:textId="77777777" w:rsidR="00D726F6" w:rsidRPr="00D726F6" w:rsidRDefault="00D726F6" w:rsidP="00D726F6">
      <w:pPr>
        <w:pStyle w:val="EndNoteBibliography"/>
      </w:pPr>
      <w:bookmarkStart w:id="619" w:name="_ENREF_32"/>
      <w:r w:rsidRPr="00D726F6">
        <w:t xml:space="preserve">Kuitwaard, K, Brusse, E, Jacobs, BC, Vrancken, A, Eftimov, F, Notermans, NC, van der Kooi, AJ, Fokkink, WR, Nieboer, D, Lingsma, HF, Merkies, ISJ &amp; van Doorn, PA 2020a, 'Randomized trial of intravenous immunoglobulin maintenance treatment regimens in chronic inflammatory demyelinating polyradiculoneuropathy', </w:t>
      </w:r>
      <w:r w:rsidRPr="00D726F6">
        <w:rPr>
          <w:i/>
        </w:rPr>
        <w:t>Eur J Neurol</w:t>
      </w:r>
      <w:r w:rsidRPr="00D726F6">
        <w:t>, Sep 2.</w:t>
      </w:r>
    </w:p>
    <w:bookmarkEnd w:id="619"/>
    <w:p w14:paraId="09D1AEB6" w14:textId="77777777" w:rsidR="00D726F6" w:rsidRPr="00D726F6" w:rsidRDefault="00D726F6" w:rsidP="00D726F6">
      <w:pPr>
        <w:pStyle w:val="EndNoteBibliography"/>
        <w:spacing w:after="0"/>
      </w:pPr>
    </w:p>
    <w:p w14:paraId="4895CD11" w14:textId="77777777" w:rsidR="00D726F6" w:rsidRPr="00D726F6" w:rsidRDefault="00D726F6" w:rsidP="00D726F6">
      <w:pPr>
        <w:pStyle w:val="EndNoteBibliography"/>
      </w:pPr>
      <w:bookmarkStart w:id="620" w:name="_ENREF_33"/>
      <w:r w:rsidRPr="00D726F6">
        <w:t xml:space="preserve">Kuitwaard, K, Brusse, E, Jacobs, BC, Vrancken, AFJE, Eftimov, F, Notermans, NC, van der Kooi, AJ, Fokkink, WJR, Nieboer, D, Lingsma, HF, Merkies, ISJ &amp; van Doorn, PA 2020b, 'Randomized trial of intravenous immunoglobulin maintenance treatment regimens in chronic inflammatory demyelinating polyradiculoneuropathy', </w:t>
      </w:r>
      <w:r w:rsidRPr="00D726F6">
        <w:rPr>
          <w:i/>
        </w:rPr>
        <w:t>European Journal of Neurology</w:t>
      </w:r>
      <w:r w:rsidRPr="00D726F6">
        <w:t>.</w:t>
      </w:r>
    </w:p>
    <w:bookmarkEnd w:id="620"/>
    <w:p w14:paraId="4394F90C" w14:textId="77777777" w:rsidR="00D726F6" w:rsidRPr="00D726F6" w:rsidRDefault="00D726F6" w:rsidP="00D726F6">
      <w:pPr>
        <w:pStyle w:val="EndNoteBibliography"/>
        <w:spacing w:after="0"/>
      </w:pPr>
    </w:p>
    <w:p w14:paraId="50161E1C" w14:textId="77777777" w:rsidR="00D726F6" w:rsidRPr="00D726F6" w:rsidRDefault="00D726F6" w:rsidP="00D726F6">
      <w:pPr>
        <w:pStyle w:val="EndNoteBibliography"/>
      </w:pPr>
      <w:bookmarkStart w:id="621" w:name="_ENREF_34"/>
      <w:r w:rsidRPr="00D726F6">
        <w:t xml:space="preserve">Kuitwaard, K, Hahn, AF, Vermeulen, M, Venance, SL &amp; van Doorn, PA 2015, 'Intravenous immunoglobulin response in treatment-naïve chronic inflammatory demyelinating polyradiculoneuropathy', </w:t>
      </w:r>
      <w:r w:rsidRPr="00D726F6">
        <w:rPr>
          <w:i/>
        </w:rPr>
        <w:t>J Neurol Neurosurg Psychiatry</w:t>
      </w:r>
      <w:r w:rsidRPr="00D726F6">
        <w:t>, vol. 86, no. 12, Dec, pp. 1331-1336.</w:t>
      </w:r>
    </w:p>
    <w:bookmarkEnd w:id="621"/>
    <w:p w14:paraId="1014288F" w14:textId="77777777" w:rsidR="00D726F6" w:rsidRPr="00D726F6" w:rsidRDefault="00D726F6" w:rsidP="00D726F6">
      <w:pPr>
        <w:pStyle w:val="EndNoteBibliography"/>
        <w:spacing w:after="0"/>
      </w:pPr>
    </w:p>
    <w:p w14:paraId="58542170" w14:textId="77777777" w:rsidR="00D726F6" w:rsidRPr="00D726F6" w:rsidRDefault="00D726F6" w:rsidP="00D726F6">
      <w:pPr>
        <w:pStyle w:val="EndNoteBibliography"/>
      </w:pPr>
      <w:bookmarkStart w:id="622" w:name="_ENREF_35"/>
      <w:r w:rsidRPr="00D726F6">
        <w:t xml:space="preserve">Kuwabara, S, Mori, M, Misawa, S, Suzuki, M, Nishiyama, K, Mutoh, T, Doi, S, Kokubun, N, Kamijo, M, Yoshikawa, H, Abe, K, Nishida, Y, Okada, K, Sekiguchi, K, Sakamoto, K, Kusunoki, S, Sobue, G &amp; Kaji, R 2017, 'Intravenous immunoglobulin for maintenance treatment of chronic inflammatory demyelinating polyneuropathy: a multicentre, open-label, 52-week phase III trial', </w:t>
      </w:r>
      <w:r w:rsidRPr="00D726F6">
        <w:rPr>
          <w:i/>
        </w:rPr>
        <w:t>J Neurol Neurosurg Psychiatry</w:t>
      </w:r>
      <w:r w:rsidRPr="00D726F6">
        <w:t>, vol. 88, no. 10, Oct, pp. 832-838.</w:t>
      </w:r>
    </w:p>
    <w:bookmarkEnd w:id="622"/>
    <w:p w14:paraId="7119872D" w14:textId="77777777" w:rsidR="00D726F6" w:rsidRPr="00D726F6" w:rsidRDefault="00D726F6" w:rsidP="00D726F6">
      <w:pPr>
        <w:pStyle w:val="EndNoteBibliography"/>
        <w:spacing w:after="0"/>
      </w:pPr>
    </w:p>
    <w:p w14:paraId="1DE34337" w14:textId="77777777" w:rsidR="00D726F6" w:rsidRPr="00D726F6" w:rsidRDefault="00D726F6" w:rsidP="00D726F6">
      <w:pPr>
        <w:pStyle w:val="EndNoteBibliography"/>
      </w:pPr>
      <w:bookmarkStart w:id="623" w:name="_ENREF_36"/>
      <w:r w:rsidRPr="00D726F6">
        <w:t xml:space="preserve">Lee, CM, Colagiuri, R, Magliano, DJ, Cameron, AJ, Shaw, J, Zimmet, P &amp; Colagiuri, S 2013, 'The cost of diabetes in adults in Australia', </w:t>
      </w:r>
      <w:r w:rsidRPr="00D726F6">
        <w:rPr>
          <w:i/>
        </w:rPr>
        <w:t>Diabetes Res Clin Pract</w:t>
      </w:r>
      <w:r w:rsidRPr="00D726F6">
        <w:t>, vol. 99, no. 3, Mar, pp. 385-390.</w:t>
      </w:r>
    </w:p>
    <w:bookmarkEnd w:id="623"/>
    <w:p w14:paraId="4BEA90B7" w14:textId="77777777" w:rsidR="00D726F6" w:rsidRPr="00D726F6" w:rsidRDefault="00D726F6" w:rsidP="00D726F6">
      <w:pPr>
        <w:pStyle w:val="EndNoteBibliography"/>
        <w:spacing w:after="0"/>
      </w:pPr>
    </w:p>
    <w:p w14:paraId="241E1C09" w14:textId="77777777" w:rsidR="00D726F6" w:rsidRPr="00D726F6" w:rsidRDefault="00D726F6" w:rsidP="00D726F6">
      <w:pPr>
        <w:pStyle w:val="EndNoteBibliography"/>
      </w:pPr>
      <w:bookmarkStart w:id="624" w:name="_ENREF_37"/>
      <w:r w:rsidRPr="00D726F6">
        <w:t xml:space="preserve">Lieker, I, Slowinski, T, Harms, L, Hahn, K &amp; Klehmet, J 2017, 'A prospective study comparing tryptophan immunoadsorption with therapeutic plasma exchange for the treatment of chronic inflammatory demyelinating polyneuropathy', </w:t>
      </w:r>
      <w:r w:rsidRPr="00D726F6">
        <w:rPr>
          <w:i/>
        </w:rPr>
        <w:t>J Clin Apher</w:t>
      </w:r>
      <w:r w:rsidRPr="00D726F6">
        <w:t>, vol. 32, no. 6, Dec, pp. 486-493.</w:t>
      </w:r>
    </w:p>
    <w:bookmarkEnd w:id="624"/>
    <w:p w14:paraId="01D2BCAD" w14:textId="77777777" w:rsidR="00D726F6" w:rsidRPr="00D726F6" w:rsidRDefault="00D726F6" w:rsidP="00D726F6">
      <w:pPr>
        <w:pStyle w:val="EndNoteBibliography"/>
        <w:spacing w:after="0"/>
      </w:pPr>
    </w:p>
    <w:p w14:paraId="7A9D53D6" w14:textId="77777777" w:rsidR="00D726F6" w:rsidRPr="00D726F6" w:rsidRDefault="00D726F6" w:rsidP="00D726F6">
      <w:pPr>
        <w:pStyle w:val="EndNoteBibliography"/>
      </w:pPr>
      <w:bookmarkStart w:id="625" w:name="_ENREF_38"/>
      <w:r w:rsidRPr="00D726F6">
        <w:t xml:space="preserve">Lopate, G &amp; Pestronk, A 2011, 'Inflammatory demyelinating neuropathies', </w:t>
      </w:r>
      <w:r w:rsidRPr="00D726F6">
        <w:rPr>
          <w:i/>
        </w:rPr>
        <w:t>Curr Treat Options Neurol</w:t>
      </w:r>
      <w:r w:rsidRPr="00D726F6">
        <w:t>, vol. 13, no. 2, Apr, pp. 131-142.</w:t>
      </w:r>
    </w:p>
    <w:bookmarkEnd w:id="625"/>
    <w:p w14:paraId="045D3C1E" w14:textId="77777777" w:rsidR="00D726F6" w:rsidRPr="00D726F6" w:rsidRDefault="00D726F6" w:rsidP="00D726F6">
      <w:pPr>
        <w:pStyle w:val="EndNoteBibliography"/>
        <w:spacing w:after="0"/>
      </w:pPr>
    </w:p>
    <w:p w14:paraId="5B3468B7" w14:textId="77777777" w:rsidR="00D726F6" w:rsidRPr="00D726F6" w:rsidRDefault="00D726F6" w:rsidP="00D726F6">
      <w:pPr>
        <w:pStyle w:val="EndNoteBibliography"/>
      </w:pPr>
      <w:bookmarkStart w:id="626" w:name="_ENREF_39"/>
      <w:r w:rsidRPr="00D726F6">
        <w:t xml:space="preserve">Lopate, G, Pestronk, A &amp; Al-Lozi, M 2005, 'Treatment of chronic inflammatory demyelinating polyneuropathy with high-dose intermittent intravenous methylprednisolone', </w:t>
      </w:r>
      <w:r w:rsidRPr="00D726F6">
        <w:rPr>
          <w:i/>
        </w:rPr>
        <w:t>Arch Neurol</w:t>
      </w:r>
      <w:r w:rsidRPr="00D726F6">
        <w:t>, vol. 62, no. 2, Feb, pp. 249-254.</w:t>
      </w:r>
    </w:p>
    <w:bookmarkEnd w:id="626"/>
    <w:p w14:paraId="599B0789" w14:textId="77777777" w:rsidR="00D726F6" w:rsidRPr="00D726F6" w:rsidRDefault="00D726F6" w:rsidP="00D726F6">
      <w:pPr>
        <w:pStyle w:val="EndNoteBibliography"/>
        <w:spacing w:after="0"/>
      </w:pPr>
    </w:p>
    <w:p w14:paraId="3824CC25" w14:textId="77777777" w:rsidR="00D726F6" w:rsidRPr="00D726F6" w:rsidRDefault="00D726F6" w:rsidP="00D726F6">
      <w:pPr>
        <w:pStyle w:val="EndNoteBibliography"/>
      </w:pPr>
      <w:bookmarkStart w:id="627" w:name="_ENREF_40"/>
      <w:r w:rsidRPr="00D726F6">
        <w:t xml:space="preserve">Lunn, MP, Ellis, L, Hadden, RD, Rajabally, YA, Winer, JB &amp; Reilly, MM 2016, 'A proposed dosing algorithm for the individualized dosing of human immunoglobulin in chronic inflammatory neuropathies', </w:t>
      </w:r>
      <w:r w:rsidRPr="00D726F6">
        <w:rPr>
          <w:i/>
        </w:rPr>
        <w:t>J Peripher Nerv Syst</w:t>
      </w:r>
      <w:r w:rsidRPr="00D726F6">
        <w:t>, vol. 21, no. 1, Mar, pp. 33-37.</w:t>
      </w:r>
    </w:p>
    <w:bookmarkEnd w:id="627"/>
    <w:p w14:paraId="1B7EA449" w14:textId="77777777" w:rsidR="00D726F6" w:rsidRPr="00D726F6" w:rsidRDefault="00D726F6" w:rsidP="00D726F6">
      <w:pPr>
        <w:pStyle w:val="EndNoteBibliography"/>
        <w:spacing w:after="0"/>
      </w:pPr>
    </w:p>
    <w:p w14:paraId="7F6BFA46" w14:textId="77777777" w:rsidR="00D726F6" w:rsidRPr="00D726F6" w:rsidRDefault="00D726F6" w:rsidP="00D726F6">
      <w:pPr>
        <w:pStyle w:val="EndNoteBibliography"/>
      </w:pPr>
      <w:bookmarkStart w:id="628" w:name="_ENREF_41"/>
      <w:r w:rsidRPr="00D726F6">
        <w:t xml:space="preserve">Mahdi-Rogers, M, McCrone, P &amp; Hughes, RA 2014, 'Economic costs and quality of life in chronic inflammatory neuropathies in southeast England', </w:t>
      </w:r>
      <w:r w:rsidRPr="00D726F6">
        <w:rPr>
          <w:i/>
        </w:rPr>
        <w:t>Eur J Neurol</w:t>
      </w:r>
      <w:r w:rsidRPr="00D726F6">
        <w:t>, vol. 21, no. 1, pp. 34-39.</w:t>
      </w:r>
    </w:p>
    <w:bookmarkEnd w:id="628"/>
    <w:p w14:paraId="394FA31E" w14:textId="77777777" w:rsidR="00D726F6" w:rsidRPr="00D726F6" w:rsidRDefault="00D726F6" w:rsidP="00D726F6">
      <w:pPr>
        <w:pStyle w:val="EndNoteBibliography"/>
        <w:spacing w:after="0"/>
      </w:pPr>
    </w:p>
    <w:p w14:paraId="32F998D5" w14:textId="77777777" w:rsidR="00D726F6" w:rsidRPr="00D726F6" w:rsidRDefault="00D726F6" w:rsidP="00D726F6">
      <w:pPr>
        <w:pStyle w:val="EndNoteBibliography"/>
      </w:pPr>
      <w:bookmarkStart w:id="629" w:name="_ENREF_42"/>
      <w:r w:rsidRPr="00D726F6">
        <w:t xml:space="preserve">Markvardsen, LH, Debost, JC, Harbo, T, Sindrup, SH, Andersen, H, Christiansen, I, Otto, M, Olsen, NK, Lassen, LL &amp; Jakobsen, J 2013, 'Subcutaneous immunoglobulin in responders to intravenous therapy with chronic inflammatory demyelinating polyradiculoneuropathy', </w:t>
      </w:r>
      <w:r w:rsidRPr="00D726F6">
        <w:rPr>
          <w:i/>
        </w:rPr>
        <w:t>Eur J Neurol</w:t>
      </w:r>
      <w:r w:rsidRPr="00D726F6">
        <w:t>, vol. 20, no. 5, May, pp. 836-842.</w:t>
      </w:r>
    </w:p>
    <w:bookmarkEnd w:id="629"/>
    <w:p w14:paraId="5145F058" w14:textId="77777777" w:rsidR="00D726F6" w:rsidRPr="00D726F6" w:rsidRDefault="00D726F6" w:rsidP="00D726F6">
      <w:pPr>
        <w:pStyle w:val="EndNoteBibliography"/>
        <w:spacing w:after="0"/>
      </w:pPr>
    </w:p>
    <w:p w14:paraId="2ABBD5FA" w14:textId="77777777" w:rsidR="00D726F6" w:rsidRPr="00D726F6" w:rsidRDefault="00D726F6" w:rsidP="00D726F6">
      <w:pPr>
        <w:pStyle w:val="EndNoteBibliography"/>
      </w:pPr>
      <w:bookmarkStart w:id="630" w:name="_ENREF_43"/>
      <w:r w:rsidRPr="00D726F6">
        <w:t xml:space="preserve">McCrone, P, Chisholm, D, Knapp, M, Hughes, R, Comi, G, Dalakas, MC, Illa, I, Kilindireas, C, Nobile-Orazio, E, Swan, A, Van den Bergh, P &amp; Willison, HJ 2003, 'Cost-utility analysis of intravenous immunoglobulin and prednisolone for chronic inflammatory demyelinating polyradiculoneuropathy', </w:t>
      </w:r>
      <w:r w:rsidRPr="00D726F6">
        <w:rPr>
          <w:i/>
        </w:rPr>
        <w:t>Eur J Neurol</w:t>
      </w:r>
      <w:r w:rsidRPr="00D726F6">
        <w:t>, vol. 10, no. 6, Nov, pp. 687-694.</w:t>
      </w:r>
    </w:p>
    <w:bookmarkEnd w:id="630"/>
    <w:p w14:paraId="147F2651" w14:textId="77777777" w:rsidR="00D726F6" w:rsidRPr="00D726F6" w:rsidRDefault="00D726F6" w:rsidP="00D726F6">
      <w:pPr>
        <w:pStyle w:val="EndNoteBibliography"/>
        <w:spacing w:after="0"/>
      </w:pPr>
    </w:p>
    <w:p w14:paraId="286AEFF8" w14:textId="77777777" w:rsidR="00D726F6" w:rsidRPr="00D726F6" w:rsidRDefault="00D726F6" w:rsidP="00D726F6">
      <w:pPr>
        <w:pStyle w:val="EndNoteBibliography"/>
      </w:pPr>
      <w:bookmarkStart w:id="631" w:name="_ENREF_44"/>
      <w:r w:rsidRPr="00D726F6">
        <w:t xml:space="preserve">McLeod, JG, Pollard, JD, Macaskill, P, Mohamed, A, Spring, P &amp; Khurana, V 1999, 'Prevalence of chronic inflammatory demyelinating polyneuropathy in New South Wales, Australia', </w:t>
      </w:r>
      <w:r w:rsidRPr="00D726F6">
        <w:rPr>
          <w:i/>
        </w:rPr>
        <w:t>Ann Neurol</w:t>
      </w:r>
      <w:r w:rsidRPr="00D726F6">
        <w:t>, vol. 46, no. 6, Dec, pp. 910-913.</w:t>
      </w:r>
    </w:p>
    <w:bookmarkEnd w:id="631"/>
    <w:p w14:paraId="6744EB5B" w14:textId="77777777" w:rsidR="00D726F6" w:rsidRPr="00D726F6" w:rsidRDefault="00D726F6" w:rsidP="00D726F6">
      <w:pPr>
        <w:pStyle w:val="EndNoteBibliography"/>
        <w:spacing w:after="0"/>
      </w:pPr>
    </w:p>
    <w:p w14:paraId="08DB45D4" w14:textId="77777777" w:rsidR="00D726F6" w:rsidRPr="00D726F6" w:rsidRDefault="00D726F6" w:rsidP="00D726F6">
      <w:pPr>
        <w:pStyle w:val="EndNoteBibliography"/>
      </w:pPr>
      <w:bookmarkStart w:id="632" w:name="_ENREF_45"/>
      <w:r w:rsidRPr="00D726F6">
        <w:t xml:space="preserve">Milverton, J, Schubert, C, Ellery, B, Morona, J &amp; Parsons, J 2019, </w:t>
      </w:r>
      <w:r w:rsidRPr="00D726F6">
        <w:rPr>
          <w:i/>
        </w:rPr>
        <w:t>Immunoglobulin for myasthenia gravis. MSAC Application 1566, Assessment Report</w:t>
      </w:r>
      <w:r w:rsidRPr="00D726F6">
        <w:t>, Commonwealth of Australia, Canberra, ACT.</w:t>
      </w:r>
    </w:p>
    <w:bookmarkEnd w:id="632"/>
    <w:p w14:paraId="63CA289C" w14:textId="77777777" w:rsidR="00D726F6" w:rsidRPr="00D726F6" w:rsidRDefault="00D726F6" w:rsidP="00D726F6">
      <w:pPr>
        <w:pStyle w:val="EndNoteBibliography"/>
        <w:spacing w:after="0"/>
      </w:pPr>
    </w:p>
    <w:p w14:paraId="16331B5A" w14:textId="77777777" w:rsidR="00D726F6" w:rsidRPr="00D726F6" w:rsidRDefault="00D726F6" w:rsidP="00D726F6">
      <w:pPr>
        <w:pStyle w:val="EndNoteBibliography"/>
      </w:pPr>
      <w:bookmarkStart w:id="633" w:name="_ENREF_46"/>
      <w:r w:rsidRPr="00D726F6">
        <w:t xml:space="preserve">Mörtzell Henriksson, M, Newman, E, Witt, V, Derfler, K, Leitner, G, Eloot, S, Dhondt, A, Deeren, D, Rock, G, Ptak, J, Blaha, M, Lanska, M, Gasova, Z, Hrdlickova, R, Ramlow, W, Prophet, H, Liumbruno, G, Mori, E, Griskevicius, A, Audzijoniene, J, Vrielink, H, Rombout, S, Aandahl, A, Sikole, A, Tomaz, J, Lalic, K, Mazic, S, Strineholm, V, Brink, B, Berlin, G, Dykes, J, Toss, F, Axelsson, CG, Stegmayr, B, Nilsson, T, Norda, R, Knutson, F, Ramsauer, B &amp; Wahlström, A 2016, 'Adverse events in apheresis: An update of the WAA registry data', </w:t>
      </w:r>
      <w:r w:rsidRPr="00D726F6">
        <w:rPr>
          <w:i/>
        </w:rPr>
        <w:t>Transfusion and Apheresis Science</w:t>
      </w:r>
      <w:r w:rsidRPr="00D726F6">
        <w:t>, vol. 54, no. 1, 2016/02/01/, pp. 2-15.</w:t>
      </w:r>
    </w:p>
    <w:bookmarkEnd w:id="633"/>
    <w:p w14:paraId="253BE75B" w14:textId="77777777" w:rsidR="00D726F6" w:rsidRPr="00D726F6" w:rsidRDefault="00D726F6" w:rsidP="00D726F6">
      <w:pPr>
        <w:pStyle w:val="EndNoteBibliography"/>
        <w:spacing w:after="0"/>
      </w:pPr>
    </w:p>
    <w:p w14:paraId="047DD3C1" w14:textId="77777777" w:rsidR="00D726F6" w:rsidRPr="00D726F6" w:rsidRDefault="00D726F6" w:rsidP="00D726F6">
      <w:pPr>
        <w:pStyle w:val="EndNoteBibliography"/>
      </w:pPr>
      <w:bookmarkStart w:id="634" w:name="_ENREF_47"/>
      <w:r w:rsidRPr="00D726F6">
        <w:t xml:space="preserve">MSAC 2020, </w:t>
      </w:r>
      <w:r w:rsidRPr="00D726F6">
        <w:rPr>
          <w:i/>
        </w:rPr>
        <w:t>Minutes -MSAC consideration of DCAR 1564</w:t>
      </w:r>
      <w:r w:rsidRPr="00D726F6">
        <w:t>, Medical Services Advisory Committee, Canberra.</w:t>
      </w:r>
    </w:p>
    <w:bookmarkEnd w:id="634"/>
    <w:p w14:paraId="7D3A79DF" w14:textId="77777777" w:rsidR="00D726F6" w:rsidRPr="00D726F6" w:rsidRDefault="00D726F6" w:rsidP="00D726F6">
      <w:pPr>
        <w:pStyle w:val="EndNoteBibliography"/>
        <w:spacing w:after="0"/>
      </w:pPr>
    </w:p>
    <w:p w14:paraId="24512CE2" w14:textId="6E02E3C5" w:rsidR="00D726F6" w:rsidRPr="00D726F6" w:rsidRDefault="00D726F6" w:rsidP="00D726F6">
      <w:pPr>
        <w:pStyle w:val="EndNoteBibliography"/>
      </w:pPr>
      <w:bookmarkStart w:id="635" w:name="_ENREF_48"/>
      <w:r w:rsidRPr="00D726F6">
        <w:t xml:space="preserve">NBA 2018, </w:t>
      </w:r>
      <w:r w:rsidRPr="00D726F6">
        <w:rPr>
          <w:i/>
        </w:rPr>
        <w:t>National Blood Authority Annual Report 2017-18</w:t>
      </w:r>
      <w:r w:rsidRPr="00D726F6">
        <w:t>, National Blood Authority, UO Printers, &lt;</w:t>
      </w:r>
      <w:hyperlink r:id="rId77" w:history="1">
        <w:r w:rsidRPr="00D726F6">
          <w:rPr>
            <w:rStyle w:val="Hyperlink"/>
          </w:rPr>
          <w:t>www.blood.gov.au/about-nba</w:t>
        </w:r>
      </w:hyperlink>
      <w:r w:rsidRPr="00D726F6">
        <w:t>&gt;.</w:t>
      </w:r>
    </w:p>
    <w:bookmarkEnd w:id="635"/>
    <w:p w14:paraId="2E6E6307" w14:textId="77777777" w:rsidR="00D726F6" w:rsidRPr="00D726F6" w:rsidRDefault="00D726F6" w:rsidP="00D726F6">
      <w:pPr>
        <w:pStyle w:val="EndNoteBibliography"/>
        <w:spacing w:after="0"/>
      </w:pPr>
    </w:p>
    <w:p w14:paraId="3F5CE3EC" w14:textId="7FE8FCFD" w:rsidR="00D726F6" w:rsidRPr="00D726F6" w:rsidRDefault="00D726F6" w:rsidP="00D726F6">
      <w:pPr>
        <w:pStyle w:val="EndNoteBibliography"/>
      </w:pPr>
      <w:bookmarkStart w:id="636" w:name="_ENREF_49"/>
      <w:r w:rsidRPr="00D726F6">
        <w:t xml:space="preserve">NBA 2020, </w:t>
      </w:r>
      <w:r w:rsidRPr="00D726F6">
        <w:rPr>
          <w:i/>
        </w:rPr>
        <w:t>National Blood Authority Annual Report 2019-20</w:t>
      </w:r>
      <w:r w:rsidRPr="00D726F6">
        <w:t>, National Blood Authority, &lt;</w:t>
      </w:r>
      <w:hyperlink r:id="rId78" w:history="1">
        <w:r w:rsidRPr="00D726F6">
          <w:rPr>
            <w:rStyle w:val="Hyperlink"/>
          </w:rPr>
          <w:t>www.blood.gov.au/about-nba</w:t>
        </w:r>
      </w:hyperlink>
      <w:r w:rsidRPr="00D726F6">
        <w:t>&gt;.</w:t>
      </w:r>
    </w:p>
    <w:bookmarkEnd w:id="636"/>
    <w:p w14:paraId="53421B7D" w14:textId="77777777" w:rsidR="00D726F6" w:rsidRPr="00D726F6" w:rsidRDefault="00D726F6" w:rsidP="00D726F6">
      <w:pPr>
        <w:pStyle w:val="EndNoteBibliography"/>
        <w:spacing w:after="0"/>
      </w:pPr>
    </w:p>
    <w:p w14:paraId="793E6901" w14:textId="283E8300" w:rsidR="00D726F6" w:rsidRPr="00D726F6" w:rsidRDefault="00D726F6" w:rsidP="00D726F6">
      <w:pPr>
        <w:pStyle w:val="EndNoteBibliography"/>
      </w:pPr>
      <w:bookmarkStart w:id="637" w:name="_ENREF_50"/>
      <w:r w:rsidRPr="00D726F6">
        <w:t xml:space="preserve">NBA 2021a, </w:t>
      </w:r>
      <w:r w:rsidRPr="00D726F6">
        <w:rPr>
          <w:i/>
        </w:rPr>
        <w:t>Data Analysis and Reporting, National Blood Authority Australia</w:t>
      </w:r>
      <w:r w:rsidRPr="00D726F6">
        <w:t>, National Blood Authority, &lt;</w:t>
      </w:r>
      <w:hyperlink r:id="rId79" w:history="1">
        <w:r w:rsidRPr="00D726F6">
          <w:rPr>
            <w:rStyle w:val="Hyperlink"/>
          </w:rPr>
          <w:t>https://www.blood.gov.au/data-analysis-reporting</w:t>
        </w:r>
      </w:hyperlink>
      <w:r w:rsidRPr="00D726F6">
        <w:t>&gt;.</w:t>
      </w:r>
    </w:p>
    <w:bookmarkEnd w:id="637"/>
    <w:p w14:paraId="7BE27026" w14:textId="77777777" w:rsidR="00D726F6" w:rsidRPr="00D726F6" w:rsidRDefault="00D726F6" w:rsidP="00D726F6">
      <w:pPr>
        <w:pStyle w:val="EndNoteBibliography"/>
        <w:spacing w:after="0"/>
      </w:pPr>
    </w:p>
    <w:p w14:paraId="4DFB7A3A" w14:textId="77777777" w:rsidR="00D726F6" w:rsidRPr="00D726F6" w:rsidRDefault="00D726F6" w:rsidP="00D726F6">
      <w:pPr>
        <w:pStyle w:val="EndNoteBibliography"/>
      </w:pPr>
      <w:bookmarkStart w:id="638" w:name="_ENREF_51"/>
      <w:r w:rsidRPr="00D726F6">
        <w:t>NBA 2021b, 'Summary of BloodSTAR Data for IVIg use in patiets with CIDP Provided by National Blood Authority (NBA) for MSAC Application 1564.1', Summary level data, in Do Health (ed.)summary level data from BloodStar for CIDP. edn.</w:t>
      </w:r>
    </w:p>
    <w:bookmarkEnd w:id="638"/>
    <w:p w14:paraId="0D45F0DB" w14:textId="77777777" w:rsidR="00D726F6" w:rsidRPr="00D726F6" w:rsidRDefault="00D726F6" w:rsidP="00D726F6">
      <w:pPr>
        <w:pStyle w:val="EndNoteBibliography"/>
        <w:spacing w:after="0"/>
      </w:pPr>
    </w:p>
    <w:p w14:paraId="275EE192" w14:textId="77777777" w:rsidR="00D726F6" w:rsidRPr="00D726F6" w:rsidRDefault="00D726F6" w:rsidP="00D726F6">
      <w:pPr>
        <w:pStyle w:val="EndNoteBibliography"/>
      </w:pPr>
      <w:bookmarkStart w:id="639" w:name="_ENREF_52"/>
      <w:r w:rsidRPr="00D726F6">
        <w:t xml:space="preserve">Nieto-Aristizábal, I, Vivas Á, J, Ruiz-Montaño, P, Aragón, CC, Posso-Osorio, I, Quiñones, J, Rivillas, JA &amp; Tobón, GJ 2020, 'Therapeutic Plasma Exchange as a Treatment for Autoimmune Neurological Disease', </w:t>
      </w:r>
      <w:r w:rsidRPr="00D726F6">
        <w:rPr>
          <w:i/>
        </w:rPr>
        <w:t>Autoimmune Dis</w:t>
      </w:r>
      <w:r w:rsidRPr="00D726F6">
        <w:t>, vol. 2020, p. 3484659.</w:t>
      </w:r>
    </w:p>
    <w:bookmarkEnd w:id="639"/>
    <w:p w14:paraId="6DC560CE" w14:textId="77777777" w:rsidR="00D726F6" w:rsidRPr="00D726F6" w:rsidRDefault="00D726F6" w:rsidP="00D726F6">
      <w:pPr>
        <w:pStyle w:val="EndNoteBibliography"/>
        <w:spacing w:after="0"/>
      </w:pPr>
    </w:p>
    <w:p w14:paraId="0A721CD5" w14:textId="77777777" w:rsidR="00D726F6" w:rsidRPr="00D726F6" w:rsidRDefault="00D726F6" w:rsidP="00D726F6">
      <w:pPr>
        <w:pStyle w:val="EndNoteBibliography"/>
      </w:pPr>
      <w:bookmarkStart w:id="640" w:name="_ENREF_53"/>
      <w:r w:rsidRPr="00D726F6">
        <w:t xml:space="preserve">Nieto-Aristizábal, I, Vivas, ÁJ, Ruiz-Montaño, P, Aragón, CC, Posso-Osorio, I, Quiñones, J, Rivillas, JA &amp; Tobón, GJ 2020, 'Therapeutic Plasma Exchange as a Treatment for Autoimmune Neurological Disease', </w:t>
      </w:r>
      <w:r w:rsidRPr="00D726F6">
        <w:rPr>
          <w:i/>
        </w:rPr>
        <w:t>Autoimmune Diseases</w:t>
      </w:r>
      <w:r w:rsidRPr="00D726F6">
        <w:t>, vol. 2020.</w:t>
      </w:r>
    </w:p>
    <w:bookmarkEnd w:id="640"/>
    <w:p w14:paraId="723D3A50" w14:textId="77777777" w:rsidR="00D726F6" w:rsidRPr="00D726F6" w:rsidRDefault="00D726F6" w:rsidP="00D726F6">
      <w:pPr>
        <w:pStyle w:val="EndNoteBibliography"/>
        <w:spacing w:after="0"/>
      </w:pPr>
    </w:p>
    <w:p w14:paraId="39267CED" w14:textId="77777777" w:rsidR="00D726F6" w:rsidRPr="00D726F6" w:rsidRDefault="00D726F6" w:rsidP="00D726F6">
      <w:pPr>
        <w:pStyle w:val="EndNoteBibliography"/>
      </w:pPr>
      <w:bookmarkStart w:id="641" w:name="_ENREF_54"/>
      <w:r w:rsidRPr="00D726F6">
        <w:t xml:space="preserve">Nobile-Orazio, E, Cocito, D, Jann, S, Uncini, A, Beghi, E, Messina, P, Antonini, G, Fazio, R, Gallia, F, Schenone, A, Francia, A, Pareyson, D, Santoro, L, Tamburin, S, Macchia, R, Cavaletti, G, Giannini, F &amp; Sabatelli, M 2012, 'Intravenous immunoglobulin versus intravenous methylprednisolone for chronic inflammatory demyelinating polyradiculoneuropathy: a randomised controlled trial', </w:t>
      </w:r>
      <w:r w:rsidRPr="00D726F6">
        <w:rPr>
          <w:i/>
        </w:rPr>
        <w:t>Lancet Neurol</w:t>
      </w:r>
      <w:r w:rsidRPr="00D726F6">
        <w:t>, vol. 11, no. 6, Jun, pp. 493-502.</w:t>
      </w:r>
    </w:p>
    <w:bookmarkEnd w:id="641"/>
    <w:p w14:paraId="7290F92E" w14:textId="77777777" w:rsidR="00D726F6" w:rsidRPr="00D726F6" w:rsidRDefault="00D726F6" w:rsidP="00D726F6">
      <w:pPr>
        <w:pStyle w:val="EndNoteBibliography"/>
        <w:spacing w:after="0"/>
      </w:pPr>
    </w:p>
    <w:p w14:paraId="45D946C3" w14:textId="77777777" w:rsidR="00D726F6" w:rsidRPr="00D726F6" w:rsidRDefault="00D726F6" w:rsidP="00D726F6">
      <w:pPr>
        <w:pStyle w:val="EndNoteBibliography"/>
      </w:pPr>
      <w:bookmarkStart w:id="642" w:name="_ENREF_55"/>
      <w:r w:rsidRPr="00D726F6">
        <w:t xml:space="preserve">Nobile-Orazio, E, Cocito, D, Jann, S, Uncini, A, Messina, P, Antonini, G, Fazio, R, Gallia, F, Schenone, A, Francia, A, Pareyson, D, Santoro, L, Tamburin, S, Cavaletti, G, Giannini, F, Sabatelli, M &amp; Beghi, E 2015, 'Frequency and time to relapse after discontinuing 6-month therapy with IVIg or pulsed methylprednisolone in CIDP', </w:t>
      </w:r>
      <w:r w:rsidRPr="00D726F6">
        <w:rPr>
          <w:i/>
        </w:rPr>
        <w:t>J Neurol Neurosurg Psychiatry</w:t>
      </w:r>
      <w:r w:rsidRPr="00D726F6">
        <w:t>, vol. 86, no. 7, Jul, pp. 729-734.</w:t>
      </w:r>
    </w:p>
    <w:bookmarkEnd w:id="642"/>
    <w:p w14:paraId="346C8D59" w14:textId="77777777" w:rsidR="00D726F6" w:rsidRPr="00D726F6" w:rsidRDefault="00D726F6" w:rsidP="00D726F6">
      <w:pPr>
        <w:pStyle w:val="EndNoteBibliography"/>
        <w:spacing w:after="0"/>
      </w:pPr>
    </w:p>
    <w:p w14:paraId="3BD87BE9" w14:textId="77777777" w:rsidR="00D726F6" w:rsidRPr="00D726F6" w:rsidRDefault="00D726F6" w:rsidP="00D726F6">
      <w:pPr>
        <w:pStyle w:val="EndNoteBibliography"/>
      </w:pPr>
      <w:bookmarkStart w:id="643" w:name="_ENREF_56"/>
      <w:r w:rsidRPr="00D726F6">
        <w:t xml:space="preserve">Ortiz-Salas, P, Velez-Van-Meerbeke, A, Galvis-Gomez, CA &amp; Rodriguez, QJ 2016, 'Human Immunoglobulin Versus Plasmapheresis in Guillain-Barre Syndrome and Myasthenia Gravis: A Meta-Analysis', </w:t>
      </w:r>
      <w:r w:rsidRPr="00D726F6">
        <w:rPr>
          <w:i/>
        </w:rPr>
        <w:t>J Clin Neuromuscul Dis</w:t>
      </w:r>
      <w:r w:rsidRPr="00D726F6">
        <w:t>, vol. 18, no. 1, Sep, pp. 1-11.</w:t>
      </w:r>
    </w:p>
    <w:bookmarkEnd w:id="643"/>
    <w:p w14:paraId="26AF955A" w14:textId="77777777" w:rsidR="00D726F6" w:rsidRPr="00D726F6" w:rsidRDefault="00D726F6" w:rsidP="00D726F6">
      <w:pPr>
        <w:pStyle w:val="EndNoteBibliography"/>
        <w:spacing w:after="0"/>
      </w:pPr>
    </w:p>
    <w:p w14:paraId="5AD4420D" w14:textId="77777777" w:rsidR="00D726F6" w:rsidRPr="00D726F6" w:rsidRDefault="00D726F6" w:rsidP="00D726F6">
      <w:pPr>
        <w:pStyle w:val="EndNoteBibliography"/>
      </w:pPr>
      <w:bookmarkStart w:id="644" w:name="_ENREF_57"/>
      <w:r w:rsidRPr="00D726F6">
        <w:t xml:space="preserve">Querol, L, Crabtree, M, Herepath, M, Priedane, E, Viejo Viejo, I, Agush, S &amp; Sommerer, P 2020, 'Systematic literature review of burden of illness in chronic inflammatory demyelinating polyneuropathy (CIDP)', </w:t>
      </w:r>
      <w:r w:rsidRPr="00D726F6">
        <w:rPr>
          <w:i/>
        </w:rPr>
        <w:t>J Neurol</w:t>
      </w:r>
      <w:r w:rsidRPr="00D726F6">
        <w:t>, Jun 24.</w:t>
      </w:r>
    </w:p>
    <w:bookmarkEnd w:id="644"/>
    <w:p w14:paraId="671D9D9C" w14:textId="77777777" w:rsidR="00D726F6" w:rsidRPr="00D726F6" w:rsidRDefault="00D726F6" w:rsidP="00D726F6">
      <w:pPr>
        <w:pStyle w:val="EndNoteBibliography"/>
        <w:spacing w:after="0"/>
      </w:pPr>
    </w:p>
    <w:p w14:paraId="6DA19F00" w14:textId="77777777" w:rsidR="00D726F6" w:rsidRPr="00D726F6" w:rsidRDefault="00D726F6" w:rsidP="00D726F6">
      <w:pPr>
        <w:pStyle w:val="EndNoteBibliography"/>
      </w:pPr>
      <w:bookmarkStart w:id="645" w:name="_ENREF_58"/>
      <w:r w:rsidRPr="00D726F6">
        <w:t xml:space="preserve">Querol, L, Rojas-Garcia, R, Casasnovas, C, Sedano, MJ, Muñoz-Blanco, JL, Alberti, MA, Paradas, C, Sevilla, T, Pardo, J, Capablo, JL, Sivera, R, Guerrero, A, Gutierrez-Rivas, E &amp; Illa, I 2013, 'Long-term outcome in chronic inflammatory demyelinating polyneuropathy patients treated with intravenous immunoglobulin: a retrospective study', </w:t>
      </w:r>
      <w:r w:rsidRPr="00D726F6">
        <w:rPr>
          <w:i/>
        </w:rPr>
        <w:t>Muscle Nerve</w:t>
      </w:r>
      <w:r w:rsidRPr="00D726F6">
        <w:t>, vol. 48, no. 6, Dec, pp. 870-876.</w:t>
      </w:r>
    </w:p>
    <w:bookmarkEnd w:id="645"/>
    <w:p w14:paraId="61591331" w14:textId="77777777" w:rsidR="00D726F6" w:rsidRPr="00D726F6" w:rsidRDefault="00D726F6" w:rsidP="00D726F6">
      <w:pPr>
        <w:pStyle w:val="EndNoteBibliography"/>
        <w:spacing w:after="0"/>
      </w:pPr>
    </w:p>
    <w:p w14:paraId="53300C35" w14:textId="77777777" w:rsidR="00D726F6" w:rsidRPr="00D726F6" w:rsidRDefault="00D726F6" w:rsidP="00D726F6">
      <w:pPr>
        <w:pStyle w:val="EndNoteBibliography"/>
      </w:pPr>
      <w:bookmarkStart w:id="646" w:name="_ENREF_59"/>
      <w:r w:rsidRPr="00D726F6">
        <w:t xml:space="preserve">Rajabally, YA &amp; Afzal, S 2019, 'Clinical and economic comparison of an individualised immunoglobulin protocol vs. standard dosing for chronic inflammatory demyelinating polyneuropathy', </w:t>
      </w:r>
      <w:r w:rsidRPr="00D726F6">
        <w:rPr>
          <w:i/>
        </w:rPr>
        <w:t>Journal of neurology</w:t>
      </w:r>
      <w:r w:rsidRPr="00D726F6">
        <w:t>, vol. 266, no. 2, pp. 461-467.</w:t>
      </w:r>
    </w:p>
    <w:bookmarkEnd w:id="646"/>
    <w:p w14:paraId="48D94CE9" w14:textId="77777777" w:rsidR="00D726F6" w:rsidRPr="00D726F6" w:rsidRDefault="00D726F6" w:rsidP="00D726F6">
      <w:pPr>
        <w:pStyle w:val="EndNoteBibliography"/>
        <w:spacing w:after="0"/>
      </w:pPr>
    </w:p>
    <w:p w14:paraId="463D9DAE" w14:textId="77777777" w:rsidR="00D726F6" w:rsidRPr="00D726F6" w:rsidRDefault="00D726F6" w:rsidP="00D726F6">
      <w:pPr>
        <w:pStyle w:val="EndNoteBibliography"/>
      </w:pPr>
      <w:bookmarkStart w:id="647" w:name="_ENREF_60"/>
      <w:r w:rsidRPr="00D726F6">
        <w:t xml:space="preserve">Rajabally, YA, Wong, SL &amp; Kearney, DA 2013, 'Immunoglobulin G level variations in treated chronic inflammatory demyelinating polyneuropathy: clues for future treatment regimens?', </w:t>
      </w:r>
      <w:r w:rsidRPr="00D726F6">
        <w:rPr>
          <w:i/>
        </w:rPr>
        <w:t>J Neurol</w:t>
      </w:r>
      <w:r w:rsidRPr="00D726F6">
        <w:t>, vol. 260, no. 8, Aug, pp. 2052-2056.</w:t>
      </w:r>
    </w:p>
    <w:bookmarkEnd w:id="647"/>
    <w:p w14:paraId="02FB214F" w14:textId="77777777" w:rsidR="00D726F6" w:rsidRPr="00D726F6" w:rsidRDefault="00D726F6" w:rsidP="00D726F6">
      <w:pPr>
        <w:pStyle w:val="EndNoteBibliography"/>
        <w:spacing w:after="0"/>
      </w:pPr>
    </w:p>
    <w:p w14:paraId="73125164" w14:textId="77777777" w:rsidR="00D726F6" w:rsidRPr="00D726F6" w:rsidRDefault="00D726F6" w:rsidP="00D726F6">
      <w:pPr>
        <w:pStyle w:val="EndNoteBibliography"/>
      </w:pPr>
      <w:bookmarkStart w:id="648" w:name="_ENREF_61"/>
      <w:r w:rsidRPr="00D726F6">
        <w:t xml:space="preserve">Rice, JB, White, AG, Scarpati, LM, Wan, G &amp; Nelson, WW 2017, 'Long-term Systemic Corticosteroid Exposure: A Systematic Literature Review', </w:t>
      </w:r>
      <w:r w:rsidRPr="00D726F6">
        <w:rPr>
          <w:i/>
        </w:rPr>
        <w:t>Clin Ther</w:t>
      </w:r>
      <w:r w:rsidRPr="00D726F6">
        <w:t>, vol. 39, no. 11, Nov, pp. 2216-2229.</w:t>
      </w:r>
    </w:p>
    <w:bookmarkEnd w:id="648"/>
    <w:p w14:paraId="6ADF4CC5" w14:textId="77777777" w:rsidR="00D726F6" w:rsidRPr="00D726F6" w:rsidRDefault="00D726F6" w:rsidP="00D726F6">
      <w:pPr>
        <w:pStyle w:val="EndNoteBibliography"/>
        <w:spacing w:after="0"/>
      </w:pPr>
    </w:p>
    <w:p w14:paraId="6DD54724" w14:textId="77777777" w:rsidR="00D726F6" w:rsidRPr="00D726F6" w:rsidRDefault="00D726F6" w:rsidP="00D726F6">
      <w:pPr>
        <w:pStyle w:val="EndNoteBibliography"/>
      </w:pPr>
      <w:bookmarkStart w:id="649" w:name="_ENREF_62"/>
      <w:r w:rsidRPr="00D726F6">
        <w:t xml:space="preserve">Rognoni, C, Quaglini, S, Vermorken, JB, De Cecco, L, Licitra, L &amp; Bossi, P 2019, 'Cost-effectiveness of Molecular Profile Patient Selection for First-line Treatment of Recurrent/Metastatic Head and Neck Cancer', </w:t>
      </w:r>
      <w:r w:rsidRPr="00D726F6">
        <w:rPr>
          <w:i/>
        </w:rPr>
        <w:t>Clin Ther</w:t>
      </w:r>
      <w:r w:rsidRPr="00D726F6">
        <w:t>, vol. 41, no. 12, Dec, pp. 2517-2528.e2528.</w:t>
      </w:r>
    </w:p>
    <w:bookmarkEnd w:id="649"/>
    <w:p w14:paraId="5705C781" w14:textId="77777777" w:rsidR="00D726F6" w:rsidRPr="00D726F6" w:rsidRDefault="00D726F6" w:rsidP="00D726F6">
      <w:pPr>
        <w:pStyle w:val="EndNoteBibliography"/>
        <w:spacing w:after="0"/>
      </w:pPr>
    </w:p>
    <w:p w14:paraId="23589C3B" w14:textId="77777777" w:rsidR="00D726F6" w:rsidRPr="00D726F6" w:rsidRDefault="00D726F6" w:rsidP="00D726F6">
      <w:pPr>
        <w:pStyle w:val="EndNoteBibliography"/>
      </w:pPr>
      <w:bookmarkStart w:id="650" w:name="_ENREF_63"/>
      <w:r w:rsidRPr="00D726F6">
        <w:t xml:space="preserve">Ryan, M &amp; Ryan, SJ 2018, 'Chronic inflammatory demyelinating polyneuropathy: considerations for diagnosis, management, and population health', </w:t>
      </w:r>
      <w:r w:rsidRPr="00D726F6">
        <w:rPr>
          <w:i/>
        </w:rPr>
        <w:t>Am J Manag Care</w:t>
      </w:r>
      <w:r w:rsidRPr="00D726F6">
        <w:t>, vol. 24, no. 17 Suppl, Sep, pp. S371-S379.</w:t>
      </w:r>
    </w:p>
    <w:bookmarkEnd w:id="650"/>
    <w:p w14:paraId="35E10770" w14:textId="77777777" w:rsidR="00D726F6" w:rsidRPr="00D726F6" w:rsidRDefault="00D726F6" w:rsidP="00D726F6">
      <w:pPr>
        <w:pStyle w:val="EndNoteBibliography"/>
        <w:spacing w:after="0"/>
      </w:pPr>
    </w:p>
    <w:p w14:paraId="2CC1B5CC" w14:textId="77777777" w:rsidR="00D726F6" w:rsidRPr="00D726F6" w:rsidRDefault="00D726F6" w:rsidP="00D726F6">
      <w:pPr>
        <w:pStyle w:val="EndNoteBibliography"/>
      </w:pPr>
      <w:bookmarkStart w:id="651" w:name="_ENREF_64"/>
      <w:r w:rsidRPr="00D726F6">
        <w:t xml:space="preserve">Sarnes, E, Crofford, L, Watson, M, Dennis, G, Kan, H &amp; Bass, D 2011, 'Incidence and US Costs of Corticosteroid-Associated Adverse Events: A Systematic Literature Review', </w:t>
      </w:r>
      <w:r w:rsidRPr="00D726F6">
        <w:rPr>
          <w:i/>
        </w:rPr>
        <w:t>Clinical Therapeutics</w:t>
      </w:r>
      <w:r w:rsidRPr="00D726F6">
        <w:t>, vol. 33, no. 10, 2011/10/01/, pp. 1413-1432.</w:t>
      </w:r>
    </w:p>
    <w:bookmarkEnd w:id="651"/>
    <w:p w14:paraId="19192B6C" w14:textId="77777777" w:rsidR="00D726F6" w:rsidRPr="00D726F6" w:rsidRDefault="00D726F6" w:rsidP="00D726F6">
      <w:pPr>
        <w:pStyle w:val="EndNoteBibliography"/>
        <w:spacing w:after="0"/>
      </w:pPr>
    </w:p>
    <w:p w14:paraId="6F47F15F" w14:textId="77777777" w:rsidR="00D726F6" w:rsidRPr="00D726F6" w:rsidRDefault="00D726F6" w:rsidP="00D726F6">
      <w:pPr>
        <w:pStyle w:val="EndNoteBibliography"/>
      </w:pPr>
      <w:bookmarkStart w:id="652" w:name="_ENREF_65"/>
      <w:r w:rsidRPr="00D726F6">
        <w:t xml:space="preserve">Shah, M, Chaudhari, S, McLaughlin, TP, Kan, HJ, Bechtel, B, Dennis, GJ &amp; Molta, CT 2013, 'Cumulative Burden of Oral Corticosteroid Adverse Effects and the Economic Implications of Corticosteroid Use in Patients With Systemic Lupus Erythematosus', </w:t>
      </w:r>
      <w:r w:rsidRPr="00D726F6">
        <w:rPr>
          <w:i/>
        </w:rPr>
        <w:t>Clinical Therapeutics</w:t>
      </w:r>
      <w:r w:rsidRPr="00D726F6">
        <w:t>, vol. 35, no. 4, 2013/04/01/, pp. 486-497.</w:t>
      </w:r>
    </w:p>
    <w:bookmarkEnd w:id="652"/>
    <w:p w14:paraId="490DF26F" w14:textId="77777777" w:rsidR="00D726F6" w:rsidRPr="00D726F6" w:rsidRDefault="00D726F6" w:rsidP="00D726F6">
      <w:pPr>
        <w:pStyle w:val="EndNoteBibliography"/>
        <w:spacing w:after="0"/>
      </w:pPr>
    </w:p>
    <w:p w14:paraId="790AD054" w14:textId="77777777" w:rsidR="00D726F6" w:rsidRPr="00D726F6" w:rsidRDefault="00D726F6" w:rsidP="00D726F6">
      <w:pPr>
        <w:pStyle w:val="EndNoteBibliography"/>
      </w:pPr>
      <w:bookmarkStart w:id="653" w:name="_ENREF_66"/>
      <w:r w:rsidRPr="00D726F6">
        <w:t xml:space="preserve">Shea, BJ, Grimshaw, JM, Wells, GA, Boers, M, Andersson, N, Hamel, C, Porter, AC, Tugwell, P, Moher, D &amp; Bouter, LM 2007, 'Development of AMSTAR: a measurement tool to assess the methodological quality of systematic reviews', </w:t>
      </w:r>
      <w:r w:rsidRPr="00D726F6">
        <w:rPr>
          <w:i/>
        </w:rPr>
        <w:t>BMC Med Res Methodol</w:t>
      </w:r>
      <w:r w:rsidRPr="00D726F6">
        <w:t>, vol. 7, p. 10.</w:t>
      </w:r>
    </w:p>
    <w:bookmarkEnd w:id="653"/>
    <w:p w14:paraId="767A1EEE" w14:textId="77777777" w:rsidR="00D726F6" w:rsidRPr="00D726F6" w:rsidRDefault="00D726F6" w:rsidP="00D726F6">
      <w:pPr>
        <w:pStyle w:val="EndNoteBibliography"/>
        <w:spacing w:after="0"/>
      </w:pPr>
    </w:p>
    <w:p w14:paraId="5170E2F3" w14:textId="0134720B" w:rsidR="00D726F6" w:rsidRPr="00D726F6" w:rsidRDefault="00D726F6" w:rsidP="00D726F6">
      <w:pPr>
        <w:pStyle w:val="EndNoteBibliography"/>
      </w:pPr>
      <w:bookmarkStart w:id="654" w:name="_ENREF_67"/>
      <w:r w:rsidRPr="00D726F6">
        <w:t xml:space="preserve">SIGN 2014, </w:t>
      </w:r>
      <w:r w:rsidRPr="00D726F6">
        <w:rPr>
          <w:i/>
        </w:rPr>
        <w:t>SIGN 50: a guideline developer’s handbook (SIGN publication no. 50)</w:t>
      </w:r>
      <w:r w:rsidRPr="00D726F6">
        <w:t xml:space="preserve">, Scottish Intercollegiate Guidelines Network, Edinburgh, &lt; </w:t>
      </w:r>
      <w:hyperlink r:id="rId80" w:history="1">
        <w:r w:rsidRPr="00D726F6">
          <w:rPr>
            <w:rStyle w:val="Hyperlink"/>
          </w:rPr>
          <w:t>http://www.sign.ac.uk</w:t>
        </w:r>
      </w:hyperlink>
      <w:r w:rsidRPr="00D726F6">
        <w:t>&gt;.</w:t>
      </w:r>
    </w:p>
    <w:bookmarkEnd w:id="654"/>
    <w:p w14:paraId="30C44B01" w14:textId="77777777" w:rsidR="00D726F6" w:rsidRPr="00D726F6" w:rsidRDefault="00D726F6" w:rsidP="00D726F6">
      <w:pPr>
        <w:pStyle w:val="EndNoteBibliography"/>
        <w:spacing w:after="0"/>
      </w:pPr>
    </w:p>
    <w:p w14:paraId="58E94B0A" w14:textId="77777777" w:rsidR="00D726F6" w:rsidRPr="00D726F6" w:rsidRDefault="00D726F6" w:rsidP="00D726F6">
      <w:pPr>
        <w:pStyle w:val="EndNoteBibliography"/>
      </w:pPr>
      <w:bookmarkStart w:id="655" w:name="_ENREF_68"/>
      <w:r w:rsidRPr="00D726F6">
        <w:t xml:space="preserve">Sullivan, PW, Ghushchyan, VH, Globe, G &amp; Sucher, B 2017, 'Health-related quality of life associated with systemic corticosteroids', </w:t>
      </w:r>
      <w:r w:rsidRPr="00D726F6">
        <w:rPr>
          <w:i/>
        </w:rPr>
        <w:t>Qual Life Res</w:t>
      </w:r>
      <w:r w:rsidRPr="00D726F6">
        <w:t>, vol. 26, no. 4, Apr, pp. 1037-1058.</w:t>
      </w:r>
    </w:p>
    <w:bookmarkEnd w:id="655"/>
    <w:p w14:paraId="104FD48E" w14:textId="77777777" w:rsidR="00D726F6" w:rsidRPr="00D726F6" w:rsidRDefault="00D726F6" w:rsidP="00D726F6">
      <w:pPr>
        <w:pStyle w:val="EndNoteBibliography"/>
        <w:spacing w:after="0"/>
      </w:pPr>
    </w:p>
    <w:p w14:paraId="6E281FF8" w14:textId="77777777" w:rsidR="00D726F6" w:rsidRPr="00D726F6" w:rsidRDefault="00D726F6" w:rsidP="00D726F6">
      <w:pPr>
        <w:pStyle w:val="EndNoteBibliography"/>
      </w:pPr>
      <w:bookmarkStart w:id="656" w:name="_ENREF_69"/>
      <w:r w:rsidRPr="00D726F6">
        <w:t xml:space="preserve">Sullivan, PW, Slejko, JF, Sculpher, MJ &amp; Ghushchyan, V 2011, 'Catalogue of EQ-5D scores for the United Kingdom', </w:t>
      </w:r>
      <w:r w:rsidRPr="00D726F6">
        <w:rPr>
          <w:i/>
        </w:rPr>
        <w:t>Med Decis Making</w:t>
      </w:r>
      <w:r w:rsidRPr="00D726F6">
        <w:t>, vol. 31, no. 6, Nov-Dec, pp. 800-804.</w:t>
      </w:r>
    </w:p>
    <w:bookmarkEnd w:id="656"/>
    <w:p w14:paraId="2BBFF0A2" w14:textId="77777777" w:rsidR="00D726F6" w:rsidRPr="00D726F6" w:rsidRDefault="00D726F6" w:rsidP="00D726F6">
      <w:pPr>
        <w:pStyle w:val="EndNoteBibliography"/>
        <w:spacing w:after="0"/>
      </w:pPr>
    </w:p>
    <w:p w14:paraId="221A1191" w14:textId="77777777" w:rsidR="00D726F6" w:rsidRPr="00D726F6" w:rsidRDefault="00D726F6" w:rsidP="00D726F6">
      <w:pPr>
        <w:pStyle w:val="EndNoteBibliography"/>
      </w:pPr>
      <w:bookmarkStart w:id="657" w:name="_ENREF_70"/>
      <w:r w:rsidRPr="00D726F6">
        <w:t xml:space="preserve">Tatangelo, G, Watts, J, Lim, K, Connaughton, C, Abimanyi-Ochom, J, Borgström, F, Nicholson, GC, Shore-Lorenti, C, Stuart, AL, Iuliano-Burns, S, Seeman, E, Prince, R, March, L, Cross, M, Winzenberg, T, Laslett, LL, Duque, G, Ebeling, PR &amp; Sanders, KM 2019, 'The Cost of Osteoporosis, Osteopenia, and Associated Fractures in Australia in 2017', </w:t>
      </w:r>
      <w:r w:rsidRPr="00D726F6">
        <w:rPr>
          <w:i/>
        </w:rPr>
        <w:t>J Bone Miner Res</w:t>
      </w:r>
      <w:r w:rsidRPr="00D726F6">
        <w:t>, vol. 34, no. 4, Apr, pp. 616-625.</w:t>
      </w:r>
    </w:p>
    <w:bookmarkEnd w:id="657"/>
    <w:p w14:paraId="47E9ED75" w14:textId="77777777" w:rsidR="00D726F6" w:rsidRPr="00D726F6" w:rsidRDefault="00D726F6" w:rsidP="00D726F6">
      <w:pPr>
        <w:pStyle w:val="EndNoteBibliography"/>
        <w:spacing w:after="0"/>
      </w:pPr>
    </w:p>
    <w:p w14:paraId="45253BF4" w14:textId="77777777" w:rsidR="00D726F6" w:rsidRPr="00D726F6" w:rsidRDefault="00D726F6" w:rsidP="00D726F6">
      <w:pPr>
        <w:pStyle w:val="EndNoteBibliography"/>
      </w:pPr>
      <w:bookmarkStart w:id="658" w:name="_ENREF_71"/>
      <w:r w:rsidRPr="00D726F6">
        <w:t xml:space="preserve">Van den Bergh, PY, Hadden, RD, Bouche, P, Cornblath, DR, Hahn, A, Illa, I, Koski, CL, Léger, JM, Nobile-Orazio, E, Pollard, J, Sommer, C, van Doorn, PA &amp; van Schaik, IN 2010, 'European Federation of Neurological Societies/Peripheral Nerve Society guideline on management of chronic inflammatory demyelinating polyradiculoneuropathy: report of a joint task force of the European Federation of Neurological Societies and the Peripheral Nerve Society - first revision', </w:t>
      </w:r>
      <w:r w:rsidRPr="00D726F6">
        <w:rPr>
          <w:i/>
        </w:rPr>
        <w:t>Eur J Neurol</w:t>
      </w:r>
      <w:r w:rsidRPr="00D726F6">
        <w:t>, vol. 17, no. 3, Mar, pp. 356-363.</w:t>
      </w:r>
    </w:p>
    <w:bookmarkEnd w:id="658"/>
    <w:p w14:paraId="1BA7CBBB" w14:textId="77777777" w:rsidR="00D726F6" w:rsidRPr="00D726F6" w:rsidRDefault="00D726F6" w:rsidP="00D726F6">
      <w:pPr>
        <w:pStyle w:val="EndNoteBibliography"/>
        <w:spacing w:after="0"/>
      </w:pPr>
    </w:p>
    <w:p w14:paraId="295F6910" w14:textId="77777777" w:rsidR="00D726F6" w:rsidRPr="00D726F6" w:rsidRDefault="00D726F6" w:rsidP="00D726F6">
      <w:pPr>
        <w:pStyle w:val="EndNoteBibliography"/>
      </w:pPr>
      <w:bookmarkStart w:id="659" w:name="_ENREF_72"/>
      <w:r w:rsidRPr="00D726F6">
        <w:t xml:space="preserve">Van den Bergh, PYK, Hadden, RDM, Bouche, P, Cornblath, DR, Hahn, A, Illa, I, Koski, CL, Le´ger, J-M, Nobile-Orazio, E, Pollard, J, Sommer, C, Doorn, PAv &amp; Schaik, INv 2010, 'European Federation of Neurological Societies/Peripheral Nerve Society Guideline on management of chronic inflammatory demyelinating polyradiculoneuropathy: report of a joint task force of the European Federation of Neurological Societies and the Peripheral Nerve Society--First Revision', </w:t>
      </w:r>
      <w:r w:rsidRPr="00D726F6">
        <w:rPr>
          <w:i/>
        </w:rPr>
        <w:t>J Peripher Nerv Syst</w:t>
      </w:r>
      <w:r w:rsidRPr="00D726F6">
        <w:t>, vol. 15, no. 1, Mar, pp. 1-9.</w:t>
      </w:r>
    </w:p>
    <w:bookmarkEnd w:id="659"/>
    <w:p w14:paraId="74F41DCC" w14:textId="77777777" w:rsidR="00D726F6" w:rsidRPr="00D726F6" w:rsidRDefault="00D726F6" w:rsidP="00D726F6">
      <w:pPr>
        <w:pStyle w:val="EndNoteBibliography"/>
        <w:spacing w:after="0"/>
      </w:pPr>
    </w:p>
    <w:p w14:paraId="12FB5306" w14:textId="77777777" w:rsidR="00D726F6" w:rsidRPr="00D726F6" w:rsidRDefault="00D726F6" w:rsidP="00D726F6">
      <w:pPr>
        <w:pStyle w:val="EndNoteBibliography"/>
      </w:pPr>
      <w:bookmarkStart w:id="660" w:name="_ENREF_73"/>
      <w:r w:rsidRPr="00D726F6">
        <w:t xml:space="preserve">van Lieverloo, GGA, Peric, S, Doneddu, PE, Gallia, F, Nikolic, A, Wieske, L, Verhamme, C, van Schaik, IN, Nobile-Orazio, E, Basta, I &amp; Eftimov, F 2018, 'Corticosteroids in chronic inflammatory demyelinating polyneuropathy : A retrospective, multicentre study, comparing efficacy and safety of daily prednisolone, pulsed dexamethasone, and pulsed intravenous methylprednisolone', </w:t>
      </w:r>
      <w:r w:rsidRPr="00D726F6">
        <w:rPr>
          <w:i/>
        </w:rPr>
        <w:t>J Neurol</w:t>
      </w:r>
      <w:r w:rsidRPr="00D726F6">
        <w:t>, vol. 265, no. 9, Sep, pp. 2052-2059.</w:t>
      </w:r>
    </w:p>
    <w:bookmarkEnd w:id="660"/>
    <w:p w14:paraId="57EB7639" w14:textId="77777777" w:rsidR="00D726F6" w:rsidRPr="00D726F6" w:rsidRDefault="00D726F6" w:rsidP="00D726F6">
      <w:pPr>
        <w:pStyle w:val="EndNoteBibliography"/>
        <w:spacing w:after="0"/>
      </w:pPr>
    </w:p>
    <w:p w14:paraId="1F7AFCF0" w14:textId="77777777" w:rsidR="00D726F6" w:rsidRPr="00D726F6" w:rsidRDefault="00D726F6" w:rsidP="00D726F6">
      <w:pPr>
        <w:pStyle w:val="EndNoteBibliography"/>
      </w:pPr>
      <w:bookmarkStart w:id="661" w:name="_ENREF_74"/>
      <w:r w:rsidRPr="00D726F6">
        <w:t xml:space="preserve">van Schaik, IN, Bril, V, van Geloven, N, Hartung, H-P, Lewis, RA, Sobue, G, Lawo, J-P, Praus, M, Mielke, O, Durn, BL, Cornblath, DR, Merkies, ISJ, Sabet, A, George, K, Roberts, L, Carne, R, Blum, S, Henderson, R, Van Damme, P, Demeestere, J, Larue, S, D'Amour, C, Bril, V, Breiner, A, Kunc, P, Valis, M, Sussova, J, Kalous, T, Talab, R, Bednar, M, Toomsoo, T, Rubanovits, I, Gross-Paju, K, Sorro, U, Saarela, M, Auranen, M, Pouget, J, Attarian, S, Le Masson, G, Wielanek-Bachelet, A, Desnuelle, C, Delmont, E, Clavelou, P, Aufauvre, D, Schmidt, J, Zschuentssch, J, Sommer, C, Kramer, D, Hoffmann, O, Goerlitz, C, Haas, J, Chatzopoulos, M, Yoon, R, Gold, R, Berlit, P, Jaspert-Grehl, A, Liebetanz, D, Kutschenko, A, Stangel, M, Trebst, C, Baum, P, Bergh, F, Klehmet, J, Meisel, A, Klostermann, F, Oechtering, J, Lehmann, H, Schroeter, M, Hagenacker, T, Mueller, D, Sperfeld, A, Bethke, F, Drory, V, Algom, A, Yarnitsky, D, Murinson, B, Di Muzio, A, Ciccocioppo, F, Sorbi, S, Mata, S, Schenone, A, Grandis, M, Lauria, G, Cazzato, D, Antonini, G, Morino, S, Cocito, D, Zibetti, M, Yokota, T, Ohkubo, T, Kanda, T, Kawai, M, Kaida, K, Onoue, H, Kuwabara, S, Mori, M, Iijima, M, Ohyama, K, Baba, M, Tomiyama, M, Nishiyama, K, Akutsu, T, Yokoyama, K, Kanai, K, van Schaik, IN, Eftimov, F, Notermans, NC, Visser, N, Faber, C, Hoeijmakers, J, Rejdak, K, Chyrchel-Paszkiewicz, U, Casanovas Pons, C, Alberti Aguiló, M, Gamez, J, Figueras, M, Marquez Infante, C, Benitez Rivero, S, Lunn, M, Morrow, J, Gosal, D, Lavin, T, Melamed, I, Testori, A, Ajroud-Driss, S, Menichella, D, Simpson, E, Chi-Ho Lai, E, Dimachkie, M, Barohn, RJ, Beydoun, S, Johl, H, Lange, D, Shtilbans, A, Muley, S, Ladha, S, Freimer, M, Kissel, J, Latov, N, Chin, R, Ubogu, E, Mumfrey, S, Rao, T, MacDonald, P, Sharma, K, Gonzalez, G, Allen, J, Walk, D, Hobson-Webb, L &amp; Gable, K 2018, 'Subcutaneous immunoglobulin for maintenance treatment in chronic inflammatory demyelinating polyneuropathy (PATH): a randomised, double-blind, placebo-controlled, phase 3 trial', </w:t>
      </w:r>
      <w:r w:rsidRPr="00D726F6">
        <w:rPr>
          <w:i/>
        </w:rPr>
        <w:t>The Lancet Neurology</w:t>
      </w:r>
      <w:r w:rsidRPr="00D726F6">
        <w:t>, vol. 17, no. 1, pp. 35-46.</w:t>
      </w:r>
    </w:p>
    <w:bookmarkEnd w:id="661"/>
    <w:p w14:paraId="3EAE7DC8" w14:textId="77777777" w:rsidR="00D726F6" w:rsidRPr="00D726F6" w:rsidRDefault="00D726F6" w:rsidP="00D726F6">
      <w:pPr>
        <w:pStyle w:val="EndNoteBibliography"/>
        <w:spacing w:after="0"/>
      </w:pPr>
    </w:p>
    <w:p w14:paraId="36A57BE2" w14:textId="77777777" w:rsidR="00D726F6" w:rsidRPr="00D726F6" w:rsidRDefault="00D726F6" w:rsidP="00D726F6">
      <w:pPr>
        <w:pStyle w:val="EndNoteBibliography"/>
      </w:pPr>
      <w:bookmarkStart w:id="662" w:name="_ENREF_75"/>
      <w:r w:rsidRPr="00D726F6">
        <w:t xml:space="preserve">van Schaik, IN, Eftimov, F, van Doorn, PA, Brusse, E, van den Berg, LH, van der Pol, WL, Faber, CG, van Oostrom, JC, Vogels, OJ, Hadden, RD, Kleine, BU, van Norden, AG, Verschuuren, JJ, Dijkgraaf, MG &amp; Vermeulen, M 2010, 'Pulsed high-dose dexamethasone versus standard prednisolone treatment for chronic inflammatory demyelinating polyradiculoneuropathy (PREDICT study): a double-blind, randomised, controlled trial', </w:t>
      </w:r>
      <w:r w:rsidRPr="00D726F6">
        <w:rPr>
          <w:i/>
        </w:rPr>
        <w:t>Lancet Neurol</w:t>
      </w:r>
      <w:r w:rsidRPr="00D726F6">
        <w:t>, vol. 9, no. 3, Mar, pp. 245-253.</w:t>
      </w:r>
    </w:p>
    <w:bookmarkEnd w:id="662"/>
    <w:p w14:paraId="42AB61C0" w14:textId="77777777" w:rsidR="00D726F6" w:rsidRPr="00D726F6" w:rsidRDefault="00D726F6" w:rsidP="00D726F6">
      <w:pPr>
        <w:pStyle w:val="EndNoteBibliography"/>
        <w:spacing w:after="0"/>
      </w:pPr>
    </w:p>
    <w:p w14:paraId="7BA3DE89" w14:textId="77777777" w:rsidR="00D726F6" w:rsidRPr="00D726F6" w:rsidRDefault="00D726F6" w:rsidP="00D726F6">
      <w:pPr>
        <w:pStyle w:val="EndNoteBibliography"/>
      </w:pPr>
      <w:bookmarkStart w:id="663" w:name="_ENREF_76"/>
      <w:r w:rsidRPr="00D726F6">
        <w:t xml:space="preserve">Viala, K, Maisonobe, T, Stojkovic, T, Koutlidis, R, Ayrignac, X, Musset, L, Fournier, E, Léger, JM &amp; Bouche, P 2010, 'A current view of the diagnosis, clinical variants, response to treatment and prognosis of chronic inflammatory demyelinating polyradiculoneuropathy', </w:t>
      </w:r>
      <w:r w:rsidRPr="00D726F6">
        <w:rPr>
          <w:i/>
        </w:rPr>
        <w:t>J Peripher Nerv Syst</w:t>
      </w:r>
      <w:r w:rsidRPr="00D726F6">
        <w:t>, vol. 15, no. 1, Mar, pp. 50-56.</w:t>
      </w:r>
    </w:p>
    <w:bookmarkEnd w:id="663"/>
    <w:p w14:paraId="1DBDA074" w14:textId="77777777" w:rsidR="00D726F6" w:rsidRPr="00D726F6" w:rsidRDefault="00D726F6" w:rsidP="00D726F6">
      <w:pPr>
        <w:pStyle w:val="EndNoteBibliography"/>
        <w:spacing w:after="0"/>
      </w:pPr>
    </w:p>
    <w:p w14:paraId="58200BEA" w14:textId="77777777" w:rsidR="00D726F6" w:rsidRPr="00D726F6" w:rsidRDefault="00D726F6" w:rsidP="00D726F6">
      <w:pPr>
        <w:pStyle w:val="EndNoteBibliography"/>
      </w:pPr>
      <w:bookmarkStart w:id="664" w:name="_ENREF_77"/>
      <w:r w:rsidRPr="00D726F6">
        <w:t xml:space="preserve">Waheed, W, Ayer, GA, Jadoo, CL, Badger, GJ, Aboukhatwa, M, Brannagan, TH, 3rd &amp; Tandan, R 2019, 'Safety of intravenous immune globulin in an outpatient setting for patients with neuromuscular disease', </w:t>
      </w:r>
      <w:r w:rsidRPr="00D726F6">
        <w:rPr>
          <w:i/>
        </w:rPr>
        <w:t>Muscle Nerve</w:t>
      </w:r>
      <w:r w:rsidRPr="00D726F6">
        <w:t>, vol. 60, no. 5, Nov, pp. 528-537.</w:t>
      </w:r>
    </w:p>
    <w:bookmarkEnd w:id="664"/>
    <w:p w14:paraId="27F1EBFD" w14:textId="77777777" w:rsidR="00D726F6" w:rsidRPr="00D726F6" w:rsidRDefault="00D726F6" w:rsidP="00D726F6">
      <w:pPr>
        <w:pStyle w:val="EndNoteBibliography"/>
        <w:spacing w:after="0"/>
      </w:pPr>
    </w:p>
    <w:p w14:paraId="6CB37C23" w14:textId="5407B7B5" w:rsidR="00D726F6" w:rsidRPr="00D726F6" w:rsidRDefault="00D726F6" w:rsidP="00D726F6">
      <w:pPr>
        <w:pStyle w:val="EndNoteBibliography"/>
      </w:pPr>
      <w:bookmarkStart w:id="665" w:name="_ENREF_78"/>
      <w:r w:rsidRPr="00D726F6">
        <w:t xml:space="preserve">Watts, JJ, Abimanyi-Ochom, J &amp; Sanders, KM 2013, </w:t>
      </w:r>
      <w:r w:rsidRPr="00D726F6">
        <w:rPr>
          <w:i/>
        </w:rPr>
        <w:t>Osteoporosis costing all Australian : a new burden of disease analysis - 2012 to 2022</w:t>
      </w:r>
      <w:r w:rsidRPr="00D726F6">
        <w:t>, Osteoporosis Australia, O Australia, Melbourne, Victoria, &lt;</w:t>
      </w:r>
      <w:hyperlink r:id="rId81" w:history="1">
        <w:r w:rsidRPr="00D726F6">
          <w:rPr>
            <w:rStyle w:val="Hyperlink"/>
          </w:rPr>
          <w:t>http://hdl.handle.net/10536/DRO/DU:30060270</w:t>
        </w:r>
      </w:hyperlink>
      <w:r w:rsidRPr="00D726F6">
        <w:t>&gt;.</w:t>
      </w:r>
    </w:p>
    <w:bookmarkEnd w:id="665"/>
    <w:p w14:paraId="00CE4120" w14:textId="77777777" w:rsidR="00D726F6" w:rsidRPr="00D726F6" w:rsidRDefault="00D726F6" w:rsidP="00D726F6">
      <w:pPr>
        <w:pStyle w:val="EndNoteBibliography"/>
        <w:spacing w:after="0"/>
      </w:pPr>
    </w:p>
    <w:p w14:paraId="603DE095" w14:textId="77777777" w:rsidR="00D726F6" w:rsidRPr="00D726F6" w:rsidRDefault="00D726F6" w:rsidP="00D726F6">
      <w:pPr>
        <w:pStyle w:val="EndNoteBibliography"/>
      </w:pPr>
      <w:bookmarkStart w:id="666" w:name="_ENREF_79"/>
      <w:r w:rsidRPr="00D726F6">
        <w:t xml:space="preserve">Weeks, JC, Tierney, MR &amp; Weinstein, MC 1991, 'Cost Effectiveness of Prophylactic Intravenous Immune Globulin in Chronic Lymphocytic Leukemia', </w:t>
      </w:r>
      <w:r w:rsidRPr="00D726F6">
        <w:rPr>
          <w:i/>
        </w:rPr>
        <w:t>New England Journal of Medicine</w:t>
      </w:r>
      <w:r w:rsidRPr="00D726F6">
        <w:t>, vol. 325, no. 2, 1991/07/11, pp. 81-86.</w:t>
      </w:r>
    </w:p>
    <w:bookmarkEnd w:id="666"/>
    <w:p w14:paraId="1222CC29" w14:textId="77777777" w:rsidR="00D726F6" w:rsidRPr="00D726F6" w:rsidRDefault="00D726F6" w:rsidP="00D726F6">
      <w:pPr>
        <w:pStyle w:val="EndNoteBibliography"/>
        <w:spacing w:after="0"/>
      </w:pPr>
    </w:p>
    <w:p w14:paraId="559C2808" w14:textId="77777777" w:rsidR="00D726F6" w:rsidRPr="00D726F6" w:rsidRDefault="00D726F6" w:rsidP="00D726F6">
      <w:pPr>
        <w:pStyle w:val="EndNoteBibliography"/>
      </w:pPr>
      <w:bookmarkStart w:id="667" w:name="_ENREF_80"/>
      <w:r w:rsidRPr="00D726F6">
        <w:t xml:space="preserve">Wilson, JC, Sarsour, K, Collinson, N, Tuckwell, K, Musselman, D, Klearman, M, Napalkov, P, Jick, SS, Stone, JH &amp; Meier, CR 2017a, 'Incidence of outcomes potentially associated with corticosteroid therapy in patients with giant cell arteritis', </w:t>
      </w:r>
      <w:r w:rsidRPr="00D726F6">
        <w:rPr>
          <w:i/>
        </w:rPr>
        <w:t>Semin Arthritis Rheum</w:t>
      </w:r>
      <w:r w:rsidRPr="00D726F6">
        <w:t>, vol. 46, no. 5, Apr, pp. 650-656.</w:t>
      </w:r>
    </w:p>
    <w:bookmarkEnd w:id="667"/>
    <w:p w14:paraId="5E1B15F6" w14:textId="77777777" w:rsidR="00D726F6" w:rsidRPr="00D726F6" w:rsidRDefault="00D726F6" w:rsidP="00D726F6">
      <w:pPr>
        <w:pStyle w:val="EndNoteBibliography"/>
        <w:spacing w:after="0"/>
      </w:pPr>
    </w:p>
    <w:p w14:paraId="2DD8B40D" w14:textId="77777777" w:rsidR="00D726F6" w:rsidRPr="00D726F6" w:rsidRDefault="00D726F6" w:rsidP="00D726F6">
      <w:pPr>
        <w:pStyle w:val="EndNoteBibliography"/>
      </w:pPr>
      <w:bookmarkStart w:id="668" w:name="_ENREF_81"/>
      <w:r w:rsidRPr="00D726F6">
        <w:t xml:space="preserve">Wilson, JC, Sarsour, K, Collinson, N, Tuckwell, K, Musselman, D, Klearman, M, Napalkov, P, Jick, SS, Stone, JH &amp; Meier, CR 2017, 'Incidence of outcomes potentially associated with corticosteroid therapy in patients with giant cell arteritis', </w:t>
      </w:r>
      <w:r w:rsidRPr="00D726F6">
        <w:rPr>
          <w:i/>
        </w:rPr>
        <w:t>Seminars in Arthritis and Rheumatism</w:t>
      </w:r>
      <w:r w:rsidRPr="00D726F6">
        <w:t>, vol. 46, no. 5, 2017/04/01/, pp. 650-656.</w:t>
      </w:r>
    </w:p>
    <w:bookmarkEnd w:id="668"/>
    <w:p w14:paraId="665E7DD1" w14:textId="77777777" w:rsidR="00D726F6" w:rsidRPr="00D726F6" w:rsidRDefault="00D726F6" w:rsidP="00D726F6">
      <w:pPr>
        <w:pStyle w:val="EndNoteBibliography"/>
        <w:spacing w:after="0"/>
      </w:pPr>
    </w:p>
    <w:p w14:paraId="568F9A64" w14:textId="77777777" w:rsidR="00D726F6" w:rsidRPr="00D726F6" w:rsidRDefault="00D726F6" w:rsidP="00D726F6">
      <w:pPr>
        <w:pStyle w:val="EndNoteBibliography"/>
      </w:pPr>
      <w:bookmarkStart w:id="669" w:name="_ENREF_82"/>
      <w:r w:rsidRPr="00D726F6">
        <w:t xml:space="preserve">Wilson, JC, Sarsour, K, Collinson, N, Tuckwell, K, Musselman, D, Klearman, M, Napalkov, P, Jick, SS, Stone, JH &amp; Meier, CR 2017b, 'Serious adverse effects associated with glucocorticoid therapy in patients with giant cell arteritis (GCA): A nested case-control analysis', </w:t>
      </w:r>
      <w:r w:rsidRPr="00D726F6">
        <w:rPr>
          <w:i/>
        </w:rPr>
        <w:t>Semin Arthritis Rheum</w:t>
      </w:r>
      <w:r w:rsidRPr="00D726F6">
        <w:t>, vol. 46, no. 6, Jun, pp. 819-827.</w:t>
      </w:r>
    </w:p>
    <w:bookmarkEnd w:id="669"/>
    <w:p w14:paraId="77EA2557" w14:textId="77777777" w:rsidR="00D726F6" w:rsidRPr="00D726F6" w:rsidRDefault="00D726F6" w:rsidP="00D726F6">
      <w:pPr>
        <w:pStyle w:val="EndNoteBibliography"/>
        <w:spacing w:after="0"/>
      </w:pPr>
    </w:p>
    <w:p w14:paraId="77722858" w14:textId="77777777" w:rsidR="00D726F6" w:rsidRPr="00D726F6" w:rsidRDefault="00D726F6" w:rsidP="00D726F6">
      <w:pPr>
        <w:pStyle w:val="EndNoteBibliography"/>
      </w:pPr>
      <w:bookmarkStart w:id="670" w:name="_ENREF_83"/>
      <w:r w:rsidRPr="00D726F6">
        <w:t xml:space="preserve">Windegger, TM, Nghiem, S, Nguyen, KH, Fung, YL &amp; Scuffham, PA 2019, 'Cost-utility analysis comparing hospital-based intravenous immunoglobulin with home-based subcutaneous immunoglobulin in patients with secondary immunodeficiency', </w:t>
      </w:r>
      <w:r w:rsidRPr="00D726F6">
        <w:rPr>
          <w:i/>
        </w:rPr>
        <w:t>Vox Sang</w:t>
      </w:r>
      <w:r w:rsidRPr="00D726F6">
        <w:t>, vol. 114, no. 3, Apr, pp. 237-246.</w:t>
      </w:r>
    </w:p>
    <w:bookmarkEnd w:id="670"/>
    <w:p w14:paraId="3C148202" w14:textId="77777777" w:rsidR="00D726F6" w:rsidRPr="00D726F6" w:rsidRDefault="00D726F6" w:rsidP="00D726F6">
      <w:pPr>
        <w:pStyle w:val="EndNoteBibliography"/>
        <w:spacing w:after="0"/>
      </w:pPr>
    </w:p>
    <w:p w14:paraId="2213EE30" w14:textId="77777777" w:rsidR="00D726F6" w:rsidRPr="00D726F6" w:rsidRDefault="00D726F6" w:rsidP="00D726F6">
      <w:pPr>
        <w:pStyle w:val="EndNoteBibliography"/>
      </w:pPr>
      <w:bookmarkStart w:id="671" w:name="_ENREF_84"/>
      <w:r w:rsidRPr="00D726F6">
        <w:t xml:space="preserve">Windegger, TM, Nghiem, S, Nguyen, KH, Fung, YL &amp; Scuffham, PA 2020, 'Primary immunodeficiency disease: a cost-utility analysis comparing intravenous vs subcutaneous immunoglobulin replacement therapy in Australia', </w:t>
      </w:r>
      <w:r w:rsidRPr="00D726F6">
        <w:rPr>
          <w:i/>
        </w:rPr>
        <w:t>Blood Transfus</w:t>
      </w:r>
      <w:r w:rsidRPr="00D726F6">
        <w:t>, vol. 18, no. 2, Mar, pp. 96-105.</w:t>
      </w:r>
    </w:p>
    <w:bookmarkEnd w:id="671"/>
    <w:p w14:paraId="72E20F0B" w14:textId="77777777" w:rsidR="00D726F6" w:rsidRPr="00D726F6" w:rsidRDefault="00D726F6" w:rsidP="00D726F6">
      <w:pPr>
        <w:pStyle w:val="EndNoteBibliography"/>
        <w:spacing w:after="0"/>
      </w:pPr>
    </w:p>
    <w:p w14:paraId="2945C7E1" w14:textId="77777777" w:rsidR="00D726F6" w:rsidRPr="00D726F6" w:rsidRDefault="00D726F6" w:rsidP="00D726F6">
      <w:pPr>
        <w:pStyle w:val="EndNoteBibliography"/>
      </w:pPr>
      <w:bookmarkStart w:id="672" w:name="_ENREF_85"/>
      <w:r w:rsidRPr="00D726F6">
        <w:t xml:space="preserve">Wyndham, A, Vogan, A, Newton, S &amp; Schubert, C 2019, </w:t>
      </w:r>
      <w:r w:rsidRPr="00D726F6">
        <w:rPr>
          <w:i/>
        </w:rPr>
        <w:t>Immunoglobulin for acquired hypogammaglobulinaemia secondary to haematological malignancies, or post-haemopoietic stem cell transplantation (HSCT). MSAC Application 1565, Assessment Report</w:t>
      </w:r>
      <w:r w:rsidRPr="00D726F6">
        <w:t>, Commonwealth of Australia, Canberra, ACT.</w:t>
      </w:r>
    </w:p>
    <w:bookmarkEnd w:id="672"/>
    <w:p w14:paraId="44EC9D9E" w14:textId="77777777" w:rsidR="00D726F6" w:rsidRPr="00D726F6" w:rsidRDefault="00D726F6" w:rsidP="00D726F6">
      <w:pPr>
        <w:pStyle w:val="EndNoteBibliography"/>
        <w:spacing w:after="0"/>
      </w:pPr>
    </w:p>
    <w:p w14:paraId="52325B8F" w14:textId="77777777" w:rsidR="00D726F6" w:rsidRPr="00D726F6" w:rsidRDefault="00D726F6" w:rsidP="00D726F6">
      <w:pPr>
        <w:pStyle w:val="EndNoteBibliography"/>
      </w:pPr>
      <w:bookmarkStart w:id="673" w:name="_ENREF_86"/>
      <w:r w:rsidRPr="00D726F6">
        <w:t xml:space="preserve">Zhang, J &amp; Yu, KF 1998, 'What's the relative risk? A method of correcting the odds ratio in cohort studies of common outcomes', </w:t>
      </w:r>
      <w:r w:rsidRPr="00D726F6">
        <w:rPr>
          <w:i/>
        </w:rPr>
        <w:t>JAMA</w:t>
      </w:r>
      <w:r w:rsidRPr="00D726F6">
        <w:t>, vol. 280, no. 19, Nov 18, pp. 1690-1691.</w:t>
      </w:r>
    </w:p>
    <w:bookmarkEnd w:id="673"/>
    <w:p w14:paraId="291512BA" w14:textId="77777777" w:rsidR="00D726F6" w:rsidRPr="00D726F6" w:rsidRDefault="00D726F6" w:rsidP="00D726F6">
      <w:pPr>
        <w:pStyle w:val="EndNoteBibliography"/>
      </w:pPr>
    </w:p>
    <w:p w14:paraId="26EE26CA" w14:textId="7A85DD14" w:rsidR="00B727D6" w:rsidRDefault="00E2648D" w:rsidP="00AE1B1A">
      <w:pPr>
        <w:pStyle w:val="EndNoteBibliography"/>
      </w:pPr>
      <w:r>
        <w:fldChar w:fldCharType="end"/>
      </w:r>
    </w:p>
    <w:sectPr w:rsidR="00B727D6" w:rsidSect="0080059D">
      <w:pgSz w:w="11906" w:h="16838"/>
      <w:pgMar w:top="1440" w:right="1440" w:bottom="1440" w:left="1440" w:header="720" w:footer="720" w:gutter="0"/>
      <w:paperSrc w:first="7" w:other="7"/>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3441E" w16cex:dateUtc="2021-03-22T05:28:00Z"/>
  <w16cex:commentExtensible w16cex:durableId="2403443B" w16cex:dateUtc="2021-03-22T05:28:00Z"/>
  <w16cex:commentExtensible w16cex:durableId="24034558" w16cex:dateUtc="2021-03-22T05:33:00Z"/>
  <w16cex:commentExtensible w16cex:durableId="2403459D" w16cex:dateUtc="2021-03-22T05:34:00Z"/>
  <w16cex:commentExtensible w16cex:durableId="24034712" w16cex:dateUtc="2021-03-22T05:40:00Z"/>
  <w16cex:commentExtensible w16cex:durableId="2403477F" w16cex:dateUtc="2021-03-22T05:42:00Z"/>
  <w16cex:commentExtensible w16cex:durableId="2403498C" w16cex:dateUtc="2021-03-22T0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289391" w16cid:durableId="240355DF"/>
  <w16cid:commentId w16cid:paraId="1608792F" w16cid:durableId="24035704"/>
  <w16cid:commentId w16cid:paraId="6E0E2BF3" w16cid:durableId="2403441E"/>
  <w16cid:commentId w16cid:paraId="4208885B" w16cid:durableId="2403443B"/>
  <w16cid:commentId w16cid:paraId="3EF67636" w16cid:durableId="24035DBE"/>
  <w16cid:commentId w16cid:paraId="52FB25CC" w16cid:durableId="24034558"/>
  <w16cid:commentId w16cid:paraId="631A6E42" w16cid:durableId="2403459D"/>
  <w16cid:commentId w16cid:paraId="661036CB" w16cid:durableId="24035F6A"/>
  <w16cid:commentId w16cid:paraId="40FBCC00" w16cid:durableId="24034712"/>
  <w16cid:commentId w16cid:paraId="339868F9" w16cid:durableId="24035F89"/>
  <w16cid:commentId w16cid:paraId="590D4C28" w16cid:durableId="2403477F"/>
  <w16cid:commentId w16cid:paraId="4930672F" w16cid:durableId="24036023"/>
  <w16cid:commentId w16cid:paraId="506D2A73" w16cid:durableId="24036069"/>
  <w16cid:commentId w16cid:paraId="0F37DA1B" w16cid:durableId="240360B3"/>
  <w16cid:commentId w16cid:paraId="4E504329" w16cid:durableId="24036101"/>
  <w16cid:commentId w16cid:paraId="2405A389" w16cid:durableId="240349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7C9AD" w14:textId="77777777" w:rsidR="004B3EA2" w:rsidRDefault="004B3EA2" w:rsidP="00A23645">
      <w:r>
        <w:separator/>
      </w:r>
    </w:p>
  </w:endnote>
  <w:endnote w:type="continuationSeparator" w:id="0">
    <w:p w14:paraId="237CB03D" w14:textId="77777777" w:rsidR="004B3EA2" w:rsidRDefault="004B3EA2" w:rsidP="00A23645">
      <w:r>
        <w:continuationSeparator/>
      </w:r>
    </w:p>
  </w:endnote>
  <w:endnote w:type="continuationNotice" w:id="1">
    <w:p w14:paraId="6FA89246" w14:textId="77777777" w:rsidR="004B3EA2" w:rsidRDefault="004B3E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00000000" w:usb1="00000000" w:usb2="00000000" w:usb3="00000000" w:csb0="00010001" w:csb1="00000000"/>
  </w:font>
  <w:font w:name="Humanist521BT-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7E539" w14:textId="77777777" w:rsidR="00584AEA" w:rsidRDefault="00584A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6C629" w14:textId="77777777" w:rsidR="00584AEA" w:rsidRDefault="00584A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C62E5" w14:textId="77777777" w:rsidR="00584AEA" w:rsidRDefault="00584A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2D000" w14:textId="77777777" w:rsidR="004B3EA2" w:rsidRPr="00C843FF" w:rsidRDefault="004B3EA2"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263</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D2EB8" w14:textId="4D632C6D" w:rsidR="004B3EA2" w:rsidRPr="00C843FF" w:rsidRDefault="004B3EA2" w:rsidP="00B426FF">
    <w:pPr>
      <w:pStyle w:val="Footer"/>
      <w:tabs>
        <w:tab w:val="clear" w:pos="9000"/>
        <w:tab w:val="right" w:pos="8931"/>
      </w:tabs>
      <w:rPr>
        <w:rStyle w:val="PageNumber"/>
        <w:rFonts w:ascii="Arial" w:hAnsi="Arial" w:cs="Arial"/>
        <w:sz w:val="20"/>
      </w:rPr>
    </w:pPr>
    <w:r>
      <w:t>Chronic Inflammatory Demyelinating Polyneuropathy – MSAC D</w:t>
    </w:r>
    <w:r w:rsidRPr="00236B1B">
      <w:rPr>
        <w:rFonts w:ascii="Arial Bold" w:hAnsi="Arial Bold"/>
      </w:rPr>
      <w:t>CA</w:t>
    </w:r>
    <w:r>
      <w:rPr>
        <w:rFonts w:ascii="Arial Bold" w:hAnsi="Arial Bold"/>
      </w:rPr>
      <w:t>R</w:t>
    </w:r>
    <w:r w:rsidRPr="00236B1B">
      <w:rPr>
        <w:rFonts w:ascii="Arial Bold" w:hAnsi="Arial Bold"/>
      </w:rPr>
      <w:t xml:space="preserve"> 1564</w:t>
    </w:r>
    <w:r w:rsidR="002B36A9">
      <w:rPr>
        <w:rFonts w:ascii="Arial Bold" w:hAnsi="Arial Bold"/>
      </w:rPr>
      <w:t xml:space="preserve"> Update</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003BA5">
      <w:rPr>
        <w:rStyle w:val="PageNumber"/>
        <w:rFonts w:ascii="Arial" w:hAnsi="Arial" w:cs="Arial"/>
        <w:noProof/>
        <w:sz w:val="20"/>
      </w:rPr>
      <w:t>21</w:t>
    </w:r>
    <w:r w:rsidRPr="00C843FF">
      <w:rPr>
        <w:rStyle w:val="PageNumbe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92514" w14:textId="77777777" w:rsidR="004B3EA2" w:rsidRPr="00F568FA" w:rsidRDefault="004B3EA2"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263</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A22F9" w14:textId="77777777" w:rsidR="004B3EA2" w:rsidRPr="00F568FA" w:rsidRDefault="004B3EA2"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263</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850A6" w14:textId="77777777" w:rsidR="004B3EA2" w:rsidRPr="00F568FA" w:rsidRDefault="004B3EA2"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263</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9CEF5" w14:textId="77777777" w:rsidR="004B3EA2" w:rsidRDefault="004B3EA2">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2F55F" w14:textId="77777777" w:rsidR="004B3EA2" w:rsidRDefault="004B3EA2" w:rsidP="00A23645">
      <w:r>
        <w:separator/>
      </w:r>
    </w:p>
  </w:footnote>
  <w:footnote w:type="continuationSeparator" w:id="0">
    <w:p w14:paraId="0DF626AC" w14:textId="77777777" w:rsidR="004B3EA2" w:rsidRDefault="004B3EA2" w:rsidP="00A23645">
      <w:r>
        <w:continuationSeparator/>
      </w:r>
    </w:p>
  </w:footnote>
  <w:footnote w:type="continuationNotice" w:id="1">
    <w:p w14:paraId="37E9803F" w14:textId="77777777" w:rsidR="004B3EA2" w:rsidRDefault="004B3EA2">
      <w:pPr>
        <w:spacing w:after="0" w:line="240" w:lineRule="auto"/>
      </w:pPr>
    </w:p>
  </w:footnote>
  <w:footnote w:id="2">
    <w:p w14:paraId="361A09F2" w14:textId="77777777" w:rsidR="004B3EA2" w:rsidRDefault="004B3EA2">
      <w:pPr>
        <w:pStyle w:val="FootnoteText"/>
      </w:pPr>
      <w:r>
        <w:rPr>
          <w:rStyle w:val="FootnoteReference"/>
        </w:rPr>
        <w:footnoteRef/>
      </w:r>
      <w:r>
        <w:t xml:space="preserve"> Note that the name ‘IVIg DOSE’ has been given for the purposes of writing this assessment only, and was not applied by the authors of the study.</w:t>
      </w:r>
    </w:p>
  </w:footnote>
  <w:footnote w:id="3">
    <w:p w14:paraId="1FFC65AD" w14:textId="77777777" w:rsidR="004B3EA2" w:rsidRDefault="004B3EA2" w:rsidP="003A1F33">
      <w:pPr>
        <w:pStyle w:val="FootnoteText"/>
      </w:pPr>
      <w:r>
        <w:rPr>
          <w:rStyle w:val="FootnoteReference"/>
        </w:rPr>
        <w:footnoteRef/>
      </w:r>
      <w:r>
        <w:t xml:space="preserve"> Systematic reviews were appraised using the AMSTAR 2 checklist, and retrospective studies were appraised for using the SIGN 3 checklist for cohort studies. </w:t>
      </w:r>
    </w:p>
  </w:footnote>
  <w:footnote w:id="4">
    <w:p w14:paraId="30D572BE" w14:textId="77777777" w:rsidR="004B3EA2" w:rsidRDefault="004B3EA2">
      <w:pPr>
        <w:pStyle w:val="FootnoteText"/>
      </w:pPr>
      <w:r>
        <w:rPr>
          <w:rStyle w:val="FootnoteReference"/>
        </w:rPr>
        <w:footnoteRef/>
      </w:r>
      <w:r>
        <w:t xml:space="preserve"> The PATH (Polyneuropathy and Treatment with Hizentra</w:t>
      </w:r>
      <w:r>
        <w:rPr>
          <w:rFonts w:cs="Calibri"/>
        </w:rPr>
        <w:t>®</w:t>
      </w:r>
      <w:r>
        <w:t>) trial included adults with CIDP. They progressed through three phases – an Ig dependency phase (up to 12 weeks); an IVIg re-stabilisation period (up to 13 weeks, and a randomised SCIg treatment phase (24 weeks).</w:t>
      </w:r>
    </w:p>
  </w:footnote>
  <w:footnote w:id="5">
    <w:p w14:paraId="079FB526" w14:textId="77777777" w:rsidR="004B3EA2" w:rsidRDefault="004B3EA2">
      <w:pPr>
        <w:pStyle w:val="FootnoteText"/>
      </w:pPr>
      <w:r>
        <w:rPr>
          <w:rStyle w:val="FootnoteReference"/>
        </w:rPr>
        <w:footnoteRef/>
      </w:r>
      <w:r>
        <w:t xml:space="preserve"> Systematic reviews were appraised using the AMSTAR 2 checklist, and retrospective studies were appraised for using the SIGN 3 checklist for cohort studies. </w:t>
      </w:r>
    </w:p>
  </w:footnote>
  <w:footnote w:id="6">
    <w:p w14:paraId="14F52948" w14:textId="77777777" w:rsidR="004B3EA2" w:rsidRDefault="004B3EA2">
      <w:pPr>
        <w:pStyle w:val="FootnoteText"/>
      </w:pPr>
      <w:r>
        <w:rPr>
          <w:rStyle w:val="FootnoteReference"/>
        </w:rPr>
        <w:footnoteRef/>
      </w:r>
      <w:r>
        <w:t xml:space="preserve"> The World Apheresis Association (WAA) apheresis registry (</w:t>
      </w:r>
      <w:hyperlink r:id="rId1" w:history="1">
        <w:r w:rsidRPr="00727180">
          <w:rPr>
            <w:rStyle w:val="Hyperlink"/>
          </w:rPr>
          <w:t>https://www.waa-registry.org/</w:t>
        </w:r>
      </w:hyperlink>
      <w:r>
        <w:t>)</w:t>
      </w:r>
    </w:p>
  </w:footnote>
  <w:footnote w:id="7">
    <w:p w14:paraId="1C3D64A8" w14:textId="5EB63B7D" w:rsidR="004B3EA2" w:rsidRDefault="004B3EA2" w:rsidP="00837294">
      <w:pPr>
        <w:pStyle w:val="FootnoteText"/>
      </w:pPr>
      <w:r>
        <w:rPr>
          <w:rStyle w:val="FootnoteReference"/>
        </w:rPr>
        <w:footnoteRef/>
      </w:r>
      <w:r>
        <w:t xml:space="preserve"> The adjusted odds ratio (AOR) were converted to relative risk (RR) using formula provided by Zhang et al </w:t>
      </w:r>
      <w:r>
        <w:fldChar w:fldCharType="begin"/>
      </w:r>
      <w:r>
        <w:instrText xml:space="preserve"> ADDIN EN.CITE &lt;EndNote&gt;&lt;Cite ExcludeAuth="1"&gt;&lt;Author&gt;Zhang&lt;/Author&gt;&lt;Year&gt;1998&lt;/Year&gt;&lt;RecNum&gt;1951&lt;/RecNum&gt;&lt;DisplayText&gt;(1998)&lt;/DisplayText&gt;&lt;record&gt;&lt;rec-number&gt;1951&lt;/rec-number&gt;&lt;foreign-keys&gt;&lt;key app="EN" db-id="xtr5xfx2xf0wd7e0s2qvst2ietxxf0tpzr9v" timestamp="1614321575"&gt;1951&lt;/key&gt;&lt;/foreign-keys&gt;&lt;ref-type name="Journal Article"&gt;17&lt;/ref-type&gt;&lt;contributors&gt;&lt;authors&gt;&lt;author&gt;Zhang, J.&lt;/author&gt;&lt;author&gt;Yu, K. F.&lt;/author&gt;&lt;/authors&gt;&lt;/contributors&gt;&lt;auth-address&gt;Division of Epidemiology, Statistics and Prevention Research, National Institute of Child Health and Human Development, National Institutes of Health, Bethesda, MD 20892-7510, USA. JunvZhang@NIH.GOV&lt;/auth-address&gt;&lt;titles&gt;&lt;title&gt;What&amp;apos;s the relative risk? A method of correcting the odds ratio in cohort studies of common outcomes&lt;/title&gt;&lt;secondary-title&gt;Jama&lt;/secondary-title&gt;&lt;alt-title&gt;Jama&lt;/alt-title&gt;&lt;/titles&gt;&lt;periodical&gt;&lt;full-title&gt;JAMA&lt;/full-title&gt;&lt;/periodical&gt;&lt;alt-periodical&gt;&lt;full-title&gt;JAMA&lt;/full-title&gt;&lt;/alt-periodical&gt;&lt;pages&gt;1690-1&lt;/pages&gt;&lt;volume&gt;280&lt;/volume&gt;&lt;number&gt;19&lt;/number&gt;&lt;edition&gt;1998/12/01&lt;/edition&gt;&lt;keywords&gt;&lt;keyword&gt;Cohort Studies&lt;/keyword&gt;&lt;keyword&gt;*Data Interpretation, Statistical&lt;/keyword&gt;&lt;keyword&gt;Health Services Research/methods&lt;/keyword&gt;&lt;keyword&gt;Hospital Mortality&lt;/keyword&gt;&lt;keyword&gt;Humans&lt;/keyword&gt;&lt;keyword&gt;Logistic Models&lt;/keyword&gt;&lt;keyword&gt;*Odds Ratio&lt;/keyword&gt;&lt;keyword&gt;Outcome Assessment, Health Care/*methods&lt;/keyword&gt;&lt;keyword&gt;*Risk&lt;/keyword&gt;&lt;/keywords&gt;&lt;dates&gt;&lt;year&gt;1998&lt;/year&gt;&lt;pub-dates&gt;&lt;date&gt;Nov 18&lt;/date&gt;&lt;/pub-dates&gt;&lt;/dates&gt;&lt;isbn&gt;0098-7484 (Print)&amp;#xD;0098-7484&lt;/isbn&gt;&lt;accession-num&gt;9832001&lt;/accession-num&gt;&lt;urls&gt;&lt;related-urls&gt;&lt;url&gt;https://jamanetwork.com/journals/jama/articlepdf/188182/jsc80400.pdf&lt;/url&gt;&lt;/related-urls&gt;&lt;/urls&gt;&lt;electronic-resource-num&gt;10.1001/jama.280.19.1690&lt;/electronic-resource-num&gt;&lt;remote-database-provider&gt;NLM&lt;/remote-database-provider&gt;&lt;language&gt;eng&lt;/language&gt;&lt;/record&gt;&lt;/Cite&gt;&lt;/EndNote&gt;</w:instrText>
      </w:r>
      <w:r>
        <w:fldChar w:fldCharType="separate"/>
      </w:r>
      <w:r>
        <w:rPr>
          <w:noProof/>
        </w:rPr>
        <w:t>(</w:t>
      </w:r>
      <w:hyperlink w:anchor="_ENREF_86" w:tooltip="Zhang, 1998 #1951" w:history="1">
        <w:r>
          <w:rPr>
            <w:noProof/>
          </w:rPr>
          <w:t>1998</w:t>
        </w:r>
      </w:hyperlink>
      <w:r>
        <w:rPr>
          <w:noProof/>
        </w:rPr>
        <w:t>)</w:t>
      </w:r>
      <w:r>
        <w:fldChar w:fldCharType="end"/>
      </w:r>
      <w:r>
        <w:t xml:space="preserve">; </w:t>
      </w:r>
      <w:r w:rsidRPr="008A58A8">
        <w:rPr>
          <w:i/>
        </w:rPr>
        <w:t>RR = AOR/((1–I</w:t>
      </w:r>
      <w:r w:rsidRPr="008A58A8">
        <w:rPr>
          <w:i/>
          <w:vertAlign w:val="subscript"/>
        </w:rPr>
        <w:t>0</w:t>
      </w:r>
      <w:r w:rsidRPr="008A58A8">
        <w:rPr>
          <w:i/>
        </w:rPr>
        <w:t>) + (I</w:t>
      </w:r>
      <w:r w:rsidRPr="008A58A8">
        <w:rPr>
          <w:i/>
          <w:vertAlign w:val="subscript"/>
        </w:rPr>
        <w:t>0</w:t>
      </w:r>
      <w:r w:rsidRPr="008A58A8">
        <w:rPr>
          <w:i/>
        </w:rPr>
        <w:t xml:space="preserve"> </w:t>
      </w:r>
      <w:r w:rsidRPr="008A58A8">
        <w:rPr>
          <w:rFonts w:cs="Calibri"/>
          <w:i/>
        </w:rPr>
        <w:t>×</w:t>
      </w:r>
      <w:r w:rsidRPr="008A58A8">
        <w:rPr>
          <w:i/>
        </w:rPr>
        <w:t xml:space="preserve"> AOR))</w:t>
      </w:r>
      <w:r>
        <w:t>, where I</w:t>
      </w:r>
      <w:r>
        <w:rPr>
          <w:vertAlign w:val="subscript"/>
        </w:rPr>
        <w:t>0</w:t>
      </w:r>
      <w:r>
        <w:t xml:space="preserve"> indicates the incidence of the outcome of interest in the non-exposed group.</w:t>
      </w:r>
    </w:p>
  </w:footnote>
  <w:footnote w:id="8">
    <w:p w14:paraId="7A4B4F07" w14:textId="77777777" w:rsidR="004B3EA2" w:rsidRDefault="004B3EA2" w:rsidP="00837294">
      <w:pPr>
        <w:pStyle w:val="FootnoteText"/>
      </w:pPr>
      <w:r>
        <w:rPr>
          <w:rStyle w:val="FootnoteReference"/>
        </w:rPr>
        <w:footnoteRef/>
      </w:r>
      <w:r>
        <w:t xml:space="preserve"> </w:t>
      </w:r>
      <w:r w:rsidRPr="00870CB7">
        <w:t>Document 1.0– 1564-Referral</w:t>
      </w:r>
      <w:r>
        <w:t xml:space="preserve"> supplied by the Department in October 2020.</w:t>
      </w:r>
    </w:p>
  </w:footnote>
  <w:footnote w:id="9">
    <w:p w14:paraId="7B966FD1" w14:textId="23EECD8A" w:rsidR="004B3EA2" w:rsidRDefault="004B3EA2">
      <w:pPr>
        <w:pStyle w:val="FootnoteText"/>
      </w:pPr>
      <w:r>
        <w:rPr>
          <w:rStyle w:val="FootnoteReference"/>
        </w:rPr>
        <w:footnoteRef/>
      </w:r>
      <w:r>
        <w:t xml:space="preserve"> Feedback from clinical expert advice provided to the Department of Health to the second draft report on 24</w:t>
      </w:r>
      <w:r w:rsidRPr="00323429">
        <w:rPr>
          <w:vertAlign w:val="superscript"/>
        </w:rPr>
        <w:t>th</w:t>
      </w:r>
      <w:r>
        <w:t xml:space="preserve"> March 2021 suggested use of denosumab for osteoporosis management. </w:t>
      </w:r>
    </w:p>
  </w:footnote>
  <w:footnote w:id="10">
    <w:p w14:paraId="41B8161A" w14:textId="77777777" w:rsidR="004B3EA2" w:rsidRDefault="004B3EA2" w:rsidP="00613DB7">
      <w:pPr>
        <w:pStyle w:val="FootnoteText"/>
        <w:spacing w:after="120"/>
      </w:pPr>
      <w:r>
        <w:rPr>
          <w:rStyle w:val="FootnoteReference"/>
        </w:rPr>
        <w:footnoteRef/>
      </w:r>
      <w:r>
        <w:t xml:space="preserve"> </w:t>
      </w:r>
      <w:r>
        <w:rPr>
          <w:rFonts w:ascii="Arial Narrow" w:hAnsi="Arial Narrow"/>
          <w:sz w:val="18"/>
          <w:szCs w:val="18"/>
        </w:rPr>
        <w:t>&lt;</w:t>
      </w:r>
      <w:hyperlink r:id="rId2" w:history="1">
        <w:r w:rsidRPr="00483694">
          <w:rPr>
            <w:rStyle w:val="Hyperlink"/>
            <w:rFonts w:ascii="Arial Narrow" w:eastAsia="Calibri" w:hAnsi="Arial Narrow" w:cs="Times New Roman"/>
            <w:sz w:val="18"/>
            <w:szCs w:val="18"/>
            <w:lang w:eastAsia="en-US"/>
          </w:rPr>
          <w:t>https://www.blood.gov.au/SCIg</w:t>
        </w:r>
      </w:hyperlink>
      <w:r>
        <w:rPr>
          <w:rStyle w:val="Hyperlink"/>
          <w:rFonts w:ascii="Arial Narrow" w:eastAsia="Calibri" w:hAnsi="Arial Narrow" w:cs="Times New Roman"/>
          <w:sz w:val="18"/>
          <w:szCs w:val="18"/>
          <w:lang w:eastAsia="en-US"/>
        </w:rPr>
        <w:t>&gt;</w:t>
      </w:r>
      <w:r w:rsidRPr="00483694">
        <w:rPr>
          <w:rStyle w:val="Hyperlink"/>
          <w:rFonts w:ascii="Arial Narrow" w:eastAsia="Calibri" w:hAnsi="Arial Narrow" w:cs="Times New Roman"/>
          <w:sz w:val="18"/>
          <w:szCs w:val="18"/>
          <w:lang w:eastAsia="en-US"/>
        </w:rPr>
        <w:t>; accessed on 15 March 2021.</w:t>
      </w:r>
    </w:p>
  </w:footnote>
  <w:footnote w:id="11">
    <w:p w14:paraId="15012E3E" w14:textId="77777777" w:rsidR="004B3EA2" w:rsidRDefault="004B3EA2" w:rsidP="00CB034B">
      <w:pPr>
        <w:pStyle w:val="Tablenote"/>
        <w:rPr>
          <w:rStyle w:val="Hyperlink"/>
          <w:color w:val="auto"/>
          <w:u w:val="none"/>
        </w:rPr>
      </w:pPr>
      <w:r>
        <w:rPr>
          <w:rStyle w:val="FootnoteReference"/>
        </w:rPr>
        <w:footnoteRef/>
      </w:r>
      <w:r>
        <w:t xml:space="preserve"> </w:t>
      </w:r>
      <w:r>
        <w:rPr>
          <w:rStyle w:val="Hyperlink"/>
          <w:color w:val="auto"/>
          <w:u w:val="none"/>
        </w:rPr>
        <w:t>N</w:t>
      </w:r>
      <w:r w:rsidRPr="00A32E3C">
        <w:rPr>
          <w:rStyle w:val="Hyperlink"/>
          <w:color w:val="auto"/>
          <w:u w:val="none"/>
        </w:rPr>
        <w:t>ational weighted activity unit (NWAU) calculators</w:t>
      </w:r>
      <w:r>
        <w:rPr>
          <w:rStyle w:val="Hyperlink"/>
          <w:color w:val="auto"/>
          <w:u w:val="none"/>
        </w:rPr>
        <w:t>, available at &lt;</w:t>
      </w:r>
      <w:r w:rsidRPr="00A32E3C">
        <w:t xml:space="preserve"> </w:t>
      </w:r>
      <w:hyperlink r:id="rId3" w:history="1">
        <w:r w:rsidRPr="004A4162">
          <w:rPr>
            <w:rStyle w:val="Hyperlink"/>
          </w:rPr>
          <w:t>https://www.ihpa.gov.au/what-we-do/pricing/national-weighted-activity-unit-nwau-calculators/nwau-calculators-2020-21</w:t>
        </w:r>
      </w:hyperlink>
      <w:r>
        <w:rPr>
          <w:rStyle w:val="Hyperlink"/>
          <w:color w:val="auto"/>
          <w:u w:val="none"/>
        </w:rPr>
        <w:t xml:space="preserve">&gt; </w:t>
      </w:r>
    </w:p>
    <w:p w14:paraId="6957B9EB" w14:textId="77777777" w:rsidR="004B3EA2" w:rsidRDefault="004B3EA2" w:rsidP="00CB034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8030B" w14:textId="77777777" w:rsidR="00584AEA" w:rsidRDefault="00584AE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87D90" w14:textId="77777777" w:rsidR="004B3EA2" w:rsidRDefault="004B3EA2" w:rsidP="00A236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0DDC0" w14:textId="77777777" w:rsidR="004B3EA2" w:rsidRDefault="004B3EA2" w:rsidP="00B426FF">
    <w:pPr>
      <w:pStyle w:val="Header"/>
      <w:tabs>
        <w:tab w:val="clear" w:pos="8306"/>
        <w:tab w:val="right" w:pos="8931"/>
      </w:tabs>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A9BB2" w14:textId="77777777" w:rsidR="004B3EA2" w:rsidRDefault="004B3EA2" w:rsidP="00A236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5586" w14:textId="77777777" w:rsidR="004B3EA2" w:rsidRDefault="00003BA5">
    <w:pPr>
      <w:pStyle w:val="Header"/>
    </w:pPr>
    <w:r>
      <w:rPr>
        <w:noProof/>
      </w:rPr>
      <w:pict w14:anchorId="77160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style="position:absolute;margin-left:0;margin-top:0;width:412.2pt;height:247.3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59D8" w14:textId="77777777" w:rsidR="004B3EA2" w:rsidRDefault="004B3EA2" w:rsidP="00006961">
    <w:pPr>
      <w:pStyle w:val="Header"/>
      <w:jc w:val="both"/>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A0934" w14:textId="77777777" w:rsidR="004B3EA2" w:rsidRDefault="00003BA5">
    <w:pPr>
      <w:pStyle w:val="Header"/>
    </w:pPr>
    <w:r>
      <w:rPr>
        <w:noProof/>
      </w:rPr>
      <w:pict w14:anchorId="2320A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style="position:absolute;margin-left:0;margin-top:0;width:412.2pt;height:247.3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53C95" w14:textId="77777777" w:rsidR="004B3EA2" w:rsidRDefault="004B3EA2" w:rsidP="00B426FF">
    <w:pPr>
      <w:pStyle w:val="Header"/>
      <w:tabs>
        <w:tab w:val="clear" w:pos="8306"/>
        <w:tab w:val="right" w:pos="893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DF9BC" w14:textId="77777777" w:rsidR="004B3EA2" w:rsidRDefault="004B3EA2" w:rsidP="00B426FF">
    <w:pPr>
      <w:pStyle w:val="Header"/>
      <w:tabs>
        <w:tab w:val="clear" w:pos="8306"/>
        <w:tab w:val="right" w:pos="8931"/>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7B5E9" w14:textId="77777777" w:rsidR="004B3EA2" w:rsidRDefault="004B3EA2" w:rsidP="00A236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863A2" w14:textId="77777777" w:rsidR="004B3EA2" w:rsidRDefault="004B3EA2" w:rsidP="00B426FF">
    <w:pPr>
      <w:pStyle w:val="Header"/>
      <w:tabs>
        <w:tab w:val="clear" w:pos="8306"/>
        <w:tab w:val="right" w:pos="8931"/>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CE2DE" w14:textId="77777777" w:rsidR="004B3EA2" w:rsidRDefault="004B3EA2" w:rsidP="00A236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61AF1" w14:textId="77777777" w:rsidR="004B3EA2" w:rsidRDefault="004B3EA2" w:rsidP="00A236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0EBA5" w14:textId="77777777" w:rsidR="004B3EA2" w:rsidRDefault="004B3EA2" w:rsidP="00B426FF">
    <w:pPr>
      <w:pStyle w:val="Header"/>
      <w:tabs>
        <w:tab w:val="clear" w:pos="8306"/>
        <w:tab w:val="right" w:pos="8931"/>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431BF" w14:textId="77777777" w:rsidR="004B3EA2" w:rsidRDefault="004B3EA2" w:rsidP="00A23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82F"/>
    <w:multiLevelType w:val="hybridMultilevel"/>
    <w:tmpl w:val="DA2A031E"/>
    <w:lvl w:ilvl="0" w:tplc="06AE94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2E5B64"/>
    <w:multiLevelType w:val="hybridMultilevel"/>
    <w:tmpl w:val="C206D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FA7DAF"/>
    <w:multiLevelType w:val="hybridMultilevel"/>
    <w:tmpl w:val="10BA2C5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 w15:restartNumberingAfterBreak="0">
    <w:nsid w:val="0DA7728B"/>
    <w:multiLevelType w:val="hybridMultilevel"/>
    <w:tmpl w:val="86063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DF567C"/>
    <w:multiLevelType w:val="hybridMultilevel"/>
    <w:tmpl w:val="9A6A7D36"/>
    <w:lvl w:ilvl="0" w:tplc="F83C9F9C">
      <w:numFmt w:val="bullet"/>
      <w:lvlText w:val="-"/>
      <w:lvlJc w:val="left"/>
      <w:pPr>
        <w:ind w:left="720" w:hanging="360"/>
      </w:pPr>
      <w:rPr>
        <w:rFonts w:ascii="Arial Narrow" w:eastAsia="Times New Roman" w:hAnsi="Arial Narrow"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6" w15:restartNumberingAfterBreak="0">
    <w:nsid w:val="12DB7D0A"/>
    <w:multiLevelType w:val="hybridMultilevel"/>
    <w:tmpl w:val="558C3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B609D5"/>
    <w:multiLevelType w:val="hybridMultilevel"/>
    <w:tmpl w:val="DDF20E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9E0D89"/>
    <w:multiLevelType w:val="hybridMultilevel"/>
    <w:tmpl w:val="D394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E09E4"/>
    <w:multiLevelType w:val="multilevel"/>
    <w:tmpl w:val="7D26A39C"/>
    <w:lvl w:ilvl="0">
      <w:start w:val="9"/>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10" w15:restartNumberingAfterBreak="0">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11"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2" w15:restartNumberingAfterBreak="0">
    <w:nsid w:val="23DB40DF"/>
    <w:multiLevelType w:val="hybridMultilevel"/>
    <w:tmpl w:val="EB4E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62320"/>
    <w:multiLevelType w:val="hybridMultilevel"/>
    <w:tmpl w:val="3D4AB0E0"/>
    <w:lvl w:ilvl="0" w:tplc="F9A48B7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CF3B7A"/>
    <w:multiLevelType w:val="hybridMultilevel"/>
    <w:tmpl w:val="F4D41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5550EF"/>
    <w:multiLevelType w:val="hybridMultilevel"/>
    <w:tmpl w:val="5A04C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084CA5"/>
    <w:multiLevelType w:val="hybridMultilevel"/>
    <w:tmpl w:val="5B1EF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582969"/>
    <w:multiLevelType w:val="hybridMultilevel"/>
    <w:tmpl w:val="91328F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35E573A"/>
    <w:multiLevelType w:val="hybridMultilevel"/>
    <w:tmpl w:val="4376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563B2"/>
    <w:multiLevelType w:val="hybridMultilevel"/>
    <w:tmpl w:val="DA2A031E"/>
    <w:lvl w:ilvl="0" w:tplc="06AE94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AD3835"/>
    <w:multiLevelType w:val="multilevel"/>
    <w:tmpl w:val="D30E6B36"/>
    <w:lvl w:ilvl="0">
      <w:start w:val="1"/>
      <w:numFmt w:val="decimal"/>
      <w:lvlText w:val="%1."/>
      <w:lvlJc w:val="left"/>
      <w:pPr>
        <w:ind w:left="1134" w:hanging="1134"/>
      </w:pPr>
      <w:rPr>
        <w:rFonts w:hint="default"/>
        <w:b w:val="0"/>
        <w:i w:val="0"/>
        <w:color w:val="auto"/>
        <w:sz w:val="16"/>
      </w:rPr>
    </w:lvl>
    <w:lvl w:ilvl="1">
      <w:start w:val="1"/>
      <w:numFmt w:val="decimal"/>
      <w:lvlText w:val="%2."/>
      <w:lvlJc w:val="left"/>
      <w:pPr>
        <w:ind w:left="1701" w:hanging="737"/>
      </w:pPr>
      <w:rPr>
        <w:rFonts w:hint="default"/>
        <w:b w:val="0"/>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21" w15:restartNumberingAfterBreak="0">
    <w:nsid w:val="37CB1D9A"/>
    <w:multiLevelType w:val="hybridMultilevel"/>
    <w:tmpl w:val="A9E8C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F50DEF"/>
    <w:multiLevelType w:val="hybridMultilevel"/>
    <w:tmpl w:val="6E16BD1A"/>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C792CD4"/>
    <w:multiLevelType w:val="multilevel"/>
    <w:tmpl w:val="FEE071C8"/>
    <w:numStyleLink w:val="ESSectionheading-numbered"/>
  </w:abstractNum>
  <w:abstractNum w:abstractNumId="24" w15:restartNumberingAfterBreak="0">
    <w:nsid w:val="4BC6237F"/>
    <w:multiLevelType w:val="hybridMultilevel"/>
    <w:tmpl w:val="10248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302F9F"/>
    <w:multiLevelType w:val="hybridMultilevel"/>
    <w:tmpl w:val="6AFE0788"/>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F582787"/>
    <w:multiLevelType w:val="hybridMultilevel"/>
    <w:tmpl w:val="503EF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7F1764"/>
    <w:multiLevelType w:val="hybridMultilevel"/>
    <w:tmpl w:val="14C8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07F76"/>
    <w:multiLevelType w:val="hybridMultilevel"/>
    <w:tmpl w:val="2EC0D92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6891D8A"/>
    <w:multiLevelType w:val="multilevel"/>
    <w:tmpl w:val="FEE071C8"/>
    <w:numStyleLink w:val="ESSectionheading-numbered"/>
  </w:abstractNum>
  <w:abstractNum w:abstractNumId="30" w15:restartNumberingAfterBreak="0">
    <w:nsid w:val="5D2F3091"/>
    <w:multiLevelType w:val="hybridMultilevel"/>
    <w:tmpl w:val="AF444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2" w15:restartNumberingAfterBreak="0">
    <w:nsid w:val="62F93AD3"/>
    <w:multiLevelType w:val="hybridMultilevel"/>
    <w:tmpl w:val="D5F4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34" w15:restartNumberingAfterBreak="0">
    <w:nsid w:val="668D7A28"/>
    <w:multiLevelType w:val="hybridMultilevel"/>
    <w:tmpl w:val="2A3244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8750E75"/>
    <w:multiLevelType w:val="hybridMultilevel"/>
    <w:tmpl w:val="87F42C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A807D32"/>
    <w:multiLevelType w:val="hybridMultilevel"/>
    <w:tmpl w:val="6610E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4A3E5F"/>
    <w:multiLevelType w:val="hybridMultilevel"/>
    <w:tmpl w:val="2D021730"/>
    <w:lvl w:ilvl="0" w:tplc="F9A48B7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39" w15:restartNumberingAfterBreak="0">
    <w:nsid w:val="6EEB0001"/>
    <w:multiLevelType w:val="hybridMultilevel"/>
    <w:tmpl w:val="FAF67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201B3E"/>
    <w:multiLevelType w:val="hybridMultilevel"/>
    <w:tmpl w:val="7DA22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816F10"/>
    <w:multiLevelType w:val="hybridMultilevel"/>
    <w:tmpl w:val="0382C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3" w15:restartNumberingAfterBreak="0">
    <w:nsid w:val="7EB401D7"/>
    <w:multiLevelType w:val="hybridMultilevel"/>
    <w:tmpl w:val="DB76B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abstractNum w:abstractNumId="45" w15:restartNumberingAfterBreak="0">
    <w:nsid w:val="7FD56D00"/>
    <w:multiLevelType w:val="hybridMultilevel"/>
    <w:tmpl w:val="D49CF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44"/>
  </w:num>
  <w:num w:numId="4">
    <w:abstractNumId w:val="33"/>
  </w:num>
  <w:num w:numId="5">
    <w:abstractNumId w:val="11"/>
  </w:num>
  <w:num w:numId="6">
    <w:abstractNumId w:val="42"/>
  </w:num>
  <w:num w:numId="7">
    <w:abstractNumId w:val="10"/>
  </w:num>
  <w:num w:numId="8">
    <w:abstractNumId w:val="38"/>
  </w:num>
  <w:num w:numId="9">
    <w:abstractNumId w:val="23"/>
  </w:num>
  <w:num w:numId="10">
    <w:abstractNumId w:val="29"/>
  </w:num>
  <w:num w:numId="11">
    <w:abstractNumId w:val="12"/>
  </w:num>
  <w:num w:numId="12">
    <w:abstractNumId w:val="27"/>
  </w:num>
  <w:num w:numId="13">
    <w:abstractNumId w:val="15"/>
  </w:num>
  <w:num w:numId="14">
    <w:abstractNumId w:val="18"/>
  </w:num>
  <w:num w:numId="15">
    <w:abstractNumId w:val="2"/>
  </w:num>
  <w:num w:numId="16">
    <w:abstractNumId w:val="40"/>
  </w:num>
  <w:num w:numId="17">
    <w:abstractNumId w:val="39"/>
  </w:num>
  <w:num w:numId="18">
    <w:abstractNumId w:val="43"/>
  </w:num>
  <w:num w:numId="19">
    <w:abstractNumId w:val="32"/>
  </w:num>
  <w:num w:numId="20">
    <w:abstractNumId w:val="8"/>
  </w:num>
  <w:num w:numId="21">
    <w:abstractNumId w:val="24"/>
  </w:num>
  <w:num w:numId="22">
    <w:abstractNumId w:val="26"/>
  </w:num>
  <w:num w:numId="23">
    <w:abstractNumId w:val="1"/>
  </w:num>
  <w:num w:numId="24">
    <w:abstractNumId w:val="9"/>
  </w:num>
  <w:num w:numId="25">
    <w:abstractNumId w:val="17"/>
  </w:num>
  <w:num w:numId="26">
    <w:abstractNumId w:val="35"/>
  </w:num>
  <w:num w:numId="27">
    <w:abstractNumId w:val="34"/>
  </w:num>
  <w:num w:numId="28">
    <w:abstractNumId w:val="0"/>
  </w:num>
  <w:num w:numId="29">
    <w:abstractNumId w:val="41"/>
  </w:num>
  <w:num w:numId="30">
    <w:abstractNumId w:val="3"/>
  </w:num>
  <w:num w:numId="31">
    <w:abstractNumId w:val="16"/>
  </w:num>
  <w:num w:numId="32">
    <w:abstractNumId w:val="30"/>
  </w:num>
  <w:num w:numId="33">
    <w:abstractNumId w:val="36"/>
  </w:num>
  <w:num w:numId="34">
    <w:abstractNumId w:val="14"/>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45"/>
  </w:num>
  <w:num w:numId="40">
    <w:abstractNumId w:val="20"/>
  </w:num>
  <w:num w:numId="41">
    <w:abstractNumId w:val="21"/>
  </w:num>
  <w:num w:numId="42">
    <w:abstractNumId w:val="13"/>
  </w:num>
  <w:num w:numId="43">
    <w:abstractNumId w:val="37"/>
  </w:num>
  <w:num w:numId="44">
    <w:abstractNumId w:val="4"/>
  </w:num>
  <w:num w:numId="45">
    <w:abstractNumId w:val="19"/>
  </w:num>
  <w:num w:numId="46">
    <w:abstractNumId w:val="7"/>
  </w:num>
  <w:num w:numId="47">
    <w:abstractNumId w:val="28"/>
  </w:num>
  <w:num w:numId="48">
    <w:abstractNumId w:val="25"/>
  </w:num>
  <w:num w:numId="49">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YzNbQwNTU0MDcBMpV0lIJTi4sz8/NACowMagFgA1DSLQAAAA=="/>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29e2t021fx2sker0f4p99xad5t02xpedpxr&quot;&gt;Report library-Converted&lt;record-ids&gt;&lt;item&gt;3&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5&lt;/item&gt;&lt;item&gt;26&lt;/item&gt;&lt;/record-ids&gt;&lt;/item&gt;&lt;item db-id=&quot;xtr5xfx2xf0wd7e0s2qvst2ietxxf0tpzr9v&quot;&gt;1564.1 - Ig for CIDP - Reference Library&lt;record-ids&gt;&lt;item&gt;2&lt;/item&gt;&lt;item&gt;6&lt;/item&gt;&lt;item&gt;10&lt;/item&gt;&lt;item&gt;13&lt;/item&gt;&lt;item&gt;15&lt;/item&gt;&lt;item&gt;41&lt;/item&gt;&lt;item&gt;42&lt;/item&gt;&lt;item&gt;57&lt;/item&gt;&lt;item&gt;64&lt;/item&gt;&lt;item&gt;71&lt;/item&gt;&lt;item&gt;122&lt;/item&gt;&lt;item&gt;143&lt;/item&gt;&lt;item&gt;145&lt;/item&gt;&lt;item&gt;146&lt;/item&gt;&lt;item&gt;193&lt;/item&gt;&lt;item&gt;203&lt;/item&gt;&lt;item&gt;209&lt;/item&gt;&lt;item&gt;225&lt;/item&gt;&lt;item&gt;234&lt;/item&gt;&lt;item&gt;264&lt;/item&gt;&lt;item&gt;315&lt;/item&gt;&lt;item&gt;368&lt;/item&gt;&lt;item&gt;383&lt;/item&gt;&lt;item&gt;489&lt;/item&gt;&lt;item&gt;698&lt;/item&gt;&lt;item&gt;784&lt;/item&gt;&lt;item&gt;1113&lt;/item&gt;&lt;item&gt;1200&lt;/item&gt;&lt;item&gt;1204&lt;/item&gt;&lt;item&gt;1205&lt;/item&gt;&lt;item&gt;1206&lt;/item&gt;&lt;item&gt;1294&lt;/item&gt;&lt;item&gt;1325&lt;/item&gt;&lt;item&gt;1358&lt;/item&gt;&lt;item&gt;1715&lt;/item&gt;&lt;item&gt;1892&lt;/item&gt;&lt;item&gt;1899&lt;/item&gt;&lt;item&gt;1906&lt;/item&gt;&lt;item&gt;1909&lt;/item&gt;&lt;item&gt;1910&lt;/item&gt;&lt;item&gt;1924&lt;/item&gt;&lt;item&gt;1926&lt;/item&gt;&lt;item&gt;1932&lt;/item&gt;&lt;item&gt;1933&lt;/item&gt;&lt;item&gt;1934&lt;/item&gt;&lt;item&gt;1935&lt;/item&gt;&lt;item&gt;1941&lt;/item&gt;&lt;item&gt;1942&lt;/item&gt;&lt;item&gt;1945&lt;/item&gt;&lt;item&gt;1947&lt;/item&gt;&lt;item&gt;1948&lt;/item&gt;&lt;item&gt;1949&lt;/item&gt;&lt;item&gt;1950&lt;/item&gt;&lt;item&gt;1951&lt;/item&gt;&lt;item&gt;1953&lt;/item&gt;&lt;item&gt;1954&lt;/item&gt;&lt;item&gt;1955&lt;/item&gt;&lt;item&gt;1956&lt;/item&gt;&lt;item&gt;1959&lt;/item&gt;&lt;item&gt;1961&lt;/item&gt;&lt;item&gt;1962&lt;/item&gt;&lt;item&gt;1963&lt;/item&gt;&lt;item&gt;1964&lt;/item&gt;&lt;item&gt;1965&lt;/item&gt;&lt;item&gt;1967&lt;/item&gt;&lt;item&gt;1968&lt;/item&gt;&lt;/record-ids&gt;&lt;/item&gt;&lt;/Libraries&gt;"/>
  </w:docVars>
  <w:rsids>
    <w:rsidRoot w:val="00640EBD"/>
    <w:rsid w:val="000001FE"/>
    <w:rsid w:val="000006B5"/>
    <w:rsid w:val="000008B3"/>
    <w:rsid w:val="00000B9C"/>
    <w:rsid w:val="00000BEB"/>
    <w:rsid w:val="00000C42"/>
    <w:rsid w:val="00000FA9"/>
    <w:rsid w:val="0000127D"/>
    <w:rsid w:val="0000136D"/>
    <w:rsid w:val="0000157A"/>
    <w:rsid w:val="00001874"/>
    <w:rsid w:val="000018E8"/>
    <w:rsid w:val="0000190C"/>
    <w:rsid w:val="000019C7"/>
    <w:rsid w:val="00001C3C"/>
    <w:rsid w:val="00001E31"/>
    <w:rsid w:val="00001F98"/>
    <w:rsid w:val="0000226A"/>
    <w:rsid w:val="0000228D"/>
    <w:rsid w:val="00002552"/>
    <w:rsid w:val="000029F2"/>
    <w:rsid w:val="00002C3C"/>
    <w:rsid w:val="00003287"/>
    <w:rsid w:val="00003796"/>
    <w:rsid w:val="00003BA5"/>
    <w:rsid w:val="0000430A"/>
    <w:rsid w:val="00004731"/>
    <w:rsid w:val="00004790"/>
    <w:rsid w:val="00004990"/>
    <w:rsid w:val="00004D16"/>
    <w:rsid w:val="00005109"/>
    <w:rsid w:val="00005257"/>
    <w:rsid w:val="0000536A"/>
    <w:rsid w:val="000055D4"/>
    <w:rsid w:val="000056FA"/>
    <w:rsid w:val="00005748"/>
    <w:rsid w:val="000057AE"/>
    <w:rsid w:val="00006627"/>
    <w:rsid w:val="00006641"/>
    <w:rsid w:val="0000682A"/>
    <w:rsid w:val="00006961"/>
    <w:rsid w:val="000069A7"/>
    <w:rsid w:val="00006C74"/>
    <w:rsid w:val="000070F9"/>
    <w:rsid w:val="0000721C"/>
    <w:rsid w:val="0000763F"/>
    <w:rsid w:val="000078F6"/>
    <w:rsid w:val="00007948"/>
    <w:rsid w:val="00007A44"/>
    <w:rsid w:val="00007A4C"/>
    <w:rsid w:val="00007BE0"/>
    <w:rsid w:val="00007D81"/>
    <w:rsid w:val="00007DC0"/>
    <w:rsid w:val="000103C4"/>
    <w:rsid w:val="000106F7"/>
    <w:rsid w:val="0001085B"/>
    <w:rsid w:val="0001088E"/>
    <w:rsid w:val="000108EE"/>
    <w:rsid w:val="000109F3"/>
    <w:rsid w:val="00010BF8"/>
    <w:rsid w:val="00010FB8"/>
    <w:rsid w:val="000111D2"/>
    <w:rsid w:val="0001135D"/>
    <w:rsid w:val="00011550"/>
    <w:rsid w:val="00011758"/>
    <w:rsid w:val="00011772"/>
    <w:rsid w:val="000118D8"/>
    <w:rsid w:val="000119E5"/>
    <w:rsid w:val="00011F11"/>
    <w:rsid w:val="00012A0D"/>
    <w:rsid w:val="00012E9E"/>
    <w:rsid w:val="00012EA4"/>
    <w:rsid w:val="00012EA6"/>
    <w:rsid w:val="00012F4F"/>
    <w:rsid w:val="0001307B"/>
    <w:rsid w:val="000130D3"/>
    <w:rsid w:val="000133F9"/>
    <w:rsid w:val="000134C1"/>
    <w:rsid w:val="0001357B"/>
    <w:rsid w:val="00013791"/>
    <w:rsid w:val="0001388D"/>
    <w:rsid w:val="00013934"/>
    <w:rsid w:val="000139D1"/>
    <w:rsid w:val="000139D3"/>
    <w:rsid w:val="000139EB"/>
    <w:rsid w:val="00013B46"/>
    <w:rsid w:val="00013FA1"/>
    <w:rsid w:val="000145D9"/>
    <w:rsid w:val="00014736"/>
    <w:rsid w:val="00014917"/>
    <w:rsid w:val="000149C2"/>
    <w:rsid w:val="00014A66"/>
    <w:rsid w:val="00014D6D"/>
    <w:rsid w:val="00014EC1"/>
    <w:rsid w:val="00014F4E"/>
    <w:rsid w:val="00015282"/>
    <w:rsid w:val="000155E6"/>
    <w:rsid w:val="0001563F"/>
    <w:rsid w:val="000156F4"/>
    <w:rsid w:val="00015787"/>
    <w:rsid w:val="00015B87"/>
    <w:rsid w:val="00015C26"/>
    <w:rsid w:val="00015E03"/>
    <w:rsid w:val="00015EDD"/>
    <w:rsid w:val="000160B3"/>
    <w:rsid w:val="00016333"/>
    <w:rsid w:val="00016641"/>
    <w:rsid w:val="00016676"/>
    <w:rsid w:val="0001667E"/>
    <w:rsid w:val="00016792"/>
    <w:rsid w:val="0001695D"/>
    <w:rsid w:val="00016FA1"/>
    <w:rsid w:val="00016FDF"/>
    <w:rsid w:val="000171FD"/>
    <w:rsid w:val="00017692"/>
    <w:rsid w:val="00017B2B"/>
    <w:rsid w:val="00017D44"/>
    <w:rsid w:val="000207BE"/>
    <w:rsid w:val="000208A2"/>
    <w:rsid w:val="00020A61"/>
    <w:rsid w:val="00020C59"/>
    <w:rsid w:val="00020F15"/>
    <w:rsid w:val="00021072"/>
    <w:rsid w:val="00021816"/>
    <w:rsid w:val="00021A77"/>
    <w:rsid w:val="00021C0A"/>
    <w:rsid w:val="00021FDC"/>
    <w:rsid w:val="0002230A"/>
    <w:rsid w:val="0002265C"/>
    <w:rsid w:val="000226D8"/>
    <w:rsid w:val="00022FCD"/>
    <w:rsid w:val="00023270"/>
    <w:rsid w:val="000236CF"/>
    <w:rsid w:val="00023792"/>
    <w:rsid w:val="00023EF8"/>
    <w:rsid w:val="0002446C"/>
    <w:rsid w:val="00024819"/>
    <w:rsid w:val="00024BA0"/>
    <w:rsid w:val="0002581D"/>
    <w:rsid w:val="00025A9F"/>
    <w:rsid w:val="00025C4D"/>
    <w:rsid w:val="00025D96"/>
    <w:rsid w:val="00025F1A"/>
    <w:rsid w:val="000261CA"/>
    <w:rsid w:val="000266AD"/>
    <w:rsid w:val="0002695E"/>
    <w:rsid w:val="00026D2F"/>
    <w:rsid w:val="00026D6A"/>
    <w:rsid w:val="00027055"/>
    <w:rsid w:val="0002707D"/>
    <w:rsid w:val="0002728B"/>
    <w:rsid w:val="00027329"/>
    <w:rsid w:val="0002749F"/>
    <w:rsid w:val="00027611"/>
    <w:rsid w:val="00027B53"/>
    <w:rsid w:val="00027CAF"/>
    <w:rsid w:val="00027DDF"/>
    <w:rsid w:val="00027F1B"/>
    <w:rsid w:val="000303D8"/>
    <w:rsid w:val="00030C76"/>
    <w:rsid w:val="00030E53"/>
    <w:rsid w:val="00030E6F"/>
    <w:rsid w:val="00030FB4"/>
    <w:rsid w:val="000311A8"/>
    <w:rsid w:val="00031330"/>
    <w:rsid w:val="0003136E"/>
    <w:rsid w:val="000313F3"/>
    <w:rsid w:val="000314E2"/>
    <w:rsid w:val="00031A2C"/>
    <w:rsid w:val="00031AA4"/>
    <w:rsid w:val="000321D9"/>
    <w:rsid w:val="000323A3"/>
    <w:rsid w:val="0003260D"/>
    <w:rsid w:val="00032F99"/>
    <w:rsid w:val="0003333F"/>
    <w:rsid w:val="00033613"/>
    <w:rsid w:val="00033955"/>
    <w:rsid w:val="00033A86"/>
    <w:rsid w:val="00033B86"/>
    <w:rsid w:val="00033E27"/>
    <w:rsid w:val="000340BA"/>
    <w:rsid w:val="000343E6"/>
    <w:rsid w:val="00034497"/>
    <w:rsid w:val="00034AE9"/>
    <w:rsid w:val="00034CFE"/>
    <w:rsid w:val="000352DA"/>
    <w:rsid w:val="0003587F"/>
    <w:rsid w:val="0003595E"/>
    <w:rsid w:val="00035FF2"/>
    <w:rsid w:val="00036221"/>
    <w:rsid w:val="0003639B"/>
    <w:rsid w:val="0003669F"/>
    <w:rsid w:val="000368B9"/>
    <w:rsid w:val="00036954"/>
    <w:rsid w:val="00036BD9"/>
    <w:rsid w:val="00036C65"/>
    <w:rsid w:val="00036DA3"/>
    <w:rsid w:val="00036F0B"/>
    <w:rsid w:val="000373D6"/>
    <w:rsid w:val="000373E8"/>
    <w:rsid w:val="00037562"/>
    <w:rsid w:val="00037729"/>
    <w:rsid w:val="0003797D"/>
    <w:rsid w:val="00037B2B"/>
    <w:rsid w:val="00037FB8"/>
    <w:rsid w:val="000401D9"/>
    <w:rsid w:val="00040305"/>
    <w:rsid w:val="000404AF"/>
    <w:rsid w:val="00040570"/>
    <w:rsid w:val="000406B4"/>
    <w:rsid w:val="000408FA"/>
    <w:rsid w:val="00040D41"/>
    <w:rsid w:val="00040DD2"/>
    <w:rsid w:val="0004109F"/>
    <w:rsid w:val="00041162"/>
    <w:rsid w:val="0004165A"/>
    <w:rsid w:val="00041867"/>
    <w:rsid w:val="00041ADB"/>
    <w:rsid w:val="00041B23"/>
    <w:rsid w:val="00041C6F"/>
    <w:rsid w:val="00041F2B"/>
    <w:rsid w:val="000424B4"/>
    <w:rsid w:val="000427F8"/>
    <w:rsid w:val="00043293"/>
    <w:rsid w:val="00043C04"/>
    <w:rsid w:val="0004468B"/>
    <w:rsid w:val="00044B7A"/>
    <w:rsid w:val="000450C6"/>
    <w:rsid w:val="0004536B"/>
    <w:rsid w:val="00045A06"/>
    <w:rsid w:val="00045C50"/>
    <w:rsid w:val="00045F1B"/>
    <w:rsid w:val="0004611E"/>
    <w:rsid w:val="000461E3"/>
    <w:rsid w:val="0004642F"/>
    <w:rsid w:val="000464C3"/>
    <w:rsid w:val="000466DD"/>
    <w:rsid w:val="00046836"/>
    <w:rsid w:val="00046E1D"/>
    <w:rsid w:val="000470EA"/>
    <w:rsid w:val="000473DD"/>
    <w:rsid w:val="00047660"/>
    <w:rsid w:val="00047812"/>
    <w:rsid w:val="00047ADA"/>
    <w:rsid w:val="00047DC5"/>
    <w:rsid w:val="00047EB6"/>
    <w:rsid w:val="00047ECE"/>
    <w:rsid w:val="00050356"/>
    <w:rsid w:val="000507B7"/>
    <w:rsid w:val="000508A4"/>
    <w:rsid w:val="00050DAA"/>
    <w:rsid w:val="00051060"/>
    <w:rsid w:val="00051085"/>
    <w:rsid w:val="000510E0"/>
    <w:rsid w:val="000512A0"/>
    <w:rsid w:val="0005156D"/>
    <w:rsid w:val="00051666"/>
    <w:rsid w:val="000518E0"/>
    <w:rsid w:val="00051A96"/>
    <w:rsid w:val="00051E1E"/>
    <w:rsid w:val="0005232D"/>
    <w:rsid w:val="00052434"/>
    <w:rsid w:val="0005272E"/>
    <w:rsid w:val="00052741"/>
    <w:rsid w:val="0005281F"/>
    <w:rsid w:val="0005287C"/>
    <w:rsid w:val="00052935"/>
    <w:rsid w:val="00052AA9"/>
    <w:rsid w:val="00052E3F"/>
    <w:rsid w:val="00052FBC"/>
    <w:rsid w:val="00053381"/>
    <w:rsid w:val="00053A89"/>
    <w:rsid w:val="00053C3A"/>
    <w:rsid w:val="00053F32"/>
    <w:rsid w:val="00054946"/>
    <w:rsid w:val="00054958"/>
    <w:rsid w:val="00054C69"/>
    <w:rsid w:val="000554AA"/>
    <w:rsid w:val="00055E08"/>
    <w:rsid w:val="00056684"/>
    <w:rsid w:val="000568F0"/>
    <w:rsid w:val="00056BE2"/>
    <w:rsid w:val="00056CEC"/>
    <w:rsid w:val="00056DC4"/>
    <w:rsid w:val="00056ED1"/>
    <w:rsid w:val="000576CC"/>
    <w:rsid w:val="00057834"/>
    <w:rsid w:val="00057FD3"/>
    <w:rsid w:val="00060875"/>
    <w:rsid w:val="000608FD"/>
    <w:rsid w:val="000609A2"/>
    <w:rsid w:val="00060B82"/>
    <w:rsid w:val="00060E4F"/>
    <w:rsid w:val="00060E70"/>
    <w:rsid w:val="000613E7"/>
    <w:rsid w:val="00061A1C"/>
    <w:rsid w:val="00061A9C"/>
    <w:rsid w:val="00061AF5"/>
    <w:rsid w:val="00061DB6"/>
    <w:rsid w:val="00061E1C"/>
    <w:rsid w:val="00061E7A"/>
    <w:rsid w:val="00062064"/>
    <w:rsid w:val="000625F7"/>
    <w:rsid w:val="00062F2F"/>
    <w:rsid w:val="00063007"/>
    <w:rsid w:val="0006306E"/>
    <w:rsid w:val="00063167"/>
    <w:rsid w:val="00063311"/>
    <w:rsid w:val="0006384B"/>
    <w:rsid w:val="00063A3A"/>
    <w:rsid w:val="00063C88"/>
    <w:rsid w:val="00063CC4"/>
    <w:rsid w:val="00063EBD"/>
    <w:rsid w:val="00063F44"/>
    <w:rsid w:val="00063FE3"/>
    <w:rsid w:val="0006406E"/>
    <w:rsid w:val="0006420B"/>
    <w:rsid w:val="0006422B"/>
    <w:rsid w:val="000647B1"/>
    <w:rsid w:val="00064AA6"/>
    <w:rsid w:val="00064C5B"/>
    <w:rsid w:val="000650CB"/>
    <w:rsid w:val="000650FB"/>
    <w:rsid w:val="000651C7"/>
    <w:rsid w:val="0006531D"/>
    <w:rsid w:val="0006544C"/>
    <w:rsid w:val="00065836"/>
    <w:rsid w:val="00065CD5"/>
    <w:rsid w:val="00065DD7"/>
    <w:rsid w:val="00066CD5"/>
    <w:rsid w:val="00066F5D"/>
    <w:rsid w:val="000679D8"/>
    <w:rsid w:val="00067BF6"/>
    <w:rsid w:val="00067F8C"/>
    <w:rsid w:val="0007007F"/>
    <w:rsid w:val="00070110"/>
    <w:rsid w:val="0007020F"/>
    <w:rsid w:val="000707BE"/>
    <w:rsid w:val="00070B84"/>
    <w:rsid w:val="000715CB"/>
    <w:rsid w:val="00071963"/>
    <w:rsid w:val="00071B67"/>
    <w:rsid w:val="00071BA0"/>
    <w:rsid w:val="00071EAB"/>
    <w:rsid w:val="00072199"/>
    <w:rsid w:val="000721AC"/>
    <w:rsid w:val="0007284B"/>
    <w:rsid w:val="000728FB"/>
    <w:rsid w:val="00072A22"/>
    <w:rsid w:val="00072DC0"/>
    <w:rsid w:val="00073235"/>
    <w:rsid w:val="00073267"/>
    <w:rsid w:val="00073339"/>
    <w:rsid w:val="00073376"/>
    <w:rsid w:val="00073636"/>
    <w:rsid w:val="0007379A"/>
    <w:rsid w:val="00073882"/>
    <w:rsid w:val="000739E5"/>
    <w:rsid w:val="00073A8D"/>
    <w:rsid w:val="00073E0B"/>
    <w:rsid w:val="00073EC5"/>
    <w:rsid w:val="000742E5"/>
    <w:rsid w:val="00074788"/>
    <w:rsid w:val="000749CA"/>
    <w:rsid w:val="00074A0B"/>
    <w:rsid w:val="00074ABF"/>
    <w:rsid w:val="00074F92"/>
    <w:rsid w:val="00075A7C"/>
    <w:rsid w:val="00075C24"/>
    <w:rsid w:val="00076394"/>
    <w:rsid w:val="000768BB"/>
    <w:rsid w:val="00076A45"/>
    <w:rsid w:val="00076A70"/>
    <w:rsid w:val="00076DE6"/>
    <w:rsid w:val="00076EEF"/>
    <w:rsid w:val="00076F32"/>
    <w:rsid w:val="000770FC"/>
    <w:rsid w:val="00077247"/>
    <w:rsid w:val="000772B1"/>
    <w:rsid w:val="000774DB"/>
    <w:rsid w:val="00077880"/>
    <w:rsid w:val="00077A75"/>
    <w:rsid w:val="00077DDA"/>
    <w:rsid w:val="0008033F"/>
    <w:rsid w:val="00080648"/>
    <w:rsid w:val="00080706"/>
    <w:rsid w:val="00080986"/>
    <w:rsid w:val="000809D5"/>
    <w:rsid w:val="00080FA3"/>
    <w:rsid w:val="00081443"/>
    <w:rsid w:val="00081674"/>
    <w:rsid w:val="0008168D"/>
    <w:rsid w:val="00081B12"/>
    <w:rsid w:val="000821BD"/>
    <w:rsid w:val="000822EA"/>
    <w:rsid w:val="0008260B"/>
    <w:rsid w:val="0008261B"/>
    <w:rsid w:val="00082712"/>
    <w:rsid w:val="00082977"/>
    <w:rsid w:val="00082C5A"/>
    <w:rsid w:val="00082CDD"/>
    <w:rsid w:val="00082E66"/>
    <w:rsid w:val="00082EC5"/>
    <w:rsid w:val="0008336A"/>
    <w:rsid w:val="00083498"/>
    <w:rsid w:val="0008367E"/>
    <w:rsid w:val="000838C2"/>
    <w:rsid w:val="00083A0F"/>
    <w:rsid w:val="00083B9B"/>
    <w:rsid w:val="00084CE9"/>
    <w:rsid w:val="00084ED5"/>
    <w:rsid w:val="00084F83"/>
    <w:rsid w:val="00085282"/>
    <w:rsid w:val="00085285"/>
    <w:rsid w:val="00085400"/>
    <w:rsid w:val="000856FC"/>
    <w:rsid w:val="00085883"/>
    <w:rsid w:val="00085981"/>
    <w:rsid w:val="00085BC7"/>
    <w:rsid w:val="00085C31"/>
    <w:rsid w:val="00085C7A"/>
    <w:rsid w:val="0008612D"/>
    <w:rsid w:val="000861FA"/>
    <w:rsid w:val="00086491"/>
    <w:rsid w:val="000868BD"/>
    <w:rsid w:val="000869F6"/>
    <w:rsid w:val="00086D44"/>
    <w:rsid w:val="00086DB8"/>
    <w:rsid w:val="00087E7F"/>
    <w:rsid w:val="00087F4E"/>
    <w:rsid w:val="00087FDE"/>
    <w:rsid w:val="00090330"/>
    <w:rsid w:val="000903F9"/>
    <w:rsid w:val="000905F4"/>
    <w:rsid w:val="00090904"/>
    <w:rsid w:val="0009097E"/>
    <w:rsid w:val="00090AA3"/>
    <w:rsid w:val="00090AB1"/>
    <w:rsid w:val="00090BD2"/>
    <w:rsid w:val="00090C34"/>
    <w:rsid w:val="00090DDE"/>
    <w:rsid w:val="00090EBE"/>
    <w:rsid w:val="00090EF8"/>
    <w:rsid w:val="00090F80"/>
    <w:rsid w:val="00091296"/>
    <w:rsid w:val="00091667"/>
    <w:rsid w:val="000917C7"/>
    <w:rsid w:val="00091989"/>
    <w:rsid w:val="00091A2F"/>
    <w:rsid w:val="00092116"/>
    <w:rsid w:val="00092A35"/>
    <w:rsid w:val="00092CFA"/>
    <w:rsid w:val="00093113"/>
    <w:rsid w:val="000933E6"/>
    <w:rsid w:val="000937B3"/>
    <w:rsid w:val="0009386C"/>
    <w:rsid w:val="000939B9"/>
    <w:rsid w:val="00093ACF"/>
    <w:rsid w:val="00093C9A"/>
    <w:rsid w:val="00093CE9"/>
    <w:rsid w:val="00093CEF"/>
    <w:rsid w:val="00093DC4"/>
    <w:rsid w:val="00093EE9"/>
    <w:rsid w:val="00094977"/>
    <w:rsid w:val="00094B91"/>
    <w:rsid w:val="00094B93"/>
    <w:rsid w:val="00094DBD"/>
    <w:rsid w:val="00094FAC"/>
    <w:rsid w:val="0009555E"/>
    <w:rsid w:val="00095858"/>
    <w:rsid w:val="00095947"/>
    <w:rsid w:val="00096949"/>
    <w:rsid w:val="00096AAE"/>
    <w:rsid w:val="00096B92"/>
    <w:rsid w:val="00096BD5"/>
    <w:rsid w:val="00096EBE"/>
    <w:rsid w:val="0009735B"/>
    <w:rsid w:val="00097AAC"/>
    <w:rsid w:val="000A0146"/>
    <w:rsid w:val="000A0332"/>
    <w:rsid w:val="000A051D"/>
    <w:rsid w:val="000A0790"/>
    <w:rsid w:val="000A07CB"/>
    <w:rsid w:val="000A0C9C"/>
    <w:rsid w:val="000A0D18"/>
    <w:rsid w:val="000A1187"/>
    <w:rsid w:val="000A1298"/>
    <w:rsid w:val="000A13F7"/>
    <w:rsid w:val="000A1508"/>
    <w:rsid w:val="000A1599"/>
    <w:rsid w:val="000A19FC"/>
    <w:rsid w:val="000A1BD4"/>
    <w:rsid w:val="000A1D85"/>
    <w:rsid w:val="000A2278"/>
    <w:rsid w:val="000A2445"/>
    <w:rsid w:val="000A272A"/>
    <w:rsid w:val="000A2C9E"/>
    <w:rsid w:val="000A350A"/>
    <w:rsid w:val="000A36EE"/>
    <w:rsid w:val="000A375A"/>
    <w:rsid w:val="000A39BE"/>
    <w:rsid w:val="000A39F4"/>
    <w:rsid w:val="000A3AAF"/>
    <w:rsid w:val="000A3B29"/>
    <w:rsid w:val="000A3E60"/>
    <w:rsid w:val="000A3F8D"/>
    <w:rsid w:val="000A4157"/>
    <w:rsid w:val="000A4641"/>
    <w:rsid w:val="000A4C4A"/>
    <w:rsid w:val="000A4DD7"/>
    <w:rsid w:val="000A4DF3"/>
    <w:rsid w:val="000A4E4F"/>
    <w:rsid w:val="000A4F95"/>
    <w:rsid w:val="000A4F96"/>
    <w:rsid w:val="000A5193"/>
    <w:rsid w:val="000A546E"/>
    <w:rsid w:val="000A54AD"/>
    <w:rsid w:val="000A55B4"/>
    <w:rsid w:val="000A5A6C"/>
    <w:rsid w:val="000A5CE8"/>
    <w:rsid w:val="000A5DB5"/>
    <w:rsid w:val="000A6126"/>
    <w:rsid w:val="000A612B"/>
    <w:rsid w:val="000A6439"/>
    <w:rsid w:val="000A6C01"/>
    <w:rsid w:val="000A7356"/>
    <w:rsid w:val="000A74FE"/>
    <w:rsid w:val="000A7537"/>
    <w:rsid w:val="000A77C8"/>
    <w:rsid w:val="000A7943"/>
    <w:rsid w:val="000A7D0A"/>
    <w:rsid w:val="000B0364"/>
    <w:rsid w:val="000B06C4"/>
    <w:rsid w:val="000B0993"/>
    <w:rsid w:val="000B0F0F"/>
    <w:rsid w:val="000B1204"/>
    <w:rsid w:val="000B1256"/>
    <w:rsid w:val="000B1429"/>
    <w:rsid w:val="000B1434"/>
    <w:rsid w:val="000B164F"/>
    <w:rsid w:val="000B1D2B"/>
    <w:rsid w:val="000B1F56"/>
    <w:rsid w:val="000B21C0"/>
    <w:rsid w:val="000B21CB"/>
    <w:rsid w:val="000B23EA"/>
    <w:rsid w:val="000B24F1"/>
    <w:rsid w:val="000B2675"/>
    <w:rsid w:val="000B274D"/>
    <w:rsid w:val="000B2871"/>
    <w:rsid w:val="000B2D70"/>
    <w:rsid w:val="000B2DCA"/>
    <w:rsid w:val="000B2E4B"/>
    <w:rsid w:val="000B304F"/>
    <w:rsid w:val="000B30A2"/>
    <w:rsid w:val="000B3350"/>
    <w:rsid w:val="000B3610"/>
    <w:rsid w:val="000B3BCD"/>
    <w:rsid w:val="000B3CA5"/>
    <w:rsid w:val="000B4253"/>
    <w:rsid w:val="000B4A87"/>
    <w:rsid w:val="000B4BDC"/>
    <w:rsid w:val="000B4CAD"/>
    <w:rsid w:val="000B508C"/>
    <w:rsid w:val="000B525C"/>
    <w:rsid w:val="000B596E"/>
    <w:rsid w:val="000B5C73"/>
    <w:rsid w:val="000B5C7B"/>
    <w:rsid w:val="000B5D81"/>
    <w:rsid w:val="000B5E0D"/>
    <w:rsid w:val="000B63E1"/>
    <w:rsid w:val="000B6871"/>
    <w:rsid w:val="000B688F"/>
    <w:rsid w:val="000B6DBB"/>
    <w:rsid w:val="000B76AF"/>
    <w:rsid w:val="000B7852"/>
    <w:rsid w:val="000B7991"/>
    <w:rsid w:val="000B7A2F"/>
    <w:rsid w:val="000B7B78"/>
    <w:rsid w:val="000B7DFE"/>
    <w:rsid w:val="000B7EE2"/>
    <w:rsid w:val="000B7EE7"/>
    <w:rsid w:val="000B7F5D"/>
    <w:rsid w:val="000C0364"/>
    <w:rsid w:val="000C0493"/>
    <w:rsid w:val="000C04C1"/>
    <w:rsid w:val="000C0684"/>
    <w:rsid w:val="000C0E99"/>
    <w:rsid w:val="000C0FE1"/>
    <w:rsid w:val="000C0FF8"/>
    <w:rsid w:val="000C10BA"/>
    <w:rsid w:val="000C13E8"/>
    <w:rsid w:val="000C14EF"/>
    <w:rsid w:val="000C1599"/>
    <w:rsid w:val="000C1714"/>
    <w:rsid w:val="000C1747"/>
    <w:rsid w:val="000C1AFE"/>
    <w:rsid w:val="000C226B"/>
    <w:rsid w:val="000C296F"/>
    <w:rsid w:val="000C2E65"/>
    <w:rsid w:val="000C2EA1"/>
    <w:rsid w:val="000C32A4"/>
    <w:rsid w:val="000C36C4"/>
    <w:rsid w:val="000C3CDE"/>
    <w:rsid w:val="000C410B"/>
    <w:rsid w:val="000C4137"/>
    <w:rsid w:val="000C4404"/>
    <w:rsid w:val="000C44CA"/>
    <w:rsid w:val="000C452F"/>
    <w:rsid w:val="000C4BD0"/>
    <w:rsid w:val="000C53B8"/>
    <w:rsid w:val="000C5752"/>
    <w:rsid w:val="000C5A22"/>
    <w:rsid w:val="000C5A70"/>
    <w:rsid w:val="000C5D0A"/>
    <w:rsid w:val="000C5D3C"/>
    <w:rsid w:val="000C5F36"/>
    <w:rsid w:val="000C61C5"/>
    <w:rsid w:val="000C651F"/>
    <w:rsid w:val="000C6A02"/>
    <w:rsid w:val="000C6D10"/>
    <w:rsid w:val="000C6E6B"/>
    <w:rsid w:val="000C769F"/>
    <w:rsid w:val="000C7799"/>
    <w:rsid w:val="000C7AD8"/>
    <w:rsid w:val="000C7C44"/>
    <w:rsid w:val="000C7F6A"/>
    <w:rsid w:val="000D0128"/>
    <w:rsid w:val="000D0179"/>
    <w:rsid w:val="000D04F4"/>
    <w:rsid w:val="000D0784"/>
    <w:rsid w:val="000D0B68"/>
    <w:rsid w:val="000D1300"/>
    <w:rsid w:val="000D13CD"/>
    <w:rsid w:val="000D180A"/>
    <w:rsid w:val="000D186C"/>
    <w:rsid w:val="000D18A2"/>
    <w:rsid w:val="000D19B7"/>
    <w:rsid w:val="000D1C4C"/>
    <w:rsid w:val="000D1C72"/>
    <w:rsid w:val="000D1FEF"/>
    <w:rsid w:val="000D22BB"/>
    <w:rsid w:val="000D22DB"/>
    <w:rsid w:val="000D2C4E"/>
    <w:rsid w:val="000D2D78"/>
    <w:rsid w:val="000D2D89"/>
    <w:rsid w:val="000D2E96"/>
    <w:rsid w:val="000D2EB6"/>
    <w:rsid w:val="000D3024"/>
    <w:rsid w:val="000D328F"/>
    <w:rsid w:val="000D3317"/>
    <w:rsid w:val="000D33CE"/>
    <w:rsid w:val="000D34EB"/>
    <w:rsid w:val="000D3AD0"/>
    <w:rsid w:val="000D3AD2"/>
    <w:rsid w:val="000D3B89"/>
    <w:rsid w:val="000D3BEC"/>
    <w:rsid w:val="000D3E93"/>
    <w:rsid w:val="000D4203"/>
    <w:rsid w:val="000D4324"/>
    <w:rsid w:val="000D4515"/>
    <w:rsid w:val="000D468A"/>
    <w:rsid w:val="000D473C"/>
    <w:rsid w:val="000D4A40"/>
    <w:rsid w:val="000D4AB6"/>
    <w:rsid w:val="000D4D6A"/>
    <w:rsid w:val="000D4DFE"/>
    <w:rsid w:val="000D4F8C"/>
    <w:rsid w:val="000D4FCE"/>
    <w:rsid w:val="000D50CD"/>
    <w:rsid w:val="000D50CF"/>
    <w:rsid w:val="000D55CF"/>
    <w:rsid w:val="000D5A53"/>
    <w:rsid w:val="000D5AF8"/>
    <w:rsid w:val="000D5C15"/>
    <w:rsid w:val="000D5CA0"/>
    <w:rsid w:val="000D60AA"/>
    <w:rsid w:val="000D627F"/>
    <w:rsid w:val="000D63E0"/>
    <w:rsid w:val="000D6684"/>
    <w:rsid w:val="000D6782"/>
    <w:rsid w:val="000D6840"/>
    <w:rsid w:val="000D6A41"/>
    <w:rsid w:val="000D6DB4"/>
    <w:rsid w:val="000D708E"/>
    <w:rsid w:val="000E02D8"/>
    <w:rsid w:val="000E073C"/>
    <w:rsid w:val="000E09A4"/>
    <w:rsid w:val="000E0B6A"/>
    <w:rsid w:val="000E0D09"/>
    <w:rsid w:val="000E1036"/>
    <w:rsid w:val="000E10A1"/>
    <w:rsid w:val="000E125E"/>
    <w:rsid w:val="000E13C7"/>
    <w:rsid w:val="000E1439"/>
    <w:rsid w:val="000E145B"/>
    <w:rsid w:val="000E1520"/>
    <w:rsid w:val="000E160C"/>
    <w:rsid w:val="000E163C"/>
    <w:rsid w:val="000E1C9D"/>
    <w:rsid w:val="000E1D12"/>
    <w:rsid w:val="000E204A"/>
    <w:rsid w:val="000E21A2"/>
    <w:rsid w:val="000E27A3"/>
    <w:rsid w:val="000E2864"/>
    <w:rsid w:val="000E2B85"/>
    <w:rsid w:val="000E2C4F"/>
    <w:rsid w:val="000E3189"/>
    <w:rsid w:val="000E362B"/>
    <w:rsid w:val="000E387B"/>
    <w:rsid w:val="000E398C"/>
    <w:rsid w:val="000E3AD5"/>
    <w:rsid w:val="000E3D82"/>
    <w:rsid w:val="000E3F05"/>
    <w:rsid w:val="000E41E8"/>
    <w:rsid w:val="000E4217"/>
    <w:rsid w:val="000E436A"/>
    <w:rsid w:val="000E455E"/>
    <w:rsid w:val="000E4D70"/>
    <w:rsid w:val="000E50DC"/>
    <w:rsid w:val="000E551B"/>
    <w:rsid w:val="000E5E5C"/>
    <w:rsid w:val="000E5EAC"/>
    <w:rsid w:val="000E6179"/>
    <w:rsid w:val="000E61AD"/>
    <w:rsid w:val="000E63DD"/>
    <w:rsid w:val="000E65EF"/>
    <w:rsid w:val="000E6784"/>
    <w:rsid w:val="000E6891"/>
    <w:rsid w:val="000E6A1B"/>
    <w:rsid w:val="000E6C55"/>
    <w:rsid w:val="000E6D33"/>
    <w:rsid w:val="000E74BC"/>
    <w:rsid w:val="000E7808"/>
    <w:rsid w:val="000E7851"/>
    <w:rsid w:val="000E7969"/>
    <w:rsid w:val="000E7A82"/>
    <w:rsid w:val="000E7AC3"/>
    <w:rsid w:val="000E7B84"/>
    <w:rsid w:val="000E7E95"/>
    <w:rsid w:val="000E7EE5"/>
    <w:rsid w:val="000F06BC"/>
    <w:rsid w:val="000F080F"/>
    <w:rsid w:val="000F0975"/>
    <w:rsid w:val="000F0C54"/>
    <w:rsid w:val="000F0D08"/>
    <w:rsid w:val="000F14C7"/>
    <w:rsid w:val="000F151F"/>
    <w:rsid w:val="000F166F"/>
    <w:rsid w:val="000F18B2"/>
    <w:rsid w:val="000F1C98"/>
    <w:rsid w:val="000F1E4C"/>
    <w:rsid w:val="000F1E70"/>
    <w:rsid w:val="000F1FA8"/>
    <w:rsid w:val="000F204E"/>
    <w:rsid w:val="000F219E"/>
    <w:rsid w:val="000F236B"/>
    <w:rsid w:val="000F285B"/>
    <w:rsid w:val="000F357F"/>
    <w:rsid w:val="000F3A24"/>
    <w:rsid w:val="000F3B50"/>
    <w:rsid w:val="000F3CBC"/>
    <w:rsid w:val="000F4CB0"/>
    <w:rsid w:val="000F508A"/>
    <w:rsid w:val="000F50C5"/>
    <w:rsid w:val="000F589F"/>
    <w:rsid w:val="000F5FC9"/>
    <w:rsid w:val="000F640C"/>
    <w:rsid w:val="000F664A"/>
    <w:rsid w:val="000F66F8"/>
    <w:rsid w:val="000F680A"/>
    <w:rsid w:val="000F6918"/>
    <w:rsid w:val="000F6C65"/>
    <w:rsid w:val="000F6D1C"/>
    <w:rsid w:val="000F70AD"/>
    <w:rsid w:val="000F7361"/>
    <w:rsid w:val="000F75C0"/>
    <w:rsid w:val="000F76EF"/>
    <w:rsid w:val="000F7A58"/>
    <w:rsid w:val="000F7C32"/>
    <w:rsid w:val="000F7E1F"/>
    <w:rsid w:val="000F7FD2"/>
    <w:rsid w:val="0010007A"/>
    <w:rsid w:val="00100186"/>
    <w:rsid w:val="001001F0"/>
    <w:rsid w:val="00100281"/>
    <w:rsid w:val="00100570"/>
    <w:rsid w:val="001005AA"/>
    <w:rsid w:val="00100938"/>
    <w:rsid w:val="00100987"/>
    <w:rsid w:val="001010A3"/>
    <w:rsid w:val="00101616"/>
    <w:rsid w:val="001019F6"/>
    <w:rsid w:val="00101BE7"/>
    <w:rsid w:val="00101DAF"/>
    <w:rsid w:val="00101EA6"/>
    <w:rsid w:val="001024C0"/>
    <w:rsid w:val="001024FE"/>
    <w:rsid w:val="0010271E"/>
    <w:rsid w:val="00102752"/>
    <w:rsid w:val="00102ACE"/>
    <w:rsid w:val="00102C26"/>
    <w:rsid w:val="00103282"/>
    <w:rsid w:val="00103470"/>
    <w:rsid w:val="0010377A"/>
    <w:rsid w:val="00103CA5"/>
    <w:rsid w:val="00103FE2"/>
    <w:rsid w:val="0010407C"/>
    <w:rsid w:val="001042DB"/>
    <w:rsid w:val="00104641"/>
    <w:rsid w:val="001047AE"/>
    <w:rsid w:val="00104C4D"/>
    <w:rsid w:val="00104C76"/>
    <w:rsid w:val="001053AD"/>
    <w:rsid w:val="00105477"/>
    <w:rsid w:val="00105686"/>
    <w:rsid w:val="001059C5"/>
    <w:rsid w:val="00105C53"/>
    <w:rsid w:val="00105C6A"/>
    <w:rsid w:val="00105F4B"/>
    <w:rsid w:val="0010618E"/>
    <w:rsid w:val="001061A1"/>
    <w:rsid w:val="001064DF"/>
    <w:rsid w:val="001064E2"/>
    <w:rsid w:val="00106705"/>
    <w:rsid w:val="00106CAC"/>
    <w:rsid w:val="00106D47"/>
    <w:rsid w:val="00106D5A"/>
    <w:rsid w:val="00107317"/>
    <w:rsid w:val="001074D7"/>
    <w:rsid w:val="00107AA7"/>
    <w:rsid w:val="00107E45"/>
    <w:rsid w:val="00107F3E"/>
    <w:rsid w:val="001101C7"/>
    <w:rsid w:val="001106E0"/>
    <w:rsid w:val="00110763"/>
    <w:rsid w:val="00110A0A"/>
    <w:rsid w:val="00110A66"/>
    <w:rsid w:val="00110B72"/>
    <w:rsid w:val="00110DE9"/>
    <w:rsid w:val="00110F5A"/>
    <w:rsid w:val="0011120F"/>
    <w:rsid w:val="00111444"/>
    <w:rsid w:val="00111A9D"/>
    <w:rsid w:val="00111FD8"/>
    <w:rsid w:val="00112756"/>
    <w:rsid w:val="001131C7"/>
    <w:rsid w:val="001134B2"/>
    <w:rsid w:val="001136B9"/>
    <w:rsid w:val="00113ADA"/>
    <w:rsid w:val="001140D8"/>
    <w:rsid w:val="00114341"/>
    <w:rsid w:val="00114A80"/>
    <w:rsid w:val="00114A88"/>
    <w:rsid w:val="00114DB0"/>
    <w:rsid w:val="00115103"/>
    <w:rsid w:val="00115312"/>
    <w:rsid w:val="0011532F"/>
    <w:rsid w:val="00115568"/>
    <w:rsid w:val="001155A7"/>
    <w:rsid w:val="001158F0"/>
    <w:rsid w:val="0011698D"/>
    <w:rsid w:val="00116F9A"/>
    <w:rsid w:val="00116FF7"/>
    <w:rsid w:val="00117291"/>
    <w:rsid w:val="00117514"/>
    <w:rsid w:val="001175F1"/>
    <w:rsid w:val="001176B4"/>
    <w:rsid w:val="001176E9"/>
    <w:rsid w:val="001178D8"/>
    <w:rsid w:val="00117C27"/>
    <w:rsid w:val="00117D72"/>
    <w:rsid w:val="001203AE"/>
    <w:rsid w:val="00120799"/>
    <w:rsid w:val="00120EA6"/>
    <w:rsid w:val="001214B2"/>
    <w:rsid w:val="001214FB"/>
    <w:rsid w:val="001217CB"/>
    <w:rsid w:val="00121E37"/>
    <w:rsid w:val="00122253"/>
    <w:rsid w:val="00122847"/>
    <w:rsid w:val="00122BFE"/>
    <w:rsid w:val="00122D77"/>
    <w:rsid w:val="0012306C"/>
    <w:rsid w:val="001236DF"/>
    <w:rsid w:val="00123707"/>
    <w:rsid w:val="00123994"/>
    <w:rsid w:val="001239E8"/>
    <w:rsid w:val="001246F3"/>
    <w:rsid w:val="00124B78"/>
    <w:rsid w:val="00124D5D"/>
    <w:rsid w:val="00124EA4"/>
    <w:rsid w:val="00125179"/>
    <w:rsid w:val="00125441"/>
    <w:rsid w:val="00125879"/>
    <w:rsid w:val="0012591E"/>
    <w:rsid w:val="00125C85"/>
    <w:rsid w:val="00125D53"/>
    <w:rsid w:val="00125FE7"/>
    <w:rsid w:val="0012607A"/>
    <w:rsid w:val="00126186"/>
    <w:rsid w:val="001263D7"/>
    <w:rsid w:val="00126688"/>
    <w:rsid w:val="00126914"/>
    <w:rsid w:val="00126943"/>
    <w:rsid w:val="00126DE3"/>
    <w:rsid w:val="00126EFA"/>
    <w:rsid w:val="0012715D"/>
    <w:rsid w:val="00127363"/>
    <w:rsid w:val="001273C4"/>
    <w:rsid w:val="001279F9"/>
    <w:rsid w:val="00127AA3"/>
    <w:rsid w:val="00127B4F"/>
    <w:rsid w:val="00127CA9"/>
    <w:rsid w:val="001302CC"/>
    <w:rsid w:val="0013031C"/>
    <w:rsid w:val="0013042C"/>
    <w:rsid w:val="00130495"/>
    <w:rsid w:val="00130626"/>
    <w:rsid w:val="00130648"/>
    <w:rsid w:val="00130AD5"/>
    <w:rsid w:val="00130B01"/>
    <w:rsid w:val="00130D24"/>
    <w:rsid w:val="00130F53"/>
    <w:rsid w:val="00130F6E"/>
    <w:rsid w:val="0013111A"/>
    <w:rsid w:val="00131140"/>
    <w:rsid w:val="001316D7"/>
    <w:rsid w:val="001317A0"/>
    <w:rsid w:val="00131895"/>
    <w:rsid w:val="001320D4"/>
    <w:rsid w:val="001324EC"/>
    <w:rsid w:val="001325A0"/>
    <w:rsid w:val="00133128"/>
    <w:rsid w:val="001333E5"/>
    <w:rsid w:val="00133662"/>
    <w:rsid w:val="00133825"/>
    <w:rsid w:val="00133A8D"/>
    <w:rsid w:val="00133B56"/>
    <w:rsid w:val="00133FA5"/>
    <w:rsid w:val="001341F5"/>
    <w:rsid w:val="0013468D"/>
    <w:rsid w:val="001346B4"/>
    <w:rsid w:val="001349E0"/>
    <w:rsid w:val="00134A3D"/>
    <w:rsid w:val="00134BB1"/>
    <w:rsid w:val="00134C53"/>
    <w:rsid w:val="00134C6E"/>
    <w:rsid w:val="001353E6"/>
    <w:rsid w:val="00135585"/>
    <w:rsid w:val="0013575F"/>
    <w:rsid w:val="001358F1"/>
    <w:rsid w:val="00135C51"/>
    <w:rsid w:val="00135D3A"/>
    <w:rsid w:val="00135E02"/>
    <w:rsid w:val="0013708B"/>
    <w:rsid w:val="001372D7"/>
    <w:rsid w:val="001376F8"/>
    <w:rsid w:val="00137789"/>
    <w:rsid w:val="00137928"/>
    <w:rsid w:val="00137B1B"/>
    <w:rsid w:val="00137CA8"/>
    <w:rsid w:val="00137F23"/>
    <w:rsid w:val="00140038"/>
    <w:rsid w:val="00140185"/>
    <w:rsid w:val="00140573"/>
    <w:rsid w:val="00140654"/>
    <w:rsid w:val="00140662"/>
    <w:rsid w:val="00140C12"/>
    <w:rsid w:val="00140C17"/>
    <w:rsid w:val="00140D15"/>
    <w:rsid w:val="00140E14"/>
    <w:rsid w:val="00140F50"/>
    <w:rsid w:val="00141210"/>
    <w:rsid w:val="001412E5"/>
    <w:rsid w:val="001415B8"/>
    <w:rsid w:val="0014188E"/>
    <w:rsid w:val="001418C5"/>
    <w:rsid w:val="001419E2"/>
    <w:rsid w:val="00141AA4"/>
    <w:rsid w:val="00141B06"/>
    <w:rsid w:val="00141D60"/>
    <w:rsid w:val="0014200D"/>
    <w:rsid w:val="00142285"/>
    <w:rsid w:val="0014254D"/>
    <w:rsid w:val="001428F3"/>
    <w:rsid w:val="001429FA"/>
    <w:rsid w:val="00142BE7"/>
    <w:rsid w:val="00142C91"/>
    <w:rsid w:val="00142FAB"/>
    <w:rsid w:val="0014300A"/>
    <w:rsid w:val="00143063"/>
    <w:rsid w:val="001431A4"/>
    <w:rsid w:val="001433BE"/>
    <w:rsid w:val="00143697"/>
    <w:rsid w:val="00143893"/>
    <w:rsid w:val="00143895"/>
    <w:rsid w:val="00143A51"/>
    <w:rsid w:val="00143A58"/>
    <w:rsid w:val="00143DB1"/>
    <w:rsid w:val="00143DDC"/>
    <w:rsid w:val="001442F1"/>
    <w:rsid w:val="001444A4"/>
    <w:rsid w:val="001446A4"/>
    <w:rsid w:val="0014499A"/>
    <w:rsid w:val="00144A0B"/>
    <w:rsid w:val="00144D58"/>
    <w:rsid w:val="00144EB4"/>
    <w:rsid w:val="001450A2"/>
    <w:rsid w:val="0014524F"/>
    <w:rsid w:val="00145259"/>
    <w:rsid w:val="001452D9"/>
    <w:rsid w:val="00145509"/>
    <w:rsid w:val="001455C3"/>
    <w:rsid w:val="00145798"/>
    <w:rsid w:val="001458BC"/>
    <w:rsid w:val="00145A91"/>
    <w:rsid w:val="00145AE0"/>
    <w:rsid w:val="0014611A"/>
    <w:rsid w:val="001465EA"/>
    <w:rsid w:val="00146708"/>
    <w:rsid w:val="00146BFB"/>
    <w:rsid w:val="00146C81"/>
    <w:rsid w:val="00146CD6"/>
    <w:rsid w:val="00146D8D"/>
    <w:rsid w:val="0014710C"/>
    <w:rsid w:val="0014750D"/>
    <w:rsid w:val="00147634"/>
    <w:rsid w:val="0014774F"/>
    <w:rsid w:val="001479B1"/>
    <w:rsid w:val="00147BE1"/>
    <w:rsid w:val="00147BFF"/>
    <w:rsid w:val="00147F55"/>
    <w:rsid w:val="00147FB2"/>
    <w:rsid w:val="00150300"/>
    <w:rsid w:val="0015033A"/>
    <w:rsid w:val="001503B1"/>
    <w:rsid w:val="00150675"/>
    <w:rsid w:val="00150C7F"/>
    <w:rsid w:val="00151ABF"/>
    <w:rsid w:val="00151D89"/>
    <w:rsid w:val="00152100"/>
    <w:rsid w:val="001521E0"/>
    <w:rsid w:val="0015258D"/>
    <w:rsid w:val="001525DB"/>
    <w:rsid w:val="00152A0B"/>
    <w:rsid w:val="00152EFA"/>
    <w:rsid w:val="001530D6"/>
    <w:rsid w:val="00153121"/>
    <w:rsid w:val="00153514"/>
    <w:rsid w:val="001536D3"/>
    <w:rsid w:val="0015398F"/>
    <w:rsid w:val="00153BBF"/>
    <w:rsid w:val="00153C4D"/>
    <w:rsid w:val="00153FD2"/>
    <w:rsid w:val="00154241"/>
    <w:rsid w:val="001544FF"/>
    <w:rsid w:val="00154913"/>
    <w:rsid w:val="00154B49"/>
    <w:rsid w:val="00154D0B"/>
    <w:rsid w:val="001550E8"/>
    <w:rsid w:val="00155135"/>
    <w:rsid w:val="001552F6"/>
    <w:rsid w:val="001555D6"/>
    <w:rsid w:val="00155820"/>
    <w:rsid w:val="00155C9E"/>
    <w:rsid w:val="0015646F"/>
    <w:rsid w:val="001565E1"/>
    <w:rsid w:val="00156859"/>
    <w:rsid w:val="0015692D"/>
    <w:rsid w:val="00156D16"/>
    <w:rsid w:val="00156F3F"/>
    <w:rsid w:val="0015712D"/>
    <w:rsid w:val="00157BEF"/>
    <w:rsid w:val="00157DCC"/>
    <w:rsid w:val="001603FF"/>
    <w:rsid w:val="00160452"/>
    <w:rsid w:val="00160761"/>
    <w:rsid w:val="00160D13"/>
    <w:rsid w:val="00160E43"/>
    <w:rsid w:val="00160F57"/>
    <w:rsid w:val="00161324"/>
    <w:rsid w:val="0016153F"/>
    <w:rsid w:val="00161B4A"/>
    <w:rsid w:val="00161B8B"/>
    <w:rsid w:val="00161F5D"/>
    <w:rsid w:val="00162196"/>
    <w:rsid w:val="0016230E"/>
    <w:rsid w:val="0016243D"/>
    <w:rsid w:val="0016247E"/>
    <w:rsid w:val="001624A7"/>
    <w:rsid w:val="0016271D"/>
    <w:rsid w:val="001627FA"/>
    <w:rsid w:val="001628CD"/>
    <w:rsid w:val="00162928"/>
    <w:rsid w:val="00162B88"/>
    <w:rsid w:val="0016314A"/>
    <w:rsid w:val="0016350A"/>
    <w:rsid w:val="00163554"/>
    <w:rsid w:val="00163C39"/>
    <w:rsid w:val="00163C4A"/>
    <w:rsid w:val="00163F13"/>
    <w:rsid w:val="00164043"/>
    <w:rsid w:val="001645B3"/>
    <w:rsid w:val="001647C1"/>
    <w:rsid w:val="00164E34"/>
    <w:rsid w:val="00164EDF"/>
    <w:rsid w:val="00164FE0"/>
    <w:rsid w:val="00165002"/>
    <w:rsid w:val="001654F6"/>
    <w:rsid w:val="00165813"/>
    <w:rsid w:val="00166455"/>
    <w:rsid w:val="0016686F"/>
    <w:rsid w:val="00166B64"/>
    <w:rsid w:val="0016725F"/>
    <w:rsid w:val="00167B2A"/>
    <w:rsid w:val="00167E78"/>
    <w:rsid w:val="00167F41"/>
    <w:rsid w:val="001702C4"/>
    <w:rsid w:val="001705B7"/>
    <w:rsid w:val="001706D7"/>
    <w:rsid w:val="00170717"/>
    <w:rsid w:val="0017093A"/>
    <w:rsid w:val="00170B46"/>
    <w:rsid w:val="00170CD1"/>
    <w:rsid w:val="00170CEB"/>
    <w:rsid w:val="00171806"/>
    <w:rsid w:val="001719B3"/>
    <w:rsid w:val="00171A53"/>
    <w:rsid w:val="00171B8C"/>
    <w:rsid w:val="00171CCE"/>
    <w:rsid w:val="00171CFA"/>
    <w:rsid w:val="00171FC7"/>
    <w:rsid w:val="00172756"/>
    <w:rsid w:val="001728A5"/>
    <w:rsid w:val="00172D3B"/>
    <w:rsid w:val="00172D93"/>
    <w:rsid w:val="00172FA1"/>
    <w:rsid w:val="00173048"/>
    <w:rsid w:val="001734FA"/>
    <w:rsid w:val="0017367D"/>
    <w:rsid w:val="001742F8"/>
    <w:rsid w:val="00174536"/>
    <w:rsid w:val="00174A82"/>
    <w:rsid w:val="00174C1E"/>
    <w:rsid w:val="00174CBB"/>
    <w:rsid w:val="00175429"/>
    <w:rsid w:val="001755CA"/>
    <w:rsid w:val="00175691"/>
    <w:rsid w:val="00175AFF"/>
    <w:rsid w:val="00176195"/>
    <w:rsid w:val="00176377"/>
    <w:rsid w:val="00176716"/>
    <w:rsid w:val="0017680D"/>
    <w:rsid w:val="001768BA"/>
    <w:rsid w:val="001769AB"/>
    <w:rsid w:val="00176BA6"/>
    <w:rsid w:val="00176C84"/>
    <w:rsid w:val="00177069"/>
    <w:rsid w:val="00177987"/>
    <w:rsid w:val="00177A89"/>
    <w:rsid w:val="00177B7E"/>
    <w:rsid w:val="00177BE4"/>
    <w:rsid w:val="00177F02"/>
    <w:rsid w:val="00177FF7"/>
    <w:rsid w:val="00180295"/>
    <w:rsid w:val="00180A95"/>
    <w:rsid w:val="00180C91"/>
    <w:rsid w:val="001810C7"/>
    <w:rsid w:val="001811A5"/>
    <w:rsid w:val="001813F2"/>
    <w:rsid w:val="001814EC"/>
    <w:rsid w:val="00181942"/>
    <w:rsid w:val="00181AB2"/>
    <w:rsid w:val="00181ADE"/>
    <w:rsid w:val="00181B0D"/>
    <w:rsid w:val="00181B39"/>
    <w:rsid w:val="001822C4"/>
    <w:rsid w:val="00182C18"/>
    <w:rsid w:val="00182D1F"/>
    <w:rsid w:val="00182ED0"/>
    <w:rsid w:val="0018308E"/>
    <w:rsid w:val="001832D4"/>
    <w:rsid w:val="0018337A"/>
    <w:rsid w:val="00183A45"/>
    <w:rsid w:val="00183B2F"/>
    <w:rsid w:val="00183B4B"/>
    <w:rsid w:val="00183B55"/>
    <w:rsid w:val="00183E4D"/>
    <w:rsid w:val="00183FF4"/>
    <w:rsid w:val="00184148"/>
    <w:rsid w:val="0018480C"/>
    <w:rsid w:val="001850C0"/>
    <w:rsid w:val="001850C6"/>
    <w:rsid w:val="00185497"/>
    <w:rsid w:val="00185A14"/>
    <w:rsid w:val="00185AAE"/>
    <w:rsid w:val="00185C33"/>
    <w:rsid w:val="00185DC1"/>
    <w:rsid w:val="00185E19"/>
    <w:rsid w:val="00186246"/>
    <w:rsid w:val="001863BE"/>
    <w:rsid w:val="00186534"/>
    <w:rsid w:val="001866BF"/>
    <w:rsid w:val="0018690B"/>
    <w:rsid w:val="00186A92"/>
    <w:rsid w:val="00186AA4"/>
    <w:rsid w:val="00186C9F"/>
    <w:rsid w:val="00187020"/>
    <w:rsid w:val="001870D1"/>
    <w:rsid w:val="0018773D"/>
    <w:rsid w:val="001877E8"/>
    <w:rsid w:val="0018789A"/>
    <w:rsid w:val="00187CA6"/>
    <w:rsid w:val="00187CF5"/>
    <w:rsid w:val="001904EA"/>
    <w:rsid w:val="00190510"/>
    <w:rsid w:val="0019059F"/>
    <w:rsid w:val="00190D6F"/>
    <w:rsid w:val="00190E47"/>
    <w:rsid w:val="00190E57"/>
    <w:rsid w:val="001914AF"/>
    <w:rsid w:val="00191577"/>
    <w:rsid w:val="0019204F"/>
    <w:rsid w:val="00192373"/>
    <w:rsid w:val="001925B9"/>
    <w:rsid w:val="001926D6"/>
    <w:rsid w:val="00192AA4"/>
    <w:rsid w:val="00192B76"/>
    <w:rsid w:val="00192CC3"/>
    <w:rsid w:val="00192F46"/>
    <w:rsid w:val="00192FB6"/>
    <w:rsid w:val="001930AF"/>
    <w:rsid w:val="001932BF"/>
    <w:rsid w:val="00193751"/>
    <w:rsid w:val="001937F6"/>
    <w:rsid w:val="001937FC"/>
    <w:rsid w:val="00193AB1"/>
    <w:rsid w:val="00193B87"/>
    <w:rsid w:val="00193CE5"/>
    <w:rsid w:val="00193DE2"/>
    <w:rsid w:val="00193E3B"/>
    <w:rsid w:val="00193E84"/>
    <w:rsid w:val="00193EC8"/>
    <w:rsid w:val="00194025"/>
    <w:rsid w:val="001941FC"/>
    <w:rsid w:val="001954FF"/>
    <w:rsid w:val="0019554C"/>
    <w:rsid w:val="00195840"/>
    <w:rsid w:val="0019589C"/>
    <w:rsid w:val="00195B96"/>
    <w:rsid w:val="00195BF9"/>
    <w:rsid w:val="00195CBC"/>
    <w:rsid w:val="0019624D"/>
    <w:rsid w:val="001963F1"/>
    <w:rsid w:val="00196816"/>
    <w:rsid w:val="00196EED"/>
    <w:rsid w:val="00196F63"/>
    <w:rsid w:val="00196FCD"/>
    <w:rsid w:val="00196FD6"/>
    <w:rsid w:val="00197098"/>
    <w:rsid w:val="0019777A"/>
    <w:rsid w:val="001977C9"/>
    <w:rsid w:val="001A0148"/>
    <w:rsid w:val="001A0EEA"/>
    <w:rsid w:val="001A114A"/>
    <w:rsid w:val="001A1153"/>
    <w:rsid w:val="001A12A4"/>
    <w:rsid w:val="001A1623"/>
    <w:rsid w:val="001A1860"/>
    <w:rsid w:val="001A1BDB"/>
    <w:rsid w:val="001A1C91"/>
    <w:rsid w:val="001A1E0A"/>
    <w:rsid w:val="001A220F"/>
    <w:rsid w:val="001A27B7"/>
    <w:rsid w:val="001A281A"/>
    <w:rsid w:val="001A2836"/>
    <w:rsid w:val="001A2CC1"/>
    <w:rsid w:val="001A2E8E"/>
    <w:rsid w:val="001A3113"/>
    <w:rsid w:val="001A31BB"/>
    <w:rsid w:val="001A3319"/>
    <w:rsid w:val="001A361C"/>
    <w:rsid w:val="001A41E3"/>
    <w:rsid w:val="001A43AC"/>
    <w:rsid w:val="001A4B24"/>
    <w:rsid w:val="001A4BD8"/>
    <w:rsid w:val="001A4D96"/>
    <w:rsid w:val="001A4FAC"/>
    <w:rsid w:val="001A589C"/>
    <w:rsid w:val="001A5972"/>
    <w:rsid w:val="001A59BF"/>
    <w:rsid w:val="001A5C3F"/>
    <w:rsid w:val="001A5EF8"/>
    <w:rsid w:val="001A652C"/>
    <w:rsid w:val="001A6B50"/>
    <w:rsid w:val="001A6B5E"/>
    <w:rsid w:val="001A6B84"/>
    <w:rsid w:val="001A6C1A"/>
    <w:rsid w:val="001A73C9"/>
    <w:rsid w:val="001B0D83"/>
    <w:rsid w:val="001B0F0B"/>
    <w:rsid w:val="001B1650"/>
    <w:rsid w:val="001B1B70"/>
    <w:rsid w:val="001B2063"/>
    <w:rsid w:val="001B2430"/>
    <w:rsid w:val="001B25E1"/>
    <w:rsid w:val="001B25F4"/>
    <w:rsid w:val="001B279B"/>
    <w:rsid w:val="001B2A0B"/>
    <w:rsid w:val="001B2A7E"/>
    <w:rsid w:val="001B33AE"/>
    <w:rsid w:val="001B35B1"/>
    <w:rsid w:val="001B361B"/>
    <w:rsid w:val="001B3A2C"/>
    <w:rsid w:val="001B3A9D"/>
    <w:rsid w:val="001B3D0D"/>
    <w:rsid w:val="001B45BF"/>
    <w:rsid w:val="001B49CC"/>
    <w:rsid w:val="001B4CC7"/>
    <w:rsid w:val="001B4DDE"/>
    <w:rsid w:val="001B4E96"/>
    <w:rsid w:val="001B51C9"/>
    <w:rsid w:val="001B576E"/>
    <w:rsid w:val="001B57EA"/>
    <w:rsid w:val="001B5EDE"/>
    <w:rsid w:val="001B600A"/>
    <w:rsid w:val="001B601D"/>
    <w:rsid w:val="001B60A6"/>
    <w:rsid w:val="001B67AD"/>
    <w:rsid w:val="001B6A91"/>
    <w:rsid w:val="001B6D1F"/>
    <w:rsid w:val="001B7309"/>
    <w:rsid w:val="001B7522"/>
    <w:rsid w:val="001B791D"/>
    <w:rsid w:val="001B7947"/>
    <w:rsid w:val="001B79C4"/>
    <w:rsid w:val="001B7D51"/>
    <w:rsid w:val="001C011D"/>
    <w:rsid w:val="001C0441"/>
    <w:rsid w:val="001C0511"/>
    <w:rsid w:val="001C0761"/>
    <w:rsid w:val="001C0CEF"/>
    <w:rsid w:val="001C0F86"/>
    <w:rsid w:val="001C1129"/>
    <w:rsid w:val="001C192E"/>
    <w:rsid w:val="001C197E"/>
    <w:rsid w:val="001C1A17"/>
    <w:rsid w:val="001C1BF1"/>
    <w:rsid w:val="001C27AF"/>
    <w:rsid w:val="001C2957"/>
    <w:rsid w:val="001C2D9A"/>
    <w:rsid w:val="001C2E1E"/>
    <w:rsid w:val="001C3068"/>
    <w:rsid w:val="001C3249"/>
    <w:rsid w:val="001C34EB"/>
    <w:rsid w:val="001C360E"/>
    <w:rsid w:val="001C36D0"/>
    <w:rsid w:val="001C3A68"/>
    <w:rsid w:val="001C3C5F"/>
    <w:rsid w:val="001C3E29"/>
    <w:rsid w:val="001C42E3"/>
    <w:rsid w:val="001C464C"/>
    <w:rsid w:val="001C4872"/>
    <w:rsid w:val="001C4A9A"/>
    <w:rsid w:val="001C4E5C"/>
    <w:rsid w:val="001C4FDD"/>
    <w:rsid w:val="001C58AF"/>
    <w:rsid w:val="001C62B6"/>
    <w:rsid w:val="001C645C"/>
    <w:rsid w:val="001C68C7"/>
    <w:rsid w:val="001C69A9"/>
    <w:rsid w:val="001C69AC"/>
    <w:rsid w:val="001C6A22"/>
    <w:rsid w:val="001C6D80"/>
    <w:rsid w:val="001C6E82"/>
    <w:rsid w:val="001C6EC8"/>
    <w:rsid w:val="001C75A6"/>
    <w:rsid w:val="001C7A0A"/>
    <w:rsid w:val="001C7B87"/>
    <w:rsid w:val="001D003A"/>
    <w:rsid w:val="001D0548"/>
    <w:rsid w:val="001D08EE"/>
    <w:rsid w:val="001D0E71"/>
    <w:rsid w:val="001D102B"/>
    <w:rsid w:val="001D152F"/>
    <w:rsid w:val="001D1546"/>
    <w:rsid w:val="001D169C"/>
    <w:rsid w:val="001D1AD6"/>
    <w:rsid w:val="001D1BF1"/>
    <w:rsid w:val="001D1CC7"/>
    <w:rsid w:val="001D1DDF"/>
    <w:rsid w:val="001D2001"/>
    <w:rsid w:val="001D2190"/>
    <w:rsid w:val="001D22EB"/>
    <w:rsid w:val="001D269C"/>
    <w:rsid w:val="001D3018"/>
    <w:rsid w:val="001D36BA"/>
    <w:rsid w:val="001D388C"/>
    <w:rsid w:val="001D396E"/>
    <w:rsid w:val="001D3A9B"/>
    <w:rsid w:val="001D3AA3"/>
    <w:rsid w:val="001D3EA1"/>
    <w:rsid w:val="001D48F3"/>
    <w:rsid w:val="001D4D06"/>
    <w:rsid w:val="001D5263"/>
    <w:rsid w:val="001D5380"/>
    <w:rsid w:val="001D53A0"/>
    <w:rsid w:val="001D565B"/>
    <w:rsid w:val="001D5676"/>
    <w:rsid w:val="001D5AA7"/>
    <w:rsid w:val="001D5C4C"/>
    <w:rsid w:val="001D60C9"/>
    <w:rsid w:val="001D62B4"/>
    <w:rsid w:val="001D6423"/>
    <w:rsid w:val="001D646C"/>
    <w:rsid w:val="001D6506"/>
    <w:rsid w:val="001D6BA0"/>
    <w:rsid w:val="001D6C21"/>
    <w:rsid w:val="001D778E"/>
    <w:rsid w:val="001D7A0B"/>
    <w:rsid w:val="001D7B16"/>
    <w:rsid w:val="001D7B2F"/>
    <w:rsid w:val="001D7CCE"/>
    <w:rsid w:val="001D7CD1"/>
    <w:rsid w:val="001D7D4A"/>
    <w:rsid w:val="001E009C"/>
    <w:rsid w:val="001E025C"/>
    <w:rsid w:val="001E0626"/>
    <w:rsid w:val="001E06B5"/>
    <w:rsid w:val="001E0C2D"/>
    <w:rsid w:val="001E0EA2"/>
    <w:rsid w:val="001E0EBE"/>
    <w:rsid w:val="001E10FA"/>
    <w:rsid w:val="001E170A"/>
    <w:rsid w:val="001E17C1"/>
    <w:rsid w:val="001E1860"/>
    <w:rsid w:val="001E1B6F"/>
    <w:rsid w:val="001E1E94"/>
    <w:rsid w:val="001E25DF"/>
    <w:rsid w:val="001E287C"/>
    <w:rsid w:val="001E28D2"/>
    <w:rsid w:val="001E2A5B"/>
    <w:rsid w:val="001E2AF7"/>
    <w:rsid w:val="001E2DFB"/>
    <w:rsid w:val="001E31DA"/>
    <w:rsid w:val="001E31F3"/>
    <w:rsid w:val="001E32B9"/>
    <w:rsid w:val="001E3578"/>
    <w:rsid w:val="001E3645"/>
    <w:rsid w:val="001E36E2"/>
    <w:rsid w:val="001E384A"/>
    <w:rsid w:val="001E3946"/>
    <w:rsid w:val="001E3963"/>
    <w:rsid w:val="001E3AA0"/>
    <w:rsid w:val="001E3CF1"/>
    <w:rsid w:val="001E4217"/>
    <w:rsid w:val="001E4486"/>
    <w:rsid w:val="001E4737"/>
    <w:rsid w:val="001E4BD6"/>
    <w:rsid w:val="001E4F09"/>
    <w:rsid w:val="001E4F8F"/>
    <w:rsid w:val="001E5397"/>
    <w:rsid w:val="001E54C8"/>
    <w:rsid w:val="001E55CD"/>
    <w:rsid w:val="001E5BF0"/>
    <w:rsid w:val="001E605C"/>
    <w:rsid w:val="001E65D9"/>
    <w:rsid w:val="001E66FC"/>
    <w:rsid w:val="001E6B07"/>
    <w:rsid w:val="001E6B99"/>
    <w:rsid w:val="001E6E76"/>
    <w:rsid w:val="001E705F"/>
    <w:rsid w:val="001E709D"/>
    <w:rsid w:val="001E71F5"/>
    <w:rsid w:val="001E738D"/>
    <w:rsid w:val="001E7F65"/>
    <w:rsid w:val="001F0041"/>
    <w:rsid w:val="001F0369"/>
    <w:rsid w:val="001F069E"/>
    <w:rsid w:val="001F0799"/>
    <w:rsid w:val="001F097B"/>
    <w:rsid w:val="001F0FDD"/>
    <w:rsid w:val="001F10F7"/>
    <w:rsid w:val="001F11D2"/>
    <w:rsid w:val="001F11EB"/>
    <w:rsid w:val="001F199A"/>
    <w:rsid w:val="001F1C68"/>
    <w:rsid w:val="001F1C78"/>
    <w:rsid w:val="001F2743"/>
    <w:rsid w:val="001F2819"/>
    <w:rsid w:val="001F289A"/>
    <w:rsid w:val="001F2BB8"/>
    <w:rsid w:val="001F2C96"/>
    <w:rsid w:val="001F301C"/>
    <w:rsid w:val="001F32A1"/>
    <w:rsid w:val="001F35DE"/>
    <w:rsid w:val="001F3ECF"/>
    <w:rsid w:val="001F40A7"/>
    <w:rsid w:val="001F44A0"/>
    <w:rsid w:val="001F45DD"/>
    <w:rsid w:val="001F461B"/>
    <w:rsid w:val="001F4FC7"/>
    <w:rsid w:val="001F5116"/>
    <w:rsid w:val="001F5434"/>
    <w:rsid w:val="001F5452"/>
    <w:rsid w:val="001F579B"/>
    <w:rsid w:val="001F5B33"/>
    <w:rsid w:val="001F5E47"/>
    <w:rsid w:val="001F61E5"/>
    <w:rsid w:val="001F622B"/>
    <w:rsid w:val="001F6789"/>
    <w:rsid w:val="001F686A"/>
    <w:rsid w:val="001F6CF7"/>
    <w:rsid w:val="001F6E99"/>
    <w:rsid w:val="001F7690"/>
    <w:rsid w:val="001F76F2"/>
    <w:rsid w:val="001F79B5"/>
    <w:rsid w:val="0020001C"/>
    <w:rsid w:val="0020018B"/>
    <w:rsid w:val="002002F1"/>
    <w:rsid w:val="00200315"/>
    <w:rsid w:val="002003A2"/>
    <w:rsid w:val="00200432"/>
    <w:rsid w:val="0020044D"/>
    <w:rsid w:val="0020064E"/>
    <w:rsid w:val="00200DE0"/>
    <w:rsid w:val="00201275"/>
    <w:rsid w:val="00201335"/>
    <w:rsid w:val="002016B4"/>
    <w:rsid w:val="002017E7"/>
    <w:rsid w:val="00201A06"/>
    <w:rsid w:val="0020219E"/>
    <w:rsid w:val="0020228D"/>
    <w:rsid w:val="002023A3"/>
    <w:rsid w:val="00202B51"/>
    <w:rsid w:val="0020344C"/>
    <w:rsid w:val="00203947"/>
    <w:rsid w:val="00203DD7"/>
    <w:rsid w:val="002047FB"/>
    <w:rsid w:val="00204B96"/>
    <w:rsid w:val="00205356"/>
    <w:rsid w:val="00205A91"/>
    <w:rsid w:val="00205AE2"/>
    <w:rsid w:val="00205E54"/>
    <w:rsid w:val="00205F47"/>
    <w:rsid w:val="002067B1"/>
    <w:rsid w:val="00206886"/>
    <w:rsid w:val="002068C1"/>
    <w:rsid w:val="00206C27"/>
    <w:rsid w:val="00207278"/>
    <w:rsid w:val="00207AAF"/>
    <w:rsid w:val="00207B1E"/>
    <w:rsid w:val="00207B7F"/>
    <w:rsid w:val="00207C1C"/>
    <w:rsid w:val="00210407"/>
    <w:rsid w:val="0021053E"/>
    <w:rsid w:val="002106B9"/>
    <w:rsid w:val="00210C5E"/>
    <w:rsid w:val="00210FF4"/>
    <w:rsid w:val="00211C7C"/>
    <w:rsid w:val="00211DCE"/>
    <w:rsid w:val="002120D8"/>
    <w:rsid w:val="00212330"/>
    <w:rsid w:val="0021273B"/>
    <w:rsid w:val="0021294E"/>
    <w:rsid w:val="00212D8E"/>
    <w:rsid w:val="00212E6A"/>
    <w:rsid w:val="00212EE0"/>
    <w:rsid w:val="00212EFC"/>
    <w:rsid w:val="0021311F"/>
    <w:rsid w:val="0021326D"/>
    <w:rsid w:val="00213374"/>
    <w:rsid w:val="002133C9"/>
    <w:rsid w:val="0021352C"/>
    <w:rsid w:val="0021376A"/>
    <w:rsid w:val="0021388F"/>
    <w:rsid w:val="00213B43"/>
    <w:rsid w:val="00213B66"/>
    <w:rsid w:val="00213CA2"/>
    <w:rsid w:val="00213EA5"/>
    <w:rsid w:val="00213ECD"/>
    <w:rsid w:val="00213EED"/>
    <w:rsid w:val="00213F76"/>
    <w:rsid w:val="002140A4"/>
    <w:rsid w:val="002145C8"/>
    <w:rsid w:val="00214C6A"/>
    <w:rsid w:val="00214F43"/>
    <w:rsid w:val="00214F7B"/>
    <w:rsid w:val="00214F89"/>
    <w:rsid w:val="00215010"/>
    <w:rsid w:val="00215618"/>
    <w:rsid w:val="00215807"/>
    <w:rsid w:val="00215CA3"/>
    <w:rsid w:val="00215DBC"/>
    <w:rsid w:val="002161EB"/>
    <w:rsid w:val="0021639E"/>
    <w:rsid w:val="002165BB"/>
    <w:rsid w:val="002168D5"/>
    <w:rsid w:val="00216A34"/>
    <w:rsid w:val="00216D21"/>
    <w:rsid w:val="00217A8E"/>
    <w:rsid w:val="00217B73"/>
    <w:rsid w:val="00220029"/>
    <w:rsid w:val="0022035F"/>
    <w:rsid w:val="00220A74"/>
    <w:rsid w:val="00220CBB"/>
    <w:rsid w:val="0022114B"/>
    <w:rsid w:val="00221154"/>
    <w:rsid w:val="002217FB"/>
    <w:rsid w:val="002219B8"/>
    <w:rsid w:val="00221D97"/>
    <w:rsid w:val="002221F6"/>
    <w:rsid w:val="00222419"/>
    <w:rsid w:val="0022247B"/>
    <w:rsid w:val="00222570"/>
    <w:rsid w:val="002226F6"/>
    <w:rsid w:val="002228C4"/>
    <w:rsid w:val="00222944"/>
    <w:rsid w:val="00222A28"/>
    <w:rsid w:val="00222E51"/>
    <w:rsid w:val="0022318A"/>
    <w:rsid w:val="002232D7"/>
    <w:rsid w:val="00223476"/>
    <w:rsid w:val="0022359D"/>
    <w:rsid w:val="00223824"/>
    <w:rsid w:val="00223880"/>
    <w:rsid w:val="002239E3"/>
    <w:rsid w:val="00223CAC"/>
    <w:rsid w:val="002243D3"/>
    <w:rsid w:val="002245F8"/>
    <w:rsid w:val="00224E39"/>
    <w:rsid w:val="002251C3"/>
    <w:rsid w:val="0022525A"/>
    <w:rsid w:val="002258A0"/>
    <w:rsid w:val="00225947"/>
    <w:rsid w:val="00225B70"/>
    <w:rsid w:val="00225FEC"/>
    <w:rsid w:val="00226063"/>
    <w:rsid w:val="00226179"/>
    <w:rsid w:val="002264CB"/>
    <w:rsid w:val="0022659F"/>
    <w:rsid w:val="002265DA"/>
    <w:rsid w:val="0022719F"/>
    <w:rsid w:val="0022768B"/>
    <w:rsid w:val="00227788"/>
    <w:rsid w:val="00227CE6"/>
    <w:rsid w:val="00227DC8"/>
    <w:rsid w:val="0023007B"/>
    <w:rsid w:val="0023020D"/>
    <w:rsid w:val="0023050C"/>
    <w:rsid w:val="002305D6"/>
    <w:rsid w:val="002305E3"/>
    <w:rsid w:val="00230718"/>
    <w:rsid w:val="00230999"/>
    <w:rsid w:val="002309D7"/>
    <w:rsid w:val="002311D2"/>
    <w:rsid w:val="00231320"/>
    <w:rsid w:val="0023168C"/>
    <w:rsid w:val="00231B9E"/>
    <w:rsid w:val="0023205F"/>
    <w:rsid w:val="0023225E"/>
    <w:rsid w:val="002323FB"/>
    <w:rsid w:val="00232471"/>
    <w:rsid w:val="002324F9"/>
    <w:rsid w:val="00232586"/>
    <w:rsid w:val="00232730"/>
    <w:rsid w:val="002327BE"/>
    <w:rsid w:val="0023297A"/>
    <w:rsid w:val="00232C74"/>
    <w:rsid w:val="00233065"/>
    <w:rsid w:val="002338F0"/>
    <w:rsid w:val="002339E3"/>
    <w:rsid w:val="00233ADB"/>
    <w:rsid w:val="002345B1"/>
    <w:rsid w:val="002349F9"/>
    <w:rsid w:val="00234D1D"/>
    <w:rsid w:val="00234D9B"/>
    <w:rsid w:val="0023506B"/>
    <w:rsid w:val="00235D9E"/>
    <w:rsid w:val="00235ECB"/>
    <w:rsid w:val="0023643C"/>
    <w:rsid w:val="002368EB"/>
    <w:rsid w:val="00236A7B"/>
    <w:rsid w:val="00236B1B"/>
    <w:rsid w:val="00236D01"/>
    <w:rsid w:val="00236D26"/>
    <w:rsid w:val="002371C0"/>
    <w:rsid w:val="00237F7A"/>
    <w:rsid w:val="00240168"/>
    <w:rsid w:val="0024027B"/>
    <w:rsid w:val="002407F1"/>
    <w:rsid w:val="00240D9D"/>
    <w:rsid w:val="00240E92"/>
    <w:rsid w:val="00241004"/>
    <w:rsid w:val="00241979"/>
    <w:rsid w:val="00241A8C"/>
    <w:rsid w:val="00241E85"/>
    <w:rsid w:val="002422FA"/>
    <w:rsid w:val="002425EC"/>
    <w:rsid w:val="00242920"/>
    <w:rsid w:val="002429F4"/>
    <w:rsid w:val="00242BED"/>
    <w:rsid w:val="00242D36"/>
    <w:rsid w:val="00242F8E"/>
    <w:rsid w:val="00242FE6"/>
    <w:rsid w:val="00243503"/>
    <w:rsid w:val="00243530"/>
    <w:rsid w:val="002436E9"/>
    <w:rsid w:val="0024380D"/>
    <w:rsid w:val="00243AC8"/>
    <w:rsid w:val="00243F03"/>
    <w:rsid w:val="002440A5"/>
    <w:rsid w:val="002440F8"/>
    <w:rsid w:val="00244533"/>
    <w:rsid w:val="00244875"/>
    <w:rsid w:val="002452F1"/>
    <w:rsid w:val="00245415"/>
    <w:rsid w:val="0024579F"/>
    <w:rsid w:val="00245CC6"/>
    <w:rsid w:val="002461B6"/>
    <w:rsid w:val="00246245"/>
    <w:rsid w:val="002465C9"/>
    <w:rsid w:val="00246647"/>
    <w:rsid w:val="00246818"/>
    <w:rsid w:val="00246BCE"/>
    <w:rsid w:val="00247551"/>
    <w:rsid w:val="00247672"/>
    <w:rsid w:val="00247F76"/>
    <w:rsid w:val="0025076A"/>
    <w:rsid w:val="002509F3"/>
    <w:rsid w:val="00250AD3"/>
    <w:rsid w:val="00250BA2"/>
    <w:rsid w:val="00250DE1"/>
    <w:rsid w:val="00250E0F"/>
    <w:rsid w:val="00251081"/>
    <w:rsid w:val="0025138F"/>
    <w:rsid w:val="00251C9D"/>
    <w:rsid w:val="00251E8F"/>
    <w:rsid w:val="00251E97"/>
    <w:rsid w:val="0025242F"/>
    <w:rsid w:val="002528E9"/>
    <w:rsid w:val="00252AEB"/>
    <w:rsid w:val="00252BAA"/>
    <w:rsid w:val="00252D88"/>
    <w:rsid w:val="00252E96"/>
    <w:rsid w:val="002530FF"/>
    <w:rsid w:val="00253384"/>
    <w:rsid w:val="0025353D"/>
    <w:rsid w:val="002535F4"/>
    <w:rsid w:val="002536E5"/>
    <w:rsid w:val="00253941"/>
    <w:rsid w:val="00253F56"/>
    <w:rsid w:val="002540C2"/>
    <w:rsid w:val="002540E4"/>
    <w:rsid w:val="00254906"/>
    <w:rsid w:val="00254D43"/>
    <w:rsid w:val="00255740"/>
    <w:rsid w:val="00255B28"/>
    <w:rsid w:val="00255C7C"/>
    <w:rsid w:val="00255F4E"/>
    <w:rsid w:val="00256C93"/>
    <w:rsid w:val="00256EC8"/>
    <w:rsid w:val="00257377"/>
    <w:rsid w:val="002579B5"/>
    <w:rsid w:val="00257A4F"/>
    <w:rsid w:val="00257B8F"/>
    <w:rsid w:val="00257F14"/>
    <w:rsid w:val="00260466"/>
    <w:rsid w:val="002604D1"/>
    <w:rsid w:val="002606A3"/>
    <w:rsid w:val="00260983"/>
    <w:rsid w:val="00260BDC"/>
    <w:rsid w:val="00260E40"/>
    <w:rsid w:val="002611B2"/>
    <w:rsid w:val="00261392"/>
    <w:rsid w:val="002615A7"/>
    <w:rsid w:val="00261CCC"/>
    <w:rsid w:val="00261E92"/>
    <w:rsid w:val="00262853"/>
    <w:rsid w:val="00262858"/>
    <w:rsid w:val="00262D6F"/>
    <w:rsid w:val="00262DBC"/>
    <w:rsid w:val="00262FC1"/>
    <w:rsid w:val="0026308E"/>
    <w:rsid w:val="0026326C"/>
    <w:rsid w:val="002639BB"/>
    <w:rsid w:val="002644DF"/>
    <w:rsid w:val="002644E5"/>
    <w:rsid w:val="002646F0"/>
    <w:rsid w:val="002648F6"/>
    <w:rsid w:val="00264CC5"/>
    <w:rsid w:val="00264E3C"/>
    <w:rsid w:val="00265552"/>
    <w:rsid w:val="002655A7"/>
    <w:rsid w:val="002656BE"/>
    <w:rsid w:val="00266480"/>
    <w:rsid w:val="0026653C"/>
    <w:rsid w:val="00266665"/>
    <w:rsid w:val="002666EA"/>
    <w:rsid w:val="00266B0C"/>
    <w:rsid w:val="00266BF3"/>
    <w:rsid w:val="002670EF"/>
    <w:rsid w:val="00267227"/>
    <w:rsid w:val="0026730F"/>
    <w:rsid w:val="002679CF"/>
    <w:rsid w:val="002700BB"/>
    <w:rsid w:val="002707B7"/>
    <w:rsid w:val="00270A82"/>
    <w:rsid w:val="002710B9"/>
    <w:rsid w:val="002711DC"/>
    <w:rsid w:val="002718FF"/>
    <w:rsid w:val="0027190B"/>
    <w:rsid w:val="00271AD3"/>
    <w:rsid w:val="00271AF4"/>
    <w:rsid w:val="00271E8A"/>
    <w:rsid w:val="002720B6"/>
    <w:rsid w:val="00272259"/>
    <w:rsid w:val="00272265"/>
    <w:rsid w:val="00272585"/>
    <w:rsid w:val="0027261C"/>
    <w:rsid w:val="00272E24"/>
    <w:rsid w:val="00273148"/>
    <w:rsid w:val="00273362"/>
    <w:rsid w:val="002735E7"/>
    <w:rsid w:val="00273978"/>
    <w:rsid w:val="00273AE5"/>
    <w:rsid w:val="00273B16"/>
    <w:rsid w:val="00273B9D"/>
    <w:rsid w:val="00273D00"/>
    <w:rsid w:val="00273F57"/>
    <w:rsid w:val="00274085"/>
    <w:rsid w:val="002740F9"/>
    <w:rsid w:val="00274733"/>
    <w:rsid w:val="00274756"/>
    <w:rsid w:val="00274872"/>
    <w:rsid w:val="00274895"/>
    <w:rsid w:val="00274924"/>
    <w:rsid w:val="00274B9F"/>
    <w:rsid w:val="00274CAF"/>
    <w:rsid w:val="00274F96"/>
    <w:rsid w:val="00275321"/>
    <w:rsid w:val="00275668"/>
    <w:rsid w:val="002757F4"/>
    <w:rsid w:val="00275DB8"/>
    <w:rsid w:val="00275DD6"/>
    <w:rsid w:val="00275F85"/>
    <w:rsid w:val="0027625C"/>
    <w:rsid w:val="0027645A"/>
    <w:rsid w:val="002767F8"/>
    <w:rsid w:val="00276CC7"/>
    <w:rsid w:val="00276D3C"/>
    <w:rsid w:val="00276D9F"/>
    <w:rsid w:val="002773E7"/>
    <w:rsid w:val="002774DC"/>
    <w:rsid w:val="002777FB"/>
    <w:rsid w:val="00277860"/>
    <w:rsid w:val="00277981"/>
    <w:rsid w:val="00277AF6"/>
    <w:rsid w:val="00277C7A"/>
    <w:rsid w:val="00277D37"/>
    <w:rsid w:val="00277DD8"/>
    <w:rsid w:val="0028036A"/>
    <w:rsid w:val="002806AF"/>
    <w:rsid w:val="00280826"/>
    <w:rsid w:val="00280A78"/>
    <w:rsid w:val="00280A91"/>
    <w:rsid w:val="00280CDB"/>
    <w:rsid w:val="00280E58"/>
    <w:rsid w:val="00281055"/>
    <w:rsid w:val="002812A5"/>
    <w:rsid w:val="00281582"/>
    <w:rsid w:val="00281729"/>
    <w:rsid w:val="00281742"/>
    <w:rsid w:val="00281909"/>
    <w:rsid w:val="00281C5B"/>
    <w:rsid w:val="00281E42"/>
    <w:rsid w:val="00281EC2"/>
    <w:rsid w:val="00281F58"/>
    <w:rsid w:val="002826E9"/>
    <w:rsid w:val="0028281C"/>
    <w:rsid w:val="00282C31"/>
    <w:rsid w:val="00282D87"/>
    <w:rsid w:val="00282FF8"/>
    <w:rsid w:val="00283046"/>
    <w:rsid w:val="002832EB"/>
    <w:rsid w:val="00283644"/>
    <w:rsid w:val="00283701"/>
    <w:rsid w:val="002838D5"/>
    <w:rsid w:val="00283A3A"/>
    <w:rsid w:val="002845AC"/>
    <w:rsid w:val="002845D9"/>
    <w:rsid w:val="00284FDB"/>
    <w:rsid w:val="00285279"/>
    <w:rsid w:val="002854DF"/>
    <w:rsid w:val="0028571D"/>
    <w:rsid w:val="00285BAA"/>
    <w:rsid w:val="00286135"/>
    <w:rsid w:val="0028613C"/>
    <w:rsid w:val="00286481"/>
    <w:rsid w:val="0028652F"/>
    <w:rsid w:val="0028655C"/>
    <w:rsid w:val="00286BFF"/>
    <w:rsid w:val="00286D2F"/>
    <w:rsid w:val="0028710E"/>
    <w:rsid w:val="002872C9"/>
    <w:rsid w:val="0028743B"/>
    <w:rsid w:val="00287626"/>
    <w:rsid w:val="00287657"/>
    <w:rsid w:val="00287691"/>
    <w:rsid w:val="0029014A"/>
    <w:rsid w:val="002902F6"/>
    <w:rsid w:val="002905B3"/>
    <w:rsid w:val="00290ADF"/>
    <w:rsid w:val="00290ECA"/>
    <w:rsid w:val="00291322"/>
    <w:rsid w:val="00291400"/>
    <w:rsid w:val="002915CD"/>
    <w:rsid w:val="002915EA"/>
    <w:rsid w:val="00292039"/>
    <w:rsid w:val="0029235B"/>
    <w:rsid w:val="00292470"/>
    <w:rsid w:val="00292494"/>
    <w:rsid w:val="002925AF"/>
    <w:rsid w:val="00292832"/>
    <w:rsid w:val="002929B8"/>
    <w:rsid w:val="00292D2C"/>
    <w:rsid w:val="00293155"/>
    <w:rsid w:val="00293266"/>
    <w:rsid w:val="00293364"/>
    <w:rsid w:val="002933D5"/>
    <w:rsid w:val="002939E7"/>
    <w:rsid w:val="00293DC0"/>
    <w:rsid w:val="00293FDA"/>
    <w:rsid w:val="00294042"/>
    <w:rsid w:val="0029507C"/>
    <w:rsid w:val="002950E0"/>
    <w:rsid w:val="00295460"/>
    <w:rsid w:val="00295A41"/>
    <w:rsid w:val="00295A7F"/>
    <w:rsid w:val="00295D1E"/>
    <w:rsid w:val="00295D83"/>
    <w:rsid w:val="002960E5"/>
    <w:rsid w:val="002964E2"/>
    <w:rsid w:val="002968E0"/>
    <w:rsid w:val="00296CD6"/>
    <w:rsid w:val="0029707C"/>
    <w:rsid w:val="002971EA"/>
    <w:rsid w:val="002976AF"/>
    <w:rsid w:val="0029778F"/>
    <w:rsid w:val="002977F8"/>
    <w:rsid w:val="00297E4B"/>
    <w:rsid w:val="00297E60"/>
    <w:rsid w:val="00297EB7"/>
    <w:rsid w:val="00297F9F"/>
    <w:rsid w:val="002A01B1"/>
    <w:rsid w:val="002A01F3"/>
    <w:rsid w:val="002A0439"/>
    <w:rsid w:val="002A0700"/>
    <w:rsid w:val="002A0A46"/>
    <w:rsid w:val="002A0AEB"/>
    <w:rsid w:val="002A0B78"/>
    <w:rsid w:val="002A0C24"/>
    <w:rsid w:val="002A0C34"/>
    <w:rsid w:val="002A106A"/>
    <w:rsid w:val="002A1741"/>
    <w:rsid w:val="002A1CFA"/>
    <w:rsid w:val="002A1D74"/>
    <w:rsid w:val="002A20D6"/>
    <w:rsid w:val="002A215C"/>
    <w:rsid w:val="002A2247"/>
    <w:rsid w:val="002A256F"/>
    <w:rsid w:val="002A28D4"/>
    <w:rsid w:val="002A2B94"/>
    <w:rsid w:val="002A2D19"/>
    <w:rsid w:val="002A2FE7"/>
    <w:rsid w:val="002A301C"/>
    <w:rsid w:val="002A3293"/>
    <w:rsid w:val="002A34E6"/>
    <w:rsid w:val="002A38D0"/>
    <w:rsid w:val="002A39FE"/>
    <w:rsid w:val="002A3C59"/>
    <w:rsid w:val="002A3F5D"/>
    <w:rsid w:val="002A40E2"/>
    <w:rsid w:val="002A4216"/>
    <w:rsid w:val="002A4415"/>
    <w:rsid w:val="002A54D3"/>
    <w:rsid w:val="002A5E75"/>
    <w:rsid w:val="002A5EB6"/>
    <w:rsid w:val="002A5EED"/>
    <w:rsid w:val="002A5F93"/>
    <w:rsid w:val="002A613A"/>
    <w:rsid w:val="002A61DA"/>
    <w:rsid w:val="002A63EB"/>
    <w:rsid w:val="002A69BC"/>
    <w:rsid w:val="002A6A68"/>
    <w:rsid w:val="002A6B8E"/>
    <w:rsid w:val="002A6D11"/>
    <w:rsid w:val="002A7385"/>
    <w:rsid w:val="002A745F"/>
    <w:rsid w:val="002A75B6"/>
    <w:rsid w:val="002A7917"/>
    <w:rsid w:val="002A7B09"/>
    <w:rsid w:val="002B0089"/>
    <w:rsid w:val="002B010C"/>
    <w:rsid w:val="002B01FE"/>
    <w:rsid w:val="002B0221"/>
    <w:rsid w:val="002B076C"/>
    <w:rsid w:val="002B0853"/>
    <w:rsid w:val="002B0AFB"/>
    <w:rsid w:val="002B0BD1"/>
    <w:rsid w:val="002B0D4F"/>
    <w:rsid w:val="002B0DA4"/>
    <w:rsid w:val="002B0EBA"/>
    <w:rsid w:val="002B0EF3"/>
    <w:rsid w:val="002B0F0C"/>
    <w:rsid w:val="002B15E2"/>
    <w:rsid w:val="002B1FD7"/>
    <w:rsid w:val="002B28C0"/>
    <w:rsid w:val="002B2963"/>
    <w:rsid w:val="002B2C5A"/>
    <w:rsid w:val="002B2CF4"/>
    <w:rsid w:val="002B2EF6"/>
    <w:rsid w:val="002B2FEE"/>
    <w:rsid w:val="002B33ED"/>
    <w:rsid w:val="002B3676"/>
    <w:rsid w:val="002B36A9"/>
    <w:rsid w:val="002B387B"/>
    <w:rsid w:val="002B3A81"/>
    <w:rsid w:val="002B3C11"/>
    <w:rsid w:val="002B3E0E"/>
    <w:rsid w:val="002B3ED4"/>
    <w:rsid w:val="002B4537"/>
    <w:rsid w:val="002B45D0"/>
    <w:rsid w:val="002B4618"/>
    <w:rsid w:val="002B476D"/>
    <w:rsid w:val="002B481D"/>
    <w:rsid w:val="002B4B9C"/>
    <w:rsid w:val="002B5288"/>
    <w:rsid w:val="002B54BA"/>
    <w:rsid w:val="002B5684"/>
    <w:rsid w:val="002B56F7"/>
    <w:rsid w:val="002B6198"/>
    <w:rsid w:val="002B63F5"/>
    <w:rsid w:val="002B644D"/>
    <w:rsid w:val="002B6500"/>
    <w:rsid w:val="002B6AA1"/>
    <w:rsid w:val="002B6AF7"/>
    <w:rsid w:val="002B6D8D"/>
    <w:rsid w:val="002B6EC6"/>
    <w:rsid w:val="002B7219"/>
    <w:rsid w:val="002B786E"/>
    <w:rsid w:val="002B78E3"/>
    <w:rsid w:val="002B791F"/>
    <w:rsid w:val="002B7F07"/>
    <w:rsid w:val="002C04D4"/>
    <w:rsid w:val="002C04E2"/>
    <w:rsid w:val="002C0564"/>
    <w:rsid w:val="002C0825"/>
    <w:rsid w:val="002C086E"/>
    <w:rsid w:val="002C0A64"/>
    <w:rsid w:val="002C148E"/>
    <w:rsid w:val="002C14E9"/>
    <w:rsid w:val="002C179B"/>
    <w:rsid w:val="002C1AC2"/>
    <w:rsid w:val="002C2175"/>
    <w:rsid w:val="002C21ED"/>
    <w:rsid w:val="002C222A"/>
    <w:rsid w:val="002C2CC5"/>
    <w:rsid w:val="002C2CCE"/>
    <w:rsid w:val="002C2E7B"/>
    <w:rsid w:val="002C2EC9"/>
    <w:rsid w:val="002C2FFB"/>
    <w:rsid w:val="002C304E"/>
    <w:rsid w:val="002C3156"/>
    <w:rsid w:val="002C31D6"/>
    <w:rsid w:val="002C378A"/>
    <w:rsid w:val="002C3CC5"/>
    <w:rsid w:val="002C40F8"/>
    <w:rsid w:val="002C4198"/>
    <w:rsid w:val="002C42C9"/>
    <w:rsid w:val="002C42E8"/>
    <w:rsid w:val="002C4AAA"/>
    <w:rsid w:val="002C4FE0"/>
    <w:rsid w:val="002C53C8"/>
    <w:rsid w:val="002C5B95"/>
    <w:rsid w:val="002C5DD4"/>
    <w:rsid w:val="002C5FD8"/>
    <w:rsid w:val="002C5FF4"/>
    <w:rsid w:val="002C659B"/>
    <w:rsid w:val="002C65A2"/>
    <w:rsid w:val="002C6936"/>
    <w:rsid w:val="002C6AAC"/>
    <w:rsid w:val="002C6AEC"/>
    <w:rsid w:val="002C6C2D"/>
    <w:rsid w:val="002C6E73"/>
    <w:rsid w:val="002C706C"/>
    <w:rsid w:val="002C719E"/>
    <w:rsid w:val="002C741B"/>
    <w:rsid w:val="002C774A"/>
    <w:rsid w:val="002C7D52"/>
    <w:rsid w:val="002C7EC0"/>
    <w:rsid w:val="002D0203"/>
    <w:rsid w:val="002D0490"/>
    <w:rsid w:val="002D0575"/>
    <w:rsid w:val="002D0ABC"/>
    <w:rsid w:val="002D0DA8"/>
    <w:rsid w:val="002D1230"/>
    <w:rsid w:val="002D180F"/>
    <w:rsid w:val="002D1B59"/>
    <w:rsid w:val="002D1EA5"/>
    <w:rsid w:val="002D207C"/>
    <w:rsid w:val="002D2081"/>
    <w:rsid w:val="002D20AF"/>
    <w:rsid w:val="002D2319"/>
    <w:rsid w:val="002D271D"/>
    <w:rsid w:val="002D2760"/>
    <w:rsid w:val="002D2A70"/>
    <w:rsid w:val="002D2CF7"/>
    <w:rsid w:val="002D3661"/>
    <w:rsid w:val="002D395E"/>
    <w:rsid w:val="002D3966"/>
    <w:rsid w:val="002D3EFB"/>
    <w:rsid w:val="002D40D3"/>
    <w:rsid w:val="002D4230"/>
    <w:rsid w:val="002D44DB"/>
    <w:rsid w:val="002D4919"/>
    <w:rsid w:val="002D4C65"/>
    <w:rsid w:val="002D4DBB"/>
    <w:rsid w:val="002D5173"/>
    <w:rsid w:val="002D557B"/>
    <w:rsid w:val="002D56C9"/>
    <w:rsid w:val="002D574F"/>
    <w:rsid w:val="002D5AD1"/>
    <w:rsid w:val="002D5BD9"/>
    <w:rsid w:val="002D5C43"/>
    <w:rsid w:val="002D5C5E"/>
    <w:rsid w:val="002D63F8"/>
    <w:rsid w:val="002D645F"/>
    <w:rsid w:val="002D654D"/>
    <w:rsid w:val="002D6DF1"/>
    <w:rsid w:val="002D7722"/>
    <w:rsid w:val="002D7924"/>
    <w:rsid w:val="002D7A50"/>
    <w:rsid w:val="002E0050"/>
    <w:rsid w:val="002E0526"/>
    <w:rsid w:val="002E0C15"/>
    <w:rsid w:val="002E1B26"/>
    <w:rsid w:val="002E253F"/>
    <w:rsid w:val="002E255D"/>
    <w:rsid w:val="002E266A"/>
    <w:rsid w:val="002E27E7"/>
    <w:rsid w:val="002E2D50"/>
    <w:rsid w:val="002E2D57"/>
    <w:rsid w:val="002E2E09"/>
    <w:rsid w:val="002E3709"/>
    <w:rsid w:val="002E396A"/>
    <w:rsid w:val="002E3A74"/>
    <w:rsid w:val="002E3B0C"/>
    <w:rsid w:val="002E3E7C"/>
    <w:rsid w:val="002E3F3C"/>
    <w:rsid w:val="002E3FAD"/>
    <w:rsid w:val="002E4562"/>
    <w:rsid w:val="002E4C40"/>
    <w:rsid w:val="002E4D55"/>
    <w:rsid w:val="002E50C5"/>
    <w:rsid w:val="002E5108"/>
    <w:rsid w:val="002E5149"/>
    <w:rsid w:val="002E5304"/>
    <w:rsid w:val="002E54C6"/>
    <w:rsid w:val="002E55D1"/>
    <w:rsid w:val="002E5632"/>
    <w:rsid w:val="002E56E1"/>
    <w:rsid w:val="002E594A"/>
    <w:rsid w:val="002E595C"/>
    <w:rsid w:val="002E59FC"/>
    <w:rsid w:val="002E5D5F"/>
    <w:rsid w:val="002E5F0C"/>
    <w:rsid w:val="002E646C"/>
    <w:rsid w:val="002E64A2"/>
    <w:rsid w:val="002E65AB"/>
    <w:rsid w:val="002E6B7F"/>
    <w:rsid w:val="002E6C89"/>
    <w:rsid w:val="002E6D72"/>
    <w:rsid w:val="002E72B0"/>
    <w:rsid w:val="002E74E2"/>
    <w:rsid w:val="002E75AA"/>
    <w:rsid w:val="002E7842"/>
    <w:rsid w:val="002E7A66"/>
    <w:rsid w:val="002E7ADD"/>
    <w:rsid w:val="002F07DE"/>
    <w:rsid w:val="002F0FE1"/>
    <w:rsid w:val="002F10F0"/>
    <w:rsid w:val="002F143D"/>
    <w:rsid w:val="002F1956"/>
    <w:rsid w:val="002F1C32"/>
    <w:rsid w:val="002F1C4F"/>
    <w:rsid w:val="002F1DB0"/>
    <w:rsid w:val="002F1EB7"/>
    <w:rsid w:val="002F2314"/>
    <w:rsid w:val="002F27A6"/>
    <w:rsid w:val="002F2838"/>
    <w:rsid w:val="002F334F"/>
    <w:rsid w:val="002F353C"/>
    <w:rsid w:val="002F3930"/>
    <w:rsid w:val="002F3D8D"/>
    <w:rsid w:val="002F3D91"/>
    <w:rsid w:val="002F417B"/>
    <w:rsid w:val="002F440B"/>
    <w:rsid w:val="002F44D3"/>
    <w:rsid w:val="002F46DA"/>
    <w:rsid w:val="002F47BB"/>
    <w:rsid w:val="002F47F1"/>
    <w:rsid w:val="002F4A37"/>
    <w:rsid w:val="002F50F0"/>
    <w:rsid w:val="002F5734"/>
    <w:rsid w:val="002F5782"/>
    <w:rsid w:val="002F5B62"/>
    <w:rsid w:val="002F5CAF"/>
    <w:rsid w:val="002F5F9B"/>
    <w:rsid w:val="002F64D0"/>
    <w:rsid w:val="002F6679"/>
    <w:rsid w:val="002F6788"/>
    <w:rsid w:val="002F68E5"/>
    <w:rsid w:val="002F73E2"/>
    <w:rsid w:val="002F7712"/>
    <w:rsid w:val="002F7A15"/>
    <w:rsid w:val="002F7AEA"/>
    <w:rsid w:val="002F7BCB"/>
    <w:rsid w:val="002F7C2E"/>
    <w:rsid w:val="003004ED"/>
    <w:rsid w:val="00300593"/>
    <w:rsid w:val="003006F8"/>
    <w:rsid w:val="00300C8E"/>
    <w:rsid w:val="00301094"/>
    <w:rsid w:val="003010E3"/>
    <w:rsid w:val="00301230"/>
    <w:rsid w:val="00301265"/>
    <w:rsid w:val="00301419"/>
    <w:rsid w:val="0030164F"/>
    <w:rsid w:val="00301987"/>
    <w:rsid w:val="00301A75"/>
    <w:rsid w:val="00302472"/>
    <w:rsid w:val="00302AEA"/>
    <w:rsid w:val="00302E30"/>
    <w:rsid w:val="00302F15"/>
    <w:rsid w:val="003030AB"/>
    <w:rsid w:val="00303D54"/>
    <w:rsid w:val="00303DC9"/>
    <w:rsid w:val="00303EBF"/>
    <w:rsid w:val="00303FA4"/>
    <w:rsid w:val="00304276"/>
    <w:rsid w:val="0030469D"/>
    <w:rsid w:val="003049CA"/>
    <w:rsid w:val="003053AF"/>
    <w:rsid w:val="00305473"/>
    <w:rsid w:val="0030557E"/>
    <w:rsid w:val="00305670"/>
    <w:rsid w:val="003057C8"/>
    <w:rsid w:val="003059BD"/>
    <w:rsid w:val="003059CE"/>
    <w:rsid w:val="00305AD3"/>
    <w:rsid w:val="00305BEF"/>
    <w:rsid w:val="003060DC"/>
    <w:rsid w:val="00306222"/>
    <w:rsid w:val="0030624A"/>
    <w:rsid w:val="003064DE"/>
    <w:rsid w:val="0030651C"/>
    <w:rsid w:val="003069A5"/>
    <w:rsid w:val="003069DD"/>
    <w:rsid w:val="00306C3C"/>
    <w:rsid w:val="00306CF3"/>
    <w:rsid w:val="00306F0F"/>
    <w:rsid w:val="00306F6C"/>
    <w:rsid w:val="003072EF"/>
    <w:rsid w:val="003073D3"/>
    <w:rsid w:val="0030790E"/>
    <w:rsid w:val="003079EF"/>
    <w:rsid w:val="00307FB9"/>
    <w:rsid w:val="00310008"/>
    <w:rsid w:val="0031021B"/>
    <w:rsid w:val="003104A6"/>
    <w:rsid w:val="00310642"/>
    <w:rsid w:val="00310876"/>
    <w:rsid w:val="00310A0B"/>
    <w:rsid w:val="00310ADE"/>
    <w:rsid w:val="00310F06"/>
    <w:rsid w:val="003112FE"/>
    <w:rsid w:val="003113DF"/>
    <w:rsid w:val="003115A5"/>
    <w:rsid w:val="00311FAA"/>
    <w:rsid w:val="003120C6"/>
    <w:rsid w:val="00312133"/>
    <w:rsid w:val="003122EE"/>
    <w:rsid w:val="003122F3"/>
    <w:rsid w:val="00312327"/>
    <w:rsid w:val="00312680"/>
    <w:rsid w:val="00312C9B"/>
    <w:rsid w:val="00312EDB"/>
    <w:rsid w:val="00312F81"/>
    <w:rsid w:val="0031303D"/>
    <w:rsid w:val="00313404"/>
    <w:rsid w:val="00313426"/>
    <w:rsid w:val="00313480"/>
    <w:rsid w:val="00313AAB"/>
    <w:rsid w:val="00313CD2"/>
    <w:rsid w:val="00313E18"/>
    <w:rsid w:val="00313F54"/>
    <w:rsid w:val="00314716"/>
    <w:rsid w:val="00314C45"/>
    <w:rsid w:val="00314C87"/>
    <w:rsid w:val="00314DA6"/>
    <w:rsid w:val="00314E9E"/>
    <w:rsid w:val="00315100"/>
    <w:rsid w:val="003155E0"/>
    <w:rsid w:val="00315674"/>
    <w:rsid w:val="00315A4C"/>
    <w:rsid w:val="00315AFA"/>
    <w:rsid w:val="00315C77"/>
    <w:rsid w:val="00315ED4"/>
    <w:rsid w:val="00315EEC"/>
    <w:rsid w:val="00315F37"/>
    <w:rsid w:val="00316033"/>
    <w:rsid w:val="00316596"/>
    <w:rsid w:val="003165DB"/>
    <w:rsid w:val="0031687B"/>
    <w:rsid w:val="00316A77"/>
    <w:rsid w:val="00316A8D"/>
    <w:rsid w:val="00316E3B"/>
    <w:rsid w:val="00316EEF"/>
    <w:rsid w:val="00316F4B"/>
    <w:rsid w:val="003174D9"/>
    <w:rsid w:val="00317535"/>
    <w:rsid w:val="00317898"/>
    <w:rsid w:val="00317C36"/>
    <w:rsid w:val="00317C57"/>
    <w:rsid w:val="00320025"/>
    <w:rsid w:val="003203A5"/>
    <w:rsid w:val="00320908"/>
    <w:rsid w:val="00320C25"/>
    <w:rsid w:val="00320CBA"/>
    <w:rsid w:val="00320F9A"/>
    <w:rsid w:val="00321025"/>
    <w:rsid w:val="0032145A"/>
    <w:rsid w:val="003215BC"/>
    <w:rsid w:val="003216E7"/>
    <w:rsid w:val="003219E1"/>
    <w:rsid w:val="00321C7A"/>
    <w:rsid w:val="0032213E"/>
    <w:rsid w:val="00322151"/>
    <w:rsid w:val="00322661"/>
    <w:rsid w:val="00322A9D"/>
    <w:rsid w:val="00323033"/>
    <w:rsid w:val="00323100"/>
    <w:rsid w:val="00323429"/>
    <w:rsid w:val="0032374D"/>
    <w:rsid w:val="00323901"/>
    <w:rsid w:val="00323AEB"/>
    <w:rsid w:val="00323BFA"/>
    <w:rsid w:val="00323D1A"/>
    <w:rsid w:val="00323D36"/>
    <w:rsid w:val="00324172"/>
    <w:rsid w:val="00324462"/>
    <w:rsid w:val="0032482D"/>
    <w:rsid w:val="0032483C"/>
    <w:rsid w:val="00324873"/>
    <w:rsid w:val="00324B66"/>
    <w:rsid w:val="00324D3A"/>
    <w:rsid w:val="00324EEC"/>
    <w:rsid w:val="00325A3A"/>
    <w:rsid w:val="0032618C"/>
    <w:rsid w:val="00326AD1"/>
    <w:rsid w:val="00326AFF"/>
    <w:rsid w:val="00326D00"/>
    <w:rsid w:val="003278CF"/>
    <w:rsid w:val="00327A7D"/>
    <w:rsid w:val="00327ABF"/>
    <w:rsid w:val="00327D55"/>
    <w:rsid w:val="00327DF4"/>
    <w:rsid w:val="00327F60"/>
    <w:rsid w:val="00330069"/>
    <w:rsid w:val="003308C8"/>
    <w:rsid w:val="00330C5F"/>
    <w:rsid w:val="00330EB8"/>
    <w:rsid w:val="003313E3"/>
    <w:rsid w:val="0033180A"/>
    <w:rsid w:val="00331C3A"/>
    <w:rsid w:val="00332049"/>
    <w:rsid w:val="003322CC"/>
    <w:rsid w:val="0033343E"/>
    <w:rsid w:val="003334FD"/>
    <w:rsid w:val="0033352A"/>
    <w:rsid w:val="00333D62"/>
    <w:rsid w:val="00333F0E"/>
    <w:rsid w:val="00334216"/>
    <w:rsid w:val="003346E0"/>
    <w:rsid w:val="003349E9"/>
    <w:rsid w:val="00334F21"/>
    <w:rsid w:val="00334F6B"/>
    <w:rsid w:val="0033520B"/>
    <w:rsid w:val="003352DB"/>
    <w:rsid w:val="00335ED1"/>
    <w:rsid w:val="0033648B"/>
    <w:rsid w:val="003369C1"/>
    <w:rsid w:val="00336A6A"/>
    <w:rsid w:val="00336B1A"/>
    <w:rsid w:val="00336BBD"/>
    <w:rsid w:val="00336F02"/>
    <w:rsid w:val="00336FDA"/>
    <w:rsid w:val="0033707D"/>
    <w:rsid w:val="00337118"/>
    <w:rsid w:val="00337193"/>
    <w:rsid w:val="00337205"/>
    <w:rsid w:val="0033744F"/>
    <w:rsid w:val="0033799C"/>
    <w:rsid w:val="00337A85"/>
    <w:rsid w:val="00337F75"/>
    <w:rsid w:val="00340563"/>
    <w:rsid w:val="003408F6"/>
    <w:rsid w:val="00340C6F"/>
    <w:rsid w:val="00341093"/>
    <w:rsid w:val="00341142"/>
    <w:rsid w:val="00341158"/>
    <w:rsid w:val="0034140E"/>
    <w:rsid w:val="00341568"/>
    <w:rsid w:val="0034179F"/>
    <w:rsid w:val="00341A6A"/>
    <w:rsid w:val="00341D5F"/>
    <w:rsid w:val="00341F37"/>
    <w:rsid w:val="00341FF3"/>
    <w:rsid w:val="00342101"/>
    <w:rsid w:val="0034225B"/>
    <w:rsid w:val="00342356"/>
    <w:rsid w:val="00342469"/>
    <w:rsid w:val="00342D5D"/>
    <w:rsid w:val="003430E6"/>
    <w:rsid w:val="003431DA"/>
    <w:rsid w:val="0034346F"/>
    <w:rsid w:val="0034368A"/>
    <w:rsid w:val="00343780"/>
    <w:rsid w:val="003439E6"/>
    <w:rsid w:val="00343F86"/>
    <w:rsid w:val="003446E3"/>
    <w:rsid w:val="00344B62"/>
    <w:rsid w:val="00344F04"/>
    <w:rsid w:val="0034519C"/>
    <w:rsid w:val="00345746"/>
    <w:rsid w:val="00345C95"/>
    <w:rsid w:val="0034667F"/>
    <w:rsid w:val="003467A2"/>
    <w:rsid w:val="00346ADC"/>
    <w:rsid w:val="00346B1F"/>
    <w:rsid w:val="00346EAF"/>
    <w:rsid w:val="00347D27"/>
    <w:rsid w:val="00347EC2"/>
    <w:rsid w:val="003503D2"/>
    <w:rsid w:val="00350586"/>
    <w:rsid w:val="00350763"/>
    <w:rsid w:val="00350912"/>
    <w:rsid w:val="00350D63"/>
    <w:rsid w:val="00350E2D"/>
    <w:rsid w:val="00350F4E"/>
    <w:rsid w:val="00350FD1"/>
    <w:rsid w:val="00351191"/>
    <w:rsid w:val="003519E4"/>
    <w:rsid w:val="00351CD8"/>
    <w:rsid w:val="00351FE9"/>
    <w:rsid w:val="00352170"/>
    <w:rsid w:val="00352213"/>
    <w:rsid w:val="003529C5"/>
    <w:rsid w:val="00352A30"/>
    <w:rsid w:val="00352B7D"/>
    <w:rsid w:val="00352EAD"/>
    <w:rsid w:val="00352F69"/>
    <w:rsid w:val="0035318D"/>
    <w:rsid w:val="0035329D"/>
    <w:rsid w:val="00353720"/>
    <w:rsid w:val="0035375B"/>
    <w:rsid w:val="00353864"/>
    <w:rsid w:val="00353AC5"/>
    <w:rsid w:val="00353AC6"/>
    <w:rsid w:val="00353CB7"/>
    <w:rsid w:val="0035405B"/>
    <w:rsid w:val="003540C2"/>
    <w:rsid w:val="003544BF"/>
    <w:rsid w:val="003545A5"/>
    <w:rsid w:val="003546C7"/>
    <w:rsid w:val="00354A70"/>
    <w:rsid w:val="00354FD0"/>
    <w:rsid w:val="00355417"/>
    <w:rsid w:val="003558F2"/>
    <w:rsid w:val="00356010"/>
    <w:rsid w:val="003560FC"/>
    <w:rsid w:val="0035619B"/>
    <w:rsid w:val="0035648C"/>
    <w:rsid w:val="003565A5"/>
    <w:rsid w:val="003569DE"/>
    <w:rsid w:val="00356B60"/>
    <w:rsid w:val="00356C10"/>
    <w:rsid w:val="00357276"/>
    <w:rsid w:val="003572B4"/>
    <w:rsid w:val="00357444"/>
    <w:rsid w:val="0036040E"/>
    <w:rsid w:val="0036073D"/>
    <w:rsid w:val="00360A50"/>
    <w:rsid w:val="00360AD5"/>
    <w:rsid w:val="00360CB1"/>
    <w:rsid w:val="00360D87"/>
    <w:rsid w:val="003613A1"/>
    <w:rsid w:val="003617A5"/>
    <w:rsid w:val="00361825"/>
    <w:rsid w:val="00362100"/>
    <w:rsid w:val="00362278"/>
    <w:rsid w:val="0036270A"/>
    <w:rsid w:val="0036270C"/>
    <w:rsid w:val="00362734"/>
    <w:rsid w:val="0036281D"/>
    <w:rsid w:val="0036290B"/>
    <w:rsid w:val="003629C7"/>
    <w:rsid w:val="00363100"/>
    <w:rsid w:val="00363452"/>
    <w:rsid w:val="00363589"/>
    <w:rsid w:val="00363B21"/>
    <w:rsid w:val="00363BDF"/>
    <w:rsid w:val="00363E87"/>
    <w:rsid w:val="00364024"/>
    <w:rsid w:val="00364233"/>
    <w:rsid w:val="00364640"/>
    <w:rsid w:val="00365279"/>
    <w:rsid w:val="003652EB"/>
    <w:rsid w:val="003654FD"/>
    <w:rsid w:val="00365CA3"/>
    <w:rsid w:val="00365D8D"/>
    <w:rsid w:val="00365D9B"/>
    <w:rsid w:val="00366514"/>
    <w:rsid w:val="003666B9"/>
    <w:rsid w:val="00366796"/>
    <w:rsid w:val="00366915"/>
    <w:rsid w:val="00366ACF"/>
    <w:rsid w:val="00366BD2"/>
    <w:rsid w:val="00366CE1"/>
    <w:rsid w:val="00366D47"/>
    <w:rsid w:val="003674B8"/>
    <w:rsid w:val="003675F2"/>
    <w:rsid w:val="00367879"/>
    <w:rsid w:val="00367A98"/>
    <w:rsid w:val="00367C92"/>
    <w:rsid w:val="00367CBD"/>
    <w:rsid w:val="00367F95"/>
    <w:rsid w:val="00370871"/>
    <w:rsid w:val="003708F1"/>
    <w:rsid w:val="00370C30"/>
    <w:rsid w:val="00370EDC"/>
    <w:rsid w:val="00370FF5"/>
    <w:rsid w:val="003711D3"/>
    <w:rsid w:val="003712E5"/>
    <w:rsid w:val="00371460"/>
    <w:rsid w:val="0037150F"/>
    <w:rsid w:val="00371959"/>
    <w:rsid w:val="00371A84"/>
    <w:rsid w:val="00371CD5"/>
    <w:rsid w:val="00372508"/>
    <w:rsid w:val="0037263D"/>
    <w:rsid w:val="00372898"/>
    <w:rsid w:val="00372D7E"/>
    <w:rsid w:val="00373051"/>
    <w:rsid w:val="003733A2"/>
    <w:rsid w:val="00373408"/>
    <w:rsid w:val="003738E6"/>
    <w:rsid w:val="00373C1F"/>
    <w:rsid w:val="00373E8E"/>
    <w:rsid w:val="00373F93"/>
    <w:rsid w:val="003740B3"/>
    <w:rsid w:val="00374541"/>
    <w:rsid w:val="003747D4"/>
    <w:rsid w:val="00374982"/>
    <w:rsid w:val="00374A5B"/>
    <w:rsid w:val="00374BB8"/>
    <w:rsid w:val="003756EE"/>
    <w:rsid w:val="00375869"/>
    <w:rsid w:val="00375A2D"/>
    <w:rsid w:val="00375AAB"/>
    <w:rsid w:val="00375C5E"/>
    <w:rsid w:val="00375EF7"/>
    <w:rsid w:val="00376648"/>
    <w:rsid w:val="0037666E"/>
    <w:rsid w:val="0037672B"/>
    <w:rsid w:val="00376B3C"/>
    <w:rsid w:val="00376BF1"/>
    <w:rsid w:val="00376BF6"/>
    <w:rsid w:val="00376C4C"/>
    <w:rsid w:val="00377334"/>
    <w:rsid w:val="0037738A"/>
    <w:rsid w:val="00377778"/>
    <w:rsid w:val="003778C9"/>
    <w:rsid w:val="00377CC2"/>
    <w:rsid w:val="00377E7C"/>
    <w:rsid w:val="00377EC5"/>
    <w:rsid w:val="00380473"/>
    <w:rsid w:val="003805A2"/>
    <w:rsid w:val="003806EF"/>
    <w:rsid w:val="00380733"/>
    <w:rsid w:val="00380B96"/>
    <w:rsid w:val="00380BC0"/>
    <w:rsid w:val="00381551"/>
    <w:rsid w:val="003816D7"/>
    <w:rsid w:val="0038179A"/>
    <w:rsid w:val="00381A02"/>
    <w:rsid w:val="00381BDD"/>
    <w:rsid w:val="00381F36"/>
    <w:rsid w:val="00382187"/>
    <w:rsid w:val="0038272D"/>
    <w:rsid w:val="00382BF8"/>
    <w:rsid w:val="00383041"/>
    <w:rsid w:val="003831B4"/>
    <w:rsid w:val="003840DD"/>
    <w:rsid w:val="003841A1"/>
    <w:rsid w:val="0038436D"/>
    <w:rsid w:val="00384427"/>
    <w:rsid w:val="0038469C"/>
    <w:rsid w:val="0038498E"/>
    <w:rsid w:val="00384F92"/>
    <w:rsid w:val="003854DB"/>
    <w:rsid w:val="00385558"/>
    <w:rsid w:val="0038576A"/>
    <w:rsid w:val="00385819"/>
    <w:rsid w:val="00385AB7"/>
    <w:rsid w:val="003860EE"/>
    <w:rsid w:val="00386EC8"/>
    <w:rsid w:val="00386F36"/>
    <w:rsid w:val="0038700D"/>
    <w:rsid w:val="00387391"/>
    <w:rsid w:val="003876B0"/>
    <w:rsid w:val="00387BC1"/>
    <w:rsid w:val="00390077"/>
    <w:rsid w:val="0039021F"/>
    <w:rsid w:val="00390222"/>
    <w:rsid w:val="00390528"/>
    <w:rsid w:val="00390555"/>
    <w:rsid w:val="003907FC"/>
    <w:rsid w:val="0039081B"/>
    <w:rsid w:val="0039098D"/>
    <w:rsid w:val="00390CA7"/>
    <w:rsid w:val="00390E49"/>
    <w:rsid w:val="0039157E"/>
    <w:rsid w:val="0039165C"/>
    <w:rsid w:val="00391C36"/>
    <w:rsid w:val="00391D4F"/>
    <w:rsid w:val="00391D64"/>
    <w:rsid w:val="00391EA8"/>
    <w:rsid w:val="00392060"/>
    <w:rsid w:val="00392140"/>
    <w:rsid w:val="0039322D"/>
    <w:rsid w:val="00393367"/>
    <w:rsid w:val="00393371"/>
    <w:rsid w:val="003938BD"/>
    <w:rsid w:val="00393B17"/>
    <w:rsid w:val="003948F3"/>
    <w:rsid w:val="00394D13"/>
    <w:rsid w:val="003954A0"/>
    <w:rsid w:val="00396366"/>
    <w:rsid w:val="003964BE"/>
    <w:rsid w:val="00396624"/>
    <w:rsid w:val="003967AC"/>
    <w:rsid w:val="003968D1"/>
    <w:rsid w:val="00396B7F"/>
    <w:rsid w:val="00396D67"/>
    <w:rsid w:val="0039725D"/>
    <w:rsid w:val="00397467"/>
    <w:rsid w:val="00397636"/>
    <w:rsid w:val="00397669"/>
    <w:rsid w:val="00397740"/>
    <w:rsid w:val="003A00F3"/>
    <w:rsid w:val="003A033C"/>
    <w:rsid w:val="003A0BA6"/>
    <w:rsid w:val="003A0CA5"/>
    <w:rsid w:val="003A0F28"/>
    <w:rsid w:val="003A12AD"/>
    <w:rsid w:val="003A1339"/>
    <w:rsid w:val="003A1538"/>
    <w:rsid w:val="003A1F33"/>
    <w:rsid w:val="003A21F5"/>
    <w:rsid w:val="003A22ED"/>
    <w:rsid w:val="003A263B"/>
    <w:rsid w:val="003A26F7"/>
    <w:rsid w:val="003A2B36"/>
    <w:rsid w:val="003A315E"/>
    <w:rsid w:val="003A3704"/>
    <w:rsid w:val="003A38AB"/>
    <w:rsid w:val="003A3D98"/>
    <w:rsid w:val="003A445A"/>
    <w:rsid w:val="003A4B01"/>
    <w:rsid w:val="003A4EF1"/>
    <w:rsid w:val="003A4FAB"/>
    <w:rsid w:val="003A50F6"/>
    <w:rsid w:val="003A53F4"/>
    <w:rsid w:val="003A54B0"/>
    <w:rsid w:val="003A5603"/>
    <w:rsid w:val="003A5657"/>
    <w:rsid w:val="003A5820"/>
    <w:rsid w:val="003A5868"/>
    <w:rsid w:val="003A5DDD"/>
    <w:rsid w:val="003A5FFD"/>
    <w:rsid w:val="003A62CB"/>
    <w:rsid w:val="003A63CF"/>
    <w:rsid w:val="003A6692"/>
    <w:rsid w:val="003A6937"/>
    <w:rsid w:val="003A6F23"/>
    <w:rsid w:val="003A73EF"/>
    <w:rsid w:val="003A74EA"/>
    <w:rsid w:val="003A75EE"/>
    <w:rsid w:val="003A7673"/>
    <w:rsid w:val="003A7C22"/>
    <w:rsid w:val="003A7C8F"/>
    <w:rsid w:val="003A7E35"/>
    <w:rsid w:val="003B0625"/>
    <w:rsid w:val="003B09AB"/>
    <w:rsid w:val="003B1A86"/>
    <w:rsid w:val="003B203D"/>
    <w:rsid w:val="003B20DA"/>
    <w:rsid w:val="003B29A8"/>
    <w:rsid w:val="003B3003"/>
    <w:rsid w:val="003B3267"/>
    <w:rsid w:val="003B36E5"/>
    <w:rsid w:val="003B3DE8"/>
    <w:rsid w:val="003B40C2"/>
    <w:rsid w:val="003B4101"/>
    <w:rsid w:val="003B4146"/>
    <w:rsid w:val="003B42A6"/>
    <w:rsid w:val="003B4332"/>
    <w:rsid w:val="003B4A5B"/>
    <w:rsid w:val="003B4B50"/>
    <w:rsid w:val="003B4B69"/>
    <w:rsid w:val="003B5131"/>
    <w:rsid w:val="003B54F0"/>
    <w:rsid w:val="003B552B"/>
    <w:rsid w:val="003B559E"/>
    <w:rsid w:val="003B572C"/>
    <w:rsid w:val="003B5731"/>
    <w:rsid w:val="003B5837"/>
    <w:rsid w:val="003B599D"/>
    <w:rsid w:val="003B5ABD"/>
    <w:rsid w:val="003B5AD6"/>
    <w:rsid w:val="003B5DF4"/>
    <w:rsid w:val="003B5F3E"/>
    <w:rsid w:val="003B5FA9"/>
    <w:rsid w:val="003B6124"/>
    <w:rsid w:val="003B6219"/>
    <w:rsid w:val="003B67E3"/>
    <w:rsid w:val="003B6D2E"/>
    <w:rsid w:val="003B714A"/>
    <w:rsid w:val="003B7759"/>
    <w:rsid w:val="003B776D"/>
    <w:rsid w:val="003B7CD6"/>
    <w:rsid w:val="003B7FCC"/>
    <w:rsid w:val="003C00CD"/>
    <w:rsid w:val="003C0C38"/>
    <w:rsid w:val="003C0CB9"/>
    <w:rsid w:val="003C0E23"/>
    <w:rsid w:val="003C1038"/>
    <w:rsid w:val="003C11EE"/>
    <w:rsid w:val="003C12E2"/>
    <w:rsid w:val="003C143C"/>
    <w:rsid w:val="003C188E"/>
    <w:rsid w:val="003C208D"/>
    <w:rsid w:val="003C2220"/>
    <w:rsid w:val="003C27F9"/>
    <w:rsid w:val="003C31E6"/>
    <w:rsid w:val="003C36F6"/>
    <w:rsid w:val="003C3A6B"/>
    <w:rsid w:val="003C40A7"/>
    <w:rsid w:val="003C431B"/>
    <w:rsid w:val="003C4B2C"/>
    <w:rsid w:val="003C4E43"/>
    <w:rsid w:val="003C4F76"/>
    <w:rsid w:val="003C5073"/>
    <w:rsid w:val="003C5130"/>
    <w:rsid w:val="003C5158"/>
    <w:rsid w:val="003C52F5"/>
    <w:rsid w:val="003C553E"/>
    <w:rsid w:val="003C5960"/>
    <w:rsid w:val="003C59BD"/>
    <w:rsid w:val="003C5A3C"/>
    <w:rsid w:val="003C5A92"/>
    <w:rsid w:val="003C5FB0"/>
    <w:rsid w:val="003C61BF"/>
    <w:rsid w:val="003C61C3"/>
    <w:rsid w:val="003C6276"/>
    <w:rsid w:val="003C6937"/>
    <w:rsid w:val="003C7350"/>
    <w:rsid w:val="003C7731"/>
    <w:rsid w:val="003C79ED"/>
    <w:rsid w:val="003C7A14"/>
    <w:rsid w:val="003C7A70"/>
    <w:rsid w:val="003C7B1D"/>
    <w:rsid w:val="003C7EF3"/>
    <w:rsid w:val="003D02AA"/>
    <w:rsid w:val="003D0724"/>
    <w:rsid w:val="003D07C2"/>
    <w:rsid w:val="003D0969"/>
    <w:rsid w:val="003D0DF5"/>
    <w:rsid w:val="003D0F14"/>
    <w:rsid w:val="003D0F5C"/>
    <w:rsid w:val="003D0FF4"/>
    <w:rsid w:val="003D1067"/>
    <w:rsid w:val="003D1B55"/>
    <w:rsid w:val="003D282F"/>
    <w:rsid w:val="003D2ABD"/>
    <w:rsid w:val="003D2DA1"/>
    <w:rsid w:val="003D3111"/>
    <w:rsid w:val="003D3263"/>
    <w:rsid w:val="003D3331"/>
    <w:rsid w:val="003D34FC"/>
    <w:rsid w:val="003D3562"/>
    <w:rsid w:val="003D3775"/>
    <w:rsid w:val="003D400A"/>
    <w:rsid w:val="003D42F3"/>
    <w:rsid w:val="003D42FB"/>
    <w:rsid w:val="003D435A"/>
    <w:rsid w:val="003D436A"/>
    <w:rsid w:val="003D46D9"/>
    <w:rsid w:val="003D47E3"/>
    <w:rsid w:val="003D4930"/>
    <w:rsid w:val="003D498D"/>
    <w:rsid w:val="003D4F30"/>
    <w:rsid w:val="003D5146"/>
    <w:rsid w:val="003D5405"/>
    <w:rsid w:val="003D54CE"/>
    <w:rsid w:val="003D562E"/>
    <w:rsid w:val="003D5B24"/>
    <w:rsid w:val="003D5FA7"/>
    <w:rsid w:val="003D6180"/>
    <w:rsid w:val="003D662F"/>
    <w:rsid w:val="003D745D"/>
    <w:rsid w:val="003D781D"/>
    <w:rsid w:val="003D795B"/>
    <w:rsid w:val="003D7EF3"/>
    <w:rsid w:val="003D7F5B"/>
    <w:rsid w:val="003E0125"/>
    <w:rsid w:val="003E02DC"/>
    <w:rsid w:val="003E02F1"/>
    <w:rsid w:val="003E03F7"/>
    <w:rsid w:val="003E0648"/>
    <w:rsid w:val="003E0CB2"/>
    <w:rsid w:val="003E0D55"/>
    <w:rsid w:val="003E0D7C"/>
    <w:rsid w:val="003E0EE1"/>
    <w:rsid w:val="003E11FF"/>
    <w:rsid w:val="003E14C6"/>
    <w:rsid w:val="003E15E0"/>
    <w:rsid w:val="003E1827"/>
    <w:rsid w:val="003E1A47"/>
    <w:rsid w:val="003E1B16"/>
    <w:rsid w:val="003E1C24"/>
    <w:rsid w:val="003E1EBD"/>
    <w:rsid w:val="003E1FBA"/>
    <w:rsid w:val="003E2159"/>
    <w:rsid w:val="003E2498"/>
    <w:rsid w:val="003E27C8"/>
    <w:rsid w:val="003E2D79"/>
    <w:rsid w:val="003E2E57"/>
    <w:rsid w:val="003E31F7"/>
    <w:rsid w:val="003E333B"/>
    <w:rsid w:val="003E3736"/>
    <w:rsid w:val="003E3748"/>
    <w:rsid w:val="003E391A"/>
    <w:rsid w:val="003E3A41"/>
    <w:rsid w:val="003E3F0F"/>
    <w:rsid w:val="003E4265"/>
    <w:rsid w:val="003E44CB"/>
    <w:rsid w:val="003E4683"/>
    <w:rsid w:val="003E4E1F"/>
    <w:rsid w:val="003E5452"/>
    <w:rsid w:val="003E54E7"/>
    <w:rsid w:val="003E55C1"/>
    <w:rsid w:val="003E55C9"/>
    <w:rsid w:val="003E600A"/>
    <w:rsid w:val="003E626D"/>
    <w:rsid w:val="003E6272"/>
    <w:rsid w:val="003E629B"/>
    <w:rsid w:val="003E6476"/>
    <w:rsid w:val="003E6698"/>
    <w:rsid w:val="003E686C"/>
    <w:rsid w:val="003E68BE"/>
    <w:rsid w:val="003E72FC"/>
    <w:rsid w:val="003E7374"/>
    <w:rsid w:val="003E7A34"/>
    <w:rsid w:val="003E7C79"/>
    <w:rsid w:val="003E7D82"/>
    <w:rsid w:val="003E7EE3"/>
    <w:rsid w:val="003E7F7D"/>
    <w:rsid w:val="003F0004"/>
    <w:rsid w:val="003F0FE3"/>
    <w:rsid w:val="003F169D"/>
    <w:rsid w:val="003F1732"/>
    <w:rsid w:val="003F1C21"/>
    <w:rsid w:val="003F1CAD"/>
    <w:rsid w:val="003F1CE5"/>
    <w:rsid w:val="003F23B9"/>
    <w:rsid w:val="003F27A5"/>
    <w:rsid w:val="003F2811"/>
    <w:rsid w:val="003F2968"/>
    <w:rsid w:val="003F2B77"/>
    <w:rsid w:val="003F2C1C"/>
    <w:rsid w:val="003F2E17"/>
    <w:rsid w:val="003F30D0"/>
    <w:rsid w:val="003F34D6"/>
    <w:rsid w:val="003F3676"/>
    <w:rsid w:val="003F3E29"/>
    <w:rsid w:val="003F3EEE"/>
    <w:rsid w:val="003F3FCA"/>
    <w:rsid w:val="003F45FD"/>
    <w:rsid w:val="003F4830"/>
    <w:rsid w:val="003F4C17"/>
    <w:rsid w:val="003F5101"/>
    <w:rsid w:val="003F5134"/>
    <w:rsid w:val="003F51D6"/>
    <w:rsid w:val="003F52F5"/>
    <w:rsid w:val="003F5AE6"/>
    <w:rsid w:val="003F5C1D"/>
    <w:rsid w:val="003F5C8F"/>
    <w:rsid w:val="003F5D56"/>
    <w:rsid w:val="003F60C2"/>
    <w:rsid w:val="003F6270"/>
    <w:rsid w:val="003F6588"/>
    <w:rsid w:val="003F693C"/>
    <w:rsid w:val="003F6D36"/>
    <w:rsid w:val="003F6F94"/>
    <w:rsid w:val="003F75E2"/>
    <w:rsid w:val="003F7658"/>
    <w:rsid w:val="003F7692"/>
    <w:rsid w:val="003F7727"/>
    <w:rsid w:val="003F7786"/>
    <w:rsid w:val="003F7946"/>
    <w:rsid w:val="003F7E35"/>
    <w:rsid w:val="003F7F2D"/>
    <w:rsid w:val="004000E4"/>
    <w:rsid w:val="004002DE"/>
    <w:rsid w:val="0040042C"/>
    <w:rsid w:val="004004B2"/>
    <w:rsid w:val="004005B1"/>
    <w:rsid w:val="004007FC"/>
    <w:rsid w:val="004009F5"/>
    <w:rsid w:val="00400A16"/>
    <w:rsid w:val="004010FE"/>
    <w:rsid w:val="004012BA"/>
    <w:rsid w:val="004014EE"/>
    <w:rsid w:val="004015BF"/>
    <w:rsid w:val="004019DA"/>
    <w:rsid w:val="004019EA"/>
    <w:rsid w:val="00401BFB"/>
    <w:rsid w:val="00401CB6"/>
    <w:rsid w:val="00401EEF"/>
    <w:rsid w:val="00401F9E"/>
    <w:rsid w:val="00402028"/>
    <w:rsid w:val="00402140"/>
    <w:rsid w:val="00402362"/>
    <w:rsid w:val="004023B8"/>
    <w:rsid w:val="004027C2"/>
    <w:rsid w:val="00402B7A"/>
    <w:rsid w:val="00402CE8"/>
    <w:rsid w:val="00402DD9"/>
    <w:rsid w:val="00402FBA"/>
    <w:rsid w:val="0040306F"/>
    <w:rsid w:val="00403204"/>
    <w:rsid w:val="0040389F"/>
    <w:rsid w:val="00403926"/>
    <w:rsid w:val="00403C41"/>
    <w:rsid w:val="00403E59"/>
    <w:rsid w:val="00404037"/>
    <w:rsid w:val="00404277"/>
    <w:rsid w:val="0040440A"/>
    <w:rsid w:val="00404428"/>
    <w:rsid w:val="0040453B"/>
    <w:rsid w:val="00404BE7"/>
    <w:rsid w:val="00404C3F"/>
    <w:rsid w:val="00404D13"/>
    <w:rsid w:val="00404E68"/>
    <w:rsid w:val="00405079"/>
    <w:rsid w:val="004051A2"/>
    <w:rsid w:val="004053D2"/>
    <w:rsid w:val="004058C2"/>
    <w:rsid w:val="00406DB2"/>
    <w:rsid w:val="00407068"/>
    <w:rsid w:val="004072A9"/>
    <w:rsid w:val="0040770C"/>
    <w:rsid w:val="004102F1"/>
    <w:rsid w:val="0041073F"/>
    <w:rsid w:val="00410F4B"/>
    <w:rsid w:val="00410F75"/>
    <w:rsid w:val="00411746"/>
    <w:rsid w:val="00411882"/>
    <w:rsid w:val="00411915"/>
    <w:rsid w:val="00411CA1"/>
    <w:rsid w:val="00412064"/>
    <w:rsid w:val="00412320"/>
    <w:rsid w:val="0041296F"/>
    <w:rsid w:val="00412BEB"/>
    <w:rsid w:val="00412D83"/>
    <w:rsid w:val="00412D84"/>
    <w:rsid w:val="00412E98"/>
    <w:rsid w:val="004130B7"/>
    <w:rsid w:val="0041313B"/>
    <w:rsid w:val="004132F7"/>
    <w:rsid w:val="004135BF"/>
    <w:rsid w:val="004135D6"/>
    <w:rsid w:val="00413774"/>
    <w:rsid w:val="0041388D"/>
    <w:rsid w:val="00413A22"/>
    <w:rsid w:val="00413C7F"/>
    <w:rsid w:val="004140C9"/>
    <w:rsid w:val="00414215"/>
    <w:rsid w:val="00414359"/>
    <w:rsid w:val="004144C3"/>
    <w:rsid w:val="004149B5"/>
    <w:rsid w:val="00414AAC"/>
    <w:rsid w:val="00414E37"/>
    <w:rsid w:val="00414E86"/>
    <w:rsid w:val="00414FD7"/>
    <w:rsid w:val="0041507D"/>
    <w:rsid w:val="00415CF2"/>
    <w:rsid w:val="00415F09"/>
    <w:rsid w:val="0041656C"/>
    <w:rsid w:val="004166D2"/>
    <w:rsid w:val="004169C7"/>
    <w:rsid w:val="00416A1E"/>
    <w:rsid w:val="00416A79"/>
    <w:rsid w:val="00416C2B"/>
    <w:rsid w:val="00416DF4"/>
    <w:rsid w:val="00416ECC"/>
    <w:rsid w:val="0041715E"/>
    <w:rsid w:val="00417696"/>
    <w:rsid w:val="00417823"/>
    <w:rsid w:val="00417A7B"/>
    <w:rsid w:val="00417B08"/>
    <w:rsid w:val="004200D5"/>
    <w:rsid w:val="0042014A"/>
    <w:rsid w:val="00420169"/>
    <w:rsid w:val="0042103B"/>
    <w:rsid w:val="00421094"/>
    <w:rsid w:val="00421129"/>
    <w:rsid w:val="0042127A"/>
    <w:rsid w:val="004212EA"/>
    <w:rsid w:val="00421694"/>
    <w:rsid w:val="004218B0"/>
    <w:rsid w:val="004218D9"/>
    <w:rsid w:val="004225F6"/>
    <w:rsid w:val="0042268D"/>
    <w:rsid w:val="004229DE"/>
    <w:rsid w:val="00422A65"/>
    <w:rsid w:val="00422A6E"/>
    <w:rsid w:val="00422B0F"/>
    <w:rsid w:val="00422F5A"/>
    <w:rsid w:val="00422FBC"/>
    <w:rsid w:val="00423145"/>
    <w:rsid w:val="0042356F"/>
    <w:rsid w:val="00423821"/>
    <w:rsid w:val="004239FE"/>
    <w:rsid w:val="00423F03"/>
    <w:rsid w:val="00423F27"/>
    <w:rsid w:val="004246EE"/>
    <w:rsid w:val="00424BF1"/>
    <w:rsid w:val="00424D25"/>
    <w:rsid w:val="00424DC8"/>
    <w:rsid w:val="00424E90"/>
    <w:rsid w:val="00425139"/>
    <w:rsid w:val="004251FA"/>
    <w:rsid w:val="0042535D"/>
    <w:rsid w:val="00425509"/>
    <w:rsid w:val="00425A49"/>
    <w:rsid w:val="00425DA5"/>
    <w:rsid w:val="004261F7"/>
    <w:rsid w:val="00426279"/>
    <w:rsid w:val="0042636F"/>
    <w:rsid w:val="0042651B"/>
    <w:rsid w:val="004267CC"/>
    <w:rsid w:val="004267EE"/>
    <w:rsid w:val="00426967"/>
    <w:rsid w:val="00426EAD"/>
    <w:rsid w:val="00426F62"/>
    <w:rsid w:val="00426F73"/>
    <w:rsid w:val="0042729A"/>
    <w:rsid w:val="00427321"/>
    <w:rsid w:val="0042760F"/>
    <w:rsid w:val="00427A54"/>
    <w:rsid w:val="00427AC6"/>
    <w:rsid w:val="00427B6F"/>
    <w:rsid w:val="00430005"/>
    <w:rsid w:val="004300C6"/>
    <w:rsid w:val="00430877"/>
    <w:rsid w:val="004308BC"/>
    <w:rsid w:val="00430CE3"/>
    <w:rsid w:val="00430D0C"/>
    <w:rsid w:val="004313CF"/>
    <w:rsid w:val="0043156A"/>
    <w:rsid w:val="00431B4A"/>
    <w:rsid w:val="00431D68"/>
    <w:rsid w:val="004327D8"/>
    <w:rsid w:val="00432B0C"/>
    <w:rsid w:val="00432BF4"/>
    <w:rsid w:val="00432CE6"/>
    <w:rsid w:val="004331A0"/>
    <w:rsid w:val="00433336"/>
    <w:rsid w:val="0043337A"/>
    <w:rsid w:val="00433907"/>
    <w:rsid w:val="00433AB3"/>
    <w:rsid w:val="00433BFD"/>
    <w:rsid w:val="00433D24"/>
    <w:rsid w:val="00433D8E"/>
    <w:rsid w:val="00434342"/>
    <w:rsid w:val="00434B16"/>
    <w:rsid w:val="00434BF0"/>
    <w:rsid w:val="00434DF9"/>
    <w:rsid w:val="00434E9C"/>
    <w:rsid w:val="00434F7E"/>
    <w:rsid w:val="00435051"/>
    <w:rsid w:val="0043538E"/>
    <w:rsid w:val="004353BC"/>
    <w:rsid w:val="00435408"/>
    <w:rsid w:val="00435983"/>
    <w:rsid w:val="00435A5D"/>
    <w:rsid w:val="00435B56"/>
    <w:rsid w:val="00435C5E"/>
    <w:rsid w:val="00435EF3"/>
    <w:rsid w:val="004360A8"/>
    <w:rsid w:val="004362EC"/>
    <w:rsid w:val="00436879"/>
    <w:rsid w:val="004368CD"/>
    <w:rsid w:val="00436D29"/>
    <w:rsid w:val="00436DEC"/>
    <w:rsid w:val="00436E15"/>
    <w:rsid w:val="00437147"/>
    <w:rsid w:val="0043730A"/>
    <w:rsid w:val="004376D0"/>
    <w:rsid w:val="00437772"/>
    <w:rsid w:val="00437915"/>
    <w:rsid w:val="00437B2F"/>
    <w:rsid w:val="00437B60"/>
    <w:rsid w:val="00437DE4"/>
    <w:rsid w:val="00437E6C"/>
    <w:rsid w:val="00437F28"/>
    <w:rsid w:val="00440092"/>
    <w:rsid w:val="00440114"/>
    <w:rsid w:val="00440136"/>
    <w:rsid w:val="0044045C"/>
    <w:rsid w:val="004404CD"/>
    <w:rsid w:val="00440517"/>
    <w:rsid w:val="004406AC"/>
    <w:rsid w:val="004413BA"/>
    <w:rsid w:val="0044183A"/>
    <w:rsid w:val="00441845"/>
    <w:rsid w:val="0044197B"/>
    <w:rsid w:val="00441D63"/>
    <w:rsid w:val="00442150"/>
    <w:rsid w:val="004422F6"/>
    <w:rsid w:val="0044279A"/>
    <w:rsid w:val="00442C69"/>
    <w:rsid w:val="00442E18"/>
    <w:rsid w:val="00442FC2"/>
    <w:rsid w:val="00442FF4"/>
    <w:rsid w:val="004437C4"/>
    <w:rsid w:val="00443ADB"/>
    <w:rsid w:val="00444187"/>
    <w:rsid w:val="004442B0"/>
    <w:rsid w:val="00444444"/>
    <w:rsid w:val="004446C5"/>
    <w:rsid w:val="004449C4"/>
    <w:rsid w:val="00444B61"/>
    <w:rsid w:val="00444F73"/>
    <w:rsid w:val="004450D5"/>
    <w:rsid w:val="00445A94"/>
    <w:rsid w:val="00445CAE"/>
    <w:rsid w:val="00446856"/>
    <w:rsid w:val="00446B7D"/>
    <w:rsid w:val="00446E3B"/>
    <w:rsid w:val="00447016"/>
    <w:rsid w:val="00447850"/>
    <w:rsid w:val="00447EF6"/>
    <w:rsid w:val="00450059"/>
    <w:rsid w:val="00450506"/>
    <w:rsid w:val="00450636"/>
    <w:rsid w:val="004506FA"/>
    <w:rsid w:val="00450967"/>
    <w:rsid w:val="00450B91"/>
    <w:rsid w:val="00450CB7"/>
    <w:rsid w:val="00450D23"/>
    <w:rsid w:val="0045112B"/>
    <w:rsid w:val="004512F6"/>
    <w:rsid w:val="004514A1"/>
    <w:rsid w:val="00451B2B"/>
    <w:rsid w:val="00451ECD"/>
    <w:rsid w:val="00451FDB"/>
    <w:rsid w:val="00451FE7"/>
    <w:rsid w:val="00452169"/>
    <w:rsid w:val="00452245"/>
    <w:rsid w:val="00452746"/>
    <w:rsid w:val="004527D8"/>
    <w:rsid w:val="004528A8"/>
    <w:rsid w:val="00452AC9"/>
    <w:rsid w:val="00452F32"/>
    <w:rsid w:val="00452FDE"/>
    <w:rsid w:val="00453026"/>
    <w:rsid w:val="004534F3"/>
    <w:rsid w:val="00453971"/>
    <w:rsid w:val="004539BA"/>
    <w:rsid w:val="00453A9C"/>
    <w:rsid w:val="00453AD6"/>
    <w:rsid w:val="00453BFD"/>
    <w:rsid w:val="00453C33"/>
    <w:rsid w:val="00453EE4"/>
    <w:rsid w:val="004541AC"/>
    <w:rsid w:val="00454276"/>
    <w:rsid w:val="004543CC"/>
    <w:rsid w:val="00454D3A"/>
    <w:rsid w:val="004553C6"/>
    <w:rsid w:val="004553F8"/>
    <w:rsid w:val="00455432"/>
    <w:rsid w:val="00455626"/>
    <w:rsid w:val="00455D88"/>
    <w:rsid w:val="00455DF3"/>
    <w:rsid w:val="004563AB"/>
    <w:rsid w:val="00456EB7"/>
    <w:rsid w:val="00457516"/>
    <w:rsid w:val="00457963"/>
    <w:rsid w:val="00460236"/>
    <w:rsid w:val="004603ED"/>
    <w:rsid w:val="00460891"/>
    <w:rsid w:val="00460A55"/>
    <w:rsid w:val="00460E43"/>
    <w:rsid w:val="00461747"/>
    <w:rsid w:val="00461B43"/>
    <w:rsid w:val="00461BA6"/>
    <w:rsid w:val="00462004"/>
    <w:rsid w:val="004626DA"/>
    <w:rsid w:val="00462725"/>
    <w:rsid w:val="00462965"/>
    <w:rsid w:val="00462D78"/>
    <w:rsid w:val="00462EBA"/>
    <w:rsid w:val="004630DA"/>
    <w:rsid w:val="004631A5"/>
    <w:rsid w:val="0046335C"/>
    <w:rsid w:val="00463536"/>
    <w:rsid w:val="004635C7"/>
    <w:rsid w:val="0046367B"/>
    <w:rsid w:val="00463863"/>
    <w:rsid w:val="004639A8"/>
    <w:rsid w:val="004639BC"/>
    <w:rsid w:val="00463B7F"/>
    <w:rsid w:val="00463C24"/>
    <w:rsid w:val="004640D7"/>
    <w:rsid w:val="00464300"/>
    <w:rsid w:val="00464A01"/>
    <w:rsid w:val="00464E0A"/>
    <w:rsid w:val="00464FCB"/>
    <w:rsid w:val="0046505E"/>
    <w:rsid w:val="00465293"/>
    <w:rsid w:val="00465442"/>
    <w:rsid w:val="0046657C"/>
    <w:rsid w:val="00466B37"/>
    <w:rsid w:val="00467094"/>
    <w:rsid w:val="004670BD"/>
    <w:rsid w:val="004672CC"/>
    <w:rsid w:val="00467586"/>
    <w:rsid w:val="004679F5"/>
    <w:rsid w:val="00467B9D"/>
    <w:rsid w:val="004705ED"/>
    <w:rsid w:val="00470769"/>
    <w:rsid w:val="00470915"/>
    <w:rsid w:val="00470AA5"/>
    <w:rsid w:val="00471016"/>
    <w:rsid w:val="0047105E"/>
    <w:rsid w:val="00471675"/>
    <w:rsid w:val="0047168C"/>
    <w:rsid w:val="004717DF"/>
    <w:rsid w:val="00471863"/>
    <w:rsid w:val="004718CA"/>
    <w:rsid w:val="00471E82"/>
    <w:rsid w:val="004720B6"/>
    <w:rsid w:val="00472236"/>
    <w:rsid w:val="00472770"/>
    <w:rsid w:val="00472BA1"/>
    <w:rsid w:val="00472EA0"/>
    <w:rsid w:val="004735C2"/>
    <w:rsid w:val="0047364E"/>
    <w:rsid w:val="0047367C"/>
    <w:rsid w:val="004738ED"/>
    <w:rsid w:val="004739C7"/>
    <w:rsid w:val="00473E00"/>
    <w:rsid w:val="00474303"/>
    <w:rsid w:val="00474515"/>
    <w:rsid w:val="00474639"/>
    <w:rsid w:val="00474A17"/>
    <w:rsid w:val="00474DBD"/>
    <w:rsid w:val="004753DE"/>
    <w:rsid w:val="00475740"/>
    <w:rsid w:val="004757AC"/>
    <w:rsid w:val="00475845"/>
    <w:rsid w:val="00475DA9"/>
    <w:rsid w:val="0047657E"/>
    <w:rsid w:val="00476A02"/>
    <w:rsid w:val="00476B3A"/>
    <w:rsid w:val="00476C25"/>
    <w:rsid w:val="00476C6D"/>
    <w:rsid w:val="00476E96"/>
    <w:rsid w:val="00476EE9"/>
    <w:rsid w:val="00476F88"/>
    <w:rsid w:val="00477166"/>
    <w:rsid w:val="004772BD"/>
    <w:rsid w:val="004775E0"/>
    <w:rsid w:val="004776B4"/>
    <w:rsid w:val="00477CC0"/>
    <w:rsid w:val="00477D37"/>
    <w:rsid w:val="00477F62"/>
    <w:rsid w:val="00480612"/>
    <w:rsid w:val="004810F0"/>
    <w:rsid w:val="00481526"/>
    <w:rsid w:val="0048157D"/>
    <w:rsid w:val="00481ABA"/>
    <w:rsid w:val="00481E7A"/>
    <w:rsid w:val="00482144"/>
    <w:rsid w:val="00482165"/>
    <w:rsid w:val="0048226E"/>
    <w:rsid w:val="0048227C"/>
    <w:rsid w:val="004825DC"/>
    <w:rsid w:val="00482802"/>
    <w:rsid w:val="00482BAA"/>
    <w:rsid w:val="00482D5C"/>
    <w:rsid w:val="00482E9A"/>
    <w:rsid w:val="0048316C"/>
    <w:rsid w:val="0048320A"/>
    <w:rsid w:val="00483381"/>
    <w:rsid w:val="004834A8"/>
    <w:rsid w:val="00483694"/>
    <w:rsid w:val="004838FA"/>
    <w:rsid w:val="00483A86"/>
    <w:rsid w:val="00483B9F"/>
    <w:rsid w:val="00483DD9"/>
    <w:rsid w:val="00483E41"/>
    <w:rsid w:val="00483FA8"/>
    <w:rsid w:val="004841B6"/>
    <w:rsid w:val="0048423B"/>
    <w:rsid w:val="00484381"/>
    <w:rsid w:val="004844C1"/>
    <w:rsid w:val="004849F1"/>
    <w:rsid w:val="00484A9F"/>
    <w:rsid w:val="00484B17"/>
    <w:rsid w:val="00484F13"/>
    <w:rsid w:val="004851BE"/>
    <w:rsid w:val="00485AC4"/>
    <w:rsid w:val="00485B21"/>
    <w:rsid w:val="00485BA8"/>
    <w:rsid w:val="00485C1D"/>
    <w:rsid w:val="00485C90"/>
    <w:rsid w:val="00486375"/>
    <w:rsid w:val="004864B6"/>
    <w:rsid w:val="004864D4"/>
    <w:rsid w:val="004866E7"/>
    <w:rsid w:val="00486A64"/>
    <w:rsid w:val="00486C36"/>
    <w:rsid w:val="00486D61"/>
    <w:rsid w:val="00487022"/>
    <w:rsid w:val="004870B2"/>
    <w:rsid w:val="00487411"/>
    <w:rsid w:val="00487913"/>
    <w:rsid w:val="00487B53"/>
    <w:rsid w:val="00487CA6"/>
    <w:rsid w:val="00487D02"/>
    <w:rsid w:val="004900F4"/>
    <w:rsid w:val="0049030D"/>
    <w:rsid w:val="00490389"/>
    <w:rsid w:val="004903A2"/>
    <w:rsid w:val="00490E11"/>
    <w:rsid w:val="004914B6"/>
    <w:rsid w:val="00491532"/>
    <w:rsid w:val="0049156F"/>
    <w:rsid w:val="00491A87"/>
    <w:rsid w:val="00491AB0"/>
    <w:rsid w:val="00491ADB"/>
    <w:rsid w:val="00491B2E"/>
    <w:rsid w:val="0049206E"/>
    <w:rsid w:val="00492AF5"/>
    <w:rsid w:val="00492BEF"/>
    <w:rsid w:val="00492C76"/>
    <w:rsid w:val="00492C94"/>
    <w:rsid w:val="00492E2D"/>
    <w:rsid w:val="00492F6D"/>
    <w:rsid w:val="00492FD5"/>
    <w:rsid w:val="00493145"/>
    <w:rsid w:val="00493C60"/>
    <w:rsid w:val="00493DDF"/>
    <w:rsid w:val="004941DB"/>
    <w:rsid w:val="004941FF"/>
    <w:rsid w:val="00494468"/>
    <w:rsid w:val="00494958"/>
    <w:rsid w:val="00494F03"/>
    <w:rsid w:val="00494FCA"/>
    <w:rsid w:val="0049507F"/>
    <w:rsid w:val="004950AE"/>
    <w:rsid w:val="00495274"/>
    <w:rsid w:val="00495829"/>
    <w:rsid w:val="0049596E"/>
    <w:rsid w:val="00495AB5"/>
    <w:rsid w:val="00495B32"/>
    <w:rsid w:val="00495BB8"/>
    <w:rsid w:val="00495D50"/>
    <w:rsid w:val="00495D86"/>
    <w:rsid w:val="004964E8"/>
    <w:rsid w:val="0049684F"/>
    <w:rsid w:val="00496BCA"/>
    <w:rsid w:val="00496D1B"/>
    <w:rsid w:val="00497005"/>
    <w:rsid w:val="0049722F"/>
    <w:rsid w:val="00497726"/>
    <w:rsid w:val="00497A35"/>
    <w:rsid w:val="00497E19"/>
    <w:rsid w:val="00497ED7"/>
    <w:rsid w:val="004A0100"/>
    <w:rsid w:val="004A03DA"/>
    <w:rsid w:val="004A05DA"/>
    <w:rsid w:val="004A0601"/>
    <w:rsid w:val="004A14A5"/>
    <w:rsid w:val="004A1851"/>
    <w:rsid w:val="004A2274"/>
    <w:rsid w:val="004A2325"/>
    <w:rsid w:val="004A31A3"/>
    <w:rsid w:val="004A32D7"/>
    <w:rsid w:val="004A3350"/>
    <w:rsid w:val="004A378E"/>
    <w:rsid w:val="004A3DFE"/>
    <w:rsid w:val="004A3FD8"/>
    <w:rsid w:val="004A4130"/>
    <w:rsid w:val="004A4259"/>
    <w:rsid w:val="004A42E6"/>
    <w:rsid w:val="004A4454"/>
    <w:rsid w:val="004A4471"/>
    <w:rsid w:val="004A4700"/>
    <w:rsid w:val="004A4E94"/>
    <w:rsid w:val="004A5128"/>
    <w:rsid w:val="004A5770"/>
    <w:rsid w:val="004A5927"/>
    <w:rsid w:val="004A59AC"/>
    <w:rsid w:val="004A5A00"/>
    <w:rsid w:val="004A66AF"/>
    <w:rsid w:val="004A66EE"/>
    <w:rsid w:val="004A7077"/>
    <w:rsid w:val="004A770B"/>
    <w:rsid w:val="004A7F00"/>
    <w:rsid w:val="004A7F80"/>
    <w:rsid w:val="004B0295"/>
    <w:rsid w:val="004B0C08"/>
    <w:rsid w:val="004B0D63"/>
    <w:rsid w:val="004B0EE9"/>
    <w:rsid w:val="004B1073"/>
    <w:rsid w:val="004B12C0"/>
    <w:rsid w:val="004B1699"/>
    <w:rsid w:val="004B1735"/>
    <w:rsid w:val="004B1DB2"/>
    <w:rsid w:val="004B2036"/>
    <w:rsid w:val="004B26BB"/>
    <w:rsid w:val="004B2863"/>
    <w:rsid w:val="004B29B9"/>
    <w:rsid w:val="004B2B72"/>
    <w:rsid w:val="004B2D76"/>
    <w:rsid w:val="004B3AD1"/>
    <w:rsid w:val="004B3C53"/>
    <w:rsid w:val="004B3C89"/>
    <w:rsid w:val="004B3EA2"/>
    <w:rsid w:val="004B41D8"/>
    <w:rsid w:val="004B46F9"/>
    <w:rsid w:val="004B4D4A"/>
    <w:rsid w:val="004B5157"/>
    <w:rsid w:val="004B522C"/>
    <w:rsid w:val="004B5508"/>
    <w:rsid w:val="004B556E"/>
    <w:rsid w:val="004B56D8"/>
    <w:rsid w:val="004B5806"/>
    <w:rsid w:val="004B591F"/>
    <w:rsid w:val="004B595F"/>
    <w:rsid w:val="004B5992"/>
    <w:rsid w:val="004B59BF"/>
    <w:rsid w:val="004B5AE2"/>
    <w:rsid w:val="004B5B32"/>
    <w:rsid w:val="004B5B83"/>
    <w:rsid w:val="004B5D5B"/>
    <w:rsid w:val="004B6403"/>
    <w:rsid w:val="004B646B"/>
    <w:rsid w:val="004B67C6"/>
    <w:rsid w:val="004B6876"/>
    <w:rsid w:val="004B69FC"/>
    <w:rsid w:val="004B6AB7"/>
    <w:rsid w:val="004B6B40"/>
    <w:rsid w:val="004B6DAC"/>
    <w:rsid w:val="004B744D"/>
    <w:rsid w:val="004B79B1"/>
    <w:rsid w:val="004B7A12"/>
    <w:rsid w:val="004B7F4E"/>
    <w:rsid w:val="004C0025"/>
    <w:rsid w:val="004C05C2"/>
    <w:rsid w:val="004C0747"/>
    <w:rsid w:val="004C0B50"/>
    <w:rsid w:val="004C1804"/>
    <w:rsid w:val="004C1865"/>
    <w:rsid w:val="004C215E"/>
    <w:rsid w:val="004C245C"/>
    <w:rsid w:val="004C2839"/>
    <w:rsid w:val="004C2A04"/>
    <w:rsid w:val="004C2E66"/>
    <w:rsid w:val="004C3060"/>
    <w:rsid w:val="004C314D"/>
    <w:rsid w:val="004C3219"/>
    <w:rsid w:val="004C3809"/>
    <w:rsid w:val="004C39CD"/>
    <w:rsid w:val="004C3C41"/>
    <w:rsid w:val="004C3E23"/>
    <w:rsid w:val="004C4115"/>
    <w:rsid w:val="004C454A"/>
    <w:rsid w:val="004C4B96"/>
    <w:rsid w:val="004C4CC8"/>
    <w:rsid w:val="004C4DF1"/>
    <w:rsid w:val="004C4EE6"/>
    <w:rsid w:val="004C4F45"/>
    <w:rsid w:val="004C504D"/>
    <w:rsid w:val="004C5215"/>
    <w:rsid w:val="004C5A84"/>
    <w:rsid w:val="004C5E79"/>
    <w:rsid w:val="004C5E7B"/>
    <w:rsid w:val="004C5E9D"/>
    <w:rsid w:val="004C5F58"/>
    <w:rsid w:val="004C6054"/>
    <w:rsid w:val="004C609C"/>
    <w:rsid w:val="004C617B"/>
    <w:rsid w:val="004C65BB"/>
    <w:rsid w:val="004C6788"/>
    <w:rsid w:val="004C6981"/>
    <w:rsid w:val="004C6B15"/>
    <w:rsid w:val="004C6CA6"/>
    <w:rsid w:val="004C746A"/>
    <w:rsid w:val="004C7B75"/>
    <w:rsid w:val="004D005A"/>
    <w:rsid w:val="004D01B8"/>
    <w:rsid w:val="004D05C5"/>
    <w:rsid w:val="004D09BD"/>
    <w:rsid w:val="004D0C04"/>
    <w:rsid w:val="004D10A9"/>
    <w:rsid w:val="004D123A"/>
    <w:rsid w:val="004D12B5"/>
    <w:rsid w:val="004D14AF"/>
    <w:rsid w:val="004D17A5"/>
    <w:rsid w:val="004D19C8"/>
    <w:rsid w:val="004D1AE9"/>
    <w:rsid w:val="004D2074"/>
    <w:rsid w:val="004D2527"/>
    <w:rsid w:val="004D26D2"/>
    <w:rsid w:val="004D2C2F"/>
    <w:rsid w:val="004D2C77"/>
    <w:rsid w:val="004D2EC0"/>
    <w:rsid w:val="004D3A0B"/>
    <w:rsid w:val="004D41D4"/>
    <w:rsid w:val="004D43FA"/>
    <w:rsid w:val="004D449A"/>
    <w:rsid w:val="004D4BB6"/>
    <w:rsid w:val="004D53A0"/>
    <w:rsid w:val="004D547D"/>
    <w:rsid w:val="004D5B59"/>
    <w:rsid w:val="004D5C14"/>
    <w:rsid w:val="004D5D38"/>
    <w:rsid w:val="004D6133"/>
    <w:rsid w:val="004D6199"/>
    <w:rsid w:val="004D6276"/>
    <w:rsid w:val="004D64BC"/>
    <w:rsid w:val="004D64E0"/>
    <w:rsid w:val="004D6547"/>
    <w:rsid w:val="004D66F7"/>
    <w:rsid w:val="004D6B89"/>
    <w:rsid w:val="004D6C03"/>
    <w:rsid w:val="004D727B"/>
    <w:rsid w:val="004D7375"/>
    <w:rsid w:val="004D7391"/>
    <w:rsid w:val="004D7A16"/>
    <w:rsid w:val="004D7C52"/>
    <w:rsid w:val="004D7CA2"/>
    <w:rsid w:val="004E0201"/>
    <w:rsid w:val="004E0320"/>
    <w:rsid w:val="004E0443"/>
    <w:rsid w:val="004E0488"/>
    <w:rsid w:val="004E050F"/>
    <w:rsid w:val="004E0762"/>
    <w:rsid w:val="004E15CD"/>
    <w:rsid w:val="004E162C"/>
    <w:rsid w:val="004E1CBF"/>
    <w:rsid w:val="004E2005"/>
    <w:rsid w:val="004E25A3"/>
    <w:rsid w:val="004E25AE"/>
    <w:rsid w:val="004E2650"/>
    <w:rsid w:val="004E2672"/>
    <w:rsid w:val="004E2788"/>
    <w:rsid w:val="004E2AFD"/>
    <w:rsid w:val="004E2FE2"/>
    <w:rsid w:val="004E3411"/>
    <w:rsid w:val="004E3835"/>
    <w:rsid w:val="004E389B"/>
    <w:rsid w:val="004E3976"/>
    <w:rsid w:val="004E39FE"/>
    <w:rsid w:val="004E3F72"/>
    <w:rsid w:val="004E45C4"/>
    <w:rsid w:val="004E4727"/>
    <w:rsid w:val="004E485C"/>
    <w:rsid w:val="004E4A2E"/>
    <w:rsid w:val="004E5198"/>
    <w:rsid w:val="004E51D8"/>
    <w:rsid w:val="004E535F"/>
    <w:rsid w:val="004E5363"/>
    <w:rsid w:val="004E579C"/>
    <w:rsid w:val="004E5856"/>
    <w:rsid w:val="004E596C"/>
    <w:rsid w:val="004E596E"/>
    <w:rsid w:val="004E598D"/>
    <w:rsid w:val="004E5A45"/>
    <w:rsid w:val="004E6137"/>
    <w:rsid w:val="004E66D7"/>
    <w:rsid w:val="004E7433"/>
    <w:rsid w:val="004E74CC"/>
    <w:rsid w:val="004E75C8"/>
    <w:rsid w:val="004E7766"/>
    <w:rsid w:val="004E7796"/>
    <w:rsid w:val="004E78A0"/>
    <w:rsid w:val="004E78EB"/>
    <w:rsid w:val="004E7F71"/>
    <w:rsid w:val="004F0317"/>
    <w:rsid w:val="004F07BA"/>
    <w:rsid w:val="004F0C68"/>
    <w:rsid w:val="004F1C5F"/>
    <w:rsid w:val="004F20EE"/>
    <w:rsid w:val="004F249F"/>
    <w:rsid w:val="004F25F8"/>
    <w:rsid w:val="004F3579"/>
    <w:rsid w:val="004F3637"/>
    <w:rsid w:val="004F36F1"/>
    <w:rsid w:val="004F3970"/>
    <w:rsid w:val="004F3A7D"/>
    <w:rsid w:val="004F3B58"/>
    <w:rsid w:val="004F3C40"/>
    <w:rsid w:val="004F3EFC"/>
    <w:rsid w:val="004F475A"/>
    <w:rsid w:val="004F4859"/>
    <w:rsid w:val="004F4F41"/>
    <w:rsid w:val="004F58AF"/>
    <w:rsid w:val="004F5FCC"/>
    <w:rsid w:val="004F6159"/>
    <w:rsid w:val="004F61B0"/>
    <w:rsid w:val="004F61DA"/>
    <w:rsid w:val="004F628E"/>
    <w:rsid w:val="004F653B"/>
    <w:rsid w:val="004F6685"/>
    <w:rsid w:val="004F66DF"/>
    <w:rsid w:val="004F686C"/>
    <w:rsid w:val="004F6AD0"/>
    <w:rsid w:val="004F7393"/>
    <w:rsid w:val="004F7712"/>
    <w:rsid w:val="004F7813"/>
    <w:rsid w:val="004F7887"/>
    <w:rsid w:val="004F7897"/>
    <w:rsid w:val="004F7BEA"/>
    <w:rsid w:val="004F7BF4"/>
    <w:rsid w:val="004F7C26"/>
    <w:rsid w:val="004F7E75"/>
    <w:rsid w:val="00500104"/>
    <w:rsid w:val="0050071E"/>
    <w:rsid w:val="00500922"/>
    <w:rsid w:val="00500FE1"/>
    <w:rsid w:val="005010CB"/>
    <w:rsid w:val="00501472"/>
    <w:rsid w:val="005014FD"/>
    <w:rsid w:val="00501966"/>
    <w:rsid w:val="00501B2A"/>
    <w:rsid w:val="00501B61"/>
    <w:rsid w:val="00501D0C"/>
    <w:rsid w:val="00501DD5"/>
    <w:rsid w:val="00501DD7"/>
    <w:rsid w:val="00501FFC"/>
    <w:rsid w:val="0050217B"/>
    <w:rsid w:val="005021EC"/>
    <w:rsid w:val="0050232B"/>
    <w:rsid w:val="00502406"/>
    <w:rsid w:val="00502A9B"/>
    <w:rsid w:val="00502F65"/>
    <w:rsid w:val="00503124"/>
    <w:rsid w:val="005035C6"/>
    <w:rsid w:val="00503677"/>
    <w:rsid w:val="00503C5B"/>
    <w:rsid w:val="00503E46"/>
    <w:rsid w:val="00503F66"/>
    <w:rsid w:val="0050426E"/>
    <w:rsid w:val="00504319"/>
    <w:rsid w:val="005044A8"/>
    <w:rsid w:val="00504669"/>
    <w:rsid w:val="005046EE"/>
    <w:rsid w:val="005049F5"/>
    <w:rsid w:val="00505027"/>
    <w:rsid w:val="00505086"/>
    <w:rsid w:val="00505124"/>
    <w:rsid w:val="0050520B"/>
    <w:rsid w:val="005053CC"/>
    <w:rsid w:val="00505641"/>
    <w:rsid w:val="0050582D"/>
    <w:rsid w:val="00505F7D"/>
    <w:rsid w:val="00506194"/>
    <w:rsid w:val="005062EA"/>
    <w:rsid w:val="00506328"/>
    <w:rsid w:val="005066A6"/>
    <w:rsid w:val="005067ED"/>
    <w:rsid w:val="0050680D"/>
    <w:rsid w:val="00506878"/>
    <w:rsid w:val="005068F5"/>
    <w:rsid w:val="005068F9"/>
    <w:rsid w:val="0050694B"/>
    <w:rsid w:val="00506A1E"/>
    <w:rsid w:val="00506CCA"/>
    <w:rsid w:val="00506D81"/>
    <w:rsid w:val="00506F71"/>
    <w:rsid w:val="005071FD"/>
    <w:rsid w:val="005072E1"/>
    <w:rsid w:val="005073E6"/>
    <w:rsid w:val="00507419"/>
    <w:rsid w:val="00507ABE"/>
    <w:rsid w:val="00507D2C"/>
    <w:rsid w:val="0051020B"/>
    <w:rsid w:val="005104D8"/>
    <w:rsid w:val="0051096D"/>
    <w:rsid w:val="00510C3E"/>
    <w:rsid w:val="00510EF4"/>
    <w:rsid w:val="00511292"/>
    <w:rsid w:val="005112E5"/>
    <w:rsid w:val="005116F2"/>
    <w:rsid w:val="00511AB1"/>
    <w:rsid w:val="00511B6C"/>
    <w:rsid w:val="00511D3C"/>
    <w:rsid w:val="00511E3A"/>
    <w:rsid w:val="0051205F"/>
    <w:rsid w:val="00512694"/>
    <w:rsid w:val="005128E7"/>
    <w:rsid w:val="005136ED"/>
    <w:rsid w:val="005139BC"/>
    <w:rsid w:val="00513C4E"/>
    <w:rsid w:val="0051452F"/>
    <w:rsid w:val="00514694"/>
    <w:rsid w:val="00514BDE"/>
    <w:rsid w:val="00514C96"/>
    <w:rsid w:val="00515330"/>
    <w:rsid w:val="005158DD"/>
    <w:rsid w:val="00515930"/>
    <w:rsid w:val="00515BC6"/>
    <w:rsid w:val="00515D3B"/>
    <w:rsid w:val="00516041"/>
    <w:rsid w:val="00516182"/>
    <w:rsid w:val="00516396"/>
    <w:rsid w:val="005164DE"/>
    <w:rsid w:val="005166BE"/>
    <w:rsid w:val="00517CD1"/>
    <w:rsid w:val="00517D8C"/>
    <w:rsid w:val="00520095"/>
    <w:rsid w:val="005200E2"/>
    <w:rsid w:val="00520649"/>
    <w:rsid w:val="005208D7"/>
    <w:rsid w:val="0052156B"/>
    <w:rsid w:val="0052165C"/>
    <w:rsid w:val="0052186C"/>
    <w:rsid w:val="00521FAD"/>
    <w:rsid w:val="0052200F"/>
    <w:rsid w:val="0052247F"/>
    <w:rsid w:val="0052270C"/>
    <w:rsid w:val="00522A4C"/>
    <w:rsid w:val="00522CEA"/>
    <w:rsid w:val="00523152"/>
    <w:rsid w:val="005231C8"/>
    <w:rsid w:val="005231F0"/>
    <w:rsid w:val="00523C5D"/>
    <w:rsid w:val="00523C99"/>
    <w:rsid w:val="00523FF6"/>
    <w:rsid w:val="00524109"/>
    <w:rsid w:val="00524AEB"/>
    <w:rsid w:val="00524C29"/>
    <w:rsid w:val="00524C71"/>
    <w:rsid w:val="00524E33"/>
    <w:rsid w:val="0052571B"/>
    <w:rsid w:val="00525934"/>
    <w:rsid w:val="00525969"/>
    <w:rsid w:val="00525F1A"/>
    <w:rsid w:val="005262A5"/>
    <w:rsid w:val="005265C4"/>
    <w:rsid w:val="00526F13"/>
    <w:rsid w:val="00526F9A"/>
    <w:rsid w:val="0052731A"/>
    <w:rsid w:val="00527860"/>
    <w:rsid w:val="005278E7"/>
    <w:rsid w:val="00527959"/>
    <w:rsid w:val="00527D00"/>
    <w:rsid w:val="00527D56"/>
    <w:rsid w:val="00527E51"/>
    <w:rsid w:val="005303A4"/>
    <w:rsid w:val="00530431"/>
    <w:rsid w:val="00530D38"/>
    <w:rsid w:val="00530DF2"/>
    <w:rsid w:val="00530FDA"/>
    <w:rsid w:val="00531EB9"/>
    <w:rsid w:val="00532451"/>
    <w:rsid w:val="00532625"/>
    <w:rsid w:val="0053290B"/>
    <w:rsid w:val="00533277"/>
    <w:rsid w:val="005336CD"/>
    <w:rsid w:val="00533732"/>
    <w:rsid w:val="00533830"/>
    <w:rsid w:val="00533E16"/>
    <w:rsid w:val="00534492"/>
    <w:rsid w:val="0053459C"/>
    <w:rsid w:val="005345E0"/>
    <w:rsid w:val="00534EF8"/>
    <w:rsid w:val="00534F13"/>
    <w:rsid w:val="00535065"/>
    <w:rsid w:val="005350B7"/>
    <w:rsid w:val="00535262"/>
    <w:rsid w:val="005354F8"/>
    <w:rsid w:val="0053589D"/>
    <w:rsid w:val="005358D5"/>
    <w:rsid w:val="0053598B"/>
    <w:rsid w:val="00535B3F"/>
    <w:rsid w:val="0053625B"/>
    <w:rsid w:val="00536D4A"/>
    <w:rsid w:val="00536D8F"/>
    <w:rsid w:val="005370FC"/>
    <w:rsid w:val="00537278"/>
    <w:rsid w:val="0053794C"/>
    <w:rsid w:val="00537B6D"/>
    <w:rsid w:val="00537E50"/>
    <w:rsid w:val="00537E9D"/>
    <w:rsid w:val="0054004F"/>
    <w:rsid w:val="00540056"/>
    <w:rsid w:val="00540242"/>
    <w:rsid w:val="0054025E"/>
    <w:rsid w:val="00540583"/>
    <w:rsid w:val="005406E5"/>
    <w:rsid w:val="00540C86"/>
    <w:rsid w:val="00540F5E"/>
    <w:rsid w:val="0054130E"/>
    <w:rsid w:val="005416DA"/>
    <w:rsid w:val="005417EB"/>
    <w:rsid w:val="00541B0D"/>
    <w:rsid w:val="00541E48"/>
    <w:rsid w:val="00541F77"/>
    <w:rsid w:val="005420BF"/>
    <w:rsid w:val="00542174"/>
    <w:rsid w:val="00542244"/>
    <w:rsid w:val="00542307"/>
    <w:rsid w:val="00542570"/>
    <w:rsid w:val="00542C3E"/>
    <w:rsid w:val="00542CA4"/>
    <w:rsid w:val="00542E81"/>
    <w:rsid w:val="00543140"/>
    <w:rsid w:val="005431DA"/>
    <w:rsid w:val="005432D8"/>
    <w:rsid w:val="005434C0"/>
    <w:rsid w:val="0054362B"/>
    <w:rsid w:val="00543D38"/>
    <w:rsid w:val="005440E8"/>
    <w:rsid w:val="00544764"/>
    <w:rsid w:val="005448DA"/>
    <w:rsid w:val="005449BC"/>
    <w:rsid w:val="00544B1B"/>
    <w:rsid w:val="00544B41"/>
    <w:rsid w:val="00544E94"/>
    <w:rsid w:val="00545108"/>
    <w:rsid w:val="005453BB"/>
    <w:rsid w:val="0054554A"/>
    <w:rsid w:val="0054574A"/>
    <w:rsid w:val="00545A83"/>
    <w:rsid w:val="00545BAA"/>
    <w:rsid w:val="00545C12"/>
    <w:rsid w:val="00545F1B"/>
    <w:rsid w:val="00546425"/>
    <w:rsid w:val="005467E9"/>
    <w:rsid w:val="005468A1"/>
    <w:rsid w:val="00546AEF"/>
    <w:rsid w:val="00546BDD"/>
    <w:rsid w:val="00546F58"/>
    <w:rsid w:val="005475BB"/>
    <w:rsid w:val="0054778B"/>
    <w:rsid w:val="00547872"/>
    <w:rsid w:val="00547BFA"/>
    <w:rsid w:val="0055069F"/>
    <w:rsid w:val="005509E4"/>
    <w:rsid w:val="00550A49"/>
    <w:rsid w:val="00550AB6"/>
    <w:rsid w:val="00550BCB"/>
    <w:rsid w:val="00551C6A"/>
    <w:rsid w:val="00551E57"/>
    <w:rsid w:val="00551F54"/>
    <w:rsid w:val="005524D4"/>
    <w:rsid w:val="00552DEC"/>
    <w:rsid w:val="00552F12"/>
    <w:rsid w:val="00552F6F"/>
    <w:rsid w:val="00553006"/>
    <w:rsid w:val="00553167"/>
    <w:rsid w:val="0055323C"/>
    <w:rsid w:val="005533BB"/>
    <w:rsid w:val="005533BC"/>
    <w:rsid w:val="00553518"/>
    <w:rsid w:val="00553705"/>
    <w:rsid w:val="0055374B"/>
    <w:rsid w:val="0055380F"/>
    <w:rsid w:val="005538C9"/>
    <w:rsid w:val="00553E4B"/>
    <w:rsid w:val="005541CA"/>
    <w:rsid w:val="005543EC"/>
    <w:rsid w:val="005548C0"/>
    <w:rsid w:val="00554B37"/>
    <w:rsid w:val="00554D3E"/>
    <w:rsid w:val="00554DFF"/>
    <w:rsid w:val="00554EF5"/>
    <w:rsid w:val="0055525A"/>
    <w:rsid w:val="00555630"/>
    <w:rsid w:val="00555691"/>
    <w:rsid w:val="00555773"/>
    <w:rsid w:val="00555DAC"/>
    <w:rsid w:val="00555EDF"/>
    <w:rsid w:val="00555F07"/>
    <w:rsid w:val="00556235"/>
    <w:rsid w:val="00556319"/>
    <w:rsid w:val="00556472"/>
    <w:rsid w:val="00556776"/>
    <w:rsid w:val="005569EA"/>
    <w:rsid w:val="00556C2A"/>
    <w:rsid w:val="00556D54"/>
    <w:rsid w:val="0055709F"/>
    <w:rsid w:val="005570A6"/>
    <w:rsid w:val="00557133"/>
    <w:rsid w:val="00557167"/>
    <w:rsid w:val="00557175"/>
    <w:rsid w:val="005571BE"/>
    <w:rsid w:val="005572A7"/>
    <w:rsid w:val="005576B5"/>
    <w:rsid w:val="00557B92"/>
    <w:rsid w:val="00557FE0"/>
    <w:rsid w:val="005601D2"/>
    <w:rsid w:val="005602D3"/>
    <w:rsid w:val="00560575"/>
    <w:rsid w:val="005605CB"/>
    <w:rsid w:val="005606A5"/>
    <w:rsid w:val="005609CB"/>
    <w:rsid w:val="00560D53"/>
    <w:rsid w:val="00560E52"/>
    <w:rsid w:val="00560F26"/>
    <w:rsid w:val="005613FD"/>
    <w:rsid w:val="00561421"/>
    <w:rsid w:val="0056151E"/>
    <w:rsid w:val="00561569"/>
    <w:rsid w:val="005615E7"/>
    <w:rsid w:val="0056192A"/>
    <w:rsid w:val="00561C12"/>
    <w:rsid w:val="00561C17"/>
    <w:rsid w:val="00561D7A"/>
    <w:rsid w:val="00561DBB"/>
    <w:rsid w:val="00561EA8"/>
    <w:rsid w:val="005620E2"/>
    <w:rsid w:val="00562110"/>
    <w:rsid w:val="0056225F"/>
    <w:rsid w:val="005623EE"/>
    <w:rsid w:val="005625A4"/>
    <w:rsid w:val="00562D04"/>
    <w:rsid w:val="00562FFA"/>
    <w:rsid w:val="00563043"/>
    <w:rsid w:val="005631A9"/>
    <w:rsid w:val="00563335"/>
    <w:rsid w:val="00563502"/>
    <w:rsid w:val="00563672"/>
    <w:rsid w:val="005636B6"/>
    <w:rsid w:val="00563B17"/>
    <w:rsid w:val="00563B39"/>
    <w:rsid w:val="00563D45"/>
    <w:rsid w:val="005641B5"/>
    <w:rsid w:val="00564592"/>
    <w:rsid w:val="0056466E"/>
    <w:rsid w:val="005646B8"/>
    <w:rsid w:val="005648C3"/>
    <w:rsid w:val="005651CE"/>
    <w:rsid w:val="0056542F"/>
    <w:rsid w:val="00565EDD"/>
    <w:rsid w:val="00565F66"/>
    <w:rsid w:val="00566331"/>
    <w:rsid w:val="00566715"/>
    <w:rsid w:val="005668BD"/>
    <w:rsid w:val="00567517"/>
    <w:rsid w:val="00567821"/>
    <w:rsid w:val="00567A5A"/>
    <w:rsid w:val="00567AFD"/>
    <w:rsid w:val="00567C20"/>
    <w:rsid w:val="00567CC7"/>
    <w:rsid w:val="00567E1B"/>
    <w:rsid w:val="00567E1E"/>
    <w:rsid w:val="005703DE"/>
    <w:rsid w:val="00570445"/>
    <w:rsid w:val="00570640"/>
    <w:rsid w:val="00570703"/>
    <w:rsid w:val="00571163"/>
    <w:rsid w:val="00571267"/>
    <w:rsid w:val="0057194A"/>
    <w:rsid w:val="00571C57"/>
    <w:rsid w:val="00571CD3"/>
    <w:rsid w:val="005720E8"/>
    <w:rsid w:val="00572BB4"/>
    <w:rsid w:val="005735DE"/>
    <w:rsid w:val="00573669"/>
    <w:rsid w:val="00573B77"/>
    <w:rsid w:val="00573C36"/>
    <w:rsid w:val="00573E8C"/>
    <w:rsid w:val="005743A7"/>
    <w:rsid w:val="0057443A"/>
    <w:rsid w:val="005744F6"/>
    <w:rsid w:val="005745B8"/>
    <w:rsid w:val="00574605"/>
    <w:rsid w:val="005746D0"/>
    <w:rsid w:val="0057493E"/>
    <w:rsid w:val="00574A22"/>
    <w:rsid w:val="00574ADC"/>
    <w:rsid w:val="00574BF8"/>
    <w:rsid w:val="00574C4D"/>
    <w:rsid w:val="005754D8"/>
    <w:rsid w:val="0057571F"/>
    <w:rsid w:val="0057593A"/>
    <w:rsid w:val="00575CAE"/>
    <w:rsid w:val="00575E76"/>
    <w:rsid w:val="00575EC9"/>
    <w:rsid w:val="00575EFE"/>
    <w:rsid w:val="00575F01"/>
    <w:rsid w:val="0057647B"/>
    <w:rsid w:val="005765B7"/>
    <w:rsid w:val="00576726"/>
    <w:rsid w:val="00576778"/>
    <w:rsid w:val="005767C6"/>
    <w:rsid w:val="00576C2E"/>
    <w:rsid w:val="00576C8F"/>
    <w:rsid w:val="00576D65"/>
    <w:rsid w:val="00577033"/>
    <w:rsid w:val="00577255"/>
    <w:rsid w:val="00577570"/>
    <w:rsid w:val="00577EBB"/>
    <w:rsid w:val="0058006F"/>
    <w:rsid w:val="0058046C"/>
    <w:rsid w:val="005804C2"/>
    <w:rsid w:val="005804D8"/>
    <w:rsid w:val="00580659"/>
    <w:rsid w:val="00580726"/>
    <w:rsid w:val="00581159"/>
    <w:rsid w:val="005811EC"/>
    <w:rsid w:val="005811F0"/>
    <w:rsid w:val="005814B7"/>
    <w:rsid w:val="00581514"/>
    <w:rsid w:val="00581891"/>
    <w:rsid w:val="005819DD"/>
    <w:rsid w:val="00581A83"/>
    <w:rsid w:val="00581B24"/>
    <w:rsid w:val="00581D41"/>
    <w:rsid w:val="00581DE0"/>
    <w:rsid w:val="00581FCA"/>
    <w:rsid w:val="00582170"/>
    <w:rsid w:val="00582189"/>
    <w:rsid w:val="005821EF"/>
    <w:rsid w:val="00582613"/>
    <w:rsid w:val="0058272D"/>
    <w:rsid w:val="00582814"/>
    <w:rsid w:val="0058290E"/>
    <w:rsid w:val="00582929"/>
    <w:rsid w:val="0058294C"/>
    <w:rsid w:val="00582BF0"/>
    <w:rsid w:val="00582FD0"/>
    <w:rsid w:val="005833DB"/>
    <w:rsid w:val="005834AA"/>
    <w:rsid w:val="00583849"/>
    <w:rsid w:val="00583965"/>
    <w:rsid w:val="00583D34"/>
    <w:rsid w:val="00583DE0"/>
    <w:rsid w:val="00584196"/>
    <w:rsid w:val="00584479"/>
    <w:rsid w:val="00584679"/>
    <w:rsid w:val="0058480B"/>
    <w:rsid w:val="00584AEA"/>
    <w:rsid w:val="00584B12"/>
    <w:rsid w:val="00584B4C"/>
    <w:rsid w:val="00584BE2"/>
    <w:rsid w:val="00584F11"/>
    <w:rsid w:val="005852BF"/>
    <w:rsid w:val="00585A1F"/>
    <w:rsid w:val="00585BF7"/>
    <w:rsid w:val="0058637B"/>
    <w:rsid w:val="0058639C"/>
    <w:rsid w:val="0058640F"/>
    <w:rsid w:val="0058648B"/>
    <w:rsid w:val="005868FC"/>
    <w:rsid w:val="00586E4A"/>
    <w:rsid w:val="0058726E"/>
    <w:rsid w:val="005875BA"/>
    <w:rsid w:val="00587EE3"/>
    <w:rsid w:val="005901D1"/>
    <w:rsid w:val="00590547"/>
    <w:rsid w:val="00590688"/>
    <w:rsid w:val="00590933"/>
    <w:rsid w:val="00590BC3"/>
    <w:rsid w:val="00590C63"/>
    <w:rsid w:val="00590FE7"/>
    <w:rsid w:val="005911A4"/>
    <w:rsid w:val="00591206"/>
    <w:rsid w:val="005913CD"/>
    <w:rsid w:val="00591599"/>
    <w:rsid w:val="0059199C"/>
    <w:rsid w:val="00591A6D"/>
    <w:rsid w:val="00591DEF"/>
    <w:rsid w:val="0059219E"/>
    <w:rsid w:val="005924E3"/>
    <w:rsid w:val="00592532"/>
    <w:rsid w:val="005929F3"/>
    <w:rsid w:val="00592D90"/>
    <w:rsid w:val="00592FEF"/>
    <w:rsid w:val="0059308D"/>
    <w:rsid w:val="0059316B"/>
    <w:rsid w:val="005932AF"/>
    <w:rsid w:val="00593423"/>
    <w:rsid w:val="0059371B"/>
    <w:rsid w:val="0059381D"/>
    <w:rsid w:val="0059447C"/>
    <w:rsid w:val="00594A22"/>
    <w:rsid w:val="00594BC6"/>
    <w:rsid w:val="00594F35"/>
    <w:rsid w:val="00595003"/>
    <w:rsid w:val="005953B5"/>
    <w:rsid w:val="0059576F"/>
    <w:rsid w:val="00595CD5"/>
    <w:rsid w:val="00596058"/>
    <w:rsid w:val="0059665E"/>
    <w:rsid w:val="00596ADE"/>
    <w:rsid w:val="005972B0"/>
    <w:rsid w:val="0059751A"/>
    <w:rsid w:val="00597D01"/>
    <w:rsid w:val="00597DFA"/>
    <w:rsid w:val="00597FDE"/>
    <w:rsid w:val="005A0180"/>
    <w:rsid w:val="005A05FA"/>
    <w:rsid w:val="005A0630"/>
    <w:rsid w:val="005A064F"/>
    <w:rsid w:val="005A0823"/>
    <w:rsid w:val="005A1230"/>
    <w:rsid w:val="005A125C"/>
    <w:rsid w:val="005A158B"/>
    <w:rsid w:val="005A1874"/>
    <w:rsid w:val="005A20E0"/>
    <w:rsid w:val="005A21FB"/>
    <w:rsid w:val="005A23F5"/>
    <w:rsid w:val="005A2494"/>
    <w:rsid w:val="005A2610"/>
    <w:rsid w:val="005A2B76"/>
    <w:rsid w:val="005A2E15"/>
    <w:rsid w:val="005A2E8C"/>
    <w:rsid w:val="005A30B5"/>
    <w:rsid w:val="005A33B4"/>
    <w:rsid w:val="005A3A35"/>
    <w:rsid w:val="005A4149"/>
    <w:rsid w:val="005A41F5"/>
    <w:rsid w:val="005A4CA3"/>
    <w:rsid w:val="005A5594"/>
    <w:rsid w:val="005A5831"/>
    <w:rsid w:val="005A5EC8"/>
    <w:rsid w:val="005A5F48"/>
    <w:rsid w:val="005A60F5"/>
    <w:rsid w:val="005A6353"/>
    <w:rsid w:val="005A6E0E"/>
    <w:rsid w:val="005A6F2E"/>
    <w:rsid w:val="005A72AE"/>
    <w:rsid w:val="005A73A4"/>
    <w:rsid w:val="005A774C"/>
    <w:rsid w:val="005A77EA"/>
    <w:rsid w:val="005A7F8F"/>
    <w:rsid w:val="005B0162"/>
    <w:rsid w:val="005B07D9"/>
    <w:rsid w:val="005B07E0"/>
    <w:rsid w:val="005B0CA0"/>
    <w:rsid w:val="005B0D32"/>
    <w:rsid w:val="005B10F4"/>
    <w:rsid w:val="005B11DE"/>
    <w:rsid w:val="005B154C"/>
    <w:rsid w:val="005B20D8"/>
    <w:rsid w:val="005B298D"/>
    <w:rsid w:val="005B2A33"/>
    <w:rsid w:val="005B2FD8"/>
    <w:rsid w:val="005B3045"/>
    <w:rsid w:val="005B3053"/>
    <w:rsid w:val="005B31CF"/>
    <w:rsid w:val="005B3393"/>
    <w:rsid w:val="005B3496"/>
    <w:rsid w:val="005B35CA"/>
    <w:rsid w:val="005B3646"/>
    <w:rsid w:val="005B3957"/>
    <w:rsid w:val="005B3BF2"/>
    <w:rsid w:val="005B409A"/>
    <w:rsid w:val="005B4287"/>
    <w:rsid w:val="005B43AD"/>
    <w:rsid w:val="005B4507"/>
    <w:rsid w:val="005B46BF"/>
    <w:rsid w:val="005B475B"/>
    <w:rsid w:val="005B4B03"/>
    <w:rsid w:val="005B5346"/>
    <w:rsid w:val="005B591C"/>
    <w:rsid w:val="005B5B40"/>
    <w:rsid w:val="005B5FCE"/>
    <w:rsid w:val="005B6270"/>
    <w:rsid w:val="005B6294"/>
    <w:rsid w:val="005B63BA"/>
    <w:rsid w:val="005B673A"/>
    <w:rsid w:val="005B6FD0"/>
    <w:rsid w:val="005B7A48"/>
    <w:rsid w:val="005B7AA4"/>
    <w:rsid w:val="005B7C71"/>
    <w:rsid w:val="005C0273"/>
    <w:rsid w:val="005C03B3"/>
    <w:rsid w:val="005C0568"/>
    <w:rsid w:val="005C0597"/>
    <w:rsid w:val="005C061E"/>
    <w:rsid w:val="005C0776"/>
    <w:rsid w:val="005C0874"/>
    <w:rsid w:val="005C0949"/>
    <w:rsid w:val="005C099D"/>
    <w:rsid w:val="005C0C30"/>
    <w:rsid w:val="005C0D05"/>
    <w:rsid w:val="005C0D82"/>
    <w:rsid w:val="005C0E3B"/>
    <w:rsid w:val="005C15FD"/>
    <w:rsid w:val="005C19AE"/>
    <w:rsid w:val="005C1EA5"/>
    <w:rsid w:val="005C20A8"/>
    <w:rsid w:val="005C20C8"/>
    <w:rsid w:val="005C25AA"/>
    <w:rsid w:val="005C2907"/>
    <w:rsid w:val="005C2FB0"/>
    <w:rsid w:val="005C3449"/>
    <w:rsid w:val="005C38E0"/>
    <w:rsid w:val="005C3E17"/>
    <w:rsid w:val="005C40F3"/>
    <w:rsid w:val="005C4155"/>
    <w:rsid w:val="005C4181"/>
    <w:rsid w:val="005C44A6"/>
    <w:rsid w:val="005C4640"/>
    <w:rsid w:val="005C4ED5"/>
    <w:rsid w:val="005C512F"/>
    <w:rsid w:val="005C5316"/>
    <w:rsid w:val="005C5428"/>
    <w:rsid w:val="005C5709"/>
    <w:rsid w:val="005C5790"/>
    <w:rsid w:val="005C5844"/>
    <w:rsid w:val="005C5AF7"/>
    <w:rsid w:val="005C5DD1"/>
    <w:rsid w:val="005C5FE8"/>
    <w:rsid w:val="005C6209"/>
    <w:rsid w:val="005C6B74"/>
    <w:rsid w:val="005C6F40"/>
    <w:rsid w:val="005C6F6D"/>
    <w:rsid w:val="005C7342"/>
    <w:rsid w:val="005C7403"/>
    <w:rsid w:val="005C7808"/>
    <w:rsid w:val="005C7913"/>
    <w:rsid w:val="005C7D06"/>
    <w:rsid w:val="005C7ED1"/>
    <w:rsid w:val="005C7FEF"/>
    <w:rsid w:val="005D00A2"/>
    <w:rsid w:val="005D0247"/>
    <w:rsid w:val="005D04F2"/>
    <w:rsid w:val="005D0795"/>
    <w:rsid w:val="005D08D2"/>
    <w:rsid w:val="005D0A58"/>
    <w:rsid w:val="005D0A84"/>
    <w:rsid w:val="005D0B1E"/>
    <w:rsid w:val="005D0FBE"/>
    <w:rsid w:val="005D10D5"/>
    <w:rsid w:val="005D191A"/>
    <w:rsid w:val="005D1DC2"/>
    <w:rsid w:val="005D1DF1"/>
    <w:rsid w:val="005D1E74"/>
    <w:rsid w:val="005D2375"/>
    <w:rsid w:val="005D2675"/>
    <w:rsid w:val="005D2838"/>
    <w:rsid w:val="005D28B5"/>
    <w:rsid w:val="005D293B"/>
    <w:rsid w:val="005D29A5"/>
    <w:rsid w:val="005D29DE"/>
    <w:rsid w:val="005D2B8A"/>
    <w:rsid w:val="005D3738"/>
    <w:rsid w:val="005D39DF"/>
    <w:rsid w:val="005D3F74"/>
    <w:rsid w:val="005D3F93"/>
    <w:rsid w:val="005D4209"/>
    <w:rsid w:val="005D42C9"/>
    <w:rsid w:val="005D4640"/>
    <w:rsid w:val="005D475E"/>
    <w:rsid w:val="005D4C0A"/>
    <w:rsid w:val="005D52F1"/>
    <w:rsid w:val="005D560F"/>
    <w:rsid w:val="005D56D1"/>
    <w:rsid w:val="005D5830"/>
    <w:rsid w:val="005D5AA3"/>
    <w:rsid w:val="005D5AB7"/>
    <w:rsid w:val="005D5C54"/>
    <w:rsid w:val="005D5DED"/>
    <w:rsid w:val="005D5E96"/>
    <w:rsid w:val="005D5E9E"/>
    <w:rsid w:val="005D63BF"/>
    <w:rsid w:val="005D65DC"/>
    <w:rsid w:val="005D6696"/>
    <w:rsid w:val="005D7636"/>
    <w:rsid w:val="005D772D"/>
    <w:rsid w:val="005D7835"/>
    <w:rsid w:val="005D79C4"/>
    <w:rsid w:val="005D7C36"/>
    <w:rsid w:val="005D7CBC"/>
    <w:rsid w:val="005D7E75"/>
    <w:rsid w:val="005E05D4"/>
    <w:rsid w:val="005E070F"/>
    <w:rsid w:val="005E07E6"/>
    <w:rsid w:val="005E094B"/>
    <w:rsid w:val="005E0A21"/>
    <w:rsid w:val="005E0D91"/>
    <w:rsid w:val="005E0E07"/>
    <w:rsid w:val="005E198E"/>
    <w:rsid w:val="005E1DA2"/>
    <w:rsid w:val="005E1F83"/>
    <w:rsid w:val="005E20FE"/>
    <w:rsid w:val="005E28DB"/>
    <w:rsid w:val="005E2A5A"/>
    <w:rsid w:val="005E2AB9"/>
    <w:rsid w:val="005E2C0A"/>
    <w:rsid w:val="005E2C47"/>
    <w:rsid w:val="005E2E55"/>
    <w:rsid w:val="005E2F27"/>
    <w:rsid w:val="005E2FA3"/>
    <w:rsid w:val="005E38DA"/>
    <w:rsid w:val="005E3C35"/>
    <w:rsid w:val="005E3CC8"/>
    <w:rsid w:val="005E3CEE"/>
    <w:rsid w:val="005E3F0C"/>
    <w:rsid w:val="005E40FD"/>
    <w:rsid w:val="005E4190"/>
    <w:rsid w:val="005E47DA"/>
    <w:rsid w:val="005E4862"/>
    <w:rsid w:val="005E48E4"/>
    <w:rsid w:val="005E4BFC"/>
    <w:rsid w:val="005E4F8B"/>
    <w:rsid w:val="005E534D"/>
    <w:rsid w:val="005E53F0"/>
    <w:rsid w:val="005E564B"/>
    <w:rsid w:val="005E580A"/>
    <w:rsid w:val="005E5A62"/>
    <w:rsid w:val="005E5DE1"/>
    <w:rsid w:val="005E5FCF"/>
    <w:rsid w:val="005E60E7"/>
    <w:rsid w:val="005E7332"/>
    <w:rsid w:val="005E74B6"/>
    <w:rsid w:val="005E75DD"/>
    <w:rsid w:val="005E78A5"/>
    <w:rsid w:val="005E7A41"/>
    <w:rsid w:val="005E7B19"/>
    <w:rsid w:val="005E7DDA"/>
    <w:rsid w:val="005F0037"/>
    <w:rsid w:val="005F02F3"/>
    <w:rsid w:val="005F0981"/>
    <w:rsid w:val="005F0A12"/>
    <w:rsid w:val="005F119B"/>
    <w:rsid w:val="005F14D4"/>
    <w:rsid w:val="005F1676"/>
    <w:rsid w:val="005F21E7"/>
    <w:rsid w:val="005F2368"/>
    <w:rsid w:val="005F2648"/>
    <w:rsid w:val="005F26F8"/>
    <w:rsid w:val="005F2A85"/>
    <w:rsid w:val="005F2B37"/>
    <w:rsid w:val="005F2C64"/>
    <w:rsid w:val="005F3012"/>
    <w:rsid w:val="005F31CF"/>
    <w:rsid w:val="005F35E7"/>
    <w:rsid w:val="005F3A50"/>
    <w:rsid w:val="005F3CEF"/>
    <w:rsid w:val="005F4029"/>
    <w:rsid w:val="005F4198"/>
    <w:rsid w:val="005F42AD"/>
    <w:rsid w:val="005F48FA"/>
    <w:rsid w:val="005F4A40"/>
    <w:rsid w:val="005F4AE6"/>
    <w:rsid w:val="005F4CC5"/>
    <w:rsid w:val="005F53FF"/>
    <w:rsid w:val="005F543E"/>
    <w:rsid w:val="005F57EB"/>
    <w:rsid w:val="005F58D8"/>
    <w:rsid w:val="005F5963"/>
    <w:rsid w:val="005F603D"/>
    <w:rsid w:val="005F6214"/>
    <w:rsid w:val="005F624D"/>
    <w:rsid w:val="005F63DE"/>
    <w:rsid w:val="005F64B2"/>
    <w:rsid w:val="005F6753"/>
    <w:rsid w:val="005F695E"/>
    <w:rsid w:val="005F6999"/>
    <w:rsid w:val="005F6AE2"/>
    <w:rsid w:val="005F6C75"/>
    <w:rsid w:val="005F6F8B"/>
    <w:rsid w:val="005F715D"/>
    <w:rsid w:val="005F71F6"/>
    <w:rsid w:val="005F772A"/>
    <w:rsid w:val="005F77C1"/>
    <w:rsid w:val="005F7938"/>
    <w:rsid w:val="005F7A6D"/>
    <w:rsid w:val="005F7B6E"/>
    <w:rsid w:val="0060006A"/>
    <w:rsid w:val="006000EE"/>
    <w:rsid w:val="0060025E"/>
    <w:rsid w:val="006002D6"/>
    <w:rsid w:val="006004D0"/>
    <w:rsid w:val="0060081D"/>
    <w:rsid w:val="00600F8C"/>
    <w:rsid w:val="006010C8"/>
    <w:rsid w:val="006013CB"/>
    <w:rsid w:val="00601B38"/>
    <w:rsid w:val="006022EE"/>
    <w:rsid w:val="00602A75"/>
    <w:rsid w:val="00602DDD"/>
    <w:rsid w:val="00602E45"/>
    <w:rsid w:val="00603EF9"/>
    <w:rsid w:val="00604026"/>
    <w:rsid w:val="006040A7"/>
    <w:rsid w:val="006040D2"/>
    <w:rsid w:val="006041B0"/>
    <w:rsid w:val="006043DF"/>
    <w:rsid w:val="006047C5"/>
    <w:rsid w:val="006048CF"/>
    <w:rsid w:val="00604AA8"/>
    <w:rsid w:val="00604EED"/>
    <w:rsid w:val="00605064"/>
    <w:rsid w:val="006051D5"/>
    <w:rsid w:val="00605330"/>
    <w:rsid w:val="006055B5"/>
    <w:rsid w:val="00605726"/>
    <w:rsid w:val="0060590C"/>
    <w:rsid w:val="00605A2E"/>
    <w:rsid w:val="00605A81"/>
    <w:rsid w:val="00605ECD"/>
    <w:rsid w:val="00606209"/>
    <w:rsid w:val="006066D5"/>
    <w:rsid w:val="00606927"/>
    <w:rsid w:val="00606ADE"/>
    <w:rsid w:val="00606B23"/>
    <w:rsid w:val="00607623"/>
    <w:rsid w:val="00607808"/>
    <w:rsid w:val="00607821"/>
    <w:rsid w:val="00607947"/>
    <w:rsid w:val="00607D01"/>
    <w:rsid w:val="00607FD2"/>
    <w:rsid w:val="0061020F"/>
    <w:rsid w:val="00610286"/>
    <w:rsid w:val="00610D9C"/>
    <w:rsid w:val="00611235"/>
    <w:rsid w:val="00611312"/>
    <w:rsid w:val="0061137D"/>
    <w:rsid w:val="0061167F"/>
    <w:rsid w:val="0061169D"/>
    <w:rsid w:val="00611A48"/>
    <w:rsid w:val="0061234A"/>
    <w:rsid w:val="0061237F"/>
    <w:rsid w:val="006123B4"/>
    <w:rsid w:val="00612760"/>
    <w:rsid w:val="0061282A"/>
    <w:rsid w:val="00612E45"/>
    <w:rsid w:val="00613152"/>
    <w:rsid w:val="006134AF"/>
    <w:rsid w:val="0061393C"/>
    <w:rsid w:val="00613981"/>
    <w:rsid w:val="00613CDB"/>
    <w:rsid w:val="00613DB7"/>
    <w:rsid w:val="00613FDD"/>
    <w:rsid w:val="00614098"/>
    <w:rsid w:val="006140BF"/>
    <w:rsid w:val="006145F1"/>
    <w:rsid w:val="00614823"/>
    <w:rsid w:val="0061485E"/>
    <w:rsid w:val="006149AC"/>
    <w:rsid w:val="00614B96"/>
    <w:rsid w:val="006151D6"/>
    <w:rsid w:val="006156BA"/>
    <w:rsid w:val="00615C8C"/>
    <w:rsid w:val="00615CBB"/>
    <w:rsid w:val="00616545"/>
    <w:rsid w:val="00616E9B"/>
    <w:rsid w:val="00617212"/>
    <w:rsid w:val="0061731A"/>
    <w:rsid w:val="00617399"/>
    <w:rsid w:val="0061778A"/>
    <w:rsid w:val="00617D63"/>
    <w:rsid w:val="00617EA4"/>
    <w:rsid w:val="00620316"/>
    <w:rsid w:val="00620518"/>
    <w:rsid w:val="0062084B"/>
    <w:rsid w:val="006209FD"/>
    <w:rsid w:val="00620AF2"/>
    <w:rsid w:val="00620E19"/>
    <w:rsid w:val="00620FF3"/>
    <w:rsid w:val="00621047"/>
    <w:rsid w:val="00621094"/>
    <w:rsid w:val="00621262"/>
    <w:rsid w:val="0062132D"/>
    <w:rsid w:val="00621472"/>
    <w:rsid w:val="006214A4"/>
    <w:rsid w:val="00621761"/>
    <w:rsid w:val="006217EA"/>
    <w:rsid w:val="00621855"/>
    <w:rsid w:val="00621FDF"/>
    <w:rsid w:val="0062203F"/>
    <w:rsid w:val="006221DA"/>
    <w:rsid w:val="006224BA"/>
    <w:rsid w:val="006224EE"/>
    <w:rsid w:val="006225D8"/>
    <w:rsid w:val="0062264E"/>
    <w:rsid w:val="00622770"/>
    <w:rsid w:val="00622CDA"/>
    <w:rsid w:val="00622CE3"/>
    <w:rsid w:val="006233F7"/>
    <w:rsid w:val="00623E28"/>
    <w:rsid w:val="00623E80"/>
    <w:rsid w:val="00623FCB"/>
    <w:rsid w:val="0062408A"/>
    <w:rsid w:val="006240C6"/>
    <w:rsid w:val="0062448A"/>
    <w:rsid w:val="0062453A"/>
    <w:rsid w:val="0062461F"/>
    <w:rsid w:val="00624651"/>
    <w:rsid w:val="0062465B"/>
    <w:rsid w:val="00624871"/>
    <w:rsid w:val="00624893"/>
    <w:rsid w:val="00624DA2"/>
    <w:rsid w:val="00624F89"/>
    <w:rsid w:val="00625B4D"/>
    <w:rsid w:val="00625D6C"/>
    <w:rsid w:val="00625FF5"/>
    <w:rsid w:val="00626478"/>
    <w:rsid w:val="006267D5"/>
    <w:rsid w:val="00626E70"/>
    <w:rsid w:val="006276EB"/>
    <w:rsid w:val="00627723"/>
    <w:rsid w:val="006279BA"/>
    <w:rsid w:val="00627B1D"/>
    <w:rsid w:val="00627F42"/>
    <w:rsid w:val="00630828"/>
    <w:rsid w:val="00630910"/>
    <w:rsid w:val="00630A98"/>
    <w:rsid w:val="006313BF"/>
    <w:rsid w:val="00631635"/>
    <w:rsid w:val="006317FF"/>
    <w:rsid w:val="00631B3D"/>
    <w:rsid w:val="006328D3"/>
    <w:rsid w:val="006328D5"/>
    <w:rsid w:val="00632B7A"/>
    <w:rsid w:val="00632BCA"/>
    <w:rsid w:val="00633145"/>
    <w:rsid w:val="00633AF5"/>
    <w:rsid w:val="00633B81"/>
    <w:rsid w:val="00633CA5"/>
    <w:rsid w:val="00633D3D"/>
    <w:rsid w:val="00634353"/>
    <w:rsid w:val="006345C2"/>
    <w:rsid w:val="00634696"/>
    <w:rsid w:val="00634807"/>
    <w:rsid w:val="00634D5C"/>
    <w:rsid w:val="0063543E"/>
    <w:rsid w:val="00635EEE"/>
    <w:rsid w:val="006363FA"/>
    <w:rsid w:val="0063679C"/>
    <w:rsid w:val="00636957"/>
    <w:rsid w:val="006369DE"/>
    <w:rsid w:val="00636ACB"/>
    <w:rsid w:val="00636ACF"/>
    <w:rsid w:val="00636CBE"/>
    <w:rsid w:val="00636CE6"/>
    <w:rsid w:val="00636DDA"/>
    <w:rsid w:val="00636FF4"/>
    <w:rsid w:val="00637044"/>
    <w:rsid w:val="00637704"/>
    <w:rsid w:val="0063777D"/>
    <w:rsid w:val="006377AA"/>
    <w:rsid w:val="00637886"/>
    <w:rsid w:val="006378AE"/>
    <w:rsid w:val="00637A18"/>
    <w:rsid w:val="00637FA7"/>
    <w:rsid w:val="006400A0"/>
    <w:rsid w:val="0064037C"/>
    <w:rsid w:val="006406F9"/>
    <w:rsid w:val="00640AF2"/>
    <w:rsid w:val="00640C27"/>
    <w:rsid w:val="00640EBD"/>
    <w:rsid w:val="00640EF1"/>
    <w:rsid w:val="006412F2"/>
    <w:rsid w:val="0064162F"/>
    <w:rsid w:val="006416EA"/>
    <w:rsid w:val="006418DB"/>
    <w:rsid w:val="00641A7B"/>
    <w:rsid w:val="00641BEC"/>
    <w:rsid w:val="00641CF9"/>
    <w:rsid w:val="00641D34"/>
    <w:rsid w:val="00641F14"/>
    <w:rsid w:val="006424E8"/>
    <w:rsid w:val="0064262C"/>
    <w:rsid w:val="00642641"/>
    <w:rsid w:val="006426B8"/>
    <w:rsid w:val="006429E1"/>
    <w:rsid w:val="00642AFB"/>
    <w:rsid w:val="00643301"/>
    <w:rsid w:val="00643445"/>
    <w:rsid w:val="00643D1A"/>
    <w:rsid w:val="00643DB4"/>
    <w:rsid w:val="00643F0E"/>
    <w:rsid w:val="00644099"/>
    <w:rsid w:val="0064449D"/>
    <w:rsid w:val="0064476C"/>
    <w:rsid w:val="0064486F"/>
    <w:rsid w:val="00644A81"/>
    <w:rsid w:val="00644B62"/>
    <w:rsid w:val="006452AF"/>
    <w:rsid w:val="0064531E"/>
    <w:rsid w:val="00645479"/>
    <w:rsid w:val="006458F9"/>
    <w:rsid w:val="00645D51"/>
    <w:rsid w:val="00645E86"/>
    <w:rsid w:val="00646110"/>
    <w:rsid w:val="006463B9"/>
    <w:rsid w:val="00646492"/>
    <w:rsid w:val="006468A1"/>
    <w:rsid w:val="00646ED9"/>
    <w:rsid w:val="00646F34"/>
    <w:rsid w:val="0064724E"/>
    <w:rsid w:val="006473EB"/>
    <w:rsid w:val="00647A0E"/>
    <w:rsid w:val="00647B95"/>
    <w:rsid w:val="00647D38"/>
    <w:rsid w:val="00647DE2"/>
    <w:rsid w:val="00647E3C"/>
    <w:rsid w:val="00647EB8"/>
    <w:rsid w:val="00647F16"/>
    <w:rsid w:val="006506EA"/>
    <w:rsid w:val="00650BDA"/>
    <w:rsid w:val="00650C35"/>
    <w:rsid w:val="00651618"/>
    <w:rsid w:val="006516C3"/>
    <w:rsid w:val="006518EE"/>
    <w:rsid w:val="00651CEE"/>
    <w:rsid w:val="00651FB2"/>
    <w:rsid w:val="006520BA"/>
    <w:rsid w:val="00652566"/>
    <w:rsid w:val="00652E9C"/>
    <w:rsid w:val="006536A7"/>
    <w:rsid w:val="00653D2B"/>
    <w:rsid w:val="00653E00"/>
    <w:rsid w:val="00653FA8"/>
    <w:rsid w:val="0065424F"/>
    <w:rsid w:val="0065462B"/>
    <w:rsid w:val="00654AAE"/>
    <w:rsid w:val="00654B30"/>
    <w:rsid w:val="00654B44"/>
    <w:rsid w:val="00654C78"/>
    <w:rsid w:val="00654C90"/>
    <w:rsid w:val="00654CAA"/>
    <w:rsid w:val="00654D27"/>
    <w:rsid w:val="00655127"/>
    <w:rsid w:val="006551C4"/>
    <w:rsid w:val="0065532A"/>
    <w:rsid w:val="006553AD"/>
    <w:rsid w:val="006553E2"/>
    <w:rsid w:val="006557C2"/>
    <w:rsid w:val="00655C2E"/>
    <w:rsid w:val="00655CC9"/>
    <w:rsid w:val="00655D0C"/>
    <w:rsid w:val="006564F2"/>
    <w:rsid w:val="00656561"/>
    <w:rsid w:val="00656834"/>
    <w:rsid w:val="00656C5F"/>
    <w:rsid w:val="00656E2E"/>
    <w:rsid w:val="00657B36"/>
    <w:rsid w:val="00657DB6"/>
    <w:rsid w:val="00660454"/>
    <w:rsid w:val="006606AA"/>
    <w:rsid w:val="00660727"/>
    <w:rsid w:val="006608B8"/>
    <w:rsid w:val="006608CF"/>
    <w:rsid w:val="00660AF9"/>
    <w:rsid w:val="00660D4B"/>
    <w:rsid w:val="006611C4"/>
    <w:rsid w:val="00661261"/>
    <w:rsid w:val="00661579"/>
    <w:rsid w:val="0066168F"/>
    <w:rsid w:val="0066171D"/>
    <w:rsid w:val="006619FD"/>
    <w:rsid w:val="00661C3D"/>
    <w:rsid w:val="00661D1C"/>
    <w:rsid w:val="00661DE7"/>
    <w:rsid w:val="00661E80"/>
    <w:rsid w:val="0066214B"/>
    <w:rsid w:val="00662166"/>
    <w:rsid w:val="0066227F"/>
    <w:rsid w:val="006626E4"/>
    <w:rsid w:val="00662A3B"/>
    <w:rsid w:val="00662A53"/>
    <w:rsid w:val="00662AB0"/>
    <w:rsid w:val="00662BB8"/>
    <w:rsid w:val="00663116"/>
    <w:rsid w:val="00663477"/>
    <w:rsid w:val="006635E4"/>
    <w:rsid w:val="00663A8E"/>
    <w:rsid w:val="0066407A"/>
    <w:rsid w:val="00664678"/>
    <w:rsid w:val="006648BB"/>
    <w:rsid w:val="00664948"/>
    <w:rsid w:val="00664A0C"/>
    <w:rsid w:val="00664B73"/>
    <w:rsid w:val="00664DEB"/>
    <w:rsid w:val="00664FD1"/>
    <w:rsid w:val="006650A6"/>
    <w:rsid w:val="00665179"/>
    <w:rsid w:val="006657A0"/>
    <w:rsid w:val="00665A39"/>
    <w:rsid w:val="00665AD0"/>
    <w:rsid w:val="00665C2A"/>
    <w:rsid w:val="00665CBE"/>
    <w:rsid w:val="00666286"/>
    <w:rsid w:val="00666777"/>
    <w:rsid w:val="0066686B"/>
    <w:rsid w:val="00666905"/>
    <w:rsid w:val="00666F9E"/>
    <w:rsid w:val="0066701A"/>
    <w:rsid w:val="00667482"/>
    <w:rsid w:val="0066764F"/>
    <w:rsid w:val="006677FE"/>
    <w:rsid w:val="0067002D"/>
    <w:rsid w:val="00670248"/>
    <w:rsid w:val="00670401"/>
    <w:rsid w:val="006705BD"/>
    <w:rsid w:val="00670800"/>
    <w:rsid w:val="00671824"/>
    <w:rsid w:val="00671A4F"/>
    <w:rsid w:val="00672186"/>
    <w:rsid w:val="006722B0"/>
    <w:rsid w:val="00672447"/>
    <w:rsid w:val="00672991"/>
    <w:rsid w:val="00672A82"/>
    <w:rsid w:val="00672D16"/>
    <w:rsid w:val="00673001"/>
    <w:rsid w:val="0067316B"/>
    <w:rsid w:val="006732C6"/>
    <w:rsid w:val="006734CD"/>
    <w:rsid w:val="0067354F"/>
    <w:rsid w:val="0067378A"/>
    <w:rsid w:val="00673C81"/>
    <w:rsid w:val="00673CA8"/>
    <w:rsid w:val="0067402C"/>
    <w:rsid w:val="0067412B"/>
    <w:rsid w:val="006743F5"/>
    <w:rsid w:val="006744CC"/>
    <w:rsid w:val="0067497C"/>
    <w:rsid w:val="00674C10"/>
    <w:rsid w:val="0067548C"/>
    <w:rsid w:val="006755E5"/>
    <w:rsid w:val="0067565F"/>
    <w:rsid w:val="00675987"/>
    <w:rsid w:val="00675997"/>
    <w:rsid w:val="00675ACF"/>
    <w:rsid w:val="00675F14"/>
    <w:rsid w:val="00676040"/>
    <w:rsid w:val="006760A1"/>
    <w:rsid w:val="006760BC"/>
    <w:rsid w:val="0067660A"/>
    <w:rsid w:val="00676774"/>
    <w:rsid w:val="00676860"/>
    <w:rsid w:val="00676A80"/>
    <w:rsid w:val="00676B3F"/>
    <w:rsid w:val="006773E1"/>
    <w:rsid w:val="0067745C"/>
    <w:rsid w:val="006775F3"/>
    <w:rsid w:val="0067766E"/>
    <w:rsid w:val="00677841"/>
    <w:rsid w:val="00677D7F"/>
    <w:rsid w:val="00677E78"/>
    <w:rsid w:val="0068007F"/>
    <w:rsid w:val="0068028A"/>
    <w:rsid w:val="00680D08"/>
    <w:rsid w:val="00680FF2"/>
    <w:rsid w:val="00681207"/>
    <w:rsid w:val="00681E2D"/>
    <w:rsid w:val="00681EB5"/>
    <w:rsid w:val="0068241D"/>
    <w:rsid w:val="006824B3"/>
    <w:rsid w:val="00682744"/>
    <w:rsid w:val="00682A5A"/>
    <w:rsid w:val="00682B96"/>
    <w:rsid w:val="00682DCB"/>
    <w:rsid w:val="00683063"/>
    <w:rsid w:val="006830F3"/>
    <w:rsid w:val="00683359"/>
    <w:rsid w:val="0068350A"/>
    <w:rsid w:val="00683AB9"/>
    <w:rsid w:val="00683CE2"/>
    <w:rsid w:val="00684137"/>
    <w:rsid w:val="0068443A"/>
    <w:rsid w:val="006844BB"/>
    <w:rsid w:val="0068461F"/>
    <w:rsid w:val="00684783"/>
    <w:rsid w:val="00684C87"/>
    <w:rsid w:val="00684EF5"/>
    <w:rsid w:val="00685B79"/>
    <w:rsid w:val="00685D87"/>
    <w:rsid w:val="00685D8D"/>
    <w:rsid w:val="00685F63"/>
    <w:rsid w:val="00685FEA"/>
    <w:rsid w:val="00686302"/>
    <w:rsid w:val="006863C5"/>
    <w:rsid w:val="00687106"/>
    <w:rsid w:val="00687199"/>
    <w:rsid w:val="0068730C"/>
    <w:rsid w:val="006873F6"/>
    <w:rsid w:val="006876E2"/>
    <w:rsid w:val="00687A42"/>
    <w:rsid w:val="00687B9C"/>
    <w:rsid w:val="00687C72"/>
    <w:rsid w:val="00687E6F"/>
    <w:rsid w:val="006902BD"/>
    <w:rsid w:val="0069040E"/>
    <w:rsid w:val="0069066E"/>
    <w:rsid w:val="006907D5"/>
    <w:rsid w:val="006909F2"/>
    <w:rsid w:val="00690FEE"/>
    <w:rsid w:val="0069111F"/>
    <w:rsid w:val="006914F3"/>
    <w:rsid w:val="006918F1"/>
    <w:rsid w:val="00691B1A"/>
    <w:rsid w:val="0069225D"/>
    <w:rsid w:val="0069265B"/>
    <w:rsid w:val="00692C1C"/>
    <w:rsid w:val="00692C39"/>
    <w:rsid w:val="00693109"/>
    <w:rsid w:val="00693266"/>
    <w:rsid w:val="006937BC"/>
    <w:rsid w:val="0069386D"/>
    <w:rsid w:val="00693CA3"/>
    <w:rsid w:val="00693EB9"/>
    <w:rsid w:val="006945FD"/>
    <w:rsid w:val="00694B70"/>
    <w:rsid w:val="00694D77"/>
    <w:rsid w:val="0069531E"/>
    <w:rsid w:val="006956D4"/>
    <w:rsid w:val="006956E1"/>
    <w:rsid w:val="00695731"/>
    <w:rsid w:val="0069579C"/>
    <w:rsid w:val="006958EA"/>
    <w:rsid w:val="00695928"/>
    <w:rsid w:val="00695BAF"/>
    <w:rsid w:val="00695BF5"/>
    <w:rsid w:val="00695DDE"/>
    <w:rsid w:val="00695EE2"/>
    <w:rsid w:val="00695FAA"/>
    <w:rsid w:val="00696330"/>
    <w:rsid w:val="006963D0"/>
    <w:rsid w:val="00696594"/>
    <w:rsid w:val="006966FB"/>
    <w:rsid w:val="00696C06"/>
    <w:rsid w:val="00696D8F"/>
    <w:rsid w:val="0069723C"/>
    <w:rsid w:val="006972D3"/>
    <w:rsid w:val="006975DA"/>
    <w:rsid w:val="0069761E"/>
    <w:rsid w:val="006978E9"/>
    <w:rsid w:val="00697AEE"/>
    <w:rsid w:val="00697CE0"/>
    <w:rsid w:val="00697D1A"/>
    <w:rsid w:val="00697D5F"/>
    <w:rsid w:val="00697F8E"/>
    <w:rsid w:val="00697FCA"/>
    <w:rsid w:val="006A03A4"/>
    <w:rsid w:val="006A03A9"/>
    <w:rsid w:val="006A03AC"/>
    <w:rsid w:val="006A064A"/>
    <w:rsid w:val="006A066A"/>
    <w:rsid w:val="006A0875"/>
    <w:rsid w:val="006A08C4"/>
    <w:rsid w:val="006A12BE"/>
    <w:rsid w:val="006A13EB"/>
    <w:rsid w:val="006A1828"/>
    <w:rsid w:val="006A1A69"/>
    <w:rsid w:val="006A1EA1"/>
    <w:rsid w:val="006A1FF0"/>
    <w:rsid w:val="006A28F3"/>
    <w:rsid w:val="006A2D78"/>
    <w:rsid w:val="006A3D1A"/>
    <w:rsid w:val="006A433F"/>
    <w:rsid w:val="006A47E1"/>
    <w:rsid w:val="006A4CE8"/>
    <w:rsid w:val="006A5313"/>
    <w:rsid w:val="006A55B2"/>
    <w:rsid w:val="006A5814"/>
    <w:rsid w:val="006A5B36"/>
    <w:rsid w:val="006A5D71"/>
    <w:rsid w:val="006A5EA9"/>
    <w:rsid w:val="006A5F72"/>
    <w:rsid w:val="006A60A6"/>
    <w:rsid w:val="006A61BE"/>
    <w:rsid w:val="006A6907"/>
    <w:rsid w:val="006A698A"/>
    <w:rsid w:val="006A6B43"/>
    <w:rsid w:val="006A6B9A"/>
    <w:rsid w:val="006A6D61"/>
    <w:rsid w:val="006A6FE4"/>
    <w:rsid w:val="006A717D"/>
    <w:rsid w:val="006A722F"/>
    <w:rsid w:val="006A788D"/>
    <w:rsid w:val="006A7AF4"/>
    <w:rsid w:val="006A7BD7"/>
    <w:rsid w:val="006A7C13"/>
    <w:rsid w:val="006B0074"/>
    <w:rsid w:val="006B0450"/>
    <w:rsid w:val="006B0456"/>
    <w:rsid w:val="006B06EC"/>
    <w:rsid w:val="006B07FA"/>
    <w:rsid w:val="006B0909"/>
    <w:rsid w:val="006B0A4F"/>
    <w:rsid w:val="006B0D16"/>
    <w:rsid w:val="006B0DBC"/>
    <w:rsid w:val="006B0DFF"/>
    <w:rsid w:val="006B13EB"/>
    <w:rsid w:val="006B1915"/>
    <w:rsid w:val="006B1B8F"/>
    <w:rsid w:val="006B20D9"/>
    <w:rsid w:val="006B262D"/>
    <w:rsid w:val="006B27C9"/>
    <w:rsid w:val="006B2BE7"/>
    <w:rsid w:val="006B2D07"/>
    <w:rsid w:val="006B2D6C"/>
    <w:rsid w:val="006B2FAD"/>
    <w:rsid w:val="006B37A0"/>
    <w:rsid w:val="006B39C8"/>
    <w:rsid w:val="006B3C28"/>
    <w:rsid w:val="006B3F51"/>
    <w:rsid w:val="006B3FC9"/>
    <w:rsid w:val="006B40C1"/>
    <w:rsid w:val="006B4155"/>
    <w:rsid w:val="006B469C"/>
    <w:rsid w:val="006B476E"/>
    <w:rsid w:val="006B49B6"/>
    <w:rsid w:val="006B519B"/>
    <w:rsid w:val="006B52E7"/>
    <w:rsid w:val="006B5611"/>
    <w:rsid w:val="006B590A"/>
    <w:rsid w:val="006B5EAA"/>
    <w:rsid w:val="006B5ECD"/>
    <w:rsid w:val="006B696D"/>
    <w:rsid w:val="006B6B82"/>
    <w:rsid w:val="006B6BC7"/>
    <w:rsid w:val="006B6EE1"/>
    <w:rsid w:val="006B73D2"/>
    <w:rsid w:val="006B7A7B"/>
    <w:rsid w:val="006B7AAE"/>
    <w:rsid w:val="006B7C8A"/>
    <w:rsid w:val="006B7D35"/>
    <w:rsid w:val="006C0016"/>
    <w:rsid w:val="006C0024"/>
    <w:rsid w:val="006C002A"/>
    <w:rsid w:val="006C008C"/>
    <w:rsid w:val="006C0851"/>
    <w:rsid w:val="006C0A15"/>
    <w:rsid w:val="006C0BD6"/>
    <w:rsid w:val="006C0DE1"/>
    <w:rsid w:val="006C10D5"/>
    <w:rsid w:val="006C135F"/>
    <w:rsid w:val="006C1442"/>
    <w:rsid w:val="006C148F"/>
    <w:rsid w:val="006C21FA"/>
    <w:rsid w:val="006C2265"/>
    <w:rsid w:val="006C2342"/>
    <w:rsid w:val="006C26E1"/>
    <w:rsid w:val="006C29B6"/>
    <w:rsid w:val="006C2A5F"/>
    <w:rsid w:val="006C2E58"/>
    <w:rsid w:val="006C2F30"/>
    <w:rsid w:val="006C301A"/>
    <w:rsid w:val="006C363C"/>
    <w:rsid w:val="006C3878"/>
    <w:rsid w:val="006C3890"/>
    <w:rsid w:val="006C38A1"/>
    <w:rsid w:val="006C3D19"/>
    <w:rsid w:val="006C4623"/>
    <w:rsid w:val="006C4764"/>
    <w:rsid w:val="006C4FF1"/>
    <w:rsid w:val="006C53C5"/>
    <w:rsid w:val="006C549F"/>
    <w:rsid w:val="006C587D"/>
    <w:rsid w:val="006C5B34"/>
    <w:rsid w:val="006C5B59"/>
    <w:rsid w:val="006C63B0"/>
    <w:rsid w:val="006C64DA"/>
    <w:rsid w:val="006C7777"/>
    <w:rsid w:val="006D0012"/>
    <w:rsid w:val="006D0655"/>
    <w:rsid w:val="006D0697"/>
    <w:rsid w:val="006D06DB"/>
    <w:rsid w:val="006D09AA"/>
    <w:rsid w:val="006D101A"/>
    <w:rsid w:val="006D1062"/>
    <w:rsid w:val="006D1218"/>
    <w:rsid w:val="006D16C9"/>
    <w:rsid w:val="006D1B05"/>
    <w:rsid w:val="006D29E2"/>
    <w:rsid w:val="006D2F8E"/>
    <w:rsid w:val="006D377C"/>
    <w:rsid w:val="006D379B"/>
    <w:rsid w:val="006D38E5"/>
    <w:rsid w:val="006D3B76"/>
    <w:rsid w:val="006D3C45"/>
    <w:rsid w:val="006D3D9F"/>
    <w:rsid w:val="006D3E62"/>
    <w:rsid w:val="006D426E"/>
    <w:rsid w:val="006D455A"/>
    <w:rsid w:val="006D45AE"/>
    <w:rsid w:val="006D49EC"/>
    <w:rsid w:val="006D55A5"/>
    <w:rsid w:val="006D574D"/>
    <w:rsid w:val="006D6067"/>
    <w:rsid w:val="006D643B"/>
    <w:rsid w:val="006D659B"/>
    <w:rsid w:val="006D65D0"/>
    <w:rsid w:val="006D669C"/>
    <w:rsid w:val="006D6992"/>
    <w:rsid w:val="006D6FE2"/>
    <w:rsid w:val="006D7382"/>
    <w:rsid w:val="006D7A60"/>
    <w:rsid w:val="006D7A99"/>
    <w:rsid w:val="006D7C45"/>
    <w:rsid w:val="006D7FDD"/>
    <w:rsid w:val="006E021D"/>
    <w:rsid w:val="006E04A8"/>
    <w:rsid w:val="006E0BA7"/>
    <w:rsid w:val="006E0BCF"/>
    <w:rsid w:val="006E0CB9"/>
    <w:rsid w:val="006E0D78"/>
    <w:rsid w:val="006E0EB6"/>
    <w:rsid w:val="006E0F19"/>
    <w:rsid w:val="006E1047"/>
    <w:rsid w:val="006E1210"/>
    <w:rsid w:val="006E152C"/>
    <w:rsid w:val="006E15AC"/>
    <w:rsid w:val="006E163F"/>
    <w:rsid w:val="006E16FF"/>
    <w:rsid w:val="006E1918"/>
    <w:rsid w:val="006E1B95"/>
    <w:rsid w:val="006E1F21"/>
    <w:rsid w:val="006E2311"/>
    <w:rsid w:val="006E2494"/>
    <w:rsid w:val="006E2496"/>
    <w:rsid w:val="006E277E"/>
    <w:rsid w:val="006E2D55"/>
    <w:rsid w:val="006E2E3E"/>
    <w:rsid w:val="006E2EA3"/>
    <w:rsid w:val="006E2FE8"/>
    <w:rsid w:val="006E328F"/>
    <w:rsid w:val="006E34C0"/>
    <w:rsid w:val="006E3562"/>
    <w:rsid w:val="006E3820"/>
    <w:rsid w:val="006E39C7"/>
    <w:rsid w:val="006E4178"/>
    <w:rsid w:val="006E429A"/>
    <w:rsid w:val="006E4401"/>
    <w:rsid w:val="006E4617"/>
    <w:rsid w:val="006E4873"/>
    <w:rsid w:val="006E49C8"/>
    <w:rsid w:val="006E4A56"/>
    <w:rsid w:val="006E4C38"/>
    <w:rsid w:val="006E4D5F"/>
    <w:rsid w:val="006E505D"/>
    <w:rsid w:val="006E50E6"/>
    <w:rsid w:val="006E54C5"/>
    <w:rsid w:val="006E5639"/>
    <w:rsid w:val="006E5AF0"/>
    <w:rsid w:val="006E5CB3"/>
    <w:rsid w:val="006E5EA8"/>
    <w:rsid w:val="006E5ED1"/>
    <w:rsid w:val="006E60B9"/>
    <w:rsid w:val="006E60D0"/>
    <w:rsid w:val="006E6397"/>
    <w:rsid w:val="006E67C4"/>
    <w:rsid w:val="006E6A0B"/>
    <w:rsid w:val="006E6B4B"/>
    <w:rsid w:val="006E6E33"/>
    <w:rsid w:val="006E6FDD"/>
    <w:rsid w:val="006E700F"/>
    <w:rsid w:val="006E7140"/>
    <w:rsid w:val="006E72C9"/>
    <w:rsid w:val="006E77E8"/>
    <w:rsid w:val="006E78B9"/>
    <w:rsid w:val="006E79F0"/>
    <w:rsid w:val="006E7CCB"/>
    <w:rsid w:val="006E7DB1"/>
    <w:rsid w:val="006E7E19"/>
    <w:rsid w:val="006E7E2E"/>
    <w:rsid w:val="006F01B1"/>
    <w:rsid w:val="006F01EE"/>
    <w:rsid w:val="006F04C3"/>
    <w:rsid w:val="006F065C"/>
    <w:rsid w:val="006F06F4"/>
    <w:rsid w:val="006F08DA"/>
    <w:rsid w:val="006F1283"/>
    <w:rsid w:val="006F138C"/>
    <w:rsid w:val="006F1554"/>
    <w:rsid w:val="006F1929"/>
    <w:rsid w:val="006F1A58"/>
    <w:rsid w:val="006F1C26"/>
    <w:rsid w:val="006F1DDB"/>
    <w:rsid w:val="006F24FD"/>
    <w:rsid w:val="006F258C"/>
    <w:rsid w:val="006F2687"/>
    <w:rsid w:val="006F2A56"/>
    <w:rsid w:val="006F2CF7"/>
    <w:rsid w:val="006F2E70"/>
    <w:rsid w:val="006F2F03"/>
    <w:rsid w:val="006F2F57"/>
    <w:rsid w:val="006F305F"/>
    <w:rsid w:val="006F35B9"/>
    <w:rsid w:val="006F36A0"/>
    <w:rsid w:val="006F36D6"/>
    <w:rsid w:val="006F3B9A"/>
    <w:rsid w:val="006F3C47"/>
    <w:rsid w:val="006F3EC3"/>
    <w:rsid w:val="006F4027"/>
    <w:rsid w:val="006F4227"/>
    <w:rsid w:val="006F4365"/>
    <w:rsid w:val="006F459D"/>
    <w:rsid w:val="006F4686"/>
    <w:rsid w:val="006F4B55"/>
    <w:rsid w:val="006F4E75"/>
    <w:rsid w:val="006F5222"/>
    <w:rsid w:val="006F5623"/>
    <w:rsid w:val="006F5644"/>
    <w:rsid w:val="006F5683"/>
    <w:rsid w:val="006F5B5F"/>
    <w:rsid w:val="006F5E63"/>
    <w:rsid w:val="006F655E"/>
    <w:rsid w:val="006F669F"/>
    <w:rsid w:val="006F6931"/>
    <w:rsid w:val="006F6A37"/>
    <w:rsid w:val="006F7156"/>
    <w:rsid w:val="006F729A"/>
    <w:rsid w:val="006F78C8"/>
    <w:rsid w:val="006F7B17"/>
    <w:rsid w:val="006F7CB7"/>
    <w:rsid w:val="006F7F1B"/>
    <w:rsid w:val="00700393"/>
    <w:rsid w:val="00700394"/>
    <w:rsid w:val="00700446"/>
    <w:rsid w:val="007005FE"/>
    <w:rsid w:val="00700860"/>
    <w:rsid w:val="00700A27"/>
    <w:rsid w:val="00700BCE"/>
    <w:rsid w:val="00700CDE"/>
    <w:rsid w:val="0070111D"/>
    <w:rsid w:val="007018D7"/>
    <w:rsid w:val="00701B57"/>
    <w:rsid w:val="00701B5F"/>
    <w:rsid w:val="00701DA9"/>
    <w:rsid w:val="00702375"/>
    <w:rsid w:val="00702535"/>
    <w:rsid w:val="00702542"/>
    <w:rsid w:val="00702F4F"/>
    <w:rsid w:val="007034F4"/>
    <w:rsid w:val="00703668"/>
    <w:rsid w:val="007039ED"/>
    <w:rsid w:val="00703AB2"/>
    <w:rsid w:val="00703D4A"/>
    <w:rsid w:val="007040A6"/>
    <w:rsid w:val="0070413A"/>
    <w:rsid w:val="007041C8"/>
    <w:rsid w:val="0070423B"/>
    <w:rsid w:val="0070435D"/>
    <w:rsid w:val="00704447"/>
    <w:rsid w:val="007046A6"/>
    <w:rsid w:val="00704B0B"/>
    <w:rsid w:val="00704B5C"/>
    <w:rsid w:val="00704CEC"/>
    <w:rsid w:val="00704FB9"/>
    <w:rsid w:val="0070513A"/>
    <w:rsid w:val="00705415"/>
    <w:rsid w:val="00706A35"/>
    <w:rsid w:val="00706BAD"/>
    <w:rsid w:val="00707184"/>
    <w:rsid w:val="007071FC"/>
    <w:rsid w:val="00707294"/>
    <w:rsid w:val="007077E0"/>
    <w:rsid w:val="0070784F"/>
    <w:rsid w:val="007079EF"/>
    <w:rsid w:val="00707B0B"/>
    <w:rsid w:val="00707C25"/>
    <w:rsid w:val="00707FC9"/>
    <w:rsid w:val="0071000F"/>
    <w:rsid w:val="007100E2"/>
    <w:rsid w:val="00710832"/>
    <w:rsid w:val="00710844"/>
    <w:rsid w:val="007108D1"/>
    <w:rsid w:val="00710D77"/>
    <w:rsid w:val="00711197"/>
    <w:rsid w:val="00711470"/>
    <w:rsid w:val="00711689"/>
    <w:rsid w:val="007118C1"/>
    <w:rsid w:val="007119D8"/>
    <w:rsid w:val="00711A18"/>
    <w:rsid w:val="00711B4D"/>
    <w:rsid w:val="0071213B"/>
    <w:rsid w:val="007122D0"/>
    <w:rsid w:val="00712431"/>
    <w:rsid w:val="00712E0D"/>
    <w:rsid w:val="007136B7"/>
    <w:rsid w:val="0071395E"/>
    <w:rsid w:val="00713C52"/>
    <w:rsid w:val="00713EF0"/>
    <w:rsid w:val="00714078"/>
    <w:rsid w:val="007140CB"/>
    <w:rsid w:val="007143E4"/>
    <w:rsid w:val="00714551"/>
    <w:rsid w:val="0071472F"/>
    <w:rsid w:val="007147AC"/>
    <w:rsid w:val="00714BEA"/>
    <w:rsid w:val="00715135"/>
    <w:rsid w:val="00715379"/>
    <w:rsid w:val="00715384"/>
    <w:rsid w:val="00715B98"/>
    <w:rsid w:val="00716127"/>
    <w:rsid w:val="00716216"/>
    <w:rsid w:val="00716257"/>
    <w:rsid w:val="00716308"/>
    <w:rsid w:val="0071637F"/>
    <w:rsid w:val="007165A0"/>
    <w:rsid w:val="0071673E"/>
    <w:rsid w:val="00716A6F"/>
    <w:rsid w:val="00716B51"/>
    <w:rsid w:val="00716EBD"/>
    <w:rsid w:val="007172B4"/>
    <w:rsid w:val="007175BF"/>
    <w:rsid w:val="007176B3"/>
    <w:rsid w:val="00720159"/>
    <w:rsid w:val="007201B1"/>
    <w:rsid w:val="00720277"/>
    <w:rsid w:val="00720876"/>
    <w:rsid w:val="00720A21"/>
    <w:rsid w:val="00720B97"/>
    <w:rsid w:val="00720C09"/>
    <w:rsid w:val="00720DB7"/>
    <w:rsid w:val="007212BE"/>
    <w:rsid w:val="007219C6"/>
    <w:rsid w:val="00721CDA"/>
    <w:rsid w:val="00722788"/>
    <w:rsid w:val="007227A7"/>
    <w:rsid w:val="00722B87"/>
    <w:rsid w:val="00723170"/>
    <w:rsid w:val="00723350"/>
    <w:rsid w:val="007236AE"/>
    <w:rsid w:val="007236F0"/>
    <w:rsid w:val="00723EB3"/>
    <w:rsid w:val="007242CA"/>
    <w:rsid w:val="00724544"/>
    <w:rsid w:val="0072464B"/>
    <w:rsid w:val="007246AF"/>
    <w:rsid w:val="00724779"/>
    <w:rsid w:val="007247D6"/>
    <w:rsid w:val="00724983"/>
    <w:rsid w:val="0072581D"/>
    <w:rsid w:val="00725F51"/>
    <w:rsid w:val="00725F55"/>
    <w:rsid w:val="00726515"/>
    <w:rsid w:val="0072687B"/>
    <w:rsid w:val="00726CA1"/>
    <w:rsid w:val="00726DDC"/>
    <w:rsid w:val="00727169"/>
    <w:rsid w:val="00727607"/>
    <w:rsid w:val="0072772F"/>
    <w:rsid w:val="00727D38"/>
    <w:rsid w:val="00727D8E"/>
    <w:rsid w:val="00727DFA"/>
    <w:rsid w:val="007301DF"/>
    <w:rsid w:val="00730894"/>
    <w:rsid w:val="00730911"/>
    <w:rsid w:val="00730A7B"/>
    <w:rsid w:val="00730A8C"/>
    <w:rsid w:val="00730C7A"/>
    <w:rsid w:val="0073118F"/>
    <w:rsid w:val="00731674"/>
    <w:rsid w:val="00731C5A"/>
    <w:rsid w:val="00731F25"/>
    <w:rsid w:val="00731FFE"/>
    <w:rsid w:val="00732351"/>
    <w:rsid w:val="007329A5"/>
    <w:rsid w:val="00732B1D"/>
    <w:rsid w:val="0073341C"/>
    <w:rsid w:val="0073354A"/>
    <w:rsid w:val="00733902"/>
    <w:rsid w:val="00733941"/>
    <w:rsid w:val="00733B56"/>
    <w:rsid w:val="00733DED"/>
    <w:rsid w:val="00733F01"/>
    <w:rsid w:val="00734011"/>
    <w:rsid w:val="00734573"/>
    <w:rsid w:val="00734EB2"/>
    <w:rsid w:val="007354FD"/>
    <w:rsid w:val="007356AA"/>
    <w:rsid w:val="00735893"/>
    <w:rsid w:val="0073591D"/>
    <w:rsid w:val="00735E3B"/>
    <w:rsid w:val="00736AB0"/>
    <w:rsid w:val="00736E74"/>
    <w:rsid w:val="00737362"/>
    <w:rsid w:val="0073743B"/>
    <w:rsid w:val="00737543"/>
    <w:rsid w:val="007376EE"/>
    <w:rsid w:val="00737D4E"/>
    <w:rsid w:val="00737F74"/>
    <w:rsid w:val="007400BE"/>
    <w:rsid w:val="007400F6"/>
    <w:rsid w:val="00740369"/>
    <w:rsid w:val="0074042B"/>
    <w:rsid w:val="007405FD"/>
    <w:rsid w:val="00740640"/>
    <w:rsid w:val="007409DB"/>
    <w:rsid w:val="00740A82"/>
    <w:rsid w:val="00740F40"/>
    <w:rsid w:val="00740F4B"/>
    <w:rsid w:val="00741107"/>
    <w:rsid w:val="00741176"/>
    <w:rsid w:val="007415D5"/>
    <w:rsid w:val="007416A8"/>
    <w:rsid w:val="007418FE"/>
    <w:rsid w:val="007423B6"/>
    <w:rsid w:val="00742565"/>
    <w:rsid w:val="007427A1"/>
    <w:rsid w:val="007428AF"/>
    <w:rsid w:val="00742E41"/>
    <w:rsid w:val="00742FAB"/>
    <w:rsid w:val="00743BDB"/>
    <w:rsid w:val="00743EC4"/>
    <w:rsid w:val="00743FFF"/>
    <w:rsid w:val="0074438B"/>
    <w:rsid w:val="00744493"/>
    <w:rsid w:val="00744555"/>
    <w:rsid w:val="0074468B"/>
    <w:rsid w:val="00744797"/>
    <w:rsid w:val="007449D9"/>
    <w:rsid w:val="00744A65"/>
    <w:rsid w:val="00744C31"/>
    <w:rsid w:val="00744E75"/>
    <w:rsid w:val="00745565"/>
    <w:rsid w:val="00745843"/>
    <w:rsid w:val="00745A51"/>
    <w:rsid w:val="00745AA4"/>
    <w:rsid w:val="00745B4C"/>
    <w:rsid w:val="00745E07"/>
    <w:rsid w:val="00745FF8"/>
    <w:rsid w:val="0074615F"/>
    <w:rsid w:val="0074644E"/>
    <w:rsid w:val="0074685C"/>
    <w:rsid w:val="007468EF"/>
    <w:rsid w:val="00746974"/>
    <w:rsid w:val="00746FCD"/>
    <w:rsid w:val="00746FEA"/>
    <w:rsid w:val="007470AF"/>
    <w:rsid w:val="0074744A"/>
    <w:rsid w:val="0074751E"/>
    <w:rsid w:val="00747962"/>
    <w:rsid w:val="00747C9D"/>
    <w:rsid w:val="00747E09"/>
    <w:rsid w:val="00747E7D"/>
    <w:rsid w:val="0075008B"/>
    <w:rsid w:val="00750445"/>
    <w:rsid w:val="00750999"/>
    <w:rsid w:val="00750DAC"/>
    <w:rsid w:val="00750F84"/>
    <w:rsid w:val="00750FC7"/>
    <w:rsid w:val="007513FC"/>
    <w:rsid w:val="007514CB"/>
    <w:rsid w:val="0075151D"/>
    <w:rsid w:val="00751590"/>
    <w:rsid w:val="00751A06"/>
    <w:rsid w:val="00751D2F"/>
    <w:rsid w:val="00752005"/>
    <w:rsid w:val="00752019"/>
    <w:rsid w:val="00752189"/>
    <w:rsid w:val="0075229C"/>
    <w:rsid w:val="007524C5"/>
    <w:rsid w:val="00752563"/>
    <w:rsid w:val="007529A4"/>
    <w:rsid w:val="00752C99"/>
    <w:rsid w:val="00752F9A"/>
    <w:rsid w:val="00753141"/>
    <w:rsid w:val="007531F1"/>
    <w:rsid w:val="007533A0"/>
    <w:rsid w:val="007535E7"/>
    <w:rsid w:val="00753B09"/>
    <w:rsid w:val="00753F70"/>
    <w:rsid w:val="0075405E"/>
    <w:rsid w:val="00754321"/>
    <w:rsid w:val="00754531"/>
    <w:rsid w:val="0075460A"/>
    <w:rsid w:val="00754990"/>
    <w:rsid w:val="00754E01"/>
    <w:rsid w:val="00754F1D"/>
    <w:rsid w:val="00755309"/>
    <w:rsid w:val="0075546A"/>
    <w:rsid w:val="007556F5"/>
    <w:rsid w:val="00755916"/>
    <w:rsid w:val="00755C3E"/>
    <w:rsid w:val="00755D76"/>
    <w:rsid w:val="00755F3E"/>
    <w:rsid w:val="00755F96"/>
    <w:rsid w:val="00756166"/>
    <w:rsid w:val="0075630F"/>
    <w:rsid w:val="007563A4"/>
    <w:rsid w:val="0075658B"/>
    <w:rsid w:val="007566AA"/>
    <w:rsid w:val="00756824"/>
    <w:rsid w:val="007569E5"/>
    <w:rsid w:val="00756E1F"/>
    <w:rsid w:val="0075747D"/>
    <w:rsid w:val="007574B0"/>
    <w:rsid w:val="0075784D"/>
    <w:rsid w:val="00757ECB"/>
    <w:rsid w:val="00760C64"/>
    <w:rsid w:val="00761A75"/>
    <w:rsid w:val="00761CAB"/>
    <w:rsid w:val="00761D8C"/>
    <w:rsid w:val="00762328"/>
    <w:rsid w:val="00762386"/>
    <w:rsid w:val="007623E9"/>
    <w:rsid w:val="007624A0"/>
    <w:rsid w:val="007627F5"/>
    <w:rsid w:val="0076284E"/>
    <w:rsid w:val="00762DA2"/>
    <w:rsid w:val="00762E16"/>
    <w:rsid w:val="0076301E"/>
    <w:rsid w:val="007633B5"/>
    <w:rsid w:val="00763450"/>
    <w:rsid w:val="0076370F"/>
    <w:rsid w:val="007637B1"/>
    <w:rsid w:val="007638C3"/>
    <w:rsid w:val="007639CA"/>
    <w:rsid w:val="007639DF"/>
    <w:rsid w:val="00764329"/>
    <w:rsid w:val="007643FA"/>
    <w:rsid w:val="007646D2"/>
    <w:rsid w:val="007648E9"/>
    <w:rsid w:val="00764BF3"/>
    <w:rsid w:val="00764CE9"/>
    <w:rsid w:val="00765660"/>
    <w:rsid w:val="007657B1"/>
    <w:rsid w:val="00765D44"/>
    <w:rsid w:val="00765D55"/>
    <w:rsid w:val="00765F50"/>
    <w:rsid w:val="00766014"/>
    <w:rsid w:val="0076601B"/>
    <w:rsid w:val="00766606"/>
    <w:rsid w:val="00766CCB"/>
    <w:rsid w:val="00766FAB"/>
    <w:rsid w:val="0076709B"/>
    <w:rsid w:val="0076720F"/>
    <w:rsid w:val="0076778B"/>
    <w:rsid w:val="00767A52"/>
    <w:rsid w:val="00767B5B"/>
    <w:rsid w:val="00767F87"/>
    <w:rsid w:val="00770189"/>
    <w:rsid w:val="00770B26"/>
    <w:rsid w:val="00770F71"/>
    <w:rsid w:val="00770FD1"/>
    <w:rsid w:val="00771454"/>
    <w:rsid w:val="007716BF"/>
    <w:rsid w:val="00771756"/>
    <w:rsid w:val="007717EA"/>
    <w:rsid w:val="00772105"/>
    <w:rsid w:val="007724DF"/>
    <w:rsid w:val="00772B77"/>
    <w:rsid w:val="00772E67"/>
    <w:rsid w:val="007733A7"/>
    <w:rsid w:val="00773520"/>
    <w:rsid w:val="0077352B"/>
    <w:rsid w:val="00773A24"/>
    <w:rsid w:val="00773E87"/>
    <w:rsid w:val="00773F7B"/>
    <w:rsid w:val="00773FEB"/>
    <w:rsid w:val="0077418B"/>
    <w:rsid w:val="007743DB"/>
    <w:rsid w:val="0077481C"/>
    <w:rsid w:val="007748DC"/>
    <w:rsid w:val="007748EC"/>
    <w:rsid w:val="00775197"/>
    <w:rsid w:val="007752CA"/>
    <w:rsid w:val="0077567C"/>
    <w:rsid w:val="00775A1B"/>
    <w:rsid w:val="00775A26"/>
    <w:rsid w:val="00775B3D"/>
    <w:rsid w:val="00775CD0"/>
    <w:rsid w:val="00776092"/>
    <w:rsid w:val="007761EB"/>
    <w:rsid w:val="00776201"/>
    <w:rsid w:val="00776237"/>
    <w:rsid w:val="007763A2"/>
    <w:rsid w:val="0077646C"/>
    <w:rsid w:val="0077655F"/>
    <w:rsid w:val="00776689"/>
    <w:rsid w:val="007766D6"/>
    <w:rsid w:val="00776777"/>
    <w:rsid w:val="00776931"/>
    <w:rsid w:val="00776B88"/>
    <w:rsid w:val="0077738B"/>
    <w:rsid w:val="007774C4"/>
    <w:rsid w:val="007776A4"/>
    <w:rsid w:val="007777E1"/>
    <w:rsid w:val="00777842"/>
    <w:rsid w:val="00777972"/>
    <w:rsid w:val="00777AFC"/>
    <w:rsid w:val="00777D5A"/>
    <w:rsid w:val="00780685"/>
    <w:rsid w:val="00780A9C"/>
    <w:rsid w:val="00780BDD"/>
    <w:rsid w:val="00780C82"/>
    <w:rsid w:val="00780C9F"/>
    <w:rsid w:val="00780DEE"/>
    <w:rsid w:val="00780E60"/>
    <w:rsid w:val="00780FD4"/>
    <w:rsid w:val="00781304"/>
    <w:rsid w:val="0078144B"/>
    <w:rsid w:val="007814B9"/>
    <w:rsid w:val="00781691"/>
    <w:rsid w:val="00781AD8"/>
    <w:rsid w:val="00781B83"/>
    <w:rsid w:val="00781BF2"/>
    <w:rsid w:val="00781CDC"/>
    <w:rsid w:val="00781E39"/>
    <w:rsid w:val="007822AD"/>
    <w:rsid w:val="0078239C"/>
    <w:rsid w:val="00782B2D"/>
    <w:rsid w:val="00782FFB"/>
    <w:rsid w:val="00783178"/>
    <w:rsid w:val="007832E1"/>
    <w:rsid w:val="0078331F"/>
    <w:rsid w:val="0078351D"/>
    <w:rsid w:val="007835C4"/>
    <w:rsid w:val="007835FD"/>
    <w:rsid w:val="00783607"/>
    <w:rsid w:val="007837E0"/>
    <w:rsid w:val="00783896"/>
    <w:rsid w:val="007839F9"/>
    <w:rsid w:val="00783C0F"/>
    <w:rsid w:val="00783C3E"/>
    <w:rsid w:val="00783DF7"/>
    <w:rsid w:val="007840E2"/>
    <w:rsid w:val="00784773"/>
    <w:rsid w:val="00784A69"/>
    <w:rsid w:val="00784E8E"/>
    <w:rsid w:val="0078502D"/>
    <w:rsid w:val="0078510A"/>
    <w:rsid w:val="0078518F"/>
    <w:rsid w:val="00785268"/>
    <w:rsid w:val="00785436"/>
    <w:rsid w:val="0078574E"/>
    <w:rsid w:val="0078589C"/>
    <w:rsid w:val="00785A42"/>
    <w:rsid w:val="00785A74"/>
    <w:rsid w:val="007864A3"/>
    <w:rsid w:val="00786882"/>
    <w:rsid w:val="00786B89"/>
    <w:rsid w:val="00786D70"/>
    <w:rsid w:val="00786E58"/>
    <w:rsid w:val="00786F3F"/>
    <w:rsid w:val="00787189"/>
    <w:rsid w:val="007877B4"/>
    <w:rsid w:val="007877DE"/>
    <w:rsid w:val="007879AF"/>
    <w:rsid w:val="00787A5D"/>
    <w:rsid w:val="00787B32"/>
    <w:rsid w:val="00787F5E"/>
    <w:rsid w:val="0079023C"/>
    <w:rsid w:val="0079057F"/>
    <w:rsid w:val="007907E2"/>
    <w:rsid w:val="00790F71"/>
    <w:rsid w:val="00791119"/>
    <w:rsid w:val="00791280"/>
    <w:rsid w:val="007913A7"/>
    <w:rsid w:val="007914F7"/>
    <w:rsid w:val="00791BF8"/>
    <w:rsid w:val="00791EED"/>
    <w:rsid w:val="0079276A"/>
    <w:rsid w:val="0079295F"/>
    <w:rsid w:val="00792AC3"/>
    <w:rsid w:val="007930EE"/>
    <w:rsid w:val="007934D8"/>
    <w:rsid w:val="00793AC3"/>
    <w:rsid w:val="00793D3F"/>
    <w:rsid w:val="00794001"/>
    <w:rsid w:val="00794051"/>
    <w:rsid w:val="007941B2"/>
    <w:rsid w:val="007944B6"/>
    <w:rsid w:val="007945EF"/>
    <w:rsid w:val="007947E1"/>
    <w:rsid w:val="00794BA2"/>
    <w:rsid w:val="00794D12"/>
    <w:rsid w:val="00794FDB"/>
    <w:rsid w:val="007955E2"/>
    <w:rsid w:val="00795AB3"/>
    <w:rsid w:val="00795AEA"/>
    <w:rsid w:val="00795B32"/>
    <w:rsid w:val="00795B94"/>
    <w:rsid w:val="00795BB2"/>
    <w:rsid w:val="00795C9C"/>
    <w:rsid w:val="00796044"/>
    <w:rsid w:val="00796207"/>
    <w:rsid w:val="0079670B"/>
    <w:rsid w:val="00796A3B"/>
    <w:rsid w:val="00796C3C"/>
    <w:rsid w:val="00797213"/>
    <w:rsid w:val="0079772E"/>
    <w:rsid w:val="00797789"/>
    <w:rsid w:val="007977AC"/>
    <w:rsid w:val="00797CDE"/>
    <w:rsid w:val="007A0085"/>
    <w:rsid w:val="007A0392"/>
    <w:rsid w:val="007A04F4"/>
    <w:rsid w:val="007A0513"/>
    <w:rsid w:val="007A0B02"/>
    <w:rsid w:val="007A0D23"/>
    <w:rsid w:val="007A0D36"/>
    <w:rsid w:val="007A0FF0"/>
    <w:rsid w:val="007A1BA1"/>
    <w:rsid w:val="007A1C6E"/>
    <w:rsid w:val="007A1DE6"/>
    <w:rsid w:val="007A20BD"/>
    <w:rsid w:val="007A21E3"/>
    <w:rsid w:val="007A22D9"/>
    <w:rsid w:val="007A2341"/>
    <w:rsid w:val="007A2B96"/>
    <w:rsid w:val="007A2C4B"/>
    <w:rsid w:val="007A315D"/>
    <w:rsid w:val="007A34D4"/>
    <w:rsid w:val="007A3C14"/>
    <w:rsid w:val="007A3C29"/>
    <w:rsid w:val="007A40FA"/>
    <w:rsid w:val="007A4783"/>
    <w:rsid w:val="007A4A4E"/>
    <w:rsid w:val="007A4CE5"/>
    <w:rsid w:val="007A4DD5"/>
    <w:rsid w:val="007A50B8"/>
    <w:rsid w:val="007A5114"/>
    <w:rsid w:val="007A5173"/>
    <w:rsid w:val="007A54D8"/>
    <w:rsid w:val="007A581D"/>
    <w:rsid w:val="007A5DFB"/>
    <w:rsid w:val="007A6124"/>
    <w:rsid w:val="007A615D"/>
    <w:rsid w:val="007A61A1"/>
    <w:rsid w:val="007A651E"/>
    <w:rsid w:val="007A66F4"/>
    <w:rsid w:val="007A6D11"/>
    <w:rsid w:val="007A6EF7"/>
    <w:rsid w:val="007A7066"/>
    <w:rsid w:val="007A7153"/>
    <w:rsid w:val="007A71CD"/>
    <w:rsid w:val="007A73DC"/>
    <w:rsid w:val="007A7436"/>
    <w:rsid w:val="007A74D3"/>
    <w:rsid w:val="007A7960"/>
    <w:rsid w:val="007A7DD8"/>
    <w:rsid w:val="007A7FB0"/>
    <w:rsid w:val="007B01A2"/>
    <w:rsid w:val="007B0448"/>
    <w:rsid w:val="007B0482"/>
    <w:rsid w:val="007B04D3"/>
    <w:rsid w:val="007B0527"/>
    <w:rsid w:val="007B094F"/>
    <w:rsid w:val="007B0A9C"/>
    <w:rsid w:val="007B0BF4"/>
    <w:rsid w:val="007B0BFB"/>
    <w:rsid w:val="007B135A"/>
    <w:rsid w:val="007B139D"/>
    <w:rsid w:val="007B151D"/>
    <w:rsid w:val="007B162D"/>
    <w:rsid w:val="007B16A5"/>
    <w:rsid w:val="007B1A8F"/>
    <w:rsid w:val="007B1C86"/>
    <w:rsid w:val="007B1DC8"/>
    <w:rsid w:val="007B25A2"/>
    <w:rsid w:val="007B2812"/>
    <w:rsid w:val="007B2997"/>
    <w:rsid w:val="007B2ADA"/>
    <w:rsid w:val="007B2BF6"/>
    <w:rsid w:val="007B2C4F"/>
    <w:rsid w:val="007B2FEE"/>
    <w:rsid w:val="007B32E8"/>
    <w:rsid w:val="007B378B"/>
    <w:rsid w:val="007B39F9"/>
    <w:rsid w:val="007B3B3C"/>
    <w:rsid w:val="007B3E0D"/>
    <w:rsid w:val="007B3EF4"/>
    <w:rsid w:val="007B3F87"/>
    <w:rsid w:val="007B41F6"/>
    <w:rsid w:val="007B4370"/>
    <w:rsid w:val="007B44B2"/>
    <w:rsid w:val="007B4841"/>
    <w:rsid w:val="007B4B4F"/>
    <w:rsid w:val="007B518F"/>
    <w:rsid w:val="007B5518"/>
    <w:rsid w:val="007B5729"/>
    <w:rsid w:val="007B592B"/>
    <w:rsid w:val="007B5C5E"/>
    <w:rsid w:val="007B5F36"/>
    <w:rsid w:val="007B5FF4"/>
    <w:rsid w:val="007B6301"/>
    <w:rsid w:val="007B631E"/>
    <w:rsid w:val="007B672D"/>
    <w:rsid w:val="007B67D6"/>
    <w:rsid w:val="007B6A3B"/>
    <w:rsid w:val="007B6B55"/>
    <w:rsid w:val="007B6D02"/>
    <w:rsid w:val="007B6E94"/>
    <w:rsid w:val="007B7366"/>
    <w:rsid w:val="007B74BB"/>
    <w:rsid w:val="007B74C1"/>
    <w:rsid w:val="007B74E0"/>
    <w:rsid w:val="007B7827"/>
    <w:rsid w:val="007B7B13"/>
    <w:rsid w:val="007B7BCB"/>
    <w:rsid w:val="007B7EDF"/>
    <w:rsid w:val="007C01FE"/>
    <w:rsid w:val="007C0437"/>
    <w:rsid w:val="007C068F"/>
    <w:rsid w:val="007C0935"/>
    <w:rsid w:val="007C0A4E"/>
    <w:rsid w:val="007C0E29"/>
    <w:rsid w:val="007C0F1E"/>
    <w:rsid w:val="007C1085"/>
    <w:rsid w:val="007C1130"/>
    <w:rsid w:val="007C14BE"/>
    <w:rsid w:val="007C1548"/>
    <w:rsid w:val="007C1643"/>
    <w:rsid w:val="007C1751"/>
    <w:rsid w:val="007C1B18"/>
    <w:rsid w:val="007C1B68"/>
    <w:rsid w:val="007C28FD"/>
    <w:rsid w:val="007C2939"/>
    <w:rsid w:val="007C2CDD"/>
    <w:rsid w:val="007C2DBB"/>
    <w:rsid w:val="007C2ED7"/>
    <w:rsid w:val="007C304D"/>
    <w:rsid w:val="007C32D3"/>
    <w:rsid w:val="007C33AB"/>
    <w:rsid w:val="007C354F"/>
    <w:rsid w:val="007C3682"/>
    <w:rsid w:val="007C36B2"/>
    <w:rsid w:val="007C3716"/>
    <w:rsid w:val="007C37CF"/>
    <w:rsid w:val="007C3A98"/>
    <w:rsid w:val="007C4243"/>
    <w:rsid w:val="007C435B"/>
    <w:rsid w:val="007C460D"/>
    <w:rsid w:val="007C4938"/>
    <w:rsid w:val="007C49AB"/>
    <w:rsid w:val="007C4A09"/>
    <w:rsid w:val="007C4BBB"/>
    <w:rsid w:val="007C4CBB"/>
    <w:rsid w:val="007C4F0E"/>
    <w:rsid w:val="007C5163"/>
    <w:rsid w:val="007C5255"/>
    <w:rsid w:val="007C55CB"/>
    <w:rsid w:val="007C56B1"/>
    <w:rsid w:val="007C5F86"/>
    <w:rsid w:val="007C6003"/>
    <w:rsid w:val="007C667B"/>
    <w:rsid w:val="007C683B"/>
    <w:rsid w:val="007C6B44"/>
    <w:rsid w:val="007C6B7C"/>
    <w:rsid w:val="007C6DDD"/>
    <w:rsid w:val="007C75DB"/>
    <w:rsid w:val="007C76DA"/>
    <w:rsid w:val="007C7922"/>
    <w:rsid w:val="007C7978"/>
    <w:rsid w:val="007C79DF"/>
    <w:rsid w:val="007C7B63"/>
    <w:rsid w:val="007C7B93"/>
    <w:rsid w:val="007C7BEA"/>
    <w:rsid w:val="007D01C4"/>
    <w:rsid w:val="007D0235"/>
    <w:rsid w:val="007D02A1"/>
    <w:rsid w:val="007D0340"/>
    <w:rsid w:val="007D0B01"/>
    <w:rsid w:val="007D0BE2"/>
    <w:rsid w:val="007D0DE3"/>
    <w:rsid w:val="007D0EE3"/>
    <w:rsid w:val="007D127C"/>
    <w:rsid w:val="007D139F"/>
    <w:rsid w:val="007D15B9"/>
    <w:rsid w:val="007D19B2"/>
    <w:rsid w:val="007D24A5"/>
    <w:rsid w:val="007D2507"/>
    <w:rsid w:val="007D2548"/>
    <w:rsid w:val="007D255B"/>
    <w:rsid w:val="007D2842"/>
    <w:rsid w:val="007D2B25"/>
    <w:rsid w:val="007D2D76"/>
    <w:rsid w:val="007D31C6"/>
    <w:rsid w:val="007D3866"/>
    <w:rsid w:val="007D3AD9"/>
    <w:rsid w:val="007D45A9"/>
    <w:rsid w:val="007D4CD2"/>
    <w:rsid w:val="007D4F7C"/>
    <w:rsid w:val="007D568C"/>
    <w:rsid w:val="007D571C"/>
    <w:rsid w:val="007D61D3"/>
    <w:rsid w:val="007D63A9"/>
    <w:rsid w:val="007D661A"/>
    <w:rsid w:val="007D6FFC"/>
    <w:rsid w:val="007D71D8"/>
    <w:rsid w:val="007D746C"/>
    <w:rsid w:val="007D763E"/>
    <w:rsid w:val="007D7A19"/>
    <w:rsid w:val="007D7C2C"/>
    <w:rsid w:val="007D7EDD"/>
    <w:rsid w:val="007D7F10"/>
    <w:rsid w:val="007E012C"/>
    <w:rsid w:val="007E014D"/>
    <w:rsid w:val="007E0648"/>
    <w:rsid w:val="007E0E0D"/>
    <w:rsid w:val="007E0F24"/>
    <w:rsid w:val="007E104E"/>
    <w:rsid w:val="007E1130"/>
    <w:rsid w:val="007E1292"/>
    <w:rsid w:val="007E153C"/>
    <w:rsid w:val="007E2268"/>
    <w:rsid w:val="007E2521"/>
    <w:rsid w:val="007E25E5"/>
    <w:rsid w:val="007E2709"/>
    <w:rsid w:val="007E28C5"/>
    <w:rsid w:val="007E28D9"/>
    <w:rsid w:val="007E2951"/>
    <w:rsid w:val="007E2D94"/>
    <w:rsid w:val="007E2E38"/>
    <w:rsid w:val="007E2E46"/>
    <w:rsid w:val="007E2EA8"/>
    <w:rsid w:val="007E2FA1"/>
    <w:rsid w:val="007E3168"/>
    <w:rsid w:val="007E355D"/>
    <w:rsid w:val="007E3688"/>
    <w:rsid w:val="007E3B56"/>
    <w:rsid w:val="007E3D35"/>
    <w:rsid w:val="007E41E7"/>
    <w:rsid w:val="007E44F7"/>
    <w:rsid w:val="007E4689"/>
    <w:rsid w:val="007E475F"/>
    <w:rsid w:val="007E49A8"/>
    <w:rsid w:val="007E4A02"/>
    <w:rsid w:val="007E4CAD"/>
    <w:rsid w:val="007E510D"/>
    <w:rsid w:val="007E51B0"/>
    <w:rsid w:val="007E5398"/>
    <w:rsid w:val="007E55E7"/>
    <w:rsid w:val="007E5A60"/>
    <w:rsid w:val="007E5B5C"/>
    <w:rsid w:val="007E5F88"/>
    <w:rsid w:val="007E6554"/>
    <w:rsid w:val="007E6768"/>
    <w:rsid w:val="007E71D5"/>
    <w:rsid w:val="007E7453"/>
    <w:rsid w:val="007E745E"/>
    <w:rsid w:val="007E7679"/>
    <w:rsid w:val="007E78A7"/>
    <w:rsid w:val="007F0577"/>
    <w:rsid w:val="007F0650"/>
    <w:rsid w:val="007F074A"/>
    <w:rsid w:val="007F08A3"/>
    <w:rsid w:val="007F0F8E"/>
    <w:rsid w:val="007F106F"/>
    <w:rsid w:val="007F1128"/>
    <w:rsid w:val="007F1232"/>
    <w:rsid w:val="007F1416"/>
    <w:rsid w:val="007F1445"/>
    <w:rsid w:val="007F149B"/>
    <w:rsid w:val="007F1524"/>
    <w:rsid w:val="007F1890"/>
    <w:rsid w:val="007F1AFC"/>
    <w:rsid w:val="007F1D74"/>
    <w:rsid w:val="007F1DB1"/>
    <w:rsid w:val="007F1E89"/>
    <w:rsid w:val="007F1E8F"/>
    <w:rsid w:val="007F2119"/>
    <w:rsid w:val="007F2221"/>
    <w:rsid w:val="007F26F8"/>
    <w:rsid w:val="007F28F0"/>
    <w:rsid w:val="007F2C5D"/>
    <w:rsid w:val="007F33F1"/>
    <w:rsid w:val="007F361A"/>
    <w:rsid w:val="007F3B52"/>
    <w:rsid w:val="007F3B75"/>
    <w:rsid w:val="007F410E"/>
    <w:rsid w:val="007F452A"/>
    <w:rsid w:val="007F46D5"/>
    <w:rsid w:val="007F471E"/>
    <w:rsid w:val="007F4F89"/>
    <w:rsid w:val="007F5116"/>
    <w:rsid w:val="007F51C5"/>
    <w:rsid w:val="007F5411"/>
    <w:rsid w:val="007F5901"/>
    <w:rsid w:val="007F5DFD"/>
    <w:rsid w:val="007F6238"/>
    <w:rsid w:val="007F6AA8"/>
    <w:rsid w:val="007F6DD2"/>
    <w:rsid w:val="007F6E1D"/>
    <w:rsid w:val="007F6EF6"/>
    <w:rsid w:val="007F7181"/>
    <w:rsid w:val="007F739E"/>
    <w:rsid w:val="007F740E"/>
    <w:rsid w:val="007F7930"/>
    <w:rsid w:val="007F7B1A"/>
    <w:rsid w:val="007F7B4C"/>
    <w:rsid w:val="007F7BEC"/>
    <w:rsid w:val="007F7DCE"/>
    <w:rsid w:val="007F7F7F"/>
    <w:rsid w:val="008001D1"/>
    <w:rsid w:val="00800356"/>
    <w:rsid w:val="00800520"/>
    <w:rsid w:val="0080059D"/>
    <w:rsid w:val="008006A1"/>
    <w:rsid w:val="008006A6"/>
    <w:rsid w:val="0080073B"/>
    <w:rsid w:val="008007A7"/>
    <w:rsid w:val="00800950"/>
    <w:rsid w:val="00800BFA"/>
    <w:rsid w:val="0080150F"/>
    <w:rsid w:val="00801B0B"/>
    <w:rsid w:val="00801B4E"/>
    <w:rsid w:val="00801C9E"/>
    <w:rsid w:val="00801DB8"/>
    <w:rsid w:val="00801EAC"/>
    <w:rsid w:val="00802162"/>
    <w:rsid w:val="00802228"/>
    <w:rsid w:val="00802348"/>
    <w:rsid w:val="00802780"/>
    <w:rsid w:val="00802AC3"/>
    <w:rsid w:val="00802BE7"/>
    <w:rsid w:val="00802CD8"/>
    <w:rsid w:val="0080344F"/>
    <w:rsid w:val="0080375D"/>
    <w:rsid w:val="0080378E"/>
    <w:rsid w:val="0080393E"/>
    <w:rsid w:val="008040A2"/>
    <w:rsid w:val="00804489"/>
    <w:rsid w:val="008044F8"/>
    <w:rsid w:val="00804782"/>
    <w:rsid w:val="00804E3C"/>
    <w:rsid w:val="00804FA6"/>
    <w:rsid w:val="00804FF4"/>
    <w:rsid w:val="00805170"/>
    <w:rsid w:val="00805277"/>
    <w:rsid w:val="0080543C"/>
    <w:rsid w:val="00805D90"/>
    <w:rsid w:val="00805DDF"/>
    <w:rsid w:val="00805F35"/>
    <w:rsid w:val="0080609E"/>
    <w:rsid w:val="00806305"/>
    <w:rsid w:val="0080676E"/>
    <w:rsid w:val="0080679A"/>
    <w:rsid w:val="008069B7"/>
    <w:rsid w:val="00806A36"/>
    <w:rsid w:val="00806A92"/>
    <w:rsid w:val="00806C0C"/>
    <w:rsid w:val="00806D42"/>
    <w:rsid w:val="008070B3"/>
    <w:rsid w:val="008070F0"/>
    <w:rsid w:val="0080720A"/>
    <w:rsid w:val="00807246"/>
    <w:rsid w:val="00807665"/>
    <w:rsid w:val="0081021B"/>
    <w:rsid w:val="00810386"/>
    <w:rsid w:val="008104BE"/>
    <w:rsid w:val="0081074A"/>
    <w:rsid w:val="00810A49"/>
    <w:rsid w:val="00810AF8"/>
    <w:rsid w:val="00810ECD"/>
    <w:rsid w:val="00811F1F"/>
    <w:rsid w:val="008120C8"/>
    <w:rsid w:val="00812226"/>
    <w:rsid w:val="0081243F"/>
    <w:rsid w:val="0081253A"/>
    <w:rsid w:val="008125AA"/>
    <w:rsid w:val="00812C60"/>
    <w:rsid w:val="00812DB6"/>
    <w:rsid w:val="00812E95"/>
    <w:rsid w:val="00812F17"/>
    <w:rsid w:val="00813420"/>
    <w:rsid w:val="00813608"/>
    <w:rsid w:val="0081386F"/>
    <w:rsid w:val="00813CFD"/>
    <w:rsid w:val="00813DA4"/>
    <w:rsid w:val="00813E15"/>
    <w:rsid w:val="00813E77"/>
    <w:rsid w:val="00814298"/>
    <w:rsid w:val="00814412"/>
    <w:rsid w:val="008144C7"/>
    <w:rsid w:val="00814536"/>
    <w:rsid w:val="00814E89"/>
    <w:rsid w:val="00815579"/>
    <w:rsid w:val="0081586A"/>
    <w:rsid w:val="00815896"/>
    <w:rsid w:val="008158CC"/>
    <w:rsid w:val="008159B0"/>
    <w:rsid w:val="00816291"/>
    <w:rsid w:val="00816893"/>
    <w:rsid w:val="00816996"/>
    <w:rsid w:val="00816A21"/>
    <w:rsid w:val="00816E68"/>
    <w:rsid w:val="008170B5"/>
    <w:rsid w:val="008170B6"/>
    <w:rsid w:val="008170ED"/>
    <w:rsid w:val="00817778"/>
    <w:rsid w:val="00817790"/>
    <w:rsid w:val="00817A27"/>
    <w:rsid w:val="008201EA"/>
    <w:rsid w:val="008201FA"/>
    <w:rsid w:val="00820286"/>
    <w:rsid w:val="008208D4"/>
    <w:rsid w:val="008209D1"/>
    <w:rsid w:val="00820B3A"/>
    <w:rsid w:val="00820C28"/>
    <w:rsid w:val="00820CA2"/>
    <w:rsid w:val="00820DD7"/>
    <w:rsid w:val="00821534"/>
    <w:rsid w:val="00821574"/>
    <w:rsid w:val="008216D5"/>
    <w:rsid w:val="0082190D"/>
    <w:rsid w:val="00821974"/>
    <w:rsid w:val="00821BBC"/>
    <w:rsid w:val="008220B1"/>
    <w:rsid w:val="008226EB"/>
    <w:rsid w:val="00822AA7"/>
    <w:rsid w:val="00822F9E"/>
    <w:rsid w:val="00823195"/>
    <w:rsid w:val="0082361C"/>
    <w:rsid w:val="00823922"/>
    <w:rsid w:val="008239CC"/>
    <w:rsid w:val="008239FF"/>
    <w:rsid w:val="00823AF9"/>
    <w:rsid w:val="00823C17"/>
    <w:rsid w:val="00823D71"/>
    <w:rsid w:val="00823F8E"/>
    <w:rsid w:val="00824384"/>
    <w:rsid w:val="00824411"/>
    <w:rsid w:val="00824543"/>
    <w:rsid w:val="008245C2"/>
    <w:rsid w:val="008245D7"/>
    <w:rsid w:val="008245E5"/>
    <w:rsid w:val="00824DBA"/>
    <w:rsid w:val="00825028"/>
    <w:rsid w:val="008250B0"/>
    <w:rsid w:val="00825486"/>
    <w:rsid w:val="00826020"/>
    <w:rsid w:val="00826259"/>
    <w:rsid w:val="00826D7A"/>
    <w:rsid w:val="0082741F"/>
    <w:rsid w:val="008275A1"/>
    <w:rsid w:val="008275B4"/>
    <w:rsid w:val="008275B8"/>
    <w:rsid w:val="008275E9"/>
    <w:rsid w:val="00827958"/>
    <w:rsid w:val="008305F2"/>
    <w:rsid w:val="00830628"/>
    <w:rsid w:val="00830765"/>
    <w:rsid w:val="00830F13"/>
    <w:rsid w:val="00830F16"/>
    <w:rsid w:val="0083119B"/>
    <w:rsid w:val="00831648"/>
    <w:rsid w:val="008317EB"/>
    <w:rsid w:val="008318A2"/>
    <w:rsid w:val="008318C0"/>
    <w:rsid w:val="008319CE"/>
    <w:rsid w:val="00831B42"/>
    <w:rsid w:val="00831CB5"/>
    <w:rsid w:val="00831DD3"/>
    <w:rsid w:val="00831DE1"/>
    <w:rsid w:val="00832450"/>
    <w:rsid w:val="00832A4E"/>
    <w:rsid w:val="00832BC9"/>
    <w:rsid w:val="00832C0F"/>
    <w:rsid w:val="0083328D"/>
    <w:rsid w:val="00833627"/>
    <w:rsid w:val="00833909"/>
    <w:rsid w:val="0083397F"/>
    <w:rsid w:val="00833C42"/>
    <w:rsid w:val="00833C6B"/>
    <w:rsid w:val="00833E6E"/>
    <w:rsid w:val="008340E9"/>
    <w:rsid w:val="008344DE"/>
    <w:rsid w:val="008344F3"/>
    <w:rsid w:val="0083477B"/>
    <w:rsid w:val="00834837"/>
    <w:rsid w:val="008348C7"/>
    <w:rsid w:val="008348FD"/>
    <w:rsid w:val="00834D75"/>
    <w:rsid w:val="00834EEB"/>
    <w:rsid w:val="00835007"/>
    <w:rsid w:val="0083564D"/>
    <w:rsid w:val="008356BB"/>
    <w:rsid w:val="00835A20"/>
    <w:rsid w:val="00835CE6"/>
    <w:rsid w:val="00836121"/>
    <w:rsid w:val="008361AE"/>
    <w:rsid w:val="0083667E"/>
    <w:rsid w:val="00836F29"/>
    <w:rsid w:val="00837294"/>
    <w:rsid w:val="00837530"/>
    <w:rsid w:val="00837532"/>
    <w:rsid w:val="008378AF"/>
    <w:rsid w:val="00837B62"/>
    <w:rsid w:val="00837CE7"/>
    <w:rsid w:val="00837E1C"/>
    <w:rsid w:val="008401DC"/>
    <w:rsid w:val="008402B3"/>
    <w:rsid w:val="00840347"/>
    <w:rsid w:val="008405D8"/>
    <w:rsid w:val="00840837"/>
    <w:rsid w:val="0084087A"/>
    <w:rsid w:val="00840D7E"/>
    <w:rsid w:val="00840E66"/>
    <w:rsid w:val="00840EE7"/>
    <w:rsid w:val="0084117C"/>
    <w:rsid w:val="00841286"/>
    <w:rsid w:val="00841746"/>
    <w:rsid w:val="00841BEA"/>
    <w:rsid w:val="00841CD0"/>
    <w:rsid w:val="00841D0C"/>
    <w:rsid w:val="00841D97"/>
    <w:rsid w:val="00841DB0"/>
    <w:rsid w:val="00841E38"/>
    <w:rsid w:val="00841F0D"/>
    <w:rsid w:val="00842430"/>
    <w:rsid w:val="008425FC"/>
    <w:rsid w:val="00842655"/>
    <w:rsid w:val="008428ED"/>
    <w:rsid w:val="008428FF"/>
    <w:rsid w:val="00842971"/>
    <w:rsid w:val="00842989"/>
    <w:rsid w:val="00842BF3"/>
    <w:rsid w:val="00842C07"/>
    <w:rsid w:val="008431E2"/>
    <w:rsid w:val="00843224"/>
    <w:rsid w:val="008434A8"/>
    <w:rsid w:val="008435C1"/>
    <w:rsid w:val="00843713"/>
    <w:rsid w:val="00843722"/>
    <w:rsid w:val="0084382C"/>
    <w:rsid w:val="0084383F"/>
    <w:rsid w:val="008438D3"/>
    <w:rsid w:val="0084483D"/>
    <w:rsid w:val="008448F4"/>
    <w:rsid w:val="008449BD"/>
    <w:rsid w:val="00844B7C"/>
    <w:rsid w:val="00844E8D"/>
    <w:rsid w:val="0084518B"/>
    <w:rsid w:val="00845418"/>
    <w:rsid w:val="00845ACA"/>
    <w:rsid w:val="008463F5"/>
    <w:rsid w:val="0084673F"/>
    <w:rsid w:val="00846795"/>
    <w:rsid w:val="008467FE"/>
    <w:rsid w:val="00847142"/>
    <w:rsid w:val="00847550"/>
    <w:rsid w:val="008475E5"/>
    <w:rsid w:val="008476FA"/>
    <w:rsid w:val="0084782E"/>
    <w:rsid w:val="00847BEA"/>
    <w:rsid w:val="00847E30"/>
    <w:rsid w:val="00847E44"/>
    <w:rsid w:val="008501C0"/>
    <w:rsid w:val="008501CC"/>
    <w:rsid w:val="00850863"/>
    <w:rsid w:val="00850E3A"/>
    <w:rsid w:val="00851159"/>
    <w:rsid w:val="008512F1"/>
    <w:rsid w:val="008513DB"/>
    <w:rsid w:val="00851862"/>
    <w:rsid w:val="00851F81"/>
    <w:rsid w:val="008524A6"/>
    <w:rsid w:val="0085259E"/>
    <w:rsid w:val="008525A8"/>
    <w:rsid w:val="008525F7"/>
    <w:rsid w:val="008529AD"/>
    <w:rsid w:val="00852C42"/>
    <w:rsid w:val="00852FF0"/>
    <w:rsid w:val="00853202"/>
    <w:rsid w:val="00853716"/>
    <w:rsid w:val="0085373B"/>
    <w:rsid w:val="00853D47"/>
    <w:rsid w:val="00854165"/>
    <w:rsid w:val="0085444E"/>
    <w:rsid w:val="008547B2"/>
    <w:rsid w:val="00854E2C"/>
    <w:rsid w:val="00854E8A"/>
    <w:rsid w:val="00855414"/>
    <w:rsid w:val="0085564D"/>
    <w:rsid w:val="00855ADC"/>
    <w:rsid w:val="00855B04"/>
    <w:rsid w:val="00855E6A"/>
    <w:rsid w:val="00855E6E"/>
    <w:rsid w:val="00855F2D"/>
    <w:rsid w:val="00855FAC"/>
    <w:rsid w:val="00856764"/>
    <w:rsid w:val="008567D1"/>
    <w:rsid w:val="008568DF"/>
    <w:rsid w:val="00856953"/>
    <w:rsid w:val="00856C1F"/>
    <w:rsid w:val="00856DB5"/>
    <w:rsid w:val="00856F56"/>
    <w:rsid w:val="008571EC"/>
    <w:rsid w:val="008572FD"/>
    <w:rsid w:val="00857445"/>
    <w:rsid w:val="00857459"/>
    <w:rsid w:val="008575D7"/>
    <w:rsid w:val="008576AE"/>
    <w:rsid w:val="00857754"/>
    <w:rsid w:val="00857AC1"/>
    <w:rsid w:val="00857B7F"/>
    <w:rsid w:val="00857ED6"/>
    <w:rsid w:val="008602A5"/>
    <w:rsid w:val="008602E9"/>
    <w:rsid w:val="00860321"/>
    <w:rsid w:val="008604FF"/>
    <w:rsid w:val="00860C6F"/>
    <w:rsid w:val="00860E40"/>
    <w:rsid w:val="00860F04"/>
    <w:rsid w:val="008614CF"/>
    <w:rsid w:val="008618E3"/>
    <w:rsid w:val="008619AC"/>
    <w:rsid w:val="00861C61"/>
    <w:rsid w:val="00861C76"/>
    <w:rsid w:val="00862425"/>
    <w:rsid w:val="008624F3"/>
    <w:rsid w:val="008626D7"/>
    <w:rsid w:val="008627FB"/>
    <w:rsid w:val="00862912"/>
    <w:rsid w:val="00862A16"/>
    <w:rsid w:val="00863AD3"/>
    <w:rsid w:val="0086413F"/>
    <w:rsid w:val="00864659"/>
    <w:rsid w:val="0086498D"/>
    <w:rsid w:val="008649D5"/>
    <w:rsid w:val="00864B08"/>
    <w:rsid w:val="00865238"/>
    <w:rsid w:val="008653DB"/>
    <w:rsid w:val="0086559B"/>
    <w:rsid w:val="0086593E"/>
    <w:rsid w:val="00865C8B"/>
    <w:rsid w:val="00865DAD"/>
    <w:rsid w:val="00865F14"/>
    <w:rsid w:val="008660C7"/>
    <w:rsid w:val="008663C0"/>
    <w:rsid w:val="0086663B"/>
    <w:rsid w:val="00866677"/>
    <w:rsid w:val="00866AAA"/>
    <w:rsid w:val="00866F2C"/>
    <w:rsid w:val="00866FFE"/>
    <w:rsid w:val="00867450"/>
    <w:rsid w:val="00867543"/>
    <w:rsid w:val="00867B01"/>
    <w:rsid w:val="00867BF6"/>
    <w:rsid w:val="00867CD0"/>
    <w:rsid w:val="00867D52"/>
    <w:rsid w:val="00867F7A"/>
    <w:rsid w:val="0087034F"/>
    <w:rsid w:val="00870390"/>
    <w:rsid w:val="008708F0"/>
    <w:rsid w:val="00870D03"/>
    <w:rsid w:val="00870E07"/>
    <w:rsid w:val="008712E3"/>
    <w:rsid w:val="008713DF"/>
    <w:rsid w:val="008715A9"/>
    <w:rsid w:val="00871674"/>
    <w:rsid w:val="008716A6"/>
    <w:rsid w:val="008716BD"/>
    <w:rsid w:val="00871988"/>
    <w:rsid w:val="00871AB1"/>
    <w:rsid w:val="00871D18"/>
    <w:rsid w:val="00871D20"/>
    <w:rsid w:val="00871E5E"/>
    <w:rsid w:val="00871F1C"/>
    <w:rsid w:val="00871F1D"/>
    <w:rsid w:val="00871F61"/>
    <w:rsid w:val="008723F1"/>
    <w:rsid w:val="008728FC"/>
    <w:rsid w:val="00872E22"/>
    <w:rsid w:val="008730B1"/>
    <w:rsid w:val="00873267"/>
    <w:rsid w:val="00873463"/>
    <w:rsid w:val="00873AFA"/>
    <w:rsid w:val="00873C70"/>
    <w:rsid w:val="00873DE9"/>
    <w:rsid w:val="008740DD"/>
    <w:rsid w:val="008746D6"/>
    <w:rsid w:val="008746FF"/>
    <w:rsid w:val="008748DE"/>
    <w:rsid w:val="00874CED"/>
    <w:rsid w:val="0087517A"/>
    <w:rsid w:val="0087555B"/>
    <w:rsid w:val="008757DF"/>
    <w:rsid w:val="00875839"/>
    <w:rsid w:val="00875D09"/>
    <w:rsid w:val="00876399"/>
    <w:rsid w:val="00876592"/>
    <w:rsid w:val="00876E57"/>
    <w:rsid w:val="00876ED9"/>
    <w:rsid w:val="00876F2E"/>
    <w:rsid w:val="0087749D"/>
    <w:rsid w:val="00877700"/>
    <w:rsid w:val="00877B9E"/>
    <w:rsid w:val="00877F58"/>
    <w:rsid w:val="00880539"/>
    <w:rsid w:val="008805D4"/>
    <w:rsid w:val="008806FF"/>
    <w:rsid w:val="00880A12"/>
    <w:rsid w:val="00880E35"/>
    <w:rsid w:val="00880FD1"/>
    <w:rsid w:val="00881344"/>
    <w:rsid w:val="00881472"/>
    <w:rsid w:val="008816E0"/>
    <w:rsid w:val="008817FE"/>
    <w:rsid w:val="00881D68"/>
    <w:rsid w:val="00881DFB"/>
    <w:rsid w:val="00882382"/>
    <w:rsid w:val="00882446"/>
    <w:rsid w:val="008825AA"/>
    <w:rsid w:val="0088260D"/>
    <w:rsid w:val="00882DA6"/>
    <w:rsid w:val="00883066"/>
    <w:rsid w:val="00883330"/>
    <w:rsid w:val="008833B8"/>
    <w:rsid w:val="00883730"/>
    <w:rsid w:val="00883815"/>
    <w:rsid w:val="008840DC"/>
    <w:rsid w:val="00884621"/>
    <w:rsid w:val="008846C3"/>
    <w:rsid w:val="00884A02"/>
    <w:rsid w:val="00884C4C"/>
    <w:rsid w:val="00884CE3"/>
    <w:rsid w:val="00884EA1"/>
    <w:rsid w:val="00885268"/>
    <w:rsid w:val="00885907"/>
    <w:rsid w:val="00885C63"/>
    <w:rsid w:val="00885D1A"/>
    <w:rsid w:val="0088661A"/>
    <w:rsid w:val="008866BC"/>
    <w:rsid w:val="008866C4"/>
    <w:rsid w:val="00886935"/>
    <w:rsid w:val="0088698C"/>
    <w:rsid w:val="008869C6"/>
    <w:rsid w:val="00886CC4"/>
    <w:rsid w:val="00886EBB"/>
    <w:rsid w:val="00886FD7"/>
    <w:rsid w:val="0088742A"/>
    <w:rsid w:val="00887848"/>
    <w:rsid w:val="00887A70"/>
    <w:rsid w:val="00887DB9"/>
    <w:rsid w:val="00887F9B"/>
    <w:rsid w:val="00890725"/>
    <w:rsid w:val="0089081E"/>
    <w:rsid w:val="00890B35"/>
    <w:rsid w:val="00890D2F"/>
    <w:rsid w:val="00890ED2"/>
    <w:rsid w:val="00890EDC"/>
    <w:rsid w:val="008911D3"/>
    <w:rsid w:val="008911E9"/>
    <w:rsid w:val="00891444"/>
    <w:rsid w:val="008916E3"/>
    <w:rsid w:val="008918AA"/>
    <w:rsid w:val="00891BF9"/>
    <w:rsid w:val="00891CBD"/>
    <w:rsid w:val="00891E87"/>
    <w:rsid w:val="008920A7"/>
    <w:rsid w:val="008924B1"/>
    <w:rsid w:val="0089337B"/>
    <w:rsid w:val="00893D17"/>
    <w:rsid w:val="00893ED8"/>
    <w:rsid w:val="00893F9B"/>
    <w:rsid w:val="008945D1"/>
    <w:rsid w:val="00894612"/>
    <w:rsid w:val="00894A7B"/>
    <w:rsid w:val="00894AE4"/>
    <w:rsid w:val="00894B5E"/>
    <w:rsid w:val="00894C0A"/>
    <w:rsid w:val="00894D2B"/>
    <w:rsid w:val="00894E83"/>
    <w:rsid w:val="00894F8D"/>
    <w:rsid w:val="00894FB1"/>
    <w:rsid w:val="00894FE6"/>
    <w:rsid w:val="0089502D"/>
    <w:rsid w:val="00895A09"/>
    <w:rsid w:val="00895C6D"/>
    <w:rsid w:val="008961D3"/>
    <w:rsid w:val="0089638A"/>
    <w:rsid w:val="008964EB"/>
    <w:rsid w:val="0089651B"/>
    <w:rsid w:val="008968A9"/>
    <w:rsid w:val="00896AC9"/>
    <w:rsid w:val="00896D37"/>
    <w:rsid w:val="00896D5F"/>
    <w:rsid w:val="00896D68"/>
    <w:rsid w:val="00897698"/>
    <w:rsid w:val="0089771D"/>
    <w:rsid w:val="00897729"/>
    <w:rsid w:val="008978EC"/>
    <w:rsid w:val="00897DD9"/>
    <w:rsid w:val="00897EDF"/>
    <w:rsid w:val="008A0043"/>
    <w:rsid w:val="008A0448"/>
    <w:rsid w:val="008A06D0"/>
    <w:rsid w:val="008A0C03"/>
    <w:rsid w:val="008A0C53"/>
    <w:rsid w:val="008A0DAE"/>
    <w:rsid w:val="008A0DFB"/>
    <w:rsid w:val="008A150A"/>
    <w:rsid w:val="008A2042"/>
    <w:rsid w:val="008A2675"/>
    <w:rsid w:val="008A2A11"/>
    <w:rsid w:val="008A2AB4"/>
    <w:rsid w:val="008A2BC9"/>
    <w:rsid w:val="008A2BD7"/>
    <w:rsid w:val="008A2F20"/>
    <w:rsid w:val="008A31CB"/>
    <w:rsid w:val="008A3596"/>
    <w:rsid w:val="008A369C"/>
    <w:rsid w:val="008A3719"/>
    <w:rsid w:val="008A387C"/>
    <w:rsid w:val="008A3A7B"/>
    <w:rsid w:val="008A3C4E"/>
    <w:rsid w:val="008A3C61"/>
    <w:rsid w:val="008A3EE6"/>
    <w:rsid w:val="008A3FCE"/>
    <w:rsid w:val="008A4272"/>
    <w:rsid w:val="008A42D3"/>
    <w:rsid w:val="008A46A4"/>
    <w:rsid w:val="008A49DF"/>
    <w:rsid w:val="008A4AF0"/>
    <w:rsid w:val="008A4C08"/>
    <w:rsid w:val="008A4EC7"/>
    <w:rsid w:val="008A53B5"/>
    <w:rsid w:val="008A57A2"/>
    <w:rsid w:val="008A5F46"/>
    <w:rsid w:val="008A6055"/>
    <w:rsid w:val="008A6152"/>
    <w:rsid w:val="008A63B6"/>
    <w:rsid w:val="008A675E"/>
    <w:rsid w:val="008A689B"/>
    <w:rsid w:val="008A6D0E"/>
    <w:rsid w:val="008A7177"/>
    <w:rsid w:val="008A74FD"/>
    <w:rsid w:val="008A7537"/>
    <w:rsid w:val="008A7AFB"/>
    <w:rsid w:val="008A7EF8"/>
    <w:rsid w:val="008B064D"/>
    <w:rsid w:val="008B0B81"/>
    <w:rsid w:val="008B128C"/>
    <w:rsid w:val="008B1441"/>
    <w:rsid w:val="008B19B9"/>
    <w:rsid w:val="008B1A93"/>
    <w:rsid w:val="008B1AA9"/>
    <w:rsid w:val="008B1C31"/>
    <w:rsid w:val="008B1E69"/>
    <w:rsid w:val="008B2142"/>
    <w:rsid w:val="008B27F3"/>
    <w:rsid w:val="008B2875"/>
    <w:rsid w:val="008B2CE3"/>
    <w:rsid w:val="008B35DC"/>
    <w:rsid w:val="008B3C83"/>
    <w:rsid w:val="008B3D53"/>
    <w:rsid w:val="008B455C"/>
    <w:rsid w:val="008B4586"/>
    <w:rsid w:val="008B4725"/>
    <w:rsid w:val="008B4F56"/>
    <w:rsid w:val="008B5117"/>
    <w:rsid w:val="008B515C"/>
    <w:rsid w:val="008B5BEE"/>
    <w:rsid w:val="008B5C5B"/>
    <w:rsid w:val="008B5C5C"/>
    <w:rsid w:val="008B5F23"/>
    <w:rsid w:val="008B6116"/>
    <w:rsid w:val="008B6700"/>
    <w:rsid w:val="008B69C5"/>
    <w:rsid w:val="008B6A65"/>
    <w:rsid w:val="008B6B47"/>
    <w:rsid w:val="008B6E35"/>
    <w:rsid w:val="008B6E7C"/>
    <w:rsid w:val="008B6EBE"/>
    <w:rsid w:val="008B757D"/>
    <w:rsid w:val="008B77CD"/>
    <w:rsid w:val="008B7925"/>
    <w:rsid w:val="008B7D94"/>
    <w:rsid w:val="008C02A9"/>
    <w:rsid w:val="008C08B5"/>
    <w:rsid w:val="008C0B48"/>
    <w:rsid w:val="008C0D07"/>
    <w:rsid w:val="008C1256"/>
    <w:rsid w:val="008C1957"/>
    <w:rsid w:val="008C1D3A"/>
    <w:rsid w:val="008C2178"/>
    <w:rsid w:val="008C22D5"/>
    <w:rsid w:val="008C28FC"/>
    <w:rsid w:val="008C2983"/>
    <w:rsid w:val="008C29E6"/>
    <w:rsid w:val="008C2CCD"/>
    <w:rsid w:val="008C3211"/>
    <w:rsid w:val="008C380B"/>
    <w:rsid w:val="008C39B8"/>
    <w:rsid w:val="008C3EB2"/>
    <w:rsid w:val="008C3FE3"/>
    <w:rsid w:val="008C4120"/>
    <w:rsid w:val="008C4345"/>
    <w:rsid w:val="008C43AF"/>
    <w:rsid w:val="008C486F"/>
    <w:rsid w:val="008C4B70"/>
    <w:rsid w:val="008C4B97"/>
    <w:rsid w:val="008C4CC5"/>
    <w:rsid w:val="008C4EB3"/>
    <w:rsid w:val="008C510F"/>
    <w:rsid w:val="008C5204"/>
    <w:rsid w:val="008C5B06"/>
    <w:rsid w:val="008C6101"/>
    <w:rsid w:val="008C6759"/>
    <w:rsid w:val="008C67ED"/>
    <w:rsid w:val="008C6938"/>
    <w:rsid w:val="008C6D90"/>
    <w:rsid w:val="008C7152"/>
    <w:rsid w:val="008C7308"/>
    <w:rsid w:val="008C7346"/>
    <w:rsid w:val="008C73BD"/>
    <w:rsid w:val="008C7468"/>
    <w:rsid w:val="008C7695"/>
    <w:rsid w:val="008C76A6"/>
    <w:rsid w:val="008C7909"/>
    <w:rsid w:val="008C796F"/>
    <w:rsid w:val="008C7C39"/>
    <w:rsid w:val="008C7F58"/>
    <w:rsid w:val="008D0055"/>
    <w:rsid w:val="008D07F7"/>
    <w:rsid w:val="008D0ADA"/>
    <w:rsid w:val="008D0D22"/>
    <w:rsid w:val="008D0D70"/>
    <w:rsid w:val="008D0E46"/>
    <w:rsid w:val="008D0F60"/>
    <w:rsid w:val="008D112E"/>
    <w:rsid w:val="008D17F0"/>
    <w:rsid w:val="008D18E7"/>
    <w:rsid w:val="008D1C8F"/>
    <w:rsid w:val="008D21A8"/>
    <w:rsid w:val="008D2307"/>
    <w:rsid w:val="008D2C61"/>
    <w:rsid w:val="008D2CF5"/>
    <w:rsid w:val="008D3233"/>
    <w:rsid w:val="008D37C8"/>
    <w:rsid w:val="008D3C0C"/>
    <w:rsid w:val="008D3C50"/>
    <w:rsid w:val="008D3ED9"/>
    <w:rsid w:val="008D3F71"/>
    <w:rsid w:val="008D403E"/>
    <w:rsid w:val="008D4376"/>
    <w:rsid w:val="008D4635"/>
    <w:rsid w:val="008D4742"/>
    <w:rsid w:val="008D47E9"/>
    <w:rsid w:val="008D48BE"/>
    <w:rsid w:val="008D4D6E"/>
    <w:rsid w:val="008D4F20"/>
    <w:rsid w:val="008D5FF0"/>
    <w:rsid w:val="008D619E"/>
    <w:rsid w:val="008D63A0"/>
    <w:rsid w:val="008D6551"/>
    <w:rsid w:val="008D6611"/>
    <w:rsid w:val="008D66D1"/>
    <w:rsid w:val="008D6716"/>
    <w:rsid w:val="008D77C9"/>
    <w:rsid w:val="008D78EB"/>
    <w:rsid w:val="008D7C3B"/>
    <w:rsid w:val="008D7FD9"/>
    <w:rsid w:val="008E027F"/>
    <w:rsid w:val="008E0462"/>
    <w:rsid w:val="008E051E"/>
    <w:rsid w:val="008E0528"/>
    <w:rsid w:val="008E0588"/>
    <w:rsid w:val="008E0EF7"/>
    <w:rsid w:val="008E1068"/>
    <w:rsid w:val="008E152F"/>
    <w:rsid w:val="008E157F"/>
    <w:rsid w:val="008E188F"/>
    <w:rsid w:val="008E1C82"/>
    <w:rsid w:val="008E20FB"/>
    <w:rsid w:val="008E22DE"/>
    <w:rsid w:val="008E259D"/>
    <w:rsid w:val="008E25C6"/>
    <w:rsid w:val="008E2631"/>
    <w:rsid w:val="008E268F"/>
    <w:rsid w:val="008E29CB"/>
    <w:rsid w:val="008E2C95"/>
    <w:rsid w:val="008E2E85"/>
    <w:rsid w:val="008E3299"/>
    <w:rsid w:val="008E357B"/>
    <w:rsid w:val="008E3634"/>
    <w:rsid w:val="008E39A1"/>
    <w:rsid w:val="008E3C69"/>
    <w:rsid w:val="008E3C93"/>
    <w:rsid w:val="008E3D7E"/>
    <w:rsid w:val="008E3EEA"/>
    <w:rsid w:val="008E42D2"/>
    <w:rsid w:val="008E5884"/>
    <w:rsid w:val="008E5D4D"/>
    <w:rsid w:val="008E5DBE"/>
    <w:rsid w:val="008E634E"/>
    <w:rsid w:val="008E6941"/>
    <w:rsid w:val="008E6D91"/>
    <w:rsid w:val="008E6DA4"/>
    <w:rsid w:val="008E6EA3"/>
    <w:rsid w:val="008E6F07"/>
    <w:rsid w:val="008E718E"/>
    <w:rsid w:val="008E71F2"/>
    <w:rsid w:val="008E72EF"/>
    <w:rsid w:val="008E74AC"/>
    <w:rsid w:val="008E7508"/>
    <w:rsid w:val="008E7688"/>
    <w:rsid w:val="008E7822"/>
    <w:rsid w:val="008E7A21"/>
    <w:rsid w:val="008E7BC4"/>
    <w:rsid w:val="008E7D93"/>
    <w:rsid w:val="008E7DD1"/>
    <w:rsid w:val="008E7EAD"/>
    <w:rsid w:val="008E7FD9"/>
    <w:rsid w:val="008F0170"/>
    <w:rsid w:val="008F0582"/>
    <w:rsid w:val="008F0739"/>
    <w:rsid w:val="008F087B"/>
    <w:rsid w:val="008F08D8"/>
    <w:rsid w:val="008F111F"/>
    <w:rsid w:val="008F1171"/>
    <w:rsid w:val="008F16EC"/>
    <w:rsid w:val="008F183A"/>
    <w:rsid w:val="008F1D1C"/>
    <w:rsid w:val="008F1E99"/>
    <w:rsid w:val="008F1F82"/>
    <w:rsid w:val="008F1FFC"/>
    <w:rsid w:val="008F23B2"/>
    <w:rsid w:val="008F2411"/>
    <w:rsid w:val="008F2448"/>
    <w:rsid w:val="008F28BF"/>
    <w:rsid w:val="008F2BF2"/>
    <w:rsid w:val="008F2C1C"/>
    <w:rsid w:val="008F3030"/>
    <w:rsid w:val="008F30DA"/>
    <w:rsid w:val="008F3358"/>
    <w:rsid w:val="008F34BA"/>
    <w:rsid w:val="008F3819"/>
    <w:rsid w:val="008F38D3"/>
    <w:rsid w:val="008F3D0C"/>
    <w:rsid w:val="008F42FB"/>
    <w:rsid w:val="008F4DDD"/>
    <w:rsid w:val="008F4EE5"/>
    <w:rsid w:val="008F5057"/>
    <w:rsid w:val="008F53B5"/>
    <w:rsid w:val="008F59A8"/>
    <w:rsid w:val="008F5DC3"/>
    <w:rsid w:val="008F6137"/>
    <w:rsid w:val="008F63DB"/>
    <w:rsid w:val="008F64F5"/>
    <w:rsid w:val="008F6732"/>
    <w:rsid w:val="008F6840"/>
    <w:rsid w:val="008F6DD3"/>
    <w:rsid w:val="008F7067"/>
    <w:rsid w:val="008F72B5"/>
    <w:rsid w:val="008F734B"/>
    <w:rsid w:val="008F76B2"/>
    <w:rsid w:val="008F775D"/>
    <w:rsid w:val="008F793E"/>
    <w:rsid w:val="008F7C28"/>
    <w:rsid w:val="008F7E19"/>
    <w:rsid w:val="008F7F79"/>
    <w:rsid w:val="0090004B"/>
    <w:rsid w:val="00900077"/>
    <w:rsid w:val="00900432"/>
    <w:rsid w:val="00900479"/>
    <w:rsid w:val="0090047B"/>
    <w:rsid w:val="00900CCE"/>
    <w:rsid w:val="00900DF3"/>
    <w:rsid w:val="00900ED8"/>
    <w:rsid w:val="0090153B"/>
    <w:rsid w:val="009015BF"/>
    <w:rsid w:val="009022FB"/>
    <w:rsid w:val="009026BC"/>
    <w:rsid w:val="00902AA8"/>
    <w:rsid w:val="00902B49"/>
    <w:rsid w:val="00902CE0"/>
    <w:rsid w:val="00902EAE"/>
    <w:rsid w:val="00902EF6"/>
    <w:rsid w:val="00903487"/>
    <w:rsid w:val="00903492"/>
    <w:rsid w:val="00903645"/>
    <w:rsid w:val="009036EB"/>
    <w:rsid w:val="009039EC"/>
    <w:rsid w:val="009041A4"/>
    <w:rsid w:val="009044CC"/>
    <w:rsid w:val="00904757"/>
    <w:rsid w:val="009047DF"/>
    <w:rsid w:val="009047E0"/>
    <w:rsid w:val="009057F7"/>
    <w:rsid w:val="0090597B"/>
    <w:rsid w:val="009059F8"/>
    <w:rsid w:val="00905BBB"/>
    <w:rsid w:val="00905D0F"/>
    <w:rsid w:val="00906091"/>
    <w:rsid w:val="00906478"/>
    <w:rsid w:val="009065D7"/>
    <w:rsid w:val="00906817"/>
    <w:rsid w:val="009068E0"/>
    <w:rsid w:val="00906B04"/>
    <w:rsid w:val="00906C5E"/>
    <w:rsid w:val="00906C9A"/>
    <w:rsid w:val="00906E68"/>
    <w:rsid w:val="0090750A"/>
    <w:rsid w:val="009076AF"/>
    <w:rsid w:val="00907B2B"/>
    <w:rsid w:val="00907C6E"/>
    <w:rsid w:val="00907D32"/>
    <w:rsid w:val="00907D7A"/>
    <w:rsid w:val="00907DF6"/>
    <w:rsid w:val="00907E5B"/>
    <w:rsid w:val="00907E62"/>
    <w:rsid w:val="00907E6F"/>
    <w:rsid w:val="0091036E"/>
    <w:rsid w:val="0091047A"/>
    <w:rsid w:val="009107AD"/>
    <w:rsid w:val="00910972"/>
    <w:rsid w:val="00911409"/>
    <w:rsid w:val="009118A0"/>
    <w:rsid w:val="00911A6B"/>
    <w:rsid w:val="00911C59"/>
    <w:rsid w:val="00911D4E"/>
    <w:rsid w:val="00912468"/>
    <w:rsid w:val="009125F6"/>
    <w:rsid w:val="00912A56"/>
    <w:rsid w:val="00912A72"/>
    <w:rsid w:val="00913128"/>
    <w:rsid w:val="00913620"/>
    <w:rsid w:val="00913ED7"/>
    <w:rsid w:val="00914B37"/>
    <w:rsid w:val="00914C6D"/>
    <w:rsid w:val="00914D0F"/>
    <w:rsid w:val="00914EE5"/>
    <w:rsid w:val="00915102"/>
    <w:rsid w:val="009155B0"/>
    <w:rsid w:val="009156A4"/>
    <w:rsid w:val="00915890"/>
    <w:rsid w:val="009165F1"/>
    <w:rsid w:val="0091728B"/>
    <w:rsid w:val="00917BA5"/>
    <w:rsid w:val="00917C28"/>
    <w:rsid w:val="00920080"/>
    <w:rsid w:val="00920414"/>
    <w:rsid w:val="00920452"/>
    <w:rsid w:val="0092050E"/>
    <w:rsid w:val="00920974"/>
    <w:rsid w:val="00920A12"/>
    <w:rsid w:val="00920E9E"/>
    <w:rsid w:val="00920FC9"/>
    <w:rsid w:val="00921204"/>
    <w:rsid w:val="00921632"/>
    <w:rsid w:val="00921756"/>
    <w:rsid w:val="009217F8"/>
    <w:rsid w:val="00921FC0"/>
    <w:rsid w:val="00922326"/>
    <w:rsid w:val="009223B4"/>
    <w:rsid w:val="009223C6"/>
    <w:rsid w:val="009224E1"/>
    <w:rsid w:val="009224FC"/>
    <w:rsid w:val="00922B1B"/>
    <w:rsid w:val="00923234"/>
    <w:rsid w:val="00923348"/>
    <w:rsid w:val="0092354C"/>
    <w:rsid w:val="0092378F"/>
    <w:rsid w:val="009237BA"/>
    <w:rsid w:val="00923847"/>
    <w:rsid w:val="00923AD4"/>
    <w:rsid w:val="00923DB7"/>
    <w:rsid w:val="00924076"/>
    <w:rsid w:val="0092410F"/>
    <w:rsid w:val="00924562"/>
    <w:rsid w:val="009249D5"/>
    <w:rsid w:val="00924D47"/>
    <w:rsid w:val="00924DC2"/>
    <w:rsid w:val="00924E38"/>
    <w:rsid w:val="0092555D"/>
    <w:rsid w:val="009257B6"/>
    <w:rsid w:val="00925928"/>
    <w:rsid w:val="0092595C"/>
    <w:rsid w:val="009259DB"/>
    <w:rsid w:val="00925B5F"/>
    <w:rsid w:val="00925C4B"/>
    <w:rsid w:val="00925CD2"/>
    <w:rsid w:val="009260D8"/>
    <w:rsid w:val="009260E1"/>
    <w:rsid w:val="00926264"/>
    <w:rsid w:val="00926418"/>
    <w:rsid w:val="0092648A"/>
    <w:rsid w:val="00926D03"/>
    <w:rsid w:val="00926E97"/>
    <w:rsid w:val="00926EAB"/>
    <w:rsid w:val="00927166"/>
    <w:rsid w:val="00927795"/>
    <w:rsid w:val="009279A3"/>
    <w:rsid w:val="00927D8B"/>
    <w:rsid w:val="00927EBA"/>
    <w:rsid w:val="009302F9"/>
    <w:rsid w:val="009303B3"/>
    <w:rsid w:val="0093078D"/>
    <w:rsid w:val="009309BB"/>
    <w:rsid w:val="00930A95"/>
    <w:rsid w:val="00930B6E"/>
    <w:rsid w:val="00930CFB"/>
    <w:rsid w:val="00930FDC"/>
    <w:rsid w:val="00931165"/>
    <w:rsid w:val="0093135D"/>
    <w:rsid w:val="0093164A"/>
    <w:rsid w:val="0093181C"/>
    <w:rsid w:val="00931929"/>
    <w:rsid w:val="009319BE"/>
    <w:rsid w:val="00931A98"/>
    <w:rsid w:val="00931FBD"/>
    <w:rsid w:val="00932174"/>
    <w:rsid w:val="00932536"/>
    <w:rsid w:val="009326E5"/>
    <w:rsid w:val="0093291D"/>
    <w:rsid w:val="009329AA"/>
    <w:rsid w:val="00932D37"/>
    <w:rsid w:val="00932D67"/>
    <w:rsid w:val="00932E35"/>
    <w:rsid w:val="00933170"/>
    <w:rsid w:val="0093324D"/>
    <w:rsid w:val="00933649"/>
    <w:rsid w:val="0093381F"/>
    <w:rsid w:val="00933B1E"/>
    <w:rsid w:val="00933C1E"/>
    <w:rsid w:val="0093407D"/>
    <w:rsid w:val="0093426A"/>
    <w:rsid w:val="009343F5"/>
    <w:rsid w:val="009344FF"/>
    <w:rsid w:val="009348CD"/>
    <w:rsid w:val="00934E3A"/>
    <w:rsid w:val="00934F58"/>
    <w:rsid w:val="009355AB"/>
    <w:rsid w:val="00935624"/>
    <w:rsid w:val="00935729"/>
    <w:rsid w:val="00935857"/>
    <w:rsid w:val="00935A20"/>
    <w:rsid w:val="00935B41"/>
    <w:rsid w:val="00935C4A"/>
    <w:rsid w:val="00935CEF"/>
    <w:rsid w:val="00935D43"/>
    <w:rsid w:val="009362A7"/>
    <w:rsid w:val="00936513"/>
    <w:rsid w:val="00936C20"/>
    <w:rsid w:val="00936DF0"/>
    <w:rsid w:val="00936F6F"/>
    <w:rsid w:val="00937034"/>
    <w:rsid w:val="009375FC"/>
    <w:rsid w:val="00937640"/>
    <w:rsid w:val="009377F7"/>
    <w:rsid w:val="00937A24"/>
    <w:rsid w:val="00937B32"/>
    <w:rsid w:val="0094047C"/>
    <w:rsid w:val="0094055E"/>
    <w:rsid w:val="009407D0"/>
    <w:rsid w:val="00940C9E"/>
    <w:rsid w:val="00940CD6"/>
    <w:rsid w:val="00940EDE"/>
    <w:rsid w:val="009411CF"/>
    <w:rsid w:val="0094126F"/>
    <w:rsid w:val="0094166D"/>
    <w:rsid w:val="00941750"/>
    <w:rsid w:val="009418B7"/>
    <w:rsid w:val="00941BA9"/>
    <w:rsid w:val="00941D18"/>
    <w:rsid w:val="00941F81"/>
    <w:rsid w:val="0094201C"/>
    <w:rsid w:val="00942067"/>
    <w:rsid w:val="009425EF"/>
    <w:rsid w:val="00942C2C"/>
    <w:rsid w:val="00942F31"/>
    <w:rsid w:val="0094318D"/>
    <w:rsid w:val="0094332C"/>
    <w:rsid w:val="009433DA"/>
    <w:rsid w:val="009433DC"/>
    <w:rsid w:val="009435DC"/>
    <w:rsid w:val="0094373E"/>
    <w:rsid w:val="00943B6C"/>
    <w:rsid w:val="00943C39"/>
    <w:rsid w:val="00943D76"/>
    <w:rsid w:val="00943E45"/>
    <w:rsid w:val="00943FD8"/>
    <w:rsid w:val="009448D7"/>
    <w:rsid w:val="00944E6D"/>
    <w:rsid w:val="00944F94"/>
    <w:rsid w:val="00945004"/>
    <w:rsid w:val="009455E7"/>
    <w:rsid w:val="0094572E"/>
    <w:rsid w:val="00945AC5"/>
    <w:rsid w:val="00945E0D"/>
    <w:rsid w:val="00945F53"/>
    <w:rsid w:val="00945FA3"/>
    <w:rsid w:val="00946212"/>
    <w:rsid w:val="0094657B"/>
    <w:rsid w:val="009466C6"/>
    <w:rsid w:val="00946871"/>
    <w:rsid w:val="00946FCA"/>
    <w:rsid w:val="0094715E"/>
    <w:rsid w:val="009471CF"/>
    <w:rsid w:val="00947534"/>
    <w:rsid w:val="0094756B"/>
    <w:rsid w:val="0094758F"/>
    <w:rsid w:val="0094782E"/>
    <w:rsid w:val="009479FF"/>
    <w:rsid w:val="0095003D"/>
    <w:rsid w:val="009500E4"/>
    <w:rsid w:val="00950346"/>
    <w:rsid w:val="00950556"/>
    <w:rsid w:val="009507A5"/>
    <w:rsid w:val="00950828"/>
    <w:rsid w:val="009510E8"/>
    <w:rsid w:val="009512B6"/>
    <w:rsid w:val="00951458"/>
    <w:rsid w:val="009517A5"/>
    <w:rsid w:val="0095189F"/>
    <w:rsid w:val="00951A10"/>
    <w:rsid w:val="00951D25"/>
    <w:rsid w:val="00951DC0"/>
    <w:rsid w:val="00951E86"/>
    <w:rsid w:val="00951FC7"/>
    <w:rsid w:val="0095248B"/>
    <w:rsid w:val="00952494"/>
    <w:rsid w:val="0095258C"/>
    <w:rsid w:val="009526E8"/>
    <w:rsid w:val="00952841"/>
    <w:rsid w:val="00952AB7"/>
    <w:rsid w:val="00952C44"/>
    <w:rsid w:val="00952DDF"/>
    <w:rsid w:val="00952F14"/>
    <w:rsid w:val="00953259"/>
    <w:rsid w:val="0095333E"/>
    <w:rsid w:val="0095400C"/>
    <w:rsid w:val="00954022"/>
    <w:rsid w:val="0095412E"/>
    <w:rsid w:val="009541B6"/>
    <w:rsid w:val="00954383"/>
    <w:rsid w:val="00954569"/>
    <w:rsid w:val="009545FC"/>
    <w:rsid w:val="00954627"/>
    <w:rsid w:val="00954702"/>
    <w:rsid w:val="00954D79"/>
    <w:rsid w:val="00954F27"/>
    <w:rsid w:val="00955021"/>
    <w:rsid w:val="009550E8"/>
    <w:rsid w:val="009552A0"/>
    <w:rsid w:val="00955797"/>
    <w:rsid w:val="00955B41"/>
    <w:rsid w:val="00956141"/>
    <w:rsid w:val="00956A6B"/>
    <w:rsid w:val="00956C0F"/>
    <w:rsid w:val="00956C1B"/>
    <w:rsid w:val="00956D42"/>
    <w:rsid w:val="00956E2D"/>
    <w:rsid w:val="00956F19"/>
    <w:rsid w:val="00957157"/>
    <w:rsid w:val="0095719C"/>
    <w:rsid w:val="009573F8"/>
    <w:rsid w:val="00957422"/>
    <w:rsid w:val="00957782"/>
    <w:rsid w:val="00957817"/>
    <w:rsid w:val="00957A48"/>
    <w:rsid w:val="00957F85"/>
    <w:rsid w:val="00957FC8"/>
    <w:rsid w:val="009603D5"/>
    <w:rsid w:val="0096095E"/>
    <w:rsid w:val="0096097E"/>
    <w:rsid w:val="00960BCD"/>
    <w:rsid w:val="00960CE1"/>
    <w:rsid w:val="00960E73"/>
    <w:rsid w:val="009613B1"/>
    <w:rsid w:val="009615CF"/>
    <w:rsid w:val="009616D4"/>
    <w:rsid w:val="00961757"/>
    <w:rsid w:val="00961D15"/>
    <w:rsid w:val="00961D54"/>
    <w:rsid w:val="00961E80"/>
    <w:rsid w:val="00962174"/>
    <w:rsid w:val="00962349"/>
    <w:rsid w:val="0096243A"/>
    <w:rsid w:val="009626ED"/>
    <w:rsid w:val="00962983"/>
    <w:rsid w:val="00962BD7"/>
    <w:rsid w:val="00962D04"/>
    <w:rsid w:val="00962D77"/>
    <w:rsid w:val="00962E7F"/>
    <w:rsid w:val="0096325F"/>
    <w:rsid w:val="00963436"/>
    <w:rsid w:val="00963467"/>
    <w:rsid w:val="00963882"/>
    <w:rsid w:val="009639EA"/>
    <w:rsid w:val="00963A34"/>
    <w:rsid w:val="00963B2D"/>
    <w:rsid w:val="00963BFB"/>
    <w:rsid w:val="00964328"/>
    <w:rsid w:val="009644F6"/>
    <w:rsid w:val="009648F3"/>
    <w:rsid w:val="009651FF"/>
    <w:rsid w:val="009652CB"/>
    <w:rsid w:val="009652F7"/>
    <w:rsid w:val="009654F2"/>
    <w:rsid w:val="009655B6"/>
    <w:rsid w:val="00965B8C"/>
    <w:rsid w:val="009660E1"/>
    <w:rsid w:val="0096641D"/>
    <w:rsid w:val="00966453"/>
    <w:rsid w:val="009667AB"/>
    <w:rsid w:val="009674C5"/>
    <w:rsid w:val="00967B22"/>
    <w:rsid w:val="00967B4C"/>
    <w:rsid w:val="00970419"/>
    <w:rsid w:val="00970677"/>
    <w:rsid w:val="00970750"/>
    <w:rsid w:val="00970BB0"/>
    <w:rsid w:val="00970E86"/>
    <w:rsid w:val="00971036"/>
    <w:rsid w:val="00971058"/>
    <w:rsid w:val="00971156"/>
    <w:rsid w:val="0097119E"/>
    <w:rsid w:val="00971288"/>
    <w:rsid w:val="00971C39"/>
    <w:rsid w:val="00971FD6"/>
    <w:rsid w:val="00972E99"/>
    <w:rsid w:val="00973172"/>
    <w:rsid w:val="0097324D"/>
    <w:rsid w:val="009735B1"/>
    <w:rsid w:val="00973B06"/>
    <w:rsid w:val="0097408F"/>
    <w:rsid w:val="009741D3"/>
    <w:rsid w:val="0097461F"/>
    <w:rsid w:val="009746A5"/>
    <w:rsid w:val="009747A1"/>
    <w:rsid w:val="00974DDE"/>
    <w:rsid w:val="00975056"/>
    <w:rsid w:val="009752F1"/>
    <w:rsid w:val="0097567D"/>
    <w:rsid w:val="00976003"/>
    <w:rsid w:val="0097600A"/>
    <w:rsid w:val="009761A3"/>
    <w:rsid w:val="0097693B"/>
    <w:rsid w:val="00976D2D"/>
    <w:rsid w:val="00976F16"/>
    <w:rsid w:val="0097763E"/>
    <w:rsid w:val="009776DC"/>
    <w:rsid w:val="00977A6D"/>
    <w:rsid w:val="009801FC"/>
    <w:rsid w:val="009805D7"/>
    <w:rsid w:val="009807C8"/>
    <w:rsid w:val="0098087B"/>
    <w:rsid w:val="00980B59"/>
    <w:rsid w:val="00980C79"/>
    <w:rsid w:val="00980F11"/>
    <w:rsid w:val="00980FCC"/>
    <w:rsid w:val="00981175"/>
    <w:rsid w:val="0098123D"/>
    <w:rsid w:val="00981867"/>
    <w:rsid w:val="00981CBA"/>
    <w:rsid w:val="00981D62"/>
    <w:rsid w:val="00982549"/>
    <w:rsid w:val="00982602"/>
    <w:rsid w:val="009828A4"/>
    <w:rsid w:val="00982F57"/>
    <w:rsid w:val="00983211"/>
    <w:rsid w:val="00983554"/>
    <w:rsid w:val="0098358A"/>
    <w:rsid w:val="00983610"/>
    <w:rsid w:val="0098394C"/>
    <w:rsid w:val="00983AEB"/>
    <w:rsid w:val="00983BA7"/>
    <w:rsid w:val="00984110"/>
    <w:rsid w:val="00984380"/>
    <w:rsid w:val="00984575"/>
    <w:rsid w:val="0098463B"/>
    <w:rsid w:val="00984858"/>
    <w:rsid w:val="009848E3"/>
    <w:rsid w:val="009852B0"/>
    <w:rsid w:val="00985364"/>
    <w:rsid w:val="00985494"/>
    <w:rsid w:val="009856EC"/>
    <w:rsid w:val="00985920"/>
    <w:rsid w:val="00985BB5"/>
    <w:rsid w:val="00985BFB"/>
    <w:rsid w:val="00985C23"/>
    <w:rsid w:val="00985EBB"/>
    <w:rsid w:val="00985F8E"/>
    <w:rsid w:val="00985F8F"/>
    <w:rsid w:val="00986010"/>
    <w:rsid w:val="0098603D"/>
    <w:rsid w:val="0098627B"/>
    <w:rsid w:val="00986342"/>
    <w:rsid w:val="0098645D"/>
    <w:rsid w:val="00986793"/>
    <w:rsid w:val="009867C7"/>
    <w:rsid w:val="00986AF7"/>
    <w:rsid w:val="00986B0D"/>
    <w:rsid w:val="00986B15"/>
    <w:rsid w:val="00986DE6"/>
    <w:rsid w:val="00986E02"/>
    <w:rsid w:val="0098710E"/>
    <w:rsid w:val="00987A71"/>
    <w:rsid w:val="00987BC6"/>
    <w:rsid w:val="00987F06"/>
    <w:rsid w:val="009900AC"/>
    <w:rsid w:val="00990249"/>
    <w:rsid w:val="0099058F"/>
    <w:rsid w:val="00990904"/>
    <w:rsid w:val="00990DD4"/>
    <w:rsid w:val="009911A4"/>
    <w:rsid w:val="0099140C"/>
    <w:rsid w:val="009914A7"/>
    <w:rsid w:val="00991A6E"/>
    <w:rsid w:val="00991AD5"/>
    <w:rsid w:val="00991CC7"/>
    <w:rsid w:val="00991EB1"/>
    <w:rsid w:val="00991ED7"/>
    <w:rsid w:val="00991F4D"/>
    <w:rsid w:val="009921BD"/>
    <w:rsid w:val="0099269E"/>
    <w:rsid w:val="009926BF"/>
    <w:rsid w:val="009929BE"/>
    <w:rsid w:val="009929E8"/>
    <w:rsid w:val="00993347"/>
    <w:rsid w:val="0099345A"/>
    <w:rsid w:val="009934D2"/>
    <w:rsid w:val="009938C4"/>
    <w:rsid w:val="00993A16"/>
    <w:rsid w:val="00993BF0"/>
    <w:rsid w:val="00993D42"/>
    <w:rsid w:val="0099413B"/>
    <w:rsid w:val="00994296"/>
    <w:rsid w:val="00994562"/>
    <w:rsid w:val="00994BC1"/>
    <w:rsid w:val="00995028"/>
    <w:rsid w:val="0099566C"/>
    <w:rsid w:val="0099589D"/>
    <w:rsid w:val="009961D3"/>
    <w:rsid w:val="009964CC"/>
    <w:rsid w:val="00996503"/>
    <w:rsid w:val="009967DE"/>
    <w:rsid w:val="009970BF"/>
    <w:rsid w:val="009971B8"/>
    <w:rsid w:val="0099723F"/>
    <w:rsid w:val="00997671"/>
    <w:rsid w:val="009979D1"/>
    <w:rsid w:val="00997B0B"/>
    <w:rsid w:val="00997ED0"/>
    <w:rsid w:val="009A05BD"/>
    <w:rsid w:val="009A05C1"/>
    <w:rsid w:val="009A0861"/>
    <w:rsid w:val="009A0C00"/>
    <w:rsid w:val="009A12FE"/>
    <w:rsid w:val="009A166D"/>
    <w:rsid w:val="009A177D"/>
    <w:rsid w:val="009A19DA"/>
    <w:rsid w:val="009A1B69"/>
    <w:rsid w:val="009A2506"/>
    <w:rsid w:val="009A2D65"/>
    <w:rsid w:val="009A2DA2"/>
    <w:rsid w:val="009A3234"/>
    <w:rsid w:val="009A33C7"/>
    <w:rsid w:val="009A3655"/>
    <w:rsid w:val="009A3731"/>
    <w:rsid w:val="009A43F1"/>
    <w:rsid w:val="009A4722"/>
    <w:rsid w:val="009A4845"/>
    <w:rsid w:val="009A4C72"/>
    <w:rsid w:val="009A4CB7"/>
    <w:rsid w:val="009A4FDD"/>
    <w:rsid w:val="009A50B1"/>
    <w:rsid w:val="009A525F"/>
    <w:rsid w:val="009A5857"/>
    <w:rsid w:val="009A5B4F"/>
    <w:rsid w:val="009A5FA0"/>
    <w:rsid w:val="009A658C"/>
    <w:rsid w:val="009A6B8D"/>
    <w:rsid w:val="009A6D55"/>
    <w:rsid w:val="009A6F9B"/>
    <w:rsid w:val="009A7074"/>
    <w:rsid w:val="009A733C"/>
    <w:rsid w:val="009A76F8"/>
    <w:rsid w:val="009A785F"/>
    <w:rsid w:val="009A7AA9"/>
    <w:rsid w:val="009A7F43"/>
    <w:rsid w:val="009B011B"/>
    <w:rsid w:val="009B017E"/>
    <w:rsid w:val="009B06D6"/>
    <w:rsid w:val="009B075E"/>
    <w:rsid w:val="009B0AAB"/>
    <w:rsid w:val="009B0CA6"/>
    <w:rsid w:val="009B1079"/>
    <w:rsid w:val="009B12F1"/>
    <w:rsid w:val="009B1313"/>
    <w:rsid w:val="009B19FF"/>
    <w:rsid w:val="009B1D08"/>
    <w:rsid w:val="009B1D79"/>
    <w:rsid w:val="009B1E8B"/>
    <w:rsid w:val="009B2072"/>
    <w:rsid w:val="009B2DF0"/>
    <w:rsid w:val="009B2F12"/>
    <w:rsid w:val="009B3122"/>
    <w:rsid w:val="009B32A7"/>
    <w:rsid w:val="009B36DD"/>
    <w:rsid w:val="009B3948"/>
    <w:rsid w:val="009B3A93"/>
    <w:rsid w:val="009B4C31"/>
    <w:rsid w:val="009B4E03"/>
    <w:rsid w:val="009B5175"/>
    <w:rsid w:val="009B52AF"/>
    <w:rsid w:val="009B52D6"/>
    <w:rsid w:val="009B558E"/>
    <w:rsid w:val="009B58B9"/>
    <w:rsid w:val="009B5C61"/>
    <w:rsid w:val="009B5E44"/>
    <w:rsid w:val="009B6306"/>
    <w:rsid w:val="009B6B8F"/>
    <w:rsid w:val="009B6CBC"/>
    <w:rsid w:val="009B6D4A"/>
    <w:rsid w:val="009B7044"/>
    <w:rsid w:val="009B70AD"/>
    <w:rsid w:val="009B73DC"/>
    <w:rsid w:val="009B7439"/>
    <w:rsid w:val="009B7DCC"/>
    <w:rsid w:val="009B7F96"/>
    <w:rsid w:val="009C0122"/>
    <w:rsid w:val="009C04B9"/>
    <w:rsid w:val="009C0A89"/>
    <w:rsid w:val="009C0AD7"/>
    <w:rsid w:val="009C0B3B"/>
    <w:rsid w:val="009C1083"/>
    <w:rsid w:val="009C1087"/>
    <w:rsid w:val="009C1793"/>
    <w:rsid w:val="009C18D2"/>
    <w:rsid w:val="009C1A6F"/>
    <w:rsid w:val="009C2205"/>
    <w:rsid w:val="009C244C"/>
    <w:rsid w:val="009C2707"/>
    <w:rsid w:val="009C280B"/>
    <w:rsid w:val="009C2992"/>
    <w:rsid w:val="009C2DAA"/>
    <w:rsid w:val="009C3433"/>
    <w:rsid w:val="009C3A15"/>
    <w:rsid w:val="009C3C87"/>
    <w:rsid w:val="009C3DE2"/>
    <w:rsid w:val="009C3EBD"/>
    <w:rsid w:val="009C420B"/>
    <w:rsid w:val="009C48ED"/>
    <w:rsid w:val="009C4A78"/>
    <w:rsid w:val="009C4B21"/>
    <w:rsid w:val="009C5062"/>
    <w:rsid w:val="009C5093"/>
    <w:rsid w:val="009C5544"/>
    <w:rsid w:val="009C57E8"/>
    <w:rsid w:val="009C57EC"/>
    <w:rsid w:val="009C5B44"/>
    <w:rsid w:val="009C5E86"/>
    <w:rsid w:val="009C6134"/>
    <w:rsid w:val="009C652D"/>
    <w:rsid w:val="009C6701"/>
    <w:rsid w:val="009C6856"/>
    <w:rsid w:val="009C6926"/>
    <w:rsid w:val="009C69CC"/>
    <w:rsid w:val="009C6A40"/>
    <w:rsid w:val="009C6B70"/>
    <w:rsid w:val="009C6C3E"/>
    <w:rsid w:val="009C6FA6"/>
    <w:rsid w:val="009C73FC"/>
    <w:rsid w:val="009C78B9"/>
    <w:rsid w:val="009C7C7C"/>
    <w:rsid w:val="009D01BE"/>
    <w:rsid w:val="009D0338"/>
    <w:rsid w:val="009D05DC"/>
    <w:rsid w:val="009D0A30"/>
    <w:rsid w:val="009D0B2B"/>
    <w:rsid w:val="009D0E57"/>
    <w:rsid w:val="009D11F0"/>
    <w:rsid w:val="009D1B68"/>
    <w:rsid w:val="009D1D76"/>
    <w:rsid w:val="009D1E13"/>
    <w:rsid w:val="009D1FAC"/>
    <w:rsid w:val="009D2046"/>
    <w:rsid w:val="009D21C4"/>
    <w:rsid w:val="009D2399"/>
    <w:rsid w:val="009D2759"/>
    <w:rsid w:val="009D2864"/>
    <w:rsid w:val="009D31C7"/>
    <w:rsid w:val="009D3504"/>
    <w:rsid w:val="009D3939"/>
    <w:rsid w:val="009D395A"/>
    <w:rsid w:val="009D3B7E"/>
    <w:rsid w:val="009D3CCB"/>
    <w:rsid w:val="009D3FA2"/>
    <w:rsid w:val="009D4044"/>
    <w:rsid w:val="009D44E4"/>
    <w:rsid w:val="009D45FA"/>
    <w:rsid w:val="009D4699"/>
    <w:rsid w:val="009D4917"/>
    <w:rsid w:val="009D4A35"/>
    <w:rsid w:val="009D4CBB"/>
    <w:rsid w:val="009D4FA6"/>
    <w:rsid w:val="009D54B3"/>
    <w:rsid w:val="009D5706"/>
    <w:rsid w:val="009D57A2"/>
    <w:rsid w:val="009D5A61"/>
    <w:rsid w:val="009D5AA0"/>
    <w:rsid w:val="009D5B97"/>
    <w:rsid w:val="009D5BE2"/>
    <w:rsid w:val="009D6349"/>
    <w:rsid w:val="009D68D4"/>
    <w:rsid w:val="009D6A79"/>
    <w:rsid w:val="009D6AD8"/>
    <w:rsid w:val="009D6C0B"/>
    <w:rsid w:val="009D6DDB"/>
    <w:rsid w:val="009D7065"/>
    <w:rsid w:val="009D7096"/>
    <w:rsid w:val="009D7874"/>
    <w:rsid w:val="009D78B4"/>
    <w:rsid w:val="009E0175"/>
    <w:rsid w:val="009E0218"/>
    <w:rsid w:val="009E0367"/>
    <w:rsid w:val="009E059F"/>
    <w:rsid w:val="009E08E4"/>
    <w:rsid w:val="009E0A93"/>
    <w:rsid w:val="009E0C0F"/>
    <w:rsid w:val="009E132F"/>
    <w:rsid w:val="009E1773"/>
    <w:rsid w:val="009E199D"/>
    <w:rsid w:val="009E1A38"/>
    <w:rsid w:val="009E1AAB"/>
    <w:rsid w:val="009E1E1D"/>
    <w:rsid w:val="009E244F"/>
    <w:rsid w:val="009E293F"/>
    <w:rsid w:val="009E2ED8"/>
    <w:rsid w:val="009E33AA"/>
    <w:rsid w:val="009E36BD"/>
    <w:rsid w:val="009E371B"/>
    <w:rsid w:val="009E3B9D"/>
    <w:rsid w:val="009E3D15"/>
    <w:rsid w:val="009E3D6E"/>
    <w:rsid w:val="009E40A3"/>
    <w:rsid w:val="009E4159"/>
    <w:rsid w:val="009E46A8"/>
    <w:rsid w:val="009E4B50"/>
    <w:rsid w:val="009E4C64"/>
    <w:rsid w:val="009E5227"/>
    <w:rsid w:val="009E5659"/>
    <w:rsid w:val="009E5C5B"/>
    <w:rsid w:val="009E6709"/>
    <w:rsid w:val="009E677A"/>
    <w:rsid w:val="009E6851"/>
    <w:rsid w:val="009E6A48"/>
    <w:rsid w:val="009E6AD5"/>
    <w:rsid w:val="009E6E08"/>
    <w:rsid w:val="009E6E63"/>
    <w:rsid w:val="009E7661"/>
    <w:rsid w:val="009E76E6"/>
    <w:rsid w:val="009E77E3"/>
    <w:rsid w:val="009E796D"/>
    <w:rsid w:val="009E7E98"/>
    <w:rsid w:val="009F00D5"/>
    <w:rsid w:val="009F02BC"/>
    <w:rsid w:val="009F02F7"/>
    <w:rsid w:val="009F042E"/>
    <w:rsid w:val="009F08F1"/>
    <w:rsid w:val="009F08F9"/>
    <w:rsid w:val="009F0E8F"/>
    <w:rsid w:val="009F1156"/>
    <w:rsid w:val="009F115A"/>
    <w:rsid w:val="009F138D"/>
    <w:rsid w:val="009F1462"/>
    <w:rsid w:val="009F176A"/>
    <w:rsid w:val="009F17CA"/>
    <w:rsid w:val="009F1ADA"/>
    <w:rsid w:val="009F21F6"/>
    <w:rsid w:val="009F2370"/>
    <w:rsid w:val="009F25D7"/>
    <w:rsid w:val="009F26BF"/>
    <w:rsid w:val="009F2C10"/>
    <w:rsid w:val="009F2D7A"/>
    <w:rsid w:val="009F2DEE"/>
    <w:rsid w:val="009F3069"/>
    <w:rsid w:val="009F311E"/>
    <w:rsid w:val="009F3206"/>
    <w:rsid w:val="009F34E8"/>
    <w:rsid w:val="009F370A"/>
    <w:rsid w:val="009F3992"/>
    <w:rsid w:val="009F3B22"/>
    <w:rsid w:val="009F3BFA"/>
    <w:rsid w:val="009F3D3D"/>
    <w:rsid w:val="009F4782"/>
    <w:rsid w:val="009F4F4E"/>
    <w:rsid w:val="009F513E"/>
    <w:rsid w:val="009F521F"/>
    <w:rsid w:val="009F5431"/>
    <w:rsid w:val="009F556F"/>
    <w:rsid w:val="009F58F6"/>
    <w:rsid w:val="009F5D23"/>
    <w:rsid w:val="009F5F6F"/>
    <w:rsid w:val="009F62A7"/>
    <w:rsid w:val="009F6635"/>
    <w:rsid w:val="009F66D8"/>
    <w:rsid w:val="009F67A0"/>
    <w:rsid w:val="009F6AB1"/>
    <w:rsid w:val="009F6C45"/>
    <w:rsid w:val="009F7373"/>
    <w:rsid w:val="009F7411"/>
    <w:rsid w:val="009F7466"/>
    <w:rsid w:val="009F77BF"/>
    <w:rsid w:val="009F789B"/>
    <w:rsid w:val="009F795D"/>
    <w:rsid w:val="009F79F8"/>
    <w:rsid w:val="00A000B3"/>
    <w:rsid w:val="00A00492"/>
    <w:rsid w:val="00A00511"/>
    <w:rsid w:val="00A00618"/>
    <w:rsid w:val="00A00B1F"/>
    <w:rsid w:val="00A00E11"/>
    <w:rsid w:val="00A00FB5"/>
    <w:rsid w:val="00A01213"/>
    <w:rsid w:val="00A01326"/>
    <w:rsid w:val="00A014B0"/>
    <w:rsid w:val="00A01F01"/>
    <w:rsid w:val="00A0226C"/>
    <w:rsid w:val="00A022FB"/>
    <w:rsid w:val="00A023FD"/>
    <w:rsid w:val="00A0246E"/>
    <w:rsid w:val="00A027AD"/>
    <w:rsid w:val="00A02E39"/>
    <w:rsid w:val="00A0302C"/>
    <w:rsid w:val="00A032E9"/>
    <w:rsid w:val="00A03EF1"/>
    <w:rsid w:val="00A04D8C"/>
    <w:rsid w:val="00A0555D"/>
    <w:rsid w:val="00A05A8D"/>
    <w:rsid w:val="00A05A9C"/>
    <w:rsid w:val="00A05ABF"/>
    <w:rsid w:val="00A06076"/>
    <w:rsid w:val="00A06784"/>
    <w:rsid w:val="00A06A2C"/>
    <w:rsid w:val="00A06BEC"/>
    <w:rsid w:val="00A07183"/>
    <w:rsid w:val="00A0738D"/>
    <w:rsid w:val="00A0757C"/>
    <w:rsid w:val="00A076B6"/>
    <w:rsid w:val="00A077E3"/>
    <w:rsid w:val="00A0781E"/>
    <w:rsid w:val="00A07838"/>
    <w:rsid w:val="00A07D37"/>
    <w:rsid w:val="00A102E6"/>
    <w:rsid w:val="00A10320"/>
    <w:rsid w:val="00A105E1"/>
    <w:rsid w:val="00A10609"/>
    <w:rsid w:val="00A108F1"/>
    <w:rsid w:val="00A109E8"/>
    <w:rsid w:val="00A10A0F"/>
    <w:rsid w:val="00A10A38"/>
    <w:rsid w:val="00A10A3D"/>
    <w:rsid w:val="00A10BEA"/>
    <w:rsid w:val="00A10D06"/>
    <w:rsid w:val="00A10E9F"/>
    <w:rsid w:val="00A10FDF"/>
    <w:rsid w:val="00A1146F"/>
    <w:rsid w:val="00A117EF"/>
    <w:rsid w:val="00A1198B"/>
    <w:rsid w:val="00A11A9B"/>
    <w:rsid w:val="00A11AD6"/>
    <w:rsid w:val="00A11E3B"/>
    <w:rsid w:val="00A11E56"/>
    <w:rsid w:val="00A11ECD"/>
    <w:rsid w:val="00A12311"/>
    <w:rsid w:val="00A124D1"/>
    <w:rsid w:val="00A126BD"/>
    <w:rsid w:val="00A128A2"/>
    <w:rsid w:val="00A12A46"/>
    <w:rsid w:val="00A12E71"/>
    <w:rsid w:val="00A13000"/>
    <w:rsid w:val="00A1305F"/>
    <w:rsid w:val="00A13197"/>
    <w:rsid w:val="00A134DA"/>
    <w:rsid w:val="00A135D9"/>
    <w:rsid w:val="00A1377D"/>
    <w:rsid w:val="00A1397A"/>
    <w:rsid w:val="00A13AE4"/>
    <w:rsid w:val="00A13BE9"/>
    <w:rsid w:val="00A13CF6"/>
    <w:rsid w:val="00A14007"/>
    <w:rsid w:val="00A14C80"/>
    <w:rsid w:val="00A14D20"/>
    <w:rsid w:val="00A14D65"/>
    <w:rsid w:val="00A14F24"/>
    <w:rsid w:val="00A1506F"/>
    <w:rsid w:val="00A158A7"/>
    <w:rsid w:val="00A158CC"/>
    <w:rsid w:val="00A15B24"/>
    <w:rsid w:val="00A15B43"/>
    <w:rsid w:val="00A15BAF"/>
    <w:rsid w:val="00A15C79"/>
    <w:rsid w:val="00A15C89"/>
    <w:rsid w:val="00A15FC1"/>
    <w:rsid w:val="00A16316"/>
    <w:rsid w:val="00A16851"/>
    <w:rsid w:val="00A1694E"/>
    <w:rsid w:val="00A16ABE"/>
    <w:rsid w:val="00A16B3C"/>
    <w:rsid w:val="00A16CDA"/>
    <w:rsid w:val="00A17162"/>
    <w:rsid w:val="00A17191"/>
    <w:rsid w:val="00A174FC"/>
    <w:rsid w:val="00A17662"/>
    <w:rsid w:val="00A177D3"/>
    <w:rsid w:val="00A17A30"/>
    <w:rsid w:val="00A17CB0"/>
    <w:rsid w:val="00A200BD"/>
    <w:rsid w:val="00A20790"/>
    <w:rsid w:val="00A20892"/>
    <w:rsid w:val="00A208E0"/>
    <w:rsid w:val="00A20D15"/>
    <w:rsid w:val="00A20F9C"/>
    <w:rsid w:val="00A216C4"/>
    <w:rsid w:val="00A21826"/>
    <w:rsid w:val="00A218D3"/>
    <w:rsid w:val="00A21B0D"/>
    <w:rsid w:val="00A225F8"/>
    <w:rsid w:val="00A23645"/>
    <w:rsid w:val="00A2364C"/>
    <w:rsid w:val="00A24624"/>
    <w:rsid w:val="00A24750"/>
    <w:rsid w:val="00A24782"/>
    <w:rsid w:val="00A24790"/>
    <w:rsid w:val="00A24819"/>
    <w:rsid w:val="00A24A3B"/>
    <w:rsid w:val="00A24A9D"/>
    <w:rsid w:val="00A24CB6"/>
    <w:rsid w:val="00A2532C"/>
    <w:rsid w:val="00A25AB2"/>
    <w:rsid w:val="00A25F85"/>
    <w:rsid w:val="00A262AF"/>
    <w:rsid w:val="00A263EA"/>
    <w:rsid w:val="00A26427"/>
    <w:rsid w:val="00A27383"/>
    <w:rsid w:val="00A2748D"/>
    <w:rsid w:val="00A27505"/>
    <w:rsid w:val="00A2767B"/>
    <w:rsid w:val="00A277E4"/>
    <w:rsid w:val="00A27876"/>
    <w:rsid w:val="00A27881"/>
    <w:rsid w:val="00A278C9"/>
    <w:rsid w:val="00A27B71"/>
    <w:rsid w:val="00A27FE7"/>
    <w:rsid w:val="00A301B9"/>
    <w:rsid w:val="00A305AA"/>
    <w:rsid w:val="00A30BA0"/>
    <w:rsid w:val="00A31257"/>
    <w:rsid w:val="00A314EE"/>
    <w:rsid w:val="00A31511"/>
    <w:rsid w:val="00A318A7"/>
    <w:rsid w:val="00A31CFC"/>
    <w:rsid w:val="00A31D1F"/>
    <w:rsid w:val="00A31DBE"/>
    <w:rsid w:val="00A31E69"/>
    <w:rsid w:val="00A31E6F"/>
    <w:rsid w:val="00A31EEE"/>
    <w:rsid w:val="00A32593"/>
    <w:rsid w:val="00A329EC"/>
    <w:rsid w:val="00A32C4C"/>
    <w:rsid w:val="00A33243"/>
    <w:rsid w:val="00A33FDC"/>
    <w:rsid w:val="00A3423A"/>
    <w:rsid w:val="00A34B92"/>
    <w:rsid w:val="00A34E18"/>
    <w:rsid w:val="00A34EF9"/>
    <w:rsid w:val="00A35AAD"/>
    <w:rsid w:val="00A35B17"/>
    <w:rsid w:val="00A35E1C"/>
    <w:rsid w:val="00A35FED"/>
    <w:rsid w:val="00A36B77"/>
    <w:rsid w:val="00A36EB9"/>
    <w:rsid w:val="00A37083"/>
    <w:rsid w:val="00A37210"/>
    <w:rsid w:val="00A375FE"/>
    <w:rsid w:val="00A379BF"/>
    <w:rsid w:val="00A37A21"/>
    <w:rsid w:val="00A37AFF"/>
    <w:rsid w:val="00A37C4B"/>
    <w:rsid w:val="00A37CDB"/>
    <w:rsid w:val="00A37FFA"/>
    <w:rsid w:val="00A40011"/>
    <w:rsid w:val="00A40073"/>
    <w:rsid w:val="00A40637"/>
    <w:rsid w:val="00A409B3"/>
    <w:rsid w:val="00A409BE"/>
    <w:rsid w:val="00A40A1B"/>
    <w:rsid w:val="00A40B96"/>
    <w:rsid w:val="00A40E88"/>
    <w:rsid w:val="00A40F4F"/>
    <w:rsid w:val="00A418BC"/>
    <w:rsid w:val="00A41B39"/>
    <w:rsid w:val="00A41DD2"/>
    <w:rsid w:val="00A41EA0"/>
    <w:rsid w:val="00A42013"/>
    <w:rsid w:val="00A423BE"/>
    <w:rsid w:val="00A4241F"/>
    <w:rsid w:val="00A42642"/>
    <w:rsid w:val="00A42B64"/>
    <w:rsid w:val="00A42C0C"/>
    <w:rsid w:val="00A430C7"/>
    <w:rsid w:val="00A43630"/>
    <w:rsid w:val="00A442E7"/>
    <w:rsid w:val="00A443E2"/>
    <w:rsid w:val="00A447C1"/>
    <w:rsid w:val="00A447D3"/>
    <w:rsid w:val="00A45316"/>
    <w:rsid w:val="00A45898"/>
    <w:rsid w:val="00A45BA8"/>
    <w:rsid w:val="00A45CC1"/>
    <w:rsid w:val="00A45D02"/>
    <w:rsid w:val="00A460E3"/>
    <w:rsid w:val="00A46424"/>
    <w:rsid w:val="00A469AB"/>
    <w:rsid w:val="00A4727A"/>
    <w:rsid w:val="00A47352"/>
    <w:rsid w:val="00A47497"/>
    <w:rsid w:val="00A4798B"/>
    <w:rsid w:val="00A47A87"/>
    <w:rsid w:val="00A50050"/>
    <w:rsid w:val="00A5054E"/>
    <w:rsid w:val="00A50DEE"/>
    <w:rsid w:val="00A510A1"/>
    <w:rsid w:val="00A51241"/>
    <w:rsid w:val="00A5149C"/>
    <w:rsid w:val="00A51788"/>
    <w:rsid w:val="00A517F7"/>
    <w:rsid w:val="00A51898"/>
    <w:rsid w:val="00A519B7"/>
    <w:rsid w:val="00A51B30"/>
    <w:rsid w:val="00A51D3A"/>
    <w:rsid w:val="00A5274F"/>
    <w:rsid w:val="00A527E5"/>
    <w:rsid w:val="00A52965"/>
    <w:rsid w:val="00A529B5"/>
    <w:rsid w:val="00A52DA6"/>
    <w:rsid w:val="00A5322E"/>
    <w:rsid w:val="00A5373C"/>
    <w:rsid w:val="00A537E0"/>
    <w:rsid w:val="00A53839"/>
    <w:rsid w:val="00A5391C"/>
    <w:rsid w:val="00A53949"/>
    <w:rsid w:val="00A53AFE"/>
    <w:rsid w:val="00A53B78"/>
    <w:rsid w:val="00A53E7C"/>
    <w:rsid w:val="00A540D0"/>
    <w:rsid w:val="00A54185"/>
    <w:rsid w:val="00A546C1"/>
    <w:rsid w:val="00A5482A"/>
    <w:rsid w:val="00A54840"/>
    <w:rsid w:val="00A54935"/>
    <w:rsid w:val="00A5660A"/>
    <w:rsid w:val="00A56962"/>
    <w:rsid w:val="00A569D8"/>
    <w:rsid w:val="00A56D77"/>
    <w:rsid w:val="00A56EE2"/>
    <w:rsid w:val="00A57081"/>
    <w:rsid w:val="00A570FC"/>
    <w:rsid w:val="00A572AC"/>
    <w:rsid w:val="00A5740B"/>
    <w:rsid w:val="00A57D12"/>
    <w:rsid w:val="00A60155"/>
    <w:rsid w:val="00A60C14"/>
    <w:rsid w:val="00A60DF4"/>
    <w:rsid w:val="00A61218"/>
    <w:rsid w:val="00A613A4"/>
    <w:rsid w:val="00A61723"/>
    <w:rsid w:val="00A617FD"/>
    <w:rsid w:val="00A61A52"/>
    <w:rsid w:val="00A61D6F"/>
    <w:rsid w:val="00A61E89"/>
    <w:rsid w:val="00A624EA"/>
    <w:rsid w:val="00A625A1"/>
    <w:rsid w:val="00A62C31"/>
    <w:rsid w:val="00A62E7B"/>
    <w:rsid w:val="00A62F37"/>
    <w:rsid w:val="00A63295"/>
    <w:rsid w:val="00A63548"/>
    <w:rsid w:val="00A63778"/>
    <w:rsid w:val="00A63948"/>
    <w:rsid w:val="00A639AA"/>
    <w:rsid w:val="00A63A56"/>
    <w:rsid w:val="00A63A5D"/>
    <w:rsid w:val="00A63A61"/>
    <w:rsid w:val="00A6400C"/>
    <w:rsid w:val="00A642C3"/>
    <w:rsid w:val="00A64545"/>
    <w:rsid w:val="00A65152"/>
    <w:rsid w:val="00A651A1"/>
    <w:rsid w:val="00A65498"/>
    <w:rsid w:val="00A6562F"/>
    <w:rsid w:val="00A65901"/>
    <w:rsid w:val="00A6596E"/>
    <w:rsid w:val="00A65B80"/>
    <w:rsid w:val="00A65D65"/>
    <w:rsid w:val="00A65D8F"/>
    <w:rsid w:val="00A65E2E"/>
    <w:rsid w:val="00A65EF0"/>
    <w:rsid w:val="00A65F08"/>
    <w:rsid w:val="00A65FB3"/>
    <w:rsid w:val="00A662A0"/>
    <w:rsid w:val="00A66394"/>
    <w:rsid w:val="00A66594"/>
    <w:rsid w:val="00A66644"/>
    <w:rsid w:val="00A66C8E"/>
    <w:rsid w:val="00A66E6B"/>
    <w:rsid w:val="00A66EFB"/>
    <w:rsid w:val="00A67016"/>
    <w:rsid w:val="00A6709C"/>
    <w:rsid w:val="00A67204"/>
    <w:rsid w:val="00A672BA"/>
    <w:rsid w:val="00A676EA"/>
    <w:rsid w:val="00A67943"/>
    <w:rsid w:val="00A67B7D"/>
    <w:rsid w:val="00A67C74"/>
    <w:rsid w:val="00A67D34"/>
    <w:rsid w:val="00A7018F"/>
    <w:rsid w:val="00A701AD"/>
    <w:rsid w:val="00A703B0"/>
    <w:rsid w:val="00A70403"/>
    <w:rsid w:val="00A70555"/>
    <w:rsid w:val="00A7104D"/>
    <w:rsid w:val="00A71307"/>
    <w:rsid w:val="00A71434"/>
    <w:rsid w:val="00A71CB8"/>
    <w:rsid w:val="00A71D67"/>
    <w:rsid w:val="00A71EF5"/>
    <w:rsid w:val="00A720BC"/>
    <w:rsid w:val="00A721DB"/>
    <w:rsid w:val="00A7233E"/>
    <w:rsid w:val="00A723EF"/>
    <w:rsid w:val="00A725B1"/>
    <w:rsid w:val="00A72647"/>
    <w:rsid w:val="00A726BF"/>
    <w:rsid w:val="00A72944"/>
    <w:rsid w:val="00A72CBA"/>
    <w:rsid w:val="00A72D4B"/>
    <w:rsid w:val="00A73057"/>
    <w:rsid w:val="00A73102"/>
    <w:rsid w:val="00A7319B"/>
    <w:rsid w:val="00A733C9"/>
    <w:rsid w:val="00A73401"/>
    <w:rsid w:val="00A7359A"/>
    <w:rsid w:val="00A73B4B"/>
    <w:rsid w:val="00A73C3F"/>
    <w:rsid w:val="00A74304"/>
    <w:rsid w:val="00A74400"/>
    <w:rsid w:val="00A7463D"/>
    <w:rsid w:val="00A7488D"/>
    <w:rsid w:val="00A74BA4"/>
    <w:rsid w:val="00A74EA8"/>
    <w:rsid w:val="00A75007"/>
    <w:rsid w:val="00A75133"/>
    <w:rsid w:val="00A752FB"/>
    <w:rsid w:val="00A756FC"/>
    <w:rsid w:val="00A757DD"/>
    <w:rsid w:val="00A76018"/>
    <w:rsid w:val="00A761F6"/>
    <w:rsid w:val="00A7623E"/>
    <w:rsid w:val="00A7633F"/>
    <w:rsid w:val="00A76DE9"/>
    <w:rsid w:val="00A76E65"/>
    <w:rsid w:val="00A770E6"/>
    <w:rsid w:val="00A77456"/>
    <w:rsid w:val="00A7746C"/>
    <w:rsid w:val="00A7755C"/>
    <w:rsid w:val="00A77C5B"/>
    <w:rsid w:val="00A80247"/>
    <w:rsid w:val="00A80561"/>
    <w:rsid w:val="00A808AC"/>
    <w:rsid w:val="00A80931"/>
    <w:rsid w:val="00A80AA9"/>
    <w:rsid w:val="00A80DE1"/>
    <w:rsid w:val="00A812D4"/>
    <w:rsid w:val="00A81B44"/>
    <w:rsid w:val="00A81C88"/>
    <w:rsid w:val="00A81E0C"/>
    <w:rsid w:val="00A82319"/>
    <w:rsid w:val="00A82C15"/>
    <w:rsid w:val="00A82FB7"/>
    <w:rsid w:val="00A83032"/>
    <w:rsid w:val="00A83135"/>
    <w:rsid w:val="00A83472"/>
    <w:rsid w:val="00A8360A"/>
    <w:rsid w:val="00A83706"/>
    <w:rsid w:val="00A83797"/>
    <w:rsid w:val="00A83818"/>
    <w:rsid w:val="00A83BDD"/>
    <w:rsid w:val="00A83F87"/>
    <w:rsid w:val="00A83FA6"/>
    <w:rsid w:val="00A83FC6"/>
    <w:rsid w:val="00A842C4"/>
    <w:rsid w:val="00A84685"/>
    <w:rsid w:val="00A84DE1"/>
    <w:rsid w:val="00A84E0B"/>
    <w:rsid w:val="00A84E0F"/>
    <w:rsid w:val="00A84ED3"/>
    <w:rsid w:val="00A85576"/>
    <w:rsid w:val="00A855CF"/>
    <w:rsid w:val="00A858CD"/>
    <w:rsid w:val="00A858D1"/>
    <w:rsid w:val="00A85B45"/>
    <w:rsid w:val="00A85E48"/>
    <w:rsid w:val="00A85F12"/>
    <w:rsid w:val="00A85F6C"/>
    <w:rsid w:val="00A8604C"/>
    <w:rsid w:val="00A8604F"/>
    <w:rsid w:val="00A8608A"/>
    <w:rsid w:val="00A8618B"/>
    <w:rsid w:val="00A8665F"/>
    <w:rsid w:val="00A869A3"/>
    <w:rsid w:val="00A869E6"/>
    <w:rsid w:val="00A870E3"/>
    <w:rsid w:val="00A87209"/>
    <w:rsid w:val="00A872B4"/>
    <w:rsid w:val="00A87356"/>
    <w:rsid w:val="00A8751F"/>
    <w:rsid w:val="00A87520"/>
    <w:rsid w:val="00A877EF"/>
    <w:rsid w:val="00A87881"/>
    <w:rsid w:val="00A87A8D"/>
    <w:rsid w:val="00A87B01"/>
    <w:rsid w:val="00A87B8D"/>
    <w:rsid w:val="00A87C93"/>
    <w:rsid w:val="00A9012C"/>
    <w:rsid w:val="00A907AA"/>
    <w:rsid w:val="00A90ADB"/>
    <w:rsid w:val="00A90B8D"/>
    <w:rsid w:val="00A90E8C"/>
    <w:rsid w:val="00A91058"/>
    <w:rsid w:val="00A91284"/>
    <w:rsid w:val="00A912A9"/>
    <w:rsid w:val="00A91528"/>
    <w:rsid w:val="00A916B8"/>
    <w:rsid w:val="00A91B0E"/>
    <w:rsid w:val="00A91D93"/>
    <w:rsid w:val="00A91DAD"/>
    <w:rsid w:val="00A92016"/>
    <w:rsid w:val="00A923D3"/>
    <w:rsid w:val="00A92A76"/>
    <w:rsid w:val="00A93236"/>
    <w:rsid w:val="00A932D0"/>
    <w:rsid w:val="00A9337A"/>
    <w:rsid w:val="00A93469"/>
    <w:rsid w:val="00A93800"/>
    <w:rsid w:val="00A93C68"/>
    <w:rsid w:val="00A93D7D"/>
    <w:rsid w:val="00A93EB6"/>
    <w:rsid w:val="00A942D2"/>
    <w:rsid w:val="00A94582"/>
    <w:rsid w:val="00A94775"/>
    <w:rsid w:val="00A947D1"/>
    <w:rsid w:val="00A94883"/>
    <w:rsid w:val="00A94CD7"/>
    <w:rsid w:val="00A94D36"/>
    <w:rsid w:val="00A956B3"/>
    <w:rsid w:val="00A95E0E"/>
    <w:rsid w:val="00A96029"/>
    <w:rsid w:val="00A96099"/>
    <w:rsid w:val="00A960DC"/>
    <w:rsid w:val="00A96134"/>
    <w:rsid w:val="00A96228"/>
    <w:rsid w:val="00A963E8"/>
    <w:rsid w:val="00A96439"/>
    <w:rsid w:val="00A9651B"/>
    <w:rsid w:val="00A96D99"/>
    <w:rsid w:val="00A96E6C"/>
    <w:rsid w:val="00A96EA1"/>
    <w:rsid w:val="00A973F7"/>
    <w:rsid w:val="00A9759C"/>
    <w:rsid w:val="00A977C4"/>
    <w:rsid w:val="00A97908"/>
    <w:rsid w:val="00A979E5"/>
    <w:rsid w:val="00A97A93"/>
    <w:rsid w:val="00A97D5C"/>
    <w:rsid w:val="00AA01D1"/>
    <w:rsid w:val="00AA0570"/>
    <w:rsid w:val="00AA0577"/>
    <w:rsid w:val="00AA0741"/>
    <w:rsid w:val="00AA07C7"/>
    <w:rsid w:val="00AA0D63"/>
    <w:rsid w:val="00AA0EC3"/>
    <w:rsid w:val="00AA100F"/>
    <w:rsid w:val="00AA147B"/>
    <w:rsid w:val="00AA18C0"/>
    <w:rsid w:val="00AA19F2"/>
    <w:rsid w:val="00AA1A63"/>
    <w:rsid w:val="00AA29A0"/>
    <w:rsid w:val="00AA2B42"/>
    <w:rsid w:val="00AA2C7A"/>
    <w:rsid w:val="00AA2E2F"/>
    <w:rsid w:val="00AA3139"/>
    <w:rsid w:val="00AA3564"/>
    <w:rsid w:val="00AA358A"/>
    <w:rsid w:val="00AA3728"/>
    <w:rsid w:val="00AA3950"/>
    <w:rsid w:val="00AA3963"/>
    <w:rsid w:val="00AA3A3B"/>
    <w:rsid w:val="00AA3A54"/>
    <w:rsid w:val="00AA4247"/>
    <w:rsid w:val="00AA42BE"/>
    <w:rsid w:val="00AA42D2"/>
    <w:rsid w:val="00AA4791"/>
    <w:rsid w:val="00AA5229"/>
    <w:rsid w:val="00AA59E8"/>
    <w:rsid w:val="00AA5BEF"/>
    <w:rsid w:val="00AA5D21"/>
    <w:rsid w:val="00AA6647"/>
    <w:rsid w:val="00AA69E5"/>
    <w:rsid w:val="00AA6A39"/>
    <w:rsid w:val="00AA6AD9"/>
    <w:rsid w:val="00AA6E48"/>
    <w:rsid w:val="00AA708D"/>
    <w:rsid w:val="00AA723D"/>
    <w:rsid w:val="00AA794E"/>
    <w:rsid w:val="00AB04A6"/>
    <w:rsid w:val="00AB06E2"/>
    <w:rsid w:val="00AB08DA"/>
    <w:rsid w:val="00AB08E9"/>
    <w:rsid w:val="00AB0BC2"/>
    <w:rsid w:val="00AB0D12"/>
    <w:rsid w:val="00AB0FD6"/>
    <w:rsid w:val="00AB11A7"/>
    <w:rsid w:val="00AB13D9"/>
    <w:rsid w:val="00AB1406"/>
    <w:rsid w:val="00AB1904"/>
    <w:rsid w:val="00AB1CF4"/>
    <w:rsid w:val="00AB1E67"/>
    <w:rsid w:val="00AB2055"/>
    <w:rsid w:val="00AB2401"/>
    <w:rsid w:val="00AB2696"/>
    <w:rsid w:val="00AB27D8"/>
    <w:rsid w:val="00AB29EB"/>
    <w:rsid w:val="00AB2A91"/>
    <w:rsid w:val="00AB2BB1"/>
    <w:rsid w:val="00AB2F38"/>
    <w:rsid w:val="00AB3315"/>
    <w:rsid w:val="00AB3795"/>
    <w:rsid w:val="00AB3803"/>
    <w:rsid w:val="00AB3883"/>
    <w:rsid w:val="00AB39CB"/>
    <w:rsid w:val="00AB3CB2"/>
    <w:rsid w:val="00AB3F76"/>
    <w:rsid w:val="00AB3F83"/>
    <w:rsid w:val="00AB40C6"/>
    <w:rsid w:val="00AB4900"/>
    <w:rsid w:val="00AB4A5A"/>
    <w:rsid w:val="00AB4B86"/>
    <w:rsid w:val="00AB4D16"/>
    <w:rsid w:val="00AB513D"/>
    <w:rsid w:val="00AB5797"/>
    <w:rsid w:val="00AB5979"/>
    <w:rsid w:val="00AB68D3"/>
    <w:rsid w:val="00AB6B67"/>
    <w:rsid w:val="00AB74D8"/>
    <w:rsid w:val="00AB760F"/>
    <w:rsid w:val="00AB7B11"/>
    <w:rsid w:val="00AB7CFF"/>
    <w:rsid w:val="00AC03A9"/>
    <w:rsid w:val="00AC05EA"/>
    <w:rsid w:val="00AC06A8"/>
    <w:rsid w:val="00AC077B"/>
    <w:rsid w:val="00AC07AB"/>
    <w:rsid w:val="00AC0B8C"/>
    <w:rsid w:val="00AC0D6A"/>
    <w:rsid w:val="00AC0E85"/>
    <w:rsid w:val="00AC0ED4"/>
    <w:rsid w:val="00AC0FD0"/>
    <w:rsid w:val="00AC1300"/>
    <w:rsid w:val="00AC14C1"/>
    <w:rsid w:val="00AC174B"/>
    <w:rsid w:val="00AC17F3"/>
    <w:rsid w:val="00AC1A19"/>
    <w:rsid w:val="00AC2179"/>
    <w:rsid w:val="00AC23A1"/>
    <w:rsid w:val="00AC26DE"/>
    <w:rsid w:val="00AC2842"/>
    <w:rsid w:val="00AC2BDF"/>
    <w:rsid w:val="00AC2D4B"/>
    <w:rsid w:val="00AC2DD2"/>
    <w:rsid w:val="00AC38F3"/>
    <w:rsid w:val="00AC3933"/>
    <w:rsid w:val="00AC3B99"/>
    <w:rsid w:val="00AC3BA7"/>
    <w:rsid w:val="00AC3BF3"/>
    <w:rsid w:val="00AC3F54"/>
    <w:rsid w:val="00AC4410"/>
    <w:rsid w:val="00AC448A"/>
    <w:rsid w:val="00AC4581"/>
    <w:rsid w:val="00AC4811"/>
    <w:rsid w:val="00AC49D7"/>
    <w:rsid w:val="00AC4C89"/>
    <w:rsid w:val="00AC519E"/>
    <w:rsid w:val="00AC5759"/>
    <w:rsid w:val="00AC5ACE"/>
    <w:rsid w:val="00AC5F58"/>
    <w:rsid w:val="00AC5FBA"/>
    <w:rsid w:val="00AC5FE4"/>
    <w:rsid w:val="00AC6012"/>
    <w:rsid w:val="00AC632B"/>
    <w:rsid w:val="00AC6678"/>
    <w:rsid w:val="00AC6B31"/>
    <w:rsid w:val="00AC6B7C"/>
    <w:rsid w:val="00AC6C1A"/>
    <w:rsid w:val="00AC6DAE"/>
    <w:rsid w:val="00AC6EB9"/>
    <w:rsid w:val="00AC7017"/>
    <w:rsid w:val="00AC7210"/>
    <w:rsid w:val="00AC7215"/>
    <w:rsid w:val="00AC73FB"/>
    <w:rsid w:val="00AC7475"/>
    <w:rsid w:val="00AC7659"/>
    <w:rsid w:val="00AC7915"/>
    <w:rsid w:val="00AC7F3F"/>
    <w:rsid w:val="00AC7F7B"/>
    <w:rsid w:val="00AD01FA"/>
    <w:rsid w:val="00AD047E"/>
    <w:rsid w:val="00AD05CA"/>
    <w:rsid w:val="00AD06B1"/>
    <w:rsid w:val="00AD0895"/>
    <w:rsid w:val="00AD0A44"/>
    <w:rsid w:val="00AD0B11"/>
    <w:rsid w:val="00AD0D42"/>
    <w:rsid w:val="00AD0F4D"/>
    <w:rsid w:val="00AD1654"/>
    <w:rsid w:val="00AD187B"/>
    <w:rsid w:val="00AD1BB5"/>
    <w:rsid w:val="00AD1BCF"/>
    <w:rsid w:val="00AD1E81"/>
    <w:rsid w:val="00AD1EC3"/>
    <w:rsid w:val="00AD2101"/>
    <w:rsid w:val="00AD210A"/>
    <w:rsid w:val="00AD265B"/>
    <w:rsid w:val="00AD265C"/>
    <w:rsid w:val="00AD287A"/>
    <w:rsid w:val="00AD2A88"/>
    <w:rsid w:val="00AD2DB5"/>
    <w:rsid w:val="00AD3232"/>
    <w:rsid w:val="00AD34BF"/>
    <w:rsid w:val="00AD38A5"/>
    <w:rsid w:val="00AD3C72"/>
    <w:rsid w:val="00AD41A2"/>
    <w:rsid w:val="00AD4244"/>
    <w:rsid w:val="00AD474D"/>
    <w:rsid w:val="00AD4771"/>
    <w:rsid w:val="00AD4805"/>
    <w:rsid w:val="00AD4D44"/>
    <w:rsid w:val="00AD557D"/>
    <w:rsid w:val="00AD57B8"/>
    <w:rsid w:val="00AD5B03"/>
    <w:rsid w:val="00AD5CC0"/>
    <w:rsid w:val="00AD5DC1"/>
    <w:rsid w:val="00AD5E01"/>
    <w:rsid w:val="00AD602F"/>
    <w:rsid w:val="00AD6EA5"/>
    <w:rsid w:val="00AD7052"/>
    <w:rsid w:val="00AD7494"/>
    <w:rsid w:val="00AD75CC"/>
    <w:rsid w:val="00AD7CC0"/>
    <w:rsid w:val="00AE0279"/>
    <w:rsid w:val="00AE0320"/>
    <w:rsid w:val="00AE077E"/>
    <w:rsid w:val="00AE0A8A"/>
    <w:rsid w:val="00AE0BB1"/>
    <w:rsid w:val="00AE0D26"/>
    <w:rsid w:val="00AE0FEC"/>
    <w:rsid w:val="00AE10FF"/>
    <w:rsid w:val="00AE1B1A"/>
    <w:rsid w:val="00AE1B75"/>
    <w:rsid w:val="00AE1CBE"/>
    <w:rsid w:val="00AE2A59"/>
    <w:rsid w:val="00AE2F26"/>
    <w:rsid w:val="00AE32DD"/>
    <w:rsid w:val="00AE36D1"/>
    <w:rsid w:val="00AE37CD"/>
    <w:rsid w:val="00AE387A"/>
    <w:rsid w:val="00AE3B48"/>
    <w:rsid w:val="00AE3EBC"/>
    <w:rsid w:val="00AE3F7D"/>
    <w:rsid w:val="00AE40EE"/>
    <w:rsid w:val="00AE4291"/>
    <w:rsid w:val="00AE4408"/>
    <w:rsid w:val="00AE46B1"/>
    <w:rsid w:val="00AE5075"/>
    <w:rsid w:val="00AE559D"/>
    <w:rsid w:val="00AE5AB5"/>
    <w:rsid w:val="00AE5AF0"/>
    <w:rsid w:val="00AE5BCE"/>
    <w:rsid w:val="00AE5E64"/>
    <w:rsid w:val="00AE67DF"/>
    <w:rsid w:val="00AE6A43"/>
    <w:rsid w:val="00AE6C81"/>
    <w:rsid w:val="00AE6CBB"/>
    <w:rsid w:val="00AE6CC2"/>
    <w:rsid w:val="00AE6F2F"/>
    <w:rsid w:val="00AE6FD9"/>
    <w:rsid w:val="00AE70F9"/>
    <w:rsid w:val="00AE7127"/>
    <w:rsid w:val="00AE718E"/>
    <w:rsid w:val="00AE7190"/>
    <w:rsid w:val="00AE71A6"/>
    <w:rsid w:val="00AE7241"/>
    <w:rsid w:val="00AE7587"/>
    <w:rsid w:val="00AE763F"/>
    <w:rsid w:val="00AE77EA"/>
    <w:rsid w:val="00AE7A7D"/>
    <w:rsid w:val="00AE7A83"/>
    <w:rsid w:val="00AF068B"/>
    <w:rsid w:val="00AF06B8"/>
    <w:rsid w:val="00AF0AC4"/>
    <w:rsid w:val="00AF1051"/>
    <w:rsid w:val="00AF1308"/>
    <w:rsid w:val="00AF1357"/>
    <w:rsid w:val="00AF136E"/>
    <w:rsid w:val="00AF13A7"/>
    <w:rsid w:val="00AF145A"/>
    <w:rsid w:val="00AF16F1"/>
    <w:rsid w:val="00AF176E"/>
    <w:rsid w:val="00AF1CC7"/>
    <w:rsid w:val="00AF1E42"/>
    <w:rsid w:val="00AF2002"/>
    <w:rsid w:val="00AF2017"/>
    <w:rsid w:val="00AF22D4"/>
    <w:rsid w:val="00AF22DE"/>
    <w:rsid w:val="00AF2C4A"/>
    <w:rsid w:val="00AF310A"/>
    <w:rsid w:val="00AF316B"/>
    <w:rsid w:val="00AF3CBA"/>
    <w:rsid w:val="00AF3DAB"/>
    <w:rsid w:val="00AF400B"/>
    <w:rsid w:val="00AF45EA"/>
    <w:rsid w:val="00AF4631"/>
    <w:rsid w:val="00AF4695"/>
    <w:rsid w:val="00AF4912"/>
    <w:rsid w:val="00AF4949"/>
    <w:rsid w:val="00AF4A07"/>
    <w:rsid w:val="00AF4F0B"/>
    <w:rsid w:val="00AF4F99"/>
    <w:rsid w:val="00AF5012"/>
    <w:rsid w:val="00AF51AC"/>
    <w:rsid w:val="00AF51FD"/>
    <w:rsid w:val="00AF5285"/>
    <w:rsid w:val="00AF53AA"/>
    <w:rsid w:val="00AF59E6"/>
    <w:rsid w:val="00AF5B46"/>
    <w:rsid w:val="00AF5D9D"/>
    <w:rsid w:val="00AF5F7B"/>
    <w:rsid w:val="00AF6173"/>
    <w:rsid w:val="00AF6330"/>
    <w:rsid w:val="00AF640D"/>
    <w:rsid w:val="00AF676D"/>
    <w:rsid w:val="00AF6ABE"/>
    <w:rsid w:val="00AF6B60"/>
    <w:rsid w:val="00AF6DAB"/>
    <w:rsid w:val="00AF6EA1"/>
    <w:rsid w:val="00AF6FAD"/>
    <w:rsid w:val="00AF70BD"/>
    <w:rsid w:val="00AF7468"/>
    <w:rsid w:val="00AF76B4"/>
    <w:rsid w:val="00AF7A01"/>
    <w:rsid w:val="00AF7D8B"/>
    <w:rsid w:val="00B0023A"/>
    <w:rsid w:val="00B0048C"/>
    <w:rsid w:val="00B00586"/>
    <w:rsid w:val="00B0080A"/>
    <w:rsid w:val="00B00835"/>
    <w:rsid w:val="00B00844"/>
    <w:rsid w:val="00B00977"/>
    <w:rsid w:val="00B009D1"/>
    <w:rsid w:val="00B00BA8"/>
    <w:rsid w:val="00B00BAD"/>
    <w:rsid w:val="00B00CFF"/>
    <w:rsid w:val="00B00D17"/>
    <w:rsid w:val="00B00EA1"/>
    <w:rsid w:val="00B01390"/>
    <w:rsid w:val="00B014A1"/>
    <w:rsid w:val="00B0153B"/>
    <w:rsid w:val="00B01611"/>
    <w:rsid w:val="00B01853"/>
    <w:rsid w:val="00B01B95"/>
    <w:rsid w:val="00B01C16"/>
    <w:rsid w:val="00B01E6F"/>
    <w:rsid w:val="00B0233F"/>
    <w:rsid w:val="00B023C3"/>
    <w:rsid w:val="00B02444"/>
    <w:rsid w:val="00B02575"/>
    <w:rsid w:val="00B02932"/>
    <w:rsid w:val="00B02AE1"/>
    <w:rsid w:val="00B02F34"/>
    <w:rsid w:val="00B039FA"/>
    <w:rsid w:val="00B0422C"/>
    <w:rsid w:val="00B04470"/>
    <w:rsid w:val="00B049AC"/>
    <w:rsid w:val="00B05D1F"/>
    <w:rsid w:val="00B062FF"/>
    <w:rsid w:val="00B069E0"/>
    <w:rsid w:val="00B06CC8"/>
    <w:rsid w:val="00B070C5"/>
    <w:rsid w:val="00B07373"/>
    <w:rsid w:val="00B07B0B"/>
    <w:rsid w:val="00B07F50"/>
    <w:rsid w:val="00B10827"/>
    <w:rsid w:val="00B10A9B"/>
    <w:rsid w:val="00B10B67"/>
    <w:rsid w:val="00B10B68"/>
    <w:rsid w:val="00B10BD5"/>
    <w:rsid w:val="00B11865"/>
    <w:rsid w:val="00B11F22"/>
    <w:rsid w:val="00B120E3"/>
    <w:rsid w:val="00B122A4"/>
    <w:rsid w:val="00B12821"/>
    <w:rsid w:val="00B128F7"/>
    <w:rsid w:val="00B12FFF"/>
    <w:rsid w:val="00B130A6"/>
    <w:rsid w:val="00B1324C"/>
    <w:rsid w:val="00B13285"/>
    <w:rsid w:val="00B13715"/>
    <w:rsid w:val="00B138D7"/>
    <w:rsid w:val="00B13970"/>
    <w:rsid w:val="00B141B8"/>
    <w:rsid w:val="00B141EB"/>
    <w:rsid w:val="00B144E4"/>
    <w:rsid w:val="00B14A23"/>
    <w:rsid w:val="00B14B46"/>
    <w:rsid w:val="00B14E6C"/>
    <w:rsid w:val="00B14FB3"/>
    <w:rsid w:val="00B150AE"/>
    <w:rsid w:val="00B15175"/>
    <w:rsid w:val="00B1562B"/>
    <w:rsid w:val="00B15653"/>
    <w:rsid w:val="00B15B89"/>
    <w:rsid w:val="00B15EB8"/>
    <w:rsid w:val="00B163FA"/>
    <w:rsid w:val="00B16A93"/>
    <w:rsid w:val="00B171A5"/>
    <w:rsid w:val="00B174B9"/>
    <w:rsid w:val="00B17A1D"/>
    <w:rsid w:val="00B17E43"/>
    <w:rsid w:val="00B17F65"/>
    <w:rsid w:val="00B17F85"/>
    <w:rsid w:val="00B20301"/>
    <w:rsid w:val="00B2060C"/>
    <w:rsid w:val="00B2070A"/>
    <w:rsid w:val="00B207B8"/>
    <w:rsid w:val="00B209A3"/>
    <w:rsid w:val="00B20DCF"/>
    <w:rsid w:val="00B21175"/>
    <w:rsid w:val="00B214CD"/>
    <w:rsid w:val="00B21990"/>
    <w:rsid w:val="00B21B3C"/>
    <w:rsid w:val="00B21CED"/>
    <w:rsid w:val="00B21FF7"/>
    <w:rsid w:val="00B2201A"/>
    <w:rsid w:val="00B222A3"/>
    <w:rsid w:val="00B225CC"/>
    <w:rsid w:val="00B22969"/>
    <w:rsid w:val="00B23397"/>
    <w:rsid w:val="00B233A0"/>
    <w:rsid w:val="00B234C8"/>
    <w:rsid w:val="00B236AD"/>
    <w:rsid w:val="00B23880"/>
    <w:rsid w:val="00B23883"/>
    <w:rsid w:val="00B23884"/>
    <w:rsid w:val="00B23B63"/>
    <w:rsid w:val="00B246CF"/>
    <w:rsid w:val="00B246E5"/>
    <w:rsid w:val="00B246F8"/>
    <w:rsid w:val="00B24C98"/>
    <w:rsid w:val="00B25032"/>
    <w:rsid w:val="00B2508F"/>
    <w:rsid w:val="00B25C5E"/>
    <w:rsid w:val="00B25DF2"/>
    <w:rsid w:val="00B2613F"/>
    <w:rsid w:val="00B263E3"/>
    <w:rsid w:val="00B26963"/>
    <w:rsid w:val="00B26987"/>
    <w:rsid w:val="00B269DF"/>
    <w:rsid w:val="00B271D2"/>
    <w:rsid w:val="00B27757"/>
    <w:rsid w:val="00B27B1A"/>
    <w:rsid w:val="00B27B7C"/>
    <w:rsid w:val="00B27C71"/>
    <w:rsid w:val="00B27DB2"/>
    <w:rsid w:val="00B27DDB"/>
    <w:rsid w:val="00B30A83"/>
    <w:rsid w:val="00B30BDF"/>
    <w:rsid w:val="00B30C0B"/>
    <w:rsid w:val="00B3122E"/>
    <w:rsid w:val="00B312E0"/>
    <w:rsid w:val="00B3131F"/>
    <w:rsid w:val="00B313E2"/>
    <w:rsid w:val="00B31558"/>
    <w:rsid w:val="00B31B2B"/>
    <w:rsid w:val="00B31E21"/>
    <w:rsid w:val="00B31FEF"/>
    <w:rsid w:val="00B32111"/>
    <w:rsid w:val="00B322B5"/>
    <w:rsid w:val="00B327D5"/>
    <w:rsid w:val="00B32846"/>
    <w:rsid w:val="00B3285E"/>
    <w:rsid w:val="00B328EB"/>
    <w:rsid w:val="00B33477"/>
    <w:rsid w:val="00B3377F"/>
    <w:rsid w:val="00B337A6"/>
    <w:rsid w:val="00B337FA"/>
    <w:rsid w:val="00B33B17"/>
    <w:rsid w:val="00B345E4"/>
    <w:rsid w:val="00B34747"/>
    <w:rsid w:val="00B34B3A"/>
    <w:rsid w:val="00B34CC7"/>
    <w:rsid w:val="00B34EDB"/>
    <w:rsid w:val="00B3532B"/>
    <w:rsid w:val="00B357E2"/>
    <w:rsid w:val="00B35CCE"/>
    <w:rsid w:val="00B35D2D"/>
    <w:rsid w:val="00B35D30"/>
    <w:rsid w:val="00B36848"/>
    <w:rsid w:val="00B36D39"/>
    <w:rsid w:val="00B36DA7"/>
    <w:rsid w:val="00B370C9"/>
    <w:rsid w:val="00B37247"/>
    <w:rsid w:val="00B372AC"/>
    <w:rsid w:val="00B3749A"/>
    <w:rsid w:val="00B379BD"/>
    <w:rsid w:val="00B37A3F"/>
    <w:rsid w:val="00B37A75"/>
    <w:rsid w:val="00B37B25"/>
    <w:rsid w:val="00B37D42"/>
    <w:rsid w:val="00B40206"/>
    <w:rsid w:val="00B40233"/>
    <w:rsid w:val="00B4042E"/>
    <w:rsid w:val="00B4070D"/>
    <w:rsid w:val="00B40710"/>
    <w:rsid w:val="00B40879"/>
    <w:rsid w:val="00B4093F"/>
    <w:rsid w:val="00B40EEE"/>
    <w:rsid w:val="00B410F7"/>
    <w:rsid w:val="00B41196"/>
    <w:rsid w:val="00B4181E"/>
    <w:rsid w:val="00B41B3A"/>
    <w:rsid w:val="00B41DF8"/>
    <w:rsid w:val="00B41F07"/>
    <w:rsid w:val="00B420D5"/>
    <w:rsid w:val="00B42238"/>
    <w:rsid w:val="00B42482"/>
    <w:rsid w:val="00B42499"/>
    <w:rsid w:val="00B42638"/>
    <w:rsid w:val="00B426FF"/>
    <w:rsid w:val="00B42AF2"/>
    <w:rsid w:val="00B42C05"/>
    <w:rsid w:val="00B431B0"/>
    <w:rsid w:val="00B4320A"/>
    <w:rsid w:val="00B435E9"/>
    <w:rsid w:val="00B43BD7"/>
    <w:rsid w:val="00B43DAE"/>
    <w:rsid w:val="00B43F61"/>
    <w:rsid w:val="00B44096"/>
    <w:rsid w:val="00B44491"/>
    <w:rsid w:val="00B445A7"/>
    <w:rsid w:val="00B447BF"/>
    <w:rsid w:val="00B44F87"/>
    <w:rsid w:val="00B45265"/>
    <w:rsid w:val="00B4526A"/>
    <w:rsid w:val="00B455F0"/>
    <w:rsid w:val="00B45672"/>
    <w:rsid w:val="00B45A17"/>
    <w:rsid w:val="00B45C63"/>
    <w:rsid w:val="00B46410"/>
    <w:rsid w:val="00B4672E"/>
    <w:rsid w:val="00B468D4"/>
    <w:rsid w:val="00B468DD"/>
    <w:rsid w:val="00B46A9A"/>
    <w:rsid w:val="00B46BA7"/>
    <w:rsid w:val="00B46BD6"/>
    <w:rsid w:val="00B47107"/>
    <w:rsid w:val="00B4735F"/>
    <w:rsid w:val="00B476E6"/>
    <w:rsid w:val="00B47790"/>
    <w:rsid w:val="00B479B0"/>
    <w:rsid w:val="00B500AA"/>
    <w:rsid w:val="00B50244"/>
    <w:rsid w:val="00B506CA"/>
    <w:rsid w:val="00B50732"/>
    <w:rsid w:val="00B50830"/>
    <w:rsid w:val="00B5097F"/>
    <w:rsid w:val="00B50A0E"/>
    <w:rsid w:val="00B5114E"/>
    <w:rsid w:val="00B511CD"/>
    <w:rsid w:val="00B514F1"/>
    <w:rsid w:val="00B518A1"/>
    <w:rsid w:val="00B51BBA"/>
    <w:rsid w:val="00B51D9D"/>
    <w:rsid w:val="00B51FCA"/>
    <w:rsid w:val="00B5230E"/>
    <w:rsid w:val="00B52997"/>
    <w:rsid w:val="00B52DA8"/>
    <w:rsid w:val="00B534E0"/>
    <w:rsid w:val="00B536AA"/>
    <w:rsid w:val="00B538D3"/>
    <w:rsid w:val="00B53C87"/>
    <w:rsid w:val="00B53DD6"/>
    <w:rsid w:val="00B5410C"/>
    <w:rsid w:val="00B5411D"/>
    <w:rsid w:val="00B541E7"/>
    <w:rsid w:val="00B5452F"/>
    <w:rsid w:val="00B54676"/>
    <w:rsid w:val="00B547D0"/>
    <w:rsid w:val="00B550B8"/>
    <w:rsid w:val="00B551AE"/>
    <w:rsid w:val="00B5538C"/>
    <w:rsid w:val="00B55BB8"/>
    <w:rsid w:val="00B55DBC"/>
    <w:rsid w:val="00B560D5"/>
    <w:rsid w:val="00B5610F"/>
    <w:rsid w:val="00B5630F"/>
    <w:rsid w:val="00B5645E"/>
    <w:rsid w:val="00B565B4"/>
    <w:rsid w:val="00B568B4"/>
    <w:rsid w:val="00B56991"/>
    <w:rsid w:val="00B56B5D"/>
    <w:rsid w:val="00B56B84"/>
    <w:rsid w:val="00B57315"/>
    <w:rsid w:val="00B573CB"/>
    <w:rsid w:val="00B57731"/>
    <w:rsid w:val="00B600D1"/>
    <w:rsid w:val="00B60116"/>
    <w:rsid w:val="00B60459"/>
    <w:rsid w:val="00B605B1"/>
    <w:rsid w:val="00B60A81"/>
    <w:rsid w:val="00B610BD"/>
    <w:rsid w:val="00B6140C"/>
    <w:rsid w:val="00B61617"/>
    <w:rsid w:val="00B6183B"/>
    <w:rsid w:val="00B618D9"/>
    <w:rsid w:val="00B619A9"/>
    <w:rsid w:val="00B6223C"/>
    <w:rsid w:val="00B6237C"/>
    <w:rsid w:val="00B6240F"/>
    <w:rsid w:val="00B62D91"/>
    <w:rsid w:val="00B630C4"/>
    <w:rsid w:val="00B6329D"/>
    <w:rsid w:val="00B633D3"/>
    <w:rsid w:val="00B6355A"/>
    <w:rsid w:val="00B637B2"/>
    <w:rsid w:val="00B63821"/>
    <w:rsid w:val="00B639BA"/>
    <w:rsid w:val="00B63E5B"/>
    <w:rsid w:val="00B6422A"/>
    <w:rsid w:val="00B64501"/>
    <w:rsid w:val="00B64578"/>
    <w:rsid w:val="00B64880"/>
    <w:rsid w:val="00B6489A"/>
    <w:rsid w:val="00B64C00"/>
    <w:rsid w:val="00B64FDC"/>
    <w:rsid w:val="00B65818"/>
    <w:rsid w:val="00B6590E"/>
    <w:rsid w:val="00B659BB"/>
    <w:rsid w:val="00B65A0B"/>
    <w:rsid w:val="00B65E0C"/>
    <w:rsid w:val="00B65F4E"/>
    <w:rsid w:val="00B661D5"/>
    <w:rsid w:val="00B668D3"/>
    <w:rsid w:val="00B66B89"/>
    <w:rsid w:val="00B66BAB"/>
    <w:rsid w:val="00B66DB2"/>
    <w:rsid w:val="00B66DDE"/>
    <w:rsid w:val="00B670FC"/>
    <w:rsid w:val="00B671C2"/>
    <w:rsid w:val="00B67236"/>
    <w:rsid w:val="00B67349"/>
    <w:rsid w:val="00B6743B"/>
    <w:rsid w:val="00B676A2"/>
    <w:rsid w:val="00B67B46"/>
    <w:rsid w:val="00B67CD2"/>
    <w:rsid w:val="00B67D34"/>
    <w:rsid w:val="00B70158"/>
    <w:rsid w:val="00B7020A"/>
    <w:rsid w:val="00B707DF"/>
    <w:rsid w:val="00B70C52"/>
    <w:rsid w:val="00B70D4C"/>
    <w:rsid w:val="00B7150B"/>
    <w:rsid w:val="00B71557"/>
    <w:rsid w:val="00B71A2C"/>
    <w:rsid w:val="00B71AAF"/>
    <w:rsid w:val="00B71CEC"/>
    <w:rsid w:val="00B71E44"/>
    <w:rsid w:val="00B71F7E"/>
    <w:rsid w:val="00B71FE7"/>
    <w:rsid w:val="00B7206C"/>
    <w:rsid w:val="00B721DD"/>
    <w:rsid w:val="00B7256B"/>
    <w:rsid w:val="00B72722"/>
    <w:rsid w:val="00B727D6"/>
    <w:rsid w:val="00B7309B"/>
    <w:rsid w:val="00B73437"/>
    <w:rsid w:val="00B73846"/>
    <w:rsid w:val="00B73C77"/>
    <w:rsid w:val="00B73E3D"/>
    <w:rsid w:val="00B73EC4"/>
    <w:rsid w:val="00B742C2"/>
    <w:rsid w:val="00B74666"/>
    <w:rsid w:val="00B7481C"/>
    <w:rsid w:val="00B748B7"/>
    <w:rsid w:val="00B74D00"/>
    <w:rsid w:val="00B74F01"/>
    <w:rsid w:val="00B750C1"/>
    <w:rsid w:val="00B751C7"/>
    <w:rsid w:val="00B7545D"/>
    <w:rsid w:val="00B755D7"/>
    <w:rsid w:val="00B7634F"/>
    <w:rsid w:val="00B767BE"/>
    <w:rsid w:val="00B768AD"/>
    <w:rsid w:val="00B76959"/>
    <w:rsid w:val="00B7748A"/>
    <w:rsid w:val="00B77669"/>
    <w:rsid w:val="00B77931"/>
    <w:rsid w:val="00B7795C"/>
    <w:rsid w:val="00B77C85"/>
    <w:rsid w:val="00B77EC6"/>
    <w:rsid w:val="00B77F79"/>
    <w:rsid w:val="00B80256"/>
    <w:rsid w:val="00B8025C"/>
    <w:rsid w:val="00B80425"/>
    <w:rsid w:val="00B806B0"/>
    <w:rsid w:val="00B8088A"/>
    <w:rsid w:val="00B808CC"/>
    <w:rsid w:val="00B80B70"/>
    <w:rsid w:val="00B80C6A"/>
    <w:rsid w:val="00B810C6"/>
    <w:rsid w:val="00B8151E"/>
    <w:rsid w:val="00B818C2"/>
    <w:rsid w:val="00B82306"/>
    <w:rsid w:val="00B824AB"/>
    <w:rsid w:val="00B8261B"/>
    <w:rsid w:val="00B82A37"/>
    <w:rsid w:val="00B82F4E"/>
    <w:rsid w:val="00B8355D"/>
    <w:rsid w:val="00B83957"/>
    <w:rsid w:val="00B83B0F"/>
    <w:rsid w:val="00B83E15"/>
    <w:rsid w:val="00B841A3"/>
    <w:rsid w:val="00B844D0"/>
    <w:rsid w:val="00B84671"/>
    <w:rsid w:val="00B84788"/>
    <w:rsid w:val="00B84A60"/>
    <w:rsid w:val="00B84CA0"/>
    <w:rsid w:val="00B84DA7"/>
    <w:rsid w:val="00B84EB6"/>
    <w:rsid w:val="00B84F1C"/>
    <w:rsid w:val="00B852A0"/>
    <w:rsid w:val="00B852C7"/>
    <w:rsid w:val="00B8534F"/>
    <w:rsid w:val="00B853D6"/>
    <w:rsid w:val="00B85490"/>
    <w:rsid w:val="00B857D5"/>
    <w:rsid w:val="00B85ACF"/>
    <w:rsid w:val="00B85C75"/>
    <w:rsid w:val="00B85C88"/>
    <w:rsid w:val="00B85E53"/>
    <w:rsid w:val="00B8623F"/>
    <w:rsid w:val="00B86553"/>
    <w:rsid w:val="00B86606"/>
    <w:rsid w:val="00B86B12"/>
    <w:rsid w:val="00B86EB6"/>
    <w:rsid w:val="00B86F66"/>
    <w:rsid w:val="00B874BC"/>
    <w:rsid w:val="00B8757B"/>
    <w:rsid w:val="00B8759E"/>
    <w:rsid w:val="00B876F1"/>
    <w:rsid w:val="00B876F7"/>
    <w:rsid w:val="00B878C3"/>
    <w:rsid w:val="00B87B2B"/>
    <w:rsid w:val="00B87C02"/>
    <w:rsid w:val="00B901AB"/>
    <w:rsid w:val="00B90483"/>
    <w:rsid w:val="00B908D8"/>
    <w:rsid w:val="00B9102E"/>
    <w:rsid w:val="00B913FF"/>
    <w:rsid w:val="00B91507"/>
    <w:rsid w:val="00B91704"/>
    <w:rsid w:val="00B917FE"/>
    <w:rsid w:val="00B918CB"/>
    <w:rsid w:val="00B91939"/>
    <w:rsid w:val="00B91A3C"/>
    <w:rsid w:val="00B91C2F"/>
    <w:rsid w:val="00B91E15"/>
    <w:rsid w:val="00B91FB1"/>
    <w:rsid w:val="00B92038"/>
    <w:rsid w:val="00B921FB"/>
    <w:rsid w:val="00B9227C"/>
    <w:rsid w:val="00B92548"/>
    <w:rsid w:val="00B92791"/>
    <w:rsid w:val="00B92875"/>
    <w:rsid w:val="00B92935"/>
    <w:rsid w:val="00B92DBF"/>
    <w:rsid w:val="00B92EE6"/>
    <w:rsid w:val="00B9311C"/>
    <w:rsid w:val="00B93168"/>
    <w:rsid w:val="00B93674"/>
    <w:rsid w:val="00B93854"/>
    <w:rsid w:val="00B939F0"/>
    <w:rsid w:val="00B93B4D"/>
    <w:rsid w:val="00B9475E"/>
    <w:rsid w:val="00B947B6"/>
    <w:rsid w:val="00B94A53"/>
    <w:rsid w:val="00B94BCD"/>
    <w:rsid w:val="00B94BE3"/>
    <w:rsid w:val="00B94CBB"/>
    <w:rsid w:val="00B9506E"/>
    <w:rsid w:val="00B952CB"/>
    <w:rsid w:val="00B95602"/>
    <w:rsid w:val="00B960BB"/>
    <w:rsid w:val="00B96C9E"/>
    <w:rsid w:val="00B96DB8"/>
    <w:rsid w:val="00B970BA"/>
    <w:rsid w:val="00B974D5"/>
    <w:rsid w:val="00B978FE"/>
    <w:rsid w:val="00B97B0C"/>
    <w:rsid w:val="00B97CC7"/>
    <w:rsid w:val="00B97F1C"/>
    <w:rsid w:val="00B97FCB"/>
    <w:rsid w:val="00BA01BE"/>
    <w:rsid w:val="00BA09E2"/>
    <w:rsid w:val="00BA0A30"/>
    <w:rsid w:val="00BA0ACA"/>
    <w:rsid w:val="00BA0CBC"/>
    <w:rsid w:val="00BA0FA6"/>
    <w:rsid w:val="00BA10E1"/>
    <w:rsid w:val="00BA13FE"/>
    <w:rsid w:val="00BA14F6"/>
    <w:rsid w:val="00BA1AC7"/>
    <w:rsid w:val="00BA1DAB"/>
    <w:rsid w:val="00BA1F36"/>
    <w:rsid w:val="00BA22B8"/>
    <w:rsid w:val="00BA262F"/>
    <w:rsid w:val="00BA26B7"/>
    <w:rsid w:val="00BA2758"/>
    <w:rsid w:val="00BA2BF4"/>
    <w:rsid w:val="00BA3512"/>
    <w:rsid w:val="00BA3B0B"/>
    <w:rsid w:val="00BA3BD9"/>
    <w:rsid w:val="00BA3D9B"/>
    <w:rsid w:val="00BA4863"/>
    <w:rsid w:val="00BA4971"/>
    <w:rsid w:val="00BA514C"/>
    <w:rsid w:val="00BA516C"/>
    <w:rsid w:val="00BA529E"/>
    <w:rsid w:val="00BA563B"/>
    <w:rsid w:val="00BA5756"/>
    <w:rsid w:val="00BA5F92"/>
    <w:rsid w:val="00BA608C"/>
    <w:rsid w:val="00BA63E8"/>
    <w:rsid w:val="00BA6AD8"/>
    <w:rsid w:val="00BA6B7A"/>
    <w:rsid w:val="00BA6CE7"/>
    <w:rsid w:val="00BA6F93"/>
    <w:rsid w:val="00BA6FCC"/>
    <w:rsid w:val="00BA75C4"/>
    <w:rsid w:val="00BA762C"/>
    <w:rsid w:val="00BA79B6"/>
    <w:rsid w:val="00BA7A81"/>
    <w:rsid w:val="00BA7D0A"/>
    <w:rsid w:val="00BA7D2F"/>
    <w:rsid w:val="00BB02EA"/>
    <w:rsid w:val="00BB09F4"/>
    <w:rsid w:val="00BB0C8C"/>
    <w:rsid w:val="00BB0DE8"/>
    <w:rsid w:val="00BB0DED"/>
    <w:rsid w:val="00BB1127"/>
    <w:rsid w:val="00BB12E6"/>
    <w:rsid w:val="00BB1496"/>
    <w:rsid w:val="00BB1AFD"/>
    <w:rsid w:val="00BB1C6F"/>
    <w:rsid w:val="00BB1DDB"/>
    <w:rsid w:val="00BB1E16"/>
    <w:rsid w:val="00BB2063"/>
    <w:rsid w:val="00BB2112"/>
    <w:rsid w:val="00BB2128"/>
    <w:rsid w:val="00BB22FE"/>
    <w:rsid w:val="00BB29DD"/>
    <w:rsid w:val="00BB2BE2"/>
    <w:rsid w:val="00BB2F53"/>
    <w:rsid w:val="00BB2F7C"/>
    <w:rsid w:val="00BB33FF"/>
    <w:rsid w:val="00BB3608"/>
    <w:rsid w:val="00BB381C"/>
    <w:rsid w:val="00BB3A85"/>
    <w:rsid w:val="00BB3AAD"/>
    <w:rsid w:val="00BB43B6"/>
    <w:rsid w:val="00BB45F0"/>
    <w:rsid w:val="00BB4630"/>
    <w:rsid w:val="00BB4859"/>
    <w:rsid w:val="00BB49DC"/>
    <w:rsid w:val="00BB4C0D"/>
    <w:rsid w:val="00BB4D88"/>
    <w:rsid w:val="00BB51C2"/>
    <w:rsid w:val="00BB52D9"/>
    <w:rsid w:val="00BB5372"/>
    <w:rsid w:val="00BB557E"/>
    <w:rsid w:val="00BB55E4"/>
    <w:rsid w:val="00BB5AFF"/>
    <w:rsid w:val="00BB5C67"/>
    <w:rsid w:val="00BB5F8C"/>
    <w:rsid w:val="00BB6B79"/>
    <w:rsid w:val="00BB6BDA"/>
    <w:rsid w:val="00BB6E4C"/>
    <w:rsid w:val="00BB6EAC"/>
    <w:rsid w:val="00BB71D2"/>
    <w:rsid w:val="00BB7375"/>
    <w:rsid w:val="00BB75F4"/>
    <w:rsid w:val="00BB7A9C"/>
    <w:rsid w:val="00BB7CE3"/>
    <w:rsid w:val="00BB7CEB"/>
    <w:rsid w:val="00BB7D99"/>
    <w:rsid w:val="00BC0709"/>
    <w:rsid w:val="00BC09DF"/>
    <w:rsid w:val="00BC0AA1"/>
    <w:rsid w:val="00BC0C0D"/>
    <w:rsid w:val="00BC1528"/>
    <w:rsid w:val="00BC1534"/>
    <w:rsid w:val="00BC1714"/>
    <w:rsid w:val="00BC1CF9"/>
    <w:rsid w:val="00BC1E1C"/>
    <w:rsid w:val="00BC1E56"/>
    <w:rsid w:val="00BC2032"/>
    <w:rsid w:val="00BC229D"/>
    <w:rsid w:val="00BC2708"/>
    <w:rsid w:val="00BC29CA"/>
    <w:rsid w:val="00BC2BE8"/>
    <w:rsid w:val="00BC2E95"/>
    <w:rsid w:val="00BC312C"/>
    <w:rsid w:val="00BC3166"/>
    <w:rsid w:val="00BC33AC"/>
    <w:rsid w:val="00BC3B55"/>
    <w:rsid w:val="00BC4418"/>
    <w:rsid w:val="00BC4515"/>
    <w:rsid w:val="00BC47ED"/>
    <w:rsid w:val="00BC48BD"/>
    <w:rsid w:val="00BC4AED"/>
    <w:rsid w:val="00BC4CB0"/>
    <w:rsid w:val="00BC51B0"/>
    <w:rsid w:val="00BC541D"/>
    <w:rsid w:val="00BC54ED"/>
    <w:rsid w:val="00BC5514"/>
    <w:rsid w:val="00BC5802"/>
    <w:rsid w:val="00BC59AC"/>
    <w:rsid w:val="00BC5A2C"/>
    <w:rsid w:val="00BC5D46"/>
    <w:rsid w:val="00BC5F77"/>
    <w:rsid w:val="00BC5FAF"/>
    <w:rsid w:val="00BC60A8"/>
    <w:rsid w:val="00BC60FF"/>
    <w:rsid w:val="00BC61E6"/>
    <w:rsid w:val="00BC6E38"/>
    <w:rsid w:val="00BC6F33"/>
    <w:rsid w:val="00BC6F5B"/>
    <w:rsid w:val="00BC706A"/>
    <w:rsid w:val="00BC71A6"/>
    <w:rsid w:val="00BC743A"/>
    <w:rsid w:val="00BC77F1"/>
    <w:rsid w:val="00BC792C"/>
    <w:rsid w:val="00BD08A5"/>
    <w:rsid w:val="00BD1004"/>
    <w:rsid w:val="00BD1037"/>
    <w:rsid w:val="00BD144C"/>
    <w:rsid w:val="00BD1751"/>
    <w:rsid w:val="00BD1F6C"/>
    <w:rsid w:val="00BD203A"/>
    <w:rsid w:val="00BD2618"/>
    <w:rsid w:val="00BD2A14"/>
    <w:rsid w:val="00BD3004"/>
    <w:rsid w:val="00BD3765"/>
    <w:rsid w:val="00BD38A5"/>
    <w:rsid w:val="00BD3C5D"/>
    <w:rsid w:val="00BD3F22"/>
    <w:rsid w:val="00BD440B"/>
    <w:rsid w:val="00BD4717"/>
    <w:rsid w:val="00BD486D"/>
    <w:rsid w:val="00BD489C"/>
    <w:rsid w:val="00BD49CE"/>
    <w:rsid w:val="00BD4DFC"/>
    <w:rsid w:val="00BD4F73"/>
    <w:rsid w:val="00BD52CD"/>
    <w:rsid w:val="00BD5568"/>
    <w:rsid w:val="00BD5BAD"/>
    <w:rsid w:val="00BD5BC6"/>
    <w:rsid w:val="00BD5E48"/>
    <w:rsid w:val="00BD6340"/>
    <w:rsid w:val="00BD63B2"/>
    <w:rsid w:val="00BD6535"/>
    <w:rsid w:val="00BD66B6"/>
    <w:rsid w:val="00BD676F"/>
    <w:rsid w:val="00BD6910"/>
    <w:rsid w:val="00BD6DEF"/>
    <w:rsid w:val="00BD6F74"/>
    <w:rsid w:val="00BD71B5"/>
    <w:rsid w:val="00BD71F7"/>
    <w:rsid w:val="00BD7D42"/>
    <w:rsid w:val="00BD7D56"/>
    <w:rsid w:val="00BE043D"/>
    <w:rsid w:val="00BE1323"/>
    <w:rsid w:val="00BE1416"/>
    <w:rsid w:val="00BE2128"/>
    <w:rsid w:val="00BE2FD7"/>
    <w:rsid w:val="00BE31B3"/>
    <w:rsid w:val="00BE416C"/>
    <w:rsid w:val="00BE4554"/>
    <w:rsid w:val="00BE4784"/>
    <w:rsid w:val="00BE47B3"/>
    <w:rsid w:val="00BE4AB5"/>
    <w:rsid w:val="00BE4D5C"/>
    <w:rsid w:val="00BE4DA7"/>
    <w:rsid w:val="00BE4ECD"/>
    <w:rsid w:val="00BE4FC7"/>
    <w:rsid w:val="00BE5227"/>
    <w:rsid w:val="00BE5377"/>
    <w:rsid w:val="00BE5417"/>
    <w:rsid w:val="00BE542E"/>
    <w:rsid w:val="00BE54CE"/>
    <w:rsid w:val="00BE54F2"/>
    <w:rsid w:val="00BE5999"/>
    <w:rsid w:val="00BE6008"/>
    <w:rsid w:val="00BE64BB"/>
    <w:rsid w:val="00BE6854"/>
    <w:rsid w:val="00BE6AA9"/>
    <w:rsid w:val="00BE6ECF"/>
    <w:rsid w:val="00BE6F31"/>
    <w:rsid w:val="00BE723B"/>
    <w:rsid w:val="00BE74F1"/>
    <w:rsid w:val="00BE7541"/>
    <w:rsid w:val="00BE763C"/>
    <w:rsid w:val="00BE76EE"/>
    <w:rsid w:val="00BE77AD"/>
    <w:rsid w:val="00BE7889"/>
    <w:rsid w:val="00BE7977"/>
    <w:rsid w:val="00BE7B32"/>
    <w:rsid w:val="00BE7CAA"/>
    <w:rsid w:val="00BE7E6B"/>
    <w:rsid w:val="00BF02AF"/>
    <w:rsid w:val="00BF05D1"/>
    <w:rsid w:val="00BF0967"/>
    <w:rsid w:val="00BF09E2"/>
    <w:rsid w:val="00BF0A47"/>
    <w:rsid w:val="00BF1142"/>
    <w:rsid w:val="00BF1371"/>
    <w:rsid w:val="00BF1642"/>
    <w:rsid w:val="00BF1670"/>
    <w:rsid w:val="00BF260E"/>
    <w:rsid w:val="00BF26A8"/>
    <w:rsid w:val="00BF2C67"/>
    <w:rsid w:val="00BF30CC"/>
    <w:rsid w:val="00BF319E"/>
    <w:rsid w:val="00BF3FCA"/>
    <w:rsid w:val="00BF3FD6"/>
    <w:rsid w:val="00BF40F9"/>
    <w:rsid w:val="00BF41C7"/>
    <w:rsid w:val="00BF4583"/>
    <w:rsid w:val="00BF45AD"/>
    <w:rsid w:val="00BF45B9"/>
    <w:rsid w:val="00BF4B3F"/>
    <w:rsid w:val="00BF4BF9"/>
    <w:rsid w:val="00BF4D79"/>
    <w:rsid w:val="00BF5208"/>
    <w:rsid w:val="00BF5238"/>
    <w:rsid w:val="00BF53B4"/>
    <w:rsid w:val="00BF53D5"/>
    <w:rsid w:val="00BF54B8"/>
    <w:rsid w:val="00BF56AA"/>
    <w:rsid w:val="00BF56F0"/>
    <w:rsid w:val="00BF58FC"/>
    <w:rsid w:val="00BF59F8"/>
    <w:rsid w:val="00BF5A18"/>
    <w:rsid w:val="00BF5C8B"/>
    <w:rsid w:val="00BF5E04"/>
    <w:rsid w:val="00BF697F"/>
    <w:rsid w:val="00BF69CD"/>
    <w:rsid w:val="00BF6AB2"/>
    <w:rsid w:val="00BF7090"/>
    <w:rsid w:val="00BF7199"/>
    <w:rsid w:val="00BF798A"/>
    <w:rsid w:val="00BF79B2"/>
    <w:rsid w:val="00C0014C"/>
    <w:rsid w:val="00C00B25"/>
    <w:rsid w:val="00C00B3C"/>
    <w:rsid w:val="00C00BF7"/>
    <w:rsid w:val="00C00DC4"/>
    <w:rsid w:val="00C011D6"/>
    <w:rsid w:val="00C01278"/>
    <w:rsid w:val="00C01474"/>
    <w:rsid w:val="00C017CD"/>
    <w:rsid w:val="00C01AEB"/>
    <w:rsid w:val="00C01C8D"/>
    <w:rsid w:val="00C01DFC"/>
    <w:rsid w:val="00C02355"/>
    <w:rsid w:val="00C02538"/>
    <w:rsid w:val="00C02A69"/>
    <w:rsid w:val="00C02A74"/>
    <w:rsid w:val="00C02C59"/>
    <w:rsid w:val="00C02E57"/>
    <w:rsid w:val="00C02F05"/>
    <w:rsid w:val="00C02FCA"/>
    <w:rsid w:val="00C030AD"/>
    <w:rsid w:val="00C03245"/>
    <w:rsid w:val="00C03997"/>
    <w:rsid w:val="00C03A7A"/>
    <w:rsid w:val="00C03D57"/>
    <w:rsid w:val="00C04138"/>
    <w:rsid w:val="00C043AC"/>
    <w:rsid w:val="00C0491B"/>
    <w:rsid w:val="00C04D39"/>
    <w:rsid w:val="00C04E7A"/>
    <w:rsid w:val="00C04EB0"/>
    <w:rsid w:val="00C05345"/>
    <w:rsid w:val="00C05349"/>
    <w:rsid w:val="00C05AE2"/>
    <w:rsid w:val="00C06106"/>
    <w:rsid w:val="00C06429"/>
    <w:rsid w:val="00C06838"/>
    <w:rsid w:val="00C0689C"/>
    <w:rsid w:val="00C07220"/>
    <w:rsid w:val="00C0727B"/>
    <w:rsid w:val="00C072EE"/>
    <w:rsid w:val="00C07302"/>
    <w:rsid w:val="00C07BC0"/>
    <w:rsid w:val="00C10393"/>
    <w:rsid w:val="00C1088D"/>
    <w:rsid w:val="00C108BE"/>
    <w:rsid w:val="00C10EE6"/>
    <w:rsid w:val="00C10F15"/>
    <w:rsid w:val="00C112A2"/>
    <w:rsid w:val="00C11B10"/>
    <w:rsid w:val="00C11BA3"/>
    <w:rsid w:val="00C11C44"/>
    <w:rsid w:val="00C11CD3"/>
    <w:rsid w:val="00C11F37"/>
    <w:rsid w:val="00C121E1"/>
    <w:rsid w:val="00C122D8"/>
    <w:rsid w:val="00C12535"/>
    <w:rsid w:val="00C12738"/>
    <w:rsid w:val="00C1287F"/>
    <w:rsid w:val="00C12C44"/>
    <w:rsid w:val="00C12CF0"/>
    <w:rsid w:val="00C12D03"/>
    <w:rsid w:val="00C12DE0"/>
    <w:rsid w:val="00C12FC0"/>
    <w:rsid w:val="00C131AC"/>
    <w:rsid w:val="00C1347E"/>
    <w:rsid w:val="00C13553"/>
    <w:rsid w:val="00C13726"/>
    <w:rsid w:val="00C13FCF"/>
    <w:rsid w:val="00C14119"/>
    <w:rsid w:val="00C141DB"/>
    <w:rsid w:val="00C14672"/>
    <w:rsid w:val="00C147CF"/>
    <w:rsid w:val="00C14873"/>
    <w:rsid w:val="00C14B45"/>
    <w:rsid w:val="00C14D57"/>
    <w:rsid w:val="00C1505A"/>
    <w:rsid w:val="00C154DF"/>
    <w:rsid w:val="00C155B0"/>
    <w:rsid w:val="00C15A88"/>
    <w:rsid w:val="00C15B40"/>
    <w:rsid w:val="00C162B0"/>
    <w:rsid w:val="00C162F1"/>
    <w:rsid w:val="00C16307"/>
    <w:rsid w:val="00C164B6"/>
    <w:rsid w:val="00C16890"/>
    <w:rsid w:val="00C16F27"/>
    <w:rsid w:val="00C1719A"/>
    <w:rsid w:val="00C17252"/>
    <w:rsid w:val="00C17970"/>
    <w:rsid w:val="00C17A56"/>
    <w:rsid w:val="00C17C0B"/>
    <w:rsid w:val="00C201DE"/>
    <w:rsid w:val="00C20208"/>
    <w:rsid w:val="00C207C3"/>
    <w:rsid w:val="00C20BCA"/>
    <w:rsid w:val="00C20CA0"/>
    <w:rsid w:val="00C20FF8"/>
    <w:rsid w:val="00C21DC2"/>
    <w:rsid w:val="00C21EA4"/>
    <w:rsid w:val="00C224E9"/>
    <w:rsid w:val="00C225CC"/>
    <w:rsid w:val="00C2273D"/>
    <w:rsid w:val="00C22814"/>
    <w:rsid w:val="00C22863"/>
    <w:rsid w:val="00C23036"/>
    <w:rsid w:val="00C23664"/>
    <w:rsid w:val="00C23795"/>
    <w:rsid w:val="00C23A26"/>
    <w:rsid w:val="00C23C98"/>
    <w:rsid w:val="00C23D3D"/>
    <w:rsid w:val="00C23EBC"/>
    <w:rsid w:val="00C23F0D"/>
    <w:rsid w:val="00C240A5"/>
    <w:rsid w:val="00C2414A"/>
    <w:rsid w:val="00C241F6"/>
    <w:rsid w:val="00C24981"/>
    <w:rsid w:val="00C249F6"/>
    <w:rsid w:val="00C24D62"/>
    <w:rsid w:val="00C25542"/>
    <w:rsid w:val="00C255FA"/>
    <w:rsid w:val="00C25B5B"/>
    <w:rsid w:val="00C25D27"/>
    <w:rsid w:val="00C25EE2"/>
    <w:rsid w:val="00C25EF6"/>
    <w:rsid w:val="00C26773"/>
    <w:rsid w:val="00C26817"/>
    <w:rsid w:val="00C26825"/>
    <w:rsid w:val="00C26926"/>
    <w:rsid w:val="00C26E7C"/>
    <w:rsid w:val="00C26F7A"/>
    <w:rsid w:val="00C2752A"/>
    <w:rsid w:val="00C2799F"/>
    <w:rsid w:val="00C279A4"/>
    <w:rsid w:val="00C27ECE"/>
    <w:rsid w:val="00C3016E"/>
    <w:rsid w:val="00C30594"/>
    <w:rsid w:val="00C307B7"/>
    <w:rsid w:val="00C30950"/>
    <w:rsid w:val="00C30D51"/>
    <w:rsid w:val="00C3169B"/>
    <w:rsid w:val="00C31751"/>
    <w:rsid w:val="00C3193F"/>
    <w:rsid w:val="00C31A0E"/>
    <w:rsid w:val="00C31CCB"/>
    <w:rsid w:val="00C32271"/>
    <w:rsid w:val="00C3233C"/>
    <w:rsid w:val="00C32394"/>
    <w:rsid w:val="00C32461"/>
    <w:rsid w:val="00C324CD"/>
    <w:rsid w:val="00C32B18"/>
    <w:rsid w:val="00C32D99"/>
    <w:rsid w:val="00C32DFB"/>
    <w:rsid w:val="00C330F2"/>
    <w:rsid w:val="00C33268"/>
    <w:rsid w:val="00C3360E"/>
    <w:rsid w:val="00C338B8"/>
    <w:rsid w:val="00C33C19"/>
    <w:rsid w:val="00C33F2C"/>
    <w:rsid w:val="00C34002"/>
    <w:rsid w:val="00C34015"/>
    <w:rsid w:val="00C343FA"/>
    <w:rsid w:val="00C34493"/>
    <w:rsid w:val="00C34740"/>
    <w:rsid w:val="00C34962"/>
    <w:rsid w:val="00C34B0A"/>
    <w:rsid w:val="00C34B5B"/>
    <w:rsid w:val="00C357A2"/>
    <w:rsid w:val="00C35809"/>
    <w:rsid w:val="00C35CA1"/>
    <w:rsid w:val="00C35DF9"/>
    <w:rsid w:val="00C35E6F"/>
    <w:rsid w:val="00C367E4"/>
    <w:rsid w:val="00C36C13"/>
    <w:rsid w:val="00C36D63"/>
    <w:rsid w:val="00C36EC0"/>
    <w:rsid w:val="00C37DB3"/>
    <w:rsid w:val="00C37F28"/>
    <w:rsid w:val="00C403E1"/>
    <w:rsid w:val="00C40577"/>
    <w:rsid w:val="00C40B33"/>
    <w:rsid w:val="00C40D42"/>
    <w:rsid w:val="00C4105D"/>
    <w:rsid w:val="00C4113F"/>
    <w:rsid w:val="00C41334"/>
    <w:rsid w:val="00C414E3"/>
    <w:rsid w:val="00C41575"/>
    <w:rsid w:val="00C41717"/>
    <w:rsid w:val="00C41965"/>
    <w:rsid w:val="00C41B5B"/>
    <w:rsid w:val="00C42217"/>
    <w:rsid w:val="00C424D7"/>
    <w:rsid w:val="00C4257E"/>
    <w:rsid w:val="00C42C3A"/>
    <w:rsid w:val="00C42EE5"/>
    <w:rsid w:val="00C43B99"/>
    <w:rsid w:val="00C43BFF"/>
    <w:rsid w:val="00C43CA5"/>
    <w:rsid w:val="00C43E78"/>
    <w:rsid w:val="00C43F67"/>
    <w:rsid w:val="00C440C8"/>
    <w:rsid w:val="00C44193"/>
    <w:rsid w:val="00C4479D"/>
    <w:rsid w:val="00C449C5"/>
    <w:rsid w:val="00C44C65"/>
    <w:rsid w:val="00C44D2C"/>
    <w:rsid w:val="00C4528E"/>
    <w:rsid w:val="00C45455"/>
    <w:rsid w:val="00C45675"/>
    <w:rsid w:val="00C4595A"/>
    <w:rsid w:val="00C45F8C"/>
    <w:rsid w:val="00C4624A"/>
    <w:rsid w:val="00C4665C"/>
    <w:rsid w:val="00C46BF0"/>
    <w:rsid w:val="00C46C63"/>
    <w:rsid w:val="00C47764"/>
    <w:rsid w:val="00C479BB"/>
    <w:rsid w:val="00C479EE"/>
    <w:rsid w:val="00C47A37"/>
    <w:rsid w:val="00C47B7F"/>
    <w:rsid w:val="00C47D7E"/>
    <w:rsid w:val="00C47F5F"/>
    <w:rsid w:val="00C5031F"/>
    <w:rsid w:val="00C503B7"/>
    <w:rsid w:val="00C5081C"/>
    <w:rsid w:val="00C50AA3"/>
    <w:rsid w:val="00C50AC9"/>
    <w:rsid w:val="00C50ECF"/>
    <w:rsid w:val="00C50F39"/>
    <w:rsid w:val="00C50FB1"/>
    <w:rsid w:val="00C51121"/>
    <w:rsid w:val="00C513B8"/>
    <w:rsid w:val="00C516B5"/>
    <w:rsid w:val="00C51DD2"/>
    <w:rsid w:val="00C51E07"/>
    <w:rsid w:val="00C521A0"/>
    <w:rsid w:val="00C52278"/>
    <w:rsid w:val="00C52393"/>
    <w:rsid w:val="00C523B4"/>
    <w:rsid w:val="00C526FE"/>
    <w:rsid w:val="00C52ACC"/>
    <w:rsid w:val="00C53293"/>
    <w:rsid w:val="00C53513"/>
    <w:rsid w:val="00C535E4"/>
    <w:rsid w:val="00C53875"/>
    <w:rsid w:val="00C53B4B"/>
    <w:rsid w:val="00C53B7D"/>
    <w:rsid w:val="00C53E14"/>
    <w:rsid w:val="00C53E6E"/>
    <w:rsid w:val="00C53F20"/>
    <w:rsid w:val="00C540C0"/>
    <w:rsid w:val="00C545A4"/>
    <w:rsid w:val="00C54716"/>
    <w:rsid w:val="00C547D2"/>
    <w:rsid w:val="00C54848"/>
    <w:rsid w:val="00C54CCE"/>
    <w:rsid w:val="00C54CE2"/>
    <w:rsid w:val="00C54FED"/>
    <w:rsid w:val="00C550C1"/>
    <w:rsid w:val="00C55367"/>
    <w:rsid w:val="00C5547A"/>
    <w:rsid w:val="00C55BC1"/>
    <w:rsid w:val="00C55EDB"/>
    <w:rsid w:val="00C55EEC"/>
    <w:rsid w:val="00C56114"/>
    <w:rsid w:val="00C561A9"/>
    <w:rsid w:val="00C56B33"/>
    <w:rsid w:val="00C56C35"/>
    <w:rsid w:val="00C56D1E"/>
    <w:rsid w:val="00C56E13"/>
    <w:rsid w:val="00C57130"/>
    <w:rsid w:val="00C57B37"/>
    <w:rsid w:val="00C57D50"/>
    <w:rsid w:val="00C603E1"/>
    <w:rsid w:val="00C60657"/>
    <w:rsid w:val="00C60CCA"/>
    <w:rsid w:val="00C60E02"/>
    <w:rsid w:val="00C60F17"/>
    <w:rsid w:val="00C60FE1"/>
    <w:rsid w:val="00C6108C"/>
    <w:rsid w:val="00C617B8"/>
    <w:rsid w:val="00C617DC"/>
    <w:rsid w:val="00C618E4"/>
    <w:rsid w:val="00C61A11"/>
    <w:rsid w:val="00C61B79"/>
    <w:rsid w:val="00C61D11"/>
    <w:rsid w:val="00C61DC2"/>
    <w:rsid w:val="00C61FD6"/>
    <w:rsid w:val="00C62352"/>
    <w:rsid w:val="00C62376"/>
    <w:rsid w:val="00C629DC"/>
    <w:rsid w:val="00C62A96"/>
    <w:rsid w:val="00C62D2E"/>
    <w:rsid w:val="00C62EA5"/>
    <w:rsid w:val="00C62F05"/>
    <w:rsid w:val="00C63172"/>
    <w:rsid w:val="00C63284"/>
    <w:rsid w:val="00C6358E"/>
    <w:rsid w:val="00C63A55"/>
    <w:rsid w:val="00C63ECB"/>
    <w:rsid w:val="00C641CB"/>
    <w:rsid w:val="00C64983"/>
    <w:rsid w:val="00C64BE2"/>
    <w:rsid w:val="00C64CB4"/>
    <w:rsid w:val="00C64D21"/>
    <w:rsid w:val="00C65090"/>
    <w:rsid w:val="00C658AD"/>
    <w:rsid w:val="00C66122"/>
    <w:rsid w:val="00C6613D"/>
    <w:rsid w:val="00C6675B"/>
    <w:rsid w:val="00C669E3"/>
    <w:rsid w:val="00C669E4"/>
    <w:rsid w:val="00C676D3"/>
    <w:rsid w:val="00C678B2"/>
    <w:rsid w:val="00C67AD4"/>
    <w:rsid w:val="00C67C08"/>
    <w:rsid w:val="00C67D30"/>
    <w:rsid w:val="00C67F97"/>
    <w:rsid w:val="00C70031"/>
    <w:rsid w:val="00C7006C"/>
    <w:rsid w:val="00C700CE"/>
    <w:rsid w:val="00C70167"/>
    <w:rsid w:val="00C702B6"/>
    <w:rsid w:val="00C70531"/>
    <w:rsid w:val="00C70756"/>
    <w:rsid w:val="00C707E1"/>
    <w:rsid w:val="00C70AD6"/>
    <w:rsid w:val="00C70C3C"/>
    <w:rsid w:val="00C70DA2"/>
    <w:rsid w:val="00C70E65"/>
    <w:rsid w:val="00C71381"/>
    <w:rsid w:val="00C7139A"/>
    <w:rsid w:val="00C7167E"/>
    <w:rsid w:val="00C71919"/>
    <w:rsid w:val="00C71A00"/>
    <w:rsid w:val="00C71A8B"/>
    <w:rsid w:val="00C71B07"/>
    <w:rsid w:val="00C71B42"/>
    <w:rsid w:val="00C71F55"/>
    <w:rsid w:val="00C7214E"/>
    <w:rsid w:val="00C7237C"/>
    <w:rsid w:val="00C727AE"/>
    <w:rsid w:val="00C72DA3"/>
    <w:rsid w:val="00C730C5"/>
    <w:rsid w:val="00C737DE"/>
    <w:rsid w:val="00C7390D"/>
    <w:rsid w:val="00C73C4D"/>
    <w:rsid w:val="00C73DAB"/>
    <w:rsid w:val="00C74304"/>
    <w:rsid w:val="00C7465C"/>
    <w:rsid w:val="00C747BA"/>
    <w:rsid w:val="00C7484A"/>
    <w:rsid w:val="00C74965"/>
    <w:rsid w:val="00C74B64"/>
    <w:rsid w:val="00C74C8C"/>
    <w:rsid w:val="00C74FFE"/>
    <w:rsid w:val="00C75183"/>
    <w:rsid w:val="00C7547B"/>
    <w:rsid w:val="00C75543"/>
    <w:rsid w:val="00C75600"/>
    <w:rsid w:val="00C75A28"/>
    <w:rsid w:val="00C75B72"/>
    <w:rsid w:val="00C75EE8"/>
    <w:rsid w:val="00C76018"/>
    <w:rsid w:val="00C762CD"/>
    <w:rsid w:val="00C765D0"/>
    <w:rsid w:val="00C7664B"/>
    <w:rsid w:val="00C766C6"/>
    <w:rsid w:val="00C769A5"/>
    <w:rsid w:val="00C76D04"/>
    <w:rsid w:val="00C76F11"/>
    <w:rsid w:val="00C76FB0"/>
    <w:rsid w:val="00C770B9"/>
    <w:rsid w:val="00C771BF"/>
    <w:rsid w:val="00C77417"/>
    <w:rsid w:val="00C77665"/>
    <w:rsid w:val="00C77805"/>
    <w:rsid w:val="00C77A7B"/>
    <w:rsid w:val="00C77C50"/>
    <w:rsid w:val="00C77C5C"/>
    <w:rsid w:val="00C77D20"/>
    <w:rsid w:val="00C77E82"/>
    <w:rsid w:val="00C77F01"/>
    <w:rsid w:val="00C80C08"/>
    <w:rsid w:val="00C80C5B"/>
    <w:rsid w:val="00C80FE2"/>
    <w:rsid w:val="00C812CF"/>
    <w:rsid w:val="00C8152E"/>
    <w:rsid w:val="00C8172F"/>
    <w:rsid w:val="00C81758"/>
    <w:rsid w:val="00C8185E"/>
    <w:rsid w:val="00C819A5"/>
    <w:rsid w:val="00C81AD3"/>
    <w:rsid w:val="00C81BF3"/>
    <w:rsid w:val="00C81CE0"/>
    <w:rsid w:val="00C82168"/>
    <w:rsid w:val="00C825C0"/>
    <w:rsid w:val="00C82DDD"/>
    <w:rsid w:val="00C831F9"/>
    <w:rsid w:val="00C83309"/>
    <w:rsid w:val="00C836B7"/>
    <w:rsid w:val="00C837A4"/>
    <w:rsid w:val="00C83B80"/>
    <w:rsid w:val="00C83D20"/>
    <w:rsid w:val="00C83E05"/>
    <w:rsid w:val="00C83E0D"/>
    <w:rsid w:val="00C84382"/>
    <w:rsid w:val="00C843FF"/>
    <w:rsid w:val="00C84690"/>
    <w:rsid w:val="00C846CE"/>
    <w:rsid w:val="00C8482D"/>
    <w:rsid w:val="00C8492C"/>
    <w:rsid w:val="00C84A74"/>
    <w:rsid w:val="00C84B4D"/>
    <w:rsid w:val="00C84BDE"/>
    <w:rsid w:val="00C84DEE"/>
    <w:rsid w:val="00C84E5F"/>
    <w:rsid w:val="00C84EEE"/>
    <w:rsid w:val="00C85218"/>
    <w:rsid w:val="00C85227"/>
    <w:rsid w:val="00C85685"/>
    <w:rsid w:val="00C85A27"/>
    <w:rsid w:val="00C85F32"/>
    <w:rsid w:val="00C85F58"/>
    <w:rsid w:val="00C85F8A"/>
    <w:rsid w:val="00C8673C"/>
    <w:rsid w:val="00C86748"/>
    <w:rsid w:val="00C86C20"/>
    <w:rsid w:val="00C86D05"/>
    <w:rsid w:val="00C86DE5"/>
    <w:rsid w:val="00C874BE"/>
    <w:rsid w:val="00C875D1"/>
    <w:rsid w:val="00C876A2"/>
    <w:rsid w:val="00C878C6"/>
    <w:rsid w:val="00C87A11"/>
    <w:rsid w:val="00C87A18"/>
    <w:rsid w:val="00C87F22"/>
    <w:rsid w:val="00C900F8"/>
    <w:rsid w:val="00C9014F"/>
    <w:rsid w:val="00C901EC"/>
    <w:rsid w:val="00C90309"/>
    <w:rsid w:val="00C90B6E"/>
    <w:rsid w:val="00C90C5F"/>
    <w:rsid w:val="00C90F6D"/>
    <w:rsid w:val="00C91086"/>
    <w:rsid w:val="00C911CE"/>
    <w:rsid w:val="00C911EF"/>
    <w:rsid w:val="00C9136B"/>
    <w:rsid w:val="00C91439"/>
    <w:rsid w:val="00C914F9"/>
    <w:rsid w:val="00C918E8"/>
    <w:rsid w:val="00C91D4D"/>
    <w:rsid w:val="00C91EA6"/>
    <w:rsid w:val="00C92015"/>
    <w:rsid w:val="00C9230F"/>
    <w:rsid w:val="00C925C4"/>
    <w:rsid w:val="00C92708"/>
    <w:rsid w:val="00C927E9"/>
    <w:rsid w:val="00C9298D"/>
    <w:rsid w:val="00C92DD2"/>
    <w:rsid w:val="00C92F35"/>
    <w:rsid w:val="00C93003"/>
    <w:rsid w:val="00C9322F"/>
    <w:rsid w:val="00C9330D"/>
    <w:rsid w:val="00C934B9"/>
    <w:rsid w:val="00C936BB"/>
    <w:rsid w:val="00C93748"/>
    <w:rsid w:val="00C93EA7"/>
    <w:rsid w:val="00C93FED"/>
    <w:rsid w:val="00C9408D"/>
    <w:rsid w:val="00C9415D"/>
    <w:rsid w:val="00C9484A"/>
    <w:rsid w:val="00C949E4"/>
    <w:rsid w:val="00C94EAE"/>
    <w:rsid w:val="00C955AA"/>
    <w:rsid w:val="00C95904"/>
    <w:rsid w:val="00C95DE0"/>
    <w:rsid w:val="00C96933"/>
    <w:rsid w:val="00C9697B"/>
    <w:rsid w:val="00C96D1D"/>
    <w:rsid w:val="00C96FE9"/>
    <w:rsid w:val="00C970A5"/>
    <w:rsid w:val="00C97169"/>
    <w:rsid w:val="00C972F2"/>
    <w:rsid w:val="00C97316"/>
    <w:rsid w:val="00C9746E"/>
    <w:rsid w:val="00C97C6A"/>
    <w:rsid w:val="00CA01A4"/>
    <w:rsid w:val="00CA03F3"/>
    <w:rsid w:val="00CA085D"/>
    <w:rsid w:val="00CA0936"/>
    <w:rsid w:val="00CA0E78"/>
    <w:rsid w:val="00CA169F"/>
    <w:rsid w:val="00CA1B5A"/>
    <w:rsid w:val="00CA1C94"/>
    <w:rsid w:val="00CA2115"/>
    <w:rsid w:val="00CA22CA"/>
    <w:rsid w:val="00CA24B6"/>
    <w:rsid w:val="00CA29A4"/>
    <w:rsid w:val="00CA2B4C"/>
    <w:rsid w:val="00CA2C56"/>
    <w:rsid w:val="00CA2DC6"/>
    <w:rsid w:val="00CA3A79"/>
    <w:rsid w:val="00CA3C6B"/>
    <w:rsid w:val="00CA3E22"/>
    <w:rsid w:val="00CA3E51"/>
    <w:rsid w:val="00CA4332"/>
    <w:rsid w:val="00CA48B7"/>
    <w:rsid w:val="00CA49EE"/>
    <w:rsid w:val="00CA4C10"/>
    <w:rsid w:val="00CA4C60"/>
    <w:rsid w:val="00CA4CBD"/>
    <w:rsid w:val="00CA4DCD"/>
    <w:rsid w:val="00CA572C"/>
    <w:rsid w:val="00CA57E3"/>
    <w:rsid w:val="00CA5CC6"/>
    <w:rsid w:val="00CA62C5"/>
    <w:rsid w:val="00CA6312"/>
    <w:rsid w:val="00CA6DA9"/>
    <w:rsid w:val="00CA72AC"/>
    <w:rsid w:val="00CA7376"/>
    <w:rsid w:val="00CA7424"/>
    <w:rsid w:val="00CB0278"/>
    <w:rsid w:val="00CB034B"/>
    <w:rsid w:val="00CB04F6"/>
    <w:rsid w:val="00CB0960"/>
    <w:rsid w:val="00CB0BAE"/>
    <w:rsid w:val="00CB0C1A"/>
    <w:rsid w:val="00CB0C32"/>
    <w:rsid w:val="00CB0E94"/>
    <w:rsid w:val="00CB0EBB"/>
    <w:rsid w:val="00CB16DF"/>
    <w:rsid w:val="00CB17AD"/>
    <w:rsid w:val="00CB17F2"/>
    <w:rsid w:val="00CB19B7"/>
    <w:rsid w:val="00CB19EE"/>
    <w:rsid w:val="00CB1AA3"/>
    <w:rsid w:val="00CB20DE"/>
    <w:rsid w:val="00CB2315"/>
    <w:rsid w:val="00CB2500"/>
    <w:rsid w:val="00CB26AF"/>
    <w:rsid w:val="00CB2923"/>
    <w:rsid w:val="00CB2A0D"/>
    <w:rsid w:val="00CB2DDF"/>
    <w:rsid w:val="00CB2EE9"/>
    <w:rsid w:val="00CB3081"/>
    <w:rsid w:val="00CB390A"/>
    <w:rsid w:val="00CB3ADF"/>
    <w:rsid w:val="00CB3D62"/>
    <w:rsid w:val="00CB3E59"/>
    <w:rsid w:val="00CB405D"/>
    <w:rsid w:val="00CB40CC"/>
    <w:rsid w:val="00CB432A"/>
    <w:rsid w:val="00CB436B"/>
    <w:rsid w:val="00CB4727"/>
    <w:rsid w:val="00CB4740"/>
    <w:rsid w:val="00CB4B60"/>
    <w:rsid w:val="00CB4BB6"/>
    <w:rsid w:val="00CB4C49"/>
    <w:rsid w:val="00CB4DF5"/>
    <w:rsid w:val="00CB4E4D"/>
    <w:rsid w:val="00CB4FCC"/>
    <w:rsid w:val="00CB5384"/>
    <w:rsid w:val="00CB5674"/>
    <w:rsid w:val="00CB5677"/>
    <w:rsid w:val="00CB58EB"/>
    <w:rsid w:val="00CB59AE"/>
    <w:rsid w:val="00CB5AFF"/>
    <w:rsid w:val="00CB5EC7"/>
    <w:rsid w:val="00CB5EEC"/>
    <w:rsid w:val="00CB613F"/>
    <w:rsid w:val="00CB6461"/>
    <w:rsid w:val="00CB6766"/>
    <w:rsid w:val="00CB6B51"/>
    <w:rsid w:val="00CB6B53"/>
    <w:rsid w:val="00CB7954"/>
    <w:rsid w:val="00CC0011"/>
    <w:rsid w:val="00CC0223"/>
    <w:rsid w:val="00CC068A"/>
    <w:rsid w:val="00CC06E2"/>
    <w:rsid w:val="00CC0A59"/>
    <w:rsid w:val="00CC0DB5"/>
    <w:rsid w:val="00CC1884"/>
    <w:rsid w:val="00CC197E"/>
    <w:rsid w:val="00CC1D82"/>
    <w:rsid w:val="00CC1EF7"/>
    <w:rsid w:val="00CC2229"/>
    <w:rsid w:val="00CC2790"/>
    <w:rsid w:val="00CC2B1D"/>
    <w:rsid w:val="00CC2BB0"/>
    <w:rsid w:val="00CC33F0"/>
    <w:rsid w:val="00CC3482"/>
    <w:rsid w:val="00CC362A"/>
    <w:rsid w:val="00CC373C"/>
    <w:rsid w:val="00CC391C"/>
    <w:rsid w:val="00CC3D31"/>
    <w:rsid w:val="00CC3F33"/>
    <w:rsid w:val="00CC4009"/>
    <w:rsid w:val="00CC4193"/>
    <w:rsid w:val="00CC43B8"/>
    <w:rsid w:val="00CC4A80"/>
    <w:rsid w:val="00CC4C0B"/>
    <w:rsid w:val="00CC4DBD"/>
    <w:rsid w:val="00CC4E63"/>
    <w:rsid w:val="00CC4E85"/>
    <w:rsid w:val="00CC558C"/>
    <w:rsid w:val="00CC57C1"/>
    <w:rsid w:val="00CC6D44"/>
    <w:rsid w:val="00CC6DE8"/>
    <w:rsid w:val="00CC7101"/>
    <w:rsid w:val="00CC745C"/>
    <w:rsid w:val="00CC75A4"/>
    <w:rsid w:val="00CD041A"/>
    <w:rsid w:val="00CD0563"/>
    <w:rsid w:val="00CD0680"/>
    <w:rsid w:val="00CD081A"/>
    <w:rsid w:val="00CD0CA5"/>
    <w:rsid w:val="00CD1486"/>
    <w:rsid w:val="00CD16FE"/>
    <w:rsid w:val="00CD1742"/>
    <w:rsid w:val="00CD1833"/>
    <w:rsid w:val="00CD18CD"/>
    <w:rsid w:val="00CD1A35"/>
    <w:rsid w:val="00CD204F"/>
    <w:rsid w:val="00CD2119"/>
    <w:rsid w:val="00CD21A4"/>
    <w:rsid w:val="00CD24D9"/>
    <w:rsid w:val="00CD25D9"/>
    <w:rsid w:val="00CD2BF3"/>
    <w:rsid w:val="00CD30A1"/>
    <w:rsid w:val="00CD3375"/>
    <w:rsid w:val="00CD3880"/>
    <w:rsid w:val="00CD399B"/>
    <w:rsid w:val="00CD3D34"/>
    <w:rsid w:val="00CD3E7A"/>
    <w:rsid w:val="00CD4344"/>
    <w:rsid w:val="00CD44DC"/>
    <w:rsid w:val="00CD4803"/>
    <w:rsid w:val="00CD4AAC"/>
    <w:rsid w:val="00CD4BE7"/>
    <w:rsid w:val="00CD4C36"/>
    <w:rsid w:val="00CD4E94"/>
    <w:rsid w:val="00CD5378"/>
    <w:rsid w:val="00CD56A0"/>
    <w:rsid w:val="00CD603F"/>
    <w:rsid w:val="00CD619A"/>
    <w:rsid w:val="00CD64D9"/>
    <w:rsid w:val="00CD64EB"/>
    <w:rsid w:val="00CD6546"/>
    <w:rsid w:val="00CD7170"/>
    <w:rsid w:val="00CD7249"/>
    <w:rsid w:val="00CD7556"/>
    <w:rsid w:val="00CD75F9"/>
    <w:rsid w:val="00CD77B3"/>
    <w:rsid w:val="00CD781A"/>
    <w:rsid w:val="00CD7AA7"/>
    <w:rsid w:val="00CD7CD5"/>
    <w:rsid w:val="00CE00E7"/>
    <w:rsid w:val="00CE042C"/>
    <w:rsid w:val="00CE052F"/>
    <w:rsid w:val="00CE09D9"/>
    <w:rsid w:val="00CE11C7"/>
    <w:rsid w:val="00CE1422"/>
    <w:rsid w:val="00CE154D"/>
    <w:rsid w:val="00CE1B51"/>
    <w:rsid w:val="00CE1E9A"/>
    <w:rsid w:val="00CE1F69"/>
    <w:rsid w:val="00CE215E"/>
    <w:rsid w:val="00CE23FE"/>
    <w:rsid w:val="00CE2A67"/>
    <w:rsid w:val="00CE2B46"/>
    <w:rsid w:val="00CE2D72"/>
    <w:rsid w:val="00CE348F"/>
    <w:rsid w:val="00CE3948"/>
    <w:rsid w:val="00CE3B6A"/>
    <w:rsid w:val="00CE413D"/>
    <w:rsid w:val="00CE41CF"/>
    <w:rsid w:val="00CE45AE"/>
    <w:rsid w:val="00CE4734"/>
    <w:rsid w:val="00CE47EF"/>
    <w:rsid w:val="00CE500F"/>
    <w:rsid w:val="00CE5096"/>
    <w:rsid w:val="00CE566B"/>
    <w:rsid w:val="00CE5917"/>
    <w:rsid w:val="00CE59C4"/>
    <w:rsid w:val="00CE5D9B"/>
    <w:rsid w:val="00CE68A4"/>
    <w:rsid w:val="00CE693B"/>
    <w:rsid w:val="00CE6D81"/>
    <w:rsid w:val="00CE760C"/>
    <w:rsid w:val="00CE784A"/>
    <w:rsid w:val="00CF03F3"/>
    <w:rsid w:val="00CF063C"/>
    <w:rsid w:val="00CF0B81"/>
    <w:rsid w:val="00CF100A"/>
    <w:rsid w:val="00CF1353"/>
    <w:rsid w:val="00CF1957"/>
    <w:rsid w:val="00CF199F"/>
    <w:rsid w:val="00CF1BF2"/>
    <w:rsid w:val="00CF201D"/>
    <w:rsid w:val="00CF272A"/>
    <w:rsid w:val="00CF27E7"/>
    <w:rsid w:val="00CF2BFA"/>
    <w:rsid w:val="00CF2C2C"/>
    <w:rsid w:val="00CF3002"/>
    <w:rsid w:val="00CF3304"/>
    <w:rsid w:val="00CF340F"/>
    <w:rsid w:val="00CF3478"/>
    <w:rsid w:val="00CF3C54"/>
    <w:rsid w:val="00CF3C94"/>
    <w:rsid w:val="00CF3D84"/>
    <w:rsid w:val="00CF423E"/>
    <w:rsid w:val="00CF505A"/>
    <w:rsid w:val="00CF50E9"/>
    <w:rsid w:val="00CF531A"/>
    <w:rsid w:val="00CF540F"/>
    <w:rsid w:val="00CF6128"/>
    <w:rsid w:val="00CF643E"/>
    <w:rsid w:val="00CF6502"/>
    <w:rsid w:val="00CF654C"/>
    <w:rsid w:val="00CF68DC"/>
    <w:rsid w:val="00CF70CD"/>
    <w:rsid w:val="00CF73E2"/>
    <w:rsid w:val="00CF7821"/>
    <w:rsid w:val="00CF7FD6"/>
    <w:rsid w:val="00D003DE"/>
    <w:rsid w:val="00D00653"/>
    <w:rsid w:val="00D007BD"/>
    <w:rsid w:val="00D008BD"/>
    <w:rsid w:val="00D00970"/>
    <w:rsid w:val="00D00FCC"/>
    <w:rsid w:val="00D013F2"/>
    <w:rsid w:val="00D015C3"/>
    <w:rsid w:val="00D01886"/>
    <w:rsid w:val="00D0198E"/>
    <w:rsid w:val="00D019F6"/>
    <w:rsid w:val="00D01CDA"/>
    <w:rsid w:val="00D02214"/>
    <w:rsid w:val="00D02240"/>
    <w:rsid w:val="00D022C1"/>
    <w:rsid w:val="00D02313"/>
    <w:rsid w:val="00D0240B"/>
    <w:rsid w:val="00D02A5A"/>
    <w:rsid w:val="00D02DE3"/>
    <w:rsid w:val="00D030A4"/>
    <w:rsid w:val="00D03196"/>
    <w:rsid w:val="00D035F8"/>
    <w:rsid w:val="00D03613"/>
    <w:rsid w:val="00D03E5D"/>
    <w:rsid w:val="00D045CF"/>
    <w:rsid w:val="00D047ED"/>
    <w:rsid w:val="00D04871"/>
    <w:rsid w:val="00D049DE"/>
    <w:rsid w:val="00D04E34"/>
    <w:rsid w:val="00D04F6F"/>
    <w:rsid w:val="00D0501A"/>
    <w:rsid w:val="00D05746"/>
    <w:rsid w:val="00D05780"/>
    <w:rsid w:val="00D05847"/>
    <w:rsid w:val="00D05D18"/>
    <w:rsid w:val="00D05E9A"/>
    <w:rsid w:val="00D061FF"/>
    <w:rsid w:val="00D068C8"/>
    <w:rsid w:val="00D06D1D"/>
    <w:rsid w:val="00D075BD"/>
    <w:rsid w:val="00D0791C"/>
    <w:rsid w:val="00D07C1E"/>
    <w:rsid w:val="00D07CDB"/>
    <w:rsid w:val="00D07FDF"/>
    <w:rsid w:val="00D10237"/>
    <w:rsid w:val="00D103F0"/>
    <w:rsid w:val="00D1056F"/>
    <w:rsid w:val="00D10623"/>
    <w:rsid w:val="00D109DE"/>
    <w:rsid w:val="00D10A1E"/>
    <w:rsid w:val="00D10C2C"/>
    <w:rsid w:val="00D10DEA"/>
    <w:rsid w:val="00D11053"/>
    <w:rsid w:val="00D1131D"/>
    <w:rsid w:val="00D11735"/>
    <w:rsid w:val="00D1183B"/>
    <w:rsid w:val="00D119DC"/>
    <w:rsid w:val="00D11BE3"/>
    <w:rsid w:val="00D11C49"/>
    <w:rsid w:val="00D12427"/>
    <w:rsid w:val="00D124EA"/>
    <w:rsid w:val="00D125D2"/>
    <w:rsid w:val="00D12BE1"/>
    <w:rsid w:val="00D12CEB"/>
    <w:rsid w:val="00D12E8B"/>
    <w:rsid w:val="00D1350D"/>
    <w:rsid w:val="00D1354A"/>
    <w:rsid w:val="00D13778"/>
    <w:rsid w:val="00D13A0F"/>
    <w:rsid w:val="00D13AE8"/>
    <w:rsid w:val="00D14019"/>
    <w:rsid w:val="00D140EC"/>
    <w:rsid w:val="00D14210"/>
    <w:rsid w:val="00D14A9C"/>
    <w:rsid w:val="00D14D3E"/>
    <w:rsid w:val="00D14DD7"/>
    <w:rsid w:val="00D14F91"/>
    <w:rsid w:val="00D14FFF"/>
    <w:rsid w:val="00D157BD"/>
    <w:rsid w:val="00D1586E"/>
    <w:rsid w:val="00D15B49"/>
    <w:rsid w:val="00D15D85"/>
    <w:rsid w:val="00D15E65"/>
    <w:rsid w:val="00D15EC7"/>
    <w:rsid w:val="00D160E0"/>
    <w:rsid w:val="00D162CC"/>
    <w:rsid w:val="00D166DB"/>
    <w:rsid w:val="00D166F5"/>
    <w:rsid w:val="00D16A29"/>
    <w:rsid w:val="00D170BC"/>
    <w:rsid w:val="00D175C4"/>
    <w:rsid w:val="00D17757"/>
    <w:rsid w:val="00D179E6"/>
    <w:rsid w:val="00D179EC"/>
    <w:rsid w:val="00D17B7D"/>
    <w:rsid w:val="00D17C34"/>
    <w:rsid w:val="00D17E6E"/>
    <w:rsid w:val="00D20377"/>
    <w:rsid w:val="00D2053F"/>
    <w:rsid w:val="00D20C4B"/>
    <w:rsid w:val="00D20ECD"/>
    <w:rsid w:val="00D2121D"/>
    <w:rsid w:val="00D21532"/>
    <w:rsid w:val="00D21671"/>
    <w:rsid w:val="00D217E1"/>
    <w:rsid w:val="00D218E1"/>
    <w:rsid w:val="00D21DCE"/>
    <w:rsid w:val="00D220F5"/>
    <w:rsid w:val="00D22209"/>
    <w:rsid w:val="00D222A1"/>
    <w:rsid w:val="00D22468"/>
    <w:rsid w:val="00D224B4"/>
    <w:rsid w:val="00D2264F"/>
    <w:rsid w:val="00D227C2"/>
    <w:rsid w:val="00D229C7"/>
    <w:rsid w:val="00D23343"/>
    <w:rsid w:val="00D23480"/>
    <w:rsid w:val="00D235C5"/>
    <w:rsid w:val="00D235CB"/>
    <w:rsid w:val="00D235D2"/>
    <w:rsid w:val="00D236A5"/>
    <w:rsid w:val="00D23746"/>
    <w:rsid w:val="00D24407"/>
    <w:rsid w:val="00D24576"/>
    <w:rsid w:val="00D24844"/>
    <w:rsid w:val="00D248A1"/>
    <w:rsid w:val="00D2490F"/>
    <w:rsid w:val="00D24B67"/>
    <w:rsid w:val="00D24C77"/>
    <w:rsid w:val="00D24CBF"/>
    <w:rsid w:val="00D250DB"/>
    <w:rsid w:val="00D251BA"/>
    <w:rsid w:val="00D25635"/>
    <w:rsid w:val="00D260DC"/>
    <w:rsid w:val="00D26108"/>
    <w:rsid w:val="00D26468"/>
    <w:rsid w:val="00D2685B"/>
    <w:rsid w:val="00D26B78"/>
    <w:rsid w:val="00D2727A"/>
    <w:rsid w:val="00D2748F"/>
    <w:rsid w:val="00D275B6"/>
    <w:rsid w:val="00D2798A"/>
    <w:rsid w:val="00D27AD7"/>
    <w:rsid w:val="00D27C0B"/>
    <w:rsid w:val="00D301DD"/>
    <w:rsid w:val="00D30234"/>
    <w:rsid w:val="00D30684"/>
    <w:rsid w:val="00D30D24"/>
    <w:rsid w:val="00D311A0"/>
    <w:rsid w:val="00D31433"/>
    <w:rsid w:val="00D314A9"/>
    <w:rsid w:val="00D3185A"/>
    <w:rsid w:val="00D31865"/>
    <w:rsid w:val="00D319C7"/>
    <w:rsid w:val="00D31CED"/>
    <w:rsid w:val="00D31D49"/>
    <w:rsid w:val="00D31ED8"/>
    <w:rsid w:val="00D3237D"/>
    <w:rsid w:val="00D32517"/>
    <w:rsid w:val="00D32BE8"/>
    <w:rsid w:val="00D32C0C"/>
    <w:rsid w:val="00D32C69"/>
    <w:rsid w:val="00D32C75"/>
    <w:rsid w:val="00D3332B"/>
    <w:rsid w:val="00D33429"/>
    <w:rsid w:val="00D334BA"/>
    <w:rsid w:val="00D338E6"/>
    <w:rsid w:val="00D33FEA"/>
    <w:rsid w:val="00D3402F"/>
    <w:rsid w:val="00D3443C"/>
    <w:rsid w:val="00D34BAF"/>
    <w:rsid w:val="00D34D38"/>
    <w:rsid w:val="00D34F98"/>
    <w:rsid w:val="00D34FDA"/>
    <w:rsid w:val="00D35010"/>
    <w:rsid w:val="00D35130"/>
    <w:rsid w:val="00D3526F"/>
    <w:rsid w:val="00D35270"/>
    <w:rsid w:val="00D3545E"/>
    <w:rsid w:val="00D35624"/>
    <w:rsid w:val="00D356E5"/>
    <w:rsid w:val="00D35CFA"/>
    <w:rsid w:val="00D35EE5"/>
    <w:rsid w:val="00D36238"/>
    <w:rsid w:val="00D363D8"/>
    <w:rsid w:val="00D3642A"/>
    <w:rsid w:val="00D364B7"/>
    <w:rsid w:val="00D364DE"/>
    <w:rsid w:val="00D36D56"/>
    <w:rsid w:val="00D36E58"/>
    <w:rsid w:val="00D3753A"/>
    <w:rsid w:val="00D376C8"/>
    <w:rsid w:val="00D37739"/>
    <w:rsid w:val="00D37744"/>
    <w:rsid w:val="00D3778F"/>
    <w:rsid w:val="00D37807"/>
    <w:rsid w:val="00D37F5F"/>
    <w:rsid w:val="00D402F0"/>
    <w:rsid w:val="00D405D4"/>
    <w:rsid w:val="00D40D1A"/>
    <w:rsid w:val="00D412C5"/>
    <w:rsid w:val="00D4176E"/>
    <w:rsid w:val="00D41F71"/>
    <w:rsid w:val="00D42333"/>
    <w:rsid w:val="00D4287B"/>
    <w:rsid w:val="00D428C9"/>
    <w:rsid w:val="00D42914"/>
    <w:rsid w:val="00D42A66"/>
    <w:rsid w:val="00D42DAD"/>
    <w:rsid w:val="00D43089"/>
    <w:rsid w:val="00D43340"/>
    <w:rsid w:val="00D4374C"/>
    <w:rsid w:val="00D438EE"/>
    <w:rsid w:val="00D43DE6"/>
    <w:rsid w:val="00D43E79"/>
    <w:rsid w:val="00D441D7"/>
    <w:rsid w:val="00D4456D"/>
    <w:rsid w:val="00D448F8"/>
    <w:rsid w:val="00D44A0F"/>
    <w:rsid w:val="00D452E0"/>
    <w:rsid w:val="00D454A7"/>
    <w:rsid w:val="00D4554F"/>
    <w:rsid w:val="00D45565"/>
    <w:rsid w:val="00D455AF"/>
    <w:rsid w:val="00D456C2"/>
    <w:rsid w:val="00D45AA1"/>
    <w:rsid w:val="00D45BCF"/>
    <w:rsid w:val="00D45FBB"/>
    <w:rsid w:val="00D45FCA"/>
    <w:rsid w:val="00D461C4"/>
    <w:rsid w:val="00D4640F"/>
    <w:rsid w:val="00D46592"/>
    <w:rsid w:val="00D46784"/>
    <w:rsid w:val="00D46DCA"/>
    <w:rsid w:val="00D46F1E"/>
    <w:rsid w:val="00D4714F"/>
    <w:rsid w:val="00D4728E"/>
    <w:rsid w:val="00D4771E"/>
    <w:rsid w:val="00D4777C"/>
    <w:rsid w:val="00D477ED"/>
    <w:rsid w:val="00D47CA5"/>
    <w:rsid w:val="00D47F9A"/>
    <w:rsid w:val="00D50123"/>
    <w:rsid w:val="00D505D6"/>
    <w:rsid w:val="00D5067E"/>
    <w:rsid w:val="00D50D06"/>
    <w:rsid w:val="00D50D7E"/>
    <w:rsid w:val="00D50F8F"/>
    <w:rsid w:val="00D51194"/>
    <w:rsid w:val="00D511F4"/>
    <w:rsid w:val="00D5123D"/>
    <w:rsid w:val="00D512CE"/>
    <w:rsid w:val="00D5149E"/>
    <w:rsid w:val="00D5158E"/>
    <w:rsid w:val="00D51A9F"/>
    <w:rsid w:val="00D51AFF"/>
    <w:rsid w:val="00D51C3D"/>
    <w:rsid w:val="00D51CD6"/>
    <w:rsid w:val="00D522CD"/>
    <w:rsid w:val="00D52A25"/>
    <w:rsid w:val="00D52CD6"/>
    <w:rsid w:val="00D52D1A"/>
    <w:rsid w:val="00D52D49"/>
    <w:rsid w:val="00D52DB7"/>
    <w:rsid w:val="00D52E74"/>
    <w:rsid w:val="00D54081"/>
    <w:rsid w:val="00D5429F"/>
    <w:rsid w:val="00D542E6"/>
    <w:rsid w:val="00D544ED"/>
    <w:rsid w:val="00D547EE"/>
    <w:rsid w:val="00D5489B"/>
    <w:rsid w:val="00D54C3C"/>
    <w:rsid w:val="00D54D46"/>
    <w:rsid w:val="00D54E7D"/>
    <w:rsid w:val="00D54EEF"/>
    <w:rsid w:val="00D55273"/>
    <w:rsid w:val="00D55367"/>
    <w:rsid w:val="00D55444"/>
    <w:rsid w:val="00D5571D"/>
    <w:rsid w:val="00D55E49"/>
    <w:rsid w:val="00D55F1F"/>
    <w:rsid w:val="00D5638A"/>
    <w:rsid w:val="00D5680E"/>
    <w:rsid w:val="00D56939"/>
    <w:rsid w:val="00D56B1E"/>
    <w:rsid w:val="00D56B6A"/>
    <w:rsid w:val="00D56C4B"/>
    <w:rsid w:val="00D56DCA"/>
    <w:rsid w:val="00D56FB7"/>
    <w:rsid w:val="00D570EB"/>
    <w:rsid w:val="00D5748A"/>
    <w:rsid w:val="00D5775A"/>
    <w:rsid w:val="00D577A0"/>
    <w:rsid w:val="00D577DF"/>
    <w:rsid w:val="00D5798C"/>
    <w:rsid w:val="00D57D1D"/>
    <w:rsid w:val="00D57E2D"/>
    <w:rsid w:val="00D60529"/>
    <w:rsid w:val="00D605F9"/>
    <w:rsid w:val="00D606CB"/>
    <w:rsid w:val="00D607F0"/>
    <w:rsid w:val="00D60FB7"/>
    <w:rsid w:val="00D612BA"/>
    <w:rsid w:val="00D6140A"/>
    <w:rsid w:val="00D614C2"/>
    <w:rsid w:val="00D61777"/>
    <w:rsid w:val="00D61A8B"/>
    <w:rsid w:val="00D61E41"/>
    <w:rsid w:val="00D61F13"/>
    <w:rsid w:val="00D61F65"/>
    <w:rsid w:val="00D620B7"/>
    <w:rsid w:val="00D6214F"/>
    <w:rsid w:val="00D62760"/>
    <w:rsid w:val="00D62906"/>
    <w:rsid w:val="00D62ADF"/>
    <w:rsid w:val="00D62CAF"/>
    <w:rsid w:val="00D62FF0"/>
    <w:rsid w:val="00D63525"/>
    <w:rsid w:val="00D639C1"/>
    <w:rsid w:val="00D63E10"/>
    <w:rsid w:val="00D63E2B"/>
    <w:rsid w:val="00D6415E"/>
    <w:rsid w:val="00D646C3"/>
    <w:rsid w:val="00D65005"/>
    <w:rsid w:val="00D65134"/>
    <w:rsid w:val="00D656EE"/>
    <w:rsid w:val="00D6599A"/>
    <w:rsid w:val="00D65B9B"/>
    <w:rsid w:val="00D6617E"/>
    <w:rsid w:val="00D66831"/>
    <w:rsid w:val="00D66ABB"/>
    <w:rsid w:val="00D66E0F"/>
    <w:rsid w:val="00D66F53"/>
    <w:rsid w:val="00D66FDE"/>
    <w:rsid w:val="00D67436"/>
    <w:rsid w:val="00D67808"/>
    <w:rsid w:val="00D679BB"/>
    <w:rsid w:val="00D67B69"/>
    <w:rsid w:val="00D67B86"/>
    <w:rsid w:val="00D67BAC"/>
    <w:rsid w:val="00D67D60"/>
    <w:rsid w:val="00D67E17"/>
    <w:rsid w:val="00D67F1E"/>
    <w:rsid w:val="00D70292"/>
    <w:rsid w:val="00D70297"/>
    <w:rsid w:val="00D702B3"/>
    <w:rsid w:val="00D704AC"/>
    <w:rsid w:val="00D706F8"/>
    <w:rsid w:val="00D70CE0"/>
    <w:rsid w:val="00D70CF5"/>
    <w:rsid w:val="00D712E4"/>
    <w:rsid w:val="00D71948"/>
    <w:rsid w:val="00D719B6"/>
    <w:rsid w:val="00D719F3"/>
    <w:rsid w:val="00D71E2E"/>
    <w:rsid w:val="00D71F97"/>
    <w:rsid w:val="00D7250C"/>
    <w:rsid w:val="00D726F6"/>
    <w:rsid w:val="00D727AD"/>
    <w:rsid w:val="00D72BFE"/>
    <w:rsid w:val="00D736EE"/>
    <w:rsid w:val="00D73A42"/>
    <w:rsid w:val="00D73E04"/>
    <w:rsid w:val="00D73F83"/>
    <w:rsid w:val="00D74033"/>
    <w:rsid w:val="00D7423F"/>
    <w:rsid w:val="00D74298"/>
    <w:rsid w:val="00D748E0"/>
    <w:rsid w:val="00D74963"/>
    <w:rsid w:val="00D74A09"/>
    <w:rsid w:val="00D74A70"/>
    <w:rsid w:val="00D74B04"/>
    <w:rsid w:val="00D74BCD"/>
    <w:rsid w:val="00D74E9F"/>
    <w:rsid w:val="00D755AB"/>
    <w:rsid w:val="00D757F4"/>
    <w:rsid w:val="00D75E28"/>
    <w:rsid w:val="00D760BB"/>
    <w:rsid w:val="00D7617B"/>
    <w:rsid w:val="00D761CF"/>
    <w:rsid w:val="00D763D3"/>
    <w:rsid w:val="00D7672B"/>
    <w:rsid w:val="00D771A4"/>
    <w:rsid w:val="00D772CC"/>
    <w:rsid w:val="00D77378"/>
    <w:rsid w:val="00D7742C"/>
    <w:rsid w:val="00D77934"/>
    <w:rsid w:val="00D779B5"/>
    <w:rsid w:val="00D77B05"/>
    <w:rsid w:val="00D77E15"/>
    <w:rsid w:val="00D80048"/>
    <w:rsid w:val="00D802EB"/>
    <w:rsid w:val="00D80477"/>
    <w:rsid w:val="00D806E0"/>
    <w:rsid w:val="00D80903"/>
    <w:rsid w:val="00D80AB5"/>
    <w:rsid w:val="00D8108B"/>
    <w:rsid w:val="00D81179"/>
    <w:rsid w:val="00D816C3"/>
    <w:rsid w:val="00D8196C"/>
    <w:rsid w:val="00D8263D"/>
    <w:rsid w:val="00D826BA"/>
    <w:rsid w:val="00D8283E"/>
    <w:rsid w:val="00D829C4"/>
    <w:rsid w:val="00D82ACD"/>
    <w:rsid w:val="00D82C40"/>
    <w:rsid w:val="00D82CB1"/>
    <w:rsid w:val="00D82E64"/>
    <w:rsid w:val="00D8323D"/>
    <w:rsid w:val="00D835E5"/>
    <w:rsid w:val="00D83837"/>
    <w:rsid w:val="00D83A6F"/>
    <w:rsid w:val="00D83B7A"/>
    <w:rsid w:val="00D83D5E"/>
    <w:rsid w:val="00D84FE0"/>
    <w:rsid w:val="00D850A5"/>
    <w:rsid w:val="00D8544F"/>
    <w:rsid w:val="00D85608"/>
    <w:rsid w:val="00D857D0"/>
    <w:rsid w:val="00D861E6"/>
    <w:rsid w:val="00D867C4"/>
    <w:rsid w:val="00D86EAB"/>
    <w:rsid w:val="00D86FF8"/>
    <w:rsid w:val="00D87266"/>
    <w:rsid w:val="00D87429"/>
    <w:rsid w:val="00D87D4F"/>
    <w:rsid w:val="00D9006A"/>
    <w:rsid w:val="00D902D5"/>
    <w:rsid w:val="00D90371"/>
    <w:rsid w:val="00D90598"/>
    <w:rsid w:val="00D9076C"/>
    <w:rsid w:val="00D907BA"/>
    <w:rsid w:val="00D90A26"/>
    <w:rsid w:val="00D90BC4"/>
    <w:rsid w:val="00D91084"/>
    <w:rsid w:val="00D912E7"/>
    <w:rsid w:val="00D91768"/>
    <w:rsid w:val="00D918EC"/>
    <w:rsid w:val="00D91931"/>
    <w:rsid w:val="00D91C66"/>
    <w:rsid w:val="00D91C97"/>
    <w:rsid w:val="00D920EB"/>
    <w:rsid w:val="00D922A8"/>
    <w:rsid w:val="00D92854"/>
    <w:rsid w:val="00D92C37"/>
    <w:rsid w:val="00D92F80"/>
    <w:rsid w:val="00D931A7"/>
    <w:rsid w:val="00D934B1"/>
    <w:rsid w:val="00D93548"/>
    <w:rsid w:val="00D93657"/>
    <w:rsid w:val="00D936D9"/>
    <w:rsid w:val="00D93943"/>
    <w:rsid w:val="00D93961"/>
    <w:rsid w:val="00D93F4E"/>
    <w:rsid w:val="00D940DB"/>
    <w:rsid w:val="00D94370"/>
    <w:rsid w:val="00D94462"/>
    <w:rsid w:val="00D944EA"/>
    <w:rsid w:val="00D9461C"/>
    <w:rsid w:val="00D94764"/>
    <w:rsid w:val="00D94AF6"/>
    <w:rsid w:val="00D94C74"/>
    <w:rsid w:val="00D94FCE"/>
    <w:rsid w:val="00D952F7"/>
    <w:rsid w:val="00D95477"/>
    <w:rsid w:val="00D957AB"/>
    <w:rsid w:val="00D959C4"/>
    <w:rsid w:val="00D95AD0"/>
    <w:rsid w:val="00D95C9C"/>
    <w:rsid w:val="00D962C6"/>
    <w:rsid w:val="00D9688E"/>
    <w:rsid w:val="00D96E5D"/>
    <w:rsid w:val="00D96FD9"/>
    <w:rsid w:val="00D970A3"/>
    <w:rsid w:val="00D970D3"/>
    <w:rsid w:val="00D9711F"/>
    <w:rsid w:val="00D97440"/>
    <w:rsid w:val="00D97454"/>
    <w:rsid w:val="00D97638"/>
    <w:rsid w:val="00D978C6"/>
    <w:rsid w:val="00D97DEF"/>
    <w:rsid w:val="00D97F71"/>
    <w:rsid w:val="00DA04E7"/>
    <w:rsid w:val="00DA087F"/>
    <w:rsid w:val="00DA1220"/>
    <w:rsid w:val="00DA1A21"/>
    <w:rsid w:val="00DA1CBC"/>
    <w:rsid w:val="00DA23D9"/>
    <w:rsid w:val="00DA24FF"/>
    <w:rsid w:val="00DA271F"/>
    <w:rsid w:val="00DA2AFE"/>
    <w:rsid w:val="00DA2BF5"/>
    <w:rsid w:val="00DA2EA3"/>
    <w:rsid w:val="00DA2ECA"/>
    <w:rsid w:val="00DA35E4"/>
    <w:rsid w:val="00DA37E8"/>
    <w:rsid w:val="00DA3820"/>
    <w:rsid w:val="00DA3A0C"/>
    <w:rsid w:val="00DA3E4E"/>
    <w:rsid w:val="00DA3FAD"/>
    <w:rsid w:val="00DA3FD5"/>
    <w:rsid w:val="00DA44C5"/>
    <w:rsid w:val="00DA45BB"/>
    <w:rsid w:val="00DA46F5"/>
    <w:rsid w:val="00DA4B3B"/>
    <w:rsid w:val="00DA4B60"/>
    <w:rsid w:val="00DA4E31"/>
    <w:rsid w:val="00DA50C7"/>
    <w:rsid w:val="00DA514D"/>
    <w:rsid w:val="00DA591D"/>
    <w:rsid w:val="00DA5998"/>
    <w:rsid w:val="00DA5B50"/>
    <w:rsid w:val="00DA5D57"/>
    <w:rsid w:val="00DA5DBF"/>
    <w:rsid w:val="00DA600D"/>
    <w:rsid w:val="00DA6167"/>
    <w:rsid w:val="00DA6726"/>
    <w:rsid w:val="00DA68CF"/>
    <w:rsid w:val="00DA6C72"/>
    <w:rsid w:val="00DA71D1"/>
    <w:rsid w:val="00DA7575"/>
    <w:rsid w:val="00DA7860"/>
    <w:rsid w:val="00DA78A9"/>
    <w:rsid w:val="00DA793B"/>
    <w:rsid w:val="00DA7D25"/>
    <w:rsid w:val="00DA7E74"/>
    <w:rsid w:val="00DB0014"/>
    <w:rsid w:val="00DB012E"/>
    <w:rsid w:val="00DB068F"/>
    <w:rsid w:val="00DB0A4D"/>
    <w:rsid w:val="00DB0AD3"/>
    <w:rsid w:val="00DB0C72"/>
    <w:rsid w:val="00DB0D3C"/>
    <w:rsid w:val="00DB12CB"/>
    <w:rsid w:val="00DB14CE"/>
    <w:rsid w:val="00DB1597"/>
    <w:rsid w:val="00DB1849"/>
    <w:rsid w:val="00DB1DDF"/>
    <w:rsid w:val="00DB202E"/>
    <w:rsid w:val="00DB2035"/>
    <w:rsid w:val="00DB223B"/>
    <w:rsid w:val="00DB23DD"/>
    <w:rsid w:val="00DB298D"/>
    <w:rsid w:val="00DB2B2C"/>
    <w:rsid w:val="00DB2B3C"/>
    <w:rsid w:val="00DB2B55"/>
    <w:rsid w:val="00DB3295"/>
    <w:rsid w:val="00DB3348"/>
    <w:rsid w:val="00DB33F5"/>
    <w:rsid w:val="00DB3878"/>
    <w:rsid w:val="00DB3B5C"/>
    <w:rsid w:val="00DB3FFD"/>
    <w:rsid w:val="00DB40CE"/>
    <w:rsid w:val="00DB43E7"/>
    <w:rsid w:val="00DB45A6"/>
    <w:rsid w:val="00DB47AE"/>
    <w:rsid w:val="00DB47ED"/>
    <w:rsid w:val="00DB494E"/>
    <w:rsid w:val="00DB4AC1"/>
    <w:rsid w:val="00DB4B4C"/>
    <w:rsid w:val="00DB4BBD"/>
    <w:rsid w:val="00DB4D7C"/>
    <w:rsid w:val="00DB5608"/>
    <w:rsid w:val="00DB5764"/>
    <w:rsid w:val="00DB5C71"/>
    <w:rsid w:val="00DB5DD4"/>
    <w:rsid w:val="00DB612E"/>
    <w:rsid w:val="00DB6399"/>
    <w:rsid w:val="00DB6A0B"/>
    <w:rsid w:val="00DB6D5F"/>
    <w:rsid w:val="00DB71A4"/>
    <w:rsid w:val="00DB7299"/>
    <w:rsid w:val="00DB7664"/>
    <w:rsid w:val="00DB7718"/>
    <w:rsid w:val="00DB7A24"/>
    <w:rsid w:val="00DB7A64"/>
    <w:rsid w:val="00DB7F18"/>
    <w:rsid w:val="00DB7FE7"/>
    <w:rsid w:val="00DC016D"/>
    <w:rsid w:val="00DC0696"/>
    <w:rsid w:val="00DC1495"/>
    <w:rsid w:val="00DC17AC"/>
    <w:rsid w:val="00DC1807"/>
    <w:rsid w:val="00DC1A99"/>
    <w:rsid w:val="00DC234F"/>
    <w:rsid w:val="00DC2463"/>
    <w:rsid w:val="00DC2543"/>
    <w:rsid w:val="00DC25D6"/>
    <w:rsid w:val="00DC290B"/>
    <w:rsid w:val="00DC2C6A"/>
    <w:rsid w:val="00DC2D56"/>
    <w:rsid w:val="00DC2E60"/>
    <w:rsid w:val="00DC2F52"/>
    <w:rsid w:val="00DC3FB3"/>
    <w:rsid w:val="00DC466F"/>
    <w:rsid w:val="00DC4760"/>
    <w:rsid w:val="00DC489C"/>
    <w:rsid w:val="00DC49F4"/>
    <w:rsid w:val="00DC4B6C"/>
    <w:rsid w:val="00DC4BA2"/>
    <w:rsid w:val="00DC4C7F"/>
    <w:rsid w:val="00DC4E15"/>
    <w:rsid w:val="00DC5244"/>
    <w:rsid w:val="00DC58AE"/>
    <w:rsid w:val="00DC60BB"/>
    <w:rsid w:val="00DC659B"/>
    <w:rsid w:val="00DC67CE"/>
    <w:rsid w:val="00DC6BC1"/>
    <w:rsid w:val="00DC6CE3"/>
    <w:rsid w:val="00DC6E8E"/>
    <w:rsid w:val="00DC740F"/>
    <w:rsid w:val="00DC7539"/>
    <w:rsid w:val="00DC7907"/>
    <w:rsid w:val="00DC790E"/>
    <w:rsid w:val="00DC7996"/>
    <w:rsid w:val="00DC7BDD"/>
    <w:rsid w:val="00DC7DB1"/>
    <w:rsid w:val="00DD0722"/>
    <w:rsid w:val="00DD1168"/>
    <w:rsid w:val="00DD1921"/>
    <w:rsid w:val="00DD1949"/>
    <w:rsid w:val="00DD1C92"/>
    <w:rsid w:val="00DD1E37"/>
    <w:rsid w:val="00DD1ECC"/>
    <w:rsid w:val="00DD207E"/>
    <w:rsid w:val="00DD221D"/>
    <w:rsid w:val="00DD2242"/>
    <w:rsid w:val="00DD2397"/>
    <w:rsid w:val="00DD282D"/>
    <w:rsid w:val="00DD2991"/>
    <w:rsid w:val="00DD2C89"/>
    <w:rsid w:val="00DD30CA"/>
    <w:rsid w:val="00DD30E9"/>
    <w:rsid w:val="00DD3182"/>
    <w:rsid w:val="00DD3274"/>
    <w:rsid w:val="00DD36AE"/>
    <w:rsid w:val="00DD3980"/>
    <w:rsid w:val="00DD3BB3"/>
    <w:rsid w:val="00DD41A3"/>
    <w:rsid w:val="00DD42A1"/>
    <w:rsid w:val="00DD42A3"/>
    <w:rsid w:val="00DD447D"/>
    <w:rsid w:val="00DD4682"/>
    <w:rsid w:val="00DD4749"/>
    <w:rsid w:val="00DD4D68"/>
    <w:rsid w:val="00DD52EC"/>
    <w:rsid w:val="00DD5934"/>
    <w:rsid w:val="00DD5B1C"/>
    <w:rsid w:val="00DD5E4C"/>
    <w:rsid w:val="00DD5F51"/>
    <w:rsid w:val="00DD6798"/>
    <w:rsid w:val="00DD6FC9"/>
    <w:rsid w:val="00DD70AA"/>
    <w:rsid w:val="00DD73BE"/>
    <w:rsid w:val="00DD77E7"/>
    <w:rsid w:val="00DD7924"/>
    <w:rsid w:val="00DE0195"/>
    <w:rsid w:val="00DE0726"/>
    <w:rsid w:val="00DE0872"/>
    <w:rsid w:val="00DE0CA5"/>
    <w:rsid w:val="00DE10A3"/>
    <w:rsid w:val="00DE1243"/>
    <w:rsid w:val="00DE1345"/>
    <w:rsid w:val="00DE1599"/>
    <w:rsid w:val="00DE17AD"/>
    <w:rsid w:val="00DE1A64"/>
    <w:rsid w:val="00DE1B7F"/>
    <w:rsid w:val="00DE1D19"/>
    <w:rsid w:val="00DE1E9F"/>
    <w:rsid w:val="00DE20DA"/>
    <w:rsid w:val="00DE2799"/>
    <w:rsid w:val="00DE2BE5"/>
    <w:rsid w:val="00DE34E8"/>
    <w:rsid w:val="00DE36B8"/>
    <w:rsid w:val="00DE3758"/>
    <w:rsid w:val="00DE37BC"/>
    <w:rsid w:val="00DE39FE"/>
    <w:rsid w:val="00DE3C1B"/>
    <w:rsid w:val="00DE44E9"/>
    <w:rsid w:val="00DE47C5"/>
    <w:rsid w:val="00DE480B"/>
    <w:rsid w:val="00DE483B"/>
    <w:rsid w:val="00DE499D"/>
    <w:rsid w:val="00DE49F2"/>
    <w:rsid w:val="00DE4C86"/>
    <w:rsid w:val="00DE4E92"/>
    <w:rsid w:val="00DE5324"/>
    <w:rsid w:val="00DE5332"/>
    <w:rsid w:val="00DE5474"/>
    <w:rsid w:val="00DE56DF"/>
    <w:rsid w:val="00DE56FB"/>
    <w:rsid w:val="00DE598E"/>
    <w:rsid w:val="00DE59D4"/>
    <w:rsid w:val="00DE5C87"/>
    <w:rsid w:val="00DE5EE5"/>
    <w:rsid w:val="00DE5F8A"/>
    <w:rsid w:val="00DE648E"/>
    <w:rsid w:val="00DE6575"/>
    <w:rsid w:val="00DE65BA"/>
    <w:rsid w:val="00DE65E8"/>
    <w:rsid w:val="00DE6A9E"/>
    <w:rsid w:val="00DE6B38"/>
    <w:rsid w:val="00DE6F7F"/>
    <w:rsid w:val="00DE7395"/>
    <w:rsid w:val="00DE75C6"/>
    <w:rsid w:val="00DE788C"/>
    <w:rsid w:val="00DE7B4D"/>
    <w:rsid w:val="00DE7F6C"/>
    <w:rsid w:val="00DE7FAD"/>
    <w:rsid w:val="00DF0028"/>
    <w:rsid w:val="00DF049C"/>
    <w:rsid w:val="00DF06D4"/>
    <w:rsid w:val="00DF0876"/>
    <w:rsid w:val="00DF100F"/>
    <w:rsid w:val="00DF11EF"/>
    <w:rsid w:val="00DF17F3"/>
    <w:rsid w:val="00DF1BB6"/>
    <w:rsid w:val="00DF23EF"/>
    <w:rsid w:val="00DF249D"/>
    <w:rsid w:val="00DF267D"/>
    <w:rsid w:val="00DF2AEA"/>
    <w:rsid w:val="00DF2F9D"/>
    <w:rsid w:val="00DF343F"/>
    <w:rsid w:val="00DF4030"/>
    <w:rsid w:val="00DF410F"/>
    <w:rsid w:val="00DF4120"/>
    <w:rsid w:val="00DF41B2"/>
    <w:rsid w:val="00DF42C6"/>
    <w:rsid w:val="00DF43B1"/>
    <w:rsid w:val="00DF4541"/>
    <w:rsid w:val="00DF48A3"/>
    <w:rsid w:val="00DF4A36"/>
    <w:rsid w:val="00DF4D9B"/>
    <w:rsid w:val="00DF52A2"/>
    <w:rsid w:val="00DF53E5"/>
    <w:rsid w:val="00DF5634"/>
    <w:rsid w:val="00DF56C0"/>
    <w:rsid w:val="00DF57B8"/>
    <w:rsid w:val="00DF5C92"/>
    <w:rsid w:val="00DF5D15"/>
    <w:rsid w:val="00DF5E2E"/>
    <w:rsid w:val="00DF6D5A"/>
    <w:rsid w:val="00DF70B3"/>
    <w:rsid w:val="00DF70CC"/>
    <w:rsid w:val="00DF75AA"/>
    <w:rsid w:val="00DF76A0"/>
    <w:rsid w:val="00DF7ADB"/>
    <w:rsid w:val="00E000C9"/>
    <w:rsid w:val="00E002DC"/>
    <w:rsid w:val="00E003C2"/>
    <w:rsid w:val="00E00764"/>
    <w:rsid w:val="00E00CED"/>
    <w:rsid w:val="00E00D25"/>
    <w:rsid w:val="00E012BF"/>
    <w:rsid w:val="00E014A7"/>
    <w:rsid w:val="00E01B03"/>
    <w:rsid w:val="00E01B86"/>
    <w:rsid w:val="00E01C7F"/>
    <w:rsid w:val="00E023E3"/>
    <w:rsid w:val="00E02941"/>
    <w:rsid w:val="00E02A82"/>
    <w:rsid w:val="00E02AF6"/>
    <w:rsid w:val="00E02DCB"/>
    <w:rsid w:val="00E02E50"/>
    <w:rsid w:val="00E032DC"/>
    <w:rsid w:val="00E03346"/>
    <w:rsid w:val="00E038B0"/>
    <w:rsid w:val="00E03AB8"/>
    <w:rsid w:val="00E03C65"/>
    <w:rsid w:val="00E03C9F"/>
    <w:rsid w:val="00E03E42"/>
    <w:rsid w:val="00E04007"/>
    <w:rsid w:val="00E043AB"/>
    <w:rsid w:val="00E043BC"/>
    <w:rsid w:val="00E04535"/>
    <w:rsid w:val="00E049A1"/>
    <w:rsid w:val="00E04EF5"/>
    <w:rsid w:val="00E0508C"/>
    <w:rsid w:val="00E050CF"/>
    <w:rsid w:val="00E05186"/>
    <w:rsid w:val="00E051C5"/>
    <w:rsid w:val="00E053C1"/>
    <w:rsid w:val="00E05BBB"/>
    <w:rsid w:val="00E06073"/>
    <w:rsid w:val="00E061DF"/>
    <w:rsid w:val="00E06288"/>
    <w:rsid w:val="00E06631"/>
    <w:rsid w:val="00E0695A"/>
    <w:rsid w:val="00E06B56"/>
    <w:rsid w:val="00E07242"/>
    <w:rsid w:val="00E0734F"/>
    <w:rsid w:val="00E0760E"/>
    <w:rsid w:val="00E07B3B"/>
    <w:rsid w:val="00E07FC0"/>
    <w:rsid w:val="00E104CF"/>
    <w:rsid w:val="00E1069B"/>
    <w:rsid w:val="00E1087D"/>
    <w:rsid w:val="00E10B76"/>
    <w:rsid w:val="00E10C75"/>
    <w:rsid w:val="00E10E53"/>
    <w:rsid w:val="00E10F1B"/>
    <w:rsid w:val="00E112A9"/>
    <w:rsid w:val="00E116AA"/>
    <w:rsid w:val="00E1180E"/>
    <w:rsid w:val="00E11A7D"/>
    <w:rsid w:val="00E11F8E"/>
    <w:rsid w:val="00E12362"/>
    <w:rsid w:val="00E13030"/>
    <w:rsid w:val="00E13052"/>
    <w:rsid w:val="00E130C4"/>
    <w:rsid w:val="00E13244"/>
    <w:rsid w:val="00E135A4"/>
    <w:rsid w:val="00E13CE1"/>
    <w:rsid w:val="00E1416F"/>
    <w:rsid w:val="00E141DC"/>
    <w:rsid w:val="00E14200"/>
    <w:rsid w:val="00E14483"/>
    <w:rsid w:val="00E1463C"/>
    <w:rsid w:val="00E146C5"/>
    <w:rsid w:val="00E14798"/>
    <w:rsid w:val="00E14808"/>
    <w:rsid w:val="00E14A03"/>
    <w:rsid w:val="00E14E63"/>
    <w:rsid w:val="00E15005"/>
    <w:rsid w:val="00E15194"/>
    <w:rsid w:val="00E1553A"/>
    <w:rsid w:val="00E1558E"/>
    <w:rsid w:val="00E157B1"/>
    <w:rsid w:val="00E157BA"/>
    <w:rsid w:val="00E15917"/>
    <w:rsid w:val="00E168BA"/>
    <w:rsid w:val="00E168E6"/>
    <w:rsid w:val="00E16B28"/>
    <w:rsid w:val="00E16BE4"/>
    <w:rsid w:val="00E16C4C"/>
    <w:rsid w:val="00E16D46"/>
    <w:rsid w:val="00E16FF9"/>
    <w:rsid w:val="00E171AC"/>
    <w:rsid w:val="00E17447"/>
    <w:rsid w:val="00E1762F"/>
    <w:rsid w:val="00E1776A"/>
    <w:rsid w:val="00E177A2"/>
    <w:rsid w:val="00E17911"/>
    <w:rsid w:val="00E179F9"/>
    <w:rsid w:val="00E17ADF"/>
    <w:rsid w:val="00E17B72"/>
    <w:rsid w:val="00E17C3C"/>
    <w:rsid w:val="00E17EF8"/>
    <w:rsid w:val="00E17F5D"/>
    <w:rsid w:val="00E20114"/>
    <w:rsid w:val="00E2017B"/>
    <w:rsid w:val="00E204BF"/>
    <w:rsid w:val="00E20717"/>
    <w:rsid w:val="00E20B4E"/>
    <w:rsid w:val="00E20BDF"/>
    <w:rsid w:val="00E20DA9"/>
    <w:rsid w:val="00E213B3"/>
    <w:rsid w:val="00E219CB"/>
    <w:rsid w:val="00E21CF8"/>
    <w:rsid w:val="00E2216A"/>
    <w:rsid w:val="00E221BD"/>
    <w:rsid w:val="00E22758"/>
    <w:rsid w:val="00E22799"/>
    <w:rsid w:val="00E22C08"/>
    <w:rsid w:val="00E2318D"/>
    <w:rsid w:val="00E235BF"/>
    <w:rsid w:val="00E2363E"/>
    <w:rsid w:val="00E2374D"/>
    <w:rsid w:val="00E23862"/>
    <w:rsid w:val="00E23CEC"/>
    <w:rsid w:val="00E23E4D"/>
    <w:rsid w:val="00E23E9F"/>
    <w:rsid w:val="00E23F2F"/>
    <w:rsid w:val="00E240AB"/>
    <w:rsid w:val="00E2433D"/>
    <w:rsid w:val="00E243E1"/>
    <w:rsid w:val="00E252C1"/>
    <w:rsid w:val="00E25964"/>
    <w:rsid w:val="00E2648D"/>
    <w:rsid w:val="00E26735"/>
    <w:rsid w:val="00E2693C"/>
    <w:rsid w:val="00E26E99"/>
    <w:rsid w:val="00E26F63"/>
    <w:rsid w:val="00E2719F"/>
    <w:rsid w:val="00E27FCD"/>
    <w:rsid w:val="00E3054B"/>
    <w:rsid w:val="00E307D6"/>
    <w:rsid w:val="00E308A8"/>
    <w:rsid w:val="00E30F50"/>
    <w:rsid w:val="00E310FA"/>
    <w:rsid w:val="00E315CE"/>
    <w:rsid w:val="00E31D97"/>
    <w:rsid w:val="00E3207B"/>
    <w:rsid w:val="00E3243C"/>
    <w:rsid w:val="00E328FB"/>
    <w:rsid w:val="00E3290F"/>
    <w:rsid w:val="00E3331A"/>
    <w:rsid w:val="00E333F1"/>
    <w:rsid w:val="00E335E2"/>
    <w:rsid w:val="00E33752"/>
    <w:rsid w:val="00E337C2"/>
    <w:rsid w:val="00E33901"/>
    <w:rsid w:val="00E33AA4"/>
    <w:rsid w:val="00E33F87"/>
    <w:rsid w:val="00E34412"/>
    <w:rsid w:val="00E345C1"/>
    <w:rsid w:val="00E34F99"/>
    <w:rsid w:val="00E35154"/>
    <w:rsid w:val="00E35312"/>
    <w:rsid w:val="00E353BE"/>
    <w:rsid w:val="00E354DE"/>
    <w:rsid w:val="00E3565E"/>
    <w:rsid w:val="00E35FBE"/>
    <w:rsid w:val="00E360B1"/>
    <w:rsid w:val="00E360F9"/>
    <w:rsid w:val="00E36391"/>
    <w:rsid w:val="00E3682D"/>
    <w:rsid w:val="00E36A4D"/>
    <w:rsid w:val="00E36F7F"/>
    <w:rsid w:val="00E37A8B"/>
    <w:rsid w:val="00E4024F"/>
    <w:rsid w:val="00E40420"/>
    <w:rsid w:val="00E404DF"/>
    <w:rsid w:val="00E40529"/>
    <w:rsid w:val="00E407EC"/>
    <w:rsid w:val="00E40E41"/>
    <w:rsid w:val="00E40EEB"/>
    <w:rsid w:val="00E41206"/>
    <w:rsid w:val="00E4152F"/>
    <w:rsid w:val="00E42104"/>
    <w:rsid w:val="00E4214B"/>
    <w:rsid w:val="00E425F2"/>
    <w:rsid w:val="00E42DAD"/>
    <w:rsid w:val="00E4309E"/>
    <w:rsid w:val="00E43185"/>
    <w:rsid w:val="00E4406C"/>
    <w:rsid w:val="00E4447D"/>
    <w:rsid w:val="00E444B1"/>
    <w:rsid w:val="00E4473F"/>
    <w:rsid w:val="00E448C4"/>
    <w:rsid w:val="00E449C8"/>
    <w:rsid w:val="00E44BC7"/>
    <w:rsid w:val="00E44C34"/>
    <w:rsid w:val="00E44F80"/>
    <w:rsid w:val="00E44FF2"/>
    <w:rsid w:val="00E45008"/>
    <w:rsid w:val="00E451A8"/>
    <w:rsid w:val="00E4541F"/>
    <w:rsid w:val="00E458F6"/>
    <w:rsid w:val="00E45FEE"/>
    <w:rsid w:val="00E463F4"/>
    <w:rsid w:val="00E46729"/>
    <w:rsid w:val="00E4673B"/>
    <w:rsid w:val="00E467F1"/>
    <w:rsid w:val="00E46C34"/>
    <w:rsid w:val="00E47279"/>
    <w:rsid w:val="00E472C7"/>
    <w:rsid w:val="00E4791F"/>
    <w:rsid w:val="00E47968"/>
    <w:rsid w:val="00E47993"/>
    <w:rsid w:val="00E479D0"/>
    <w:rsid w:val="00E47E28"/>
    <w:rsid w:val="00E47F7C"/>
    <w:rsid w:val="00E507CF"/>
    <w:rsid w:val="00E50987"/>
    <w:rsid w:val="00E50D7A"/>
    <w:rsid w:val="00E50D8A"/>
    <w:rsid w:val="00E511FF"/>
    <w:rsid w:val="00E51200"/>
    <w:rsid w:val="00E51657"/>
    <w:rsid w:val="00E51B5D"/>
    <w:rsid w:val="00E51D27"/>
    <w:rsid w:val="00E51E85"/>
    <w:rsid w:val="00E51EDE"/>
    <w:rsid w:val="00E5236D"/>
    <w:rsid w:val="00E5258A"/>
    <w:rsid w:val="00E52638"/>
    <w:rsid w:val="00E527B8"/>
    <w:rsid w:val="00E528A0"/>
    <w:rsid w:val="00E52A5B"/>
    <w:rsid w:val="00E52B8B"/>
    <w:rsid w:val="00E52FEE"/>
    <w:rsid w:val="00E53291"/>
    <w:rsid w:val="00E5330A"/>
    <w:rsid w:val="00E53627"/>
    <w:rsid w:val="00E53A0C"/>
    <w:rsid w:val="00E53B49"/>
    <w:rsid w:val="00E53D50"/>
    <w:rsid w:val="00E53E38"/>
    <w:rsid w:val="00E54059"/>
    <w:rsid w:val="00E5452C"/>
    <w:rsid w:val="00E5496E"/>
    <w:rsid w:val="00E54DC9"/>
    <w:rsid w:val="00E54DCF"/>
    <w:rsid w:val="00E54EDD"/>
    <w:rsid w:val="00E54F10"/>
    <w:rsid w:val="00E55985"/>
    <w:rsid w:val="00E55A65"/>
    <w:rsid w:val="00E55AE6"/>
    <w:rsid w:val="00E55CCB"/>
    <w:rsid w:val="00E55EF4"/>
    <w:rsid w:val="00E56019"/>
    <w:rsid w:val="00E56353"/>
    <w:rsid w:val="00E5669D"/>
    <w:rsid w:val="00E567E0"/>
    <w:rsid w:val="00E56B21"/>
    <w:rsid w:val="00E56EAC"/>
    <w:rsid w:val="00E5713B"/>
    <w:rsid w:val="00E572EC"/>
    <w:rsid w:val="00E5760F"/>
    <w:rsid w:val="00E5775A"/>
    <w:rsid w:val="00E57B3A"/>
    <w:rsid w:val="00E57C80"/>
    <w:rsid w:val="00E6006A"/>
    <w:rsid w:val="00E601CB"/>
    <w:rsid w:val="00E60A5B"/>
    <w:rsid w:val="00E60E3A"/>
    <w:rsid w:val="00E61237"/>
    <w:rsid w:val="00E61297"/>
    <w:rsid w:val="00E61E51"/>
    <w:rsid w:val="00E61E6B"/>
    <w:rsid w:val="00E620F7"/>
    <w:rsid w:val="00E621D4"/>
    <w:rsid w:val="00E62462"/>
    <w:rsid w:val="00E626FC"/>
    <w:rsid w:val="00E62A6B"/>
    <w:rsid w:val="00E62E0F"/>
    <w:rsid w:val="00E630F4"/>
    <w:rsid w:val="00E63637"/>
    <w:rsid w:val="00E638B2"/>
    <w:rsid w:val="00E639C0"/>
    <w:rsid w:val="00E6470C"/>
    <w:rsid w:val="00E6476B"/>
    <w:rsid w:val="00E64A7A"/>
    <w:rsid w:val="00E653F4"/>
    <w:rsid w:val="00E654C2"/>
    <w:rsid w:val="00E65510"/>
    <w:rsid w:val="00E65ADE"/>
    <w:rsid w:val="00E65B32"/>
    <w:rsid w:val="00E65C5B"/>
    <w:rsid w:val="00E65E29"/>
    <w:rsid w:val="00E6601D"/>
    <w:rsid w:val="00E6614B"/>
    <w:rsid w:val="00E6617E"/>
    <w:rsid w:val="00E6653D"/>
    <w:rsid w:val="00E668CF"/>
    <w:rsid w:val="00E668E7"/>
    <w:rsid w:val="00E6744B"/>
    <w:rsid w:val="00E674E4"/>
    <w:rsid w:val="00E675AA"/>
    <w:rsid w:val="00E67765"/>
    <w:rsid w:val="00E679A1"/>
    <w:rsid w:val="00E67A70"/>
    <w:rsid w:val="00E67A8B"/>
    <w:rsid w:val="00E67E4C"/>
    <w:rsid w:val="00E67F8D"/>
    <w:rsid w:val="00E7067D"/>
    <w:rsid w:val="00E70768"/>
    <w:rsid w:val="00E70B71"/>
    <w:rsid w:val="00E70CE8"/>
    <w:rsid w:val="00E70D87"/>
    <w:rsid w:val="00E70D89"/>
    <w:rsid w:val="00E718BA"/>
    <w:rsid w:val="00E71EEF"/>
    <w:rsid w:val="00E72104"/>
    <w:rsid w:val="00E722F4"/>
    <w:rsid w:val="00E7231F"/>
    <w:rsid w:val="00E72609"/>
    <w:rsid w:val="00E72692"/>
    <w:rsid w:val="00E727BD"/>
    <w:rsid w:val="00E72887"/>
    <w:rsid w:val="00E72A06"/>
    <w:rsid w:val="00E72A41"/>
    <w:rsid w:val="00E72B70"/>
    <w:rsid w:val="00E72C38"/>
    <w:rsid w:val="00E731DD"/>
    <w:rsid w:val="00E7354B"/>
    <w:rsid w:val="00E736C9"/>
    <w:rsid w:val="00E73700"/>
    <w:rsid w:val="00E737A6"/>
    <w:rsid w:val="00E73C56"/>
    <w:rsid w:val="00E73D09"/>
    <w:rsid w:val="00E73F2A"/>
    <w:rsid w:val="00E7407A"/>
    <w:rsid w:val="00E7408B"/>
    <w:rsid w:val="00E7465E"/>
    <w:rsid w:val="00E74B90"/>
    <w:rsid w:val="00E74BA0"/>
    <w:rsid w:val="00E74CE6"/>
    <w:rsid w:val="00E74D4C"/>
    <w:rsid w:val="00E75442"/>
    <w:rsid w:val="00E75529"/>
    <w:rsid w:val="00E758B0"/>
    <w:rsid w:val="00E7661B"/>
    <w:rsid w:val="00E76C75"/>
    <w:rsid w:val="00E76CA2"/>
    <w:rsid w:val="00E770D6"/>
    <w:rsid w:val="00E7716B"/>
    <w:rsid w:val="00E771B5"/>
    <w:rsid w:val="00E77CE8"/>
    <w:rsid w:val="00E80287"/>
    <w:rsid w:val="00E806AE"/>
    <w:rsid w:val="00E80717"/>
    <w:rsid w:val="00E8093B"/>
    <w:rsid w:val="00E80AC5"/>
    <w:rsid w:val="00E810A5"/>
    <w:rsid w:val="00E811CE"/>
    <w:rsid w:val="00E8120D"/>
    <w:rsid w:val="00E813BE"/>
    <w:rsid w:val="00E8144E"/>
    <w:rsid w:val="00E81A4D"/>
    <w:rsid w:val="00E81D6C"/>
    <w:rsid w:val="00E820F6"/>
    <w:rsid w:val="00E8215B"/>
    <w:rsid w:val="00E82277"/>
    <w:rsid w:val="00E8239E"/>
    <w:rsid w:val="00E826FD"/>
    <w:rsid w:val="00E8274D"/>
    <w:rsid w:val="00E82849"/>
    <w:rsid w:val="00E82992"/>
    <w:rsid w:val="00E82A8F"/>
    <w:rsid w:val="00E82BE9"/>
    <w:rsid w:val="00E82D70"/>
    <w:rsid w:val="00E832A4"/>
    <w:rsid w:val="00E834B8"/>
    <w:rsid w:val="00E83627"/>
    <w:rsid w:val="00E83748"/>
    <w:rsid w:val="00E83A05"/>
    <w:rsid w:val="00E83D4D"/>
    <w:rsid w:val="00E84025"/>
    <w:rsid w:val="00E842CC"/>
    <w:rsid w:val="00E8442C"/>
    <w:rsid w:val="00E84C03"/>
    <w:rsid w:val="00E84CC6"/>
    <w:rsid w:val="00E84D7D"/>
    <w:rsid w:val="00E85532"/>
    <w:rsid w:val="00E8577D"/>
    <w:rsid w:val="00E8589E"/>
    <w:rsid w:val="00E85F32"/>
    <w:rsid w:val="00E85F5C"/>
    <w:rsid w:val="00E8601B"/>
    <w:rsid w:val="00E8622F"/>
    <w:rsid w:val="00E86246"/>
    <w:rsid w:val="00E8648E"/>
    <w:rsid w:val="00E86540"/>
    <w:rsid w:val="00E86CE3"/>
    <w:rsid w:val="00E8755C"/>
    <w:rsid w:val="00E8763E"/>
    <w:rsid w:val="00E87673"/>
    <w:rsid w:val="00E87914"/>
    <w:rsid w:val="00E87E9E"/>
    <w:rsid w:val="00E90246"/>
    <w:rsid w:val="00E9077F"/>
    <w:rsid w:val="00E9096F"/>
    <w:rsid w:val="00E909EE"/>
    <w:rsid w:val="00E90B8B"/>
    <w:rsid w:val="00E90F9E"/>
    <w:rsid w:val="00E91673"/>
    <w:rsid w:val="00E91BE1"/>
    <w:rsid w:val="00E91C06"/>
    <w:rsid w:val="00E91EF7"/>
    <w:rsid w:val="00E9239A"/>
    <w:rsid w:val="00E925A1"/>
    <w:rsid w:val="00E927C2"/>
    <w:rsid w:val="00E92E68"/>
    <w:rsid w:val="00E92F36"/>
    <w:rsid w:val="00E93352"/>
    <w:rsid w:val="00E935A4"/>
    <w:rsid w:val="00E93620"/>
    <w:rsid w:val="00E936E1"/>
    <w:rsid w:val="00E93850"/>
    <w:rsid w:val="00E938AC"/>
    <w:rsid w:val="00E938F3"/>
    <w:rsid w:val="00E9466F"/>
    <w:rsid w:val="00E94A1E"/>
    <w:rsid w:val="00E94B10"/>
    <w:rsid w:val="00E94BDB"/>
    <w:rsid w:val="00E94DF9"/>
    <w:rsid w:val="00E95869"/>
    <w:rsid w:val="00E95BD5"/>
    <w:rsid w:val="00E95E3B"/>
    <w:rsid w:val="00E95F8F"/>
    <w:rsid w:val="00E96028"/>
    <w:rsid w:val="00E96261"/>
    <w:rsid w:val="00E9645D"/>
    <w:rsid w:val="00E9665C"/>
    <w:rsid w:val="00E967DD"/>
    <w:rsid w:val="00E96C6C"/>
    <w:rsid w:val="00E97000"/>
    <w:rsid w:val="00E97116"/>
    <w:rsid w:val="00E973D0"/>
    <w:rsid w:val="00E97493"/>
    <w:rsid w:val="00E97585"/>
    <w:rsid w:val="00E97600"/>
    <w:rsid w:val="00E9772E"/>
    <w:rsid w:val="00E97BD8"/>
    <w:rsid w:val="00EA015D"/>
    <w:rsid w:val="00EA03D8"/>
    <w:rsid w:val="00EA0696"/>
    <w:rsid w:val="00EA09BB"/>
    <w:rsid w:val="00EA09F9"/>
    <w:rsid w:val="00EA0A3C"/>
    <w:rsid w:val="00EA0AB0"/>
    <w:rsid w:val="00EA0B03"/>
    <w:rsid w:val="00EA0E77"/>
    <w:rsid w:val="00EA10C7"/>
    <w:rsid w:val="00EA1201"/>
    <w:rsid w:val="00EA140B"/>
    <w:rsid w:val="00EA17C8"/>
    <w:rsid w:val="00EA194D"/>
    <w:rsid w:val="00EA1ACD"/>
    <w:rsid w:val="00EA1AED"/>
    <w:rsid w:val="00EA1D66"/>
    <w:rsid w:val="00EA2155"/>
    <w:rsid w:val="00EA26DB"/>
    <w:rsid w:val="00EA291C"/>
    <w:rsid w:val="00EA30ED"/>
    <w:rsid w:val="00EA32D3"/>
    <w:rsid w:val="00EA39D2"/>
    <w:rsid w:val="00EA3B31"/>
    <w:rsid w:val="00EA3CD5"/>
    <w:rsid w:val="00EA3E35"/>
    <w:rsid w:val="00EA4089"/>
    <w:rsid w:val="00EA409E"/>
    <w:rsid w:val="00EA42EA"/>
    <w:rsid w:val="00EA43D6"/>
    <w:rsid w:val="00EA46FA"/>
    <w:rsid w:val="00EA4AE9"/>
    <w:rsid w:val="00EA51C1"/>
    <w:rsid w:val="00EA54C3"/>
    <w:rsid w:val="00EA59C9"/>
    <w:rsid w:val="00EA5C4E"/>
    <w:rsid w:val="00EA6AD8"/>
    <w:rsid w:val="00EA6CC1"/>
    <w:rsid w:val="00EA6DDC"/>
    <w:rsid w:val="00EA6E0E"/>
    <w:rsid w:val="00EA6ED6"/>
    <w:rsid w:val="00EA6F61"/>
    <w:rsid w:val="00EA6FDE"/>
    <w:rsid w:val="00EA77D8"/>
    <w:rsid w:val="00EB0406"/>
    <w:rsid w:val="00EB08C2"/>
    <w:rsid w:val="00EB0984"/>
    <w:rsid w:val="00EB09A7"/>
    <w:rsid w:val="00EB0CA8"/>
    <w:rsid w:val="00EB0D24"/>
    <w:rsid w:val="00EB0DF7"/>
    <w:rsid w:val="00EB0EB0"/>
    <w:rsid w:val="00EB0ED8"/>
    <w:rsid w:val="00EB0F07"/>
    <w:rsid w:val="00EB11D6"/>
    <w:rsid w:val="00EB1270"/>
    <w:rsid w:val="00EB14AC"/>
    <w:rsid w:val="00EB150D"/>
    <w:rsid w:val="00EB17F7"/>
    <w:rsid w:val="00EB1878"/>
    <w:rsid w:val="00EB1930"/>
    <w:rsid w:val="00EB1E09"/>
    <w:rsid w:val="00EB214F"/>
    <w:rsid w:val="00EB2708"/>
    <w:rsid w:val="00EB2830"/>
    <w:rsid w:val="00EB2A3B"/>
    <w:rsid w:val="00EB3013"/>
    <w:rsid w:val="00EB3196"/>
    <w:rsid w:val="00EB3340"/>
    <w:rsid w:val="00EB3694"/>
    <w:rsid w:val="00EB3700"/>
    <w:rsid w:val="00EB37D1"/>
    <w:rsid w:val="00EB3974"/>
    <w:rsid w:val="00EB3B4A"/>
    <w:rsid w:val="00EB3BA4"/>
    <w:rsid w:val="00EB3C1C"/>
    <w:rsid w:val="00EB3DCF"/>
    <w:rsid w:val="00EB3EED"/>
    <w:rsid w:val="00EB3EF7"/>
    <w:rsid w:val="00EB449E"/>
    <w:rsid w:val="00EB4DCD"/>
    <w:rsid w:val="00EB4F33"/>
    <w:rsid w:val="00EB5156"/>
    <w:rsid w:val="00EB520F"/>
    <w:rsid w:val="00EB58F3"/>
    <w:rsid w:val="00EB5A85"/>
    <w:rsid w:val="00EB5B99"/>
    <w:rsid w:val="00EB5C39"/>
    <w:rsid w:val="00EB610D"/>
    <w:rsid w:val="00EB6381"/>
    <w:rsid w:val="00EB64B1"/>
    <w:rsid w:val="00EB653C"/>
    <w:rsid w:val="00EB69CF"/>
    <w:rsid w:val="00EB6B35"/>
    <w:rsid w:val="00EB6E24"/>
    <w:rsid w:val="00EB78CD"/>
    <w:rsid w:val="00EB7B26"/>
    <w:rsid w:val="00EB7B92"/>
    <w:rsid w:val="00EB7C54"/>
    <w:rsid w:val="00EB7DA2"/>
    <w:rsid w:val="00EB7E16"/>
    <w:rsid w:val="00EB7E6D"/>
    <w:rsid w:val="00EC0178"/>
    <w:rsid w:val="00EC0374"/>
    <w:rsid w:val="00EC0DC6"/>
    <w:rsid w:val="00EC0F74"/>
    <w:rsid w:val="00EC10B6"/>
    <w:rsid w:val="00EC16EB"/>
    <w:rsid w:val="00EC173F"/>
    <w:rsid w:val="00EC1865"/>
    <w:rsid w:val="00EC1CC4"/>
    <w:rsid w:val="00EC1CCD"/>
    <w:rsid w:val="00EC1D8E"/>
    <w:rsid w:val="00EC1E0C"/>
    <w:rsid w:val="00EC23FC"/>
    <w:rsid w:val="00EC297B"/>
    <w:rsid w:val="00EC29D0"/>
    <w:rsid w:val="00EC29F6"/>
    <w:rsid w:val="00EC31C9"/>
    <w:rsid w:val="00EC36B7"/>
    <w:rsid w:val="00EC3925"/>
    <w:rsid w:val="00EC3E54"/>
    <w:rsid w:val="00EC406F"/>
    <w:rsid w:val="00EC4086"/>
    <w:rsid w:val="00EC41D1"/>
    <w:rsid w:val="00EC4500"/>
    <w:rsid w:val="00EC4A59"/>
    <w:rsid w:val="00EC4AAF"/>
    <w:rsid w:val="00EC58E9"/>
    <w:rsid w:val="00EC5B1E"/>
    <w:rsid w:val="00EC5DA0"/>
    <w:rsid w:val="00EC6073"/>
    <w:rsid w:val="00EC6080"/>
    <w:rsid w:val="00EC668D"/>
    <w:rsid w:val="00EC6711"/>
    <w:rsid w:val="00EC67D6"/>
    <w:rsid w:val="00EC6C24"/>
    <w:rsid w:val="00EC719B"/>
    <w:rsid w:val="00EC7294"/>
    <w:rsid w:val="00EC7366"/>
    <w:rsid w:val="00EC756A"/>
    <w:rsid w:val="00EC7676"/>
    <w:rsid w:val="00EC7959"/>
    <w:rsid w:val="00EC79F8"/>
    <w:rsid w:val="00ED010A"/>
    <w:rsid w:val="00ED01F2"/>
    <w:rsid w:val="00ED05CD"/>
    <w:rsid w:val="00ED0753"/>
    <w:rsid w:val="00ED078F"/>
    <w:rsid w:val="00ED1367"/>
    <w:rsid w:val="00ED1476"/>
    <w:rsid w:val="00ED1823"/>
    <w:rsid w:val="00ED1C69"/>
    <w:rsid w:val="00ED2162"/>
    <w:rsid w:val="00ED25F4"/>
    <w:rsid w:val="00ED271F"/>
    <w:rsid w:val="00ED3174"/>
    <w:rsid w:val="00ED3246"/>
    <w:rsid w:val="00ED35B9"/>
    <w:rsid w:val="00ED3857"/>
    <w:rsid w:val="00ED3919"/>
    <w:rsid w:val="00ED3929"/>
    <w:rsid w:val="00ED3B5C"/>
    <w:rsid w:val="00ED3DF9"/>
    <w:rsid w:val="00ED4215"/>
    <w:rsid w:val="00ED4A04"/>
    <w:rsid w:val="00ED52A9"/>
    <w:rsid w:val="00ED56BC"/>
    <w:rsid w:val="00ED589E"/>
    <w:rsid w:val="00ED5FD4"/>
    <w:rsid w:val="00ED61AA"/>
    <w:rsid w:val="00ED67C5"/>
    <w:rsid w:val="00ED6D18"/>
    <w:rsid w:val="00ED6D28"/>
    <w:rsid w:val="00ED7364"/>
    <w:rsid w:val="00ED73EA"/>
    <w:rsid w:val="00ED76FF"/>
    <w:rsid w:val="00ED775A"/>
    <w:rsid w:val="00ED77ED"/>
    <w:rsid w:val="00ED7957"/>
    <w:rsid w:val="00ED7B96"/>
    <w:rsid w:val="00ED7BC4"/>
    <w:rsid w:val="00ED7BC9"/>
    <w:rsid w:val="00ED7C74"/>
    <w:rsid w:val="00ED7E6C"/>
    <w:rsid w:val="00EE04F4"/>
    <w:rsid w:val="00EE089B"/>
    <w:rsid w:val="00EE0923"/>
    <w:rsid w:val="00EE0A75"/>
    <w:rsid w:val="00EE0C84"/>
    <w:rsid w:val="00EE0F8E"/>
    <w:rsid w:val="00EE1098"/>
    <w:rsid w:val="00EE116E"/>
    <w:rsid w:val="00EE1AFD"/>
    <w:rsid w:val="00EE2262"/>
    <w:rsid w:val="00EE2429"/>
    <w:rsid w:val="00EE248B"/>
    <w:rsid w:val="00EE28EB"/>
    <w:rsid w:val="00EE2995"/>
    <w:rsid w:val="00EE2EB2"/>
    <w:rsid w:val="00EE3099"/>
    <w:rsid w:val="00EE35E4"/>
    <w:rsid w:val="00EE3AC1"/>
    <w:rsid w:val="00EE3AF9"/>
    <w:rsid w:val="00EE3B91"/>
    <w:rsid w:val="00EE3B97"/>
    <w:rsid w:val="00EE3C91"/>
    <w:rsid w:val="00EE3CB0"/>
    <w:rsid w:val="00EE3DC5"/>
    <w:rsid w:val="00EE41CE"/>
    <w:rsid w:val="00EE4298"/>
    <w:rsid w:val="00EE43DF"/>
    <w:rsid w:val="00EE480F"/>
    <w:rsid w:val="00EE48A1"/>
    <w:rsid w:val="00EE48D9"/>
    <w:rsid w:val="00EE4ADF"/>
    <w:rsid w:val="00EE4C48"/>
    <w:rsid w:val="00EE4E63"/>
    <w:rsid w:val="00EE5156"/>
    <w:rsid w:val="00EE51F7"/>
    <w:rsid w:val="00EE5535"/>
    <w:rsid w:val="00EE58CA"/>
    <w:rsid w:val="00EE5A7D"/>
    <w:rsid w:val="00EE5CF9"/>
    <w:rsid w:val="00EE63A5"/>
    <w:rsid w:val="00EE6428"/>
    <w:rsid w:val="00EE6850"/>
    <w:rsid w:val="00EE6D88"/>
    <w:rsid w:val="00EE71BC"/>
    <w:rsid w:val="00EE730D"/>
    <w:rsid w:val="00EE7410"/>
    <w:rsid w:val="00EE7EF5"/>
    <w:rsid w:val="00EF09ED"/>
    <w:rsid w:val="00EF1014"/>
    <w:rsid w:val="00EF107D"/>
    <w:rsid w:val="00EF1122"/>
    <w:rsid w:val="00EF1151"/>
    <w:rsid w:val="00EF12CE"/>
    <w:rsid w:val="00EF1617"/>
    <w:rsid w:val="00EF16C0"/>
    <w:rsid w:val="00EF1C91"/>
    <w:rsid w:val="00EF2373"/>
    <w:rsid w:val="00EF23A9"/>
    <w:rsid w:val="00EF28B7"/>
    <w:rsid w:val="00EF2948"/>
    <w:rsid w:val="00EF2EA2"/>
    <w:rsid w:val="00EF35D6"/>
    <w:rsid w:val="00EF3A65"/>
    <w:rsid w:val="00EF3A86"/>
    <w:rsid w:val="00EF411B"/>
    <w:rsid w:val="00EF429D"/>
    <w:rsid w:val="00EF433F"/>
    <w:rsid w:val="00EF436A"/>
    <w:rsid w:val="00EF446C"/>
    <w:rsid w:val="00EF4978"/>
    <w:rsid w:val="00EF4ED7"/>
    <w:rsid w:val="00EF4F47"/>
    <w:rsid w:val="00EF5027"/>
    <w:rsid w:val="00EF530F"/>
    <w:rsid w:val="00EF5363"/>
    <w:rsid w:val="00EF5572"/>
    <w:rsid w:val="00EF5642"/>
    <w:rsid w:val="00EF5798"/>
    <w:rsid w:val="00EF5C8B"/>
    <w:rsid w:val="00EF5CA4"/>
    <w:rsid w:val="00EF5D37"/>
    <w:rsid w:val="00EF5D63"/>
    <w:rsid w:val="00EF6064"/>
    <w:rsid w:val="00EF626C"/>
    <w:rsid w:val="00EF6390"/>
    <w:rsid w:val="00EF6559"/>
    <w:rsid w:val="00EF68E2"/>
    <w:rsid w:val="00EF6DBD"/>
    <w:rsid w:val="00EF740F"/>
    <w:rsid w:val="00EF74B4"/>
    <w:rsid w:val="00EF774C"/>
    <w:rsid w:val="00EF7765"/>
    <w:rsid w:val="00EF789A"/>
    <w:rsid w:val="00EF78D6"/>
    <w:rsid w:val="00EF7BF8"/>
    <w:rsid w:val="00EF7D52"/>
    <w:rsid w:val="00F00496"/>
    <w:rsid w:val="00F00CE1"/>
    <w:rsid w:val="00F00CFE"/>
    <w:rsid w:val="00F00D42"/>
    <w:rsid w:val="00F00DA1"/>
    <w:rsid w:val="00F00DC9"/>
    <w:rsid w:val="00F013B5"/>
    <w:rsid w:val="00F017D2"/>
    <w:rsid w:val="00F01B1A"/>
    <w:rsid w:val="00F01BC7"/>
    <w:rsid w:val="00F01E2D"/>
    <w:rsid w:val="00F02373"/>
    <w:rsid w:val="00F02B78"/>
    <w:rsid w:val="00F02F7A"/>
    <w:rsid w:val="00F03024"/>
    <w:rsid w:val="00F03564"/>
    <w:rsid w:val="00F035BD"/>
    <w:rsid w:val="00F0388F"/>
    <w:rsid w:val="00F03C5F"/>
    <w:rsid w:val="00F03E41"/>
    <w:rsid w:val="00F0411F"/>
    <w:rsid w:val="00F043AC"/>
    <w:rsid w:val="00F0443B"/>
    <w:rsid w:val="00F0444D"/>
    <w:rsid w:val="00F044F5"/>
    <w:rsid w:val="00F04572"/>
    <w:rsid w:val="00F04872"/>
    <w:rsid w:val="00F04917"/>
    <w:rsid w:val="00F04982"/>
    <w:rsid w:val="00F04C8F"/>
    <w:rsid w:val="00F05361"/>
    <w:rsid w:val="00F057BE"/>
    <w:rsid w:val="00F05840"/>
    <w:rsid w:val="00F058F7"/>
    <w:rsid w:val="00F05AD8"/>
    <w:rsid w:val="00F06217"/>
    <w:rsid w:val="00F06A70"/>
    <w:rsid w:val="00F06C7D"/>
    <w:rsid w:val="00F06DA2"/>
    <w:rsid w:val="00F06E45"/>
    <w:rsid w:val="00F06F74"/>
    <w:rsid w:val="00F0719B"/>
    <w:rsid w:val="00F07769"/>
    <w:rsid w:val="00F07770"/>
    <w:rsid w:val="00F100A4"/>
    <w:rsid w:val="00F105D5"/>
    <w:rsid w:val="00F10BDD"/>
    <w:rsid w:val="00F10E66"/>
    <w:rsid w:val="00F1110F"/>
    <w:rsid w:val="00F11128"/>
    <w:rsid w:val="00F11377"/>
    <w:rsid w:val="00F1151D"/>
    <w:rsid w:val="00F117F2"/>
    <w:rsid w:val="00F119A2"/>
    <w:rsid w:val="00F11F5B"/>
    <w:rsid w:val="00F12022"/>
    <w:rsid w:val="00F120DB"/>
    <w:rsid w:val="00F124F5"/>
    <w:rsid w:val="00F12623"/>
    <w:rsid w:val="00F129D3"/>
    <w:rsid w:val="00F12A41"/>
    <w:rsid w:val="00F12B1D"/>
    <w:rsid w:val="00F12C52"/>
    <w:rsid w:val="00F12F61"/>
    <w:rsid w:val="00F130D2"/>
    <w:rsid w:val="00F1398B"/>
    <w:rsid w:val="00F13A62"/>
    <w:rsid w:val="00F13AA9"/>
    <w:rsid w:val="00F13CDD"/>
    <w:rsid w:val="00F13D4E"/>
    <w:rsid w:val="00F13DA3"/>
    <w:rsid w:val="00F13E59"/>
    <w:rsid w:val="00F13E81"/>
    <w:rsid w:val="00F13FB6"/>
    <w:rsid w:val="00F14371"/>
    <w:rsid w:val="00F14439"/>
    <w:rsid w:val="00F144B7"/>
    <w:rsid w:val="00F146AD"/>
    <w:rsid w:val="00F146C3"/>
    <w:rsid w:val="00F14A25"/>
    <w:rsid w:val="00F14AB3"/>
    <w:rsid w:val="00F150A4"/>
    <w:rsid w:val="00F15A3D"/>
    <w:rsid w:val="00F16491"/>
    <w:rsid w:val="00F16628"/>
    <w:rsid w:val="00F168A7"/>
    <w:rsid w:val="00F17169"/>
    <w:rsid w:val="00F176C6"/>
    <w:rsid w:val="00F178FD"/>
    <w:rsid w:val="00F179D6"/>
    <w:rsid w:val="00F17B97"/>
    <w:rsid w:val="00F17D33"/>
    <w:rsid w:val="00F2079B"/>
    <w:rsid w:val="00F208FF"/>
    <w:rsid w:val="00F20945"/>
    <w:rsid w:val="00F21090"/>
    <w:rsid w:val="00F216B8"/>
    <w:rsid w:val="00F2191A"/>
    <w:rsid w:val="00F21980"/>
    <w:rsid w:val="00F21B4C"/>
    <w:rsid w:val="00F21E4B"/>
    <w:rsid w:val="00F22558"/>
    <w:rsid w:val="00F228BC"/>
    <w:rsid w:val="00F22C3F"/>
    <w:rsid w:val="00F22DCA"/>
    <w:rsid w:val="00F230E4"/>
    <w:rsid w:val="00F23198"/>
    <w:rsid w:val="00F231F6"/>
    <w:rsid w:val="00F232DC"/>
    <w:rsid w:val="00F233E8"/>
    <w:rsid w:val="00F2359A"/>
    <w:rsid w:val="00F23916"/>
    <w:rsid w:val="00F239B4"/>
    <w:rsid w:val="00F23EEC"/>
    <w:rsid w:val="00F24021"/>
    <w:rsid w:val="00F242E2"/>
    <w:rsid w:val="00F2440E"/>
    <w:rsid w:val="00F244A7"/>
    <w:rsid w:val="00F2481D"/>
    <w:rsid w:val="00F24E42"/>
    <w:rsid w:val="00F25284"/>
    <w:rsid w:val="00F254B5"/>
    <w:rsid w:val="00F257FD"/>
    <w:rsid w:val="00F2587E"/>
    <w:rsid w:val="00F259E4"/>
    <w:rsid w:val="00F25B95"/>
    <w:rsid w:val="00F25D87"/>
    <w:rsid w:val="00F25DCB"/>
    <w:rsid w:val="00F25F21"/>
    <w:rsid w:val="00F26751"/>
    <w:rsid w:val="00F26F7F"/>
    <w:rsid w:val="00F27656"/>
    <w:rsid w:val="00F27AC5"/>
    <w:rsid w:val="00F27CD2"/>
    <w:rsid w:val="00F30021"/>
    <w:rsid w:val="00F3008B"/>
    <w:rsid w:val="00F3070A"/>
    <w:rsid w:val="00F3084A"/>
    <w:rsid w:val="00F30AB8"/>
    <w:rsid w:val="00F30E3E"/>
    <w:rsid w:val="00F30E44"/>
    <w:rsid w:val="00F30FB8"/>
    <w:rsid w:val="00F3176A"/>
    <w:rsid w:val="00F3177C"/>
    <w:rsid w:val="00F317FD"/>
    <w:rsid w:val="00F319C7"/>
    <w:rsid w:val="00F31AE6"/>
    <w:rsid w:val="00F31E02"/>
    <w:rsid w:val="00F31E11"/>
    <w:rsid w:val="00F31E7A"/>
    <w:rsid w:val="00F321A8"/>
    <w:rsid w:val="00F321D0"/>
    <w:rsid w:val="00F32596"/>
    <w:rsid w:val="00F326FA"/>
    <w:rsid w:val="00F32735"/>
    <w:rsid w:val="00F327E0"/>
    <w:rsid w:val="00F32899"/>
    <w:rsid w:val="00F32A47"/>
    <w:rsid w:val="00F3307B"/>
    <w:rsid w:val="00F33576"/>
    <w:rsid w:val="00F33871"/>
    <w:rsid w:val="00F34564"/>
    <w:rsid w:val="00F34BF4"/>
    <w:rsid w:val="00F34D31"/>
    <w:rsid w:val="00F34D3A"/>
    <w:rsid w:val="00F34FDE"/>
    <w:rsid w:val="00F352CC"/>
    <w:rsid w:val="00F354B5"/>
    <w:rsid w:val="00F35F25"/>
    <w:rsid w:val="00F360FF"/>
    <w:rsid w:val="00F36711"/>
    <w:rsid w:val="00F36823"/>
    <w:rsid w:val="00F37008"/>
    <w:rsid w:val="00F371B4"/>
    <w:rsid w:val="00F3783A"/>
    <w:rsid w:val="00F378DF"/>
    <w:rsid w:val="00F37B48"/>
    <w:rsid w:val="00F37BA6"/>
    <w:rsid w:val="00F37BBF"/>
    <w:rsid w:val="00F40B50"/>
    <w:rsid w:val="00F40F6B"/>
    <w:rsid w:val="00F411F3"/>
    <w:rsid w:val="00F41420"/>
    <w:rsid w:val="00F4142B"/>
    <w:rsid w:val="00F4194E"/>
    <w:rsid w:val="00F41969"/>
    <w:rsid w:val="00F4219F"/>
    <w:rsid w:val="00F423B7"/>
    <w:rsid w:val="00F42B05"/>
    <w:rsid w:val="00F43311"/>
    <w:rsid w:val="00F4370C"/>
    <w:rsid w:val="00F43C8E"/>
    <w:rsid w:val="00F43D56"/>
    <w:rsid w:val="00F43F3E"/>
    <w:rsid w:val="00F4400C"/>
    <w:rsid w:val="00F444BD"/>
    <w:rsid w:val="00F44618"/>
    <w:rsid w:val="00F44787"/>
    <w:rsid w:val="00F44A2B"/>
    <w:rsid w:val="00F44C02"/>
    <w:rsid w:val="00F451FD"/>
    <w:rsid w:val="00F45576"/>
    <w:rsid w:val="00F45665"/>
    <w:rsid w:val="00F45870"/>
    <w:rsid w:val="00F458EB"/>
    <w:rsid w:val="00F45B50"/>
    <w:rsid w:val="00F45BA6"/>
    <w:rsid w:val="00F45DCF"/>
    <w:rsid w:val="00F45E5B"/>
    <w:rsid w:val="00F45E73"/>
    <w:rsid w:val="00F4618F"/>
    <w:rsid w:val="00F462CE"/>
    <w:rsid w:val="00F46455"/>
    <w:rsid w:val="00F469AB"/>
    <w:rsid w:val="00F46B2F"/>
    <w:rsid w:val="00F46B37"/>
    <w:rsid w:val="00F46B62"/>
    <w:rsid w:val="00F46F40"/>
    <w:rsid w:val="00F47618"/>
    <w:rsid w:val="00F47632"/>
    <w:rsid w:val="00F47910"/>
    <w:rsid w:val="00F47BC3"/>
    <w:rsid w:val="00F47EC4"/>
    <w:rsid w:val="00F47F7C"/>
    <w:rsid w:val="00F50252"/>
    <w:rsid w:val="00F5036C"/>
    <w:rsid w:val="00F5051D"/>
    <w:rsid w:val="00F50754"/>
    <w:rsid w:val="00F50772"/>
    <w:rsid w:val="00F508D5"/>
    <w:rsid w:val="00F508FB"/>
    <w:rsid w:val="00F50F40"/>
    <w:rsid w:val="00F50F8A"/>
    <w:rsid w:val="00F5127A"/>
    <w:rsid w:val="00F516AD"/>
    <w:rsid w:val="00F519A7"/>
    <w:rsid w:val="00F51A09"/>
    <w:rsid w:val="00F51A86"/>
    <w:rsid w:val="00F51D13"/>
    <w:rsid w:val="00F5215A"/>
    <w:rsid w:val="00F521B2"/>
    <w:rsid w:val="00F524F8"/>
    <w:rsid w:val="00F5251C"/>
    <w:rsid w:val="00F5266A"/>
    <w:rsid w:val="00F53059"/>
    <w:rsid w:val="00F5307C"/>
    <w:rsid w:val="00F53507"/>
    <w:rsid w:val="00F537C0"/>
    <w:rsid w:val="00F53814"/>
    <w:rsid w:val="00F538AA"/>
    <w:rsid w:val="00F53C12"/>
    <w:rsid w:val="00F53EAA"/>
    <w:rsid w:val="00F543E5"/>
    <w:rsid w:val="00F548B4"/>
    <w:rsid w:val="00F5496D"/>
    <w:rsid w:val="00F54B91"/>
    <w:rsid w:val="00F54EAA"/>
    <w:rsid w:val="00F5511B"/>
    <w:rsid w:val="00F5514E"/>
    <w:rsid w:val="00F5532C"/>
    <w:rsid w:val="00F55A93"/>
    <w:rsid w:val="00F55C4F"/>
    <w:rsid w:val="00F55FBA"/>
    <w:rsid w:val="00F562EF"/>
    <w:rsid w:val="00F56412"/>
    <w:rsid w:val="00F56818"/>
    <w:rsid w:val="00F568FA"/>
    <w:rsid w:val="00F56DEC"/>
    <w:rsid w:val="00F56F8B"/>
    <w:rsid w:val="00F57046"/>
    <w:rsid w:val="00F5707E"/>
    <w:rsid w:val="00F5727F"/>
    <w:rsid w:val="00F577B3"/>
    <w:rsid w:val="00F57935"/>
    <w:rsid w:val="00F57B81"/>
    <w:rsid w:val="00F57ED0"/>
    <w:rsid w:val="00F57F65"/>
    <w:rsid w:val="00F60206"/>
    <w:rsid w:val="00F602BB"/>
    <w:rsid w:val="00F60422"/>
    <w:rsid w:val="00F60606"/>
    <w:rsid w:val="00F60A4C"/>
    <w:rsid w:val="00F60AE6"/>
    <w:rsid w:val="00F60C50"/>
    <w:rsid w:val="00F60CD9"/>
    <w:rsid w:val="00F6123A"/>
    <w:rsid w:val="00F6127E"/>
    <w:rsid w:val="00F61345"/>
    <w:rsid w:val="00F615C3"/>
    <w:rsid w:val="00F618C9"/>
    <w:rsid w:val="00F61CCA"/>
    <w:rsid w:val="00F61DA8"/>
    <w:rsid w:val="00F61DD4"/>
    <w:rsid w:val="00F62178"/>
    <w:rsid w:val="00F623A1"/>
    <w:rsid w:val="00F62943"/>
    <w:rsid w:val="00F62F0F"/>
    <w:rsid w:val="00F62FCE"/>
    <w:rsid w:val="00F62FF2"/>
    <w:rsid w:val="00F63012"/>
    <w:rsid w:val="00F6320C"/>
    <w:rsid w:val="00F63382"/>
    <w:rsid w:val="00F63528"/>
    <w:rsid w:val="00F6383E"/>
    <w:rsid w:val="00F639FC"/>
    <w:rsid w:val="00F63BA6"/>
    <w:rsid w:val="00F64AD0"/>
    <w:rsid w:val="00F64BF1"/>
    <w:rsid w:val="00F64D12"/>
    <w:rsid w:val="00F64D30"/>
    <w:rsid w:val="00F64DB9"/>
    <w:rsid w:val="00F64DF3"/>
    <w:rsid w:val="00F65255"/>
    <w:rsid w:val="00F6541C"/>
    <w:rsid w:val="00F65440"/>
    <w:rsid w:val="00F655FE"/>
    <w:rsid w:val="00F65A27"/>
    <w:rsid w:val="00F65F82"/>
    <w:rsid w:val="00F665FB"/>
    <w:rsid w:val="00F66BB2"/>
    <w:rsid w:val="00F66D0A"/>
    <w:rsid w:val="00F66DC0"/>
    <w:rsid w:val="00F66F50"/>
    <w:rsid w:val="00F671F3"/>
    <w:rsid w:val="00F67670"/>
    <w:rsid w:val="00F6774F"/>
    <w:rsid w:val="00F67CF0"/>
    <w:rsid w:val="00F67E61"/>
    <w:rsid w:val="00F703C0"/>
    <w:rsid w:val="00F705A3"/>
    <w:rsid w:val="00F70871"/>
    <w:rsid w:val="00F70CAC"/>
    <w:rsid w:val="00F70D62"/>
    <w:rsid w:val="00F7131B"/>
    <w:rsid w:val="00F713EA"/>
    <w:rsid w:val="00F715E7"/>
    <w:rsid w:val="00F717F3"/>
    <w:rsid w:val="00F71B5E"/>
    <w:rsid w:val="00F72086"/>
    <w:rsid w:val="00F723F4"/>
    <w:rsid w:val="00F728E4"/>
    <w:rsid w:val="00F73151"/>
    <w:rsid w:val="00F732C2"/>
    <w:rsid w:val="00F73388"/>
    <w:rsid w:val="00F733E1"/>
    <w:rsid w:val="00F73500"/>
    <w:rsid w:val="00F73A7A"/>
    <w:rsid w:val="00F73AF2"/>
    <w:rsid w:val="00F73D59"/>
    <w:rsid w:val="00F74380"/>
    <w:rsid w:val="00F747FA"/>
    <w:rsid w:val="00F7482B"/>
    <w:rsid w:val="00F74F94"/>
    <w:rsid w:val="00F754A6"/>
    <w:rsid w:val="00F7550F"/>
    <w:rsid w:val="00F75564"/>
    <w:rsid w:val="00F756B1"/>
    <w:rsid w:val="00F757C0"/>
    <w:rsid w:val="00F75AB4"/>
    <w:rsid w:val="00F76011"/>
    <w:rsid w:val="00F760F6"/>
    <w:rsid w:val="00F7647C"/>
    <w:rsid w:val="00F76AB9"/>
    <w:rsid w:val="00F770B2"/>
    <w:rsid w:val="00F770CA"/>
    <w:rsid w:val="00F77142"/>
    <w:rsid w:val="00F77AE7"/>
    <w:rsid w:val="00F77C39"/>
    <w:rsid w:val="00F77CF3"/>
    <w:rsid w:val="00F77F34"/>
    <w:rsid w:val="00F80069"/>
    <w:rsid w:val="00F8013D"/>
    <w:rsid w:val="00F80224"/>
    <w:rsid w:val="00F803CD"/>
    <w:rsid w:val="00F80793"/>
    <w:rsid w:val="00F80CDA"/>
    <w:rsid w:val="00F81145"/>
    <w:rsid w:val="00F81651"/>
    <w:rsid w:val="00F81666"/>
    <w:rsid w:val="00F818AF"/>
    <w:rsid w:val="00F81E60"/>
    <w:rsid w:val="00F82323"/>
    <w:rsid w:val="00F823B2"/>
    <w:rsid w:val="00F826F8"/>
    <w:rsid w:val="00F82D29"/>
    <w:rsid w:val="00F8310A"/>
    <w:rsid w:val="00F834D4"/>
    <w:rsid w:val="00F83750"/>
    <w:rsid w:val="00F8434B"/>
    <w:rsid w:val="00F8453D"/>
    <w:rsid w:val="00F84750"/>
    <w:rsid w:val="00F84949"/>
    <w:rsid w:val="00F84B23"/>
    <w:rsid w:val="00F84F49"/>
    <w:rsid w:val="00F8511C"/>
    <w:rsid w:val="00F853A5"/>
    <w:rsid w:val="00F8557F"/>
    <w:rsid w:val="00F8564C"/>
    <w:rsid w:val="00F870F9"/>
    <w:rsid w:val="00F87214"/>
    <w:rsid w:val="00F8777F"/>
    <w:rsid w:val="00F90289"/>
    <w:rsid w:val="00F90ADD"/>
    <w:rsid w:val="00F915D2"/>
    <w:rsid w:val="00F91907"/>
    <w:rsid w:val="00F91A13"/>
    <w:rsid w:val="00F91BC5"/>
    <w:rsid w:val="00F91CCF"/>
    <w:rsid w:val="00F92041"/>
    <w:rsid w:val="00F92C78"/>
    <w:rsid w:val="00F9306B"/>
    <w:rsid w:val="00F93195"/>
    <w:rsid w:val="00F9319A"/>
    <w:rsid w:val="00F9337F"/>
    <w:rsid w:val="00F9372D"/>
    <w:rsid w:val="00F93901"/>
    <w:rsid w:val="00F93DCC"/>
    <w:rsid w:val="00F93FCB"/>
    <w:rsid w:val="00F947A6"/>
    <w:rsid w:val="00F94C71"/>
    <w:rsid w:val="00F94CA0"/>
    <w:rsid w:val="00F94EC9"/>
    <w:rsid w:val="00F95295"/>
    <w:rsid w:val="00F958B8"/>
    <w:rsid w:val="00F95C1D"/>
    <w:rsid w:val="00F95F6A"/>
    <w:rsid w:val="00F964DA"/>
    <w:rsid w:val="00F9653D"/>
    <w:rsid w:val="00F965E7"/>
    <w:rsid w:val="00F96F1E"/>
    <w:rsid w:val="00F96FD5"/>
    <w:rsid w:val="00F970C8"/>
    <w:rsid w:val="00F97858"/>
    <w:rsid w:val="00F97E1F"/>
    <w:rsid w:val="00FA04F1"/>
    <w:rsid w:val="00FA04F3"/>
    <w:rsid w:val="00FA08E2"/>
    <w:rsid w:val="00FA096F"/>
    <w:rsid w:val="00FA0A19"/>
    <w:rsid w:val="00FA0EF2"/>
    <w:rsid w:val="00FA15D7"/>
    <w:rsid w:val="00FA15FB"/>
    <w:rsid w:val="00FA1A45"/>
    <w:rsid w:val="00FA200D"/>
    <w:rsid w:val="00FA20E2"/>
    <w:rsid w:val="00FA21E6"/>
    <w:rsid w:val="00FA25C6"/>
    <w:rsid w:val="00FA2D5B"/>
    <w:rsid w:val="00FA31FC"/>
    <w:rsid w:val="00FA3633"/>
    <w:rsid w:val="00FA3B5A"/>
    <w:rsid w:val="00FA3BDB"/>
    <w:rsid w:val="00FA3C68"/>
    <w:rsid w:val="00FA40CA"/>
    <w:rsid w:val="00FA41D7"/>
    <w:rsid w:val="00FA438D"/>
    <w:rsid w:val="00FA4944"/>
    <w:rsid w:val="00FA49D7"/>
    <w:rsid w:val="00FA4E86"/>
    <w:rsid w:val="00FA4F83"/>
    <w:rsid w:val="00FA5133"/>
    <w:rsid w:val="00FA53B3"/>
    <w:rsid w:val="00FA5BE0"/>
    <w:rsid w:val="00FA637C"/>
    <w:rsid w:val="00FA659B"/>
    <w:rsid w:val="00FA685E"/>
    <w:rsid w:val="00FA6A55"/>
    <w:rsid w:val="00FA6B5E"/>
    <w:rsid w:val="00FA6B7B"/>
    <w:rsid w:val="00FA6F55"/>
    <w:rsid w:val="00FA7087"/>
    <w:rsid w:val="00FA728E"/>
    <w:rsid w:val="00FA75C7"/>
    <w:rsid w:val="00FA75EA"/>
    <w:rsid w:val="00FA767D"/>
    <w:rsid w:val="00FA77CF"/>
    <w:rsid w:val="00FB018A"/>
    <w:rsid w:val="00FB0D35"/>
    <w:rsid w:val="00FB0D98"/>
    <w:rsid w:val="00FB0D99"/>
    <w:rsid w:val="00FB10AA"/>
    <w:rsid w:val="00FB112C"/>
    <w:rsid w:val="00FB1544"/>
    <w:rsid w:val="00FB15F4"/>
    <w:rsid w:val="00FB165B"/>
    <w:rsid w:val="00FB1809"/>
    <w:rsid w:val="00FB1E3E"/>
    <w:rsid w:val="00FB2105"/>
    <w:rsid w:val="00FB2267"/>
    <w:rsid w:val="00FB2297"/>
    <w:rsid w:val="00FB23C1"/>
    <w:rsid w:val="00FB248D"/>
    <w:rsid w:val="00FB2691"/>
    <w:rsid w:val="00FB293F"/>
    <w:rsid w:val="00FB2963"/>
    <w:rsid w:val="00FB29BF"/>
    <w:rsid w:val="00FB2A72"/>
    <w:rsid w:val="00FB2CFB"/>
    <w:rsid w:val="00FB322E"/>
    <w:rsid w:val="00FB3DD3"/>
    <w:rsid w:val="00FB3F07"/>
    <w:rsid w:val="00FB3F6F"/>
    <w:rsid w:val="00FB41B6"/>
    <w:rsid w:val="00FB42FA"/>
    <w:rsid w:val="00FB43E8"/>
    <w:rsid w:val="00FB4876"/>
    <w:rsid w:val="00FB49A1"/>
    <w:rsid w:val="00FB4D4E"/>
    <w:rsid w:val="00FB4E87"/>
    <w:rsid w:val="00FB4F23"/>
    <w:rsid w:val="00FB531B"/>
    <w:rsid w:val="00FB564D"/>
    <w:rsid w:val="00FB5809"/>
    <w:rsid w:val="00FB5AEC"/>
    <w:rsid w:val="00FB5C87"/>
    <w:rsid w:val="00FB5F5C"/>
    <w:rsid w:val="00FB62BD"/>
    <w:rsid w:val="00FB640B"/>
    <w:rsid w:val="00FB66D4"/>
    <w:rsid w:val="00FB6A55"/>
    <w:rsid w:val="00FB6A8A"/>
    <w:rsid w:val="00FB705A"/>
    <w:rsid w:val="00FB71F6"/>
    <w:rsid w:val="00FB7229"/>
    <w:rsid w:val="00FB7CEE"/>
    <w:rsid w:val="00FB7D43"/>
    <w:rsid w:val="00FB7FEF"/>
    <w:rsid w:val="00FC0341"/>
    <w:rsid w:val="00FC0454"/>
    <w:rsid w:val="00FC08E4"/>
    <w:rsid w:val="00FC1212"/>
    <w:rsid w:val="00FC16FF"/>
    <w:rsid w:val="00FC1978"/>
    <w:rsid w:val="00FC1DC1"/>
    <w:rsid w:val="00FC22FF"/>
    <w:rsid w:val="00FC2893"/>
    <w:rsid w:val="00FC293D"/>
    <w:rsid w:val="00FC29AA"/>
    <w:rsid w:val="00FC2A8F"/>
    <w:rsid w:val="00FC2AD2"/>
    <w:rsid w:val="00FC2CB3"/>
    <w:rsid w:val="00FC2F39"/>
    <w:rsid w:val="00FC319D"/>
    <w:rsid w:val="00FC32D8"/>
    <w:rsid w:val="00FC33FF"/>
    <w:rsid w:val="00FC363B"/>
    <w:rsid w:val="00FC3E5E"/>
    <w:rsid w:val="00FC41C6"/>
    <w:rsid w:val="00FC432A"/>
    <w:rsid w:val="00FC440A"/>
    <w:rsid w:val="00FC44D7"/>
    <w:rsid w:val="00FC4512"/>
    <w:rsid w:val="00FC459D"/>
    <w:rsid w:val="00FC479D"/>
    <w:rsid w:val="00FC4AE2"/>
    <w:rsid w:val="00FC4B72"/>
    <w:rsid w:val="00FC4D34"/>
    <w:rsid w:val="00FC4D8A"/>
    <w:rsid w:val="00FC4DBA"/>
    <w:rsid w:val="00FC4F57"/>
    <w:rsid w:val="00FC5006"/>
    <w:rsid w:val="00FC502D"/>
    <w:rsid w:val="00FC5203"/>
    <w:rsid w:val="00FC5269"/>
    <w:rsid w:val="00FC5578"/>
    <w:rsid w:val="00FC56A8"/>
    <w:rsid w:val="00FC578D"/>
    <w:rsid w:val="00FC581A"/>
    <w:rsid w:val="00FC5A57"/>
    <w:rsid w:val="00FC5A7A"/>
    <w:rsid w:val="00FC5C1E"/>
    <w:rsid w:val="00FC618F"/>
    <w:rsid w:val="00FC641A"/>
    <w:rsid w:val="00FC738B"/>
    <w:rsid w:val="00FC75C5"/>
    <w:rsid w:val="00FC79BA"/>
    <w:rsid w:val="00FC7A2C"/>
    <w:rsid w:val="00FC7B26"/>
    <w:rsid w:val="00FD042B"/>
    <w:rsid w:val="00FD056E"/>
    <w:rsid w:val="00FD0925"/>
    <w:rsid w:val="00FD0D7D"/>
    <w:rsid w:val="00FD0F5B"/>
    <w:rsid w:val="00FD107C"/>
    <w:rsid w:val="00FD15CB"/>
    <w:rsid w:val="00FD160D"/>
    <w:rsid w:val="00FD197C"/>
    <w:rsid w:val="00FD1B56"/>
    <w:rsid w:val="00FD1FB2"/>
    <w:rsid w:val="00FD20CF"/>
    <w:rsid w:val="00FD20EB"/>
    <w:rsid w:val="00FD2363"/>
    <w:rsid w:val="00FD27A5"/>
    <w:rsid w:val="00FD28A9"/>
    <w:rsid w:val="00FD2A77"/>
    <w:rsid w:val="00FD2BBD"/>
    <w:rsid w:val="00FD2D33"/>
    <w:rsid w:val="00FD3123"/>
    <w:rsid w:val="00FD31FC"/>
    <w:rsid w:val="00FD3401"/>
    <w:rsid w:val="00FD3907"/>
    <w:rsid w:val="00FD3A86"/>
    <w:rsid w:val="00FD3F34"/>
    <w:rsid w:val="00FD47C8"/>
    <w:rsid w:val="00FD4825"/>
    <w:rsid w:val="00FD4DAB"/>
    <w:rsid w:val="00FD4EF5"/>
    <w:rsid w:val="00FD5638"/>
    <w:rsid w:val="00FD5B45"/>
    <w:rsid w:val="00FD5FE0"/>
    <w:rsid w:val="00FD647B"/>
    <w:rsid w:val="00FD6488"/>
    <w:rsid w:val="00FD66E4"/>
    <w:rsid w:val="00FD6727"/>
    <w:rsid w:val="00FD69DB"/>
    <w:rsid w:val="00FD6B5A"/>
    <w:rsid w:val="00FD6E79"/>
    <w:rsid w:val="00FD6EEF"/>
    <w:rsid w:val="00FD6FA6"/>
    <w:rsid w:val="00FD755E"/>
    <w:rsid w:val="00FD7634"/>
    <w:rsid w:val="00FD7861"/>
    <w:rsid w:val="00FD786F"/>
    <w:rsid w:val="00FE0349"/>
    <w:rsid w:val="00FE039A"/>
    <w:rsid w:val="00FE0A25"/>
    <w:rsid w:val="00FE0B87"/>
    <w:rsid w:val="00FE0BB6"/>
    <w:rsid w:val="00FE0E95"/>
    <w:rsid w:val="00FE0F43"/>
    <w:rsid w:val="00FE112E"/>
    <w:rsid w:val="00FE1148"/>
    <w:rsid w:val="00FE11D4"/>
    <w:rsid w:val="00FE120E"/>
    <w:rsid w:val="00FE1263"/>
    <w:rsid w:val="00FE12AA"/>
    <w:rsid w:val="00FE1304"/>
    <w:rsid w:val="00FE1648"/>
    <w:rsid w:val="00FE1AF1"/>
    <w:rsid w:val="00FE1B42"/>
    <w:rsid w:val="00FE1B85"/>
    <w:rsid w:val="00FE1BD2"/>
    <w:rsid w:val="00FE1C2A"/>
    <w:rsid w:val="00FE1CE9"/>
    <w:rsid w:val="00FE2851"/>
    <w:rsid w:val="00FE2BF7"/>
    <w:rsid w:val="00FE30E8"/>
    <w:rsid w:val="00FE339A"/>
    <w:rsid w:val="00FE359A"/>
    <w:rsid w:val="00FE3704"/>
    <w:rsid w:val="00FE3730"/>
    <w:rsid w:val="00FE39F6"/>
    <w:rsid w:val="00FE3ADC"/>
    <w:rsid w:val="00FE3F1C"/>
    <w:rsid w:val="00FE4079"/>
    <w:rsid w:val="00FE42FE"/>
    <w:rsid w:val="00FE46B4"/>
    <w:rsid w:val="00FE484C"/>
    <w:rsid w:val="00FE4C45"/>
    <w:rsid w:val="00FE4CF1"/>
    <w:rsid w:val="00FE4CFE"/>
    <w:rsid w:val="00FE4F2D"/>
    <w:rsid w:val="00FE50B8"/>
    <w:rsid w:val="00FE535B"/>
    <w:rsid w:val="00FE56EF"/>
    <w:rsid w:val="00FE5A59"/>
    <w:rsid w:val="00FE5DE6"/>
    <w:rsid w:val="00FE5EA2"/>
    <w:rsid w:val="00FE5FDC"/>
    <w:rsid w:val="00FE64E6"/>
    <w:rsid w:val="00FE72A0"/>
    <w:rsid w:val="00FE7741"/>
    <w:rsid w:val="00FE7843"/>
    <w:rsid w:val="00FE7B2F"/>
    <w:rsid w:val="00FF0254"/>
    <w:rsid w:val="00FF0282"/>
    <w:rsid w:val="00FF0651"/>
    <w:rsid w:val="00FF0775"/>
    <w:rsid w:val="00FF07B7"/>
    <w:rsid w:val="00FF0C96"/>
    <w:rsid w:val="00FF1154"/>
    <w:rsid w:val="00FF130D"/>
    <w:rsid w:val="00FF1422"/>
    <w:rsid w:val="00FF172C"/>
    <w:rsid w:val="00FF1E26"/>
    <w:rsid w:val="00FF21B2"/>
    <w:rsid w:val="00FF2723"/>
    <w:rsid w:val="00FF27B1"/>
    <w:rsid w:val="00FF282C"/>
    <w:rsid w:val="00FF2C8C"/>
    <w:rsid w:val="00FF2DAD"/>
    <w:rsid w:val="00FF30F8"/>
    <w:rsid w:val="00FF3115"/>
    <w:rsid w:val="00FF31B5"/>
    <w:rsid w:val="00FF4105"/>
    <w:rsid w:val="00FF451D"/>
    <w:rsid w:val="00FF4E66"/>
    <w:rsid w:val="00FF4F3C"/>
    <w:rsid w:val="00FF5252"/>
    <w:rsid w:val="00FF531A"/>
    <w:rsid w:val="00FF5543"/>
    <w:rsid w:val="00FF5714"/>
    <w:rsid w:val="00FF5765"/>
    <w:rsid w:val="00FF5CC9"/>
    <w:rsid w:val="00FF6019"/>
    <w:rsid w:val="00FF6683"/>
    <w:rsid w:val="00FF66BF"/>
    <w:rsid w:val="00FF6740"/>
    <w:rsid w:val="00FF682A"/>
    <w:rsid w:val="00FF6966"/>
    <w:rsid w:val="00FF6981"/>
    <w:rsid w:val="00FF6C89"/>
    <w:rsid w:val="00FF72ED"/>
    <w:rsid w:val="00FF75B1"/>
    <w:rsid w:val="00FF7857"/>
    <w:rsid w:val="00FF78EB"/>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A107F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905"/>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6975DA"/>
    <w:pPr>
      <w:keepNext/>
      <w:spacing w:before="240"/>
      <w:outlineLvl w:val="1"/>
    </w:pPr>
    <w:rPr>
      <w:b/>
      <w:smallCaps/>
      <w:sz w:val="24"/>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uiPriority w:val="1"/>
    <w:qFormat/>
    <w:rsid w:val="00F5251C"/>
    <w:pPr>
      <w:numPr>
        <w:numId w:val="0"/>
      </w:numPr>
      <w:outlineLvl w:val="3"/>
    </w:pPr>
    <w:rPr>
      <w:smallCaps w:val="0"/>
      <w:sz w:val="22"/>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qFormat/>
    <w:rsid w:val="00574BF8"/>
    <w:pPr>
      <w:keepNext/>
      <w:outlineLvl w:val="6"/>
    </w:pPr>
    <w:rPr>
      <w:i/>
    </w:rPr>
  </w:style>
  <w:style w:type="paragraph" w:styleId="Heading8">
    <w:name w:val="heading 8"/>
    <w:basedOn w:val="Normal"/>
    <w:next w:val="Normal"/>
    <w:qFormat/>
    <w:rsid w:val="00574BF8"/>
    <w:pPr>
      <w:keepNext/>
      <w:outlineLvl w:val="7"/>
    </w:pPr>
    <w:rPr>
      <w:u w:val="single"/>
    </w:rPr>
  </w:style>
  <w:style w:type="paragraph" w:styleId="Heading9">
    <w:name w:val="heading 9"/>
    <w:basedOn w:val="Normal"/>
    <w:next w:val="Normal"/>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75DA"/>
    <w:rPr>
      <w:rFonts w:ascii="Calibri" w:hAnsi="Calibri" w:cs="Tahoma"/>
      <w:b/>
      <w:smallCaps/>
      <w:sz w:val="24"/>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uiPriority w:val="99"/>
    <w:semiHidden/>
    <w:rsid w:val="00574BF8"/>
    <w:rPr>
      <w:vertAlign w:val="superscript"/>
    </w:rPr>
  </w:style>
  <w:style w:type="paragraph" w:styleId="FootnoteText">
    <w:name w:val="footnote text"/>
    <w:basedOn w:val="Normal"/>
    <w:link w:val="FootnoteTextChar"/>
    <w:uiPriority w:val="99"/>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130F53"/>
    <w:pPr>
      <w:spacing w:line="240" w:lineRule="auto"/>
    </w:pPr>
    <w:rPr>
      <w:b/>
      <w:sz w:val="20"/>
      <w:szCs w:val="20"/>
    </w:rPr>
  </w:style>
  <w:style w:type="character" w:customStyle="1" w:styleId="TableHeadingChar">
    <w:name w:val="TableHeading Char"/>
    <w:link w:val="TableHeading"/>
    <w:rsid w:val="00130F53"/>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2E7ADD"/>
    <w:pPr>
      <w:ind w:left="1760"/>
      <w:jc w:val="both"/>
    </w:pPr>
    <w:rPr>
      <w:sz w:val="144"/>
      <w:szCs w:val="144"/>
    </w:rPr>
  </w:style>
  <w:style w:type="paragraph" w:customStyle="1" w:styleId="Dash">
    <w:name w:val="Dash"/>
    <w:basedOn w:val="Normal"/>
    <w:rsid w:val="00574BF8"/>
    <w:pPr>
      <w:numPr>
        <w:numId w:val="2"/>
      </w:numPr>
    </w:pPr>
  </w:style>
  <w:style w:type="paragraph" w:customStyle="1" w:styleId="ColorfulGrid-Accent11">
    <w:name w:val="Colorful Grid - Accent 11"/>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B30C0B"/>
    <w:pPr>
      <w:keepNext/>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aliases w:val="Summary box,Table Gridbeth"/>
    <w:basedOn w:val="TableNormal"/>
    <w:uiPriority w:val="3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customStyle="1" w:styleId="ColorfulList-Accent11">
    <w:name w:val="Colorful List - Accent 11"/>
    <w:basedOn w:val="Normal"/>
    <w:link w:val="ColorfulList-Accent1Char"/>
    <w:uiPriority w:val="34"/>
    <w:qFormat/>
    <w:rsid w:val="005F2648"/>
    <w:pPr>
      <w:contextualSpacing/>
    </w:pPr>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customStyle="1" w:styleId="ColorfulShading-Accent11">
    <w:name w:val="Colorful Shading - Accent 11"/>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link w:val="FootnoteText"/>
    <w:uiPriority w:val="99"/>
    <w:semiHidden/>
    <w:rsid w:val="004D6547"/>
    <w:rPr>
      <w:rFonts w:ascii="Tahoma" w:hAnsi="Tahoma" w:cs="Tahoma"/>
      <w:szCs w:val="22"/>
    </w:rPr>
  </w:style>
  <w:style w:type="character" w:customStyle="1" w:styleId="BalloonTextChar">
    <w:name w:val="Balloon Text Char"/>
    <w:link w:val="BalloonText"/>
    <w:uiPriority w:val="99"/>
    <w:semiHidden/>
    <w:rsid w:val="0001307B"/>
    <w:rPr>
      <w:rFonts w:ascii="Tahoma" w:hAnsi="Tahoma" w:cs="Tahoma"/>
      <w:sz w:val="16"/>
      <w:szCs w:val="16"/>
    </w:rPr>
  </w:style>
  <w:style w:type="character" w:customStyle="1" w:styleId="CommentSubjectChar">
    <w:name w:val="Comment Subject Char"/>
    <w:link w:val="CommentSubject"/>
    <w:uiPriority w:val="99"/>
    <w:semiHidden/>
    <w:rsid w:val="00962174"/>
    <w:rPr>
      <w:rFonts w:ascii="Tahoma" w:hAnsi="Tahoma" w:cs="Tahoma"/>
      <w:b/>
      <w:bCs/>
      <w:szCs w:val="22"/>
    </w:rPr>
  </w:style>
  <w:style w:type="character" w:styleId="Emphasis">
    <w:name w:val="Emphasis"/>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 w:hAnsi="Helv"/>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 w:hAnsi="Helv"/>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customStyle="1" w:styleId="GridTable31">
    <w:name w:val="Grid Table 31"/>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Cambria" w:eastAsia="MS Gothic" w:hAnsi="Cambria" w:cs="Times New Roman"/>
      <w:bCs/>
      <w:color w:val="365F91"/>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link w:val="Heading4"/>
    <w:uiPriority w:val="1"/>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link w:val="MainBodySectionHeading-numbered"/>
    <w:rsid w:val="00B313E2"/>
    <w:rPr>
      <w:rFonts w:ascii="Calibri" w:hAnsi="Calibri" w:cs="Tahoma"/>
      <w:b/>
      <w:smallCaps/>
      <w:sz w:val="24"/>
      <w:szCs w:val="2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ilvl w:val="2"/>
        <w:numId w:val="7"/>
      </w:numPr>
      <w:ind w:left="1134" w:hanging="1134"/>
    </w:pPr>
  </w:style>
  <w:style w:type="character" w:customStyle="1" w:styleId="ESNumberedSectionHeadingChar">
    <w:name w:val="ES Numbered Section Heading Char"/>
    <w:link w:val="ESNumberedSectionHeading"/>
    <w:rsid w:val="00F5251C"/>
    <w:rPr>
      <w:rFonts w:ascii="Calibri" w:hAnsi="Calibri" w:cs="Tahoma"/>
      <w:b/>
      <w:smallCaps/>
      <w:sz w:val="24"/>
      <w:szCs w:val="24"/>
    </w:rPr>
  </w:style>
  <w:style w:type="paragraph" w:customStyle="1" w:styleId="Tablenotes0">
    <w:name w:val="Tablenotes"/>
    <w:basedOn w:val="Tablenote"/>
    <w:link w:val="TablenotesChar0"/>
    <w:qFormat/>
    <w:rsid w:val="0037150F"/>
  </w:style>
  <w:style w:type="character" w:customStyle="1" w:styleId="TablenotesChar0">
    <w:name w:val="Tablenotes Char"/>
    <w:link w:val="Tablenotes0"/>
    <w:rsid w:val="0037150F"/>
    <w:rPr>
      <w:rFonts w:ascii="Arial Narrow" w:eastAsia="Calibri" w:hAnsi="Arial Narrow"/>
      <w:sz w:val="18"/>
      <w:szCs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link w:val="Guidelines"/>
    <w:rsid w:val="00E463F4"/>
    <w:rPr>
      <w:rFonts w:ascii="Calibri" w:hAnsi="Calibri" w:cs="Tahoma"/>
      <w:vanish/>
      <w:color w:val="C00000"/>
      <w:sz w:val="22"/>
      <w:szCs w:val="22"/>
    </w:rPr>
  </w:style>
  <w:style w:type="character" w:customStyle="1" w:styleId="Heading5Char">
    <w:name w:val="Heading 5 Char"/>
    <w:link w:val="Heading5"/>
    <w:rsid w:val="0085259E"/>
    <w:rPr>
      <w:rFonts w:ascii="Calibri" w:hAnsi="Calibri" w:cs="Tahoma"/>
      <w:b/>
      <w:i/>
      <w:sz w:val="22"/>
      <w:szCs w:val="22"/>
    </w:rPr>
  </w:style>
  <w:style w:type="paragraph" w:customStyle="1" w:styleId="Tablenotes1">
    <w:name w:val="Table notes"/>
    <w:basedOn w:val="Normal"/>
    <w:link w:val="TablenotesChar1"/>
    <w:qFormat/>
    <w:rsid w:val="0037150F"/>
    <w:pPr>
      <w:spacing w:after="200" w:line="240" w:lineRule="auto"/>
      <w:ind w:left="57" w:right="57"/>
      <w:contextualSpacing/>
    </w:pPr>
    <w:rPr>
      <w:rFonts w:ascii="Arial Narrow" w:eastAsia="Calibri" w:hAnsi="Arial Narrow" w:cs="Times New Roman"/>
      <w:sz w:val="18"/>
      <w:szCs w:val="18"/>
      <w:lang w:eastAsia="en-US"/>
    </w:rPr>
  </w:style>
  <w:style w:type="character" w:customStyle="1" w:styleId="TablenotesChar1">
    <w:name w:val="Table notes Char"/>
    <w:link w:val="Tablenotes1"/>
    <w:rsid w:val="0037150F"/>
    <w:rPr>
      <w:rFonts w:ascii="Arial Narrow" w:eastAsia="Calibri" w:hAnsi="Arial Narrow"/>
      <w:sz w:val="18"/>
      <w:szCs w:val="18"/>
      <w:lang w:eastAsia="en-US"/>
    </w:rPr>
  </w:style>
  <w:style w:type="character" w:customStyle="1" w:styleId="UnresolvedMention1">
    <w:name w:val="Unresolved Mention1"/>
    <w:uiPriority w:val="99"/>
    <w:semiHidden/>
    <w:unhideWhenUsed/>
    <w:rsid w:val="002D645F"/>
    <w:rPr>
      <w:color w:val="605E5C"/>
      <w:shd w:val="clear" w:color="auto" w:fill="E1DFDD"/>
    </w:rPr>
  </w:style>
  <w:style w:type="table" w:customStyle="1" w:styleId="PlainTable21">
    <w:name w:val="Plain Table 21"/>
    <w:basedOn w:val="TableNormal"/>
    <w:uiPriority w:val="42"/>
    <w:rsid w:val="00775A1B"/>
    <w:rPr>
      <w:rFonts w:eastAsia="Calibri"/>
      <w:sz w:val="24"/>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39"/>
    <w:rsid w:val="008475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475E5"/>
    <w:pPr>
      <w:spacing w:after="0"/>
      <w:jc w:val="center"/>
    </w:pPr>
    <w:rPr>
      <w:rFonts w:ascii="Tahoma" w:hAnsi="Tahoma"/>
      <w:noProof/>
    </w:rPr>
  </w:style>
  <w:style w:type="character" w:customStyle="1" w:styleId="EndNoteBibliographyTitleChar">
    <w:name w:val="EndNote Bibliography Title Char"/>
    <w:link w:val="EndNoteBibliographyTitle"/>
    <w:rsid w:val="008475E5"/>
    <w:rPr>
      <w:rFonts w:ascii="Tahoma" w:hAnsi="Tahoma" w:cs="Tahoma"/>
      <w:noProof/>
      <w:sz w:val="22"/>
      <w:szCs w:val="22"/>
    </w:rPr>
  </w:style>
  <w:style w:type="paragraph" w:customStyle="1" w:styleId="EndNoteBibliography">
    <w:name w:val="EndNote Bibliography"/>
    <w:basedOn w:val="Normal"/>
    <w:link w:val="EndNoteBibliographyChar"/>
    <w:rsid w:val="008475E5"/>
    <w:pPr>
      <w:spacing w:line="240" w:lineRule="auto"/>
      <w:jc w:val="both"/>
    </w:pPr>
    <w:rPr>
      <w:rFonts w:ascii="Tahoma" w:hAnsi="Tahoma"/>
      <w:noProof/>
    </w:rPr>
  </w:style>
  <w:style w:type="character" w:customStyle="1" w:styleId="EndNoteBibliographyChar">
    <w:name w:val="EndNote Bibliography Char"/>
    <w:link w:val="EndNoteBibliography"/>
    <w:rsid w:val="008475E5"/>
    <w:rPr>
      <w:rFonts w:ascii="Tahoma" w:hAnsi="Tahoma" w:cs="Tahoma"/>
      <w:noProof/>
      <w:sz w:val="22"/>
      <w:szCs w:val="22"/>
    </w:rPr>
  </w:style>
  <w:style w:type="table" w:customStyle="1" w:styleId="TableGrid3">
    <w:name w:val="Table Grid3"/>
    <w:basedOn w:val="TableNormal"/>
    <w:next w:val="TableGrid"/>
    <w:uiPriority w:val="39"/>
    <w:rsid w:val="008475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475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uiPriority w:val="99"/>
    <w:rsid w:val="00B30C0B"/>
    <w:rPr>
      <w:rFonts w:ascii="Arial Narrow" w:hAnsi="Arial Narrow" w:cs="Tahoma"/>
      <w:b/>
      <w:bCs/>
      <w:szCs w:val="22"/>
    </w:rPr>
  </w:style>
  <w:style w:type="paragraph" w:customStyle="1" w:styleId="BodyTextSTD">
    <w:name w:val="Body Text STD"/>
    <w:basedOn w:val="Normal"/>
    <w:link w:val="BodyTextSTDChar"/>
    <w:qFormat/>
    <w:rsid w:val="00857754"/>
    <w:pPr>
      <w:jc w:val="both"/>
    </w:pPr>
  </w:style>
  <w:style w:type="character" w:customStyle="1" w:styleId="BodyTextSTDChar">
    <w:name w:val="Body Text STD Char"/>
    <w:link w:val="BodyTextSTD"/>
    <w:rsid w:val="00857754"/>
    <w:rPr>
      <w:rFonts w:ascii="Calibri" w:hAnsi="Calibri" w:cs="Tahoma"/>
      <w:sz w:val="22"/>
      <w:szCs w:val="22"/>
    </w:rPr>
  </w:style>
  <w:style w:type="paragraph" w:customStyle="1" w:styleId="Tablecontents">
    <w:name w:val="Table contents"/>
    <w:basedOn w:val="Normal"/>
    <w:link w:val="TablecontentsChar"/>
    <w:qFormat/>
    <w:rsid w:val="003816D7"/>
    <w:pPr>
      <w:spacing w:before="60" w:line="240" w:lineRule="auto"/>
      <w:ind w:left="57" w:right="57"/>
      <w:contextualSpacing/>
      <w:jc w:val="both"/>
    </w:pPr>
    <w:rPr>
      <w:rFonts w:ascii="Arial Narrow" w:eastAsia="Calibri" w:hAnsi="Arial Narrow" w:cs="Times New Roman"/>
      <w:sz w:val="20"/>
      <w:szCs w:val="20"/>
      <w:lang w:eastAsia="en-US"/>
    </w:rPr>
  </w:style>
  <w:style w:type="character" w:customStyle="1" w:styleId="TablecontentsChar">
    <w:name w:val="Table contents Char"/>
    <w:link w:val="Tablecontents"/>
    <w:rsid w:val="003816D7"/>
    <w:rPr>
      <w:rFonts w:ascii="Arial Narrow" w:eastAsia="Calibri" w:hAnsi="Arial Narrow"/>
      <w:lang w:eastAsia="en-US"/>
    </w:rPr>
  </w:style>
  <w:style w:type="paragraph" w:customStyle="1" w:styleId="TableFigNotes0">
    <w:name w:val="TableFigNotes+0"/>
    <w:basedOn w:val="Normal"/>
    <w:uiPriority w:val="4"/>
    <w:qFormat/>
    <w:rsid w:val="001F5B33"/>
    <w:pPr>
      <w:keepNext/>
      <w:keepLines/>
      <w:spacing w:after="0" w:line="240" w:lineRule="auto"/>
      <w:jc w:val="both"/>
    </w:pPr>
    <w:rPr>
      <w:color w:val="000000"/>
      <w:sz w:val="16"/>
      <w:szCs w:val="18"/>
      <w:lang w:val="en-US"/>
    </w:rPr>
  </w:style>
  <w:style w:type="table" w:customStyle="1" w:styleId="OPTUMTableNormal1">
    <w:name w:val="OPTUM Table Normal1"/>
    <w:basedOn w:val="TableNormal"/>
    <w:rsid w:val="001F5B33"/>
    <w:pPr>
      <w:spacing w:before="40" w:after="20"/>
      <w:jc w:val="both"/>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ymbol" w:hAnsi="Symbo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OPTUMTableNormal">
    <w:name w:val="OPTUM Table Normal"/>
    <w:basedOn w:val="TableNormal"/>
    <w:rsid w:val="001F5B33"/>
    <w:pPr>
      <w:spacing w:before="40" w:after="20"/>
      <w:jc w:val="both"/>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ymbol" w:hAnsi="Symbo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Heading5underline">
    <w:name w:val="Heading 5 underline"/>
    <w:basedOn w:val="BodyTextSTD"/>
    <w:link w:val="Heading5underlineChar"/>
    <w:qFormat/>
    <w:rsid w:val="00C84382"/>
    <w:pPr>
      <w:keepNext/>
    </w:pPr>
    <w:rPr>
      <w:u w:val="single"/>
    </w:rPr>
  </w:style>
  <w:style w:type="character" w:customStyle="1" w:styleId="Heading5underlineChar">
    <w:name w:val="Heading 5 underline Char"/>
    <w:link w:val="Heading5underline"/>
    <w:rsid w:val="00C84382"/>
    <w:rPr>
      <w:rFonts w:ascii="Calibri" w:hAnsi="Calibri" w:cs="Tahoma"/>
      <w:sz w:val="22"/>
      <w:szCs w:val="22"/>
      <w:u w:val="single"/>
    </w:rPr>
  </w:style>
  <w:style w:type="paragraph" w:customStyle="1" w:styleId="Tableheader">
    <w:name w:val="Table header"/>
    <w:basedOn w:val="BodyText"/>
    <w:next w:val="BodyText"/>
    <w:uiPriority w:val="99"/>
    <w:qFormat/>
    <w:rsid w:val="001F5B33"/>
    <w:pPr>
      <w:tabs>
        <w:tab w:val="left" w:pos="1134"/>
      </w:tabs>
      <w:spacing w:before="120" w:after="60" w:line="276" w:lineRule="auto"/>
      <w:jc w:val="both"/>
    </w:pPr>
    <w:rPr>
      <w:rFonts w:ascii="Calibri" w:eastAsia="Calibri" w:hAnsi="Calibri" w:cs="Calibri"/>
      <w:bCs/>
      <w:i w:val="0"/>
      <w:snapToGrid/>
      <w:color w:val="auto"/>
      <w:sz w:val="20"/>
      <w:szCs w:val="20"/>
      <w:lang w:val="en-US"/>
    </w:rPr>
  </w:style>
  <w:style w:type="paragraph" w:customStyle="1" w:styleId="TableNotes2">
    <w:name w:val="Table Notes"/>
    <w:basedOn w:val="Tablenotes1"/>
    <w:next w:val="BodyText"/>
    <w:qFormat/>
    <w:rsid w:val="0037150F"/>
  </w:style>
  <w:style w:type="paragraph" w:customStyle="1" w:styleId="Tablenote">
    <w:name w:val="Table note"/>
    <w:basedOn w:val="TableNotes2"/>
    <w:link w:val="TablenoteChar"/>
    <w:qFormat/>
    <w:rsid w:val="0037150F"/>
  </w:style>
  <w:style w:type="character" w:customStyle="1" w:styleId="TablenoteChar">
    <w:name w:val="Table note Char"/>
    <w:link w:val="Tablenote"/>
    <w:rsid w:val="0037150F"/>
    <w:rPr>
      <w:rFonts w:ascii="Arial Narrow" w:eastAsia="Calibri" w:hAnsi="Arial Narrow"/>
      <w:sz w:val="18"/>
      <w:szCs w:val="18"/>
      <w:lang w:eastAsia="en-US"/>
    </w:rPr>
  </w:style>
  <w:style w:type="paragraph" w:customStyle="1" w:styleId="TableH1">
    <w:name w:val="Table H1"/>
    <w:basedOn w:val="BodyText"/>
    <w:uiPriority w:val="4"/>
    <w:qFormat/>
    <w:rsid w:val="001F5B33"/>
    <w:pPr>
      <w:keepNext/>
      <w:tabs>
        <w:tab w:val="left" w:pos="416"/>
        <w:tab w:val="left" w:pos="582"/>
        <w:tab w:val="left" w:pos="1134"/>
      </w:tabs>
      <w:spacing w:after="240" w:line="240" w:lineRule="auto"/>
      <w:jc w:val="both"/>
    </w:pPr>
    <w:rPr>
      <w:rFonts w:ascii="Calibri" w:hAnsi="Calibri" w:cs="Times New Roman"/>
      <w:bCs/>
      <w:i w:val="0"/>
      <w:snapToGrid/>
      <w:color w:val="auto"/>
      <w:sz w:val="20"/>
      <w:szCs w:val="20"/>
      <w:lang w:val="en-US"/>
    </w:rPr>
  </w:style>
  <w:style w:type="paragraph" w:customStyle="1" w:styleId="Tablename0">
    <w:name w:val="Table name"/>
    <w:basedOn w:val="Normal"/>
    <w:uiPriority w:val="4"/>
    <w:qFormat/>
    <w:rsid w:val="001F5B33"/>
    <w:pPr>
      <w:keepNext/>
      <w:tabs>
        <w:tab w:val="left" w:pos="1418"/>
      </w:tabs>
      <w:spacing w:before="120" w:after="120" w:line="240" w:lineRule="auto"/>
      <w:ind w:left="1418" w:hanging="1418"/>
      <w:jc w:val="both"/>
    </w:pPr>
    <w:rPr>
      <w:rFonts w:cs="Times New Roman"/>
      <w:b/>
      <w:bCs/>
      <w:szCs w:val="20"/>
      <w:lang w:eastAsia="en-US"/>
    </w:rPr>
  </w:style>
  <w:style w:type="paragraph" w:customStyle="1" w:styleId="TFfootnote">
    <w:name w:val="T&amp;F footnote"/>
    <w:basedOn w:val="Tabletext1"/>
    <w:next w:val="BodyText"/>
    <w:uiPriority w:val="4"/>
    <w:rsid w:val="001F5B33"/>
    <w:pPr>
      <w:tabs>
        <w:tab w:val="left" w:pos="416"/>
        <w:tab w:val="left" w:pos="582"/>
      </w:tabs>
      <w:spacing w:before="0" w:after="0"/>
      <w:jc w:val="both"/>
    </w:pPr>
    <w:rPr>
      <w:rFonts w:ascii="Calibri" w:hAnsi="Calibri" w:cs="Times New Roman"/>
      <w:bCs/>
      <w:sz w:val="16"/>
      <w:szCs w:val="22"/>
      <w:lang w:val="en-GB" w:eastAsia="en-GB"/>
    </w:rPr>
  </w:style>
  <w:style w:type="table" w:customStyle="1" w:styleId="TableGridLight1">
    <w:name w:val="Table Grid Light1"/>
    <w:basedOn w:val="TableNormal"/>
    <w:uiPriority w:val="40"/>
    <w:rsid w:val="001F5B33"/>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1F5B33"/>
    <w:pPr>
      <w:jc w:val="both"/>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Classic1"/>
    <w:uiPriority w:val="46"/>
    <w:rsid w:val="001F5B33"/>
    <w:pPr>
      <w:jc w:val="both"/>
    </w:pPr>
    <w:rPr>
      <w:rFonts w:ascii="Arial Narrow" w:hAnsi="Arial Narrow"/>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tcPr>
    <w:tblStylePr w:type="firstRow">
      <w:rPr>
        <w:b/>
        <w:bCs/>
        <w:i/>
        <w:iCs/>
      </w:rPr>
      <w:tblPr/>
      <w:tcPr>
        <w:tcBorders>
          <w:bottom w:val="single" w:sz="12" w:space="0" w:color="666666"/>
          <w:tl2br w:val="none" w:sz="0" w:space="0" w:color="auto"/>
          <w:tr2bl w:val="none" w:sz="0" w:space="0" w:color="auto"/>
        </w:tcBorders>
      </w:tcPr>
    </w:tblStylePr>
    <w:tblStylePr w:type="lastRow">
      <w:rPr>
        <w:b/>
        <w:bCs/>
        <w:color w:val="auto"/>
      </w:rPr>
      <w:tblPr/>
      <w:tcPr>
        <w:tcBorders>
          <w:top w:val="double" w:sz="2" w:space="0" w:color="66666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31">
    <w:name w:val="Plain Table 31"/>
    <w:basedOn w:val="TableNormal"/>
    <w:uiPriority w:val="43"/>
    <w:rsid w:val="001F5B33"/>
    <w:pPr>
      <w:jc w:val="both"/>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F5B33"/>
    <w:pPr>
      <w:jc w:val="both"/>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uiPriority w:val="46"/>
    <w:rsid w:val="001F5B33"/>
    <w:pPr>
      <w:jc w:val="both"/>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Table6Colorful1">
    <w:name w:val="List Table 6 Colorful1"/>
    <w:basedOn w:val="TableNormal"/>
    <w:uiPriority w:val="51"/>
    <w:rsid w:val="001F5B33"/>
    <w:pPr>
      <w:jc w:val="both"/>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1">
    <w:name w:val="List Table 1 Light1"/>
    <w:basedOn w:val="TableNormal"/>
    <w:uiPriority w:val="46"/>
    <w:rsid w:val="001F5B33"/>
    <w:pPr>
      <w:jc w:val="both"/>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7Colorful1">
    <w:name w:val="List Table 7 Colorful1"/>
    <w:basedOn w:val="TableNormal"/>
    <w:uiPriority w:val="52"/>
    <w:rsid w:val="001F5B33"/>
    <w:pPr>
      <w:jc w:val="both"/>
    </w:pPr>
    <w:rPr>
      <w:color w:val="000000"/>
    </w:rPr>
    <w:tblPr>
      <w:tblStyleRowBandSize w:val="1"/>
      <w:tblStyleColBandSize w:val="1"/>
    </w:tblPr>
    <w:tblStylePr w:type="firstRow">
      <w:rPr>
        <w:rFonts w:ascii="Helvetica" w:eastAsia="Angsana New" w:hAnsi="Helvetica" w:cs="Times New Roman"/>
        <w:i/>
        <w:iCs/>
        <w:sz w:val="26"/>
      </w:rPr>
      <w:tblPr/>
      <w:tcPr>
        <w:tcBorders>
          <w:bottom w:val="single" w:sz="4" w:space="0" w:color="000000"/>
        </w:tcBorders>
        <w:shd w:val="clear" w:color="auto" w:fill="FFFFFF"/>
      </w:tcPr>
    </w:tblStylePr>
    <w:tblStylePr w:type="lastRow">
      <w:rPr>
        <w:rFonts w:ascii="Helvetica" w:eastAsia="Angsana New" w:hAnsi="Helvetica" w:cs="Times New Roman"/>
        <w:i/>
        <w:iCs/>
        <w:sz w:val="26"/>
      </w:rPr>
      <w:tblPr/>
      <w:tcPr>
        <w:tcBorders>
          <w:top w:val="single" w:sz="4" w:space="0" w:color="000000"/>
        </w:tcBorders>
        <w:shd w:val="clear" w:color="auto" w:fill="FFFFFF"/>
      </w:tcPr>
    </w:tblStylePr>
    <w:tblStylePr w:type="firstCol">
      <w:pPr>
        <w:jc w:val="right"/>
      </w:pPr>
      <w:rPr>
        <w:rFonts w:ascii="Helvetica" w:eastAsia="Angsana New" w:hAnsi="Helvetica" w:cs="Times New Roman"/>
        <w:i/>
        <w:iCs/>
        <w:sz w:val="26"/>
      </w:rPr>
      <w:tblPr/>
      <w:tcPr>
        <w:tcBorders>
          <w:right w:val="single" w:sz="4" w:space="0" w:color="000000"/>
        </w:tcBorders>
        <w:shd w:val="clear" w:color="auto" w:fill="FFFFFF"/>
      </w:tcPr>
    </w:tblStylePr>
    <w:tblStylePr w:type="lastCol">
      <w:rPr>
        <w:rFonts w:ascii="Helvetica" w:eastAsia="Angsana New" w:hAnsi="Helvetic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1">
    <w:name w:val="List Table 21"/>
    <w:basedOn w:val="TableNormal"/>
    <w:uiPriority w:val="47"/>
    <w:rsid w:val="001F5B33"/>
    <w:pPr>
      <w:jc w:val="both"/>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
    <w:name w:val="List Table 31"/>
    <w:basedOn w:val="TableNormal"/>
    <w:uiPriority w:val="48"/>
    <w:rsid w:val="001F5B33"/>
    <w:pPr>
      <w:jc w:val="both"/>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uiPriority w:val="49"/>
    <w:rsid w:val="001F5B33"/>
    <w:pPr>
      <w:jc w:val="both"/>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Normal"/>
    <w:uiPriority w:val="51"/>
    <w:rsid w:val="001F5B33"/>
    <w:pPr>
      <w:jc w:val="both"/>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ableParagraph">
    <w:name w:val="Table Paragraph"/>
    <w:basedOn w:val="Normal"/>
    <w:uiPriority w:val="1"/>
    <w:qFormat/>
    <w:rsid w:val="001F5B33"/>
    <w:pPr>
      <w:widowControl w:val="0"/>
      <w:spacing w:after="0" w:line="240" w:lineRule="auto"/>
      <w:jc w:val="both"/>
    </w:pPr>
    <w:rPr>
      <w:rFonts w:eastAsia="Calibri" w:cs="Times New Roman"/>
      <w:lang w:val="en-US" w:eastAsia="en-US"/>
    </w:rPr>
  </w:style>
  <w:style w:type="table" w:customStyle="1" w:styleId="Summarybox1">
    <w:name w:val="Summary box1"/>
    <w:basedOn w:val="TableNormal"/>
    <w:next w:val="TableGrid"/>
    <w:rsid w:val="001F5B33"/>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1"/>
    <w:uiPriority w:val="1"/>
    <w:rsid w:val="001F5B33"/>
    <w:rPr>
      <w:rFonts w:ascii="Calibri" w:hAnsi="Calibri" w:cs="Tahoma"/>
      <w:sz w:val="22"/>
      <w:szCs w:val="22"/>
    </w:rPr>
  </w:style>
  <w:style w:type="character" w:customStyle="1" w:styleId="TablefootnoteChar">
    <w:name w:val="Table footnote Char"/>
    <w:link w:val="Tablefootnote"/>
    <w:locked/>
    <w:rsid w:val="001F5B33"/>
    <w:rPr>
      <w:rFonts w:ascii="Arial Narrow" w:hAnsi="Arial Narrow" w:cs="Arial Narrow"/>
      <w:noProof/>
      <w:sz w:val="16"/>
      <w:szCs w:val="16"/>
      <w:lang w:val="en-GB"/>
    </w:rPr>
  </w:style>
  <w:style w:type="paragraph" w:customStyle="1" w:styleId="Tablefootnote">
    <w:name w:val="Table footnote"/>
    <w:basedOn w:val="Normal"/>
    <w:link w:val="TablefootnoteChar"/>
    <w:qFormat/>
    <w:rsid w:val="001F5B33"/>
    <w:pPr>
      <w:keepNext/>
      <w:keepLines/>
      <w:spacing w:after="360" w:line="240" w:lineRule="auto"/>
      <w:contextualSpacing/>
      <w:jc w:val="both"/>
    </w:pPr>
    <w:rPr>
      <w:rFonts w:ascii="Arial Narrow" w:hAnsi="Arial Narrow" w:cs="Arial Narrow"/>
      <w:noProof/>
      <w:sz w:val="16"/>
      <w:szCs w:val="16"/>
      <w:lang w:val="en-GB"/>
    </w:rPr>
  </w:style>
  <w:style w:type="paragraph" w:customStyle="1" w:styleId="Synopsis">
    <w:name w:val="Synopsis"/>
    <w:basedOn w:val="Normal"/>
    <w:rsid w:val="001F5B33"/>
    <w:pPr>
      <w:spacing w:before="120" w:line="240" w:lineRule="auto"/>
      <w:jc w:val="both"/>
    </w:pPr>
    <w:rPr>
      <w:rFonts w:ascii="Arial" w:hAnsi="Arial" w:cs="Times New Roman"/>
      <w:sz w:val="20"/>
      <w:szCs w:val="20"/>
      <w:lang w:val="en-US" w:eastAsia="en-US"/>
    </w:rPr>
  </w:style>
  <w:style w:type="paragraph" w:customStyle="1" w:styleId="MediumGrid21">
    <w:name w:val="Medium Grid 21"/>
    <w:uiPriority w:val="1"/>
    <w:qFormat/>
    <w:rsid w:val="001F5B33"/>
    <w:pPr>
      <w:jc w:val="both"/>
    </w:pPr>
    <w:rPr>
      <w:rFonts w:ascii="Calibri" w:eastAsia="Calibri" w:hAnsi="Calibri"/>
      <w:sz w:val="22"/>
      <w:szCs w:val="22"/>
      <w:lang w:val="en-US" w:eastAsia="en-US"/>
    </w:rPr>
  </w:style>
  <w:style w:type="table" w:styleId="PlainTable1">
    <w:name w:val="Plain Table 1"/>
    <w:basedOn w:val="TableNormal"/>
    <w:uiPriority w:val="41"/>
    <w:rsid w:val="001F5B3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heading1">
    <w:name w:val="Table heading"/>
    <w:basedOn w:val="Normal"/>
    <w:link w:val="TableheadingChar0"/>
    <w:qFormat/>
    <w:rsid w:val="00DE59D4"/>
    <w:pPr>
      <w:spacing w:after="0" w:line="240" w:lineRule="auto"/>
      <w:ind w:left="57" w:right="57"/>
    </w:pPr>
    <w:rPr>
      <w:rFonts w:ascii="Arial Narrow" w:eastAsia="Calibri" w:hAnsi="Arial Narrow" w:cs="Times New Roman"/>
      <w:b/>
      <w:sz w:val="20"/>
      <w:szCs w:val="20"/>
      <w:lang w:eastAsia="en-US"/>
    </w:rPr>
  </w:style>
  <w:style w:type="character" w:customStyle="1" w:styleId="TableheadingChar0">
    <w:name w:val="Table heading Char"/>
    <w:link w:val="Tableheading1"/>
    <w:rsid w:val="00DE59D4"/>
    <w:rPr>
      <w:rFonts w:ascii="Arial Narrow" w:eastAsia="Calibri" w:hAnsi="Arial Narrow"/>
      <w:b/>
      <w:lang w:eastAsia="en-US"/>
    </w:rPr>
  </w:style>
  <w:style w:type="character" w:customStyle="1" w:styleId="UnresolvedMention2">
    <w:name w:val="Unresolved Mention2"/>
    <w:uiPriority w:val="99"/>
    <w:semiHidden/>
    <w:unhideWhenUsed/>
    <w:rsid w:val="003120C6"/>
    <w:rPr>
      <w:color w:val="605E5C"/>
      <w:shd w:val="clear" w:color="auto" w:fill="E1DFDD"/>
    </w:rPr>
  </w:style>
  <w:style w:type="paragraph" w:styleId="ListParagraph">
    <w:name w:val="List Paragraph"/>
    <w:basedOn w:val="Normal"/>
    <w:link w:val="ListParagraphChar"/>
    <w:uiPriority w:val="34"/>
    <w:qFormat/>
    <w:rsid w:val="00155820"/>
    <w:pPr>
      <w:ind w:left="720"/>
      <w:contextualSpacing/>
    </w:pPr>
  </w:style>
  <w:style w:type="character" w:customStyle="1" w:styleId="cell-value">
    <w:name w:val="cell-value"/>
    <w:basedOn w:val="DefaultParagraphFont"/>
    <w:rsid w:val="0048316C"/>
  </w:style>
  <w:style w:type="paragraph" w:styleId="Revision">
    <w:name w:val="Revision"/>
    <w:hidden/>
    <w:uiPriority w:val="71"/>
    <w:rsid w:val="00986AF7"/>
    <w:rPr>
      <w:rFonts w:ascii="Calibri" w:hAnsi="Calibri" w:cs="Tahoma"/>
      <w:sz w:val="22"/>
      <w:szCs w:val="22"/>
    </w:rPr>
  </w:style>
  <w:style w:type="character" w:customStyle="1" w:styleId="UnresolvedMention3">
    <w:name w:val="Unresolved Mention3"/>
    <w:basedOn w:val="DefaultParagraphFont"/>
    <w:uiPriority w:val="99"/>
    <w:semiHidden/>
    <w:unhideWhenUsed/>
    <w:rsid w:val="00497E19"/>
    <w:rPr>
      <w:color w:val="605E5C"/>
      <w:shd w:val="clear" w:color="auto" w:fill="E1DFDD"/>
    </w:rPr>
  </w:style>
  <w:style w:type="character" w:customStyle="1" w:styleId="UnresolvedMention4">
    <w:name w:val="Unresolved Mention4"/>
    <w:basedOn w:val="DefaultParagraphFont"/>
    <w:uiPriority w:val="99"/>
    <w:semiHidden/>
    <w:unhideWhenUsed/>
    <w:rsid w:val="006F35B9"/>
    <w:rPr>
      <w:color w:val="605E5C"/>
      <w:shd w:val="clear" w:color="auto" w:fill="E1DFDD"/>
    </w:rPr>
  </w:style>
  <w:style w:type="paragraph" w:customStyle="1" w:styleId="TableStyle2">
    <w:name w:val="Table Style2"/>
    <w:basedOn w:val="Normal"/>
    <w:qFormat/>
    <w:rsid w:val="00837294"/>
    <w:pPr>
      <w:spacing w:after="0" w:line="240" w:lineRule="auto"/>
      <w:jc w:val="both"/>
    </w:pPr>
    <w:rPr>
      <w:rFonts w:asciiTheme="minorHAnsi" w:eastAsiaTheme="minorHAnsi" w:hAnsiTheme="minorHAnsi" w:cstheme="minorBidi"/>
      <w:sz w:val="20"/>
      <w:lang w:eastAsia="en-US"/>
    </w:rPr>
  </w:style>
  <w:style w:type="character" w:customStyle="1" w:styleId="ListParagraphChar">
    <w:name w:val="List Paragraph Char"/>
    <w:link w:val="ListParagraph"/>
    <w:uiPriority w:val="34"/>
    <w:rsid w:val="00920414"/>
    <w:rPr>
      <w:rFonts w:ascii="Calibri" w:hAnsi="Calibri" w:cs="Tahoma"/>
      <w:sz w:val="22"/>
      <w:szCs w:val="22"/>
    </w:rPr>
  </w:style>
  <w:style w:type="table" w:customStyle="1" w:styleId="TableGrid11">
    <w:name w:val="Table Grid11"/>
    <w:basedOn w:val="TableNormal"/>
    <w:rsid w:val="00EF530F"/>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 w:hAnsi="Helv" w:hint="default"/>
        <w:b w:val="0"/>
        <w:sz w:val="20"/>
        <w:szCs w:val="20"/>
      </w:rPr>
    </w:tblStylePr>
  </w:style>
  <w:style w:type="table" w:customStyle="1" w:styleId="TableGrid21">
    <w:name w:val="Table Grid21"/>
    <w:basedOn w:val="TableNormal"/>
    <w:rsid w:val="00EF530F"/>
    <w:pPr>
      <w:spacing w:before="40" w:after="40"/>
    </w:pPr>
    <w:rPr>
      <w:rFonts w:ascii="Arial Narrow" w:hAnsi="Arial Narro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 w:hAnsi="Helv" w:hint="default"/>
        <w:b w:val="0"/>
        <w:sz w:val="20"/>
        <w:szCs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92284193">
      <w:bodyDiv w:val="1"/>
      <w:marLeft w:val="0"/>
      <w:marRight w:val="0"/>
      <w:marTop w:val="0"/>
      <w:marBottom w:val="0"/>
      <w:divBdr>
        <w:top w:val="none" w:sz="0" w:space="0" w:color="auto"/>
        <w:left w:val="none" w:sz="0" w:space="0" w:color="auto"/>
        <w:bottom w:val="none" w:sz="0" w:space="0" w:color="auto"/>
        <w:right w:val="none" w:sz="0" w:space="0" w:color="auto"/>
      </w:divBdr>
    </w:div>
    <w:div w:id="125124339">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5728252">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37636431">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298265321">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1396881">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361518625">
      <w:bodyDiv w:val="1"/>
      <w:marLeft w:val="0"/>
      <w:marRight w:val="0"/>
      <w:marTop w:val="0"/>
      <w:marBottom w:val="0"/>
      <w:divBdr>
        <w:top w:val="none" w:sz="0" w:space="0" w:color="auto"/>
        <w:left w:val="none" w:sz="0" w:space="0" w:color="auto"/>
        <w:bottom w:val="none" w:sz="0" w:space="0" w:color="auto"/>
        <w:right w:val="none" w:sz="0" w:space="0" w:color="auto"/>
      </w:divBdr>
    </w:div>
    <w:div w:id="398022709">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43230615">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74679">
      <w:bodyDiv w:val="1"/>
      <w:marLeft w:val="0"/>
      <w:marRight w:val="0"/>
      <w:marTop w:val="0"/>
      <w:marBottom w:val="0"/>
      <w:divBdr>
        <w:top w:val="none" w:sz="0" w:space="0" w:color="auto"/>
        <w:left w:val="none" w:sz="0" w:space="0" w:color="auto"/>
        <w:bottom w:val="none" w:sz="0" w:space="0" w:color="auto"/>
        <w:right w:val="none" w:sz="0" w:space="0" w:color="auto"/>
      </w:divBdr>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17353225">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30456668">
      <w:bodyDiv w:val="1"/>
      <w:marLeft w:val="0"/>
      <w:marRight w:val="0"/>
      <w:marTop w:val="0"/>
      <w:marBottom w:val="0"/>
      <w:divBdr>
        <w:top w:val="none" w:sz="0" w:space="0" w:color="auto"/>
        <w:left w:val="none" w:sz="0" w:space="0" w:color="auto"/>
        <w:bottom w:val="none" w:sz="0" w:space="0" w:color="auto"/>
        <w:right w:val="none" w:sz="0" w:space="0" w:color="auto"/>
      </w:divBdr>
      <w:divsChild>
        <w:div w:id="47803020">
          <w:marLeft w:val="0"/>
          <w:marRight w:val="0"/>
          <w:marTop w:val="0"/>
          <w:marBottom w:val="0"/>
          <w:divBdr>
            <w:top w:val="none" w:sz="0" w:space="0" w:color="auto"/>
            <w:left w:val="none" w:sz="0" w:space="0" w:color="auto"/>
            <w:bottom w:val="none" w:sz="0" w:space="0" w:color="auto"/>
            <w:right w:val="none" w:sz="0" w:space="0" w:color="auto"/>
          </w:divBdr>
          <w:divsChild>
            <w:div w:id="1863129278">
              <w:marLeft w:val="0"/>
              <w:marRight w:val="0"/>
              <w:marTop w:val="0"/>
              <w:marBottom w:val="0"/>
              <w:divBdr>
                <w:top w:val="none" w:sz="0" w:space="0" w:color="auto"/>
                <w:left w:val="none" w:sz="0" w:space="0" w:color="auto"/>
                <w:bottom w:val="none" w:sz="0" w:space="0" w:color="auto"/>
                <w:right w:val="none" w:sz="0" w:space="0" w:color="auto"/>
              </w:divBdr>
            </w:div>
            <w:div w:id="11189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90531">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595940592">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08991366">
      <w:bodyDiv w:val="1"/>
      <w:marLeft w:val="0"/>
      <w:marRight w:val="0"/>
      <w:marTop w:val="0"/>
      <w:marBottom w:val="0"/>
      <w:divBdr>
        <w:top w:val="none" w:sz="0" w:space="0" w:color="auto"/>
        <w:left w:val="none" w:sz="0" w:space="0" w:color="auto"/>
        <w:bottom w:val="none" w:sz="0" w:space="0" w:color="auto"/>
        <w:right w:val="none" w:sz="0" w:space="0" w:color="auto"/>
      </w:divBdr>
      <w:divsChild>
        <w:div w:id="1188102541">
          <w:marLeft w:val="0"/>
          <w:marRight w:val="0"/>
          <w:marTop w:val="0"/>
          <w:marBottom w:val="0"/>
          <w:divBdr>
            <w:top w:val="none" w:sz="0" w:space="0" w:color="auto"/>
            <w:left w:val="none" w:sz="0" w:space="0" w:color="auto"/>
            <w:bottom w:val="none" w:sz="0" w:space="0" w:color="auto"/>
            <w:right w:val="none" w:sz="0" w:space="0" w:color="auto"/>
          </w:divBdr>
        </w:div>
        <w:div w:id="2142309081">
          <w:marLeft w:val="0"/>
          <w:marRight w:val="0"/>
          <w:marTop w:val="0"/>
          <w:marBottom w:val="0"/>
          <w:divBdr>
            <w:top w:val="none" w:sz="0" w:space="0" w:color="auto"/>
            <w:left w:val="none" w:sz="0" w:space="0" w:color="auto"/>
            <w:bottom w:val="none" w:sz="0" w:space="0" w:color="auto"/>
            <w:right w:val="none" w:sz="0" w:space="0" w:color="auto"/>
          </w:divBdr>
          <w:divsChild>
            <w:div w:id="1001736327">
              <w:marLeft w:val="0"/>
              <w:marRight w:val="0"/>
              <w:marTop w:val="0"/>
              <w:marBottom w:val="0"/>
              <w:divBdr>
                <w:top w:val="none" w:sz="0" w:space="0" w:color="auto"/>
                <w:left w:val="none" w:sz="0" w:space="0" w:color="auto"/>
                <w:bottom w:val="none" w:sz="0" w:space="0" w:color="auto"/>
                <w:right w:val="none" w:sz="0" w:space="0" w:color="auto"/>
              </w:divBdr>
              <w:divsChild>
                <w:div w:id="2088071418">
                  <w:marLeft w:val="0"/>
                  <w:marRight w:val="0"/>
                  <w:marTop w:val="0"/>
                  <w:marBottom w:val="0"/>
                  <w:divBdr>
                    <w:top w:val="none" w:sz="0" w:space="0" w:color="auto"/>
                    <w:left w:val="none" w:sz="0" w:space="0" w:color="auto"/>
                    <w:bottom w:val="none" w:sz="0" w:space="0" w:color="auto"/>
                    <w:right w:val="none" w:sz="0" w:space="0" w:color="auto"/>
                  </w:divBdr>
                </w:div>
                <w:div w:id="10806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716051084">
      <w:bodyDiv w:val="1"/>
      <w:marLeft w:val="0"/>
      <w:marRight w:val="0"/>
      <w:marTop w:val="0"/>
      <w:marBottom w:val="0"/>
      <w:divBdr>
        <w:top w:val="none" w:sz="0" w:space="0" w:color="auto"/>
        <w:left w:val="none" w:sz="0" w:space="0" w:color="auto"/>
        <w:bottom w:val="none" w:sz="0" w:space="0" w:color="auto"/>
        <w:right w:val="none" w:sz="0" w:space="0" w:color="auto"/>
      </w:divBdr>
    </w:div>
    <w:div w:id="799108780">
      <w:bodyDiv w:val="1"/>
      <w:marLeft w:val="0"/>
      <w:marRight w:val="0"/>
      <w:marTop w:val="0"/>
      <w:marBottom w:val="0"/>
      <w:divBdr>
        <w:top w:val="none" w:sz="0" w:space="0" w:color="auto"/>
        <w:left w:val="none" w:sz="0" w:space="0" w:color="auto"/>
        <w:bottom w:val="none" w:sz="0" w:space="0" w:color="auto"/>
        <w:right w:val="none" w:sz="0" w:space="0" w:color="auto"/>
      </w:divBdr>
    </w:div>
    <w:div w:id="808012292">
      <w:bodyDiv w:val="1"/>
      <w:marLeft w:val="0"/>
      <w:marRight w:val="0"/>
      <w:marTop w:val="0"/>
      <w:marBottom w:val="0"/>
      <w:divBdr>
        <w:top w:val="none" w:sz="0" w:space="0" w:color="auto"/>
        <w:left w:val="none" w:sz="0" w:space="0" w:color="auto"/>
        <w:bottom w:val="none" w:sz="0" w:space="0" w:color="auto"/>
        <w:right w:val="none" w:sz="0" w:space="0" w:color="auto"/>
      </w:divBdr>
    </w:div>
    <w:div w:id="814613497">
      <w:bodyDiv w:val="1"/>
      <w:marLeft w:val="0"/>
      <w:marRight w:val="0"/>
      <w:marTop w:val="0"/>
      <w:marBottom w:val="0"/>
      <w:divBdr>
        <w:top w:val="none" w:sz="0" w:space="0" w:color="auto"/>
        <w:left w:val="none" w:sz="0" w:space="0" w:color="auto"/>
        <w:bottom w:val="none" w:sz="0" w:space="0" w:color="auto"/>
        <w:right w:val="none" w:sz="0" w:space="0" w:color="auto"/>
      </w:divBdr>
    </w:div>
    <w:div w:id="840776432">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58991143">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983773672">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54963974">
      <w:bodyDiv w:val="1"/>
      <w:marLeft w:val="0"/>
      <w:marRight w:val="0"/>
      <w:marTop w:val="0"/>
      <w:marBottom w:val="0"/>
      <w:divBdr>
        <w:top w:val="none" w:sz="0" w:space="0" w:color="auto"/>
        <w:left w:val="none" w:sz="0" w:space="0" w:color="auto"/>
        <w:bottom w:val="none" w:sz="0" w:space="0" w:color="auto"/>
        <w:right w:val="none" w:sz="0" w:space="0" w:color="auto"/>
      </w:divBdr>
    </w:div>
    <w:div w:id="1060904318">
      <w:bodyDiv w:val="1"/>
      <w:marLeft w:val="0"/>
      <w:marRight w:val="0"/>
      <w:marTop w:val="0"/>
      <w:marBottom w:val="0"/>
      <w:divBdr>
        <w:top w:val="none" w:sz="0" w:space="0" w:color="auto"/>
        <w:left w:val="none" w:sz="0" w:space="0" w:color="auto"/>
        <w:bottom w:val="none" w:sz="0" w:space="0" w:color="auto"/>
        <w:right w:val="none" w:sz="0" w:space="0" w:color="auto"/>
      </w:divBdr>
    </w:div>
    <w:div w:id="1066298442">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381173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6890263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20898217">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31186178">
      <w:bodyDiv w:val="1"/>
      <w:marLeft w:val="0"/>
      <w:marRight w:val="0"/>
      <w:marTop w:val="0"/>
      <w:marBottom w:val="0"/>
      <w:divBdr>
        <w:top w:val="none" w:sz="0" w:space="0" w:color="auto"/>
        <w:left w:val="none" w:sz="0" w:space="0" w:color="auto"/>
        <w:bottom w:val="none" w:sz="0" w:space="0" w:color="auto"/>
        <w:right w:val="none" w:sz="0" w:space="0" w:color="auto"/>
      </w:divBdr>
    </w:div>
    <w:div w:id="1249654821">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280064323">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05222961">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19716360">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449735378">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59631622">
      <w:bodyDiv w:val="1"/>
      <w:marLeft w:val="0"/>
      <w:marRight w:val="0"/>
      <w:marTop w:val="0"/>
      <w:marBottom w:val="0"/>
      <w:divBdr>
        <w:top w:val="none" w:sz="0" w:space="0" w:color="auto"/>
        <w:left w:val="none" w:sz="0" w:space="0" w:color="auto"/>
        <w:bottom w:val="none" w:sz="0" w:space="0" w:color="auto"/>
        <w:right w:val="none" w:sz="0" w:space="0" w:color="auto"/>
      </w:divBdr>
      <w:divsChild>
        <w:div w:id="1675064738">
          <w:marLeft w:val="0"/>
          <w:marRight w:val="0"/>
          <w:marTop w:val="0"/>
          <w:marBottom w:val="0"/>
          <w:divBdr>
            <w:top w:val="none" w:sz="0" w:space="0" w:color="auto"/>
            <w:left w:val="none" w:sz="0" w:space="0" w:color="auto"/>
            <w:bottom w:val="none" w:sz="0" w:space="0" w:color="auto"/>
            <w:right w:val="none" w:sz="0" w:space="0" w:color="auto"/>
          </w:divBdr>
          <w:divsChild>
            <w:div w:id="1449472899">
              <w:marLeft w:val="0"/>
              <w:marRight w:val="0"/>
              <w:marTop w:val="0"/>
              <w:marBottom w:val="0"/>
              <w:divBdr>
                <w:top w:val="none" w:sz="0" w:space="0" w:color="auto"/>
                <w:left w:val="none" w:sz="0" w:space="0" w:color="auto"/>
                <w:bottom w:val="none" w:sz="0" w:space="0" w:color="auto"/>
                <w:right w:val="none" w:sz="0" w:space="0" w:color="auto"/>
              </w:divBdr>
              <w:divsChild>
                <w:div w:id="766267153">
                  <w:marLeft w:val="0"/>
                  <w:marRight w:val="0"/>
                  <w:marTop w:val="0"/>
                  <w:marBottom w:val="0"/>
                  <w:divBdr>
                    <w:top w:val="none" w:sz="0" w:space="0" w:color="auto"/>
                    <w:left w:val="none" w:sz="0" w:space="0" w:color="auto"/>
                    <w:bottom w:val="none" w:sz="0" w:space="0" w:color="auto"/>
                    <w:right w:val="none" w:sz="0" w:space="0" w:color="auto"/>
                  </w:divBdr>
                  <w:divsChild>
                    <w:div w:id="2020505653">
                      <w:marLeft w:val="0"/>
                      <w:marRight w:val="0"/>
                      <w:marTop w:val="0"/>
                      <w:marBottom w:val="0"/>
                      <w:divBdr>
                        <w:top w:val="none" w:sz="0" w:space="0" w:color="auto"/>
                        <w:left w:val="none" w:sz="0" w:space="0" w:color="auto"/>
                        <w:bottom w:val="none" w:sz="0" w:space="0" w:color="auto"/>
                        <w:right w:val="none" w:sz="0" w:space="0" w:color="auto"/>
                      </w:divBdr>
                    </w:div>
                    <w:div w:id="114127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61869">
              <w:marLeft w:val="0"/>
              <w:marRight w:val="0"/>
              <w:marTop w:val="0"/>
              <w:marBottom w:val="0"/>
              <w:divBdr>
                <w:top w:val="none" w:sz="0" w:space="0" w:color="auto"/>
                <w:left w:val="none" w:sz="0" w:space="0" w:color="auto"/>
                <w:bottom w:val="none" w:sz="0" w:space="0" w:color="auto"/>
                <w:right w:val="none" w:sz="0" w:space="0" w:color="auto"/>
              </w:divBdr>
              <w:divsChild>
                <w:div w:id="768084947">
                  <w:marLeft w:val="0"/>
                  <w:marRight w:val="0"/>
                  <w:marTop w:val="0"/>
                  <w:marBottom w:val="0"/>
                  <w:divBdr>
                    <w:top w:val="none" w:sz="0" w:space="0" w:color="auto"/>
                    <w:left w:val="none" w:sz="0" w:space="0" w:color="auto"/>
                    <w:bottom w:val="none" w:sz="0" w:space="0" w:color="auto"/>
                    <w:right w:val="none" w:sz="0" w:space="0" w:color="auto"/>
                  </w:divBdr>
                </w:div>
                <w:div w:id="7953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19088">
          <w:marLeft w:val="0"/>
          <w:marRight w:val="0"/>
          <w:marTop w:val="0"/>
          <w:marBottom w:val="0"/>
          <w:divBdr>
            <w:top w:val="none" w:sz="0" w:space="0" w:color="auto"/>
            <w:left w:val="none" w:sz="0" w:space="0" w:color="auto"/>
            <w:bottom w:val="none" w:sz="0" w:space="0" w:color="auto"/>
            <w:right w:val="none" w:sz="0" w:space="0" w:color="auto"/>
          </w:divBdr>
          <w:divsChild>
            <w:div w:id="947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33828308">
      <w:bodyDiv w:val="1"/>
      <w:marLeft w:val="0"/>
      <w:marRight w:val="0"/>
      <w:marTop w:val="0"/>
      <w:marBottom w:val="0"/>
      <w:divBdr>
        <w:top w:val="none" w:sz="0" w:space="0" w:color="auto"/>
        <w:left w:val="none" w:sz="0" w:space="0" w:color="auto"/>
        <w:bottom w:val="none" w:sz="0" w:space="0" w:color="auto"/>
        <w:right w:val="none" w:sz="0" w:space="0" w:color="auto"/>
      </w:divBdr>
    </w:div>
    <w:div w:id="1654682025">
      <w:bodyDiv w:val="1"/>
      <w:marLeft w:val="0"/>
      <w:marRight w:val="0"/>
      <w:marTop w:val="0"/>
      <w:marBottom w:val="0"/>
      <w:divBdr>
        <w:top w:val="none" w:sz="0" w:space="0" w:color="auto"/>
        <w:left w:val="none" w:sz="0" w:space="0" w:color="auto"/>
        <w:bottom w:val="none" w:sz="0" w:space="0" w:color="auto"/>
        <w:right w:val="none" w:sz="0" w:space="0" w:color="auto"/>
      </w:divBdr>
    </w:div>
    <w:div w:id="1665163031">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687051428">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56514102">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793209350">
      <w:bodyDiv w:val="1"/>
      <w:marLeft w:val="0"/>
      <w:marRight w:val="0"/>
      <w:marTop w:val="0"/>
      <w:marBottom w:val="0"/>
      <w:divBdr>
        <w:top w:val="none" w:sz="0" w:space="0" w:color="auto"/>
        <w:left w:val="none" w:sz="0" w:space="0" w:color="auto"/>
        <w:bottom w:val="none" w:sz="0" w:space="0" w:color="auto"/>
        <w:right w:val="none" w:sz="0" w:space="0" w:color="auto"/>
      </w:divBdr>
    </w:div>
    <w:div w:id="1828593113">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0815014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017032">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63752621">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43963819">
      <w:bodyDiv w:val="1"/>
      <w:marLeft w:val="0"/>
      <w:marRight w:val="0"/>
      <w:marTop w:val="0"/>
      <w:marBottom w:val="0"/>
      <w:divBdr>
        <w:top w:val="none" w:sz="0" w:space="0" w:color="auto"/>
        <w:left w:val="none" w:sz="0" w:space="0" w:color="auto"/>
        <w:bottom w:val="none" w:sz="0" w:space="0" w:color="auto"/>
        <w:right w:val="none" w:sz="0" w:space="0" w:color="auto"/>
      </w:divBdr>
    </w:div>
    <w:div w:id="214488556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image" Target="media/image10.png"/><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hyperlink" Target="https://www.ihpa.gov.au/what-we-do/pricing/national-weighted-activity-unit-nwau-calculators/nwau-calculators-2020-21" TargetMode="External"/><Relationship Id="rId50" Type="http://schemas.openxmlformats.org/officeDocument/2006/relationships/hyperlink" Target="https://www.ihpa.gov.au/what-we-do/pricing/national-weighted-activity-unit-nwau-calculators/nwau-calculators-2020-21" TargetMode="External"/><Relationship Id="rId55" Type="http://schemas.openxmlformats.org/officeDocument/2006/relationships/hyperlink" Target="http://www.waa-registry.org" TargetMode="External"/><Relationship Id="rId63" Type="http://schemas.openxmlformats.org/officeDocument/2006/relationships/package" Target="embeddings/Microsoft_Visio_Drawing.vsdx"/><Relationship Id="rId68" Type="http://schemas.openxmlformats.org/officeDocument/2006/relationships/footer" Target="footer9.xml"/><Relationship Id="rId76" Type="http://schemas.openxmlformats.org/officeDocument/2006/relationships/hyperlink" Target="https://www.abs.gov.au/statistics/people/population/life-tables/2017-2019" TargetMode="External"/><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png"/><Relationship Id="rId11" Type="http://schemas.openxmlformats.org/officeDocument/2006/relationships/hyperlink" Target="mailto:hta@health.gov.au" TargetMode="External"/><Relationship Id="rId24" Type="http://schemas.openxmlformats.org/officeDocument/2006/relationships/header" Target="header8.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footer" Target="footer6.xml"/><Relationship Id="rId45" Type="http://schemas.openxmlformats.org/officeDocument/2006/relationships/image" Target="media/image12.emf"/><Relationship Id="rId53" Type="http://schemas.openxmlformats.org/officeDocument/2006/relationships/image" Target="media/image14.png"/><Relationship Id="rId58" Type="http://schemas.openxmlformats.org/officeDocument/2006/relationships/image" Target="media/image16.png"/><Relationship Id="rId66" Type="http://schemas.openxmlformats.org/officeDocument/2006/relationships/header" Target="header13.xml"/><Relationship Id="rId74" Type="http://schemas.openxmlformats.org/officeDocument/2006/relationships/image" Target="media/image25.png"/><Relationship Id="rId79" Type="http://schemas.openxmlformats.org/officeDocument/2006/relationships/hyperlink" Target="https://www.blood.gov.au/data-analysis-reporting" TargetMode="External"/><Relationship Id="rId87"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fontTable" Target="fontTable.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ag.gov.au/"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yperlink" Target="http://www.waa-registry.org" TargetMode="External"/><Relationship Id="rId35" Type="http://schemas.openxmlformats.org/officeDocument/2006/relationships/image" Target="media/image6.png"/><Relationship Id="rId43" Type="http://schemas.openxmlformats.org/officeDocument/2006/relationships/hyperlink" Target="https://www.google.com/search?client=firefox-b-d&amp;q=mahurkar+catheter" TargetMode="External"/><Relationship Id="rId48" Type="http://schemas.openxmlformats.org/officeDocument/2006/relationships/hyperlink" Target="http://www9.health.gov.au/mbs/search.cfm" TargetMode="External"/><Relationship Id="rId56" Type="http://schemas.openxmlformats.org/officeDocument/2006/relationships/footer" Target="footer8.xml"/><Relationship Id="rId64" Type="http://schemas.openxmlformats.org/officeDocument/2006/relationships/image" Target="media/image21.emf"/><Relationship Id="rId69" Type="http://schemas.openxmlformats.org/officeDocument/2006/relationships/header" Target="header15.xml"/><Relationship Id="rId77" Type="http://schemas.openxmlformats.org/officeDocument/2006/relationships/hyperlink" Target="file:///C:\Users\a1065539\AppData\Local\Microsoft\Windows\INetCache\Content.Outlook\QCG3URZV\www.blood.gov.au\about-nba" TargetMode="External"/><Relationship Id="rId8" Type="http://schemas.openxmlformats.org/officeDocument/2006/relationships/hyperlink" Target="http://www.msac.gov.au/" TargetMode="External"/><Relationship Id="rId51" Type="http://schemas.openxmlformats.org/officeDocument/2006/relationships/hyperlink" Target="https://www.blood.gov.au/national-product-price-list" TargetMode="External"/><Relationship Id="rId72" Type="http://schemas.openxmlformats.org/officeDocument/2006/relationships/image" Target="media/image23.png"/><Relationship Id="rId80" Type="http://schemas.openxmlformats.org/officeDocument/2006/relationships/hyperlink" Target="http://www.sign.ac.uk"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www9.health.gov.au/mbs/search.cfm" TargetMode="External"/><Relationship Id="rId59" Type="http://schemas.openxmlformats.org/officeDocument/2006/relationships/image" Target="media/image17.png"/><Relationship Id="rId67" Type="http://schemas.openxmlformats.org/officeDocument/2006/relationships/header" Target="header14.xml"/><Relationship Id="rId20" Type="http://schemas.openxmlformats.org/officeDocument/2006/relationships/footer" Target="footer4.xml"/><Relationship Id="rId41" Type="http://schemas.openxmlformats.org/officeDocument/2006/relationships/hyperlink" Target="http://www.waa-registry.org" TargetMode="External"/><Relationship Id="rId54" Type="http://schemas.openxmlformats.org/officeDocument/2006/relationships/image" Target="media/image15.png"/><Relationship Id="rId62" Type="http://schemas.openxmlformats.org/officeDocument/2006/relationships/image" Target="media/image20.emf"/><Relationship Id="rId70" Type="http://schemas.openxmlformats.org/officeDocument/2006/relationships/hyperlink" Target="https://www.chemistwarehouse.com.au/buy/51650/ostelin-vitamin-d3-1000iu---vitamin-d---60-capsules" TargetMode="External"/><Relationship Id="rId75" Type="http://schemas.openxmlformats.org/officeDocument/2006/relationships/hyperlink" Target="https://www.abs.gov.au/statistics/people/population/life-tables/2017-2019" TargetMode="External"/><Relationship Id="rId83" Type="http://schemas.openxmlformats.org/officeDocument/2006/relationships/theme" Target="theme/theme1.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7.png"/><Relationship Id="rId49" Type="http://schemas.openxmlformats.org/officeDocument/2006/relationships/hyperlink" Target="https://www.pbs.gov.au/pbs/home" TargetMode="External"/><Relationship Id="rId57" Type="http://schemas.openxmlformats.org/officeDocument/2006/relationships/hyperlink" Target="https://www.criteria.blood.gov.au/MedicalCondition/View/2605" TargetMode="External"/><Relationship Id="rId10" Type="http://schemas.openxmlformats.org/officeDocument/2006/relationships/hyperlink" Target="http://www.msac.gov.au/" TargetMode="External"/><Relationship Id="rId31" Type="http://schemas.openxmlformats.org/officeDocument/2006/relationships/image" Target="media/image2.png"/><Relationship Id="rId44" Type="http://schemas.openxmlformats.org/officeDocument/2006/relationships/footer" Target="footer7.xml"/><Relationship Id="rId52" Type="http://schemas.openxmlformats.org/officeDocument/2006/relationships/image" Target="media/image13.png"/><Relationship Id="rId60" Type="http://schemas.openxmlformats.org/officeDocument/2006/relationships/image" Target="media/image18.png"/><Relationship Id="rId65" Type="http://schemas.openxmlformats.org/officeDocument/2006/relationships/package" Target="embeddings/Microsoft_Visio_Drawing1.vsdx"/><Relationship Id="rId73" Type="http://schemas.openxmlformats.org/officeDocument/2006/relationships/image" Target="media/image24.png"/><Relationship Id="rId78" Type="http://schemas.openxmlformats.org/officeDocument/2006/relationships/hyperlink" Target="file:///C:\Users\a1065539\AppData\Local\Microsoft\Windows\INetCache\Content.Outlook\QCG3URZV\www.blood.gov.au\about-nba" TargetMode="External"/><Relationship Id="rId81" Type="http://schemas.openxmlformats.org/officeDocument/2006/relationships/hyperlink" Target="http://hdl.handle.net/10536/DRO/DU:3006027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hpa.gov.au/what-we-do/pricing/national-weighted-activity-unit-nwau-calculators/nwau-calculators-2020-21" TargetMode="External"/><Relationship Id="rId2" Type="http://schemas.openxmlformats.org/officeDocument/2006/relationships/hyperlink" Target="https://www.blood.gov.au/SCIg" TargetMode="External"/><Relationship Id="rId1" Type="http://schemas.openxmlformats.org/officeDocument/2006/relationships/hyperlink" Target="https://www.waa-regist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D053F-114E-4500-9A0A-4C733C8C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178</Pages>
  <Words>89660</Words>
  <Characters>511063</Characters>
  <Application>Microsoft Office Word</Application>
  <DocSecurity>0</DocSecurity>
  <Lines>4258</Lines>
  <Paragraphs>1199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599524</CharactersWithSpaces>
  <SharedDoc>false</SharedDoc>
  <HLinks>
    <vt:vector size="4740" baseType="variant">
      <vt:variant>
        <vt:i4>1704060</vt:i4>
      </vt:variant>
      <vt:variant>
        <vt:i4>5473</vt:i4>
      </vt:variant>
      <vt:variant>
        <vt:i4>0</vt:i4>
      </vt:variant>
      <vt:variant>
        <vt:i4>5</vt:i4>
      </vt:variant>
      <vt:variant>
        <vt:lpwstr>https://www.webmd.com/multiple-sclerosis/treating-iv-steroids</vt:lpwstr>
      </vt:variant>
      <vt:variant>
        <vt:lpwstr/>
      </vt:variant>
      <vt:variant>
        <vt:i4>6357102</vt:i4>
      </vt:variant>
      <vt:variant>
        <vt:i4>5470</vt:i4>
      </vt:variant>
      <vt:variant>
        <vt:i4>0</vt:i4>
      </vt:variant>
      <vt:variant>
        <vt:i4>5</vt:i4>
      </vt:variant>
      <vt:variant>
        <vt:lpwstr>https://www.nps.org.au/australian-prescriber/articles/immunosuppressants-clinical-applications</vt:lpwstr>
      </vt:variant>
      <vt:variant>
        <vt:lpwstr/>
      </vt:variant>
      <vt:variant>
        <vt:i4>1245285</vt:i4>
      </vt:variant>
      <vt:variant>
        <vt:i4>5467</vt:i4>
      </vt:variant>
      <vt:variant>
        <vt:i4>0</vt:i4>
      </vt:variant>
      <vt:variant>
        <vt:i4>5</vt:i4>
      </vt:variant>
      <vt:variant>
        <vt:lpwstr>https://emedicine.medscape.com/article/1895577-overview</vt:lpwstr>
      </vt:variant>
      <vt:variant>
        <vt:lpwstr>a4</vt:lpwstr>
      </vt:variant>
      <vt:variant>
        <vt:i4>7602191</vt:i4>
      </vt:variant>
      <vt:variant>
        <vt:i4>5464</vt:i4>
      </vt:variant>
      <vt:variant>
        <vt:i4>0</vt:i4>
      </vt:variant>
      <vt:variant>
        <vt:i4>5</vt:i4>
      </vt:variant>
      <vt:variant>
        <vt:lpwstr>https://medlineplus.gov/ency/article/000777.htm</vt:lpwstr>
      </vt:variant>
      <vt:variant>
        <vt:lpwstr/>
      </vt:variant>
      <vt:variant>
        <vt:i4>3342462</vt:i4>
      </vt:variant>
      <vt:variant>
        <vt:i4>5461</vt:i4>
      </vt:variant>
      <vt:variant>
        <vt:i4>0</vt:i4>
      </vt:variant>
      <vt:variant>
        <vt:i4>5</vt:i4>
      </vt:variant>
      <vt:variant>
        <vt:lpwstr>https://professionaleducation.blood.ca/en/transfusion/guide-clinique/therapeutic-apheresis</vt:lpwstr>
      </vt:variant>
      <vt:variant>
        <vt:lpwstr/>
      </vt:variant>
      <vt:variant>
        <vt:i4>1769494</vt:i4>
      </vt:variant>
      <vt:variant>
        <vt:i4>5458</vt:i4>
      </vt:variant>
      <vt:variant>
        <vt:i4>0</vt:i4>
      </vt:variant>
      <vt:variant>
        <vt:i4>5</vt:i4>
      </vt:variant>
      <vt:variant>
        <vt:lpwstr>https://www.aci.health.nsw.gov.au/get-involved/institute-of-trauma-and-injury-management/Data/injury-scoring/injury_severity_score</vt:lpwstr>
      </vt:variant>
      <vt:variant>
        <vt:lpwstr/>
      </vt:variant>
      <vt:variant>
        <vt:i4>5046312</vt:i4>
      </vt:variant>
      <vt:variant>
        <vt:i4>5455</vt:i4>
      </vt:variant>
      <vt:variant>
        <vt:i4>0</vt:i4>
      </vt:variant>
      <vt:variant>
        <vt:i4>5</vt:i4>
      </vt:variant>
      <vt:variant>
        <vt:lpwstr>https://www.nationalmssociety.org/For-Professionals/Researchers/Resources-for-Researchers/Clinical-Study-Measures</vt:lpwstr>
      </vt:variant>
      <vt:variant>
        <vt:lpwstr/>
      </vt:variant>
      <vt:variant>
        <vt:i4>5570679</vt:i4>
      </vt:variant>
      <vt:variant>
        <vt:i4>5452</vt:i4>
      </vt:variant>
      <vt:variant>
        <vt:i4>0</vt:i4>
      </vt:variant>
      <vt:variant>
        <vt:i4>5</vt:i4>
      </vt:variant>
      <vt:variant>
        <vt:lpwstr>https://nhsbtdbe.blob.core.windows.net/umbraco-assets-corp/1948/plasma-exchange-procedure.pdf</vt:lpwstr>
      </vt:variant>
      <vt:variant>
        <vt:lpwstr/>
      </vt:variant>
      <vt:variant>
        <vt:i4>2949245</vt:i4>
      </vt:variant>
      <vt:variant>
        <vt:i4>5449</vt:i4>
      </vt:variant>
      <vt:variant>
        <vt:i4>0</vt:i4>
      </vt:variant>
      <vt:variant>
        <vt:i4>5</vt:i4>
      </vt:variant>
      <vt:variant>
        <vt:lpwstr>https://www.blood.gov.au/national-product-list</vt:lpwstr>
      </vt:variant>
      <vt:variant>
        <vt:lpwstr/>
      </vt:variant>
      <vt:variant>
        <vt:i4>4915314</vt:i4>
      </vt:variant>
      <vt:variant>
        <vt:i4>5446</vt:i4>
      </vt:variant>
      <vt:variant>
        <vt:i4>0</vt:i4>
      </vt:variant>
      <vt:variant>
        <vt:i4>5</vt:i4>
      </vt:variant>
      <vt:variant>
        <vt:lpwstr>https://www.blood.gov.au/SCIg</vt:lpwstr>
      </vt:variant>
      <vt:variant>
        <vt:lpwstr/>
      </vt:variant>
      <vt:variant>
        <vt:i4>7012465</vt:i4>
      </vt:variant>
      <vt:variant>
        <vt:i4>5443</vt:i4>
      </vt:variant>
      <vt:variant>
        <vt:i4>0</vt:i4>
      </vt:variant>
      <vt:variant>
        <vt:i4>5</vt:i4>
      </vt:variant>
      <vt:variant>
        <vt:lpwstr>https://www.criteria.blood.gov.au/</vt:lpwstr>
      </vt:variant>
      <vt:variant>
        <vt:lpwstr/>
      </vt:variant>
      <vt:variant>
        <vt:i4>131139</vt:i4>
      </vt:variant>
      <vt:variant>
        <vt:i4>5440</vt:i4>
      </vt:variant>
      <vt:variant>
        <vt:i4>0</vt:i4>
      </vt:variant>
      <vt:variant>
        <vt:i4>5</vt:i4>
      </vt:variant>
      <vt:variant>
        <vt:lpwstr>https://www.blood.gov.au/document/patient-information-subcutaneous-immunoglobulin-treatment-docx</vt:lpwstr>
      </vt:variant>
      <vt:variant>
        <vt:lpwstr/>
      </vt:variant>
      <vt:variant>
        <vt:i4>5636116</vt:i4>
      </vt:variant>
      <vt:variant>
        <vt:i4>5437</vt:i4>
      </vt:variant>
      <vt:variant>
        <vt:i4>0</vt:i4>
      </vt:variant>
      <vt:variant>
        <vt:i4>5</vt:i4>
      </vt:variant>
      <vt:variant>
        <vt:lpwstr>https://www.blood.gov.au/document/frequently-asked-questions-subcutaneous-immunoglobulin-pdf</vt:lpwstr>
      </vt:variant>
      <vt:variant>
        <vt:lpwstr/>
      </vt:variant>
      <vt:variant>
        <vt:i4>2555917</vt:i4>
      </vt:variant>
      <vt:variant>
        <vt:i4>5434</vt:i4>
      </vt:variant>
      <vt:variant>
        <vt:i4>0</vt:i4>
      </vt:variant>
      <vt:variant>
        <vt:i4>5</vt:i4>
      </vt:variant>
      <vt:variant>
        <vt:lpwstr>http://www.msac.gov.au/internet/msac/publishing.nsf/Content/1564-public</vt:lpwstr>
      </vt:variant>
      <vt:variant>
        <vt:lpwstr/>
      </vt:variant>
      <vt:variant>
        <vt:i4>2162696</vt:i4>
      </vt:variant>
      <vt:variant>
        <vt:i4>5431</vt:i4>
      </vt:variant>
      <vt:variant>
        <vt:i4>0</vt:i4>
      </vt:variant>
      <vt:variant>
        <vt:i4>5</vt:i4>
      </vt:variant>
      <vt:variant>
        <vt:lpwstr>http://www.msac.gov.au/internet/msac/publishing.nsf/Content/1334-public</vt:lpwstr>
      </vt:variant>
      <vt:variant>
        <vt:lpwstr/>
      </vt:variant>
      <vt:variant>
        <vt:i4>4128885</vt:i4>
      </vt:variant>
      <vt:variant>
        <vt:i4>5428</vt:i4>
      </vt:variant>
      <vt:variant>
        <vt:i4>0</vt:i4>
      </vt:variant>
      <vt:variant>
        <vt:i4>5</vt:i4>
      </vt:variant>
      <vt:variant>
        <vt:lpwstr>https://www.mda.org.au/disorders/inflammatory-myopathies/cidp/</vt:lpwstr>
      </vt:variant>
      <vt:variant>
        <vt:lpwstr/>
      </vt:variant>
      <vt:variant>
        <vt:i4>8257624</vt:i4>
      </vt:variant>
      <vt:variant>
        <vt:i4>5425</vt:i4>
      </vt:variant>
      <vt:variant>
        <vt:i4>0</vt:i4>
      </vt:variant>
      <vt:variant>
        <vt:i4>5</vt:i4>
      </vt:variant>
      <vt:variant>
        <vt:lpwstr>https://www.uptodate.com/contents/chronic-inflammatory-demyelinating-polyneuropathy-treatment-and-prognosis</vt:lpwstr>
      </vt:variant>
      <vt:variant>
        <vt:lpwstr/>
      </vt:variant>
      <vt:variant>
        <vt:i4>5177358</vt:i4>
      </vt:variant>
      <vt:variant>
        <vt:i4>5422</vt:i4>
      </vt:variant>
      <vt:variant>
        <vt:i4>0</vt:i4>
      </vt:variant>
      <vt:variant>
        <vt:i4>5</vt:i4>
      </vt:variant>
      <vt:variant>
        <vt:lpwstr>https://www.uptodate.com/contents/chronic-inflammatory-demyelinating-polyneuropathy-etiology-clinical-features-and-diagnosis</vt:lpwstr>
      </vt:variant>
      <vt:variant>
        <vt:lpwstr/>
      </vt:variant>
      <vt:variant>
        <vt:i4>5177417</vt:i4>
      </vt:variant>
      <vt:variant>
        <vt:i4>5419</vt:i4>
      </vt:variant>
      <vt:variant>
        <vt:i4>0</vt:i4>
      </vt:variant>
      <vt:variant>
        <vt:i4>5</vt:i4>
      </vt:variant>
      <vt:variant>
        <vt:lpwstr>https://emedicine.medscape.com/article/1172965-medication</vt:lpwstr>
      </vt:variant>
      <vt:variant>
        <vt:lpwstr>2</vt:lpwstr>
      </vt:variant>
      <vt:variant>
        <vt:i4>5636215</vt:i4>
      </vt:variant>
      <vt:variant>
        <vt:i4>5416</vt:i4>
      </vt:variant>
      <vt:variant>
        <vt:i4>0</vt:i4>
      </vt:variant>
      <vt:variant>
        <vt:i4>5</vt:i4>
      </vt:variant>
      <vt:variant>
        <vt:lpwstr>https://www.nps.org.au/australian-prescriber/articles/long-term-management-of-patients-taking-immunosuppressive-drugs</vt:lpwstr>
      </vt:variant>
      <vt:variant>
        <vt:lpwstr/>
      </vt:variant>
      <vt:variant>
        <vt:i4>7405636</vt:i4>
      </vt:variant>
      <vt:variant>
        <vt:i4>5413</vt:i4>
      </vt:variant>
      <vt:variant>
        <vt:i4>0</vt:i4>
      </vt:variant>
      <vt:variant>
        <vt:i4>5</vt:i4>
      </vt:variant>
      <vt:variant>
        <vt:lpwstr>https://www.gwh.nhs.uk/media/183132/rheumatology-ivsteroids.pdf</vt:lpwstr>
      </vt:variant>
      <vt:variant>
        <vt:lpwstr/>
      </vt:variant>
      <vt:variant>
        <vt:i4>6029414</vt:i4>
      </vt:variant>
      <vt:variant>
        <vt:i4>5410</vt:i4>
      </vt:variant>
      <vt:variant>
        <vt:i4>0</vt:i4>
      </vt:variant>
      <vt:variant>
        <vt:i4>5</vt:i4>
      </vt:variant>
      <vt:variant>
        <vt:lpwstr>https://www.gbs-cidp.org/cidp/all-about-cidp/</vt:lpwstr>
      </vt:variant>
      <vt:variant>
        <vt:lpwstr/>
      </vt:variant>
      <vt:variant>
        <vt:i4>3211281</vt:i4>
      </vt:variant>
      <vt:variant>
        <vt:i4>5407</vt:i4>
      </vt:variant>
      <vt:variant>
        <vt:i4>0</vt:i4>
      </vt:variant>
      <vt:variant>
        <vt:i4>5</vt:i4>
      </vt:variant>
      <vt:variant>
        <vt:lpwstr>http://www.gbs-cidp-nsw.org.au/information/what-is-cidp?start=7</vt:lpwstr>
      </vt:variant>
      <vt:variant>
        <vt:lpwstr/>
      </vt:variant>
      <vt:variant>
        <vt:i4>7864379</vt:i4>
      </vt:variant>
      <vt:variant>
        <vt:i4>5404</vt:i4>
      </vt:variant>
      <vt:variant>
        <vt:i4>0</vt:i4>
      </vt:variant>
      <vt:variant>
        <vt:i4>5</vt:i4>
      </vt:variant>
      <vt:variant>
        <vt:lpwstr>https://www.uptodate.com/contents/therapeutic-apheresis-plasma-exchange-or-cytapheresis-indications-and-technology</vt:lpwstr>
      </vt:variant>
      <vt:variant>
        <vt:lpwstr/>
      </vt:variant>
      <vt:variant>
        <vt:i4>5046376</vt:i4>
      </vt:variant>
      <vt:variant>
        <vt:i4>5401</vt:i4>
      </vt:variant>
      <vt:variant>
        <vt:i4>0</vt:i4>
      </vt:variant>
      <vt:variant>
        <vt:i4>5</vt:i4>
      </vt:variant>
      <vt:variant>
        <vt:lpwstr>http://www.pbs.gov.au/browse/medicine-listing</vt:lpwstr>
      </vt:variant>
      <vt:variant>
        <vt:lpwstr/>
      </vt:variant>
      <vt:variant>
        <vt:i4>5636220</vt:i4>
      </vt:variant>
      <vt:variant>
        <vt:i4>5398</vt:i4>
      </vt:variant>
      <vt:variant>
        <vt:i4>0</vt:i4>
      </vt:variant>
      <vt:variant>
        <vt:i4>5</vt:i4>
      </vt:variant>
      <vt:variant>
        <vt:lpwstr>http://www.health.gov.au/internet/msac/publishing.nsf/Content/1564-public</vt:lpwstr>
      </vt:variant>
      <vt:variant>
        <vt:lpwstr/>
      </vt:variant>
      <vt:variant>
        <vt:i4>7667725</vt:i4>
      </vt:variant>
      <vt:variant>
        <vt:i4>5395</vt:i4>
      </vt:variant>
      <vt:variant>
        <vt:i4>0</vt:i4>
      </vt:variant>
      <vt:variant>
        <vt:i4>5</vt:i4>
      </vt:variant>
      <vt:variant>
        <vt:lpwstr>https://www2.health.vic.gov.au/hospitals-and-health-services/patient-care/speciality-diagnostics-therapeutics/blood-matters/scig-implementation-program/tools-resources</vt:lpwstr>
      </vt:variant>
      <vt:variant>
        <vt:lpwstr/>
      </vt:variant>
      <vt:variant>
        <vt:i4>1245197</vt:i4>
      </vt:variant>
      <vt:variant>
        <vt:i4>5392</vt:i4>
      </vt:variant>
      <vt:variant>
        <vt:i4>0</vt:i4>
      </vt:variant>
      <vt:variant>
        <vt:i4>5</vt:i4>
      </vt:variant>
      <vt:variant>
        <vt:lpwstr>https://www.hizentra.com/hcp/cidp-pi-dosing-administration</vt:lpwstr>
      </vt:variant>
      <vt:variant>
        <vt:lpwstr>pi-cidp-administration</vt:lpwstr>
      </vt:variant>
      <vt:variant>
        <vt:i4>7536716</vt:i4>
      </vt:variant>
      <vt:variant>
        <vt:i4>5389</vt:i4>
      </vt:variant>
      <vt:variant>
        <vt:i4>0</vt:i4>
      </vt:variant>
      <vt:variant>
        <vt:i4>5</vt:i4>
      </vt:variant>
      <vt:variant>
        <vt:lpwstr>https://brainfoundation.org.au/disorders/chronic-inflammatory-demyelinating-polyneuropathy/</vt:lpwstr>
      </vt:variant>
      <vt:variant>
        <vt:lpwstr/>
      </vt:variant>
      <vt:variant>
        <vt:i4>720937</vt:i4>
      </vt:variant>
      <vt:variant>
        <vt:i4>5386</vt:i4>
      </vt:variant>
      <vt:variant>
        <vt:i4>0</vt:i4>
      </vt:variant>
      <vt:variant>
        <vt:i4>5</vt:i4>
      </vt:variant>
      <vt:variant>
        <vt:lpwstr>https://www.allergy.org.au/hp/papers/scig</vt:lpwstr>
      </vt:variant>
      <vt:variant>
        <vt:lpwstr/>
      </vt:variant>
      <vt:variant>
        <vt:i4>4194309</vt:i4>
      </vt:variant>
      <vt:variant>
        <vt:i4>5383</vt:i4>
      </vt:variant>
      <vt:variant>
        <vt:i4>0</vt:i4>
      </vt:variant>
      <vt:variant>
        <vt:i4>5</vt:i4>
      </vt:variant>
      <vt:variant>
        <vt:lpwstr>https://cdn.ymaws.com/www.apheresis.org/resource/resmgr/fact_sheets_file/therapeutic_plasma_exchange.pdf</vt:lpwstr>
      </vt:variant>
      <vt:variant>
        <vt:lpwstr/>
      </vt:variant>
      <vt:variant>
        <vt:i4>4653169</vt:i4>
      </vt:variant>
      <vt:variant>
        <vt:i4>5380</vt:i4>
      </vt:variant>
      <vt:variant>
        <vt:i4>0</vt:i4>
      </vt:variant>
      <vt:variant>
        <vt:i4>5</vt:i4>
      </vt:variant>
      <vt:variant>
        <vt:lpwstr>https://www.abs.gov.au/Population</vt:lpwstr>
      </vt:variant>
      <vt:variant>
        <vt:lpwstr/>
      </vt:variant>
      <vt:variant>
        <vt:i4>4522009</vt:i4>
      </vt:variant>
      <vt:variant>
        <vt:i4>5377</vt:i4>
      </vt:variant>
      <vt:variant>
        <vt:i4>0</vt:i4>
      </vt:variant>
      <vt:variant>
        <vt:i4>5</vt:i4>
      </vt:variant>
      <vt:variant>
        <vt:lpwstr>https://www.aaaai.org/conditions-and-treatments/library/immune-deficiencies-library/ivig</vt:lpwstr>
      </vt:variant>
      <vt:variant>
        <vt:lpwstr/>
      </vt:variant>
      <vt:variant>
        <vt:i4>4718642</vt:i4>
      </vt:variant>
      <vt:variant>
        <vt:i4>5353</vt:i4>
      </vt:variant>
      <vt:variant>
        <vt:i4>0</vt:i4>
      </vt:variant>
      <vt:variant>
        <vt:i4>5</vt:i4>
      </vt:variant>
      <vt:variant>
        <vt:lpwstr/>
      </vt:variant>
      <vt:variant>
        <vt:lpwstr>_ENREF_99</vt:lpwstr>
      </vt:variant>
      <vt:variant>
        <vt:i4>7471166</vt:i4>
      </vt:variant>
      <vt:variant>
        <vt:i4>5345</vt:i4>
      </vt:variant>
      <vt:variant>
        <vt:i4>0</vt:i4>
      </vt:variant>
      <vt:variant>
        <vt:i4>5</vt:i4>
      </vt:variant>
      <vt:variant>
        <vt:lpwstr/>
      </vt:variant>
      <vt:variant>
        <vt:lpwstr>_ENREF_152</vt:lpwstr>
      </vt:variant>
      <vt:variant>
        <vt:i4>7340094</vt:i4>
      </vt:variant>
      <vt:variant>
        <vt:i4>5339</vt:i4>
      </vt:variant>
      <vt:variant>
        <vt:i4>0</vt:i4>
      </vt:variant>
      <vt:variant>
        <vt:i4>5</vt:i4>
      </vt:variant>
      <vt:variant>
        <vt:lpwstr/>
      </vt:variant>
      <vt:variant>
        <vt:lpwstr>_ENREF_150</vt:lpwstr>
      </vt:variant>
      <vt:variant>
        <vt:i4>7536696</vt:i4>
      </vt:variant>
      <vt:variant>
        <vt:i4>5333</vt:i4>
      </vt:variant>
      <vt:variant>
        <vt:i4>0</vt:i4>
      </vt:variant>
      <vt:variant>
        <vt:i4>5</vt:i4>
      </vt:variant>
      <vt:variant>
        <vt:lpwstr/>
      </vt:variant>
      <vt:variant>
        <vt:lpwstr>_ENREF_133</vt:lpwstr>
      </vt:variant>
      <vt:variant>
        <vt:i4>7667771</vt:i4>
      </vt:variant>
      <vt:variant>
        <vt:i4>5327</vt:i4>
      </vt:variant>
      <vt:variant>
        <vt:i4>0</vt:i4>
      </vt:variant>
      <vt:variant>
        <vt:i4>5</vt:i4>
      </vt:variant>
      <vt:variant>
        <vt:lpwstr/>
      </vt:variant>
      <vt:variant>
        <vt:lpwstr>_ENREF_105</vt:lpwstr>
      </vt:variant>
      <vt:variant>
        <vt:i4>7471163</vt:i4>
      </vt:variant>
      <vt:variant>
        <vt:i4>5321</vt:i4>
      </vt:variant>
      <vt:variant>
        <vt:i4>0</vt:i4>
      </vt:variant>
      <vt:variant>
        <vt:i4>5</vt:i4>
      </vt:variant>
      <vt:variant>
        <vt:lpwstr/>
      </vt:variant>
      <vt:variant>
        <vt:lpwstr>_ENREF_102</vt:lpwstr>
      </vt:variant>
      <vt:variant>
        <vt:i4>4456505</vt:i4>
      </vt:variant>
      <vt:variant>
        <vt:i4>5313</vt:i4>
      </vt:variant>
      <vt:variant>
        <vt:i4>0</vt:i4>
      </vt:variant>
      <vt:variant>
        <vt:i4>5</vt:i4>
      </vt:variant>
      <vt:variant>
        <vt:lpwstr/>
      </vt:variant>
      <vt:variant>
        <vt:lpwstr>_ENREF_52</vt:lpwstr>
      </vt:variant>
      <vt:variant>
        <vt:i4>4456507</vt:i4>
      </vt:variant>
      <vt:variant>
        <vt:i4>5307</vt:i4>
      </vt:variant>
      <vt:variant>
        <vt:i4>0</vt:i4>
      </vt:variant>
      <vt:variant>
        <vt:i4>5</vt:i4>
      </vt:variant>
      <vt:variant>
        <vt:lpwstr/>
      </vt:variant>
      <vt:variant>
        <vt:lpwstr>_ENREF_50</vt:lpwstr>
      </vt:variant>
      <vt:variant>
        <vt:i4>4522046</vt:i4>
      </vt:variant>
      <vt:variant>
        <vt:i4>5301</vt:i4>
      </vt:variant>
      <vt:variant>
        <vt:i4>0</vt:i4>
      </vt:variant>
      <vt:variant>
        <vt:i4>5</vt:i4>
      </vt:variant>
      <vt:variant>
        <vt:lpwstr/>
      </vt:variant>
      <vt:variant>
        <vt:lpwstr>_ENREF_45</vt:lpwstr>
      </vt:variant>
      <vt:variant>
        <vt:i4>4522041</vt:i4>
      </vt:variant>
      <vt:variant>
        <vt:i4>5293</vt:i4>
      </vt:variant>
      <vt:variant>
        <vt:i4>0</vt:i4>
      </vt:variant>
      <vt:variant>
        <vt:i4>5</vt:i4>
      </vt:variant>
      <vt:variant>
        <vt:lpwstr/>
      </vt:variant>
      <vt:variant>
        <vt:lpwstr>_ENREF_42</vt:lpwstr>
      </vt:variant>
      <vt:variant>
        <vt:i4>4325433</vt:i4>
      </vt:variant>
      <vt:variant>
        <vt:i4>5285</vt:i4>
      </vt:variant>
      <vt:variant>
        <vt:i4>0</vt:i4>
      </vt:variant>
      <vt:variant>
        <vt:i4>5</vt:i4>
      </vt:variant>
      <vt:variant>
        <vt:lpwstr/>
      </vt:variant>
      <vt:variant>
        <vt:lpwstr>_ENREF_32</vt:lpwstr>
      </vt:variant>
      <vt:variant>
        <vt:i4>4390971</vt:i4>
      </vt:variant>
      <vt:variant>
        <vt:i4>5279</vt:i4>
      </vt:variant>
      <vt:variant>
        <vt:i4>0</vt:i4>
      </vt:variant>
      <vt:variant>
        <vt:i4>5</vt:i4>
      </vt:variant>
      <vt:variant>
        <vt:lpwstr/>
      </vt:variant>
      <vt:variant>
        <vt:lpwstr>_ENREF_20</vt:lpwstr>
      </vt:variant>
      <vt:variant>
        <vt:i4>4194361</vt:i4>
      </vt:variant>
      <vt:variant>
        <vt:i4>5271</vt:i4>
      </vt:variant>
      <vt:variant>
        <vt:i4>0</vt:i4>
      </vt:variant>
      <vt:variant>
        <vt:i4>5</vt:i4>
      </vt:variant>
      <vt:variant>
        <vt:lpwstr/>
      </vt:variant>
      <vt:variant>
        <vt:lpwstr>_ENREF_12</vt:lpwstr>
      </vt:variant>
      <vt:variant>
        <vt:i4>4718603</vt:i4>
      </vt:variant>
      <vt:variant>
        <vt:i4>5265</vt:i4>
      </vt:variant>
      <vt:variant>
        <vt:i4>0</vt:i4>
      </vt:variant>
      <vt:variant>
        <vt:i4>5</vt:i4>
      </vt:variant>
      <vt:variant>
        <vt:lpwstr/>
      </vt:variant>
      <vt:variant>
        <vt:lpwstr>_ENREF_9</vt:lpwstr>
      </vt:variant>
      <vt:variant>
        <vt:i4>4784139</vt:i4>
      </vt:variant>
      <vt:variant>
        <vt:i4>5257</vt:i4>
      </vt:variant>
      <vt:variant>
        <vt:i4>0</vt:i4>
      </vt:variant>
      <vt:variant>
        <vt:i4>5</vt:i4>
      </vt:variant>
      <vt:variant>
        <vt:lpwstr/>
      </vt:variant>
      <vt:variant>
        <vt:lpwstr>_ENREF_8</vt:lpwstr>
      </vt:variant>
      <vt:variant>
        <vt:i4>7733311</vt:i4>
      </vt:variant>
      <vt:variant>
        <vt:i4>5251</vt:i4>
      </vt:variant>
      <vt:variant>
        <vt:i4>0</vt:i4>
      </vt:variant>
      <vt:variant>
        <vt:i4>5</vt:i4>
      </vt:variant>
      <vt:variant>
        <vt:lpwstr/>
      </vt:variant>
      <vt:variant>
        <vt:lpwstr>_ENREF_146</vt:lpwstr>
      </vt:variant>
      <vt:variant>
        <vt:i4>7864378</vt:i4>
      </vt:variant>
      <vt:variant>
        <vt:i4>5243</vt:i4>
      </vt:variant>
      <vt:variant>
        <vt:i4>0</vt:i4>
      </vt:variant>
      <vt:variant>
        <vt:i4>5</vt:i4>
      </vt:variant>
      <vt:variant>
        <vt:lpwstr/>
      </vt:variant>
      <vt:variant>
        <vt:lpwstr>_ENREF_118</vt:lpwstr>
      </vt:variant>
      <vt:variant>
        <vt:i4>4718648</vt:i4>
      </vt:variant>
      <vt:variant>
        <vt:i4>5235</vt:i4>
      </vt:variant>
      <vt:variant>
        <vt:i4>0</vt:i4>
      </vt:variant>
      <vt:variant>
        <vt:i4>5</vt:i4>
      </vt:variant>
      <vt:variant>
        <vt:lpwstr/>
      </vt:variant>
      <vt:variant>
        <vt:lpwstr>_ENREF_93</vt:lpwstr>
      </vt:variant>
      <vt:variant>
        <vt:i4>4653112</vt:i4>
      </vt:variant>
      <vt:variant>
        <vt:i4>5227</vt:i4>
      </vt:variant>
      <vt:variant>
        <vt:i4>0</vt:i4>
      </vt:variant>
      <vt:variant>
        <vt:i4>5</vt:i4>
      </vt:variant>
      <vt:variant>
        <vt:lpwstr/>
      </vt:variant>
      <vt:variant>
        <vt:lpwstr>_ENREF_63</vt:lpwstr>
      </vt:variant>
      <vt:variant>
        <vt:i4>4653118</vt:i4>
      </vt:variant>
      <vt:variant>
        <vt:i4>5219</vt:i4>
      </vt:variant>
      <vt:variant>
        <vt:i4>0</vt:i4>
      </vt:variant>
      <vt:variant>
        <vt:i4>5</vt:i4>
      </vt:variant>
      <vt:variant>
        <vt:lpwstr/>
      </vt:variant>
      <vt:variant>
        <vt:lpwstr>_ENREF_65</vt:lpwstr>
      </vt:variant>
      <vt:variant>
        <vt:i4>4784184</vt:i4>
      </vt:variant>
      <vt:variant>
        <vt:i4>5211</vt:i4>
      </vt:variant>
      <vt:variant>
        <vt:i4>0</vt:i4>
      </vt:variant>
      <vt:variant>
        <vt:i4>5</vt:i4>
      </vt:variant>
      <vt:variant>
        <vt:lpwstr/>
      </vt:variant>
      <vt:variant>
        <vt:lpwstr>_ENREF_83</vt:lpwstr>
      </vt:variant>
      <vt:variant>
        <vt:i4>4653116</vt:i4>
      </vt:variant>
      <vt:variant>
        <vt:i4>5203</vt:i4>
      </vt:variant>
      <vt:variant>
        <vt:i4>0</vt:i4>
      </vt:variant>
      <vt:variant>
        <vt:i4>5</vt:i4>
      </vt:variant>
      <vt:variant>
        <vt:lpwstr/>
      </vt:variant>
      <vt:variant>
        <vt:lpwstr>_ENREF_67</vt:lpwstr>
      </vt:variant>
      <vt:variant>
        <vt:i4>4390969</vt:i4>
      </vt:variant>
      <vt:variant>
        <vt:i4>5197</vt:i4>
      </vt:variant>
      <vt:variant>
        <vt:i4>0</vt:i4>
      </vt:variant>
      <vt:variant>
        <vt:i4>5</vt:i4>
      </vt:variant>
      <vt:variant>
        <vt:lpwstr/>
      </vt:variant>
      <vt:variant>
        <vt:lpwstr>_ENREF_22</vt:lpwstr>
      </vt:variant>
      <vt:variant>
        <vt:i4>4194354</vt:i4>
      </vt:variant>
      <vt:variant>
        <vt:i4>5189</vt:i4>
      </vt:variant>
      <vt:variant>
        <vt:i4>0</vt:i4>
      </vt:variant>
      <vt:variant>
        <vt:i4>5</vt:i4>
      </vt:variant>
      <vt:variant>
        <vt:lpwstr/>
      </vt:variant>
      <vt:variant>
        <vt:lpwstr>_ENREF_19</vt:lpwstr>
      </vt:variant>
      <vt:variant>
        <vt:i4>4194355</vt:i4>
      </vt:variant>
      <vt:variant>
        <vt:i4>5183</vt:i4>
      </vt:variant>
      <vt:variant>
        <vt:i4>0</vt:i4>
      </vt:variant>
      <vt:variant>
        <vt:i4>5</vt:i4>
      </vt:variant>
      <vt:variant>
        <vt:lpwstr/>
      </vt:variant>
      <vt:variant>
        <vt:lpwstr>_ENREF_18</vt:lpwstr>
      </vt:variant>
      <vt:variant>
        <vt:i4>7536702</vt:i4>
      </vt:variant>
      <vt:variant>
        <vt:i4>5177</vt:i4>
      </vt:variant>
      <vt:variant>
        <vt:i4>0</vt:i4>
      </vt:variant>
      <vt:variant>
        <vt:i4>5</vt:i4>
      </vt:variant>
      <vt:variant>
        <vt:lpwstr/>
      </vt:variant>
      <vt:variant>
        <vt:lpwstr>_ENREF_153</vt:lpwstr>
      </vt:variant>
      <vt:variant>
        <vt:i4>7929912</vt:i4>
      </vt:variant>
      <vt:variant>
        <vt:i4>5169</vt:i4>
      </vt:variant>
      <vt:variant>
        <vt:i4>0</vt:i4>
      </vt:variant>
      <vt:variant>
        <vt:i4>5</vt:i4>
      </vt:variant>
      <vt:variant>
        <vt:lpwstr/>
      </vt:variant>
      <vt:variant>
        <vt:lpwstr>_ENREF_139</vt:lpwstr>
      </vt:variant>
      <vt:variant>
        <vt:i4>7798840</vt:i4>
      </vt:variant>
      <vt:variant>
        <vt:i4>5163</vt:i4>
      </vt:variant>
      <vt:variant>
        <vt:i4>0</vt:i4>
      </vt:variant>
      <vt:variant>
        <vt:i4>5</vt:i4>
      </vt:variant>
      <vt:variant>
        <vt:lpwstr/>
      </vt:variant>
      <vt:variant>
        <vt:lpwstr>_ENREF_137</vt:lpwstr>
      </vt:variant>
      <vt:variant>
        <vt:i4>7471160</vt:i4>
      </vt:variant>
      <vt:variant>
        <vt:i4>5157</vt:i4>
      </vt:variant>
      <vt:variant>
        <vt:i4>0</vt:i4>
      </vt:variant>
      <vt:variant>
        <vt:i4>5</vt:i4>
      </vt:variant>
      <vt:variant>
        <vt:lpwstr/>
      </vt:variant>
      <vt:variant>
        <vt:lpwstr>_ENREF_132</vt:lpwstr>
      </vt:variant>
      <vt:variant>
        <vt:i4>7405624</vt:i4>
      </vt:variant>
      <vt:variant>
        <vt:i4>5151</vt:i4>
      </vt:variant>
      <vt:variant>
        <vt:i4>0</vt:i4>
      </vt:variant>
      <vt:variant>
        <vt:i4>5</vt:i4>
      </vt:variant>
      <vt:variant>
        <vt:lpwstr/>
      </vt:variant>
      <vt:variant>
        <vt:lpwstr>_ENREF_131</vt:lpwstr>
      </vt:variant>
      <vt:variant>
        <vt:i4>7864377</vt:i4>
      </vt:variant>
      <vt:variant>
        <vt:i4>5145</vt:i4>
      </vt:variant>
      <vt:variant>
        <vt:i4>0</vt:i4>
      </vt:variant>
      <vt:variant>
        <vt:i4>5</vt:i4>
      </vt:variant>
      <vt:variant>
        <vt:lpwstr/>
      </vt:variant>
      <vt:variant>
        <vt:lpwstr>_ENREF_128</vt:lpwstr>
      </vt:variant>
      <vt:variant>
        <vt:i4>7733305</vt:i4>
      </vt:variant>
      <vt:variant>
        <vt:i4>5139</vt:i4>
      </vt:variant>
      <vt:variant>
        <vt:i4>0</vt:i4>
      </vt:variant>
      <vt:variant>
        <vt:i4>5</vt:i4>
      </vt:variant>
      <vt:variant>
        <vt:lpwstr/>
      </vt:variant>
      <vt:variant>
        <vt:lpwstr>_ENREF_126</vt:lpwstr>
      </vt:variant>
      <vt:variant>
        <vt:i4>4718642</vt:i4>
      </vt:variant>
      <vt:variant>
        <vt:i4>5131</vt:i4>
      </vt:variant>
      <vt:variant>
        <vt:i4>0</vt:i4>
      </vt:variant>
      <vt:variant>
        <vt:i4>5</vt:i4>
      </vt:variant>
      <vt:variant>
        <vt:lpwstr/>
      </vt:variant>
      <vt:variant>
        <vt:lpwstr>_ENREF_99</vt:lpwstr>
      </vt:variant>
      <vt:variant>
        <vt:i4>4784189</vt:i4>
      </vt:variant>
      <vt:variant>
        <vt:i4>5123</vt:i4>
      </vt:variant>
      <vt:variant>
        <vt:i4>0</vt:i4>
      </vt:variant>
      <vt:variant>
        <vt:i4>5</vt:i4>
      </vt:variant>
      <vt:variant>
        <vt:lpwstr/>
      </vt:variant>
      <vt:variant>
        <vt:lpwstr>_ENREF_86</vt:lpwstr>
      </vt:variant>
      <vt:variant>
        <vt:i4>4587581</vt:i4>
      </vt:variant>
      <vt:variant>
        <vt:i4>5117</vt:i4>
      </vt:variant>
      <vt:variant>
        <vt:i4>0</vt:i4>
      </vt:variant>
      <vt:variant>
        <vt:i4>5</vt:i4>
      </vt:variant>
      <vt:variant>
        <vt:lpwstr/>
      </vt:variant>
      <vt:variant>
        <vt:lpwstr>_ENREF_76</vt:lpwstr>
      </vt:variant>
      <vt:variant>
        <vt:i4>4587576</vt:i4>
      </vt:variant>
      <vt:variant>
        <vt:i4>5109</vt:i4>
      </vt:variant>
      <vt:variant>
        <vt:i4>0</vt:i4>
      </vt:variant>
      <vt:variant>
        <vt:i4>5</vt:i4>
      </vt:variant>
      <vt:variant>
        <vt:lpwstr/>
      </vt:variant>
      <vt:variant>
        <vt:lpwstr>_ENREF_73</vt:lpwstr>
      </vt:variant>
      <vt:variant>
        <vt:i4>4587578</vt:i4>
      </vt:variant>
      <vt:variant>
        <vt:i4>5101</vt:i4>
      </vt:variant>
      <vt:variant>
        <vt:i4>0</vt:i4>
      </vt:variant>
      <vt:variant>
        <vt:i4>5</vt:i4>
      </vt:variant>
      <vt:variant>
        <vt:lpwstr/>
      </vt:variant>
      <vt:variant>
        <vt:lpwstr>_ENREF_71</vt:lpwstr>
      </vt:variant>
      <vt:variant>
        <vt:i4>4587579</vt:i4>
      </vt:variant>
      <vt:variant>
        <vt:i4>5095</vt:i4>
      </vt:variant>
      <vt:variant>
        <vt:i4>0</vt:i4>
      </vt:variant>
      <vt:variant>
        <vt:i4>5</vt:i4>
      </vt:variant>
      <vt:variant>
        <vt:lpwstr/>
      </vt:variant>
      <vt:variant>
        <vt:lpwstr>_ENREF_70</vt:lpwstr>
      </vt:variant>
      <vt:variant>
        <vt:i4>4653106</vt:i4>
      </vt:variant>
      <vt:variant>
        <vt:i4>5089</vt:i4>
      </vt:variant>
      <vt:variant>
        <vt:i4>0</vt:i4>
      </vt:variant>
      <vt:variant>
        <vt:i4>5</vt:i4>
      </vt:variant>
      <vt:variant>
        <vt:lpwstr/>
      </vt:variant>
      <vt:variant>
        <vt:lpwstr>_ENREF_69</vt:lpwstr>
      </vt:variant>
      <vt:variant>
        <vt:i4>4456504</vt:i4>
      </vt:variant>
      <vt:variant>
        <vt:i4>5083</vt:i4>
      </vt:variant>
      <vt:variant>
        <vt:i4>0</vt:i4>
      </vt:variant>
      <vt:variant>
        <vt:i4>5</vt:i4>
      </vt:variant>
      <vt:variant>
        <vt:lpwstr/>
      </vt:variant>
      <vt:variant>
        <vt:lpwstr>_ENREF_53</vt:lpwstr>
      </vt:variant>
      <vt:variant>
        <vt:i4>4390972</vt:i4>
      </vt:variant>
      <vt:variant>
        <vt:i4>5077</vt:i4>
      </vt:variant>
      <vt:variant>
        <vt:i4>0</vt:i4>
      </vt:variant>
      <vt:variant>
        <vt:i4>5</vt:i4>
      </vt:variant>
      <vt:variant>
        <vt:lpwstr/>
      </vt:variant>
      <vt:variant>
        <vt:lpwstr>_ENREF_27</vt:lpwstr>
      </vt:variant>
      <vt:variant>
        <vt:i4>7536703</vt:i4>
      </vt:variant>
      <vt:variant>
        <vt:i4>5071</vt:i4>
      </vt:variant>
      <vt:variant>
        <vt:i4>0</vt:i4>
      </vt:variant>
      <vt:variant>
        <vt:i4>5</vt:i4>
      </vt:variant>
      <vt:variant>
        <vt:lpwstr/>
      </vt:variant>
      <vt:variant>
        <vt:lpwstr>_ENREF_143</vt:lpwstr>
      </vt:variant>
      <vt:variant>
        <vt:i4>4390970</vt:i4>
      </vt:variant>
      <vt:variant>
        <vt:i4>5063</vt:i4>
      </vt:variant>
      <vt:variant>
        <vt:i4>0</vt:i4>
      </vt:variant>
      <vt:variant>
        <vt:i4>5</vt:i4>
      </vt:variant>
      <vt:variant>
        <vt:lpwstr/>
      </vt:variant>
      <vt:variant>
        <vt:lpwstr>_ENREF_21</vt:lpwstr>
      </vt:variant>
      <vt:variant>
        <vt:i4>4194364</vt:i4>
      </vt:variant>
      <vt:variant>
        <vt:i4>5031</vt:i4>
      </vt:variant>
      <vt:variant>
        <vt:i4>0</vt:i4>
      </vt:variant>
      <vt:variant>
        <vt:i4>5</vt:i4>
      </vt:variant>
      <vt:variant>
        <vt:lpwstr/>
      </vt:variant>
      <vt:variant>
        <vt:lpwstr>_ENREF_17</vt:lpwstr>
      </vt:variant>
      <vt:variant>
        <vt:i4>4653113</vt:i4>
      </vt:variant>
      <vt:variant>
        <vt:i4>5022</vt:i4>
      </vt:variant>
      <vt:variant>
        <vt:i4>0</vt:i4>
      </vt:variant>
      <vt:variant>
        <vt:i4>5</vt:i4>
      </vt:variant>
      <vt:variant>
        <vt:lpwstr/>
      </vt:variant>
      <vt:variant>
        <vt:lpwstr>_ENREF_62</vt:lpwstr>
      </vt:variant>
      <vt:variant>
        <vt:i4>4522043</vt:i4>
      </vt:variant>
      <vt:variant>
        <vt:i4>5019</vt:i4>
      </vt:variant>
      <vt:variant>
        <vt:i4>0</vt:i4>
      </vt:variant>
      <vt:variant>
        <vt:i4>5</vt:i4>
      </vt:variant>
      <vt:variant>
        <vt:lpwstr/>
      </vt:variant>
      <vt:variant>
        <vt:lpwstr>_ENREF_40</vt:lpwstr>
      </vt:variant>
      <vt:variant>
        <vt:i4>4522043</vt:i4>
      </vt:variant>
      <vt:variant>
        <vt:i4>5010</vt:i4>
      </vt:variant>
      <vt:variant>
        <vt:i4>0</vt:i4>
      </vt:variant>
      <vt:variant>
        <vt:i4>5</vt:i4>
      </vt:variant>
      <vt:variant>
        <vt:lpwstr/>
      </vt:variant>
      <vt:variant>
        <vt:lpwstr>_ENREF_40</vt:lpwstr>
      </vt:variant>
      <vt:variant>
        <vt:i4>4522043</vt:i4>
      </vt:variant>
      <vt:variant>
        <vt:i4>5004</vt:i4>
      </vt:variant>
      <vt:variant>
        <vt:i4>0</vt:i4>
      </vt:variant>
      <vt:variant>
        <vt:i4>5</vt:i4>
      </vt:variant>
      <vt:variant>
        <vt:lpwstr/>
      </vt:variant>
      <vt:variant>
        <vt:lpwstr>_ENREF_40</vt:lpwstr>
      </vt:variant>
      <vt:variant>
        <vt:i4>4390962</vt:i4>
      </vt:variant>
      <vt:variant>
        <vt:i4>4998</vt:i4>
      </vt:variant>
      <vt:variant>
        <vt:i4>0</vt:i4>
      </vt:variant>
      <vt:variant>
        <vt:i4>5</vt:i4>
      </vt:variant>
      <vt:variant>
        <vt:lpwstr/>
      </vt:variant>
      <vt:variant>
        <vt:lpwstr>_ENREF_29</vt:lpwstr>
      </vt:variant>
      <vt:variant>
        <vt:i4>7798843</vt:i4>
      </vt:variant>
      <vt:variant>
        <vt:i4>4992</vt:i4>
      </vt:variant>
      <vt:variant>
        <vt:i4>0</vt:i4>
      </vt:variant>
      <vt:variant>
        <vt:i4>5</vt:i4>
      </vt:variant>
      <vt:variant>
        <vt:lpwstr/>
      </vt:variant>
      <vt:variant>
        <vt:lpwstr>_ENREF_107</vt:lpwstr>
      </vt:variant>
      <vt:variant>
        <vt:i4>4587531</vt:i4>
      </vt:variant>
      <vt:variant>
        <vt:i4>4602</vt:i4>
      </vt:variant>
      <vt:variant>
        <vt:i4>0</vt:i4>
      </vt:variant>
      <vt:variant>
        <vt:i4>5</vt:i4>
      </vt:variant>
      <vt:variant>
        <vt:lpwstr/>
      </vt:variant>
      <vt:variant>
        <vt:lpwstr>_ENREF_7</vt:lpwstr>
      </vt:variant>
      <vt:variant>
        <vt:i4>4653107</vt:i4>
      </vt:variant>
      <vt:variant>
        <vt:i4>4596</vt:i4>
      </vt:variant>
      <vt:variant>
        <vt:i4>0</vt:i4>
      </vt:variant>
      <vt:variant>
        <vt:i4>5</vt:i4>
      </vt:variant>
      <vt:variant>
        <vt:lpwstr/>
      </vt:variant>
      <vt:variant>
        <vt:lpwstr>_ENREF_68</vt:lpwstr>
      </vt:variant>
      <vt:variant>
        <vt:i4>7405625</vt:i4>
      </vt:variant>
      <vt:variant>
        <vt:i4>4590</vt:i4>
      </vt:variant>
      <vt:variant>
        <vt:i4>0</vt:i4>
      </vt:variant>
      <vt:variant>
        <vt:i4>5</vt:i4>
      </vt:variant>
      <vt:variant>
        <vt:lpwstr/>
      </vt:variant>
      <vt:variant>
        <vt:lpwstr>_ENREF_121</vt:lpwstr>
      </vt:variant>
      <vt:variant>
        <vt:i4>4522034</vt:i4>
      </vt:variant>
      <vt:variant>
        <vt:i4>4584</vt:i4>
      </vt:variant>
      <vt:variant>
        <vt:i4>0</vt:i4>
      </vt:variant>
      <vt:variant>
        <vt:i4>5</vt:i4>
      </vt:variant>
      <vt:variant>
        <vt:lpwstr/>
      </vt:variant>
      <vt:variant>
        <vt:lpwstr>_ENREF_49</vt:lpwstr>
      </vt:variant>
      <vt:variant>
        <vt:i4>4194362</vt:i4>
      </vt:variant>
      <vt:variant>
        <vt:i4>4578</vt:i4>
      </vt:variant>
      <vt:variant>
        <vt:i4>0</vt:i4>
      </vt:variant>
      <vt:variant>
        <vt:i4>5</vt:i4>
      </vt:variant>
      <vt:variant>
        <vt:lpwstr/>
      </vt:variant>
      <vt:variant>
        <vt:lpwstr>_ENREF_11</vt:lpwstr>
      </vt:variant>
      <vt:variant>
        <vt:i4>7667768</vt:i4>
      </vt:variant>
      <vt:variant>
        <vt:i4>4570</vt:i4>
      </vt:variant>
      <vt:variant>
        <vt:i4>0</vt:i4>
      </vt:variant>
      <vt:variant>
        <vt:i4>5</vt:i4>
      </vt:variant>
      <vt:variant>
        <vt:lpwstr/>
      </vt:variant>
      <vt:variant>
        <vt:lpwstr>_ENREF_135</vt:lpwstr>
      </vt:variant>
      <vt:variant>
        <vt:i4>4784179</vt:i4>
      </vt:variant>
      <vt:variant>
        <vt:i4>4564</vt:i4>
      </vt:variant>
      <vt:variant>
        <vt:i4>0</vt:i4>
      </vt:variant>
      <vt:variant>
        <vt:i4>5</vt:i4>
      </vt:variant>
      <vt:variant>
        <vt:lpwstr/>
      </vt:variant>
      <vt:variant>
        <vt:lpwstr>_ENREF_88</vt:lpwstr>
      </vt:variant>
      <vt:variant>
        <vt:i4>4784191</vt:i4>
      </vt:variant>
      <vt:variant>
        <vt:i4>4558</vt:i4>
      </vt:variant>
      <vt:variant>
        <vt:i4>0</vt:i4>
      </vt:variant>
      <vt:variant>
        <vt:i4>5</vt:i4>
      </vt:variant>
      <vt:variant>
        <vt:lpwstr/>
      </vt:variant>
      <vt:variant>
        <vt:lpwstr>_ENREF_84</vt:lpwstr>
      </vt:variant>
      <vt:variant>
        <vt:i4>7798842</vt:i4>
      </vt:variant>
      <vt:variant>
        <vt:i4>4552</vt:i4>
      </vt:variant>
      <vt:variant>
        <vt:i4>0</vt:i4>
      </vt:variant>
      <vt:variant>
        <vt:i4>5</vt:i4>
      </vt:variant>
      <vt:variant>
        <vt:lpwstr/>
      </vt:variant>
      <vt:variant>
        <vt:lpwstr>_ENREF_117</vt:lpwstr>
      </vt:variant>
      <vt:variant>
        <vt:i4>4390968</vt:i4>
      </vt:variant>
      <vt:variant>
        <vt:i4>4546</vt:i4>
      </vt:variant>
      <vt:variant>
        <vt:i4>0</vt:i4>
      </vt:variant>
      <vt:variant>
        <vt:i4>5</vt:i4>
      </vt:variant>
      <vt:variant>
        <vt:lpwstr/>
      </vt:variant>
      <vt:variant>
        <vt:lpwstr>_ENREF_23</vt:lpwstr>
      </vt:variant>
      <vt:variant>
        <vt:i4>4390975</vt:i4>
      </vt:variant>
      <vt:variant>
        <vt:i4>4540</vt:i4>
      </vt:variant>
      <vt:variant>
        <vt:i4>0</vt:i4>
      </vt:variant>
      <vt:variant>
        <vt:i4>5</vt:i4>
      </vt:variant>
      <vt:variant>
        <vt:lpwstr/>
      </vt:variant>
      <vt:variant>
        <vt:lpwstr>_ENREF_24</vt:lpwstr>
      </vt:variant>
      <vt:variant>
        <vt:i4>4456508</vt:i4>
      </vt:variant>
      <vt:variant>
        <vt:i4>4534</vt:i4>
      </vt:variant>
      <vt:variant>
        <vt:i4>0</vt:i4>
      </vt:variant>
      <vt:variant>
        <vt:i4>5</vt:i4>
      </vt:variant>
      <vt:variant>
        <vt:lpwstr/>
      </vt:variant>
      <vt:variant>
        <vt:lpwstr>_ENREF_57</vt:lpwstr>
      </vt:variant>
      <vt:variant>
        <vt:i4>4456499</vt:i4>
      </vt:variant>
      <vt:variant>
        <vt:i4>4528</vt:i4>
      </vt:variant>
      <vt:variant>
        <vt:i4>0</vt:i4>
      </vt:variant>
      <vt:variant>
        <vt:i4>5</vt:i4>
      </vt:variant>
      <vt:variant>
        <vt:lpwstr/>
      </vt:variant>
      <vt:variant>
        <vt:lpwstr>_ENREF_58</vt:lpwstr>
      </vt:variant>
      <vt:variant>
        <vt:i4>4456498</vt:i4>
      </vt:variant>
      <vt:variant>
        <vt:i4>4522</vt:i4>
      </vt:variant>
      <vt:variant>
        <vt:i4>0</vt:i4>
      </vt:variant>
      <vt:variant>
        <vt:i4>5</vt:i4>
      </vt:variant>
      <vt:variant>
        <vt:lpwstr/>
      </vt:variant>
      <vt:variant>
        <vt:lpwstr>_ENREF_59</vt:lpwstr>
      </vt:variant>
      <vt:variant>
        <vt:i4>4718653</vt:i4>
      </vt:variant>
      <vt:variant>
        <vt:i4>4516</vt:i4>
      </vt:variant>
      <vt:variant>
        <vt:i4>0</vt:i4>
      </vt:variant>
      <vt:variant>
        <vt:i4>5</vt:i4>
      </vt:variant>
      <vt:variant>
        <vt:lpwstr/>
      </vt:variant>
      <vt:variant>
        <vt:lpwstr>_ENREF_96</vt:lpwstr>
      </vt:variant>
      <vt:variant>
        <vt:i4>4718643</vt:i4>
      </vt:variant>
      <vt:variant>
        <vt:i4>4510</vt:i4>
      </vt:variant>
      <vt:variant>
        <vt:i4>0</vt:i4>
      </vt:variant>
      <vt:variant>
        <vt:i4>5</vt:i4>
      </vt:variant>
      <vt:variant>
        <vt:lpwstr/>
      </vt:variant>
      <vt:variant>
        <vt:lpwstr>_ENREF_98</vt:lpwstr>
      </vt:variant>
      <vt:variant>
        <vt:i4>4653118</vt:i4>
      </vt:variant>
      <vt:variant>
        <vt:i4>4504</vt:i4>
      </vt:variant>
      <vt:variant>
        <vt:i4>0</vt:i4>
      </vt:variant>
      <vt:variant>
        <vt:i4>5</vt:i4>
      </vt:variant>
      <vt:variant>
        <vt:lpwstr/>
      </vt:variant>
      <vt:variant>
        <vt:lpwstr>_ENREF_65</vt:lpwstr>
      </vt:variant>
      <vt:variant>
        <vt:i4>4522045</vt:i4>
      </vt:variant>
      <vt:variant>
        <vt:i4>4496</vt:i4>
      </vt:variant>
      <vt:variant>
        <vt:i4>0</vt:i4>
      </vt:variant>
      <vt:variant>
        <vt:i4>5</vt:i4>
      </vt:variant>
      <vt:variant>
        <vt:lpwstr/>
      </vt:variant>
      <vt:variant>
        <vt:lpwstr>_ENREF_46</vt:lpwstr>
      </vt:variant>
      <vt:variant>
        <vt:i4>7602233</vt:i4>
      </vt:variant>
      <vt:variant>
        <vt:i4>4490</vt:i4>
      </vt:variant>
      <vt:variant>
        <vt:i4>0</vt:i4>
      </vt:variant>
      <vt:variant>
        <vt:i4>5</vt:i4>
      </vt:variant>
      <vt:variant>
        <vt:lpwstr/>
      </vt:variant>
      <vt:variant>
        <vt:lpwstr>_ENREF_124</vt:lpwstr>
      </vt:variant>
      <vt:variant>
        <vt:i4>7536697</vt:i4>
      </vt:variant>
      <vt:variant>
        <vt:i4>4487</vt:i4>
      </vt:variant>
      <vt:variant>
        <vt:i4>0</vt:i4>
      </vt:variant>
      <vt:variant>
        <vt:i4>5</vt:i4>
      </vt:variant>
      <vt:variant>
        <vt:lpwstr/>
      </vt:variant>
      <vt:variant>
        <vt:lpwstr>_ENREF_123</vt:lpwstr>
      </vt:variant>
      <vt:variant>
        <vt:i4>4718655</vt:i4>
      </vt:variant>
      <vt:variant>
        <vt:i4>4481</vt:i4>
      </vt:variant>
      <vt:variant>
        <vt:i4>0</vt:i4>
      </vt:variant>
      <vt:variant>
        <vt:i4>5</vt:i4>
      </vt:variant>
      <vt:variant>
        <vt:lpwstr/>
      </vt:variant>
      <vt:variant>
        <vt:lpwstr>_ENREF_94</vt:lpwstr>
      </vt:variant>
      <vt:variant>
        <vt:i4>4784178</vt:i4>
      </vt:variant>
      <vt:variant>
        <vt:i4>4475</vt:i4>
      </vt:variant>
      <vt:variant>
        <vt:i4>0</vt:i4>
      </vt:variant>
      <vt:variant>
        <vt:i4>5</vt:i4>
      </vt:variant>
      <vt:variant>
        <vt:lpwstr/>
      </vt:variant>
      <vt:variant>
        <vt:lpwstr>_ENREF_89</vt:lpwstr>
      </vt:variant>
      <vt:variant>
        <vt:i4>4653112</vt:i4>
      </vt:variant>
      <vt:variant>
        <vt:i4>4469</vt:i4>
      </vt:variant>
      <vt:variant>
        <vt:i4>0</vt:i4>
      </vt:variant>
      <vt:variant>
        <vt:i4>5</vt:i4>
      </vt:variant>
      <vt:variant>
        <vt:lpwstr/>
      </vt:variant>
      <vt:variant>
        <vt:lpwstr>_ENREF_63</vt:lpwstr>
      </vt:variant>
      <vt:variant>
        <vt:i4>7929913</vt:i4>
      </vt:variant>
      <vt:variant>
        <vt:i4>4455</vt:i4>
      </vt:variant>
      <vt:variant>
        <vt:i4>0</vt:i4>
      </vt:variant>
      <vt:variant>
        <vt:i4>5</vt:i4>
      </vt:variant>
      <vt:variant>
        <vt:lpwstr/>
      </vt:variant>
      <vt:variant>
        <vt:lpwstr>_ENREF_129</vt:lpwstr>
      </vt:variant>
      <vt:variant>
        <vt:i4>7667775</vt:i4>
      </vt:variant>
      <vt:variant>
        <vt:i4>4449</vt:i4>
      </vt:variant>
      <vt:variant>
        <vt:i4>0</vt:i4>
      </vt:variant>
      <vt:variant>
        <vt:i4>5</vt:i4>
      </vt:variant>
      <vt:variant>
        <vt:lpwstr/>
      </vt:variant>
      <vt:variant>
        <vt:lpwstr>_ENREF_145</vt:lpwstr>
      </vt:variant>
      <vt:variant>
        <vt:i4>4194361</vt:i4>
      </vt:variant>
      <vt:variant>
        <vt:i4>4443</vt:i4>
      </vt:variant>
      <vt:variant>
        <vt:i4>0</vt:i4>
      </vt:variant>
      <vt:variant>
        <vt:i4>5</vt:i4>
      </vt:variant>
      <vt:variant>
        <vt:lpwstr/>
      </vt:variant>
      <vt:variant>
        <vt:lpwstr>_ENREF_12</vt:lpwstr>
      </vt:variant>
      <vt:variant>
        <vt:i4>4325436</vt:i4>
      </vt:variant>
      <vt:variant>
        <vt:i4>4437</vt:i4>
      </vt:variant>
      <vt:variant>
        <vt:i4>0</vt:i4>
      </vt:variant>
      <vt:variant>
        <vt:i4>5</vt:i4>
      </vt:variant>
      <vt:variant>
        <vt:lpwstr/>
      </vt:variant>
      <vt:variant>
        <vt:lpwstr>_ENREF_37</vt:lpwstr>
      </vt:variant>
      <vt:variant>
        <vt:i4>4325437</vt:i4>
      </vt:variant>
      <vt:variant>
        <vt:i4>4431</vt:i4>
      </vt:variant>
      <vt:variant>
        <vt:i4>0</vt:i4>
      </vt:variant>
      <vt:variant>
        <vt:i4>5</vt:i4>
      </vt:variant>
      <vt:variant>
        <vt:lpwstr/>
      </vt:variant>
      <vt:variant>
        <vt:lpwstr>_ENREF_36</vt:lpwstr>
      </vt:variant>
      <vt:variant>
        <vt:i4>7733311</vt:i4>
      </vt:variant>
      <vt:variant>
        <vt:i4>4425</vt:i4>
      </vt:variant>
      <vt:variant>
        <vt:i4>0</vt:i4>
      </vt:variant>
      <vt:variant>
        <vt:i4>5</vt:i4>
      </vt:variant>
      <vt:variant>
        <vt:lpwstr/>
      </vt:variant>
      <vt:variant>
        <vt:lpwstr>_ENREF_146</vt:lpwstr>
      </vt:variant>
      <vt:variant>
        <vt:i4>4194362</vt:i4>
      </vt:variant>
      <vt:variant>
        <vt:i4>4414</vt:i4>
      </vt:variant>
      <vt:variant>
        <vt:i4>0</vt:i4>
      </vt:variant>
      <vt:variant>
        <vt:i4>5</vt:i4>
      </vt:variant>
      <vt:variant>
        <vt:lpwstr/>
      </vt:variant>
      <vt:variant>
        <vt:lpwstr>_ENREF_11</vt:lpwstr>
      </vt:variant>
      <vt:variant>
        <vt:i4>4653118</vt:i4>
      </vt:variant>
      <vt:variant>
        <vt:i4>4403</vt:i4>
      </vt:variant>
      <vt:variant>
        <vt:i4>0</vt:i4>
      </vt:variant>
      <vt:variant>
        <vt:i4>5</vt:i4>
      </vt:variant>
      <vt:variant>
        <vt:lpwstr/>
      </vt:variant>
      <vt:variant>
        <vt:lpwstr>_ENREF_65</vt:lpwstr>
      </vt:variant>
      <vt:variant>
        <vt:i4>4653112</vt:i4>
      </vt:variant>
      <vt:variant>
        <vt:i4>4400</vt:i4>
      </vt:variant>
      <vt:variant>
        <vt:i4>0</vt:i4>
      </vt:variant>
      <vt:variant>
        <vt:i4>5</vt:i4>
      </vt:variant>
      <vt:variant>
        <vt:lpwstr/>
      </vt:variant>
      <vt:variant>
        <vt:lpwstr>_ENREF_63</vt:lpwstr>
      </vt:variant>
      <vt:variant>
        <vt:i4>7798842</vt:i4>
      </vt:variant>
      <vt:variant>
        <vt:i4>4392</vt:i4>
      </vt:variant>
      <vt:variant>
        <vt:i4>0</vt:i4>
      </vt:variant>
      <vt:variant>
        <vt:i4>5</vt:i4>
      </vt:variant>
      <vt:variant>
        <vt:lpwstr/>
      </vt:variant>
      <vt:variant>
        <vt:lpwstr>_ENREF_117</vt:lpwstr>
      </vt:variant>
      <vt:variant>
        <vt:i4>4653118</vt:i4>
      </vt:variant>
      <vt:variant>
        <vt:i4>4386</vt:i4>
      </vt:variant>
      <vt:variant>
        <vt:i4>0</vt:i4>
      </vt:variant>
      <vt:variant>
        <vt:i4>5</vt:i4>
      </vt:variant>
      <vt:variant>
        <vt:lpwstr/>
      </vt:variant>
      <vt:variant>
        <vt:lpwstr>_ENREF_65</vt:lpwstr>
      </vt:variant>
      <vt:variant>
        <vt:i4>4587582</vt:i4>
      </vt:variant>
      <vt:variant>
        <vt:i4>4378</vt:i4>
      </vt:variant>
      <vt:variant>
        <vt:i4>0</vt:i4>
      </vt:variant>
      <vt:variant>
        <vt:i4>5</vt:i4>
      </vt:variant>
      <vt:variant>
        <vt:lpwstr/>
      </vt:variant>
      <vt:variant>
        <vt:lpwstr>_ENREF_75</vt:lpwstr>
      </vt:variant>
      <vt:variant>
        <vt:i4>4390975</vt:i4>
      </vt:variant>
      <vt:variant>
        <vt:i4>4375</vt:i4>
      </vt:variant>
      <vt:variant>
        <vt:i4>0</vt:i4>
      </vt:variant>
      <vt:variant>
        <vt:i4>5</vt:i4>
      </vt:variant>
      <vt:variant>
        <vt:lpwstr/>
      </vt:variant>
      <vt:variant>
        <vt:lpwstr>_ENREF_24</vt:lpwstr>
      </vt:variant>
      <vt:variant>
        <vt:i4>4194362</vt:i4>
      </vt:variant>
      <vt:variant>
        <vt:i4>4372</vt:i4>
      </vt:variant>
      <vt:variant>
        <vt:i4>0</vt:i4>
      </vt:variant>
      <vt:variant>
        <vt:i4>5</vt:i4>
      </vt:variant>
      <vt:variant>
        <vt:lpwstr/>
      </vt:variant>
      <vt:variant>
        <vt:lpwstr>_ENREF_11</vt:lpwstr>
      </vt:variant>
      <vt:variant>
        <vt:i4>4718651</vt:i4>
      </vt:variant>
      <vt:variant>
        <vt:i4>4364</vt:i4>
      </vt:variant>
      <vt:variant>
        <vt:i4>0</vt:i4>
      </vt:variant>
      <vt:variant>
        <vt:i4>5</vt:i4>
      </vt:variant>
      <vt:variant>
        <vt:lpwstr/>
      </vt:variant>
      <vt:variant>
        <vt:lpwstr>_ENREF_90</vt:lpwstr>
      </vt:variant>
      <vt:variant>
        <vt:i4>7798842</vt:i4>
      </vt:variant>
      <vt:variant>
        <vt:i4>4355</vt:i4>
      </vt:variant>
      <vt:variant>
        <vt:i4>0</vt:i4>
      </vt:variant>
      <vt:variant>
        <vt:i4>5</vt:i4>
      </vt:variant>
      <vt:variant>
        <vt:lpwstr/>
      </vt:variant>
      <vt:variant>
        <vt:lpwstr>_ENREF_117</vt:lpwstr>
      </vt:variant>
      <vt:variant>
        <vt:i4>4653112</vt:i4>
      </vt:variant>
      <vt:variant>
        <vt:i4>4349</vt:i4>
      </vt:variant>
      <vt:variant>
        <vt:i4>0</vt:i4>
      </vt:variant>
      <vt:variant>
        <vt:i4>5</vt:i4>
      </vt:variant>
      <vt:variant>
        <vt:lpwstr/>
      </vt:variant>
      <vt:variant>
        <vt:lpwstr>_ENREF_63</vt:lpwstr>
      </vt:variant>
      <vt:variant>
        <vt:i4>4653118</vt:i4>
      </vt:variant>
      <vt:variant>
        <vt:i4>4341</vt:i4>
      </vt:variant>
      <vt:variant>
        <vt:i4>0</vt:i4>
      </vt:variant>
      <vt:variant>
        <vt:i4>5</vt:i4>
      </vt:variant>
      <vt:variant>
        <vt:lpwstr/>
      </vt:variant>
      <vt:variant>
        <vt:lpwstr>_ENREF_65</vt:lpwstr>
      </vt:variant>
      <vt:variant>
        <vt:i4>4653112</vt:i4>
      </vt:variant>
      <vt:variant>
        <vt:i4>4338</vt:i4>
      </vt:variant>
      <vt:variant>
        <vt:i4>0</vt:i4>
      </vt:variant>
      <vt:variant>
        <vt:i4>5</vt:i4>
      </vt:variant>
      <vt:variant>
        <vt:lpwstr/>
      </vt:variant>
      <vt:variant>
        <vt:lpwstr>_ENREF_63</vt:lpwstr>
      </vt:variant>
      <vt:variant>
        <vt:i4>4653118</vt:i4>
      </vt:variant>
      <vt:variant>
        <vt:i4>4330</vt:i4>
      </vt:variant>
      <vt:variant>
        <vt:i4>0</vt:i4>
      </vt:variant>
      <vt:variant>
        <vt:i4>5</vt:i4>
      </vt:variant>
      <vt:variant>
        <vt:lpwstr/>
      </vt:variant>
      <vt:variant>
        <vt:lpwstr>_ENREF_65</vt:lpwstr>
      </vt:variant>
      <vt:variant>
        <vt:i4>4718651</vt:i4>
      </vt:variant>
      <vt:variant>
        <vt:i4>4322</vt:i4>
      </vt:variant>
      <vt:variant>
        <vt:i4>0</vt:i4>
      </vt:variant>
      <vt:variant>
        <vt:i4>5</vt:i4>
      </vt:variant>
      <vt:variant>
        <vt:lpwstr/>
      </vt:variant>
      <vt:variant>
        <vt:lpwstr>_ENREF_90</vt:lpwstr>
      </vt:variant>
      <vt:variant>
        <vt:i4>4653112</vt:i4>
      </vt:variant>
      <vt:variant>
        <vt:i4>4316</vt:i4>
      </vt:variant>
      <vt:variant>
        <vt:i4>0</vt:i4>
      </vt:variant>
      <vt:variant>
        <vt:i4>5</vt:i4>
      </vt:variant>
      <vt:variant>
        <vt:lpwstr/>
      </vt:variant>
      <vt:variant>
        <vt:lpwstr>_ENREF_63</vt:lpwstr>
      </vt:variant>
      <vt:variant>
        <vt:i4>4653112</vt:i4>
      </vt:variant>
      <vt:variant>
        <vt:i4>4308</vt:i4>
      </vt:variant>
      <vt:variant>
        <vt:i4>0</vt:i4>
      </vt:variant>
      <vt:variant>
        <vt:i4>5</vt:i4>
      </vt:variant>
      <vt:variant>
        <vt:lpwstr/>
      </vt:variant>
      <vt:variant>
        <vt:lpwstr>_ENREF_63</vt:lpwstr>
      </vt:variant>
      <vt:variant>
        <vt:i4>4784178</vt:i4>
      </vt:variant>
      <vt:variant>
        <vt:i4>4297</vt:i4>
      </vt:variant>
      <vt:variant>
        <vt:i4>0</vt:i4>
      </vt:variant>
      <vt:variant>
        <vt:i4>5</vt:i4>
      </vt:variant>
      <vt:variant>
        <vt:lpwstr/>
      </vt:variant>
      <vt:variant>
        <vt:lpwstr>_ENREF_89</vt:lpwstr>
      </vt:variant>
      <vt:variant>
        <vt:i4>4456509</vt:i4>
      </vt:variant>
      <vt:variant>
        <vt:i4>4288</vt:i4>
      </vt:variant>
      <vt:variant>
        <vt:i4>0</vt:i4>
      </vt:variant>
      <vt:variant>
        <vt:i4>5</vt:i4>
      </vt:variant>
      <vt:variant>
        <vt:lpwstr/>
      </vt:variant>
      <vt:variant>
        <vt:lpwstr>_ENREF_56</vt:lpwstr>
      </vt:variant>
      <vt:variant>
        <vt:i4>7798842</vt:i4>
      </vt:variant>
      <vt:variant>
        <vt:i4>4282</vt:i4>
      </vt:variant>
      <vt:variant>
        <vt:i4>0</vt:i4>
      </vt:variant>
      <vt:variant>
        <vt:i4>5</vt:i4>
      </vt:variant>
      <vt:variant>
        <vt:lpwstr/>
      </vt:variant>
      <vt:variant>
        <vt:lpwstr>_ENREF_117</vt:lpwstr>
      </vt:variant>
      <vt:variant>
        <vt:i4>4653112</vt:i4>
      </vt:variant>
      <vt:variant>
        <vt:i4>4276</vt:i4>
      </vt:variant>
      <vt:variant>
        <vt:i4>0</vt:i4>
      </vt:variant>
      <vt:variant>
        <vt:i4>5</vt:i4>
      </vt:variant>
      <vt:variant>
        <vt:lpwstr/>
      </vt:variant>
      <vt:variant>
        <vt:lpwstr>_ENREF_63</vt:lpwstr>
      </vt:variant>
      <vt:variant>
        <vt:i4>4653118</vt:i4>
      </vt:variant>
      <vt:variant>
        <vt:i4>4268</vt:i4>
      </vt:variant>
      <vt:variant>
        <vt:i4>0</vt:i4>
      </vt:variant>
      <vt:variant>
        <vt:i4>5</vt:i4>
      </vt:variant>
      <vt:variant>
        <vt:lpwstr/>
      </vt:variant>
      <vt:variant>
        <vt:lpwstr>_ENREF_65</vt:lpwstr>
      </vt:variant>
      <vt:variant>
        <vt:i4>7536696</vt:i4>
      </vt:variant>
      <vt:variant>
        <vt:i4>4230</vt:i4>
      </vt:variant>
      <vt:variant>
        <vt:i4>0</vt:i4>
      </vt:variant>
      <vt:variant>
        <vt:i4>5</vt:i4>
      </vt:variant>
      <vt:variant>
        <vt:lpwstr/>
      </vt:variant>
      <vt:variant>
        <vt:lpwstr>_ENREF_133</vt:lpwstr>
      </vt:variant>
      <vt:variant>
        <vt:i4>4718603</vt:i4>
      </vt:variant>
      <vt:variant>
        <vt:i4>4224</vt:i4>
      </vt:variant>
      <vt:variant>
        <vt:i4>0</vt:i4>
      </vt:variant>
      <vt:variant>
        <vt:i4>5</vt:i4>
      </vt:variant>
      <vt:variant>
        <vt:lpwstr/>
      </vt:variant>
      <vt:variant>
        <vt:lpwstr>_ENREF_9</vt:lpwstr>
      </vt:variant>
      <vt:variant>
        <vt:i4>7536696</vt:i4>
      </vt:variant>
      <vt:variant>
        <vt:i4>4210</vt:i4>
      </vt:variant>
      <vt:variant>
        <vt:i4>0</vt:i4>
      </vt:variant>
      <vt:variant>
        <vt:i4>5</vt:i4>
      </vt:variant>
      <vt:variant>
        <vt:lpwstr/>
      </vt:variant>
      <vt:variant>
        <vt:lpwstr>_ENREF_133</vt:lpwstr>
      </vt:variant>
      <vt:variant>
        <vt:i4>4718603</vt:i4>
      </vt:variant>
      <vt:variant>
        <vt:i4>4207</vt:i4>
      </vt:variant>
      <vt:variant>
        <vt:i4>0</vt:i4>
      </vt:variant>
      <vt:variant>
        <vt:i4>5</vt:i4>
      </vt:variant>
      <vt:variant>
        <vt:lpwstr/>
      </vt:variant>
      <vt:variant>
        <vt:lpwstr>_ENREF_9</vt:lpwstr>
      </vt:variant>
      <vt:variant>
        <vt:i4>4456505</vt:i4>
      </vt:variant>
      <vt:variant>
        <vt:i4>4199</vt:i4>
      </vt:variant>
      <vt:variant>
        <vt:i4>0</vt:i4>
      </vt:variant>
      <vt:variant>
        <vt:i4>5</vt:i4>
      </vt:variant>
      <vt:variant>
        <vt:lpwstr/>
      </vt:variant>
      <vt:variant>
        <vt:lpwstr>_ENREF_52</vt:lpwstr>
      </vt:variant>
      <vt:variant>
        <vt:i4>4390971</vt:i4>
      </vt:variant>
      <vt:variant>
        <vt:i4>4193</vt:i4>
      </vt:variant>
      <vt:variant>
        <vt:i4>0</vt:i4>
      </vt:variant>
      <vt:variant>
        <vt:i4>5</vt:i4>
      </vt:variant>
      <vt:variant>
        <vt:lpwstr/>
      </vt:variant>
      <vt:variant>
        <vt:lpwstr>_ENREF_20</vt:lpwstr>
      </vt:variant>
      <vt:variant>
        <vt:i4>4390971</vt:i4>
      </vt:variant>
      <vt:variant>
        <vt:i4>4179</vt:i4>
      </vt:variant>
      <vt:variant>
        <vt:i4>0</vt:i4>
      </vt:variant>
      <vt:variant>
        <vt:i4>5</vt:i4>
      </vt:variant>
      <vt:variant>
        <vt:lpwstr/>
      </vt:variant>
      <vt:variant>
        <vt:lpwstr>_ENREF_20</vt:lpwstr>
      </vt:variant>
      <vt:variant>
        <vt:i4>4784184</vt:i4>
      </vt:variant>
      <vt:variant>
        <vt:i4>4171</vt:i4>
      </vt:variant>
      <vt:variant>
        <vt:i4>0</vt:i4>
      </vt:variant>
      <vt:variant>
        <vt:i4>5</vt:i4>
      </vt:variant>
      <vt:variant>
        <vt:lpwstr/>
      </vt:variant>
      <vt:variant>
        <vt:lpwstr>_ENREF_83</vt:lpwstr>
      </vt:variant>
      <vt:variant>
        <vt:i4>4522041</vt:i4>
      </vt:variant>
      <vt:variant>
        <vt:i4>4163</vt:i4>
      </vt:variant>
      <vt:variant>
        <vt:i4>0</vt:i4>
      </vt:variant>
      <vt:variant>
        <vt:i4>5</vt:i4>
      </vt:variant>
      <vt:variant>
        <vt:lpwstr/>
      </vt:variant>
      <vt:variant>
        <vt:lpwstr>_ENREF_42</vt:lpwstr>
      </vt:variant>
      <vt:variant>
        <vt:i4>4784184</vt:i4>
      </vt:variant>
      <vt:variant>
        <vt:i4>4152</vt:i4>
      </vt:variant>
      <vt:variant>
        <vt:i4>0</vt:i4>
      </vt:variant>
      <vt:variant>
        <vt:i4>5</vt:i4>
      </vt:variant>
      <vt:variant>
        <vt:lpwstr/>
      </vt:variant>
      <vt:variant>
        <vt:lpwstr>_ENREF_83</vt:lpwstr>
      </vt:variant>
      <vt:variant>
        <vt:i4>4522041</vt:i4>
      </vt:variant>
      <vt:variant>
        <vt:i4>4144</vt:i4>
      </vt:variant>
      <vt:variant>
        <vt:i4>0</vt:i4>
      </vt:variant>
      <vt:variant>
        <vt:i4>5</vt:i4>
      </vt:variant>
      <vt:variant>
        <vt:lpwstr/>
      </vt:variant>
      <vt:variant>
        <vt:lpwstr>_ENREF_42</vt:lpwstr>
      </vt:variant>
      <vt:variant>
        <vt:i4>4522046</vt:i4>
      </vt:variant>
      <vt:variant>
        <vt:i4>4133</vt:i4>
      </vt:variant>
      <vt:variant>
        <vt:i4>0</vt:i4>
      </vt:variant>
      <vt:variant>
        <vt:i4>5</vt:i4>
      </vt:variant>
      <vt:variant>
        <vt:lpwstr/>
      </vt:variant>
      <vt:variant>
        <vt:lpwstr>_ENREF_45</vt:lpwstr>
      </vt:variant>
      <vt:variant>
        <vt:i4>4325433</vt:i4>
      </vt:variant>
      <vt:variant>
        <vt:i4>4125</vt:i4>
      </vt:variant>
      <vt:variant>
        <vt:i4>0</vt:i4>
      </vt:variant>
      <vt:variant>
        <vt:i4>5</vt:i4>
      </vt:variant>
      <vt:variant>
        <vt:lpwstr/>
      </vt:variant>
      <vt:variant>
        <vt:lpwstr>_ENREF_32</vt:lpwstr>
      </vt:variant>
      <vt:variant>
        <vt:i4>4522046</vt:i4>
      </vt:variant>
      <vt:variant>
        <vt:i4>4116</vt:i4>
      </vt:variant>
      <vt:variant>
        <vt:i4>0</vt:i4>
      </vt:variant>
      <vt:variant>
        <vt:i4>5</vt:i4>
      </vt:variant>
      <vt:variant>
        <vt:lpwstr/>
      </vt:variant>
      <vt:variant>
        <vt:lpwstr>_ENREF_45</vt:lpwstr>
      </vt:variant>
      <vt:variant>
        <vt:i4>4325433</vt:i4>
      </vt:variant>
      <vt:variant>
        <vt:i4>4113</vt:i4>
      </vt:variant>
      <vt:variant>
        <vt:i4>0</vt:i4>
      </vt:variant>
      <vt:variant>
        <vt:i4>5</vt:i4>
      </vt:variant>
      <vt:variant>
        <vt:lpwstr/>
      </vt:variant>
      <vt:variant>
        <vt:lpwstr>_ENREF_32</vt:lpwstr>
      </vt:variant>
      <vt:variant>
        <vt:i4>4456507</vt:i4>
      </vt:variant>
      <vt:variant>
        <vt:i4>4102</vt:i4>
      </vt:variant>
      <vt:variant>
        <vt:i4>0</vt:i4>
      </vt:variant>
      <vt:variant>
        <vt:i4>5</vt:i4>
      </vt:variant>
      <vt:variant>
        <vt:lpwstr/>
      </vt:variant>
      <vt:variant>
        <vt:lpwstr>_ENREF_50</vt:lpwstr>
      </vt:variant>
      <vt:variant>
        <vt:i4>4390971</vt:i4>
      </vt:variant>
      <vt:variant>
        <vt:i4>4096</vt:i4>
      </vt:variant>
      <vt:variant>
        <vt:i4>0</vt:i4>
      </vt:variant>
      <vt:variant>
        <vt:i4>5</vt:i4>
      </vt:variant>
      <vt:variant>
        <vt:lpwstr/>
      </vt:variant>
      <vt:variant>
        <vt:lpwstr>_ENREF_20</vt:lpwstr>
      </vt:variant>
      <vt:variant>
        <vt:i4>4390971</vt:i4>
      </vt:variant>
      <vt:variant>
        <vt:i4>4082</vt:i4>
      </vt:variant>
      <vt:variant>
        <vt:i4>0</vt:i4>
      </vt:variant>
      <vt:variant>
        <vt:i4>5</vt:i4>
      </vt:variant>
      <vt:variant>
        <vt:lpwstr/>
      </vt:variant>
      <vt:variant>
        <vt:lpwstr>_ENREF_20</vt:lpwstr>
      </vt:variant>
      <vt:variant>
        <vt:i4>4784139</vt:i4>
      </vt:variant>
      <vt:variant>
        <vt:i4>4074</vt:i4>
      </vt:variant>
      <vt:variant>
        <vt:i4>0</vt:i4>
      </vt:variant>
      <vt:variant>
        <vt:i4>5</vt:i4>
      </vt:variant>
      <vt:variant>
        <vt:lpwstr/>
      </vt:variant>
      <vt:variant>
        <vt:lpwstr>_ENREF_8</vt:lpwstr>
      </vt:variant>
      <vt:variant>
        <vt:i4>4784184</vt:i4>
      </vt:variant>
      <vt:variant>
        <vt:i4>4068</vt:i4>
      </vt:variant>
      <vt:variant>
        <vt:i4>0</vt:i4>
      </vt:variant>
      <vt:variant>
        <vt:i4>5</vt:i4>
      </vt:variant>
      <vt:variant>
        <vt:lpwstr/>
      </vt:variant>
      <vt:variant>
        <vt:lpwstr>_ENREF_83</vt:lpwstr>
      </vt:variant>
      <vt:variant>
        <vt:i4>4390971</vt:i4>
      </vt:variant>
      <vt:variant>
        <vt:i4>4057</vt:i4>
      </vt:variant>
      <vt:variant>
        <vt:i4>0</vt:i4>
      </vt:variant>
      <vt:variant>
        <vt:i4>5</vt:i4>
      </vt:variant>
      <vt:variant>
        <vt:lpwstr/>
      </vt:variant>
      <vt:variant>
        <vt:lpwstr>_ENREF_20</vt:lpwstr>
      </vt:variant>
      <vt:variant>
        <vt:i4>4784184</vt:i4>
      </vt:variant>
      <vt:variant>
        <vt:i4>4049</vt:i4>
      </vt:variant>
      <vt:variant>
        <vt:i4>0</vt:i4>
      </vt:variant>
      <vt:variant>
        <vt:i4>5</vt:i4>
      </vt:variant>
      <vt:variant>
        <vt:lpwstr/>
      </vt:variant>
      <vt:variant>
        <vt:lpwstr>_ENREF_83</vt:lpwstr>
      </vt:variant>
      <vt:variant>
        <vt:i4>4784139</vt:i4>
      </vt:variant>
      <vt:variant>
        <vt:i4>4046</vt:i4>
      </vt:variant>
      <vt:variant>
        <vt:i4>0</vt:i4>
      </vt:variant>
      <vt:variant>
        <vt:i4>5</vt:i4>
      </vt:variant>
      <vt:variant>
        <vt:lpwstr/>
      </vt:variant>
      <vt:variant>
        <vt:lpwstr>_ENREF_8</vt:lpwstr>
      </vt:variant>
      <vt:variant>
        <vt:i4>4390971</vt:i4>
      </vt:variant>
      <vt:variant>
        <vt:i4>4038</vt:i4>
      </vt:variant>
      <vt:variant>
        <vt:i4>0</vt:i4>
      </vt:variant>
      <vt:variant>
        <vt:i4>5</vt:i4>
      </vt:variant>
      <vt:variant>
        <vt:lpwstr/>
      </vt:variant>
      <vt:variant>
        <vt:lpwstr>_ENREF_20</vt:lpwstr>
      </vt:variant>
      <vt:variant>
        <vt:i4>4784184</vt:i4>
      </vt:variant>
      <vt:variant>
        <vt:i4>4030</vt:i4>
      </vt:variant>
      <vt:variant>
        <vt:i4>0</vt:i4>
      </vt:variant>
      <vt:variant>
        <vt:i4>5</vt:i4>
      </vt:variant>
      <vt:variant>
        <vt:lpwstr/>
      </vt:variant>
      <vt:variant>
        <vt:lpwstr>_ENREF_83</vt:lpwstr>
      </vt:variant>
      <vt:variant>
        <vt:i4>4784184</vt:i4>
      </vt:variant>
      <vt:variant>
        <vt:i4>4019</vt:i4>
      </vt:variant>
      <vt:variant>
        <vt:i4>0</vt:i4>
      </vt:variant>
      <vt:variant>
        <vt:i4>5</vt:i4>
      </vt:variant>
      <vt:variant>
        <vt:lpwstr/>
      </vt:variant>
      <vt:variant>
        <vt:lpwstr>_ENREF_83</vt:lpwstr>
      </vt:variant>
      <vt:variant>
        <vt:i4>4718603</vt:i4>
      </vt:variant>
      <vt:variant>
        <vt:i4>4016</vt:i4>
      </vt:variant>
      <vt:variant>
        <vt:i4>0</vt:i4>
      </vt:variant>
      <vt:variant>
        <vt:i4>5</vt:i4>
      </vt:variant>
      <vt:variant>
        <vt:lpwstr/>
      </vt:variant>
      <vt:variant>
        <vt:lpwstr>_ENREF_9</vt:lpwstr>
      </vt:variant>
      <vt:variant>
        <vt:i4>4390969</vt:i4>
      </vt:variant>
      <vt:variant>
        <vt:i4>4005</vt:i4>
      </vt:variant>
      <vt:variant>
        <vt:i4>0</vt:i4>
      </vt:variant>
      <vt:variant>
        <vt:i4>5</vt:i4>
      </vt:variant>
      <vt:variant>
        <vt:lpwstr/>
      </vt:variant>
      <vt:variant>
        <vt:lpwstr>_ENREF_22</vt:lpwstr>
      </vt:variant>
      <vt:variant>
        <vt:i4>7340094</vt:i4>
      </vt:variant>
      <vt:variant>
        <vt:i4>3997</vt:i4>
      </vt:variant>
      <vt:variant>
        <vt:i4>0</vt:i4>
      </vt:variant>
      <vt:variant>
        <vt:i4>5</vt:i4>
      </vt:variant>
      <vt:variant>
        <vt:lpwstr/>
      </vt:variant>
      <vt:variant>
        <vt:lpwstr>_ENREF_150</vt:lpwstr>
      </vt:variant>
      <vt:variant>
        <vt:i4>4194355</vt:i4>
      </vt:variant>
      <vt:variant>
        <vt:i4>3991</vt:i4>
      </vt:variant>
      <vt:variant>
        <vt:i4>0</vt:i4>
      </vt:variant>
      <vt:variant>
        <vt:i4>5</vt:i4>
      </vt:variant>
      <vt:variant>
        <vt:lpwstr/>
      </vt:variant>
      <vt:variant>
        <vt:lpwstr>_ENREF_18</vt:lpwstr>
      </vt:variant>
      <vt:variant>
        <vt:i4>4194355</vt:i4>
      </vt:variant>
      <vt:variant>
        <vt:i4>3982</vt:i4>
      </vt:variant>
      <vt:variant>
        <vt:i4>0</vt:i4>
      </vt:variant>
      <vt:variant>
        <vt:i4>5</vt:i4>
      </vt:variant>
      <vt:variant>
        <vt:lpwstr/>
      </vt:variant>
      <vt:variant>
        <vt:lpwstr>_ENREF_18</vt:lpwstr>
      </vt:variant>
      <vt:variant>
        <vt:i4>4194355</vt:i4>
      </vt:variant>
      <vt:variant>
        <vt:i4>3976</vt:i4>
      </vt:variant>
      <vt:variant>
        <vt:i4>0</vt:i4>
      </vt:variant>
      <vt:variant>
        <vt:i4>5</vt:i4>
      </vt:variant>
      <vt:variant>
        <vt:lpwstr/>
      </vt:variant>
      <vt:variant>
        <vt:lpwstr>_ENREF_18</vt:lpwstr>
      </vt:variant>
      <vt:variant>
        <vt:i4>4456510</vt:i4>
      </vt:variant>
      <vt:variant>
        <vt:i4>3970</vt:i4>
      </vt:variant>
      <vt:variant>
        <vt:i4>0</vt:i4>
      </vt:variant>
      <vt:variant>
        <vt:i4>5</vt:i4>
      </vt:variant>
      <vt:variant>
        <vt:lpwstr/>
      </vt:variant>
      <vt:variant>
        <vt:lpwstr>_ENREF_55</vt:lpwstr>
      </vt:variant>
      <vt:variant>
        <vt:i4>4456510</vt:i4>
      </vt:variant>
      <vt:variant>
        <vt:i4>3964</vt:i4>
      </vt:variant>
      <vt:variant>
        <vt:i4>0</vt:i4>
      </vt:variant>
      <vt:variant>
        <vt:i4>5</vt:i4>
      </vt:variant>
      <vt:variant>
        <vt:lpwstr/>
      </vt:variant>
      <vt:variant>
        <vt:lpwstr>_ENREF_55</vt:lpwstr>
      </vt:variant>
      <vt:variant>
        <vt:i4>4390969</vt:i4>
      </vt:variant>
      <vt:variant>
        <vt:i4>3958</vt:i4>
      </vt:variant>
      <vt:variant>
        <vt:i4>0</vt:i4>
      </vt:variant>
      <vt:variant>
        <vt:i4>5</vt:i4>
      </vt:variant>
      <vt:variant>
        <vt:lpwstr/>
      </vt:variant>
      <vt:variant>
        <vt:lpwstr>_ENREF_22</vt:lpwstr>
      </vt:variant>
      <vt:variant>
        <vt:i4>4390969</vt:i4>
      </vt:variant>
      <vt:variant>
        <vt:i4>3950</vt:i4>
      </vt:variant>
      <vt:variant>
        <vt:i4>0</vt:i4>
      </vt:variant>
      <vt:variant>
        <vt:i4>5</vt:i4>
      </vt:variant>
      <vt:variant>
        <vt:lpwstr/>
      </vt:variant>
      <vt:variant>
        <vt:lpwstr>_ENREF_22</vt:lpwstr>
      </vt:variant>
      <vt:variant>
        <vt:i4>7340094</vt:i4>
      </vt:variant>
      <vt:variant>
        <vt:i4>3942</vt:i4>
      </vt:variant>
      <vt:variant>
        <vt:i4>0</vt:i4>
      </vt:variant>
      <vt:variant>
        <vt:i4>5</vt:i4>
      </vt:variant>
      <vt:variant>
        <vt:lpwstr/>
      </vt:variant>
      <vt:variant>
        <vt:lpwstr>_ENREF_150</vt:lpwstr>
      </vt:variant>
      <vt:variant>
        <vt:i4>7471166</vt:i4>
      </vt:variant>
      <vt:variant>
        <vt:i4>3930</vt:i4>
      </vt:variant>
      <vt:variant>
        <vt:i4>0</vt:i4>
      </vt:variant>
      <vt:variant>
        <vt:i4>5</vt:i4>
      </vt:variant>
      <vt:variant>
        <vt:lpwstr/>
      </vt:variant>
      <vt:variant>
        <vt:lpwstr>_ENREF_152</vt:lpwstr>
      </vt:variant>
      <vt:variant>
        <vt:i4>7471166</vt:i4>
      </vt:variant>
      <vt:variant>
        <vt:i4>3924</vt:i4>
      </vt:variant>
      <vt:variant>
        <vt:i4>0</vt:i4>
      </vt:variant>
      <vt:variant>
        <vt:i4>5</vt:i4>
      </vt:variant>
      <vt:variant>
        <vt:lpwstr/>
      </vt:variant>
      <vt:variant>
        <vt:lpwstr>_ENREF_152</vt:lpwstr>
      </vt:variant>
      <vt:variant>
        <vt:i4>4784184</vt:i4>
      </vt:variant>
      <vt:variant>
        <vt:i4>3918</vt:i4>
      </vt:variant>
      <vt:variant>
        <vt:i4>0</vt:i4>
      </vt:variant>
      <vt:variant>
        <vt:i4>5</vt:i4>
      </vt:variant>
      <vt:variant>
        <vt:lpwstr/>
      </vt:variant>
      <vt:variant>
        <vt:lpwstr>_ENREF_83</vt:lpwstr>
      </vt:variant>
      <vt:variant>
        <vt:i4>4390969</vt:i4>
      </vt:variant>
      <vt:variant>
        <vt:i4>3910</vt:i4>
      </vt:variant>
      <vt:variant>
        <vt:i4>0</vt:i4>
      </vt:variant>
      <vt:variant>
        <vt:i4>5</vt:i4>
      </vt:variant>
      <vt:variant>
        <vt:lpwstr/>
      </vt:variant>
      <vt:variant>
        <vt:lpwstr>_ENREF_22</vt:lpwstr>
      </vt:variant>
      <vt:variant>
        <vt:i4>4653119</vt:i4>
      </vt:variant>
      <vt:variant>
        <vt:i4>3893</vt:i4>
      </vt:variant>
      <vt:variant>
        <vt:i4>0</vt:i4>
      </vt:variant>
      <vt:variant>
        <vt:i4>5</vt:i4>
      </vt:variant>
      <vt:variant>
        <vt:lpwstr/>
      </vt:variant>
      <vt:variant>
        <vt:lpwstr>_ENREF_64</vt:lpwstr>
      </vt:variant>
      <vt:variant>
        <vt:i4>4587576</vt:i4>
      </vt:variant>
      <vt:variant>
        <vt:i4>3885</vt:i4>
      </vt:variant>
      <vt:variant>
        <vt:i4>0</vt:i4>
      </vt:variant>
      <vt:variant>
        <vt:i4>5</vt:i4>
      </vt:variant>
      <vt:variant>
        <vt:lpwstr/>
      </vt:variant>
      <vt:variant>
        <vt:lpwstr>_ENREF_73</vt:lpwstr>
      </vt:variant>
      <vt:variant>
        <vt:i4>4194354</vt:i4>
      </vt:variant>
      <vt:variant>
        <vt:i4>3877</vt:i4>
      </vt:variant>
      <vt:variant>
        <vt:i4>0</vt:i4>
      </vt:variant>
      <vt:variant>
        <vt:i4>5</vt:i4>
      </vt:variant>
      <vt:variant>
        <vt:lpwstr/>
      </vt:variant>
      <vt:variant>
        <vt:lpwstr>_ENREF_19</vt:lpwstr>
      </vt:variant>
      <vt:variant>
        <vt:i4>4784189</vt:i4>
      </vt:variant>
      <vt:variant>
        <vt:i4>3871</vt:i4>
      </vt:variant>
      <vt:variant>
        <vt:i4>0</vt:i4>
      </vt:variant>
      <vt:variant>
        <vt:i4>5</vt:i4>
      </vt:variant>
      <vt:variant>
        <vt:lpwstr/>
      </vt:variant>
      <vt:variant>
        <vt:lpwstr>_ENREF_86</vt:lpwstr>
      </vt:variant>
      <vt:variant>
        <vt:i4>4390970</vt:i4>
      </vt:variant>
      <vt:variant>
        <vt:i4>3868</vt:i4>
      </vt:variant>
      <vt:variant>
        <vt:i4>0</vt:i4>
      </vt:variant>
      <vt:variant>
        <vt:i4>5</vt:i4>
      </vt:variant>
      <vt:variant>
        <vt:lpwstr/>
      </vt:variant>
      <vt:variant>
        <vt:lpwstr>_ENREF_21</vt:lpwstr>
      </vt:variant>
      <vt:variant>
        <vt:i4>4194354</vt:i4>
      </vt:variant>
      <vt:variant>
        <vt:i4>3865</vt:i4>
      </vt:variant>
      <vt:variant>
        <vt:i4>0</vt:i4>
      </vt:variant>
      <vt:variant>
        <vt:i4>5</vt:i4>
      </vt:variant>
      <vt:variant>
        <vt:lpwstr/>
      </vt:variant>
      <vt:variant>
        <vt:lpwstr>_ENREF_19</vt:lpwstr>
      </vt:variant>
      <vt:variant>
        <vt:i4>7733311</vt:i4>
      </vt:variant>
      <vt:variant>
        <vt:i4>3851</vt:i4>
      </vt:variant>
      <vt:variant>
        <vt:i4>0</vt:i4>
      </vt:variant>
      <vt:variant>
        <vt:i4>5</vt:i4>
      </vt:variant>
      <vt:variant>
        <vt:lpwstr/>
      </vt:variant>
      <vt:variant>
        <vt:lpwstr>_ENREF_146</vt:lpwstr>
      </vt:variant>
      <vt:variant>
        <vt:i4>7471166</vt:i4>
      </vt:variant>
      <vt:variant>
        <vt:i4>3843</vt:i4>
      </vt:variant>
      <vt:variant>
        <vt:i4>0</vt:i4>
      </vt:variant>
      <vt:variant>
        <vt:i4>5</vt:i4>
      </vt:variant>
      <vt:variant>
        <vt:lpwstr/>
      </vt:variant>
      <vt:variant>
        <vt:lpwstr>_ENREF_152</vt:lpwstr>
      </vt:variant>
      <vt:variant>
        <vt:i4>4194361</vt:i4>
      </vt:variant>
      <vt:variant>
        <vt:i4>3837</vt:i4>
      </vt:variant>
      <vt:variant>
        <vt:i4>0</vt:i4>
      </vt:variant>
      <vt:variant>
        <vt:i4>5</vt:i4>
      </vt:variant>
      <vt:variant>
        <vt:lpwstr/>
      </vt:variant>
      <vt:variant>
        <vt:lpwstr>_ENREF_12</vt:lpwstr>
      </vt:variant>
      <vt:variant>
        <vt:i4>4325427</vt:i4>
      </vt:variant>
      <vt:variant>
        <vt:i4>3813</vt:i4>
      </vt:variant>
      <vt:variant>
        <vt:i4>0</vt:i4>
      </vt:variant>
      <vt:variant>
        <vt:i4>5</vt:i4>
      </vt:variant>
      <vt:variant>
        <vt:lpwstr/>
      </vt:variant>
      <vt:variant>
        <vt:lpwstr>_ENREF_38</vt:lpwstr>
      </vt:variant>
      <vt:variant>
        <vt:i4>4325427</vt:i4>
      </vt:variant>
      <vt:variant>
        <vt:i4>3807</vt:i4>
      </vt:variant>
      <vt:variant>
        <vt:i4>0</vt:i4>
      </vt:variant>
      <vt:variant>
        <vt:i4>5</vt:i4>
      </vt:variant>
      <vt:variant>
        <vt:lpwstr/>
      </vt:variant>
      <vt:variant>
        <vt:lpwstr>_ENREF_38</vt:lpwstr>
      </vt:variant>
      <vt:variant>
        <vt:i4>4325427</vt:i4>
      </vt:variant>
      <vt:variant>
        <vt:i4>3801</vt:i4>
      </vt:variant>
      <vt:variant>
        <vt:i4>0</vt:i4>
      </vt:variant>
      <vt:variant>
        <vt:i4>5</vt:i4>
      </vt:variant>
      <vt:variant>
        <vt:lpwstr/>
      </vt:variant>
      <vt:variant>
        <vt:lpwstr>_ENREF_38</vt:lpwstr>
      </vt:variant>
      <vt:variant>
        <vt:i4>4653106</vt:i4>
      </vt:variant>
      <vt:variant>
        <vt:i4>3795</vt:i4>
      </vt:variant>
      <vt:variant>
        <vt:i4>0</vt:i4>
      </vt:variant>
      <vt:variant>
        <vt:i4>5</vt:i4>
      </vt:variant>
      <vt:variant>
        <vt:lpwstr/>
      </vt:variant>
      <vt:variant>
        <vt:lpwstr>_ENREF_69</vt:lpwstr>
      </vt:variant>
      <vt:variant>
        <vt:i4>4456510</vt:i4>
      </vt:variant>
      <vt:variant>
        <vt:i4>3783</vt:i4>
      </vt:variant>
      <vt:variant>
        <vt:i4>0</vt:i4>
      </vt:variant>
      <vt:variant>
        <vt:i4>5</vt:i4>
      </vt:variant>
      <vt:variant>
        <vt:lpwstr/>
      </vt:variant>
      <vt:variant>
        <vt:lpwstr>_ENREF_55</vt:lpwstr>
      </vt:variant>
      <vt:variant>
        <vt:i4>4325432</vt:i4>
      </vt:variant>
      <vt:variant>
        <vt:i4>3780</vt:i4>
      </vt:variant>
      <vt:variant>
        <vt:i4>0</vt:i4>
      </vt:variant>
      <vt:variant>
        <vt:i4>5</vt:i4>
      </vt:variant>
      <vt:variant>
        <vt:lpwstr/>
      </vt:variant>
      <vt:variant>
        <vt:lpwstr>_ENREF_33</vt:lpwstr>
      </vt:variant>
      <vt:variant>
        <vt:i4>4325437</vt:i4>
      </vt:variant>
      <vt:variant>
        <vt:i4>3772</vt:i4>
      </vt:variant>
      <vt:variant>
        <vt:i4>0</vt:i4>
      </vt:variant>
      <vt:variant>
        <vt:i4>5</vt:i4>
      </vt:variant>
      <vt:variant>
        <vt:lpwstr/>
      </vt:variant>
      <vt:variant>
        <vt:lpwstr>_ENREF_36</vt:lpwstr>
      </vt:variant>
      <vt:variant>
        <vt:i4>7733311</vt:i4>
      </vt:variant>
      <vt:variant>
        <vt:i4>3766</vt:i4>
      </vt:variant>
      <vt:variant>
        <vt:i4>0</vt:i4>
      </vt:variant>
      <vt:variant>
        <vt:i4>5</vt:i4>
      </vt:variant>
      <vt:variant>
        <vt:lpwstr/>
      </vt:variant>
      <vt:variant>
        <vt:lpwstr>_ENREF_146</vt:lpwstr>
      </vt:variant>
      <vt:variant>
        <vt:i4>4325436</vt:i4>
      </vt:variant>
      <vt:variant>
        <vt:i4>3758</vt:i4>
      </vt:variant>
      <vt:variant>
        <vt:i4>0</vt:i4>
      </vt:variant>
      <vt:variant>
        <vt:i4>5</vt:i4>
      </vt:variant>
      <vt:variant>
        <vt:lpwstr/>
      </vt:variant>
      <vt:variant>
        <vt:lpwstr>_ENREF_37</vt:lpwstr>
      </vt:variant>
      <vt:variant>
        <vt:i4>7602238</vt:i4>
      </vt:variant>
      <vt:variant>
        <vt:i4>3752</vt:i4>
      </vt:variant>
      <vt:variant>
        <vt:i4>0</vt:i4>
      </vt:variant>
      <vt:variant>
        <vt:i4>5</vt:i4>
      </vt:variant>
      <vt:variant>
        <vt:lpwstr/>
      </vt:variant>
      <vt:variant>
        <vt:lpwstr>_ENREF_154</vt:lpwstr>
      </vt:variant>
      <vt:variant>
        <vt:i4>4784188</vt:i4>
      </vt:variant>
      <vt:variant>
        <vt:i4>3746</vt:i4>
      </vt:variant>
      <vt:variant>
        <vt:i4>0</vt:i4>
      </vt:variant>
      <vt:variant>
        <vt:i4>5</vt:i4>
      </vt:variant>
      <vt:variant>
        <vt:lpwstr/>
      </vt:variant>
      <vt:variant>
        <vt:lpwstr>_ENREF_87</vt:lpwstr>
      </vt:variant>
      <vt:variant>
        <vt:i4>4522047</vt:i4>
      </vt:variant>
      <vt:variant>
        <vt:i4>3735</vt:i4>
      </vt:variant>
      <vt:variant>
        <vt:i4>0</vt:i4>
      </vt:variant>
      <vt:variant>
        <vt:i4>5</vt:i4>
      </vt:variant>
      <vt:variant>
        <vt:lpwstr/>
      </vt:variant>
      <vt:variant>
        <vt:lpwstr>_ENREF_44</vt:lpwstr>
      </vt:variant>
      <vt:variant>
        <vt:i4>7798841</vt:i4>
      </vt:variant>
      <vt:variant>
        <vt:i4>3727</vt:i4>
      </vt:variant>
      <vt:variant>
        <vt:i4>0</vt:i4>
      </vt:variant>
      <vt:variant>
        <vt:i4>5</vt:i4>
      </vt:variant>
      <vt:variant>
        <vt:lpwstr/>
      </vt:variant>
      <vt:variant>
        <vt:lpwstr>_ENREF_127</vt:lpwstr>
      </vt:variant>
      <vt:variant>
        <vt:i4>4653119</vt:i4>
      </vt:variant>
      <vt:variant>
        <vt:i4>3724</vt:i4>
      </vt:variant>
      <vt:variant>
        <vt:i4>0</vt:i4>
      </vt:variant>
      <vt:variant>
        <vt:i4>5</vt:i4>
      </vt:variant>
      <vt:variant>
        <vt:lpwstr/>
      </vt:variant>
      <vt:variant>
        <vt:lpwstr>_ENREF_64</vt:lpwstr>
      </vt:variant>
      <vt:variant>
        <vt:i4>4456510</vt:i4>
      </vt:variant>
      <vt:variant>
        <vt:i4>3716</vt:i4>
      </vt:variant>
      <vt:variant>
        <vt:i4>0</vt:i4>
      </vt:variant>
      <vt:variant>
        <vt:i4>5</vt:i4>
      </vt:variant>
      <vt:variant>
        <vt:lpwstr/>
      </vt:variant>
      <vt:variant>
        <vt:lpwstr>_ENREF_55</vt:lpwstr>
      </vt:variant>
      <vt:variant>
        <vt:i4>4325432</vt:i4>
      </vt:variant>
      <vt:variant>
        <vt:i4>3713</vt:i4>
      </vt:variant>
      <vt:variant>
        <vt:i4>0</vt:i4>
      </vt:variant>
      <vt:variant>
        <vt:i4>5</vt:i4>
      </vt:variant>
      <vt:variant>
        <vt:lpwstr/>
      </vt:variant>
      <vt:variant>
        <vt:lpwstr>_ENREF_33</vt:lpwstr>
      </vt:variant>
      <vt:variant>
        <vt:i4>7864378</vt:i4>
      </vt:variant>
      <vt:variant>
        <vt:i4>3705</vt:i4>
      </vt:variant>
      <vt:variant>
        <vt:i4>0</vt:i4>
      </vt:variant>
      <vt:variant>
        <vt:i4>5</vt:i4>
      </vt:variant>
      <vt:variant>
        <vt:lpwstr/>
      </vt:variant>
      <vt:variant>
        <vt:lpwstr>_ENREF_118</vt:lpwstr>
      </vt:variant>
      <vt:variant>
        <vt:i4>4653112</vt:i4>
      </vt:variant>
      <vt:variant>
        <vt:i4>3702</vt:i4>
      </vt:variant>
      <vt:variant>
        <vt:i4>0</vt:i4>
      </vt:variant>
      <vt:variant>
        <vt:i4>5</vt:i4>
      </vt:variant>
      <vt:variant>
        <vt:lpwstr/>
      </vt:variant>
      <vt:variant>
        <vt:lpwstr>_ENREF_63</vt:lpwstr>
      </vt:variant>
      <vt:variant>
        <vt:i4>4653118</vt:i4>
      </vt:variant>
      <vt:variant>
        <vt:i4>3694</vt:i4>
      </vt:variant>
      <vt:variant>
        <vt:i4>0</vt:i4>
      </vt:variant>
      <vt:variant>
        <vt:i4>5</vt:i4>
      </vt:variant>
      <vt:variant>
        <vt:lpwstr/>
      </vt:variant>
      <vt:variant>
        <vt:lpwstr>_ENREF_65</vt:lpwstr>
      </vt:variant>
      <vt:variant>
        <vt:i4>4653118</vt:i4>
      </vt:variant>
      <vt:variant>
        <vt:i4>3686</vt:i4>
      </vt:variant>
      <vt:variant>
        <vt:i4>0</vt:i4>
      </vt:variant>
      <vt:variant>
        <vt:i4>5</vt:i4>
      </vt:variant>
      <vt:variant>
        <vt:lpwstr/>
      </vt:variant>
      <vt:variant>
        <vt:lpwstr>_ENREF_65</vt:lpwstr>
      </vt:variant>
      <vt:variant>
        <vt:i4>4653118</vt:i4>
      </vt:variant>
      <vt:variant>
        <vt:i4>3678</vt:i4>
      </vt:variant>
      <vt:variant>
        <vt:i4>0</vt:i4>
      </vt:variant>
      <vt:variant>
        <vt:i4>5</vt:i4>
      </vt:variant>
      <vt:variant>
        <vt:lpwstr/>
      </vt:variant>
      <vt:variant>
        <vt:lpwstr>_ENREF_65</vt:lpwstr>
      </vt:variant>
      <vt:variant>
        <vt:i4>4456509</vt:i4>
      </vt:variant>
      <vt:variant>
        <vt:i4>3675</vt:i4>
      </vt:variant>
      <vt:variant>
        <vt:i4>0</vt:i4>
      </vt:variant>
      <vt:variant>
        <vt:i4>5</vt:i4>
      </vt:variant>
      <vt:variant>
        <vt:lpwstr/>
      </vt:variant>
      <vt:variant>
        <vt:lpwstr>_ENREF_56</vt:lpwstr>
      </vt:variant>
      <vt:variant>
        <vt:i4>4456509</vt:i4>
      </vt:variant>
      <vt:variant>
        <vt:i4>3667</vt:i4>
      </vt:variant>
      <vt:variant>
        <vt:i4>0</vt:i4>
      </vt:variant>
      <vt:variant>
        <vt:i4>5</vt:i4>
      </vt:variant>
      <vt:variant>
        <vt:lpwstr/>
      </vt:variant>
      <vt:variant>
        <vt:lpwstr>_ENREF_56</vt:lpwstr>
      </vt:variant>
      <vt:variant>
        <vt:i4>7602234</vt:i4>
      </vt:variant>
      <vt:variant>
        <vt:i4>3649</vt:i4>
      </vt:variant>
      <vt:variant>
        <vt:i4>0</vt:i4>
      </vt:variant>
      <vt:variant>
        <vt:i4>5</vt:i4>
      </vt:variant>
      <vt:variant>
        <vt:lpwstr/>
      </vt:variant>
      <vt:variant>
        <vt:lpwstr>_ENREF_114</vt:lpwstr>
      </vt:variant>
      <vt:variant>
        <vt:i4>4325434</vt:i4>
      </vt:variant>
      <vt:variant>
        <vt:i4>3640</vt:i4>
      </vt:variant>
      <vt:variant>
        <vt:i4>0</vt:i4>
      </vt:variant>
      <vt:variant>
        <vt:i4>5</vt:i4>
      </vt:variant>
      <vt:variant>
        <vt:lpwstr/>
      </vt:variant>
      <vt:variant>
        <vt:lpwstr>_ENREF_31</vt:lpwstr>
      </vt:variant>
      <vt:variant>
        <vt:i4>4718648</vt:i4>
      </vt:variant>
      <vt:variant>
        <vt:i4>3632</vt:i4>
      </vt:variant>
      <vt:variant>
        <vt:i4>0</vt:i4>
      </vt:variant>
      <vt:variant>
        <vt:i4>5</vt:i4>
      </vt:variant>
      <vt:variant>
        <vt:lpwstr/>
      </vt:variant>
      <vt:variant>
        <vt:lpwstr>_ENREF_93</vt:lpwstr>
      </vt:variant>
      <vt:variant>
        <vt:i4>4653118</vt:i4>
      </vt:variant>
      <vt:variant>
        <vt:i4>3624</vt:i4>
      </vt:variant>
      <vt:variant>
        <vt:i4>0</vt:i4>
      </vt:variant>
      <vt:variant>
        <vt:i4>5</vt:i4>
      </vt:variant>
      <vt:variant>
        <vt:lpwstr/>
      </vt:variant>
      <vt:variant>
        <vt:lpwstr>_ENREF_65</vt:lpwstr>
      </vt:variant>
      <vt:variant>
        <vt:i4>7340088</vt:i4>
      </vt:variant>
      <vt:variant>
        <vt:i4>3613</vt:i4>
      </vt:variant>
      <vt:variant>
        <vt:i4>0</vt:i4>
      </vt:variant>
      <vt:variant>
        <vt:i4>5</vt:i4>
      </vt:variant>
      <vt:variant>
        <vt:lpwstr/>
      </vt:variant>
      <vt:variant>
        <vt:lpwstr>_ENREF_130</vt:lpwstr>
      </vt:variant>
      <vt:variant>
        <vt:i4>7864378</vt:i4>
      </vt:variant>
      <vt:variant>
        <vt:i4>3601</vt:i4>
      </vt:variant>
      <vt:variant>
        <vt:i4>0</vt:i4>
      </vt:variant>
      <vt:variant>
        <vt:i4>5</vt:i4>
      </vt:variant>
      <vt:variant>
        <vt:lpwstr/>
      </vt:variant>
      <vt:variant>
        <vt:lpwstr>_ENREF_118</vt:lpwstr>
      </vt:variant>
      <vt:variant>
        <vt:i4>7340088</vt:i4>
      </vt:variant>
      <vt:variant>
        <vt:i4>3597</vt:i4>
      </vt:variant>
      <vt:variant>
        <vt:i4>0</vt:i4>
      </vt:variant>
      <vt:variant>
        <vt:i4>5</vt:i4>
      </vt:variant>
      <vt:variant>
        <vt:lpwstr/>
      </vt:variant>
      <vt:variant>
        <vt:lpwstr>_ENREF_130</vt:lpwstr>
      </vt:variant>
      <vt:variant>
        <vt:i4>4653112</vt:i4>
      </vt:variant>
      <vt:variant>
        <vt:i4>3585</vt:i4>
      </vt:variant>
      <vt:variant>
        <vt:i4>0</vt:i4>
      </vt:variant>
      <vt:variant>
        <vt:i4>5</vt:i4>
      </vt:variant>
      <vt:variant>
        <vt:lpwstr/>
      </vt:variant>
      <vt:variant>
        <vt:lpwstr>_ENREF_63</vt:lpwstr>
      </vt:variant>
      <vt:variant>
        <vt:i4>7864378</vt:i4>
      </vt:variant>
      <vt:variant>
        <vt:i4>3577</vt:i4>
      </vt:variant>
      <vt:variant>
        <vt:i4>0</vt:i4>
      </vt:variant>
      <vt:variant>
        <vt:i4>5</vt:i4>
      </vt:variant>
      <vt:variant>
        <vt:lpwstr/>
      </vt:variant>
      <vt:variant>
        <vt:lpwstr>_ENREF_118</vt:lpwstr>
      </vt:variant>
      <vt:variant>
        <vt:i4>4653112</vt:i4>
      </vt:variant>
      <vt:variant>
        <vt:i4>3569</vt:i4>
      </vt:variant>
      <vt:variant>
        <vt:i4>0</vt:i4>
      </vt:variant>
      <vt:variant>
        <vt:i4>5</vt:i4>
      </vt:variant>
      <vt:variant>
        <vt:lpwstr/>
      </vt:variant>
      <vt:variant>
        <vt:lpwstr>_ENREF_63</vt:lpwstr>
      </vt:variant>
      <vt:variant>
        <vt:i4>7864378</vt:i4>
      </vt:variant>
      <vt:variant>
        <vt:i4>3561</vt:i4>
      </vt:variant>
      <vt:variant>
        <vt:i4>0</vt:i4>
      </vt:variant>
      <vt:variant>
        <vt:i4>5</vt:i4>
      </vt:variant>
      <vt:variant>
        <vt:lpwstr/>
      </vt:variant>
      <vt:variant>
        <vt:lpwstr>_ENREF_118</vt:lpwstr>
      </vt:variant>
      <vt:variant>
        <vt:i4>4653112</vt:i4>
      </vt:variant>
      <vt:variant>
        <vt:i4>3553</vt:i4>
      </vt:variant>
      <vt:variant>
        <vt:i4>0</vt:i4>
      </vt:variant>
      <vt:variant>
        <vt:i4>5</vt:i4>
      </vt:variant>
      <vt:variant>
        <vt:lpwstr/>
      </vt:variant>
      <vt:variant>
        <vt:lpwstr>_ENREF_63</vt:lpwstr>
      </vt:variant>
      <vt:variant>
        <vt:i4>7864378</vt:i4>
      </vt:variant>
      <vt:variant>
        <vt:i4>3549</vt:i4>
      </vt:variant>
      <vt:variant>
        <vt:i4>0</vt:i4>
      </vt:variant>
      <vt:variant>
        <vt:i4>5</vt:i4>
      </vt:variant>
      <vt:variant>
        <vt:lpwstr/>
      </vt:variant>
      <vt:variant>
        <vt:lpwstr>_ENREF_118</vt:lpwstr>
      </vt:variant>
      <vt:variant>
        <vt:i4>4653112</vt:i4>
      </vt:variant>
      <vt:variant>
        <vt:i4>3546</vt:i4>
      </vt:variant>
      <vt:variant>
        <vt:i4>0</vt:i4>
      </vt:variant>
      <vt:variant>
        <vt:i4>5</vt:i4>
      </vt:variant>
      <vt:variant>
        <vt:lpwstr/>
      </vt:variant>
      <vt:variant>
        <vt:lpwstr>_ENREF_63</vt:lpwstr>
      </vt:variant>
      <vt:variant>
        <vt:i4>4456509</vt:i4>
      </vt:variant>
      <vt:variant>
        <vt:i4>3538</vt:i4>
      </vt:variant>
      <vt:variant>
        <vt:i4>0</vt:i4>
      </vt:variant>
      <vt:variant>
        <vt:i4>5</vt:i4>
      </vt:variant>
      <vt:variant>
        <vt:lpwstr/>
      </vt:variant>
      <vt:variant>
        <vt:lpwstr>_ENREF_56</vt:lpwstr>
      </vt:variant>
      <vt:variant>
        <vt:i4>4456510</vt:i4>
      </vt:variant>
      <vt:variant>
        <vt:i4>3535</vt:i4>
      </vt:variant>
      <vt:variant>
        <vt:i4>0</vt:i4>
      </vt:variant>
      <vt:variant>
        <vt:i4>5</vt:i4>
      </vt:variant>
      <vt:variant>
        <vt:lpwstr/>
      </vt:variant>
      <vt:variant>
        <vt:lpwstr>_ENREF_55</vt:lpwstr>
      </vt:variant>
      <vt:variant>
        <vt:i4>7602238</vt:i4>
      </vt:variant>
      <vt:variant>
        <vt:i4>3532</vt:i4>
      </vt:variant>
      <vt:variant>
        <vt:i4>0</vt:i4>
      </vt:variant>
      <vt:variant>
        <vt:i4>5</vt:i4>
      </vt:variant>
      <vt:variant>
        <vt:lpwstr/>
      </vt:variant>
      <vt:variant>
        <vt:lpwstr>_ENREF_154</vt:lpwstr>
      </vt:variant>
      <vt:variant>
        <vt:i4>4325438</vt:i4>
      </vt:variant>
      <vt:variant>
        <vt:i4>3529</vt:i4>
      </vt:variant>
      <vt:variant>
        <vt:i4>0</vt:i4>
      </vt:variant>
      <vt:variant>
        <vt:i4>5</vt:i4>
      </vt:variant>
      <vt:variant>
        <vt:lpwstr/>
      </vt:variant>
      <vt:variant>
        <vt:lpwstr>_ENREF_35</vt:lpwstr>
      </vt:variant>
      <vt:variant>
        <vt:i4>7733311</vt:i4>
      </vt:variant>
      <vt:variant>
        <vt:i4>3521</vt:i4>
      </vt:variant>
      <vt:variant>
        <vt:i4>0</vt:i4>
      </vt:variant>
      <vt:variant>
        <vt:i4>5</vt:i4>
      </vt:variant>
      <vt:variant>
        <vt:lpwstr/>
      </vt:variant>
      <vt:variant>
        <vt:lpwstr>_ENREF_146</vt:lpwstr>
      </vt:variant>
      <vt:variant>
        <vt:i4>7864378</vt:i4>
      </vt:variant>
      <vt:variant>
        <vt:i4>3518</vt:i4>
      </vt:variant>
      <vt:variant>
        <vt:i4>0</vt:i4>
      </vt:variant>
      <vt:variant>
        <vt:i4>5</vt:i4>
      </vt:variant>
      <vt:variant>
        <vt:lpwstr/>
      </vt:variant>
      <vt:variant>
        <vt:lpwstr>_ENREF_118</vt:lpwstr>
      </vt:variant>
      <vt:variant>
        <vt:i4>4718648</vt:i4>
      </vt:variant>
      <vt:variant>
        <vt:i4>3515</vt:i4>
      </vt:variant>
      <vt:variant>
        <vt:i4>0</vt:i4>
      </vt:variant>
      <vt:variant>
        <vt:i4>5</vt:i4>
      </vt:variant>
      <vt:variant>
        <vt:lpwstr/>
      </vt:variant>
      <vt:variant>
        <vt:lpwstr>_ENREF_93</vt:lpwstr>
      </vt:variant>
      <vt:variant>
        <vt:i4>4653112</vt:i4>
      </vt:variant>
      <vt:variant>
        <vt:i4>3512</vt:i4>
      </vt:variant>
      <vt:variant>
        <vt:i4>0</vt:i4>
      </vt:variant>
      <vt:variant>
        <vt:i4>5</vt:i4>
      </vt:variant>
      <vt:variant>
        <vt:lpwstr/>
      </vt:variant>
      <vt:variant>
        <vt:lpwstr>_ENREF_63</vt:lpwstr>
      </vt:variant>
      <vt:variant>
        <vt:i4>4653118</vt:i4>
      </vt:variant>
      <vt:variant>
        <vt:i4>3509</vt:i4>
      </vt:variant>
      <vt:variant>
        <vt:i4>0</vt:i4>
      </vt:variant>
      <vt:variant>
        <vt:i4>5</vt:i4>
      </vt:variant>
      <vt:variant>
        <vt:lpwstr/>
      </vt:variant>
      <vt:variant>
        <vt:lpwstr>_ENREF_65</vt:lpwstr>
      </vt:variant>
      <vt:variant>
        <vt:i4>4653112</vt:i4>
      </vt:variant>
      <vt:variant>
        <vt:i4>3501</vt:i4>
      </vt:variant>
      <vt:variant>
        <vt:i4>0</vt:i4>
      </vt:variant>
      <vt:variant>
        <vt:i4>5</vt:i4>
      </vt:variant>
      <vt:variant>
        <vt:lpwstr/>
      </vt:variant>
      <vt:variant>
        <vt:lpwstr>_ENREF_63</vt:lpwstr>
      </vt:variant>
      <vt:variant>
        <vt:i4>4653112</vt:i4>
      </vt:variant>
      <vt:variant>
        <vt:i4>3493</vt:i4>
      </vt:variant>
      <vt:variant>
        <vt:i4>0</vt:i4>
      </vt:variant>
      <vt:variant>
        <vt:i4>5</vt:i4>
      </vt:variant>
      <vt:variant>
        <vt:lpwstr/>
      </vt:variant>
      <vt:variant>
        <vt:lpwstr>_ENREF_63</vt:lpwstr>
      </vt:variant>
      <vt:variant>
        <vt:i4>7864378</vt:i4>
      </vt:variant>
      <vt:variant>
        <vt:i4>3485</vt:i4>
      </vt:variant>
      <vt:variant>
        <vt:i4>0</vt:i4>
      </vt:variant>
      <vt:variant>
        <vt:i4>5</vt:i4>
      </vt:variant>
      <vt:variant>
        <vt:lpwstr/>
      </vt:variant>
      <vt:variant>
        <vt:lpwstr>_ENREF_118</vt:lpwstr>
      </vt:variant>
      <vt:variant>
        <vt:i4>4718648</vt:i4>
      </vt:variant>
      <vt:variant>
        <vt:i4>3477</vt:i4>
      </vt:variant>
      <vt:variant>
        <vt:i4>0</vt:i4>
      </vt:variant>
      <vt:variant>
        <vt:i4>5</vt:i4>
      </vt:variant>
      <vt:variant>
        <vt:lpwstr/>
      </vt:variant>
      <vt:variant>
        <vt:lpwstr>_ENREF_93</vt:lpwstr>
      </vt:variant>
      <vt:variant>
        <vt:i4>4653118</vt:i4>
      </vt:variant>
      <vt:variant>
        <vt:i4>3474</vt:i4>
      </vt:variant>
      <vt:variant>
        <vt:i4>0</vt:i4>
      </vt:variant>
      <vt:variant>
        <vt:i4>5</vt:i4>
      </vt:variant>
      <vt:variant>
        <vt:lpwstr/>
      </vt:variant>
      <vt:variant>
        <vt:lpwstr>_ENREF_65</vt:lpwstr>
      </vt:variant>
      <vt:variant>
        <vt:i4>7864378</vt:i4>
      </vt:variant>
      <vt:variant>
        <vt:i4>3466</vt:i4>
      </vt:variant>
      <vt:variant>
        <vt:i4>0</vt:i4>
      </vt:variant>
      <vt:variant>
        <vt:i4>5</vt:i4>
      </vt:variant>
      <vt:variant>
        <vt:lpwstr/>
      </vt:variant>
      <vt:variant>
        <vt:lpwstr>_ENREF_118</vt:lpwstr>
      </vt:variant>
      <vt:variant>
        <vt:i4>4653112</vt:i4>
      </vt:variant>
      <vt:variant>
        <vt:i4>3463</vt:i4>
      </vt:variant>
      <vt:variant>
        <vt:i4>0</vt:i4>
      </vt:variant>
      <vt:variant>
        <vt:i4>5</vt:i4>
      </vt:variant>
      <vt:variant>
        <vt:lpwstr/>
      </vt:variant>
      <vt:variant>
        <vt:lpwstr>_ENREF_63</vt:lpwstr>
      </vt:variant>
      <vt:variant>
        <vt:i4>7602238</vt:i4>
      </vt:variant>
      <vt:variant>
        <vt:i4>3455</vt:i4>
      </vt:variant>
      <vt:variant>
        <vt:i4>0</vt:i4>
      </vt:variant>
      <vt:variant>
        <vt:i4>5</vt:i4>
      </vt:variant>
      <vt:variant>
        <vt:lpwstr/>
      </vt:variant>
      <vt:variant>
        <vt:lpwstr>_ENREF_154</vt:lpwstr>
      </vt:variant>
      <vt:variant>
        <vt:i4>4325438</vt:i4>
      </vt:variant>
      <vt:variant>
        <vt:i4>3452</vt:i4>
      </vt:variant>
      <vt:variant>
        <vt:i4>0</vt:i4>
      </vt:variant>
      <vt:variant>
        <vt:i4>5</vt:i4>
      </vt:variant>
      <vt:variant>
        <vt:lpwstr/>
      </vt:variant>
      <vt:variant>
        <vt:lpwstr>_ENREF_35</vt:lpwstr>
      </vt:variant>
      <vt:variant>
        <vt:i4>7602234</vt:i4>
      </vt:variant>
      <vt:variant>
        <vt:i4>3441</vt:i4>
      </vt:variant>
      <vt:variant>
        <vt:i4>0</vt:i4>
      </vt:variant>
      <vt:variant>
        <vt:i4>5</vt:i4>
      </vt:variant>
      <vt:variant>
        <vt:lpwstr/>
      </vt:variant>
      <vt:variant>
        <vt:lpwstr>_ENREF_114</vt:lpwstr>
      </vt:variant>
      <vt:variant>
        <vt:i4>4587580</vt:i4>
      </vt:variant>
      <vt:variant>
        <vt:i4>3435</vt:i4>
      </vt:variant>
      <vt:variant>
        <vt:i4>0</vt:i4>
      </vt:variant>
      <vt:variant>
        <vt:i4>5</vt:i4>
      </vt:variant>
      <vt:variant>
        <vt:lpwstr/>
      </vt:variant>
      <vt:variant>
        <vt:lpwstr>_ENREF_77</vt:lpwstr>
      </vt:variant>
      <vt:variant>
        <vt:i4>7405631</vt:i4>
      </vt:variant>
      <vt:variant>
        <vt:i4>3427</vt:i4>
      </vt:variant>
      <vt:variant>
        <vt:i4>0</vt:i4>
      </vt:variant>
      <vt:variant>
        <vt:i4>5</vt:i4>
      </vt:variant>
      <vt:variant>
        <vt:lpwstr/>
      </vt:variant>
      <vt:variant>
        <vt:lpwstr>_ENREF_141</vt:lpwstr>
      </vt:variant>
      <vt:variant>
        <vt:i4>4194365</vt:i4>
      </vt:variant>
      <vt:variant>
        <vt:i4>3421</vt:i4>
      </vt:variant>
      <vt:variant>
        <vt:i4>0</vt:i4>
      </vt:variant>
      <vt:variant>
        <vt:i4>5</vt:i4>
      </vt:variant>
      <vt:variant>
        <vt:lpwstr/>
      </vt:variant>
      <vt:variant>
        <vt:lpwstr>_ENREF_16</vt:lpwstr>
      </vt:variant>
      <vt:variant>
        <vt:i4>7798847</vt:i4>
      </vt:variant>
      <vt:variant>
        <vt:i4>3409</vt:i4>
      </vt:variant>
      <vt:variant>
        <vt:i4>0</vt:i4>
      </vt:variant>
      <vt:variant>
        <vt:i4>5</vt:i4>
      </vt:variant>
      <vt:variant>
        <vt:lpwstr/>
      </vt:variant>
      <vt:variant>
        <vt:lpwstr>_ENREF_147</vt:lpwstr>
      </vt:variant>
      <vt:variant>
        <vt:i4>7798847</vt:i4>
      </vt:variant>
      <vt:variant>
        <vt:i4>3401</vt:i4>
      </vt:variant>
      <vt:variant>
        <vt:i4>0</vt:i4>
      </vt:variant>
      <vt:variant>
        <vt:i4>5</vt:i4>
      </vt:variant>
      <vt:variant>
        <vt:lpwstr/>
      </vt:variant>
      <vt:variant>
        <vt:lpwstr>_ENREF_147</vt:lpwstr>
      </vt:variant>
      <vt:variant>
        <vt:i4>7798847</vt:i4>
      </vt:variant>
      <vt:variant>
        <vt:i4>3393</vt:i4>
      </vt:variant>
      <vt:variant>
        <vt:i4>0</vt:i4>
      </vt:variant>
      <vt:variant>
        <vt:i4>5</vt:i4>
      </vt:variant>
      <vt:variant>
        <vt:lpwstr/>
      </vt:variant>
      <vt:variant>
        <vt:lpwstr>_ENREF_147</vt:lpwstr>
      </vt:variant>
      <vt:variant>
        <vt:i4>4325436</vt:i4>
      </vt:variant>
      <vt:variant>
        <vt:i4>3385</vt:i4>
      </vt:variant>
      <vt:variant>
        <vt:i4>0</vt:i4>
      </vt:variant>
      <vt:variant>
        <vt:i4>5</vt:i4>
      </vt:variant>
      <vt:variant>
        <vt:lpwstr/>
      </vt:variant>
      <vt:variant>
        <vt:lpwstr>_ENREF_37</vt:lpwstr>
      </vt:variant>
      <vt:variant>
        <vt:i4>2097184</vt:i4>
      </vt:variant>
      <vt:variant>
        <vt:i4>3380</vt:i4>
      </vt:variant>
      <vt:variant>
        <vt:i4>0</vt:i4>
      </vt:variant>
      <vt:variant>
        <vt:i4>5</vt:i4>
      </vt:variant>
      <vt:variant>
        <vt:lpwstr>https://www.blood.gov.au/system/files/Neurology-Assessment-Methods-for-the-Ig-Governance-public-page-2.pdf</vt:lpwstr>
      </vt:variant>
      <vt:variant>
        <vt:lpwstr/>
      </vt:variant>
      <vt:variant>
        <vt:i4>7340089</vt:i4>
      </vt:variant>
      <vt:variant>
        <vt:i4>3376</vt:i4>
      </vt:variant>
      <vt:variant>
        <vt:i4>0</vt:i4>
      </vt:variant>
      <vt:variant>
        <vt:i4>5</vt:i4>
      </vt:variant>
      <vt:variant>
        <vt:lpwstr/>
      </vt:variant>
      <vt:variant>
        <vt:lpwstr>_ENREF_120</vt:lpwstr>
      </vt:variant>
      <vt:variant>
        <vt:i4>4456510</vt:i4>
      </vt:variant>
      <vt:variant>
        <vt:i4>3370</vt:i4>
      </vt:variant>
      <vt:variant>
        <vt:i4>0</vt:i4>
      </vt:variant>
      <vt:variant>
        <vt:i4>5</vt:i4>
      </vt:variant>
      <vt:variant>
        <vt:lpwstr/>
      </vt:variant>
      <vt:variant>
        <vt:lpwstr>_ENREF_55</vt:lpwstr>
      </vt:variant>
      <vt:variant>
        <vt:i4>7340091</vt:i4>
      </vt:variant>
      <vt:variant>
        <vt:i4>3364</vt:i4>
      </vt:variant>
      <vt:variant>
        <vt:i4>0</vt:i4>
      </vt:variant>
      <vt:variant>
        <vt:i4>5</vt:i4>
      </vt:variant>
      <vt:variant>
        <vt:lpwstr/>
      </vt:variant>
      <vt:variant>
        <vt:lpwstr>_ENREF_100</vt:lpwstr>
      </vt:variant>
      <vt:variant>
        <vt:i4>7733306</vt:i4>
      </vt:variant>
      <vt:variant>
        <vt:i4>3356</vt:i4>
      </vt:variant>
      <vt:variant>
        <vt:i4>0</vt:i4>
      </vt:variant>
      <vt:variant>
        <vt:i4>5</vt:i4>
      </vt:variant>
      <vt:variant>
        <vt:lpwstr/>
      </vt:variant>
      <vt:variant>
        <vt:lpwstr>_ENREF_116</vt:lpwstr>
      </vt:variant>
      <vt:variant>
        <vt:i4>4325387</vt:i4>
      </vt:variant>
      <vt:variant>
        <vt:i4>3347</vt:i4>
      </vt:variant>
      <vt:variant>
        <vt:i4>0</vt:i4>
      </vt:variant>
      <vt:variant>
        <vt:i4>5</vt:i4>
      </vt:variant>
      <vt:variant>
        <vt:lpwstr/>
      </vt:variant>
      <vt:variant>
        <vt:lpwstr>_ENREF_3</vt:lpwstr>
      </vt:variant>
      <vt:variant>
        <vt:i4>4784139</vt:i4>
      </vt:variant>
      <vt:variant>
        <vt:i4>3329</vt:i4>
      </vt:variant>
      <vt:variant>
        <vt:i4>0</vt:i4>
      </vt:variant>
      <vt:variant>
        <vt:i4>5</vt:i4>
      </vt:variant>
      <vt:variant>
        <vt:lpwstr/>
      </vt:variant>
      <vt:variant>
        <vt:lpwstr>_ENREF_8</vt:lpwstr>
      </vt:variant>
      <vt:variant>
        <vt:i4>4784185</vt:i4>
      </vt:variant>
      <vt:variant>
        <vt:i4>3320</vt:i4>
      </vt:variant>
      <vt:variant>
        <vt:i4>0</vt:i4>
      </vt:variant>
      <vt:variant>
        <vt:i4>5</vt:i4>
      </vt:variant>
      <vt:variant>
        <vt:lpwstr/>
      </vt:variant>
      <vt:variant>
        <vt:lpwstr>_ENREF_82</vt:lpwstr>
      </vt:variant>
      <vt:variant>
        <vt:i4>7602239</vt:i4>
      </vt:variant>
      <vt:variant>
        <vt:i4>3314</vt:i4>
      </vt:variant>
      <vt:variant>
        <vt:i4>0</vt:i4>
      </vt:variant>
      <vt:variant>
        <vt:i4>5</vt:i4>
      </vt:variant>
      <vt:variant>
        <vt:lpwstr/>
      </vt:variant>
      <vt:variant>
        <vt:lpwstr>_ENREF_144</vt:lpwstr>
      </vt:variant>
      <vt:variant>
        <vt:i4>4784190</vt:i4>
      </vt:variant>
      <vt:variant>
        <vt:i4>3311</vt:i4>
      </vt:variant>
      <vt:variant>
        <vt:i4>0</vt:i4>
      </vt:variant>
      <vt:variant>
        <vt:i4>5</vt:i4>
      </vt:variant>
      <vt:variant>
        <vt:lpwstr/>
      </vt:variant>
      <vt:variant>
        <vt:lpwstr>_ENREF_85</vt:lpwstr>
      </vt:variant>
      <vt:variant>
        <vt:i4>4587577</vt:i4>
      </vt:variant>
      <vt:variant>
        <vt:i4>3303</vt:i4>
      </vt:variant>
      <vt:variant>
        <vt:i4>0</vt:i4>
      </vt:variant>
      <vt:variant>
        <vt:i4>5</vt:i4>
      </vt:variant>
      <vt:variant>
        <vt:lpwstr/>
      </vt:variant>
      <vt:variant>
        <vt:lpwstr>_ENREF_72</vt:lpwstr>
      </vt:variant>
      <vt:variant>
        <vt:i4>7798841</vt:i4>
      </vt:variant>
      <vt:variant>
        <vt:i4>3295</vt:i4>
      </vt:variant>
      <vt:variant>
        <vt:i4>0</vt:i4>
      </vt:variant>
      <vt:variant>
        <vt:i4>5</vt:i4>
      </vt:variant>
      <vt:variant>
        <vt:lpwstr/>
      </vt:variant>
      <vt:variant>
        <vt:lpwstr>_ENREF_127</vt:lpwstr>
      </vt:variant>
      <vt:variant>
        <vt:i4>4784190</vt:i4>
      </vt:variant>
      <vt:variant>
        <vt:i4>3289</vt:i4>
      </vt:variant>
      <vt:variant>
        <vt:i4>0</vt:i4>
      </vt:variant>
      <vt:variant>
        <vt:i4>5</vt:i4>
      </vt:variant>
      <vt:variant>
        <vt:lpwstr/>
      </vt:variant>
      <vt:variant>
        <vt:lpwstr>_ENREF_85</vt:lpwstr>
      </vt:variant>
      <vt:variant>
        <vt:i4>4587577</vt:i4>
      </vt:variant>
      <vt:variant>
        <vt:i4>3286</vt:i4>
      </vt:variant>
      <vt:variant>
        <vt:i4>0</vt:i4>
      </vt:variant>
      <vt:variant>
        <vt:i4>5</vt:i4>
      </vt:variant>
      <vt:variant>
        <vt:lpwstr/>
      </vt:variant>
      <vt:variant>
        <vt:lpwstr>_ENREF_72</vt:lpwstr>
      </vt:variant>
      <vt:variant>
        <vt:i4>7602239</vt:i4>
      </vt:variant>
      <vt:variant>
        <vt:i4>3278</vt:i4>
      </vt:variant>
      <vt:variant>
        <vt:i4>0</vt:i4>
      </vt:variant>
      <vt:variant>
        <vt:i4>5</vt:i4>
      </vt:variant>
      <vt:variant>
        <vt:lpwstr/>
      </vt:variant>
      <vt:variant>
        <vt:lpwstr>_ENREF_144</vt:lpwstr>
      </vt:variant>
      <vt:variant>
        <vt:i4>4653119</vt:i4>
      </vt:variant>
      <vt:variant>
        <vt:i4>3275</vt:i4>
      </vt:variant>
      <vt:variant>
        <vt:i4>0</vt:i4>
      </vt:variant>
      <vt:variant>
        <vt:i4>5</vt:i4>
      </vt:variant>
      <vt:variant>
        <vt:lpwstr/>
      </vt:variant>
      <vt:variant>
        <vt:lpwstr>_ENREF_64</vt:lpwstr>
      </vt:variant>
      <vt:variant>
        <vt:i4>7798841</vt:i4>
      </vt:variant>
      <vt:variant>
        <vt:i4>3267</vt:i4>
      </vt:variant>
      <vt:variant>
        <vt:i4>0</vt:i4>
      </vt:variant>
      <vt:variant>
        <vt:i4>5</vt:i4>
      </vt:variant>
      <vt:variant>
        <vt:lpwstr/>
      </vt:variant>
      <vt:variant>
        <vt:lpwstr>_ENREF_127</vt:lpwstr>
      </vt:variant>
      <vt:variant>
        <vt:i4>4653119</vt:i4>
      </vt:variant>
      <vt:variant>
        <vt:i4>3264</vt:i4>
      </vt:variant>
      <vt:variant>
        <vt:i4>0</vt:i4>
      </vt:variant>
      <vt:variant>
        <vt:i4>5</vt:i4>
      </vt:variant>
      <vt:variant>
        <vt:lpwstr/>
      </vt:variant>
      <vt:variant>
        <vt:lpwstr>_ENREF_64</vt:lpwstr>
      </vt:variant>
      <vt:variant>
        <vt:i4>7602239</vt:i4>
      </vt:variant>
      <vt:variant>
        <vt:i4>3256</vt:i4>
      </vt:variant>
      <vt:variant>
        <vt:i4>0</vt:i4>
      </vt:variant>
      <vt:variant>
        <vt:i4>5</vt:i4>
      </vt:variant>
      <vt:variant>
        <vt:lpwstr/>
      </vt:variant>
      <vt:variant>
        <vt:lpwstr>_ENREF_144</vt:lpwstr>
      </vt:variant>
      <vt:variant>
        <vt:i4>4784190</vt:i4>
      </vt:variant>
      <vt:variant>
        <vt:i4>3253</vt:i4>
      </vt:variant>
      <vt:variant>
        <vt:i4>0</vt:i4>
      </vt:variant>
      <vt:variant>
        <vt:i4>5</vt:i4>
      </vt:variant>
      <vt:variant>
        <vt:lpwstr/>
      </vt:variant>
      <vt:variant>
        <vt:lpwstr>_ENREF_85</vt:lpwstr>
      </vt:variant>
      <vt:variant>
        <vt:i4>4587577</vt:i4>
      </vt:variant>
      <vt:variant>
        <vt:i4>3250</vt:i4>
      </vt:variant>
      <vt:variant>
        <vt:i4>0</vt:i4>
      </vt:variant>
      <vt:variant>
        <vt:i4>5</vt:i4>
      </vt:variant>
      <vt:variant>
        <vt:lpwstr/>
      </vt:variant>
      <vt:variant>
        <vt:lpwstr>_ENREF_72</vt:lpwstr>
      </vt:variant>
      <vt:variant>
        <vt:i4>7798841</vt:i4>
      </vt:variant>
      <vt:variant>
        <vt:i4>3242</vt:i4>
      </vt:variant>
      <vt:variant>
        <vt:i4>0</vt:i4>
      </vt:variant>
      <vt:variant>
        <vt:i4>5</vt:i4>
      </vt:variant>
      <vt:variant>
        <vt:lpwstr/>
      </vt:variant>
      <vt:variant>
        <vt:lpwstr>_ENREF_127</vt:lpwstr>
      </vt:variant>
      <vt:variant>
        <vt:i4>4653119</vt:i4>
      </vt:variant>
      <vt:variant>
        <vt:i4>3236</vt:i4>
      </vt:variant>
      <vt:variant>
        <vt:i4>0</vt:i4>
      </vt:variant>
      <vt:variant>
        <vt:i4>5</vt:i4>
      </vt:variant>
      <vt:variant>
        <vt:lpwstr/>
      </vt:variant>
      <vt:variant>
        <vt:lpwstr>_ENREF_64</vt:lpwstr>
      </vt:variant>
      <vt:variant>
        <vt:i4>4784190</vt:i4>
      </vt:variant>
      <vt:variant>
        <vt:i4>3233</vt:i4>
      </vt:variant>
      <vt:variant>
        <vt:i4>0</vt:i4>
      </vt:variant>
      <vt:variant>
        <vt:i4>5</vt:i4>
      </vt:variant>
      <vt:variant>
        <vt:lpwstr/>
      </vt:variant>
      <vt:variant>
        <vt:lpwstr>_ENREF_85</vt:lpwstr>
      </vt:variant>
      <vt:variant>
        <vt:i4>7602239</vt:i4>
      </vt:variant>
      <vt:variant>
        <vt:i4>3230</vt:i4>
      </vt:variant>
      <vt:variant>
        <vt:i4>0</vt:i4>
      </vt:variant>
      <vt:variant>
        <vt:i4>5</vt:i4>
      </vt:variant>
      <vt:variant>
        <vt:lpwstr/>
      </vt:variant>
      <vt:variant>
        <vt:lpwstr>_ENREF_144</vt:lpwstr>
      </vt:variant>
      <vt:variant>
        <vt:i4>4587577</vt:i4>
      </vt:variant>
      <vt:variant>
        <vt:i4>3222</vt:i4>
      </vt:variant>
      <vt:variant>
        <vt:i4>0</vt:i4>
      </vt:variant>
      <vt:variant>
        <vt:i4>5</vt:i4>
      </vt:variant>
      <vt:variant>
        <vt:lpwstr/>
      </vt:variant>
      <vt:variant>
        <vt:lpwstr>_ENREF_72</vt:lpwstr>
      </vt:variant>
      <vt:variant>
        <vt:i4>7864378</vt:i4>
      </vt:variant>
      <vt:variant>
        <vt:i4>3211</vt:i4>
      </vt:variant>
      <vt:variant>
        <vt:i4>0</vt:i4>
      </vt:variant>
      <vt:variant>
        <vt:i4>5</vt:i4>
      </vt:variant>
      <vt:variant>
        <vt:lpwstr/>
      </vt:variant>
      <vt:variant>
        <vt:lpwstr>_ENREF_118</vt:lpwstr>
      </vt:variant>
      <vt:variant>
        <vt:i4>7602238</vt:i4>
      </vt:variant>
      <vt:variant>
        <vt:i4>3203</vt:i4>
      </vt:variant>
      <vt:variant>
        <vt:i4>0</vt:i4>
      </vt:variant>
      <vt:variant>
        <vt:i4>5</vt:i4>
      </vt:variant>
      <vt:variant>
        <vt:lpwstr/>
      </vt:variant>
      <vt:variant>
        <vt:lpwstr>_ENREF_154</vt:lpwstr>
      </vt:variant>
      <vt:variant>
        <vt:i4>7929919</vt:i4>
      </vt:variant>
      <vt:variant>
        <vt:i4>3200</vt:i4>
      </vt:variant>
      <vt:variant>
        <vt:i4>0</vt:i4>
      </vt:variant>
      <vt:variant>
        <vt:i4>5</vt:i4>
      </vt:variant>
      <vt:variant>
        <vt:lpwstr/>
      </vt:variant>
      <vt:variant>
        <vt:lpwstr>_ENREF_149</vt:lpwstr>
      </vt:variant>
      <vt:variant>
        <vt:i4>7733311</vt:i4>
      </vt:variant>
      <vt:variant>
        <vt:i4>3197</vt:i4>
      </vt:variant>
      <vt:variant>
        <vt:i4>0</vt:i4>
      </vt:variant>
      <vt:variant>
        <vt:i4>5</vt:i4>
      </vt:variant>
      <vt:variant>
        <vt:lpwstr/>
      </vt:variant>
      <vt:variant>
        <vt:lpwstr>_ENREF_146</vt:lpwstr>
      </vt:variant>
      <vt:variant>
        <vt:i4>7864378</vt:i4>
      </vt:variant>
      <vt:variant>
        <vt:i4>3194</vt:i4>
      </vt:variant>
      <vt:variant>
        <vt:i4>0</vt:i4>
      </vt:variant>
      <vt:variant>
        <vt:i4>5</vt:i4>
      </vt:variant>
      <vt:variant>
        <vt:lpwstr/>
      </vt:variant>
      <vt:variant>
        <vt:lpwstr>_ENREF_118</vt:lpwstr>
      </vt:variant>
      <vt:variant>
        <vt:i4>4653118</vt:i4>
      </vt:variant>
      <vt:variant>
        <vt:i4>3191</vt:i4>
      </vt:variant>
      <vt:variant>
        <vt:i4>0</vt:i4>
      </vt:variant>
      <vt:variant>
        <vt:i4>5</vt:i4>
      </vt:variant>
      <vt:variant>
        <vt:lpwstr/>
      </vt:variant>
      <vt:variant>
        <vt:lpwstr>_ENREF_65</vt:lpwstr>
      </vt:variant>
      <vt:variant>
        <vt:i4>4325437</vt:i4>
      </vt:variant>
      <vt:variant>
        <vt:i4>3188</vt:i4>
      </vt:variant>
      <vt:variant>
        <vt:i4>0</vt:i4>
      </vt:variant>
      <vt:variant>
        <vt:i4>5</vt:i4>
      </vt:variant>
      <vt:variant>
        <vt:lpwstr/>
      </vt:variant>
      <vt:variant>
        <vt:lpwstr>_ENREF_36</vt:lpwstr>
      </vt:variant>
      <vt:variant>
        <vt:i4>4325432</vt:i4>
      </vt:variant>
      <vt:variant>
        <vt:i4>3180</vt:i4>
      </vt:variant>
      <vt:variant>
        <vt:i4>0</vt:i4>
      </vt:variant>
      <vt:variant>
        <vt:i4>5</vt:i4>
      </vt:variant>
      <vt:variant>
        <vt:lpwstr/>
      </vt:variant>
      <vt:variant>
        <vt:lpwstr>_ENREF_33</vt:lpwstr>
      </vt:variant>
      <vt:variant>
        <vt:i4>4325438</vt:i4>
      </vt:variant>
      <vt:variant>
        <vt:i4>3172</vt:i4>
      </vt:variant>
      <vt:variant>
        <vt:i4>0</vt:i4>
      </vt:variant>
      <vt:variant>
        <vt:i4>5</vt:i4>
      </vt:variant>
      <vt:variant>
        <vt:lpwstr/>
      </vt:variant>
      <vt:variant>
        <vt:lpwstr>_ENREF_35</vt:lpwstr>
      </vt:variant>
      <vt:variant>
        <vt:i4>4456510</vt:i4>
      </vt:variant>
      <vt:variant>
        <vt:i4>3164</vt:i4>
      </vt:variant>
      <vt:variant>
        <vt:i4>0</vt:i4>
      </vt:variant>
      <vt:variant>
        <vt:i4>5</vt:i4>
      </vt:variant>
      <vt:variant>
        <vt:lpwstr/>
      </vt:variant>
      <vt:variant>
        <vt:lpwstr>_ENREF_55</vt:lpwstr>
      </vt:variant>
      <vt:variant>
        <vt:i4>4522043</vt:i4>
      </vt:variant>
      <vt:variant>
        <vt:i4>3158</vt:i4>
      </vt:variant>
      <vt:variant>
        <vt:i4>0</vt:i4>
      </vt:variant>
      <vt:variant>
        <vt:i4>5</vt:i4>
      </vt:variant>
      <vt:variant>
        <vt:lpwstr/>
      </vt:variant>
      <vt:variant>
        <vt:lpwstr>_ENREF_40</vt:lpwstr>
      </vt:variant>
      <vt:variant>
        <vt:i4>7733311</vt:i4>
      </vt:variant>
      <vt:variant>
        <vt:i4>3152</vt:i4>
      </vt:variant>
      <vt:variant>
        <vt:i4>0</vt:i4>
      </vt:variant>
      <vt:variant>
        <vt:i4>5</vt:i4>
      </vt:variant>
      <vt:variant>
        <vt:lpwstr/>
      </vt:variant>
      <vt:variant>
        <vt:lpwstr>_ENREF_146</vt:lpwstr>
      </vt:variant>
      <vt:variant>
        <vt:i4>7864378</vt:i4>
      </vt:variant>
      <vt:variant>
        <vt:i4>3149</vt:i4>
      </vt:variant>
      <vt:variant>
        <vt:i4>0</vt:i4>
      </vt:variant>
      <vt:variant>
        <vt:i4>5</vt:i4>
      </vt:variant>
      <vt:variant>
        <vt:lpwstr/>
      </vt:variant>
      <vt:variant>
        <vt:lpwstr>_ENREF_118</vt:lpwstr>
      </vt:variant>
      <vt:variant>
        <vt:i4>7733311</vt:i4>
      </vt:variant>
      <vt:variant>
        <vt:i4>3141</vt:i4>
      </vt:variant>
      <vt:variant>
        <vt:i4>0</vt:i4>
      </vt:variant>
      <vt:variant>
        <vt:i4>5</vt:i4>
      </vt:variant>
      <vt:variant>
        <vt:lpwstr/>
      </vt:variant>
      <vt:variant>
        <vt:lpwstr>_ENREF_146</vt:lpwstr>
      </vt:variant>
      <vt:variant>
        <vt:i4>4653112</vt:i4>
      </vt:variant>
      <vt:variant>
        <vt:i4>3138</vt:i4>
      </vt:variant>
      <vt:variant>
        <vt:i4>0</vt:i4>
      </vt:variant>
      <vt:variant>
        <vt:i4>5</vt:i4>
      </vt:variant>
      <vt:variant>
        <vt:lpwstr/>
      </vt:variant>
      <vt:variant>
        <vt:lpwstr>_ENREF_63</vt:lpwstr>
      </vt:variant>
      <vt:variant>
        <vt:i4>4325436</vt:i4>
      </vt:variant>
      <vt:variant>
        <vt:i4>3130</vt:i4>
      </vt:variant>
      <vt:variant>
        <vt:i4>0</vt:i4>
      </vt:variant>
      <vt:variant>
        <vt:i4>5</vt:i4>
      </vt:variant>
      <vt:variant>
        <vt:lpwstr/>
      </vt:variant>
      <vt:variant>
        <vt:lpwstr>_ENREF_37</vt:lpwstr>
      </vt:variant>
      <vt:variant>
        <vt:i4>4325437</vt:i4>
      </vt:variant>
      <vt:variant>
        <vt:i4>3127</vt:i4>
      </vt:variant>
      <vt:variant>
        <vt:i4>0</vt:i4>
      </vt:variant>
      <vt:variant>
        <vt:i4>5</vt:i4>
      </vt:variant>
      <vt:variant>
        <vt:lpwstr/>
      </vt:variant>
      <vt:variant>
        <vt:lpwstr>_ENREF_36</vt:lpwstr>
      </vt:variant>
      <vt:variant>
        <vt:i4>4522043</vt:i4>
      </vt:variant>
      <vt:variant>
        <vt:i4>3119</vt:i4>
      </vt:variant>
      <vt:variant>
        <vt:i4>0</vt:i4>
      </vt:variant>
      <vt:variant>
        <vt:i4>5</vt:i4>
      </vt:variant>
      <vt:variant>
        <vt:lpwstr/>
      </vt:variant>
      <vt:variant>
        <vt:lpwstr>_ENREF_40</vt:lpwstr>
      </vt:variant>
      <vt:variant>
        <vt:i4>4325438</vt:i4>
      </vt:variant>
      <vt:variant>
        <vt:i4>3113</vt:i4>
      </vt:variant>
      <vt:variant>
        <vt:i4>0</vt:i4>
      </vt:variant>
      <vt:variant>
        <vt:i4>5</vt:i4>
      </vt:variant>
      <vt:variant>
        <vt:lpwstr/>
      </vt:variant>
      <vt:variant>
        <vt:lpwstr>_ENREF_35</vt:lpwstr>
      </vt:variant>
      <vt:variant>
        <vt:i4>4653118</vt:i4>
      </vt:variant>
      <vt:variant>
        <vt:i4>3105</vt:i4>
      </vt:variant>
      <vt:variant>
        <vt:i4>0</vt:i4>
      </vt:variant>
      <vt:variant>
        <vt:i4>5</vt:i4>
      </vt:variant>
      <vt:variant>
        <vt:lpwstr/>
      </vt:variant>
      <vt:variant>
        <vt:lpwstr>_ENREF_65</vt:lpwstr>
      </vt:variant>
      <vt:variant>
        <vt:i4>4718648</vt:i4>
      </vt:variant>
      <vt:variant>
        <vt:i4>3097</vt:i4>
      </vt:variant>
      <vt:variant>
        <vt:i4>0</vt:i4>
      </vt:variant>
      <vt:variant>
        <vt:i4>5</vt:i4>
      </vt:variant>
      <vt:variant>
        <vt:lpwstr/>
      </vt:variant>
      <vt:variant>
        <vt:lpwstr>_ENREF_93</vt:lpwstr>
      </vt:variant>
      <vt:variant>
        <vt:i4>7602238</vt:i4>
      </vt:variant>
      <vt:variant>
        <vt:i4>3089</vt:i4>
      </vt:variant>
      <vt:variant>
        <vt:i4>0</vt:i4>
      </vt:variant>
      <vt:variant>
        <vt:i4>5</vt:i4>
      </vt:variant>
      <vt:variant>
        <vt:lpwstr/>
      </vt:variant>
      <vt:variant>
        <vt:lpwstr>_ENREF_154</vt:lpwstr>
      </vt:variant>
      <vt:variant>
        <vt:i4>7864378</vt:i4>
      </vt:variant>
      <vt:variant>
        <vt:i4>3086</vt:i4>
      </vt:variant>
      <vt:variant>
        <vt:i4>0</vt:i4>
      </vt:variant>
      <vt:variant>
        <vt:i4>5</vt:i4>
      </vt:variant>
      <vt:variant>
        <vt:lpwstr/>
      </vt:variant>
      <vt:variant>
        <vt:lpwstr>_ENREF_118</vt:lpwstr>
      </vt:variant>
      <vt:variant>
        <vt:i4>4784188</vt:i4>
      </vt:variant>
      <vt:variant>
        <vt:i4>3083</vt:i4>
      </vt:variant>
      <vt:variant>
        <vt:i4>0</vt:i4>
      </vt:variant>
      <vt:variant>
        <vt:i4>5</vt:i4>
      </vt:variant>
      <vt:variant>
        <vt:lpwstr/>
      </vt:variant>
      <vt:variant>
        <vt:lpwstr>_ENREF_87</vt:lpwstr>
      </vt:variant>
      <vt:variant>
        <vt:i4>7929919</vt:i4>
      </vt:variant>
      <vt:variant>
        <vt:i4>3075</vt:i4>
      </vt:variant>
      <vt:variant>
        <vt:i4>0</vt:i4>
      </vt:variant>
      <vt:variant>
        <vt:i4>5</vt:i4>
      </vt:variant>
      <vt:variant>
        <vt:lpwstr/>
      </vt:variant>
      <vt:variant>
        <vt:lpwstr>_ENREF_149</vt:lpwstr>
      </vt:variant>
      <vt:variant>
        <vt:i4>4653112</vt:i4>
      </vt:variant>
      <vt:variant>
        <vt:i4>3072</vt:i4>
      </vt:variant>
      <vt:variant>
        <vt:i4>0</vt:i4>
      </vt:variant>
      <vt:variant>
        <vt:i4>5</vt:i4>
      </vt:variant>
      <vt:variant>
        <vt:lpwstr/>
      </vt:variant>
      <vt:variant>
        <vt:lpwstr>_ENREF_63</vt:lpwstr>
      </vt:variant>
      <vt:variant>
        <vt:i4>4456509</vt:i4>
      </vt:variant>
      <vt:variant>
        <vt:i4>3069</vt:i4>
      </vt:variant>
      <vt:variant>
        <vt:i4>0</vt:i4>
      </vt:variant>
      <vt:variant>
        <vt:i4>5</vt:i4>
      </vt:variant>
      <vt:variant>
        <vt:lpwstr/>
      </vt:variant>
      <vt:variant>
        <vt:lpwstr>_ENREF_56</vt:lpwstr>
      </vt:variant>
      <vt:variant>
        <vt:i4>7733311</vt:i4>
      </vt:variant>
      <vt:variant>
        <vt:i4>3061</vt:i4>
      </vt:variant>
      <vt:variant>
        <vt:i4>0</vt:i4>
      </vt:variant>
      <vt:variant>
        <vt:i4>5</vt:i4>
      </vt:variant>
      <vt:variant>
        <vt:lpwstr/>
      </vt:variant>
      <vt:variant>
        <vt:lpwstr>_ENREF_146</vt:lpwstr>
      </vt:variant>
      <vt:variant>
        <vt:i4>4456510</vt:i4>
      </vt:variant>
      <vt:variant>
        <vt:i4>3058</vt:i4>
      </vt:variant>
      <vt:variant>
        <vt:i4>0</vt:i4>
      </vt:variant>
      <vt:variant>
        <vt:i4>5</vt:i4>
      </vt:variant>
      <vt:variant>
        <vt:lpwstr/>
      </vt:variant>
      <vt:variant>
        <vt:lpwstr>_ENREF_55</vt:lpwstr>
      </vt:variant>
      <vt:variant>
        <vt:i4>4325436</vt:i4>
      </vt:variant>
      <vt:variant>
        <vt:i4>3055</vt:i4>
      </vt:variant>
      <vt:variant>
        <vt:i4>0</vt:i4>
      </vt:variant>
      <vt:variant>
        <vt:i4>5</vt:i4>
      </vt:variant>
      <vt:variant>
        <vt:lpwstr/>
      </vt:variant>
      <vt:variant>
        <vt:lpwstr>_ENREF_37</vt:lpwstr>
      </vt:variant>
      <vt:variant>
        <vt:i4>4325437</vt:i4>
      </vt:variant>
      <vt:variant>
        <vt:i4>3052</vt:i4>
      </vt:variant>
      <vt:variant>
        <vt:i4>0</vt:i4>
      </vt:variant>
      <vt:variant>
        <vt:i4>5</vt:i4>
      </vt:variant>
      <vt:variant>
        <vt:lpwstr/>
      </vt:variant>
      <vt:variant>
        <vt:lpwstr>_ENREF_36</vt:lpwstr>
      </vt:variant>
      <vt:variant>
        <vt:i4>4325432</vt:i4>
      </vt:variant>
      <vt:variant>
        <vt:i4>3049</vt:i4>
      </vt:variant>
      <vt:variant>
        <vt:i4>0</vt:i4>
      </vt:variant>
      <vt:variant>
        <vt:i4>5</vt:i4>
      </vt:variant>
      <vt:variant>
        <vt:lpwstr/>
      </vt:variant>
      <vt:variant>
        <vt:lpwstr>_ENREF_33</vt:lpwstr>
      </vt:variant>
      <vt:variant>
        <vt:i4>4784188</vt:i4>
      </vt:variant>
      <vt:variant>
        <vt:i4>3041</vt:i4>
      </vt:variant>
      <vt:variant>
        <vt:i4>0</vt:i4>
      </vt:variant>
      <vt:variant>
        <vt:i4>5</vt:i4>
      </vt:variant>
      <vt:variant>
        <vt:lpwstr/>
      </vt:variant>
      <vt:variant>
        <vt:lpwstr>_ENREF_87</vt:lpwstr>
      </vt:variant>
      <vt:variant>
        <vt:i4>7602238</vt:i4>
      </vt:variant>
      <vt:variant>
        <vt:i4>3033</vt:i4>
      </vt:variant>
      <vt:variant>
        <vt:i4>0</vt:i4>
      </vt:variant>
      <vt:variant>
        <vt:i4>5</vt:i4>
      </vt:variant>
      <vt:variant>
        <vt:lpwstr/>
      </vt:variant>
      <vt:variant>
        <vt:lpwstr>_ENREF_154</vt:lpwstr>
      </vt:variant>
      <vt:variant>
        <vt:i4>4325438</vt:i4>
      </vt:variant>
      <vt:variant>
        <vt:i4>3027</vt:i4>
      </vt:variant>
      <vt:variant>
        <vt:i4>0</vt:i4>
      </vt:variant>
      <vt:variant>
        <vt:i4>5</vt:i4>
      </vt:variant>
      <vt:variant>
        <vt:lpwstr/>
      </vt:variant>
      <vt:variant>
        <vt:lpwstr>_ENREF_35</vt:lpwstr>
      </vt:variant>
      <vt:variant>
        <vt:i4>7864378</vt:i4>
      </vt:variant>
      <vt:variant>
        <vt:i4>3019</vt:i4>
      </vt:variant>
      <vt:variant>
        <vt:i4>0</vt:i4>
      </vt:variant>
      <vt:variant>
        <vt:i4>5</vt:i4>
      </vt:variant>
      <vt:variant>
        <vt:lpwstr/>
      </vt:variant>
      <vt:variant>
        <vt:lpwstr>_ENREF_118</vt:lpwstr>
      </vt:variant>
      <vt:variant>
        <vt:i4>4653112</vt:i4>
      </vt:variant>
      <vt:variant>
        <vt:i4>3016</vt:i4>
      </vt:variant>
      <vt:variant>
        <vt:i4>0</vt:i4>
      </vt:variant>
      <vt:variant>
        <vt:i4>5</vt:i4>
      </vt:variant>
      <vt:variant>
        <vt:lpwstr/>
      </vt:variant>
      <vt:variant>
        <vt:lpwstr>_ENREF_63</vt:lpwstr>
      </vt:variant>
      <vt:variant>
        <vt:i4>7929919</vt:i4>
      </vt:variant>
      <vt:variant>
        <vt:i4>3008</vt:i4>
      </vt:variant>
      <vt:variant>
        <vt:i4>0</vt:i4>
      </vt:variant>
      <vt:variant>
        <vt:i4>5</vt:i4>
      </vt:variant>
      <vt:variant>
        <vt:lpwstr/>
      </vt:variant>
      <vt:variant>
        <vt:lpwstr>_ENREF_149</vt:lpwstr>
      </vt:variant>
      <vt:variant>
        <vt:i4>4718648</vt:i4>
      </vt:variant>
      <vt:variant>
        <vt:i4>3005</vt:i4>
      </vt:variant>
      <vt:variant>
        <vt:i4>0</vt:i4>
      </vt:variant>
      <vt:variant>
        <vt:i4>5</vt:i4>
      </vt:variant>
      <vt:variant>
        <vt:lpwstr/>
      </vt:variant>
      <vt:variant>
        <vt:lpwstr>_ENREF_93</vt:lpwstr>
      </vt:variant>
      <vt:variant>
        <vt:i4>4653118</vt:i4>
      </vt:variant>
      <vt:variant>
        <vt:i4>3002</vt:i4>
      </vt:variant>
      <vt:variant>
        <vt:i4>0</vt:i4>
      </vt:variant>
      <vt:variant>
        <vt:i4>5</vt:i4>
      </vt:variant>
      <vt:variant>
        <vt:lpwstr/>
      </vt:variant>
      <vt:variant>
        <vt:lpwstr>_ENREF_65</vt:lpwstr>
      </vt:variant>
      <vt:variant>
        <vt:i4>4456509</vt:i4>
      </vt:variant>
      <vt:variant>
        <vt:i4>2999</vt:i4>
      </vt:variant>
      <vt:variant>
        <vt:i4>0</vt:i4>
      </vt:variant>
      <vt:variant>
        <vt:i4>5</vt:i4>
      </vt:variant>
      <vt:variant>
        <vt:lpwstr/>
      </vt:variant>
      <vt:variant>
        <vt:lpwstr>_ENREF_56</vt:lpwstr>
      </vt:variant>
      <vt:variant>
        <vt:i4>7602238</vt:i4>
      </vt:variant>
      <vt:variant>
        <vt:i4>2991</vt:i4>
      </vt:variant>
      <vt:variant>
        <vt:i4>0</vt:i4>
      </vt:variant>
      <vt:variant>
        <vt:i4>5</vt:i4>
      </vt:variant>
      <vt:variant>
        <vt:lpwstr/>
      </vt:variant>
      <vt:variant>
        <vt:lpwstr>_ENREF_154</vt:lpwstr>
      </vt:variant>
      <vt:variant>
        <vt:i4>4718648</vt:i4>
      </vt:variant>
      <vt:variant>
        <vt:i4>2988</vt:i4>
      </vt:variant>
      <vt:variant>
        <vt:i4>0</vt:i4>
      </vt:variant>
      <vt:variant>
        <vt:i4>5</vt:i4>
      </vt:variant>
      <vt:variant>
        <vt:lpwstr/>
      </vt:variant>
      <vt:variant>
        <vt:lpwstr>_ENREF_93</vt:lpwstr>
      </vt:variant>
      <vt:variant>
        <vt:i4>4784188</vt:i4>
      </vt:variant>
      <vt:variant>
        <vt:i4>2985</vt:i4>
      </vt:variant>
      <vt:variant>
        <vt:i4>0</vt:i4>
      </vt:variant>
      <vt:variant>
        <vt:i4>5</vt:i4>
      </vt:variant>
      <vt:variant>
        <vt:lpwstr/>
      </vt:variant>
      <vt:variant>
        <vt:lpwstr>_ENREF_87</vt:lpwstr>
      </vt:variant>
      <vt:variant>
        <vt:i4>4325436</vt:i4>
      </vt:variant>
      <vt:variant>
        <vt:i4>2982</vt:i4>
      </vt:variant>
      <vt:variant>
        <vt:i4>0</vt:i4>
      </vt:variant>
      <vt:variant>
        <vt:i4>5</vt:i4>
      </vt:variant>
      <vt:variant>
        <vt:lpwstr/>
      </vt:variant>
      <vt:variant>
        <vt:lpwstr>_ENREF_37</vt:lpwstr>
      </vt:variant>
      <vt:variant>
        <vt:i4>7864378</vt:i4>
      </vt:variant>
      <vt:variant>
        <vt:i4>2974</vt:i4>
      </vt:variant>
      <vt:variant>
        <vt:i4>0</vt:i4>
      </vt:variant>
      <vt:variant>
        <vt:i4>5</vt:i4>
      </vt:variant>
      <vt:variant>
        <vt:lpwstr/>
      </vt:variant>
      <vt:variant>
        <vt:lpwstr>_ENREF_118</vt:lpwstr>
      </vt:variant>
      <vt:variant>
        <vt:i4>7929919</vt:i4>
      </vt:variant>
      <vt:variant>
        <vt:i4>2966</vt:i4>
      </vt:variant>
      <vt:variant>
        <vt:i4>0</vt:i4>
      </vt:variant>
      <vt:variant>
        <vt:i4>5</vt:i4>
      </vt:variant>
      <vt:variant>
        <vt:lpwstr/>
      </vt:variant>
      <vt:variant>
        <vt:lpwstr>_ENREF_149</vt:lpwstr>
      </vt:variant>
      <vt:variant>
        <vt:i4>4653118</vt:i4>
      </vt:variant>
      <vt:variant>
        <vt:i4>2958</vt:i4>
      </vt:variant>
      <vt:variant>
        <vt:i4>0</vt:i4>
      </vt:variant>
      <vt:variant>
        <vt:i4>5</vt:i4>
      </vt:variant>
      <vt:variant>
        <vt:lpwstr/>
      </vt:variant>
      <vt:variant>
        <vt:lpwstr>_ENREF_65</vt:lpwstr>
      </vt:variant>
      <vt:variant>
        <vt:i4>4653112</vt:i4>
      </vt:variant>
      <vt:variant>
        <vt:i4>2955</vt:i4>
      </vt:variant>
      <vt:variant>
        <vt:i4>0</vt:i4>
      </vt:variant>
      <vt:variant>
        <vt:i4>5</vt:i4>
      </vt:variant>
      <vt:variant>
        <vt:lpwstr/>
      </vt:variant>
      <vt:variant>
        <vt:lpwstr>_ENREF_63</vt:lpwstr>
      </vt:variant>
      <vt:variant>
        <vt:i4>4325438</vt:i4>
      </vt:variant>
      <vt:variant>
        <vt:i4>2947</vt:i4>
      </vt:variant>
      <vt:variant>
        <vt:i4>0</vt:i4>
      </vt:variant>
      <vt:variant>
        <vt:i4>5</vt:i4>
      </vt:variant>
      <vt:variant>
        <vt:lpwstr/>
      </vt:variant>
      <vt:variant>
        <vt:lpwstr>_ENREF_35</vt:lpwstr>
      </vt:variant>
      <vt:variant>
        <vt:i4>4456510</vt:i4>
      </vt:variant>
      <vt:variant>
        <vt:i4>2939</vt:i4>
      </vt:variant>
      <vt:variant>
        <vt:i4>0</vt:i4>
      </vt:variant>
      <vt:variant>
        <vt:i4>5</vt:i4>
      </vt:variant>
      <vt:variant>
        <vt:lpwstr/>
      </vt:variant>
      <vt:variant>
        <vt:lpwstr>_ENREF_55</vt:lpwstr>
      </vt:variant>
      <vt:variant>
        <vt:i4>4325437</vt:i4>
      </vt:variant>
      <vt:variant>
        <vt:i4>2936</vt:i4>
      </vt:variant>
      <vt:variant>
        <vt:i4>0</vt:i4>
      </vt:variant>
      <vt:variant>
        <vt:i4>5</vt:i4>
      </vt:variant>
      <vt:variant>
        <vt:lpwstr/>
      </vt:variant>
      <vt:variant>
        <vt:lpwstr>_ENREF_36</vt:lpwstr>
      </vt:variant>
      <vt:variant>
        <vt:i4>4325432</vt:i4>
      </vt:variant>
      <vt:variant>
        <vt:i4>2933</vt:i4>
      </vt:variant>
      <vt:variant>
        <vt:i4>0</vt:i4>
      </vt:variant>
      <vt:variant>
        <vt:i4>5</vt:i4>
      </vt:variant>
      <vt:variant>
        <vt:lpwstr/>
      </vt:variant>
      <vt:variant>
        <vt:lpwstr>_ENREF_33</vt:lpwstr>
      </vt:variant>
      <vt:variant>
        <vt:i4>4456509</vt:i4>
      </vt:variant>
      <vt:variant>
        <vt:i4>2925</vt:i4>
      </vt:variant>
      <vt:variant>
        <vt:i4>0</vt:i4>
      </vt:variant>
      <vt:variant>
        <vt:i4>5</vt:i4>
      </vt:variant>
      <vt:variant>
        <vt:lpwstr/>
      </vt:variant>
      <vt:variant>
        <vt:lpwstr>_ENREF_56</vt:lpwstr>
      </vt:variant>
      <vt:variant>
        <vt:i4>7864378</vt:i4>
      </vt:variant>
      <vt:variant>
        <vt:i4>2919</vt:i4>
      </vt:variant>
      <vt:variant>
        <vt:i4>0</vt:i4>
      </vt:variant>
      <vt:variant>
        <vt:i4>5</vt:i4>
      </vt:variant>
      <vt:variant>
        <vt:lpwstr/>
      </vt:variant>
      <vt:variant>
        <vt:lpwstr>_ENREF_118</vt:lpwstr>
      </vt:variant>
      <vt:variant>
        <vt:i4>4653112</vt:i4>
      </vt:variant>
      <vt:variant>
        <vt:i4>2916</vt:i4>
      </vt:variant>
      <vt:variant>
        <vt:i4>0</vt:i4>
      </vt:variant>
      <vt:variant>
        <vt:i4>5</vt:i4>
      </vt:variant>
      <vt:variant>
        <vt:lpwstr/>
      </vt:variant>
      <vt:variant>
        <vt:lpwstr>_ENREF_63</vt:lpwstr>
      </vt:variant>
      <vt:variant>
        <vt:i4>4456510</vt:i4>
      </vt:variant>
      <vt:variant>
        <vt:i4>2908</vt:i4>
      </vt:variant>
      <vt:variant>
        <vt:i4>0</vt:i4>
      </vt:variant>
      <vt:variant>
        <vt:i4>5</vt:i4>
      </vt:variant>
      <vt:variant>
        <vt:lpwstr/>
      </vt:variant>
      <vt:variant>
        <vt:lpwstr>_ENREF_55</vt:lpwstr>
      </vt:variant>
      <vt:variant>
        <vt:i4>4653112</vt:i4>
      </vt:variant>
      <vt:variant>
        <vt:i4>2902</vt:i4>
      </vt:variant>
      <vt:variant>
        <vt:i4>0</vt:i4>
      </vt:variant>
      <vt:variant>
        <vt:i4>5</vt:i4>
      </vt:variant>
      <vt:variant>
        <vt:lpwstr/>
      </vt:variant>
      <vt:variant>
        <vt:lpwstr>_ENREF_63</vt:lpwstr>
      </vt:variant>
      <vt:variant>
        <vt:i4>7864378</vt:i4>
      </vt:variant>
      <vt:variant>
        <vt:i4>2894</vt:i4>
      </vt:variant>
      <vt:variant>
        <vt:i4>0</vt:i4>
      </vt:variant>
      <vt:variant>
        <vt:i4>5</vt:i4>
      </vt:variant>
      <vt:variant>
        <vt:lpwstr/>
      </vt:variant>
      <vt:variant>
        <vt:lpwstr>_ENREF_118</vt:lpwstr>
      </vt:variant>
      <vt:variant>
        <vt:i4>4456509</vt:i4>
      </vt:variant>
      <vt:variant>
        <vt:i4>2891</vt:i4>
      </vt:variant>
      <vt:variant>
        <vt:i4>0</vt:i4>
      </vt:variant>
      <vt:variant>
        <vt:i4>5</vt:i4>
      </vt:variant>
      <vt:variant>
        <vt:lpwstr/>
      </vt:variant>
      <vt:variant>
        <vt:lpwstr>_ENREF_56</vt:lpwstr>
      </vt:variant>
      <vt:variant>
        <vt:i4>4456510</vt:i4>
      </vt:variant>
      <vt:variant>
        <vt:i4>2888</vt:i4>
      </vt:variant>
      <vt:variant>
        <vt:i4>0</vt:i4>
      </vt:variant>
      <vt:variant>
        <vt:i4>5</vt:i4>
      </vt:variant>
      <vt:variant>
        <vt:lpwstr/>
      </vt:variant>
      <vt:variant>
        <vt:lpwstr>_ENREF_55</vt:lpwstr>
      </vt:variant>
      <vt:variant>
        <vt:i4>4325436</vt:i4>
      </vt:variant>
      <vt:variant>
        <vt:i4>2885</vt:i4>
      </vt:variant>
      <vt:variant>
        <vt:i4>0</vt:i4>
      </vt:variant>
      <vt:variant>
        <vt:i4>5</vt:i4>
      </vt:variant>
      <vt:variant>
        <vt:lpwstr/>
      </vt:variant>
      <vt:variant>
        <vt:lpwstr>_ENREF_37</vt:lpwstr>
      </vt:variant>
      <vt:variant>
        <vt:i4>4325439</vt:i4>
      </vt:variant>
      <vt:variant>
        <vt:i4>2877</vt:i4>
      </vt:variant>
      <vt:variant>
        <vt:i4>0</vt:i4>
      </vt:variant>
      <vt:variant>
        <vt:i4>5</vt:i4>
      </vt:variant>
      <vt:variant>
        <vt:lpwstr/>
      </vt:variant>
      <vt:variant>
        <vt:lpwstr>_ENREF_34</vt:lpwstr>
      </vt:variant>
      <vt:variant>
        <vt:i4>4325436</vt:i4>
      </vt:variant>
      <vt:variant>
        <vt:i4>2874</vt:i4>
      </vt:variant>
      <vt:variant>
        <vt:i4>0</vt:i4>
      </vt:variant>
      <vt:variant>
        <vt:i4>5</vt:i4>
      </vt:variant>
      <vt:variant>
        <vt:lpwstr/>
      </vt:variant>
      <vt:variant>
        <vt:lpwstr>_ENREF_37</vt:lpwstr>
      </vt:variant>
      <vt:variant>
        <vt:i4>7733311</vt:i4>
      </vt:variant>
      <vt:variant>
        <vt:i4>2866</vt:i4>
      </vt:variant>
      <vt:variant>
        <vt:i4>0</vt:i4>
      </vt:variant>
      <vt:variant>
        <vt:i4>5</vt:i4>
      </vt:variant>
      <vt:variant>
        <vt:lpwstr/>
      </vt:variant>
      <vt:variant>
        <vt:lpwstr>_ENREF_146</vt:lpwstr>
      </vt:variant>
      <vt:variant>
        <vt:i4>7864378</vt:i4>
      </vt:variant>
      <vt:variant>
        <vt:i4>2858</vt:i4>
      </vt:variant>
      <vt:variant>
        <vt:i4>0</vt:i4>
      </vt:variant>
      <vt:variant>
        <vt:i4>5</vt:i4>
      </vt:variant>
      <vt:variant>
        <vt:lpwstr/>
      </vt:variant>
      <vt:variant>
        <vt:lpwstr>_ENREF_118</vt:lpwstr>
      </vt:variant>
      <vt:variant>
        <vt:i4>4784188</vt:i4>
      </vt:variant>
      <vt:variant>
        <vt:i4>2855</vt:i4>
      </vt:variant>
      <vt:variant>
        <vt:i4>0</vt:i4>
      </vt:variant>
      <vt:variant>
        <vt:i4>5</vt:i4>
      </vt:variant>
      <vt:variant>
        <vt:lpwstr/>
      </vt:variant>
      <vt:variant>
        <vt:lpwstr>_ENREF_87</vt:lpwstr>
      </vt:variant>
      <vt:variant>
        <vt:i4>4456509</vt:i4>
      </vt:variant>
      <vt:variant>
        <vt:i4>2847</vt:i4>
      </vt:variant>
      <vt:variant>
        <vt:i4>0</vt:i4>
      </vt:variant>
      <vt:variant>
        <vt:i4>5</vt:i4>
      </vt:variant>
      <vt:variant>
        <vt:lpwstr/>
      </vt:variant>
      <vt:variant>
        <vt:lpwstr>_ENREF_56</vt:lpwstr>
      </vt:variant>
      <vt:variant>
        <vt:i4>4456510</vt:i4>
      </vt:variant>
      <vt:variant>
        <vt:i4>2844</vt:i4>
      </vt:variant>
      <vt:variant>
        <vt:i4>0</vt:i4>
      </vt:variant>
      <vt:variant>
        <vt:i4>5</vt:i4>
      </vt:variant>
      <vt:variant>
        <vt:lpwstr/>
      </vt:variant>
      <vt:variant>
        <vt:lpwstr>_ENREF_55</vt:lpwstr>
      </vt:variant>
      <vt:variant>
        <vt:i4>4784188</vt:i4>
      </vt:variant>
      <vt:variant>
        <vt:i4>2836</vt:i4>
      </vt:variant>
      <vt:variant>
        <vt:i4>0</vt:i4>
      </vt:variant>
      <vt:variant>
        <vt:i4>5</vt:i4>
      </vt:variant>
      <vt:variant>
        <vt:lpwstr/>
      </vt:variant>
      <vt:variant>
        <vt:lpwstr>_ENREF_87</vt:lpwstr>
      </vt:variant>
      <vt:variant>
        <vt:i4>7864378</vt:i4>
      </vt:variant>
      <vt:variant>
        <vt:i4>2833</vt:i4>
      </vt:variant>
      <vt:variant>
        <vt:i4>0</vt:i4>
      </vt:variant>
      <vt:variant>
        <vt:i4>5</vt:i4>
      </vt:variant>
      <vt:variant>
        <vt:lpwstr/>
      </vt:variant>
      <vt:variant>
        <vt:lpwstr>_ENREF_118</vt:lpwstr>
      </vt:variant>
      <vt:variant>
        <vt:i4>4653112</vt:i4>
      </vt:variant>
      <vt:variant>
        <vt:i4>2830</vt:i4>
      </vt:variant>
      <vt:variant>
        <vt:i4>0</vt:i4>
      </vt:variant>
      <vt:variant>
        <vt:i4>5</vt:i4>
      </vt:variant>
      <vt:variant>
        <vt:lpwstr/>
      </vt:variant>
      <vt:variant>
        <vt:lpwstr>_ENREF_63</vt:lpwstr>
      </vt:variant>
      <vt:variant>
        <vt:i4>7733311</vt:i4>
      </vt:variant>
      <vt:variant>
        <vt:i4>2827</vt:i4>
      </vt:variant>
      <vt:variant>
        <vt:i4>0</vt:i4>
      </vt:variant>
      <vt:variant>
        <vt:i4>5</vt:i4>
      </vt:variant>
      <vt:variant>
        <vt:lpwstr/>
      </vt:variant>
      <vt:variant>
        <vt:lpwstr>_ENREF_146</vt:lpwstr>
      </vt:variant>
      <vt:variant>
        <vt:i4>4653118</vt:i4>
      </vt:variant>
      <vt:variant>
        <vt:i4>2824</vt:i4>
      </vt:variant>
      <vt:variant>
        <vt:i4>0</vt:i4>
      </vt:variant>
      <vt:variant>
        <vt:i4>5</vt:i4>
      </vt:variant>
      <vt:variant>
        <vt:lpwstr/>
      </vt:variant>
      <vt:variant>
        <vt:lpwstr>_ENREF_65</vt:lpwstr>
      </vt:variant>
      <vt:variant>
        <vt:i4>4653118</vt:i4>
      </vt:variant>
      <vt:variant>
        <vt:i4>2816</vt:i4>
      </vt:variant>
      <vt:variant>
        <vt:i4>0</vt:i4>
      </vt:variant>
      <vt:variant>
        <vt:i4>5</vt:i4>
      </vt:variant>
      <vt:variant>
        <vt:lpwstr/>
      </vt:variant>
      <vt:variant>
        <vt:lpwstr>_ENREF_65</vt:lpwstr>
      </vt:variant>
      <vt:variant>
        <vt:i4>7929919</vt:i4>
      </vt:variant>
      <vt:variant>
        <vt:i4>2808</vt:i4>
      </vt:variant>
      <vt:variant>
        <vt:i4>0</vt:i4>
      </vt:variant>
      <vt:variant>
        <vt:i4>5</vt:i4>
      </vt:variant>
      <vt:variant>
        <vt:lpwstr/>
      </vt:variant>
      <vt:variant>
        <vt:lpwstr>_ENREF_149</vt:lpwstr>
      </vt:variant>
      <vt:variant>
        <vt:i4>7733311</vt:i4>
      </vt:variant>
      <vt:variant>
        <vt:i4>2805</vt:i4>
      </vt:variant>
      <vt:variant>
        <vt:i4>0</vt:i4>
      </vt:variant>
      <vt:variant>
        <vt:i4>5</vt:i4>
      </vt:variant>
      <vt:variant>
        <vt:lpwstr/>
      </vt:variant>
      <vt:variant>
        <vt:lpwstr>_ENREF_146</vt:lpwstr>
      </vt:variant>
      <vt:variant>
        <vt:i4>7864378</vt:i4>
      </vt:variant>
      <vt:variant>
        <vt:i4>2802</vt:i4>
      </vt:variant>
      <vt:variant>
        <vt:i4>0</vt:i4>
      </vt:variant>
      <vt:variant>
        <vt:i4>5</vt:i4>
      </vt:variant>
      <vt:variant>
        <vt:lpwstr/>
      </vt:variant>
      <vt:variant>
        <vt:lpwstr>_ENREF_118</vt:lpwstr>
      </vt:variant>
      <vt:variant>
        <vt:i4>4718648</vt:i4>
      </vt:variant>
      <vt:variant>
        <vt:i4>2799</vt:i4>
      </vt:variant>
      <vt:variant>
        <vt:i4>0</vt:i4>
      </vt:variant>
      <vt:variant>
        <vt:i4>5</vt:i4>
      </vt:variant>
      <vt:variant>
        <vt:lpwstr/>
      </vt:variant>
      <vt:variant>
        <vt:lpwstr>_ENREF_93</vt:lpwstr>
      </vt:variant>
      <vt:variant>
        <vt:i4>4653112</vt:i4>
      </vt:variant>
      <vt:variant>
        <vt:i4>2796</vt:i4>
      </vt:variant>
      <vt:variant>
        <vt:i4>0</vt:i4>
      </vt:variant>
      <vt:variant>
        <vt:i4>5</vt:i4>
      </vt:variant>
      <vt:variant>
        <vt:lpwstr/>
      </vt:variant>
      <vt:variant>
        <vt:lpwstr>_ENREF_63</vt:lpwstr>
      </vt:variant>
      <vt:variant>
        <vt:i4>4456509</vt:i4>
      </vt:variant>
      <vt:variant>
        <vt:i4>2793</vt:i4>
      </vt:variant>
      <vt:variant>
        <vt:i4>0</vt:i4>
      </vt:variant>
      <vt:variant>
        <vt:i4>5</vt:i4>
      </vt:variant>
      <vt:variant>
        <vt:lpwstr/>
      </vt:variant>
      <vt:variant>
        <vt:lpwstr>_ENREF_56</vt:lpwstr>
      </vt:variant>
      <vt:variant>
        <vt:i4>4325436</vt:i4>
      </vt:variant>
      <vt:variant>
        <vt:i4>2790</vt:i4>
      </vt:variant>
      <vt:variant>
        <vt:i4>0</vt:i4>
      </vt:variant>
      <vt:variant>
        <vt:i4>5</vt:i4>
      </vt:variant>
      <vt:variant>
        <vt:lpwstr/>
      </vt:variant>
      <vt:variant>
        <vt:lpwstr>_ENREF_37</vt:lpwstr>
      </vt:variant>
      <vt:variant>
        <vt:i4>4325437</vt:i4>
      </vt:variant>
      <vt:variant>
        <vt:i4>2787</vt:i4>
      </vt:variant>
      <vt:variant>
        <vt:i4>0</vt:i4>
      </vt:variant>
      <vt:variant>
        <vt:i4>5</vt:i4>
      </vt:variant>
      <vt:variant>
        <vt:lpwstr/>
      </vt:variant>
      <vt:variant>
        <vt:lpwstr>_ENREF_36</vt:lpwstr>
      </vt:variant>
      <vt:variant>
        <vt:i4>4325432</vt:i4>
      </vt:variant>
      <vt:variant>
        <vt:i4>2784</vt:i4>
      </vt:variant>
      <vt:variant>
        <vt:i4>0</vt:i4>
      </vt:variant>
      <vt:variant>
        <vt:i4>5</vt:i4>
      </vt:variant>
      <vt:variant>
        <vt:lpwstr/>
      </vt:variant>
      <vt:variant>
        <vt:lpwstr>_ENREF_33</vt:lpwstr>
      </vt:variant>
      <vt:variant>
        <vt:i4>7602238</vt:i4>
      </vt:variant>
      <vt:variant>
        <vt:i4>2776</vt:i4>
      </vt:variant>
      <vt:variant>
        <vt:i4>0</vt:i4>
      </vt:variant>
      <vt:variant>
        <vt:i4>5</vt:i4>
      </vt:variant>
      <vt:variant>
        <vt:lpwstr/>
      </vt:variant>
      <vt:variant>
        <vt:lpwstr>_ENREF_154</vt:lpwstr>
      </vt:variant>
      <vt:variant>
        <vt:i4>4784188</vt:i4>
      </vt:variant>
      <vt:variant>
        <vt:i4>2773</vt:i4>
      </vt:variant>
      <vt:variant>
        <vt:i4>0</vt:i4>
      </vt:variant>
      <vt:variant>
        <vt:i4>5</vt:i4>
      </vt:variant>
      <vt:variant>
        <vt:lpwstr/>
      </vt:variant>
      <vt:variant>
        <vt:lpwstr>_ENREF_87</vt:lpwstr>
      </vt:variant>
      <vt:variant>
        <vt:i4>4456510</vt:i4>
      </vt:variant>
      <vt:variant>
        <vt:i4>2770</vt:i4>
      </vt:variant>
      <vt:variant>
        <vt:i4>0</vt:i4>
      </vt:variant>
      <vt:variant>
        <vt:i4>5</vt:i4>
      </vt:variant>
      <vt:variant>
        <vt:lpwstr/>
      </vt:variant>
      <vt:variant>
        <vt:lpwstr>_ENREF_55</vt:lpwstr>
      </vt:variant>
      <vt:variant>
        <vt:i4>4325438</vt:i4>
      </vt:variant>
      <vt:variant>
        <vt:i4>2767</vt:i4>
      </vt:variant>
      <vt:variant>
        <vt:i4>0</vt:i4>
      </vt:variant>
      <vt:variant>
        <vt:i4>5</vt:i4>
      </vt:variant>
      <vt:variant>
        <vt:lpwstr/>
      </vt:variant>
      <vt:variant>
        <vt:lpwstr>_ENREF_35</vt:lpwstr>
      </vt:variant>
      <vt:variant>
        <vt:i4>4784185</vt:i4>
      </vt:variant>
      <vt:variant>
        <vt:i4>2759</vt:i4>
      </vt:variant>
      <vt:variant>
        <vt:i4>0</vt:i4>
      </vt:variant>
      <vt:variant>
        <vt:i4>5</vt:i4>
      </vt:variant>
      <vt:variant>
        <vt:lpwstr/>
      </vt:variant>
      <vt:variant>
        <vt:lpwstr>_ENREF_82</vt:lpwstr>
      </vt:variant>
      <vt:variant>
        <vt:i4>4325437</vt:i4>
      </vt:variant>
      <vt:variant>
        <vt:i4>2753</vt:i4>
      </vt:variant>
      <vt:variant>
        <vt:i4>0</vt:i4>
      </vt:variant>
      <vt:variant>
        <vt:i4>5</vt:i4>
      </vt:variant>
      <vt:variant>
        <vt:lpwstr/>
      </vt:variant>
      <vt:variant>
        <vt:lpwstr>_ENREF_36</vt:lpwstr>
      </vt:variant>
      <vt:variant>
        <vt:i4>4325432</vt:i4>
      </vt:variant>
      <vt:variant>
        <vt:i4>2747</vt:i4>
      </vt:variant>
      <vt:variant>
        <vt:i4>0</vt:i4>
      </vt:variant>
      <vt:variant>
        <vt:i4>5</vt:i4>
      </vt:variant>
      <vt:variant>
        <vt:lpwstr/>
      </vt:variant>
      <vt:variant>
        <vt:lpwstr>_ENREF_33</vt:lpwstr>
      </vt:variant>
      <vt:variant>
        <vt:i4>4456510</vt:i4>
      </vt:variant>
      <vt:variant>
        <vt:i4>2739</vt:i4>
      </vt:variant>
      <vt:variant>
        <vt:i4>0</vt:i4>
      </vt:variant>
      <vt:variant>
        <vt:i4>5</vt:i4>
      </vt:variant>
      <vt:variant>
        <vt:lpwstr/>
      </vt:variant>
      <vt:variant>
        <vt:lpwstr>_ENREF_55</vt:lpwstr>
      </vt:variant>
      <vt:variant>
        <vt:i4>4653067</vt:i4>
      </vt:variant>
      <vt:variant>
        <vt:i4>2736</vt:i4>
      </vt:variant>
      <vt:variant>
        <vt:i4>0</vt:i4>
      </vt:variant>
      <vt:variant>
        <vt:i4>5</vt:i4>
      </vt:variant>
      <vt:variant>
        <vt:lpwstr/>
      </vt:variant>
      <vt:variant>
        <vt:lpwstr>_ENREF_6</vt:lpwstr>
      </vt:variant>
      <vt:variant>
        <vt:i4>7733311</vt:i4>
      </vt:variant>
      <vt:variant>
        <vt:i4>2728</vt:i4>
      </vt:variant>
      <vt:variant>
        <vt:i4>0</vt:i4>
      </vt:variant>
      <vt:variant>
        <vt:i4>5</vt:i4>
      </vt:variant>
      <vt:variant>
        <vt:lpwstr/>
      </vt:variant>
      <vt:variant>
        <vt:lpwstr>_ENREF_146</vt:lpwstr>
      </vt:variant>
      <vt:variant>
        <vt:i4>4325426</vt:i4>
      </vt:variant>
      <vt:variant>
        <vt:i4>2725</vt:i4>
      </vt:variant>
      <vt:variant>
        <vt:i4>0</vt:i4>
      </vt:variant>
      <vt:variant>
        <vt:i4>5</vt:i4>
      </vt:variant>
      <vt:variant>
        <vt:lpwstr/>
      </vt:variant>
      <vt:variant>
        <vt:lpwstr>_ENREF_39</vt:lpwstr>
      </vt:variant>
      <vt:variant>
        <vt:i4>4325436</vt:i4>
      </vt:variant>
      <vt:variant>
        <vt:i4>2717</vt:i4>
      </vt:variant>
      <vt:variant>
        <vt:i4>0</vt:i4>
      </vt:variant>
      <vt:variant>
        <vt:i4>5</vt:i4>
      </vt:variant>
      <vt:variant>
        <vt:lpwstr/>
      </vt:variant>
      <vt:variant>
        <vt:lpwstr>_ENREF_37</vt:lpwstr>
      </vt:variant>
      <vt:variant>
        <vt:i4>4587577</vt:i4>
      </vt:variant>
      <vt:variant>
        <vt:i4>2711</vt:i4>
      </vt:variant>
      <vt:variant>
        <vt:i4>0</vt:i4>
      </vt:variant>
      <vt:variant>
        <vt:i4>5</vt:i4>
      </vt:variant>
      <vt:variant>
        <vt:lpwstr/>
      </vt:variant>
      <vt:variant>
        <vt:lpwstr>_ENREF_72</vt:lpwstr>
      </vt:variant>
      <vt:variant>
        <vt:i4>4784188</vt:i4>
      </vt:variant>
      <vt:variant>
        <vt:i4>2703</vt:i4>
      </vt:variant>
      <vt:variant>
        <vt:i4>0</vt:i4>
      </vt:variant>
      <vt:variant>
        <vt:i4>5</vt:i4>
      </vt:variant>
      <vt:variant>
        <vt:lpwstr/>
      </vt:variant>
      <vt:variant>
        <vt:lpwstr>_ENREF_87</vt:lpwstr>
      </vt:variant>
      <vt:variant>
        <vt:i4>4653119</vt:i4>
      </vt:variant>
      <vt:variant>
        <vt:i4>2695</vt:i4>
      </vt:variant>
      <vt:variant>
        <vt:i4>0</vt:i4>
      </vt:variant>
      <vt:variant>
        <vt:i4>5</vt:i4>
      </vt:variant>
      <vt:variant>
        <vt:lpwstr/>
      </vt:variant>
      <vt:variant>
        <vt:lpwstr>_ENREF_64</vt:lpwstr>
      </vt:variant>
      <vt:variant>
        <vt:i4>7798841</vt:i4>
      </vt:variant>
      <vt:variant>
        <vt:i4>2687</vt:i4>
      </vt:variant>
      <vt:variant>
        <vt:i4>0</vt:i4>
      </vt:variant>
      <vt:variant>
        <vt:i4>5</vt:i4>
      </vt:variant>
      <vt:variant>
        <vt:lpwstr/>
      </vt:variant>
      <vt:variant>
        <vt:lpwstr>_ENREF_127</vt:lpwstr>
      </vt:variant>
      <vt:variant>
        <vt:i4>7602238</vt:i4>
      </vt:variant>
      <vt:variant>
        <vt:i4>2681</vt:i4>
      </vt:variant>
      <vt:variant>
        <vt:i4>0</vt:i4>
      </vt:variant>
      <vt:variant>
        <vt:i4>5</vt:i4>
      </vt:variant>
      <vt:variant>
        <vt:lpwstr/>
      </vt:variant>
      <vt:variant>
        <vt:lpwstr>_ENREF_154</vt:lpwstr>
      </vt:variant>
      <vt:variant>
        <vt:i4>4325438</vt:i4>
      </vt:variant>
      <vt:variant>
        <vt:i4>2675</vt:i4>
      </vt:variant>
      <vt:variant>
        <vt:i4>0</vt:i4>
      </vt:variant>
      <vt:variant>
        <vt:i4>5</vt:i4>
      </vt:variant>
      <vt:variant>
        <vt:lpwstr/>
      </vt:variant>
      <vt:variant>
        <vt:lpwstr>_ENREF_35</vt:lpwstr>
      </vt:variant>
      <vt:variant>
        <vt:i4>7929914</vt:i4>
      </vt:variant>
      <vt:variant>
        <vt:i4>2667</vt:i4>
      </vt:variant>
      <vt:variant>
        <vt:i4>0</vt:i4>
      </vt:variant>
      <vt:variant>
        <vt:i4>5</vt:i4>
      </vt:variant>
      <vt:variant>
        <vt:lpwstr/>
      </vt:variant>
      <vt:variant>
        <vt:lpwstr>_ENREF_119</vt:lpwstr>
      </vt:variant>
      <vt:variant>
        <vt:i4>7864378</vt:i4>
      </vt:variant>
      <vt:variant>
        <vt:i4>2664</vt:i4>
      </vt:variant>
      <vt:variant>
        <vt:i4>0</vt:i4>
      </vt:variant>
      <vt:variant>
        <vt:i4>5</vt:i4>
      </vt:variant>
      <vt:variant>
        <vt:lpwstr/>
      </vt:variant>
      <vt:variant>
        <vt:lpwstr>_ENREF_118</vt:lpwstr>
      </vt:variant>
      <vt:variant>
        <vt:i4>4653112</vt:i4>
      </vt:variant>
      <vt:variant>
        <vt:i4>2656</vt:i4>
      </vt:variant>
      <vt:variant>
        <vt:i4>0</vt:i4>
      </vt:variant>
      <vt:variant>
        <vt:i4>5</vt:i4>
      </vt:variant>
      <vt:variant>
        <vt:lpwstr/>
      </vt:variant>
      <vt:variant>
        <vt:lpwstr>_ENREF_63</vt:lpwstr>
      </vt:variant>
      <vt:variant>
        <vt:i4>4784190</vt:i4>
      </vt:variant>
      <vt:variant>
        <vt:i4>2648</vt:i4>
      </vt:variant>
      <vt:variant>
        <vt:i4>0</vt:i4>
      </vt:variant>
      <vt:variant>
        <vt:i4>5</vt:i4>
      </vt:variant>
      <vt:variant>
        <vt:lpwstr/>
      </vt:variant>
      <vt:variant>
        <vt:lpwstr>_ENREF_85</vt:lpwstr>
      </vt:variant>
      <vt:variant>
        <vt:i4>7405627</vt:i4>
      </vt:variant>
      <vt:variant>
        <vt:i4>2640</vt:i4>
      </vt:variant>
      <vt:variant>
        <vt:i4>0</vt:i4>
      </vt:variant>
      <vt:variant>
        <vt:i4>5</vt:i4>
      </vt:variant>
      <vt:variant>
        <vt:lpwstr/>
      </vt:variant>
      <vt:variant>
        <vt:lpwstr>_ENREF_101</vt:lpwstr>
      </vt:variant>
      <vt:variant>
        <vt:i4>7602239</vt:i4>
      </vt:variant>
      <vt:variant>
        <vt:i4>2637</vt:i4>
      </vt:variant>
      <vt:variant>
        <vt:i4>0</vt:i4>
      </vt:variant>
      <vt:variant>
        <vt:i4>5</vt:i4>
      </vt:variant>
      <vt:variant>
        <vt:lpwstr/>
      </vt:variant>
      <vt:variant>
        <vt:lpwstr>_ENREF_144</vt:lpwstr>
      </vt:variant>
      <vt:variant>
        <vt:i4>7929919</vt:i4>
      </vt:variant>
      <vt:variant>
        <vt:i4>2629</vt:i4>
      </vt:variant>
      <vt:variant>
        <vt:i4>0</vt:i4>
      </vt:variant>
      <vt:variant>
        <vt:i4>5</vt:i4>
      </vt:variant>
      <vt:variant>
        <vt:lpwstr/>
      </vt:variant>
      <vt:variant>
        <vt:lpwstr>_ENREF_149</vt:lpwstr>
      </vt:variant>
      <vt:variant>
        <vt:i4>4718648</vt:i4>
      </vt:variant>
      <vt:variant>
        <vt:i4>2621</vt:i4>
      </vt:variant>
      <vt:variant>
        <vt:i4>0</vt:i4>
      </vt:variant>
      <vt:variant>
        <vt:i4>5</vt:i4>
      </vt:variant>
      <vt:variant>
        <vt:lpwstr/>
      </vt:variant>
      <vt:variant>
        <vt:lpwstr>_ENREF_93</vt:lpwstr>
      </vt:variant>
      <vt:variant>
        <vt:i4>4456509</vt:i4>
      </vt:variant>
      <vt:variant>
        <vt:i4>2614</vt:i4>
      </vt:variant>
      <vt:variant>
        <vt:i4>0</vt:i4>
      </vt:variant>
      <vt:variant>
        <vt:i4>5</vt:i4>
      </vt:variant>
      <vt:variant>
        <vt:lpwstr/>
      </vt:variant>
      <vt:variant>
        <vt:lpwstr>_ENREF_56</vt:lpwstr>
      </vt:variant>
      <vt:variant>
        <vt:i4>7864383</vt:i4>
      </vt:variant>
      <vt:variant>
        <vt:i4>2610</vt:i4>
      </vt:variant>
      <vt:variant>
        <vt:i4>0</vt:i4>
      </vt:variant>
      <vt:variant>
        <vt:i4>5</vt:i4>
      </vt:variant>
      <vt:variant>
        <vt:lpwstr/>
      </vt:variant>
      <vt:variant>
        <vt:lpwstr>_ENREF_148</vt:lpwstr>
      </vt:variant>
      <vt:variant>
        <vt:i4>4718654</vt:i4>
      </vt:variant>
      <vt:variant>
        <vt:i4>2607</vt:i4>
      </vt:variant>
      <vt:variant>
        <vt:i4>0</vt:i4>
      </vt:variant>
      <vt:variant>
        <vt:i4>5</vt:i4>
      </vt:variant>
      <vt:variant>
        <vt:lpwstr/>
      </vt:variant>
      <vt:variant>
        <vt:lpwstr>_ENREF_95</vt:lpwstr>
      </vt:variant>
      <vt:variant>
        <vt:i4>4653118</vt:i4>
      </vt:variant>
      <vt:variant>
        <vt:i4>2604</vt:i4>
      </vt:variant>
      <vt:variant>
        <vt:i4>0</vt:i4>
      </vt:variant>
      <vt:variant>
        <vt:i4>5</vt:i4>
      </vt:variant>
      <vt:variant>
        <vt:lpwstr/>
      </vt:variant>
      <vt:variant>
        <vt:lpwstr>_ENREF_65</vt:lpwstr>
      </vt:variant>
      <vt:variant>
        <vt:i4>4325434</vt:i4>
      </vt:variant>
      <vt:variant>
        <vt:i4>2601</vt:i4>
      </vt:variant>
      <vt:variant>
        <vt:i4>0</vt:i4>
      </vt:variant>
      <vt:variant>
        <vt:i4>5</vt:i4>
      </vt:variant>
      <vt:variant>
        <vt:lpwstr/>
      </vt:variant>
      <vt:variant>
        <vt:lpwstr>_ENREF_31</vt:lpwstr>
      </vt:variant>
      <vt:variant>
        <vt:i4>4194367</vt:i4>
      </vt:variant>
      <vt:variant>
        <vt:i4>2598</vt:i4>
      </vt:variant>
      <vt:variant>
        <vt:i4>0</vt:i4>
      </vt:variant>
      <vt:variant>
        <vt:i4>5</vt:i4>
      </vt:variant>
      <vt:variant>
        <vt:lpwstr/>
      </vt:variant>
      <vt:variant>
        <vt:lpwstr>_ENREF_14</vt:lpwstr>
      </vt:variant>
      <vt:variant>
        <vt:i4>4718652</vt:i4>
      </vt:variant>
      <vt:variant>
        <vt:i4>2595</vt:i4>
      </vt:variant>
      <vt:variant>
        <vt:i4>0</vt:i4>
      </vt:variant>
      <vt:variant>
        <vt:i4>5</vt:i4>
      </vt:variant>
      <vt:variant>
        <vt:lpwstr/>
      </vt:variant>
      <vt:variant>
        <vt:lpwstr>_ENREF_97</vt:lpwstr>
      </vt:variant>
      <vt:variant>
        <vt:i4>4587583</vt:i4>
      </vt:variant>
      <vt:variant>
        <vt:i4>2592</vt:i4>
      </vt:variant>
      <vt:variant>
        <vt:i4>0</vt:i4>
      </vt:variant>
      <vt:variant>
        <vt:i4>5</vt:i4>
      </vt:variant>
      <vt:variant>
        <vt:lpwstr/>
      </vt:variant>
      <vt:variant>
        <vt:lpwstr>_ENREF_74</vt:lpwstr>
      </vt:variant>
      <vt:variant>
        <vt:i4>4456509</vt:i4>
      </vt:variant>
      <vt:variant>
        <vt:i4>2584</vt:i4>
      </vt:variant>
      <vt:variant>
        <vt:i4>0</vt:i4>
      </vt:variant>
      <vt:variant>
        <vt:i4>5</vt:i4>
      </vt:variant>
      <vt:variant>
        <vt:lpwstr/>
      </vt:variant>
      <vt:variant>
        <vt:lpwstr>_ENREF_56</vt:lpwstr>
      </vt:variant>
      <vt:variant>
        <vt:i4>4653106</vt:i4>
      </vt:variant>
      <vt:variant>
        <vt:i4>2572</vt:i4>
      </vt:variant>
      <vt:variant>
        <vt:i4>0</vt:i4>
      </vt:variant>
      <vt:variant>
        <vt:i4>5</vt:i4>
      </vt:variant>
      <vt:variant>
        <vt:lpwstr/>
      </vt:variant>
      <vt:variant>
        <vt:lpwstr>_ENREF_69</vt:lpwstr>
      </vt:variant>
      <vt:variant>
        <vt:i4>7602238</vt:i4>
      </vt:variant>
      <vt:variant>
        <vt:i4>2566</vt:i4>
      </vt:variant>
      <vt:variant>
        <vt:i4>0</vt:i4>
      </vt:variant>
      <vt:variant>
        <vt:i4>5</vt:i4>
      </vt:variant>
      <vt:variant>
        <vt:lpwstr/>
      </vt:variant>
      <vt:variant>
        <vt:lpwstr>_ENREF_154</vt:lpwstr>
      </vt:variant>
      <vt:variant>
        <vt:i4>4325437</vt:i4>
      </vt:variant>
      <vt:variant>
        <vt:i4>2560</vt:i4>
      </vt:variant>
      <vt:variant>
        <vt:i4>0</vt:i4>
      </vt:variant>
      <vt:variant>
        <vt:i4>5</vt:i4>
      </vt:variant>
      <vt:variant>
        <vt:lpwstr/>
      </vt:variant>
      <vt:variant>
        <vt:lpwstr>_ENREF_36</vt:lpwstr>
      </vt:variant>
      <vt:variant>
        <vt:i4>7602238</vt:i4>
      </vt:variant>
      <vt:variant>
        <vt:i4>2554</vt:i4>
      </vt:variant>
      <vt:variant>
        <vt:i4>0</vt:i4>
      </vt:variant>
      <vt:variant>
        <vt:i4>5</vt:i4>
      </vt:variant>
      <vt:variant>
        <vt:lpwstr/>
      </vt:variant>
      <vt:variant>
        <vt:lpwstr>_ENREF_154</vt:lpwstr>
      </vt:variant>
      <vt:variant>
        <vt:i4>7602238</vt:i4>
      </vt:variant>
      <vt:variant>
        <vt:i4>2548</vt:i4>
      </vt:variant>
      <vt:variant>
        <vt:i4>0</vt:i4>
      </vt:variant>
      <vt:variant>
        <vt:i4>5</vt:i4>
      </vt:variant>
      <vt:variant>
        <vt:lpwstr/>
      </vt:variant>
      <vt:variant>
        <vt:lpwstr>_ENREF_154</vt:lpwstr>
      </vt:variant>
      <vt:variant>
        <vt:i4>4653115</vt:i4>
      </vt:variant>
      <vt:variant>
        <vt:i4>2536</vt:i4>
      </vt:variant>
      <vt:variant>
        <vt:i4>0</vt:i4>
      </vt:variant>
      <vt:variant>
        <vt:i4>5</vt:i4>
      </vt:variant>
      <vt:variant>
        <vt:lpwstr/>
      </vt:variant>
      <vt:variant>
        <vt:lpwstr>_ENREF_60</vt:lpwstr>
      </vt:variant>
      <vt:variant>
        <vt:i4>4784186</vt:i4>
      </vt:variant>
      <vt:variant>
        <vt:i4>2512</vt:i4>
      </vt:variant>
      <vt:variant>
        <vt:i4>0</vt:i4>
      </vt:variant>
      <vt:variant>
        <vt:i4>5</vt:i4>
      </vt:variant>
      <vt:variant>
        <vt:lpwstr/>
      </vt:variant>
      <vt:variant>
        <vt:lpwstr>_ENREF_81</vt:lpwstr>
      </vt:variant>
      <vt:variant>
        <vt:i4>4653113</vt:i4>
      </vt:variant>
      <vt:variant>
        <vt:i4>2488</vt:i4>
      </vt:variant>
      <vt:variant>
        <vt:i4>0</vt:i4>
      </vt:variant>
      <vt:variant>
        <vt:i4>5</vt:i4>
      </vt:variant>
      <vt:variant>
        <vt:lpwstr/>
      </vt:variant>
      <vt:variant>
        <vt:lpwstr>_ENREF_62</vt:lpwstr>
      </vt:variant>
      <vt:variant>
        <vt:i4>4653113</vt:i4>
      </vt:variant>
      <vt:variant>
        <vt:i4>2479</vt:i4>
      </vt:variant>
      <vt:variant>
        <vt:i4>0</vt:i4>
      </vt:variant>
      <vt:variant>
        <vt:i4>5</vt:i4>
      </vt:variant>
      <vt:variant>
        <vt:lpwstr/>
      </vt:variant>
      <vt:variant>
        <vt:lpwstr>_ENREF_62</vt:lpwstr>
      </vt:variant>
      <vt:variant>
        <vt:i4>4653113</vt:i4>
      </vt:variant>
      <vt:variant>
        <vt:i4>2473</vt:i4>
      </vt:variant>
      <vt:variant>
        <vt:i4>0</vt:i4>
      </vt:variant>
      <vt:variant>
        <vt:i4>5</vt:i4>
      </vt:variant>
      <vt:variant>
        <vt:lpwstr/>
      </vt:variant>
      <vt:variant>
        <vt:lpwstr>_ENREF_62</vt:lpwstr>
      </vt:variant>
      <vt:variant>
        <vt:i4>4653113</vt:i4>
      </vt:variant>
      <vt:variant>
        <vt:i4>2467</vt:i4>
      </vt:variant>
      <vt:variant>
        <vt:i4>0</vt:i4>
      </vt:variant>
      <vt:variant>
        <vt:i4>5</vt:i4>
      </vt:variant>
      <vt:variant>
        <vt:lpwstr/>
      </vt:variant>
      <vt:variant>
        <vt:lpwstr>_ENREF_62</vt:lpwstr>
      </vt:variant>
      <vt:variant>
        <vt:i4>4522043</vt:i4>
      </vt:variant>
      <vt:variant>
        <vt:i4>2458</vt:i4>
      </vt:variant>
      <vt:variant>
        <vt:i4>0</vt:i4>
      </vt:variant>
      <vt:variant>
        <vt:i4>5</vt:i4>
      </vt:variant>
      <vt:variant>
        <vt:lpwstr/>
      </vt:variant>
      <vt:variant>
        <vt:lpwstr>_ENREF_40</vt:lpwstr>
      </vt:variant>
      <vt:variant>
        <vt:i4>7471167</vt:i4>
      </vt:variant>
      <vt:variant>
        <vt:i4>2452</vt:i4>
      </vt:variant>
      <vt:variant>
        <vt:i4>0</vt:i4>
      </vt:variant>
      <vt:variant>
        <vt:i4>5</vt:i4>
      </vt:variant>
      <vt:variant>
        <vt:lpwstr/>
      </vt:variant>
      <vt:variant>
        <vt:lpwstr>_ENREF_142</vt:lpwstr>
      </vt:variant>
      <vt:variant>
        <vt:i4>4456506</vt:i4>
      </vt:variant>
      <vt:variant>
        <vt:i4>2446</vt:i4>
      </vt:variant>
      <vt:variant>
        <vt:i4>0</vt:i4>
      </vt:variant>
      <vt:variant>
        <vt:i4>5</vt:i4>
      </vt:variant>
      <vt:variant>
        <vt:lpwstr/>
      </vt:variant>
      <vt:variant>
        <vt:lpwstr>_ENREF_51</vt:lpwstr>
      </vt:variant>
      <vt:variant>
        <vt:i4>4522043</vt:i4>
      </vt:variant>
      <vt:variant>
        <vt:i4>2434</vt:i4>
      </vt:variant>
      <vt:variant>
        <vt:i4>0</vt:i4>
      </vt:variant>
      <vt:variant>
        <vt:i4>5</vt:i4>
      </vt:variant>
      <vt:variant>
        <vt:lpwstr/>
      </vt:variant>
      <vt:variant>
        <vt:lpwstr>_ENREF_40</vt:lpwstr>
      </vt:variant>
      <vt:variant>
        <vt:i4>4456506</vt:i4>
      </vt:variant>
      <vt:variant>
        <vt:i4>2428</vt:i4>
      </vt:variant>
      <vt:variant>
        <vt:i4>0</vt:i4>
      </vt:variant>
      <vt:variant>
        <vt:i4>5</vt:i4>
      </vt:variant>
      <vt:variant>
        <vt:lpwstr/>
      </vt:variant>
      <vt:variant>
        <vt:lpwstr>_ENREF_51</vt:lpwstr>
      </vt:variant>
      <vt:variant>
        <vt:i4>4522043</vt:i4>
      </vt:variant>
      <vt:variant>
        <vt:i4>2419</vt:i4>
      </vt:variant>
      <vt:variant>
        <vt:i4>0</vt:i4>
      </vt:variant>
      <vt:variant>
        <vt:i4>5</vt:i4>
      </vt:variant>
      <vt:variant>
        <vt:lpwstr/>
      </vt:variant>
      <vt:variant>
        <vt:lpwstr>_ENREF_40</vt:lpwstr>
      </vt:variant>
      <vt:variant>
        <vt:i4>4522043</vt:i4>
      </vt:variant>
      <vt:variant>
        <vt:i4>2410</vt:i4>
      </vt:variant>
      <vt:variant>
        <vt:i4>0</vt:i4>
      </vt:variant>
      <vt:variant>
        <vt:i4>5</vt:i4>
      </vt:variant>
      <vt:variant>
        <vt:lpwstr/>
      </vt:variant>
      <vt:variant>
        <vt:lpwstr>_ENREF_40</vt:lpwstr>
      </vt:variant>
      <vt:variant>
        <vt:i4>4653114</vt:i4>
      </vt:variant>
      <vt:variant>
        <vt:i4>2404</vt:i4>
      </vt:variant>
      <vt:variant>
        <vt:i4>0</vt:i4>
      </vt:variant>
      <vt:variant>
        <vt:i4>5</vt:i4>
      </vt:variant>
      <vt:variant>
        <vt:lpwstr/>
      </vt:variant>
      <vt:variant>
        <vt:lpwstr>_ENREF_61</vt:lpwstr>
      </vt:variant>
      <vt:variant>
        <vt:i4>7667770</vt:i4>
      </vt:variant>
      <vt:variant>
        <vt:i4>2396</vt:i4>
      </vt:variant>
      <vt:variant>
        <vt:i4>0</vt:i4>
      </vt:variant>
      <vt:variant>
        <vt:i4>5</vt:i4>
      </vt:variant>
      <vt:variant>
        <vt:lpwstr/>
      </vt:variant>
      <vt:variant>
        <vt:lpwstr>_ENREF_115</vt:lpwstr>
      </vt:variant>
      <vt:variant>
        <vt:i4>4521995</vt:i4>
      </vt:variant>
      <vt:variant>
        <vt:i4>2390</vt:i4>
      </vt:variant>
      <vt:variant>
        <vt:i4>0</vt:i4>
      </vt:variant>
      <vt:variant>
        <vt:i4>5</vt:i4>
      </vt:variant>
      <vt:variant>
        <vt:lpwstr/>
      </vt:variant>
      <vt:variant>
        <vt:lpwstr>_ENREF_4</vt:lpwstr>
      </vt:variant>
      <vt:variant>
        <vt:i4>4653114</vt:i4>
      </vt:variant>
      <vt:variant>
        <vt:i4>2384</vt:i4>
      </vt:variant>
      <vt:variant>
        <vt:i4>0</vt:i4>
      </vt:variant>
      <vt:variant>
        <vt:i4>5</vt:i4>
      </vt:variant>
      <vt:variant>
        <vt:lpwstr/>
      </vt:variant>
      <vt:variant>
        <vt:lpwstr>_ENREF_61</vt:lpwstr>
      </vt:variant>
      <vt:variant>
        <vt:i4>4653114</vt:i4>
      </vt:variant>
      <vt:variant>
        <vt:i4>2376</vt:i4>
      </vt:variant>
      <vt:variant>
        <vt:i4>0</vt:i4>
      </vt:variant>
      <vt:variant>
        <vt:i4>5</vt:i4>
      </vt:variant>
      <vt:variant>
        <vt:lpwstr/>
      </vt:variant>
      <vt:variant>
        <vt:lpwstr>_ENREF_61</vt:lpwstr>
      </vt:variant>
      <vt:variant>
        <vt:i4>7667769</vt:i4>
      </vt:variant>
      <vt:variant>
        <vt:i4>2368</vt:i4>
      </vt:variant>
      <vt:variant>
        <vt:i4>0</vt:i4>
      </vt:variant>
      <vt:variant>
        <vt:i4>5</vt:i4>
      </vt:variant>
      <vt:variant>
        <vt:lpwstr/>
      </vt:variant>
      <vt:variant>
        <vt:lpwstr>_ENREF_125</vt:lpwstr>
      </vt:variant>
      <vt:variant>
        <vt:i4>7733304</vt:i4>
      </vt:variant>
      <vt:variant>
        <vt:i4>2362</vt:i4>
      </vt:variant>
      <vt:variant>
        <vt:i4>0</vt:i4>
      </vt:variant>
      <vt:variant>
        <vt:i4>5</vt:i4>
      </vt:variant>
      <vt:variant>
        <vt:lpwstr/>
      </vt:variant>
      <vt:variant>
        <vt:lpwstr>_ENREF_136</vt:lpwstr>
      </vt:variant>
      <vt:variant>
        <vt:i4>4522044</vt:i4>
      </vt:variant>
      <vt:variant>
        <vt:i4>2354</vt:i4>
      </vt:variant>
      <vt:variant>
        <vt:i4>0</vt:i4>
      </vt:variant>
      <vt:variant>
        <vt:i4>5</vt:i4>
      </vt:variant>
      <vt:variant>
        <vt:lpwstr/>
      </vt:variant>
      <vt:variant>
        <vt:lpwstr>_ENREF_47</vt:lpwstr>
      </vt:variant>
      <vt:variant>
        <vt:i4>4456506</vt:i4>
      </vt:variant>
      <vt:variant>
        <vt:i4>2348</vt:i4>
      </vt:variant>
      <vt:variant>
        <vt:i4>0</vt:i4>
      </vt:variant>
      <vt:variant>
        <vt:i4>5</vt:i4>
      </vt:variant>
      <vt:variant>
        <vt:lpwstr/>
      </vt:variant>
      <vt:variant>
        <vt:lpwstr>_ENREF_51</vt:lpwstr>
      </vt:variant>
      <vt:variant>
        <vt:i4>4587571</vt:i4>
      </vt:variant>
      <vt:variant>
        <vt:i4>2342</vt:i4>
      </vt:variant>
      <vt:variant>
        <vt:i4>0</vt:i4>
      </vt:variant>
      <vt:variant>
        <vt:i4>5</vt:i4>
      </vt:variant>
      <vt:variant>
        <vt:lpwstr/>
      </vt:variant>
      <vt:variant>
        <vt:lpwstr>_ENREF_78</vt:lpwstr>
      </vt:variant>
      <vt:variant>
        <vt:i4>7667769</vt:i4>
      </vt:variant>
      <vt:variant>
        <vt:i4>2336</vt:i4>
      </vt:variant>
      <vt:variant>
        <vt:i4>0</vt:i4>
      </vt:variant>
      <vt:variant>
        <vt:i4>5</vt:i4>
      </vt:variant>
      <vt:variant>
        <vt:lpwstr/>
      </vt:variant>
      <vt:variant>
        <vt:lpwstr>_ENREF_125</vt:lpwstr>
      </vt:variant>
      <vt:variant>
        <vt:i4>4390962</vt:i4>
      </vt:variant>
      <vt:variant>
        <vt:i4>2330</vt:i4>
      </vt:variant>
      <vt:variant>
        <vt:i4>0</vt:i4>
      </vt:variant>
      <vt:variant>
        <vt:i4>5</vt:i4>
      </vt:variant>
      <vt:variant>
        <vt:lpwstr/>
      </vt:variant>
      <vt:variant>
        <vt:lpwstr>_ENREF_29</vt:lpwstr>
      </vt:variant>
      <vt:variant>
        <vt:i4>4653113</vt:i4>
      </vt:variant>
      <vt:variant>
        <vt:i4>2324</vt:i4>
      </vt:variant>
      <vt:variant>
        <vt:i4>0</vt:i4>
      </vt:variant>
      <vt:variant>
        <vt:i4>5</vt:i4>
      </vt:variant>
      <vt:variant>
        <vt:lpwstr/>
      </vt:variant>
      <vt:variant>
        <vt:lpwstr>_ENREF_62</vt:lpwstr>
      </vt:variant>
      <vt:variant>
        <vt:i4>4653113</vt:i4>
      </vt:variant>
      <vt:variant>
        <vt:i4>2315</vt:i4>
      </vt:variant>
      <vt:variant>
        <vt:i4>0</vt:i4>
      </vt:variant>
      <vt:variant>
        <vt:i4>5</vt:i4>
      </vt:variant>
      <vt:variant>
        <vt:lpwstr/>
      </vt:variant>
      <vt:variant>
        <vt:lpwstr>_ENREF_62</vt:lpwstr>
      </vt:variant>
      <vt:variant>
        <vt:i4>4522043</vt:i4>
      </vt:variant>
      <vt:variant>
        <vt:i4>2309</vt:i4>
      </vt:variant>
      <vt:variant>
        <vt:i4>0</vt:i4>
      </vt:variant>
      <vt:variant>
        <vt:i4>5</vt:i4>
      </vt:variant>
      <vt:variant>
        <vt:lpwstr/>
      </vt:variant>
      <vt:variant>
        <vt:lpwstr>_ENREF_40</vt:lpwstr>
      </vt:variant>
      <vt:variant>
        <vt:i4>4653113</vt:i4>
      </vt:variant>
      <vt:variant>
        <vt:i4>2303</vt:i4>
      </vt:variant>
      <vt:variant>
        <vt:i4>0</vt:i4>
      </vt:variant>
      <vt:variant>
        <vt:i4>5</vt:i4>
      </vt:variant>
      <vt:variant>
        <vt:lpwstr/>
      </vt:variant>
      <vt:variant>
        <vt:lpwstr>_ENREF_62</vt:lpwstr>
      </vt:variant>
      <vt:variant>
        <vt:i4>4522043</vt:i4>
      </vt:variant>
      <vt:variant>
        <vt:i4>2297</vt:i4>
      </vt:variant>
      <vt:variant>
        <vt:i4>0</vt:i4>
      </vt:variant>
      <vt:variant>
        <vt:i4>5</vt:i4>
      </vt:variant>
      <vt:variant>
        <vt:lpwstr/>
      </vt:variant>
      <vt:variant>
        <vt:lpwstr>_ENREF_40</vt:lpwstr>
      </vt:variant>
      <vt:variant>
        <vt:i4>4653113</vt:i4>
      </vt:variant>
      <vt:variant>
        <vt:i4>2291</vt:i4>
      </vt:variant>
      <vt:variant>
        <vt:i4>0</vt:i4>
      </vt:variant>
      <vt:variant>
        <vt:i4>5</vt:i4>
      </vt:variant>
      <vt:variant>
        <vt:lpwstr/>
      </vt:variant>
      <vt:variant>
        <vt:lpwstr>_ENREF_62</vt:lpwstr>
      </vt:variant>
      <vt:variant>
        <vt:i4>4522043</vt:i4>
      </vt:variant>
      <vt:variant>
        <vt:i4>2279</vt:i4>
      </vt:variant>
      <vt:variant>
        <vt:i4>0</vt:i4>
      </vt:variant>
      <vt:variant>
        <vt:i4>5</vt:i4>
      </vt:variant>
      <vt:variant>
        <vt:lpwstr/>
      </vt:variant>
      <vt:variant>
        <vt:lpwstr>_ENREF_40</vt:lpwstr>
      </vt:variant>
      <vt:variant>
        <vt:i4>4653113</vt:i4>
      </vt:variant>
      <vt:variant>
        <vt:i4>2273</vt:i4>
      </vt:variant>
      <vt:variant>
        <vt:i4>0</vt:i4>
      </vt:variant>
      <vt:variant>
        <vt:i4>5</vt:i4>
      </vt:variant>
      <vt:variant>
        <vt:lpwstr/>
      </vt:variant>
      <vt:variant>
        <vt:lpwstr>_ENREF_62</vt:lpwstr>
      </vt:variant>
      <vt:variant>
        <vt:i4>4784184</vt:i4>
      </vt:variant>
      <vt:variant>
        <vt:i4>2267</vt:i4>
      </vt:variant>
      <vt:variant>
        <vt:i4>0</vt:i4>
      </vt:variant>
      <vt:variant>
        <vt:i4>5</vt:i4>
      </vt:variant>
      <vt:variant>
        <vt:lpwstr/>
      </vt:variant>
      <vt:variant>
        <vt:lpwstr>_ENREF_83</vt:lpwstr>
      </vt:variant>
      <vt:variant>
        <vt:i4>4784184</vt:i4>
      </vt:variant>
      <vt:variant>
        <vt:i4>2259</vt:i4>
      </vt:variant>
      <vt:variant>
        <vt:i4>0</vt:i4>
      </vt:variant>
      <vt:variant>
        <vt:i4>5</vt:i4>
      </vt:variant>
      <vt:variant>
        <vt:lpwstr/>
      </vt:variant>
      <vt:variant>
        <vt:lpwstr>_ENREF_83</vt:lpwstr>
      </vt:variant>
      <vt:variant>
        <vt:i4>4522043</vt:i4>
      </vt:variant>
      <vt:variant>
        <vt:i4>2251</vt:i4>
      </vt:variant>
      <vt:variant>
        <vt:i4>0</vt:i4>
      </vt:variant>
      <vt:variant>
        <vt:i4>5</vt:i4>
      </vt:variant>
      <vt:variant>
        <vt:lpwstr/>
      </vt:variant>
      <vt:variant>
        <vt:lpwstr>_ENREF_40</vt:lpwstr>
      </vt:variant>
      <vt:variant>
        <vt:i4>4456511</vt:i4>
      </vt:variant>
      <vt:variant>
        <vt:i4>2245</vt:i4>
      </vt:variant>
      <vt:variant>
        <vt:i4>0</vt:i4>
      </vt:variant>
      <vt:variant>
        <vt:i4>5</vt:i4>
      </vt:variant>
      <vt:variant>
        <vt:lpwstr/>
      </vt:variant>
      <vt:variant>
        <vt:lpwstr>_ENREF_54</vt:lpwstr>
      </vt:variant>
      <vt:variant>
        <vt:i4>7405630</vt:i4>
      </vt:variant>
      <vt:variant>
        <vt:i4>2242</vt:i4>
      </vt:variant>
      <vt:variant>
        <vt:i4>0</vt:i4>
      </vt:variant>
      <vt:variant>
        <vt:i4>5</vt:i4>
      </vt:variant>
      <vt:variant>
        <vt:lpwstr/>
      </vt:variant>
      <vt:variant>
        <vt:lpwstr>_ENREF_151</vt:lpwstr>
      </vt:variant>
      <vt:variant>
        <vt:i4>4522043</vt:i4>
      </vt:variant>
      <vt:variant>
        <vt:i4>2236</vt:i4>
      </vt:variant>
      <vt:variant>
        <vt:i4>0</vt:i4>
      </vt:variant>
      <vt:variant>
        <vt:i4>5</vt:i4>
      </vt:variant>
      <vt:variant>
        <vt:lpwstr/>
      </vt:variant>
      <vt:variant>
        <vt:lpwstr>_ENREF_40</vt:lpwstr>
      </vt:variant>
      <vt:variant>
        <vt:i4>4784187</vt:i4>
      </vt:variant>
      <vt:variant>
        <vt:i4>2230</vt:i4>
      </vt:variant>
      <vt:variant>
        <vt:i4>0</vt:i4>
      </vt:variant>
      <vt:variant>
        <vt:i4>5</vt:i4>
      </vt:variant>
      <vt:variant>
        <vt:lpwstr/>
      </vt:variant>
      <vt:variant>
        <vt:lpwstr>_ENREF_80</vt:lpwstr>
      </vt:variant>
      <vt:variant>
        <vt:i4>4784187</vt:i4>
      </vt:variant>
      <vt:variant>
        <vt:i4>2224</vt:i4>
      </vt:variant>
      <vt:variant>
        <vt:i4>0</vt:i4>
      </vt:variant>
      <vt:variant>
        <vt:i4>5</vt:i4>
      </vt:variant>
      <vt:variant>
        <vt:lpwstr/>
      </vt:variant>
      <vt:variant>
        <vt:lpwstr>_ENREF_80</vt:lpwstr>
      </vt:variant>
      <vt:variant>
        <vt:i4>4390962</vt:i4>
      </vt:variant>
      <vt:variant>
        <vt:i4>2221</vt:i4>
      </vt:variant>
      <vt:variant>
        <vt:i4>0</vt:i4>
      </vt:variant>
      <vt:variant>
        <vt:i4>5</vt:i4>
      </vt:variant>
      <vt:variant>
        <vt:lpwstr/>
      </vt:variant>
      <vt:variant>
        <vt:lpwstr>_ENREF_29</vt:lpwstr>
      </vt:variant>
      <vt:variant>
        <vt:i4>4784187</vt:i4>
      </vt:variant>
      <vt:variant>
        <vt:i4>2215</vt:i4>
      </vt:variant>
      <vt:variant>
        <vt:i4>0</vt:i4>
      </vt:variant>
      <vt:variant>
        <vt:i4>5</vt:i4>
      </vt:variant>
      <vt:variant>
        <vt:lpwstr/>
      </vt:variant>
      <vt:variant>
        <vt:lpwstr>_ENREF_80</vt:lpwstr>
      </vt:variant>
      <vt:variant>
        <vt:i4>4456459</vt:i4>
      </vt:variant>
      <vt:variant>
        <vt:i4>2209</vt:i4>
      </vt:variant>
      <vt:variant>
        <vt:i4>0</vt:i4>
      </vt:variant>
      <vt:variant>
        <vt:i4>5</vt:i4>
      </vt:variant>
      <vt:variant>
        <vt:lpwstr/>
      </vt:variant>
      <vt:variant>
        <vt:lpwstr>_ENREF_5</vt:lpwstr>
      </vt:variant>
      <vt:variant>
        <vt:i4>7405626</vt:i4>
      </vt:variant>
      <vt:variant>
        <vt:i4>2203</vt:i4>
      </vt:variant>
      <vt:variant>
        <vt:i4>0</vt:i4>
      </vt:variant>
      <vt:variant>
        <vt:i4>5</vt:i4>
      </vt:variant>
      <vt:variant>
        <vt:lpwstr/>
      </vt:variant>
      <vt:variant>
        <vt:lpwstr>_ENREF_111</vt:lpwstr>
      </vt:variant>
      <vt:variant>
        <vt:i4>4390963</vt:i4>
      </vt:variant>
      <vt:variant>
        <vt:i4>2197</vt:i4>
      </vt:variant>
      <vt:variant>
        <vt:i4>0</vt:i4>
      </vt:variant>
      <vt:variant>
        <vt:i4>5</vt:i4>
      </vt:variant>
      <vt:variant>
        <vt:lpwstr/>
      </vt:variant>
      <vt:variant>
        <vt:lpwstr>_ENREF_28</vt:lpwstr>
      </vt:variant>
      <vt:variant>
        <vt:i4>7405626</vt:i4>
      </vt:variant>
      <vt:variant>
        <vt:i4>2191</vt:i4>
      </vt:variant>
      <vt:variant>
        <vt:i4>0</vt:i4>
      </vt:variant>
      <vt:variant>
        <vt:i4>5</vt:i4>
      </vt:variant>
      <vt:variant>
        <vt:lpwstr/>
      </vt:variant>
      <vt:variant>
        <vt:lpwstr>_ENREF_111</vt:lpwstr>
      </vt:variant>
      <vt:variant>
        <vt:i4>7405626</vt:i4>
      </vt:variant>
      <vt:variant>
        <vt:i4>2185</vt:i4>
      </vt:variant>
      <vt:variant>
        <vt:i4>0</vt:i4>
      </vt:variant>
      <vt:variant>
        <vt:i4>5</vt:i4>
      </vt:variant>
      <vt:variant>
        <vt:lpwstr/>
      </vt:variant>
      <vt:variant>
        <vt:lpwstr>_ENREF_111</vt:lpwstr>
      </vt:variant>
      <vt:variant>
        <vt:i4>4194363</vt:i4>
      </vt:variant>
      <vt:variant>
        <vt:i4>2179</vt:i4>
      </vt:variant>
      <vt:variant>
        <vt:i4>0</vt:i4>
      </vt:variant>
      <vt:variant>
        <vt:i4>5</vt:i4>
      </vt:variant>
      <vt:variant>
        <vt:lpwstr/>
      </vt:variant>
      <vt:variant>
        <vt:lpwstr>_ENREF_10</vt:lpwstr>
      </vt:variant>
      <vt:variant>
        <vt:i4>4390974</vt:i4>
      </vt:variant>
      <vt:variant>
        <vt:i4>2173</vt:i4>
      </vt:variant>
      <vt:variant>
        <vt:i4>0</vt:i4>
      </vt:variant>
      <vt:variant>
        <vt:i4>5</vt:i4>
      </vt:variant>
      <vt:variant>
        <vt:lpwstr/>
      </vt:variant>
      <vt:variant>
        <vt:lpwstr>_ENREF_25</vt:lpwstr>
      </vt:variant>
      <vt:variant>
        <vt:i4>4390974</vt:i4>
      </vt:variant>
      <vt:variant>
        <vt:i4>2167</vt:i4>
      </vt:variant>
      <vt:variant>
        <vt:i4>0</vt:i4>
      </vt:variant>
      <vt:variant>
        <vt:i4>5</vt:i4>
      </vt:variant>
      <vt:variant>
        <vt:lpwstr/>
      </vt:variant>
      <vt:variant>
        <vt:lpwstr>_ENREF_25</vt:lpwstr>
      </vt:variant>
      <vt:variant>
        <vt:i4>4522042</vt:i4>
      </vt:variant>
      <vt:variant>
        <vt:i4>2161</vt:i4>
      </vt:variant>
      <vt:variant>
        <vt:i4>0</vt:i4>
      </vt:variant>
      <vt:variant>
        <vt:i4>5</vt:i4>
      </vt:variant>
      <vt:variant>
        <vt:lpwstr/>
      </vt:variant>
      <vt:variant>
        <vt:lpwstr>_ENREF_41</vt:lpwstr>
      </vt:variant>
      <vt:variant>
        <vt:i4>7536703</vt:i4>
      </vt:variant>
      <vt:variant>
        <vt:i4>2155</vt:i4>
      </vt:variant>
      <vt:variant>
        <vt:i4>0</vt:i4>
      </vt:variant>
      <vt:variant>
        <vt:i4>5</vt:i4>
      </vt:variant>
      <vt:variant>
        <vt:lpwstr/>
      </vt:variant>
      <vt:variant>
        <vt:lpwstr>_ENREF_143</vt:lpwstr>
      </vt:variant>
      <vt:variant>
        <vt:i4>4456459</vt:i4>
      </vt:variant>
      <vt:variant>
        <vt:i4>2147</vt:i4>
      </vt:variant>
      <vt:variant>
        <vt:i4>0</vt:i4>
      </vt:variant>
      <vt:variant>
        <vt:i4>5</vt:i4>
      </vt:variant>
      <vt:variant>
        <vt:lpwstr/>
      </vt:variant>
      <vt:variant>
        <vt:lpwstr>_ENREF_5</vt:lpwstr>
      </vt:variant>
      <vt:variant>
        <vt:i4>7929915</vt:i4>
      </vt:variant>
      <vt:variant>
        <vt:i4>2141</vt:i4>
      </vt:variant>
      <vt:variant>
        <vt:i4>0</vt:i4>
      </vt:variant>
      <vt:variant>
        <vt:i4>5</vt:i4>
      </vt:variant>
      <vt:variant>
        <vt:lpwstr/>
      </vt:variant>
      <vt:variant>
        <vt:lpwstr>_ENREF_109</vt:lpwstr>
      </vt:variant>
      <vt:variant>
        <vt:i4>7798843</vt:i4>
      </vt:variant>
      <vt:variant>
        <vt:i4>2135</vt:i4>
      </vt:variant>
      <vt:variant>
        <vt:i4>0</vt:i4>
      </vt:variant>
      <vt:variant>
        <vt:i4>5</vt:i4>
      </vt:variant>
      <vt:variant>
        <vt:lpwstr/>
      </vt:variant>
      <vt:variant>
        <vt:lpwstr>_ENREF_107</vt:lpwstr>
      </vt:variant>
      <vt:variant>
        <vt:i4>4456459</vt:i4>
      </vt:variant>
      <vt:variant>
        <vt:i4>2129</vt:i4>
      </vt:variant>
      <vt:variant>
        <vt:i4>0</vt:i4>
      </vt:variant>
      <vt:variant>
        <vt:i4>5</vt:i4>
      </vt:variant>
      <vt:variant>
        <vt:lpwstr/>
      </vt:variant>
      <vt:variant>
        <vt:lpwstr>_ENREF_5</vt:lpwstr>
      </vt:variant>
      <vt:variant>
        <vt:i4>4456459</vt:i4>
      </vt:variant>
      <vt:variant>
        <vt:i4>2123</vt:i4>
      </vt:variant>
      <vt:variant>
        <vt:i4>0</vt:i4>
      </vt:variant>
      <vt:variant>
        <vt:i4>5</vt:i4>
      </vt:variant>
      <vt:variant>
        <vt:lpwstr/>
      </vt:variant>
      <vt:variant>
        <vt:lpwstr>_ENREF_5</vt:lpwstr>
      </vt:variant>
      <vt:variant>
        <vt:i4>4522043</vt:i4>
      </vt:variant>
      <vt:variant>
        <vt:i4>2117</vt:i4>
      </vt:variant>
      <vt:variant>
        <vt:i4>0</vt:i4>
      </vt:variant>
      <vt:variant>
        <vt:i4>5</vt:i4>
      </vt:variant>
      <vt:variant>
        <vt:lpwstr/>
      </vt:variant>
      <vt:variant>
        <vt:lpwstr>_ENREF_40</vt:lpwstr>
      </vt:variant>
      <vt:variant>
        <vt:i4>7340090</vt:i4>
      </vt:variant>
      <vt:variant>
        <vt:i4>2111</vt:i4>
      </vt:variant>
      <vt:variant>
        <vt:i4>0</vt:i4>
      </vt:variant>
      <vt:variant>
        <vt:i4>5</vt:i4>
      </vt:variant>
      <vt:variant>
        <vt:lpwstr/>
      </vt:variant>
      <vt:variant>
        <vt:lpwstr>_ENREF_110</vt:lpwstr>
      </vt:variant>
      <vt:variant>
        <vt:i4>4194315</vt:i4>
      </vt:variant>
      <vt:variant>
        <vt:i4>2105</vt:i4>
      </vt:variant>
      <vt:variant>
        <vt:i4>0</vt:i4>
      </vt:variant>
      <vt:variant>
        <vt:i4>5</vt:i4>
      </vt:variant>
      <vt:variant>
        <vt:lpwstr/>
      </vt:variant>
      <vt:variant>
        <vt:lpwstr>_ENREF_1</vt:lpwstr>
      </vt:variant>
      <vt:variant>
        <vt:i4>7340090</vt:i4>
      </vt:variant>
      <vt:variant>
        <vt:i4>2099</vt:i4>
      </vt:variant>
      <vt:variant>
        <vt:i4>0</vt:i4>
      </vt:variant>
      <vt:variant>
        <vt:i4>5</vt:i4>
      </vt:variant>
      <vt:variant>
        <vt:lpwstr/>
      </vt:variant>
      <vt:variant>
        <vt:lpwstr>_ENREF_110</vt:lpwstr>
      </vt:variant>
      <vt:variant>
        <vt:i4>4522043</vt:i4>
      </vt:variant>
      <vt:variant>
        <vt:i4>2090</vt:i4>
      </vt:variant>
      <vt:variant>
        <vt:i4>0</vt:i4>
      </vt:variant>
      <vt:variant>
        <vt:i4>5</vt:i4>
      </vt:variant>
      <vt:variant>
        <vt:lpwstr/>
      </vt:variant>
      <vt:variant>
        <vt:lpwstr>_ENREF_40</vt:lpwstr>
      </vt:variant>
      <vt:variant>
        <vt:i4>7340090</vt:i4>
      </vt:variant>
      <vt:variant>
        <vt:i4>2081</vt:i4>
      </vt:variant>
      <vt:variant>
        <vt:i4>0</vt:i4>
      </vt:variant>
      <vt:variant>
        <vt:i4>5</vt:i4>
      </vt:variant>
      <vt:variant>
        <vt:lpwstr/>
      </vt:variant>
      <vt:variant>
        <vt:lpwstr>_ENREF_110</vt:lpwstr>
      </vt:variant>
      <vt:variant>
        <vt:i4>7340090</vt:i4>
      </vt:variant>
      <vt:variant>
        <vt:i4>2075</vt:i4>
      </vt:variant>
      <vt:variant>
        <vt:i4>0</vt:i4>
      </vt:variant>
      <vt:variant>
        <vt:i4>5</vt:i4>
      </vt:variant>
      <vt:variant>
        <vt:lpwstr/>
      </vt:variant>
      <vt:variant>
        <vt:lpwstr>_ENREF_110</vt:lpwstr>
      </vt:variant>
      <vt:variant>
        <vt:i4>4456506</vt:i4>
      </vt:variant>
      <vt:variant>
        <vt:i4>2057</vt:i4>
      </vt:variant>
      <vt:variant>
        <vt:i4>0</vt:i4>
      </vt:variant>
      <vt:variant>
        <vt:i4>5</vt:i4>
      </vt:variant>
      <vt:variant>
        <vt:lpwstr/>
      </vt:variant>
      <vt:variant>
        <vt:lpwstr>_ENREF_51</vt:lpwstr>
      </vt:variant>
      <vt:variant>
        <vt:i4>4784187</vt:i4>
      </vt:variant>
      <vt:variant>
        <vt:i4>2051</vt:i4>
      </vt:variant>
      <vt:variant>
        <vt:i4>0</vt:i4>
      </vt:variant>
      <vt:variant>
        <vt:i4>5</vt:i4>
      </vt:variant>
      <vt:variant>
        <vt:lpwstr/>
      </vt:variant>
      <vt:variant>
        <vt:lpwstr>_ENREF_80</vt:lpwstr>
      </vt:variant>
      <vt:variant>
        <vt:i4>4390962</vt:i4>
      </vt:variant>
      <vt:variant>
        <vt:i4>2045</vt:i4>
      </vt:variant>
      <vt:variant>
        <vt:i4>0</vt:i4>
      </vt:variant>
      <vt:variant>
        <vt:i4>5</vt:i4>
      </vt:variant>
      <vt:variant>
        <vt:lpwstr/>
      </vt:variant>
      <vt:variant>
        <vt:lpwstr>_ENREF_29</vt:lpwstr>
      </vt:variant>
      <vt:variant>
        <vt:i4>4390962</vt:i4>
      </vt:variant>
      <vt:variant>
        <vt:i4>2039</vt:i4>
      </vt:variant>
      <vt:variant>
        <vt:i4>0</vt:i4>
      </vt:variant>
      <vt:variant>
        <vt:i4>5</vt:i4>
      </vt:variant>
      <vt:variant>
        <vt:lpwstr/>
      </vt:variant>
      <vt:variant>
        <vt:lpwstr>_ENREF_29</vt:lpwstr>
      </vt:variant>
      <vt:variant>
        <vt:i4>4784187</vt:i4>
      </vt:variant>
      <vt:variant>
        <vt:i4>2033</vt:i4>
      </vt:variant>
      <vt:variant>
        <vt:i4>0</vt:i4>
      </vt:variant>
      <vt:variant>
        <vt:i4>5</vt:i4>
      </vt:variant>
      <vt:variant>
        <vt:lpwstr/>
      </vt:variant>
      <vt:variant>
        <vt:lpwstr>_ENREF_80</vt:lpwstr>
      </vt:variant>
      <vt:variant>
        <vt:i4>4390962</vt:i4>
      </vt:variant>
      <vt:variant>
        <vt:i4>2021</vt:i4>
      </vt:variant>
      <vt:variant>
        <vt:i4>0</vt:i4>
      </vt:variant>
      <vt:variant>
        <vt:i4>5</vt:i4>
      </vt:variant>
      <vt:variant>
        <vt:lpwstr/>
      </vt:variant>
      <vt:variant>
        <vt:lpwstr>_ENREF_29</vt:lpwstr>
      </vt:variant>
      <vt:variant>
        <vt:i4>4653119</vt:i4>
      </vt:variant>
      <vt:variant>
        <vt:i4>2012</vt:i4>
      </vt:variant>
      <vt:variant>
        <vt:i4>0</vt:i4>
      </vt:variant>
      <vt:variant>
        <vt:i4>5</vt:i4>
      </vt:variant>
      <vt:variant>
        <vt:lpwstr/>
      </vt:variant>
      <vt:variant>
        <vt:lpwstr>_ENREF_64</vt:lpwstr>
      </vt:variant>
      <vt:variant>
        <vt:i4>7536703</vt:i4>
      </vt:variant>
      <vt:variant>
        <vt:i4>2004</vt:i4>
      </vt:variant>
      <vt:variant>
        <vt:i4>0</vt:i4>
      </vt:variant>
      <vt:variant>
        <vt:i4>5</vt:i4>
      </vt:variant>
      <vt:variant>
        <vt:lpwstr/>
      </vt:variant>
      <vt:variant>
        <vt:lpwstr>_ENREF_143</vt:lpwstr>
      </vt:variant>
      <vt:variant>
        <vt:i4>4456506</vt:i4>
      </vt:variant>
      <vt:variant>
        <vt:i4>1996</vt:i4>
      </vt:variant>
      <vt:variant>
        <vt:i4>0</vt:i4>
      </vt:variant>
      <vt:variant>
        <vt:i4>5</vt:i4>
      </vt:variant>
      <vt:variant>
        <vt:lpwstr/>
      </vt:variant>
      <vt:variant>
        <vt:lpwstr>_ENREF_51</vt:lpwstr>
      </vt:variant>
      <vt:variant>
        <vt:i4>7340095</vt:i4>
      </vt:variant>
      <vt:variant>
        <vt:i4>1990</vt:i4>
      </vt:variant>
      <vt:variant>
        <vt:i4>0</vt:i4>
      </vt:variant>
      <vt:variant>
        <vt:i4>5</vt:i4>
      </vt:variant>
      <vt:variant>
        <vt:lpwstr/>
      </vt:variant>
      <vt:variant>
        <vt:lpwstr>_ENREF_140</vt:lpwstr>
      </vt:variant>
      <vt:variant>
        <vt:i4>4390962</vt:i4>
      </vt:variant>
      <vt:variant>
        <vt:i4>1984</vt:i4>
      </vt:variant>
      <vt:variant>
        <vt:i4>0</vt:i4>
      </vt:variant>
      <vt:variant>
        <vt:i4>5</vt:i4>
      </vt:variant>
      <vt:variant>
        <vt:lpwstr/>
      </vt:variant>
      <vt:variant>
        <vt:lpwstr>_ENREF_29</vt:lpwstr>
      </vt:variant>
      <vt:variant>
        <vt:i4>4522044</vt:i4>
      </vt:variant>
      <vt:variant>
        <vt:i4>1978</vt:i4>
      </vt:variant>
      <vt:variant>
        <vt:i4>0</vt:i4>
      </vt:variant>
      <vt:variant>
        <vt:i4>5</vt:i4>
      </vt:variant>
      <vt:variant>
        <vt:lpwstr/>
      </vt:variant>
      <vt:variant>
        <vt:lpwstr>_ENREF_47</vt:lpwstr>
      </vt:variant>
      <vt:variant>
        <vt:i4>4325435</vt:i4>
      </vt:variant>
      <vt:variant>
        <vt:i4>1972</vt:i4>
      </vt:variant>
      <vt:variant>
        <vt:i4>0</vt:i4>
      </vt:variant>
      <vt:variant>
        <vt:i4>5</vt:i4>
      </vt:variant>
      <vt:variant>
        <vt:lpwstr/>
      </vt:variant>
      <vt:variant>
        <vt:lpwstr>_ENREF_30</vt:lpwstr>
      </vt:variant>
      <vt:variant>
        <vt:i4>7733304</vt:i4>
      </vt:variant>
      <vt:variant>
        <vt:i4>1966</vt:i4>
      </vt:variant>
      <vt:variant>
        <vt:i4>0</vt:i4>
      </vt:variant>
      <vt:variant>
        <vt:i4>5</vt:i4>
      </vt:variant>
      <vt:variant>
        <vt:lpwstr/>
      </vt:variant>
      <vt:variant>
        <vt:lpwstr>_ENREF_136</vt:lpwstr>
      </vt:variant>
      <vt:variant>
        <vt:i4>4587571</vt:i4>
      </vt:variant>
      <vt:variant>
        <vt:i4>1958</vt:i4>
      </vt:variant>
      <vt:variant>
        <vt:i4>0</vt:i4>
      </vt:variant>
      <vt:variant>
        <vt:i4>5</vt:i4>
      </vt:variant>
      <vt:variant>
        <vt:lpwstr/>
      </vt:variant>
      <vt:variant>
        <vt:lpwstr>_ENREF_78</vt:lpwstr>
      </vt:variant>
      <vt:variant>
        <vt:i4>7602232</vt:i4>
      </vt:variant>
      <vt:variant>
        <vt:i4>1952</vt:i4>
      </vt:variant>
      <vt:variant>
        <vt:i4>0</vt:i4>
      </vt:variant>
      <vt:variant>
        <vt:i4>5</vt:i4>
      </vt:variant>
      <vt:variant>
        <vt:lpwstr/>
      </vt:variant>
      <vt:variant>
        <vt:lpwstr>_ENREF_134</vt:lpwstr>
      </vt:variant>
      <vt:variant>
        <vt:i4>7471161</vt:i4>
      </vt:variant>
      <vt:variant>
        <vt:i4>1949</vt:i4>
      </vt:variant>
      <vt:variant>
        <vt:i4>0</vt:i4>
      </vt:variant>
      <vt:variant>
        <vt:i4>5</vt:i4>
      </vt:variant>
      <vt:variant>
        <vt:lpwstr/>
      </vt:variant>
      <vt:variant>
        <vt:lpwstr>_ENREF_122</vt:lpwstr>
      </vt:variant>
      <vt:variant>
        <vt:i4>4784187</vt:i4>
      </vt:variant>
      <vt:variant>
        <vt:i4>1941</vt:i4>
      </vt:variant>
      <vt:variant>
        <vt:i4>0</vt:i4>
      </vt:variant>
      <vt:variant>
        <vt:i4>5</vt:i4>
      </vt:variant>
      <vt:variant>
        <vt:lpwstr/>
      </vt:variant>
      <vt:variant>
        <vt:lpwstr>_ENREF_80</vt:lpwstr>
      </vt:variant>
      <vt:variant>
        <vt:i4>4390962</vt:i4>
      </vt:variant>
      <vt:variant>
        <vt:i4>1935</vt:i4>
      </vt:variant>
      <vt:variant>
        <vt:i4>0</vt:i4>
      </vt:variant>
      <vt:variant>
        <vt:i4>5</vt:i4>
      </vt:variant>
      <vt:variant>
        <vt:lpwstr/>
      </vt:variant>
      <vt:variant>
        <vt:lpwstr>_ENREF_29</vt:lpwstr>
      </vt:variant>
      <vt:variant>
        <vt:i4>4390962</vt:i4>
      </vt:variant>
      <vt:variant>
        <vt:i4>1929</vt:i4>
      </vt:variant>
      <vt:variant>
        <vt:i4>0</vt:i4>
      </vt:variant>
      <vt:variant>
        <vt:i4>5</vt:i4>
      </vt:variant>
      <vt:variant>
        <vt:lpwstr/>
      </vt:variant>
      <vt:variant>
        <vt:lpwstr>_ENREF_29</vt:lpwstr>
      </vt:variant>
      <vt:variant>
        <vt:i4>4522044</vt:i4>
      </vt:variant>
      <vt:variant>
        <vt:i4>1923</vt:i4>
      </vt:variant>
      <vt:variant>
        <vt:i4>0</vt:i4>
      </vt:variant>
      <vt:variant>
        <vt:i4>5</vt:i4>
      </vt:variant>
      <vt:variant>
        <vt:lpwstr/>
      </vt:variant>
      <vt:variant>
        <vt:lpwstr>_ENREF_47</vt:lpwstr>
      </vt:variant>
      <vt:variant>
        <vt:i4>4390962</vt:i4>
      </vt:variant>
      <vt:variant>
        <vt:i4>1917</vt:i4>
      </vt:variant>
      <vt:variant>
        <vt:i4>0</vt:i4>
      </vt:variant>
      <vt:variant>
        <vt:i4>5</vt:i4>
      </vt:variant>
      <vt:variant>
        <vt:lpwstr/>
      </vt:variant>
      <vt:variant>
        <vt:lpwstr>_ENREF_29</vt:lpwstr>
      </vt:variant>
      <vt:variant>
        <vt:i4>4325435</vt:i4>
      </vt:variant>
      <vt:variant>
        <vt:i4>1911</vt:i4>
      </vt:variant>
      <vt:variant>
        <vt:i4>0</vt:i4>
      </vt:variant>
      <vt:variant>
        <vt:i4>5</vt:i4>
      </vt:variant>
      <vt:variant>
        <vt:lpwstr/>
      </vt:variant>
      <vt:variant>
        <vt:lpwstr>_ENREF_30</vt:lpwstr>
      </vt:variant>
      <vt:variant>
        <vt:i4>4390962</vt:i4>
      </vt:variant>
      <vt:variant>
        <vt:i4>1902</vt:i4>
      </vt:variant>
      <vt:variant>
        <vt:i4>0</vt:i4>
      </vt:variant>
      <vt:variant>
        <vt:i4>5</vt:i4>
      </vt:variant>
      <vt:variant>
        <vt:lpwstr/>
      </vt:variant>
      <vt:variant>
        <vt:lpwstr>_ENREF_29</vt:lpwstr>
      </vt:variant>
      <vt:variant>
        <vt:i4>4390962</vt:i4>
      </vt:variant>
      <vt:variant>
        <vt:i4>1893</vt:i4>
      </vt:variant>
      <vt:variant>
        <vt:i4>0</vt:i4>
      </vt:variant>
      <vt:variant>
        <vt:i4>5</vt:i4>
      </vt:variant>
      <vt:variant>
        <vt:lpwstr/>
      </vt:variant>
      <vt:variant>
        <vt:lpwstr>_ENREF_29</vt:lpwstr>
      </vt:variant>
      <vt:variant>
        <vt:i4>7667775</vt:i4>
      </vt:variant>
      <vt:variant>
        <vt:i4>1887</vt:i4>
      </vt:variant>
      <vt:variant>
        <vt:i4>0</vt:i4>
      </vt:variant>
      <vt:variant>
        <vt:i4>5</vt:i4>
      </vt:variant>
      <vt:variant>
        <vt:lpwstr/>
      </vt:variant>
      <vt:variant>
        <vt:lpwstr>_ENREF_145</vt:lpwstr>
      </vt:variant>
      <vt:variant>
        <vt:i4>4784187</vt:i4>
      </vt:variant>
      <vt:variant>
        <vt:i4>1884</vt:i4>
      </vt:variant>
      <vt:variant>
        <vt:i4>0</vt:i4>
      </vt:variant>
      <vt:variant>
        <vt:i4>5</vt:i4>
      </vt:variant>
      <vt:variant>
        <vt:lpwstr/>
      </vt:variant>
      <vt:variant>
        <vt:lpwstr>_ENREF_80</vt:lpwstr>
      </vt:variant>
      <vt:variant>
        <vt:i4>4653117</vt:i4>
      </vt:variant>
      <vt:variant>
        <vt:i4>1876</vt:i4>
      </vt:variant>
      <vt:variant>
        <vt:i4>0</vt:i4>
      </vt:variant>
      <vt:variant>
        <vt:i4>5</vt:i4>
      </vt:variant>
      <vt:variant>
        <vt:lpwstr/>
      </vt:variant>
      <vt:variant>
        <vt:lpwstr>_ENREF_66</vt:lpwstr>
      </vt:variant>
      <vt:variant>
        <vt:i4>7602232</vt:i4>
      </vt:variant>
      <vt:variant>
        <vt:i4>1870</vt:i4>
      </vt:variant>
      <vt:variant>
        <vt:i4>0</vt:i4>
      </vt:variant>
      <vt:variant>
        <vt:i4>5</vt:i4>
      </vt:variant>
      <vt:variant>
        <vt:lpwstr/>
      </vt:variant>
      <vt:variant>
        <vt:lpwstr>_ENREF_134</vt:lpwstr>
      </vt:variant>
      <vt:variant>
        <vt:i4>4325427</vt:i4>
      </vt:variant>
      <vt:variant>
        <vt:i4>1867</vt:i4>
      </vt:variant>
      <vt:variant>
        <vt:i4>0</vt:i4>
      </vt:variant>
      <vt:variant>
        <vt:i4>5</vt:i4>
      </vt:variant>
      <vt:variant>
        <vt:lpwstr/>
      </vt:variant>
      <vt:variant>
        <vt:lpwstr>_ENREF_38</vt:lpwstr>
      </vt:variant>
      <vt:variant>
        <vt:i4>4653117</vt:i4>
      </vt:variant>
      <vt:variant>
        <vt:i4>1859</vt:i4>
      </vt:variant>
      <vt:variant>
        <vt:i4>0</vt:i4>
      </vt:variant>
      <vt:variant>
        <vt:i4>5</vt:i4>
      </vt:variant>
      <vt:variant>
        <vt:lpwstr/>
      </vt:variant>
      <vt:variant>
        <vt:lpwstr>_ENREF_66</vt:lpwstr>
      </vt:variant>
      <vt:variant>
        <vt:i4>4390962</vt:i4>
      </vt:variant>
      <vt:variant>
        <vt:i4>1853</vt:i4>
      </vt:variant>
      <vt:variant>
        <vt:i4>0</vt:i4>
      </vt:variant>
      <vt:variant>
        <vt:i4>5</vt:i4>
      </vt:variant>
      <vt:variant>
        <vt:lpwstr/>
      </vt:variant>
      <vt:variant>
        <vt:lpwstr>_ENREF_29</vt:lpwstr>
      </vt:variant>
      <vt:variant>
        <vt:i4>4522043</vt:i4>
      </vt:variant>
      <vt:variant>
        <vt:i4>1847</vt:i4>
      </vt:variant>
      <vt:variant>
        <vt:i4>0</vt:i4>
      </vt:variant>
      <vt:variant>
        <vt:i4>5</vt:i4>
      </vt:variant>
      <vt:variant>
        <vt:lpwstr/>
      </vt:variant>
      <vt:variant>
        <vt:lpwstr>_ENREF_40</vt:lpwstr>
      </vt:variant>
      <vt:variant>
        <vt:i4>7471162</vt:i4>
      </vt:variant>
      <vt:variant>
        <vt:i4>1838</vt:i4>
      </vt:variant>
      <vt:variant>
        <vt:i4>0</vt:i4>
      </vt:variant>
      <vt:variant>
        <vt:i4>5</vt:i4>
      </vt:variant>
      <vt:variant>
        <vt:lpwstr/>
      </vt:variant>
      <vt:variant>
        <vt:lpwstr>_ENREF_112</vt:lpwstr>
      </vt:variant>
      <vt:variant>
        <vt:i4>7471162</vt:i4>
      </vt:variant>
      <vt:variant>
        <vt:i4>1829</vt:i4>
      </vt:variant>
      <vt:variant>
        <vt:i4>0</vt:i4>
      </vt:variant>
      <vt:variant>
        <vt:i4>5</vt:i4>
      </vt:variant>
      <vt:variant>
        <vt:lpwstr/>
      </vt:variant>
      <vt:variant>
        <vt:lpwstr>_ENREF_112</vt:lpwstr>
      </vt:variant>
      <vt:variant>
        <vt:i4>4390962</vt:i4>
      </vt:variant>
      <vt:variant>
        <vt:i4>1820</vt:i4>
      </vt:variant>
      <vt:variant>
        <vt:i4>0</vt:i4>
      </vt:variant>
      <vt:variant>
        <vt:i4>5</vt:i4>
      </vt:variant>
      <vt:variant>
        <vt:lpwstr/>
      </vt:variant>
      <vt:variant>
        <vt:lpwstr>_ENREF_29</vt:lpwstr>
      </vt:variant>
      <vt:variant>
        <vt:i4>4718650</vt:i4>
      </vt:variant>
      <vt:variant>
        <vt:i4>1808</vt:i4>
      </vt:variant>
      <vt:variant>
        <vt:i4>0</vt:i4>
      </vt:variant>
      <vt:variant>
        <vt:i4>5</vt:i4>
      </vt:variant>
      <vt:variant>
        <vt:lpwstr/>
      </vt:variant>
      <vt:variant>
        <vt:lpwstr>_ENREF_91</vt:lpwstr>
      </vt:variant>
      <vt:variant>
        <vt:i4>4718650</vt:i4>
      </vt:variant>
      <vt:variant>
        <vt:i4>1800</vt:i4>
      </vt:variant>
      <vt:variant>
        <vt:i4>0</vt:i4>
      </vt:variant>
      <vt:variant>
        <vt:i4>5</vt:i4>
      </vt:variant>
      <vt:variant>
        <vt:lpwstr/>
      </vt:variant>
      <vt:variant>
        <vt:lpwstr>_ENREF_91</vt:lpwstr>
      </vt:variant>
      <vt:variant>
        <vt:i4>4194366</vt:i4>
      </vt:variant>
      <vt:variant>
        <vt:i4>1792</vt:i4>
      </vt:variant>
      <vt:variant>
        <vt:i4>0</vt:i4>
      </vt:variant>
      <vt:variant>
        <vt:i4>5</vt:i4>
      </vt:variant>
      <vt:variant>
        <vt:lpwstr/>
      </vt:variant>
      <vt:variant>
        <vt:lpwstr>_ENREF_15</vt:lpwstr>
      </vt:variant>
      <vt:variant>
        <vt:i4>4390962</vt:i4>
      </vt:variant>
      <vt:variant>
        <vt:i4>1784</vt:i4>
      </vt:variant>
      <vt:variant>
        <vt:i4>0</vt:i4>
      </vt:variant>
      <vt:variant>
        <vt:i4>5</vt:i4>
      </vt:variant>
      <vt:variant>
        <vt:lpwstr/>
      </vt:variant>
      <vt:variant>
        <vt:lpwstr>_ENREF_29</vt:lpwstr>
      </vt:variant>
      <vt:variant>
        <vt:i4>4390962</vt:i4>
      </vt:variant>
      <vt:variant>
        <vt:i4>1778</vt:i4>
      </vt:variant>
      <vt:variant>
        <vt:i4>0</vt:i4>
      </vt:variant>
      <vt:variant>
        <vt:i4>5</vt:i4>
      </vt:variant>
      <vt:variant>
        <vt:lpwstr/>
      </vt:variant>
      <vt:variant>
        <vt:lpwstr>_ENREF_29</vt:lpwstr>
      </vt:variant>
      <vt:variant>
        <vt:i4>7536703</vt:i4>
      </vt:variant>
      <vt:variant>
        <vt:i4>1772</vt:i4>
      </vt:variant>
      <vt:variant>
        <vt:i4>0</vt:i4>
      </vt:variant>
      <vt:variant>
        <vt:i4>5</vt:i4>
      </vt:variant>
      <vt:variant>
        <vt:lpwstr/>
      </vt:variant>
      <vt:variant>
        <vt:lpwstr>_ENREF_143</vt:lpwstr>
      </vt:variant>
      <vt:variant>
        <vt:i4>4522035</vt:i4>
      </vt:variant>
      <vt:variant>
        <vt:i4>1764</vt:i4>
      </vt:variant>
      <vt:variant>
        <vt:i4>0</vt:i4>
      </vt:variant>
      <vt:variant>
        <vt:i4>5</vt:i4>
      </vt:variant>
      <vt:variant>
        <vt:lpwstr/>
      </vt:variant>
      <vt:variant>
        <vt:lpwstr>_ENREF_48</vt:lpwstr>
      </vt:variant>
      <vt:variant>
        <vt:i4>4522044</vt:i4>
      </vt:variant>
      <vt:variant>
        <vt:i4>1758</vt:i4>
      </vt:variant>
      <vt:variant>
        <vt:i4>0</vt:i4>
      </vt:variant>
      <vt:variant>
        <vt:i4>5</vt:i4>
      </vt:variant>
      <vt:variant>
        <vt:lpwstr/>
      </vt:variant>
      <vt:variant>
        <vt:lpwstr>_ENREF_47</vt:lpwstr>
      </vt:variant>
      <vt:variant>
        <vt:i4>4522044</vt:i4>
      </vt:variant>
      <vt:variant>
        <vt:i4>1752</vt:i4>
      </vt:variant>
      <vt:variant>
        <vt:i4>0</vt:i4>
      </vt:variant>
      <vt:variant>
        <vt:i4>5</vt:i4>
      </vt:variant>
      <vt:variant>
        <vt:lpwstr/>
      </vt:variant>
      <vt:variant>
        <vt:lpwstr>_ENREF_47</vt:lpwstr>
      </vt:variant>
      <vt:variant>
        <vt:i4>7864376</vt:i4>
      </vt:variant>
      <vt:variant>
        <vt:i4>1746</vt:i4>
      </vt:variant>
      <vt:variant>
        <vt:i4>0</vt:i4>
      </vt:variant>
      <vt:variant>
        <vt:i4>5</vt:i4>
      </vt:variant>
      <vt:variant>
        <vt:lpwstr/>
      </vt:variant>
      <vt:variant>
        <vt:lpwstr>_ENREF_138</vt:lpwstr>
      </vt:variant>
      <vt:variant>
        <vt:i4>4587571</vt:i4>
      </vt:variant>
      <vt:variant>
        <vt:i4>1743</vt:i4>
      </vt:variant>
      <vt:variant>
        <vt:i4>0</vt:i4>
      </vt:variant>
      <vt:variant>
        <vt:i4>5</vt:i4>
      </vt:variant>
      <vt:variant>
        <vt:lpwstr/>
      </vt:variant>
      <vt:variant>
        <vt:lpwstr>_ENREF_78</vt:lpwstr>
      </vt:variant>
      <vt:variant>
        <vt:i4>4522044</vt:i4>
      </vt:variant>
      <vt:variant>
        <vt:i4>1740</vt:i4>
      </vt:variant>
      <vt:variant>
        <vt:i4>0</vt:i4>
      </vt:variant>
      <vt:variant>
        <vt:i4>5</vt:i4>
      </vt:variant>
      <vt:variant>
        <vt:lpwstr/>
      </vt:variant>
      <vt:variant>
        <vt:lpwstr>_ENREF_47</vt:lpwstr>
      </vt:variant>
      <vt:variant>
        <vt:i4>4194363</vt:i4>
      </vt:variant>
      <vt:variant>
        <vt:i4>1732</vt:i4>
      </vt:variant>
      <vt:variant>
        <vt:i4>0</vt:i4>
      </vt:variant>
      <vt:variant>
        <vt:i4>5</vt:i4>
      </vt:variant>
      <vt:variant>
        <vt:lpwstr/>
      </vt:variant>
      <vt:variant>
        <vt:lpwstr>_ENREF_10</vt:lpwstr>
      </vt:variant>
      <vt:variant>
        <vt:i4>4522044</vt:i4>
      </vt:variant>
      <vt:variant>
        <vt:i4>1726</vt:i4>
      </vt:variant>
      <vt:variant>
        <vt:i4>0</vt:i4>
      </vt:variant>
      <vt:variant>
        <vt:i4>5</vt:i4>
      </vt:variant>
      <vt:variant>
        <vt:lpwstr/>
      </vt:variant>
      <vt:variant>
        <vt:lpwstr>_ENREF_47</vt:lpwstr>
      </vt:variant>
      <vt:variant>
        <vt:i4>4194360</vt:i4>
      </vt:variant>
      <vt:variant>
        <vt:i4>1720</vt:i4>
      </vt:variant>
      <vt:variant>
        <vt:i4>0</vt:i4>
      </vt:variant>
      <vt:variant>
        <vt:i4>5</vt:i4>
      </vt:variant>
      <vt:variant>
        <vt:lpwstr/>
      </vt:variant>
      <vt:variant>
        <vt:lpwstr>_ENREF_13</vt:lpwstr>
      </vt:variant>
      <vt:variant>
        <vt:i4>4718649</vt:i4>
      </vt:variant>
      <vt:variant>
        <vt:i4>1717</vt:i4>
      </vt:variant>
      <vt:variant>
        <vt:i4>0</vt:i4>
      </vt:variant>
      <vt:variant>
        <vt:i4>5</vt:i4>
      </vt:variant>
      <vt:variant>
        <vt:lpwstr/>
      </vt:variant>
      <vt:variant>
        <vt:lpwstr>_ENREF_92</vt:lpwstr>
      </vt:variant>
      <vt:variant>
        <vt:i4>4587570</vt:i4>
      </vt:variant>
      <vt:variant>
        <vt:i4>1711</vt:i4>
      </vt:variant>
      <vt:variant>
        <vt:i4>0</vt:i4>
      </vt:variant>
      <vt:variant>
        <vt:i4>5</vt:i4>
      </vt:variant>
      <vt:variant>
        <vt:lpwstr/>
      </vt:variant>
      <vt:variant>
        <vt:lpwstr>_ENREF_79</vt:lpwstr>
      </vt:variant>
      <vt:variant>
        <vt:i4>4522035</vt:i4>
      </vt:variant>
      <vt:variant>
        <vt:i4>1705</vt:i4>
      </vt:variant>
      <vt:variant>
        <vt:i4>0</vt:i4>
      </vt:variant>
      <vt:variant>
        <vt:i4>5</vt:i4>
      </vt:variant>
      <vt:variant>
        <vt:lpwstr/>
      </vt:variant>
      <vt:variant>
        <vt:lpwstr>_ENREF_48</vt:lpwstr>
      </vt:variant>
      <vt:variant>
        <vt:i4>4390962</vt:i4>
      </vt:variant>
      <vt:variant>
        <vt:i4>1699</vt:i4>
      </vt:variant>
      <vt:variant>
        <vt:i4>0</vt:i4>
      </vt:variant>
      <vt:variant>
        <vt:i4>5</vt:i4>
      </vt:variant>
      <vt:variant>
        <vt:lpwstr/>
      </vt:variant>
      <vt:variant>
        <vt:lpwstr>_ENREF_29</vt:lpwstr>
      </vt:variant>
      <vt:variant>
        <vt:i4>7536698</vt:i4>
      </vt:variant>
      <vt:variant>
        <vt:i4>1693</vt:i4>
      </vt:variant>
      <vt:variant>
        <vt:i4>0</vt:i4>
      </vt:variant>
      <vt:variant>
        <vt:i4>5</vt:i4>
      </vt:variant>
      <vt:variant>
        <vt:lpwstr/>
      </vt:variant>
      <vt:variant>
        <vt:lpwstr>_ENREF_113</vt:lpwstr>
      </vt:variant>
      <vt:variant>
        <vt:i4>7536698</vt:i4>
      </vt:variant>
      <vt:variant>
        <vt:i4>1681</vt:i4>
      </vt:variant>
      <vt:variant>
        <vt:i4>0</vt:i4>
      </vt:variant>
      <vt:variant>
        <vt:i4>5</vt:i4>
      </vt:variant>
      <vt:variant>
        <vt:lpwstr/>
      </vt:variant>
      <vt:variant>
        <vt:lpwstr>_ENREF_113</vt:lpwstr>
      </vt:variant>
      <vt:variant>
        <vt:i4>7340090</vt:i4>
      </vt:variant>
      <vt:variant>
        <vt:i4>1675</vt:i4>
      </vt:variant>
      <vt:variant>
        <vt:i4>0</vt:i4>
      </vt:variant>
      <vt:variant>
        <vt:i4>5</vt:i4>
      </vt:variant>
      <vt:variant>
        <vt:lpwstr/>
      </vt:variant>
      <vt:variant>
        <vt:lpwstr>_ENREF_110</vt:lpwstr>
      </vt:variant>
      <vt:variant>
        <vt:i4>7864379</vt:i4>
      </vt:variant>
      <vt:variant>
        <vt:i4>1669</vt:i4>
      </vt:variant>
      <vt:variant>
        <vt:i4>0</vt:i4>
      </vt:variant>
      <vt:variant>
        <vt:i4>5</vt:i4>
      </vt:variant>
      <vt:variant>
        <vt:lpwstr/>
      </vt:variant>
      <vt:variant>
        <vt:lpwstr>_ENREF_108</vt:lpwstr>
      </vt:variant>
      <vt:variant>
        <vt:i4>7340090</vt:i4>
      </vt:variant>
      <vt:variant>
        <vt:i4>1663</vt:i4>
      </vt:variant>
      <vt:variant>
        <vt:i4>0</vt:i4>
      </vt:variant>
      <vt:variant>
        <vt:i4>5</vt:i4>
      </vt:variant>
      <vt:variant>
        <vt:lpwstr/>
      </vt:variant>
      <vt:variant>
        <vt:lpwstr>_ENREF_110</vt:lpwstr>
      </vt:variant>
      <vt:variant>
        <vt:i4>7340090</vt:i4>
      </vt:variant>
      <vt:variant>
        <vt:i4>1657</vt:i4>
      </vt:variant>
      <vt:variant>
        <vt:i4>0</vt:i4>
      </vt:variant>
      <vt:variant>
        <vt:i4>5</vt:i4>
      </vt:variant>
      <vt:variant>
        <vt:lpwstr/>
      </vt:variant>
      <vt:variant>
        <vt:lpwstr>_ENREF_110</vt:lpwstr>
      </vt:variant>
      <vt:variant>
        <vt:i4>7471162</vt:i4>
      </vt:variant>
      <vt:variant>
        <vt:i4>1651</vt:i4>
      </vt:variant>
      <vt:variant>
        <vt:i4>0</vt:i4>
      </vt:variant>
      <vt:variant>
        <vt:i4>5</vt:i4>
      </vt:variant>
      <vt:variant>
        <vt:lpwstr/>
      </vt:variant>
      <vt:variant>
        <vt:lpwstr>_ENREF_112</vt:lpwstr>
      </vt:variant>
      <vt:variant>
        <vt:i4>7471162</vt:i4>
      </vt:variant>
      <vt:variant>
        <vt:i4>1642</vt:i4>
      </vt:variant>
      <vt:variant>
        <vt:i4>0</vt:i4>
      </vt:variant>
      <vt:variant>
        <vt:i4>5</vt:i4>
      </vt:variant>
      <vt:variant>
        <vt:lpwstr/>
      </vt:variant>
      <vt:variant>
        <vt:lpwstr>_ENREF_112</vt:lpwstr>
      </vt:variant>
      <vt:variant>
        <vt:i4>7340090</vt:i4>
      </vt:variant>
      <vt:variant>
        <vt:i4>1633</vt:i4>
      </vt:variant>
      <vt:variant>
        <vt:i4>0</vt:i4>
      </vt:variant>
      <vt:variant>
        <vt:i4>5</vt:i4>
      </vt:variant>
      <vt:variant>
        <vt:lpwstr/>
      </vt:variant>
      <vt:variant>
        <vt:lpwstr>_ENREF_110</vt:lpwstr>
      </vt:variant>
      <vt:variant>
        <vt:i4>7929884</vt:i4>
      </vt:variant>
      <vt:variant>
        <vt:i4>1628</vt:i4>
      </vt:variant>
      <vt:variant>
        <vt:i4>0</vt:i4>
      </vt:variant>
      <vt:variant>
        <vt:i4>5</vt:i4>
      </vt:variant>
      <vt:variant>
        <vt:lpwstr>https://www.ebs.tga.gov.au/</vt:lpwstr>
      </vt:variant>
      <vt:variant>
        <vt:lpwstr/>
      </vt:variant>
      <vt:variant>
        <vt:i4>7536698</vt:i4>
      </vt:variant>
      <vt:variant>
        <vt:i4>1621</vt:i4>
      </vt:variant>
      <vt:variant>
        <vt:i4>0</vt:i4>
      </vt:variant>
      <vt:variant>
        <vt:i4>5</vt:i4>
      </vt:variant>
      <vt:variant>
        <vt:lpwstr/>
      </vt:variant>
      <vt:variant>
        <vt:lpwstr>_ENREF_113</vt:lpwstr>
      </vt:variant>
      <vt:variant>
        <vt:i4>4325435</vt:i4>
      </vt:variant>
      <vt:variant>
        <vt:i4>1615</vt:i4>
      </vt:variant>
      <vt:variant>
        <vt:i4>0</vt:i4>
      </vt:variant>
      <vt:variant>
        <vt:i4>5</vt:i4>
      </vt:variant>
      <vt:variant>
        <vt:lpwstr/>
      </vt:variant>
      <vt:variant>
        <vt:lpwstr>_ENREF_30</vt:lpwstr>
      </vt:variant>
      <vt:variant>
        <vt:i4>4390962</vt:i4>
      </vt:variant>
      <vt:variant>
        <vt:i4>1606</vt:i4>
      </vt:variant>
      <vt:variant>
        <vt:i4>0</vt:i4>
      </vt:variant>
      <vt:variant>
        <vt:i4>5</vt:i4>
      </vt:variant>
      <vt:variant>
        <vt:lpwstr/>
      </vt:variant>
      <vt:variant>
        <vt:lpwstr>_ENREF_29</vt:lpwstr>
      </vt:variant>
      <vt:variant>
        <vt:i4>7340090</vt:i4>
      </vt:variant>
      <vt:variant>
        <vt:i4>1600</vt:i4>
      </vt:variant>
      <vt:variant>
        <vt:i4>0</vt:i4>
      </vt:variant>
      <vt:variant>
        <vt:i4>5</vt:i4>
      </vt:variant>
      <vt:variant>
        <vt:lpwstr/>
      </vt:variant>
      <vt:variant>
        <vt:lpwstr>_ENREF_110</vt:lpwstr>
      </vt:variant>
      <vt:variant>
        <vt:i4>7536699</vt:i4>
      </vt:variant>
      <vt:variant>
        <vt:i4>1594</vt:i4>
      </vt:variant>
      <vt:variant>
        <vt:i4>0</vt:i4>
      </vt:variant>
      <vt:variant>
        <vt:i4>5</vt:i4>
      </vt:variant>
      <vt:variant>
        <vt:lpwstr/>
      </vt:variant>
      <vt:variant>
        <vt:lpwstr>_ENREF_103</vt:lpwstr>
      </vt:variant>
      <vt:variant>
        <vt:i4>7602235</vt:i4>
      </vt:variant>
      <vt:variant>
        <vt:i4>1588</vt:i4>
      </vt:variant>
      <vt:variant>
        <vt:i4>0</vt:i4>
      </vt:variant>
      <vt:variant>
        <vt:i4>5</vt:i4>
      </vt:variant>
      <vt:variant>
        <vt:lpwstr/>
      </vt:variant>
      <vt:variant>
        <vt:lpwstr>_ENREF_104</vt:lpwstr>
      </vt:variant>
      <vt:variant>
        <vt:i4>4390973</vt:i4>
      </vt:variant>
      <vt:variant>
        <vt:i4>1582</vt:i4>
      </vt:variant>
      <vt:variant>
        <vt:i4>0</vt:i4>
      </vt:variant>
      <vt:variant>
        <vt:i4>5</vt:i4>
      </vt:variant>
      <vt:variant>
        <vt:lpwstr/>
      </vt:variant>
      <vt:variant>
        <vt:lpwstr>_ENREF_26</vt:lpwstr>
      </vt:variant>
      <vt:variant>
        <vt:i4>4587571</vt:i4>
      </vt:variant>
      <vt:variant>
        <vt:i4>1576</vt:i4>
      </vt:variant>
      <vt:variant>
        <vt:i4>0</vt:i4>
      </vt:variant>
      <vt:variant>
        <vt:i4>5</vt:i4>
      </vt:variant>
      <vt:variant>
        <vt:lpwstr/>
      </vt:variant>
      <vt:variant>
        <vt:lpwstr>_ENREF_78</vt:lpwstr>
      </vt:variant>
      <vt:variant>
        <vt:i4>7733307</vt:i4>
      </vt:variant>
      <vt:variant>
        <vt:i4>1573</vt:i4>
      </vt:variant>
      <vt:variant>
        <vt:i4>0</vt:i4>
      </vt:variant>
      <vt:variant>
        <vt:i4>5</vt:i4>
      </vt:variant>
      <vt:variant>
        <vt:lpwstr/>
      </vt:variant>
      <vt:variant>
        <vt:lpwstr>_ENREF_106</vt:lpwstr>
      </vt:variant>
      <vt:variant>
        <vt:i4>4390923</vt:i4>
      </vt:variant>
      <vt:variant>
        <vt:i4>1559</vt:i4>
      </vt:variant>
      <vt:variant>
        <vt:i4>0</vt:i4>
      </vt:variant>
      <vt:variant>
        <vt:i4>5</vt:i4>
      </vt:variant>
      <vt:variant>
        <vt:lpwstr/>
      </vt:variant>
      <vt:variant>
        <vt:lpwstr>_ENREF_2</vt:lpwstr>
      </vt:variant>
      <vt:variant>
        <vt:i4>4522040</vt:i4>
      </vt:variant>
      <vt:variant>
        <vt:i4>1529</vt:i4>
      </vt:variant>
      <vt:variant>
        <vt:i4>0</vt:i4>
      </vt:variant>
      <vt:variant>
        <vt:i4>5</vt:i4>
      </vt:variant>
      <vt:variant>
        <vt:lpwstr/>
      </vt:variant>
      <vt:variant>
        <vt:lpwstr>_ENREF_43</vt:lpwstr>
      </vt:variant>
      <vt:variant>
        <vt:i4>7340088</vt:i4>
      </vt:variant>
      <vt:variant>
        <vt:i4>1523</vt:i4>
      </vt:variant>
      <vt:variant>
        <vt:i4>0</vt:i4>
      </vt:variant>
      <vt:variant>
        <vt:i4>5</vt:i4>
      </vt:variant>
      <vt:variant>
        <vt:lpwstr/>
      </vt:variant>
      <vt:variant>
        <vt:lpwstr>_ENREF_130</vt:lpwstr>
      </vt:variant>
      <vt:variant>
        <vt:i4>7864378</vt:i4>
      </vt:variant>
      <vt:variant>
        <vt:i4>1511</vt:i4>
      </vt:variant>
      <vt:variant>
        <vt:i4>0</vt:i4>
      </vt:variant>
      <vt:variant>
        <vt:i4>5</vt:i4>
      </vt:variant>
      <vt:variant>
        <vt:lpwstr/>
      </vt:variant>
      <vt:variant>
        <vt:lpwstr>_ENREF_118</vt:lpwstr>
      </vt:variant>
      <vt:variant>
        <vt:i4>7340088</vt:i4>
      </vt:variant>
      <vt:variant>
        <vt:i4>1507</vt:i4>
      </vt:variant>
      <vt:variant>
        <vt:i4>0</vt:i4>
      </vt:variant>
      <vt:variant>
        <vt:i4>5</vt:i4>
      </vt:variant>
      <vt:variant>
        <vt:lpwstr/>
      </vt:variant>
      <vt:variant>
        <vt:lpwstr>_ENREF_130</vt:lpwstr>
      </vt:variant>
      <vt:variant>
        <vt:i4>7471162</vt:i4>
      </vt:variant>
      <vt:variant>
        <vt:i4>1496</vt:i4>
      </vt:variant>
      <vt:variant>
        <vt:i4>0</vt:i4>
      </vt:variant>
      <vt:variant>
        <vt:i4>5</vt:i4>
      </vt:variant>
      <vt:variant>
        <vt:lpwstr/>
      </vt:variant>
      <vt:variant>
        <vt:lpwstr>_ENREF_112</vt:lpwstr>
      </vt:variant>
      <vt:variant>
        <vt:i4>7471162</vt:i4>
      </vt:variant>
      <vt:variant>
        <vt:i4>1490</vt:i4>
      </vt:variant>
      <vt:variant>
        <vt:i4>0</vt:i4>
      </vt:variant>
      <vt:variant>
        <vt:i4>5</vt:i4>
      </vt:variant>
      <vt:variant>
        <vt:lpwstr/>
      </vt:variant>
      <vt:variant>
        <vt:lpwstr>_ENREF_112</vt:lpwstr>
      </vt:variant>
      <vt:variant>
        <vt:i4>1703985</vt:i4>
      </vt:variant>
      <vt:variant>
        <vt:i4>1475</vt:i4>
      </vt:variant>
      <vt:variant>
        <vt:i4>0</vt:i4>
      </vt:variant>
      <vt:variant>
        <vt:i4>5</vt:i4>
      </vt:variant>
      <vt:variant>
        <vt:lpwstr/>
      </vt:variant>
      <vt:variant>
        <vt:lpwstr>_Toc14352519</vt:lpwstr>
      </vt:variant>
      <vt:variant>
        <vt:i4>1769521</vt:i4>
      </vt:variant>
      <vt:variant>
        <vt:i4>1469</vt:i4>
      </vt:variant>
      <vt:variant>
        <vt:i4>0</vt:i4>
      </vt:variant>
      <vt:variant>
        <vt:i4>5</vt:i4>
      </vt:variant>
      <vt:variant>
        <vt:lpwstr/>
      </vt:variant>
      <vt:variant>
        <vt:lpwstr>_Toc14352518</vt:lpwstr>
      </vt:variant>
      <vt:variant>
        <vt:i4>1310769</vt:i4>
      </vt:variant>
      <vt:variant>
        <vt:i4>1463</vt:i4>
      </vt:variant>
      <vt:variant>
        <vt:i4>0</vt:i4>
      </vt:variant>
      <vt:variant>
        <vt:i4>5</vt:i4>
      </vt:variant>
      <vt:variant>
        <vt:lpwstr/>
      </vt:variant>
      <vt:variant>
        <vt:lpwstr>_Toc14352517</vt:lpwstr>
      </vt:variant>
      <vt:variant>
        <vt:i4>1376305</vt:i4>
      </vt:variant>
      <vt:variant>
        <vt:i4>1457</vt:i4>
      </vt:variant>
      <vt:variant>
        <vt:i4>0</vt:i4>
      </vt:variant>
      <vt:variant>
        <vt:i4>5</vt:i4>
      </vt:variant>
      <vt:variant>
        <vt:lpwstr/>
      </vt:variant>
      <vt:variant>
        <vt:lpwstr>_Toc14352516</vt:lpwstr>
      </vt:variant>
      <vt:variant>
        <vt:i4>1441841</vt:i4>
      </vt:variant>
      <vt:variant>
        <vt:i4>1451</vt:i4>
      </vt:variant>
      <vt:variant>
        <vt:i4>0</vt:i4>
      </vt:variant>
      <vt:variant>
        <vt:i4>5</vt:i4>
      </vt:variant>
      <vt:variant>
        <vt:lpwstr/>
      </vt:variant>
      <vt:variant>
        <vt:lpwstr>_Toc14352515</vt:lpwstr>
      </vt:variant>
      <vt:variant>
        <vt:i4>1507377</vt:i4>
      </vt:variant>
      <vt:variant>
        <vt:i4>1445</vt:i4>
      </vt:variant>
      <vt:variant>
        <vt:i4>0</vt:i4>
      </vt:variant>
      <vt:variant>
        <vt:i4>5</vt:i4>
      </vt:variant>
      <vt:variant>
        <vt:lpwstr/>
      </vt:variant>
      <vt:variant>
        <vt:lpwstr>_Toc14352514</vt:lpwstr>
      </vt:variant>
      <vt:variant>
        <vt:i4>1048625</vt:i4>
      </vt:variant>
      <vt:variant>
        <vt:i4>1439</vt:i4>
      </vt:variant>
      <vt:variant>
        <vt:i4>0</vt:i4>
      </vt:variant>
      <vt:variant>
        <vt:i4>5</vt:i4>
      </vt:variant>
      <vt:variant>
        <vt:lpwstr/>
      </vt:variant>
      <vt:variant>
        <vt:lpwstr>_Toc14352513</vt:lpwstr>
      </vt:variant>
      <vt:variant>
        <vt:i4>1114161</vt:i4>
      </vt:variant>
      <vt:variant>
        <vt:i4>1433</vt:i4>
      </vt:variant>
      <vt:variant>
        <vt:i4>0</vt:i4>
      </vt:variant>
      <vt:variant>
        <vt:i4>5</vt:i4>
      </vt:variant>
      <vt:variant>
        <vt:lpwstr/>
      </vt:variant>
      <vt:variant>
        <vt:lpwstr>_Toc14352512</vt:lpwstr>
      </vt:variant>
      <vt:variant>
        <vt:i4>1179697</vt:i4>
      </vt:variant>
      <vt:variant>
        <vt:i4>1427</vt:i4>
      </vt:variant>
      <vt:variant>
        <vt:i4>0</vt:i4>
      </vt:variant>
      <vt:variant>
        <vt:i4>5</vt:i4>
      </vt:variant>
      <vt:variant>
        <vt:lpwstr/>
      </vt:variant>
      <vt:variant>
        <vt:lpwstr>_Toc14352511</vt:lpwstr>
      </vt:variant>
      <vt:variant>
        <vt:i4>1245233</vt:i4>
      </vt:variant>
      <vt:variant>
        <vt:i4>1418</vt:i4>
      </vt:variant>
      <vt:variant>
        <vt:i4>0</vt:i4>
      </vt:variant>
      <vt:variant>
        <vt:i4>5</vt:i4>
      </vt:variant>
      <vt:variant>
        <vt:lpwstr/>
      </vt:variant>
      <vt:variant>
        <vt:lpwstr>_Toc14352510</vt:lpwstr>
      </vt:variant>
      <vt:variant>
        <vt:i4>1703984</vt:i4>
      </vt:variant>
      <vt:variant>
        <vt:i4>1412</vt:i4>
      </vt:variant>
      <vt:variant>
        <vt:i4>0</vt:i4>
      </vt:variant>
      <vt:variant>
        <vt:i4>5</vt:i4>
      </vt:variant>
      <vt:variant>
        <vt:lpwstr/>
      </vt:variant>
      <vt:variant>
        <vt:lpwstr>_Toc14352509</vt:lpwstr>
      </vt:variant>
      <vt:variant>
        <vt:i4>1769520</vt:i4>
      </vt:variant>
      <vt:variant>
        <vt:i4>1403</vt:i4>
      </vt:variant>
      <vt:variant>
        <vt:i4>0</vt:i4>
      </vt:variant>
      <vt:variant>
        <vt:i4>5</vt:i4>
      </vt:variant>
      <vt:variant>
        <vt:lpwstr/>
      </vt:variant>
      <vt:variant>
        <vt:lpwstr>_Toc14352508</vt:lpwstr>
      </vt:variant>
      <vt:variant>
        <vt:i4>1310768</vt:i4>
      </vt:variant>
      <vt:variant>
        <vt:i4>1397</vt:i4>
      </vt:variant>
      <vt:variant>
        <vt:i4>0</vt:i4>
      </vt:variant>
      <vt:variant>
        <vt:i4>5</vt:i4>
      </vt:variant>
      <vt:variant>
        <vt:lpwstr/>
      </vt:variant>
      <vt:variant>
        <vt:lpwstr>_Toc14352507</vt:lpwstr>
      </vt:variant>
      <vt:variant>
        <vt:i4>1376304</vt:i4>
      </vt:variant>
      <vt:variant>
        <vt:i4>1391</vt:i4>
      </vt:variant>
      <vt:variant>
        <vt:i4>0</vt:i4>
      </vt:variant>
      <vt:variant>
        <vt:i4>5</vt:i4>
      </vt:variant>
      <vt:variant>
        <vt:lpwstr/>
      </vt:variant>
      <vt:variant>
        <vt:lpwstr>_Toc14352506</vt:lpwstr>
      </vt:variant>
      <vt:variant>
        <vt:i4>1441840</vt:i4>
      </vt:variant>
      <vt:variant>
        <vt:i4>1385</vt:i4>
      </vt:variant>
      <vt:variant>
        <vt:i4>0</vt:i4>
      </vt:variant>
      <vt:variant>
        <vt:i4>5</vt:i4>
      </vt:variant>
      <vt:variant>
        <vt:lpwstr/>
      </vt:variant>
      <vt:variant>
        <vt:lpwstr>_Toc14352505</vt:lpwstr>
      </vt:variant>
      <vt:variant>
        <vt:i4>1507376</vt:i4>
      </vt:variant>
      <vt:variant>
        <vt:i4>1379</vt:i4>
      </vt:variant>
      <vt:variant>
        <vt:i4>0</vt:i4>
      </vt:variant>
      <vt:variant>
        <vt:i4>5</vt:i4>
      </vt:variant>
      <vt:variant>
        <vt:lpwstr/>
      </vt:variant>
      <vt:variant>
        <vt:lpwstr>_Toc14352504</vt:lpwstr>
      </vt:variant>
      <vt:variant>
        <vt:i4>1048624</vt:i4>
      </vt:variant>
      <vt:variant>
        <vt:i4>1373</vt:i4>
      </vt:variant>
      <vt:variant>
        <vt:i4>0</vt:i4>
      </vt:variant>
      <vt:variant>
        <vt:i4>5</vt:i4>
      </vt:variant>
      <vt:variant>
        <vt:lpwstr/>
      </vt:variant>
      <vt:variant>
        <vt:lpwstr>_Toc14352503</vt:lpwstr>
      </vt:variant>
      <vt:variant>
        <vt:i4>1114160</vt:i4>
      </vt:variant>
      <vt:variant>
        <vt:i4>1367</vt:i4>
      </vt:variant>
      <vt:variant>
        <vt:i4>0</vt:i4>
      </vt:variant>
      <vt:variant>
        <vt:i4>5</vt:i4>
      </vt:variant>
      <vt:variant>
        <vt:lpwstr/>
      </vt:variant>
      <vt:variant>
        <vt:lpwstr>_Toc14352502</vt:lpwstr>
      </vt:variant>
      <vt:variant>
        <vt:i4>1179696</vt:i4>
      </vt:variant>
      <vt:variant>
        <vt:i4>1361</vt:i4>
      </vt:variant>
      <vt:variant>
        <vt:i4>0</vt:i4>
      </vt:variant>
      <vt:variant>
        <vt:i4>5</vt:i4>
      </vt:variant>
      <vt:variant>
        <vt:lpwstr/>
      </vt:variant>
      <vt:variant>
        <vt:lpwstr>_Toc14352501</vt:lpwstr>
      </vt:variant>
      <vt:variant>
        <vt:i4>1245232</vt:i4>
      </vt:variant>
      <vt:variant>
        <vt:i4>1355</vt:i4>
      </vt:variant>
      <vt:variant>
        <vt:i4>0</vt:i4>
      </vt:variant>
      <vt:variant>
        <vt:i4>5</vt:i4>
      </vt:variant>
      <vt:variant>
        <vt:lpwstr/>
      </vt:variant>
      <vt:variant>
        <vt:lpwstr>_Toc14352500</vt:lpwstr>
      </vt:variant>
      <vt:variant>
        <vt:i4>1769529</vt:i4>
      </vt:variant>
      <vt:variant>
        <vt:i4>1349</vt:i4>
      </vt:variant>
      <vt:variant>
        <vt:i4>0</vt:i4>
      </vt:variant>
      <vt:variant>
        <vt:i4>5</vt:i4>
      </vt:variant>
      <vt:variant>
        <vt:lpwstr/>
      </vt:variant>
      <vt:variant>
        <vt:lpwstr>_Toc14352499</vt:lpwstr>
      </vt:variant>
      <vt:variant>
        <vt:i4>1703993</vt:i4>
      </vt:variant>
      <vt:variant>
        <vt:i4>1343</vt:i4>
      </vt:variant>
      <vt:variant>
        <vt:i4>0</vt:i4>
      </vt:variant>
      <vt:variant>
        <vt:i4>5</vt:i4>
      </vt:variant>
      <vt:variant>
        <vt:lpwstr/>
      </vt:variant>
      <vt:variant>
        <vt:lpwstr>_Toc14352498</vt:lpwstr>
      </vt:variant>
      <vt:variant>
        <vt:i4>1376313</vt:i4>
      </vt:variant>
      <vt:variant>
        <vt:i4>1337</vt:i4>
      </vt:variant>
      <vt:variant>
        <vt:i4>0</vt:i4>
      </vt:variant>
      <vt:variant>
        <vt:i4>5</vt:i4>
      </vt:variant>
      <vt:variant>
        <vt:lpwstr/>
      </vt:variant>
      <vt:variant>
        <vt:lpwstr>_Toc14352497</vt:lpwstr>
      </vt:variant>
      <vt:variant>
        <vt:i4>1310777</vt:i4>
      </vt:variant>
      <vt:variant>
        <vt:i4>1331</vt:i4>
      </vt:variant>
      <vt:variant>
        <vt:i4>0</vt:i4>
      </vt:variant>
      <vt:variant>
        <vt:i4>5</vt:i4>
      </vt:variant>
      <vt:variant>
        <vt:lpwstr/>
      </vt:variant>
      <vt:variant>
        <vt:lpwstr>_Toc14352496</vt:lpwstr>
      </vt:variant>
      <vt:variant>
        <vt:i4>1507385</vt:i4>
      </vt:variant>
      <vt:variant>
        <vt:i4>1325</vt:i4>
      </vt:variant>
      <vt:variant>
        <vt:i4>0</vt:i4>
      </vt:variant>
      <vt:variant>
        <vt:i4>5</vt:i4>
      </vt:variant>
      <vt:variant>
        <vt:lpwstr/>
      </vt:variant>
      <vt:variant>
        <vt:lpwstr>_Toc14352495</vt:lpwstr>
      </vt:variant>
      <vt:variant>
        <vt:i4>1441849</vt:i4>
      </vt:variant>
      <vt:variant>
        <vt:i4>1319</vt:i4>
      </vt:variant>
      <vt:variant>
        <vt:i4>0</vt:i4>
      </vt:variant>
      <vt:variant>
        <vt:i4>5</vt:i4>
      </vt:variant>
      <vt:variant>
        <vt:lpwstr/>
      </vt:variant>
      <vt:variant>
        <vt:lpwstr>_Toc14352494</vt:lpwstr>
      </vt:variant>
      <vt:variant>
        <vt:i4>1114169</vt:i4>
      </vt:variant>
      <vt:variant>
        <vt:i4>1313</vt:i4>
      </vt:variant>
      <vt:variant>
        <vt:i4>0</vt:i4>
      </vt:variant>
      <vt:variant>
        <vt:i4>5</vt:i4>
      </vt:variant>
      <vt:variant>
        <vt:lpwstr/>
      </vt:variant>
      <vt:variant>
        <vt:lpwstr>_Toc14352493</vt:lpwstr>
      </vt:variant>
      <vt:variant>
        <vt:i4>1048633</vt:i4>
      </vt:variant>
      <vt:variant>
        <vt:i4>1307</vt:i4>
      </vt:variant>
      <vt:variant>
        <vt:i4>0</vt:i4>
      </vt:variant>
      <vt:variant>
        <vt:i4>5</vt:i4>
      </vt:variant>
      <vt:variant>
        <vt:lpwstr/>
      </vt:variant>
      <vt:variant>
        <vt:lpwstr>_Toc14352492</vt:lpwstr>
      </vt:variant>
      <vt:variant>
        <vt:i4>1245241</vt:i4>
      </vt:variant>
      <vt:variant>
        <vt:i4>1301</vt:i4>
      </vt:variant>
      <vt:variant>
        <vt:i4>0</vt:i4>
      </vt:variant>
      <vt:variant>
        <vt:i4>5</vt:i4>
      </vt:variant>
      <vt:variant>
        <vt:lpwstr/>
      </vt:variant>
      <vt:variant>
        <vt:lpwstr>_Toc14352491</vt:lpwstr>
      </vt:variant>
      <vt:variant>
        <vt:i4>1179705</vt:i4>
      </vt:variant>
      <vt:variant>
        <vt:i4>1295</vt:i4>
      </vt:variant>
      <vt:variant>
        <vt:i4>0</vt:i4>
      </vt:variant>
      <vt:variant>
        <vt:i4>5</vt:i4>
      </vt:variant>
      <vt:variant>
        <vt:lpwstr/>
      </vt:variant>
      <vt:variant>
        <vt:lpwstr>_Toc14352490</vt:lpwstr>
      </vt:variant>
      <vt:variant>
        <vt:i4>1769528</vt:i4>
      </vt:variant>
      <vt:variant>
        <vt:i4>1289</vt:i4>
      </vt:variant>
      <vt:variant>
        <vt:i4>0</vt:i4>
      </vt:variant>
      <vt:variant>
        <vt:i4>5</vt:i4>
      </vt:variant>
      <vt:variant>
        <vt:lpwstr/>
      </vt:variant>
      <vt:variant>
        <vt:lpwstr>_Toc14352489</vt:lpwstr>
      </vt:variant>
      <vt:variant>
        <vt:i4>1703992</vt:i4>
      </vt:variant>
      <vt:variant>
        <vt:i4>1283</vt:i4>
      </vt:variant>
      <vt:variant>
        <vt:i4>0</vt:i4>
      </vt:variant>
      <vt:variant>
        <vt:i4>5</vt:i4>
      </vt:variant>
      <vt:variant>
        <vt:lpwstr/>
      </vt:variant>
      <vt:variant>
        <vt:lpwstr>_Toc14352488</vt:lpwstr>
      </vt:variant>
      <vt:variant>
        <vt:i4>1376312</vt:i4>
      </vt:variant>
      <vt:variant>
        <vt:i4>1277</vt:i4>
      </vt:variant>
      <vt:variant>
        <vt:i4>0</vt:i4>
      </vt:variant>
      <vt:variant>
        <vt:i4>5</vt:i4>
      </vt:variant>
      <vt:variant>
        <vt:lpwstr/>
      </vt:variant>
      <vt:variant>
        <vt:lpwstr>_Toc14352487</vt:lpwstr>
      </vt:variant>
      <vt:variant>
        <vt:i4>1310776</vt:i4>
      </vt:variant>
      <vt:variant>
        <vt:i4>1271</vt:i4>
      </vt:variant>
      <vt:variant>
        <vt:i4>0</vt:i4>
      </vt:variant>
      <vt:variant>
        <vt:i4>5</vt:i4>
      </vt:variant>
      <vt:variant>
        <vt:lpwstr/>
      </vt:variant>
      <vt:variant>
        <vt:lpwstr>_Toc14352486</vt:lpwstr>
      </vt:variant>
      <vt:variant>
        <vt:i4>1507384</vt:i4>
      </vt:variant>
      <vt:variant>
        <vt:i4>1265</vt:i4>
      </vt:variant>
      <vt:variant>
        <vt:i4>0</vt:i4>
      </vt:variant>
      <vt:variant>
        <vt:i4>5</vt:i4>
      </vt:variant>
      <vt:variant>
        <vt:lpwstr/>
      </vt:variant>
      <vt:variant>
        <vt:lpwstr>_Toc14352485</vt:lpwstr>
      </vt:variant>
      <vt:variant>
        <vt:i4>1441848</vt:i4>
      </vt:variant>
      <vt:variant>
        <vt:i4>1259</vt:i4>
      </vt:variant>
      <vt:variant>
        <vt:i4>0</vt:i4>
      </vt:variant>
      <vt:variant>
        <vt:i4>5</vt:i4>
      </vt:variant>
      <vt:variant>
        <vt:lpwstr/>
      </vt:variant>
      <vt:variant>
        <vt:lpwstr>_Toc14352484</vt:lpwstr>
      </vt:variant>
      <vt:variant>
        <vt:i4>1114168</vt:i4>
      </vt:variant>
      <vt:variant>
        <vt:i4>1253</vt:i4>
      </vt:variant>
      <vt:variant>
        <vt:i4>0</vt:i4>
      </vt:variant>
      <vt:variant>
        <vt:i4>5</vt:i4>
      </vt:variant>
      <vt:variant>
        <vt:lpwstr/>
      </vt:variant>
      <vt:variant>
        <vt:lpwstr>_Toc14352483</vt:lpwstr>
      </vt:variant>
      <vt:variant>
        <vt:i4>1048632</vt:i4>
      </vt:variant>
      <vt:variant>
        <vt:i4>1247</vt:i4>
      </vt:variant>
      <vt:variant>
        <vt:i4>0</vt:i4>
      </vt:variant>
      <vt:variant>
        <vt:i4>5</vt:i4>
      </vt:variant>
      <vt:variant>
        <vt:lpwstr/>
      </vt:variant>
      <vt:variant>
        <vt:lpwstr>_Toc14352482</vt:lpwstr>
      </vt:variant>
      <vt:variant>
        <vt:i4>1245240</vt:i4>
      </vt:variant>
      <vt:variant>
        <vt:i4>1241</vt:i4>
      </vt:variant>
      <vt:variant>
        <vt:i4>0</vt:i4>
      </vt:variant>
      <vt:variant>
        <vt:i4>5</vt:i4>
      </vt:variant>
      <vt:variant>
        <vt:lpwstr/>
      </vt:variant>
      <vt:variant>
        <vt:lpwstr>_Toc14352481</vt:lpwstr>
      </vt:variant>
      <vt:variant>
        <vt:i4>1179704</vt:i4>
      </vt:variant>
      <vt:variant>
        <vt:i4>1235</vt:i4>
      </vt:variant>
      <vt:variant>
        <vt:i4>0</vt:i4>
      </vt:variant>
      <vt:variant>
        <vt:i4>5</vt:i4>
      </vt:variant>
      <vt:variant>
        <vt:lpwstr/>
      </vt:variant>
      <vt:variant>
        <vt:lpwstr>_Toc14352480</vt:lpwstr>
      </vt:variant>
      <vt:variant>
        <vt:i4>1769527</vt:i4>
      </vt:variant>
      <vt:variant>
        <vt:i4>1229</vt:i4>
      </vt:variant>
      <vt:variant>
        <vt:i4>0</vt:i4>
      </vt:variant>
      <vt:variant>
        <vt:i4>5</vt:i4>
      </vt:variant>
      <vt:variant>
        <vt:lpwstr/>
      </vt:variant>
      <vt:variant>
        <vt:lpwstr>_Toc14352479</vt:lpwstr>
      </vt:variant>
      <vt:variant>
        <vt:i4>1703991</vt:i4>
      </vt:variant>
      <vt:variant>
        <vt:i4>1223</vt:i4>
      </vt:variant>
      <vt:variant>
        <vt:i4>0</vt:i4>
      </vt:variant>
      <vt:variant>
        <vt:i4>5</vt:i4>
      </vt:variant>
      <vt:variant>
        <vt:lpwstr/>
      </vt:variant>
      <vt:variant>
        <vt:lpwstr>_Toc14352478</vt:lpwstr>
      </vt:variant>
      <vt:variant>
        <vt:i4>1376311</vt:i4>
      </vt:variant>
      <vt:variant>
        <vt:i4>1217</vt:i4>
      </vt:variant>
      <vt:variant>
        <vt:i4>0</vt:i4>
      </vt:variant>
      <vt:variant>
        <vt:i4>5</vt:i4>
      </vt:variant>
      <vt:variant>
        <vt:lpwstr/>
      </vt:variant>
      <vt:variant>
        <vt:lpwstr>_Toc14352477</vt:lpwstr>
      </vt:variant>
      <vt:variant>
        <vt:i4>1310775</vt:i4>
      </vt:variant>
      <vt:variant>
        <vt:i4>1211</vt:i4>
      </vt:variant>
      <vt:variant>
        <vt:i4>0</vt:i4>
      </vt:variant>
      <vt:variant>
        <vt:i4>5</vt:i4>
      </vt:variant>
      <vt:variant>
        <vt:lpwstr/>
      </vt:variant>
      <vt:variant>
        <vt:lpwstr>_Toc14352476</vt:lpwstr>
      </vt:variant>
      <vt:variant>
        <vt:i4>1507383</vt:i4>
      </vt:variant>
      <vt:variant>
        <vt:i4>1205</vt:i4>
      </vt:variant>
      <vt:variant>
        <vt:i4>0</vt:i4>
      </vt:variant>
      <vt:variant>
        <vt:i4>5</vt:i4>
      </vt:variant>
      <vt:variant>
        <vt:lpwstr/>
      </vt:variant>
      <vt:variant>
        <vt:lpwstr>_Toc14352475</vt:lpwstr>
      </vt:variant>
      <vt:variant>
        <vt:i4>1441847</vt:i4>
      </vt:variant>
      <vt:variant>
        <vt:i4>1199</vt:i4>
      </vt:variant>
      <vt:variant>
        <vt:i4>0</vt:i4>
      </vt:variant>
      <vt:variant>
        <vt:i4>5</vt:i4>
      </vt:variant>
      <vt:variant>
        <vt:lpwstr/>
      </vt:variant>
      <vt:variant>
        <vt:lpwstr>_Toc14352474</vt:lpwstr>
      </vt:variant>
      <vt:variant>
        <vt:i4>1114167</vt:i4>
      </vt:variant>
      <vt:variant>
        <vt:i4>1193</vt:i4>
      </vt:variant>
      <vt:variant>
        <vt:i4>0</vt:i4>
      </vt:variant>
      <vt:variant>
        <vt:i4>5</vt:i4>
      </vt:variant>
      <vt:variant>
        <vt:lpwstr/>
      </vt:variant>
      <vt:variant>
        <vt:lpwstr>_Toc14352473</vt:lpwstr>
      </vt:variant>
      <vt:variant>
        <vt:i4>1048631</vt:i4>
      </vt:variant>
      <vt:variant>
        <vt:i4>1187</vt:i4>
      </vt:variant>
      <vt:variant>
        <vt:i4>0</vt:i4>
      </vt:variant>
      <vt:variant>
        <vt:i4>5</vt:i4>
      </vt:variant>
      <vt:variant>
        <vt:lpwstr/>
      </vt:variant>
      <vt:variant>
        <vt:lpwstr>_Toc14352472</vt:lpwstr>
      </vt:variant>
      <vt:variant>
        <vt:i4>1245239</vt:i4>
      </vt:variant>
      <vt:variant>
        <vt:i4>1181</vt:i4>
      </vt:variant>
      <vt:variant>
        <vt:i4>0</vt:i4>
      </vt:variant>
      <vt:variant>
        <vt:i4>5</vt:i4>
      </vt:variant>
      <vt:variant>
        <vt:lpwstr/>
      </vt:variant>
      <vt:variant>
        <vt:lpwstr>_Toc14352471</vt:lpwstr>
      </vt:variant>
      <vt:variant>
        <vt:i4>1179703</vt:i4>
      </vt:variant>
      <vt:variant>
        <vt:i4>1175</vt:i4>
      </vt:variant>
      <vt:variant>
        <vt:i4>0</vt:i4>
      </vt:variant>
      <vt:variant>
        <vt:i4>5</vt:i4>
      </vt:variant>
      <vt:variant>
        <vt:lpwstr/>
      </vt:variant>
      <vt:variant>
        <vt:lpwstr>_Toc14352470</vt:lpwstr>
      </vt:variant>
      <vt:variant>
        <vt:i4>1769526</vt:i4>
      </vt:variant>
      <vt:variant>
        <vt:i4>1169</vt:i4>
      </vt:variant>
      <vt:variant>
        <vt:i4>0</vt:i4>
      </vt:variant>
      <vt:variant>
        <vt:i4>5</vt:i4>
      </vt:variant>
      <vt:variant>
        <vt:lpwstr/>
      </vt:variant>
      <vt:variant>
        <vt:lpwstr>_Toc14352469</vt:lpwstr>
      </vt:variant>
      <vt:variant>
        <vt:i4>1703990</vt:i4>
      </vt:variant>
      <vt:variant>
        <vt:i4>1163</vt:i4>
      </vt:variant>
      <vt:variant>
        <vt:i4>0</vt:i4>
      </vt:variant>
      <vt:variant>
        <vt:i4>5</vt:i4>
      </vt:variant>
      <vt:variant>
        <vt:lpwstr/>
      </vt:variant>
      <vt:variant>
        <vt:lpwstr>_Toc14352468</vt:lpwstr>
      </vt:variant>
      <vt:variant>
        <vt:i4>1376310</vt:i4>
      </vt:variant>
      <vt:variant>
        <vt:i4>1157</vt:i4>
      </vt:variant>
      <vt:variant>
        <vt:i4>0</vt:i4>
      </vt:variant>
      <vt:variant>
        <vt:i4>5</vt:i4>
      </vt:variant>
      <vt:variant>
        <vt:lpwstr/>
      </vt:variant>
      <vt:variant>
        <vt:lpwstr>_Toc14352467</vt:lpwstr>
      </vt:variant>
      <vt:variant>
        <vt:i4>1310774</vt:i4>
      </vt:variant>
      <vt:variant>
        <vt:i4>1151</vt:i4>
      </vt:variant>
      <vt:variant>
        <vt:i4>0</vt:i4>
      </vt:variant>
      <vt:variant>
        <vt:i4>5</vt:i4>
      </vt:variant>
      <vt:variant>
        <vt:lpwstr/>
      </vt:variant>
      <vt:variant>
        <vt:lpwstr>_Toc14352466</vt:lpwstr>
      </vt:variant>
      <vt:variant>
        <vt:i4>1507382</vt:i4>
      </vt:variant>
      <vt:variant>
        <vt:i4>1145</vt:i4>
      </vt:variant>
      <vt:variant>
        <vt:i4>0</vt:i4>
      </vt:variant>
      <vt:variant>
        <vt:i4>5</vt:i4>
      </vt:variant>
      <vt:variant>
        <vt:lpwstr/>
      </vt:variant>
      <vt:variant>
        <vt:lpwstr>_Toc14352465</vt:lpwstr>
      </vt:variant>
      <vt:variant>
        <vt:i4>1441846</vt:i4>
      </vt:variant>
      <vt:variant>
        <vt:i4>1139</vt:i4>
      </vt:variant>
      <vt:variant>
        <vt:i4>0</vt:i4>
      </vt:variant>
      <vt:variant>
        <vt:i4>5</vt:i4>
      </vt:variant>
      <vt:variant>
        <vt:lpwstr/>
      </vt:variant>
      <vt:variant>
        <vt:lpwstr>_Toc14352464</vt:lpwstr>
      </vt:variant>
      <vt:variant>
        <vt:i4>1114166</vt:i4>
      </vt:variant>
      <vt:variant>
        <vt:i4>1133</vt:i4>
      </vt:variant>
      <vt:variant>
        <vt:i4>0</vt:i4>
      </vt:variant>
      <vt:variant>
        <vt:i4>5</vt:i4>
      </vt:variant>
      <vt:variant>
        <vt:lpwstr/>
      </vt:variant>
      <vt:variant>
        <vt:lpwstr>_Toc14352463</vt:lpwstr>
      </vt:variant>
      <vt:variant>
        <vt:i4>1048630</vt:i4>
      </vt:variant>
      <vt:variant>
        <vt:i4>1127</vt:i4>
      </vt:variant>
      <vt:variant>
        <vt:i4>0</vt:i4>
      </vt:variant>
      <vt:variant>
        <vt:i4>5</vt:i4>
      </vt:variant>
      <vt:variant>
        <vt:lpwstr/>
      </vt:variant>
      <vt:variant>
        <vt:lpwstr>_Toc14352462</vt:lpwstr>
      </vt:variant>
      <vt:variant>
        <vt:i4>1245238</vt:i4>
      </vt:variant>
      <vt:variant>
        <vt:i4>1121</vt:i4>
      </vt:variant>
      <vt:variant>
        <vt:i4>0</vt:i4>
      </vt:variant>
      <vt:variant>
        <vt:i4>5</vt:i4>
      </vt:variant>
      <vt:variant>
        <vt:lpwstr/>
      </vt:variant>
      <vt:variant>
        <vt:lpwstr>_Toc14352461</vt:lpwstr>
      </vt:variant>
      <vt:variant>
        <vt:i4>1179702</vt:i4>
      </vt:variant>
      <vt:variant>
        <vt:i4>1115</vt:i4>
      </vt:variant>
      <vt:variant>
        <vt:i4>0</vt:i4>
      </vt:variant>
      <vt:variant>
        <vt:i4>5</vt:i4>
      </vt:variant>
      <vt:variant>
        <vt:lpwstr/>
      </vt:variant>
      <vt:variant>
        <vt:lpwstr>_Toc14352460</vt:lpwstr>
      </vt:variant>
      <vt:variant>
        <vt:i4>1769525</vt:i4>
      </vt:variant>
      <vt:variant>
        <vt:i4>1109</vt:i4>
      </vt:variant>
      <vt:variant>
        <vt:i4>0</vt:i4>
      </vt:variant>
      <vt:variant>
        <vt:i4>5</vt:i4>
      </vt:variant>
      <vt:variant>
        <vt:lpwstr/>
      </vt:variant>
      <vt:variant>
        <vt:lpwstr>_Toc14352459</vt:lpwstr>
      </vt:variant>
      <vt:variant>
        <vt:i4>1703989</vt:i4>
      </vt:variant>
      <vt:variant>
        <vt:i4>1103</vt:i4>
      </vt:variant>
      <vt:variant>
        <vt:i4>0</vt:i4>
      </vt:variant>
      <vt:variant>
        <vt:i4>5</vt:i4>
      </vt:variant>
      <vt:variant>
        <vt:lpwstr/>
      </vt:variant>
      <vt:variant>
        <vt:lpwstr>_Toc14352458</vt:lpwstr>
      </vt:variant>
      <vt:variant>
        <vt:i4>1376309</vt:i4>
      </vt:variant>
      <vt:variant>
        <vt:i4>1097</vt:i4>
      </vt:variant>
      <vt:variant>
        <vt:i4>0</vt:i4>
      </vt:variant>
      <vt:variant>
        <vt:i4>5</vt:i4>
      </vt:variant>
      <vt:variant>
        <vt:lpwstr/>
      </vt:variant>
      <vt:variant>
        <vt:lpwstr>_Toc14352457</vt:lpwstr>
      </vt:variant>
      <vt:variant>
        <vt:i4>1310773</vt:i4>
      </vt:variant>
      <vt:variant>
        <vt:i4>1091</vt:i4>
      </vt:variant>
      <vt:variant>
        <vt:i4>0</vt:i4>
      </vt:variant>
      <vt:variant>
        <vt:i4>5</vt:i4>
      </vt:variant>
      <vt:variant>
        <vt:lpwstr/>
      </vt:variant>
      <vt:variant>
        <vt:lpwstr>_Toc14352456</vt:lpwstr>
      </vt:variant>
      <vt:variant>
        <vt:i4>1507381</vt:i4>
      </vt:variant>
      <vt:variant>
        <vt:i4>1085</vt:i4>
      </vt:variant>
      <vt:variant>
        <vt:i4>0</vt:i4>
      </vt:variant>
      <vt:variant>
        <vt:i4>5</vt:i4>
      </vt:variant>
      <vt:variant>
        <vt:lpwstr/>
      </vt:variant>
      <vt:variant>
        <vt:lpwstr>_Toc14352455</vt:lpwstr>
      </vt:variant>
      <vt:variant>
        <vt:i4>1441845</vt:i4>
      </vt:variant>
      <vt:variant>
        <vt:i4>1079</vt:i4>
      </vt:variant>
      <vt:variant>
        <vt:i4>0</vt:i4>
      </vt:variant>
      <vt:variant>
        <vt:i4>5</vt:i4>
      </vt:variant>
      <vt:variant>
        <vt:lpwstr/>
      </vt:variant>
      <vt:variant>
        <vt:lpwstr>_Toc14352454</vt:lpwstr>
      </vt:variant>
      <vt:variant>
        <vt:i4>1114165</vt:i4>
      </vt:variant>
      <vt:variant>
        <vt:i4>1073</vt:i4>
      </vt:variant>
      <vt:variant>
        <vt:i4>0</vt:i4>
      </vt:variant>
      <vt:variant>
        <vt:i4>5</vt:i4>
      </vt:variant>
      <vt:variant>
        <vt:lpwstr/>
      </vt:variant>
      <vt:variant>
        <vt:lpwstr>_Toc14352453</vt:lpwstr>
      </vt:variant>
      <vt:variant>
        <vt:i4>1048629</vt:i4>
      </vt:variant>
      <vt:variant>
        <vt:i4>1067</vt:i4>
      </vt:variant>
      <vt:variant>
        <vt:i4>0</vt:i4>
      </vt:variant>
      <vt:variant>
        <vt:i4>5</vt:i4>
      </vt:variant>
      <vt:variant>
        <vt:lpwstr/>
      </vt:variant>
      <vt:variant>
        <vt:lpwstr>_Toc14352452</vt:lpwstr>
      </vt:variant>
      <vt:variant>
        <vt:i4>1245237</vt:i4>
      </vt:variant>
      <vt:variant>
        <vt:i4>1061</vt:i4>
      </vt:variant>
      <vt:variant>
        <vt:i4>0</vt:i4>
      </vt:variant>
      <vt:variant>
        <vt:i4>5</vt:i4>
      </vt:variant>
      <vt:variant>
        <vt:lpwstr/>
      </vt:variant>
      <vt:variant>
        <vt:lpwstr>_Toc14352451</vt:lpwstr>
      </vt:variant>
      <vt:variant>
        <vt:i4>1179701</vt:i4>
      </vt:variant>
      <vt:variant>
        <vt:i4>1055</vt:i4>
      </vt:variant>
      <vt:variant>
        <vt:i4>0</vt:i4>
      </vt:variant>
      <vt:variant>
        <vt:i4>5</vt:i4>
      </vt:variant>
      <vt:variant>
        <vt:lpwstr/>
      </vt:variant>
      <vt:variant>
        <vt:lpwstr>_Toc14352450</vt:lpwstr>
      </vt:variant>
      <vt:variant>
        <vt:i4>1769524</vt:i4>
      </vt:variant>
      <vt:variant>
        <vt:i4>1049</vt:i4>
      </vt:variant>
      <vt:variant>
        <vt:i4>0</vt:i4>
      </vt:variant>
      <vt:variant>
        <vt:i4>5</vt:i4>
      </vt:variant>
      <vt:variant>
        <vt:lpwstr/>
      </vt:variant>
      <vt:variant>
        <vt:lpwstr>_Toc14352449</vt:lpwstr>
      </vt:variant>
      <vt:variant>
        <vt:i4>1703988</vt:i4>
      </vt:variant>
      <vt:variant>
        <vt:i4>1043</vt:i4>
      </vt:variant>
      <vt:variant>
        <vt:i4>0</vt:i4>
      </vt:variant>
      <vt:variant>
        <vt:i4>5</vt:i4>
      </vt:variant>
      <vt:variant>
        <vt:lpwstr/>
      </vt:variant>
      <vt:variant>
        <vt:lpwstr>_Toc14352448</vt:lpwstr>
      </vt:variant>
      <vt:variant>
        <vt:i4>1376308</vt:i4>
      </vt:variant>
      <vt:variant>
        <vt:i4>1037</vt:i4>
      </vt:variant>
      <vt:variant>
        <vt:i4>0</vt:i4>
      </vt:variant>
      <vt:variant>
        <vt:i4>5</vt:i4>
      </vt:variant>
      <vt:variant>
        <vt:lpwstr/>
      </vt:variant>
      <vt:variant>
        <vt:lpwstr>_Toc14352447</vt:lpwstr>
      </vt:variant>
      <vt:variant>
        <vt:i4>1310772</vt:i4>
      </vt:variant>
      <vt:variant>
        <vt:i4>1031</vt:i4>
      </vt:variant>
      <vt:variant>
        <vt:i4>0</vt:i4>
      </vt:variant>
      <vt:variant>
        <vt:i4>5</vt:i4>
      </vt:variant>
      <vt:variant>
        <vt:lpwstr/>
      </vt:variant>
      <vt:variant>
        <vt:lpwstr>_Toc14352446</vt:lpwstr>
      </vt:variant>
      <vt:variant>
        <vt:i4>1507380</vt:i4>
      </vt:variant>
      <vt:variant>
        <vt:i4>1025</vt:i4>
      </vt:variant>
      <vt:variant>
        <vt:i4>0</vt:i4>
      </vt:variant>
      <vt:variant>
        <vt:i4>5</vt:i4>
      </vt:variant>
      <vt:variant>
        <vt:lpwstr/>
      </vt:variant>
      <vt:variant>
        <vt:lpwstr>_Toc14352445</vt:lpwstr>
      </vt:variant>
      <vt:variant>
        <vt:i4>1441844</vt:i4>
      </vt:variant>
      <vt:variant>
        <vt:i4>1019</vt:i4>
      </vt:variant>
      <vt:variant>
        <vt:i4>0</vt:i4>
      </vt:variant>
      <vt:variant>
        <vt:i4>5</vt:i4>
      </vt:variant>
      <vt:variant>
        <vt:lpwstr/>
      </vt:variant>
      <vt:variant>
        <vt:lpwstr>_Toc14352444</vt:lpwstr>
      </vt:variant>
      <vt:variant>
        <vt:i4>1114164</vt:i4>
      </vt:variant>
      <vt:variant>
        <vt:i4>1013</vt:i4>
      </vt:variant>
      <vt:variant>
        <vt:i4>0</vt:i4>
      </vt:variant>
      <vt:variant>
        <vt:i4>5</vt:i4>
      </vt:variant>
      <vt:variant>
        <vt:lpwstr/>
      </vt:variant>
      <vt:variant>
        <vt:lpwstr>_Toc14352443</vt:lpwstr>
      </vt:variant>
      <vt:variant>
        <vt:i4>1048628</vt:i4>
      </vt:variant>
      <vt:variant>
        <vt:i4>1007</vt:i4>
      </vt:variant>
      <vt:variant>
        <vt:i4>0</vt:i4>
      </vt:variant>
      <vt:variant>
        <vt:i4>5</vt:i4>
      </vt:variant>
      <vt:variant>
        <vt:lpwstr/>
      </vt:variant>
      <vt:variant>
        <vt:lpwstr>_Toc14352442</vt:lpwstr>
      </vt:variant>
      <vt:variant>
        <vt:i4>1245236</vt:i4>
      </vt:variant>
      <vt:variant>
        <vt:i4>1001</vt:i4>
      </vt:variant>
      <vt:variant>
        <vt:i4>0</vt:i4>
      </vt:variant>
      <vt:variant>
        <vt:i4>5</vt:i4>
      </vt:variant>
      <vt:variant>
        <vt:lpwstr/>
      </vt:variant>
      <vt:variant>
        <vt:lpwstr>_Toc14352441</vt:lpwstr>
      </vt:variant>
      <vt:variant>
        <vt:i4>1179700</vt:i4>
      </vt:variant>
      <vt:variant>
        <vt:i4>995</vt:i4>
      </vt:variant>
      <vt:variant>
        <vt:i4>0</vt:i4>
      </vt:variant>
      <vt:variant>
        <vt:i4>5</vt:i4>
      </vt:variant>
      <vt:variant>
        <vt:lpwstr/>
      </vt:variant>
      <vt:variant>
        <vt:lpwstr>_Toc14352440</vt:lpwstr>
      </vt:variant>
      <vt:variant>
        <vt:i4>1769523</vt:i4>
      </vt:variant>
      <vt:variant>
        <vt:i4>989</vt:i4>
      </vt:variant>
      <vt:variant>
        <vt:i4>0</vt:i4>
      </vt:variant>
      <vt:variant>
        <vt:i4>5</vt:i4>
      </vt:variant>
      <vt:variant>
        <vt:lpwstr/>
      </vt:variant>
      <vt:variant>
        <vt:lpwstr>_Toc14352439</vt:lpwstr>
      </vt:variant>
      <vt:variant>
        <vt:i4>1703987</vt:i4>
      </vt:variant>
      <vt:variant>
        <vt:i4>983</vt:i4>
      </vt:variant>
      <vt:variant>
        <vt:i4>0</vt:i4>
      </vt:variant>
      <vt:variant>
        <vt:i4>5</vt:i4>
      </vt:variant>
      <vt:variant>
        <vt:lpwstr/>
      </vt:variant>
      <vt:variant>
        <vt:lpwstr>_Toc14352438</vt:lpwstr>
      </vt:variant>
      <vt:variant>
        <vt:i4>1376307</vt:i4>
      </vt:variant>
      <vt:variant>
        <vt:i4>977</vt:i4>
      </vt:variant>
      <vt:variant>
        <vt:i4>0</vt:i4>
      </vt:variant>
      <vt:variant>
        <vt:i4>5</vt:i4>
      </vt:variant>
      <vt:variant>
        <vt:lpwstr/>
      </vt:variant>
      <vt:variant>
        <vt:lpwstr>_Toc14352437</vt:lpwstr>
      </vt:variant>
      <vt:variant>
        <vt:i4>1310771</vt:i4>
      </vt:variant>
      <vt:variant>
        <vt:i4>971</vt:i4>
      </vt:variant>
      <vt:variant>
        <vt:i4>0</vt:i4>
      </vt:variant>
      <vt:variant>
        <vt:i4>5</vt:i4>
      </vt:variant>
      <vt:variant>
        <vt:lpwstr/>
      </vt:variant>
      <vt:variant>
        <vt:lpwstr>_Toc14352436</vt:lpwstr>
      </vt:variant>
      <vt:variant>
        <vt:i4>1507379</vt:i4>
      </vt:variant>
      <vt:variant>
        <vt:i4>965</vt:i4>
      </vt:variant>
      <vt:variant>
        <vt:i4>0</vt:i4>
      </vt:variant>
      <vt:variant>
        <vt:i4>5</vt:i4>
      </vt:variant>
      <vt:variant>
        <vt:lpwstr/>
      </vt:variant>
      <vt:variant>
        <vt:lpwstr>_Toc14352435</vt:lpwstr>
      </vt:variant>
      <vt:variant>
        <vt:i4>1441843</vt:i4>
      </vt:variant>
      <vt:variant>
        <vt:i4>959</vt:i4>
      </vt:variant>
      <vt:variant>
        <vt:i4>0</vt:i4>
      </vt:variant>
      <vt:variant>
        <vt:i4>5</vt:i4>
      </vt:variant>
      <vt:variant>
        <vt:lpwstr/>
      </vt:variant>
      <vt:variant>
        <vt:lpwstr>_Toc14352434</vt:lpwstr>
      </vt:variant>
      <vt:variant>
        <vt:i4>1114163</vt:i4>
      </vt:variant>
      <vt:variant>
        <vt:i4>953</vt:i4>
      </vt:variant>
      <vt:variant>
        <vt:i4>0</vt:i4>
      </vt:variant>
      <vt:variant>
        <vt:i4>5</vt:i4>
      </vt:variant>
      <vt:variant>
        <vt:lpwstr/>
      </vt:variant>
      <vt:variant>
        <vt:lpwstr>_Toc14352433</vt:lpwstr>
      </vt:variant>
      <vt:variant>
        <vt:i4>1048627</vt:i4>
      </vt:variant>
      <vt:variant>
        <vt:i4>947</vt:i4>
      </vt:variant>
      <vt:variant>
        <vt:i4>0</vt:i4>
      </vt:variant>
      <vt:variant>
        <vt:i4>5</vt:i4>
      </vt:variant>
      <vt:variant>
        <vt:lpwstr/>
      </vt:variant>
      <vt:variant>
        <vt:lpwstr>_Toc14352432</vt:lpwstr>
      </vt:variant>
      <vt:variant>
        <vt:i4>1245235</vt:i4>
      </vt:variant>
      <vt:variant>
        <vt:i4>941</vt:i4>
      </vt:variant>
      <vt:variant>
        <vt:i4>0</vt:i4>
      </vt:variant>
      <vt:variant>
        <vt:i4>5</vt:i4>
      </vt:variant>
      <vt:variant>
        <vt:lpwstr/>
      </vt:variant>
      <vt:variant>
        <vt:lpwstr>_Toc14352431</vt:lpwstr>
      </vt:variant>
      <vt:variant>
        <vt:i4>1179699</vt:i4>
      </vt:variant>
      <vt:variant>
        <vt:i4>935</vt:i4>
      </vt:variant>
      <vt:variant>
        <vt:i4>0</vt:i4>
      </vt:variant>
      <vt:variant>
        <vt:i4>5</vt:i4>
      </vt:variant>
      <vt:variant>
        <vt:lpwstr/>
      </vt:variant>
      <vt:variant>
        <vt:lpwstr>_Toc14352430</vt:lpwstr>
      </vt:variant>
      <vt:variant>
        <vt:i4>1769522</vt:i4>
      </vt:variant>
      <vt:variant>
        <vt:i4>929</vt:i4>
      </vt:variant>
      <vt:variant>
        <vt:i4>0</vt:i4>
      </vt:variant>
      <vt:variant>
        <vt:i4>5</vt:i4>
      </vt:variant>
      <vt:variant>
        <vt:lpwstr/>
      </vt:variant>
      <vt:variant>
        <vt:lpwstr>_Toc14352429</vt:lpwstr>
      </vt:variant>
      <vt:variant>
        <vt:i4>1703986</vt:i4>
      </vt:variant>
      <vt:variant>
        <vt:i4>923</vt:i4>
      </vt:variant>
      <vt:variant>
        <vt:i4>0</vt:i4>
      </vt:variant>
      <vt:variant>
        <vt:i4>5</vt:i4>
      </vt:variant>
      <vt:variant>
        <vt:lpwstr/>
      </vt:variant>
      <vt:variant>
        <vt:lpwstr>_Toc14352428</vt:lpwstr>
      </vt:variant>
      <vt:variant>
        <vt:i4>1376306</vt:i4>
      </vt:variant>
      <vt:variant>
        <vt:i4>917</vt:i4>
      </vt:variant>
      <vt:variant>
        <vt:i4>0</vt:i4>
      </vt:variant>
      <vt:variant>
        <vt:i4>5</vt:i4>
      </vt:variant>
      <vt:variant>
        <vt:lpwstr/>
      </vt:variant>
      <vt:variant>
        <vt:lpwstr>_Toc14352427</vt:lpwstr>
      </vt:variant>
      <vt:variant>
        <vt:i4>1310770</vt:i4>
      </vt:variant>
      <vt:variant>
        <vt:i4>911</vt:i4>
      </vt:variant>
      <vt:variant>
        <vt:i4>0</vt:i4>
      </vt:variant>
      <vt:variant>
        <vt:i4>5</vt:i4>
      </vt:variant>
      <vt:variant>
        <vt:lpwstr/>
      </vt:variant>
      <vt:variant>
        <vt:lpwstr>_Toc14352426</vt:lpwstr>
      </vt:variant>
      <vt:variant>
        <vt:i4>1507378</vt:i4>
      </vt:variant>
      <vt:variant>
        <vt:i4>905</vt:i4>
      </vt:variant>
      <vt:variant>
        <vt:i4>0</vt:i4>
      </vt:variant>
      <vt:variant>
        <vt:i4>5</vt:i4>
      </vt:variant>
      <vt:variant>
        <vt:lpwstr/>
      </vt:variant>
      <vt:variant>
        <vt:lpwstr>_Toc14352425</vt:lpwstr>
      </vt:variant>
      <vt:variant>
        <vt:i4>1441842</vt:i4>
      </vt:variant>
      <vt:variant>
        <vt:i4>899</vt:i4>
      </vt:variant>
      <vt:variant>
        <vt:i4>0</vt:i4>
      </vt:variant>
      <vt:variant>
        <vt:i4>5</vt:i4>
      </vt:variant>
      <vt:variant>
        <vt:lpwstr/>
      </vt:variant>
      <vt:variant>
        <vt:lpwstr>_Toc14352424</vt:lpwstr>
      </vt:variant>
      <vt:variant>
        <vt:i4>1114162</vt:i4>
      </vt:variant>
      <vt:variant>
        <vt:i4>893</vt:i4>
      </vt:variant>
      <vt:variant>
        <vt:i4>0</vt:i4>
      </vt:variant>
      <vt:variant>
        <vt:i4>5</vt:i4>
      </vt:variant>
      <vt:variant>
        <vt:lpwstr/>
      </vt:variant>
      <vt:variant>
        <vt:lpwstr>_Toc14352423</vt:lpwstr>
      </vt:variant>
      <vt:variant>
        <vt:i4>1048626</vt:i4>
      </vt:variant>
      <vt:variant>
        <vt:i4>887</vt:i4>
      </vt:variant>
      <vt:variant>
        <vt:i4>0</vt:i4>
      </vt:variant>
      <vt:variant>
        <vt:i4>5</vt:i4>
      </vt:variant>
      <vt:variant>
        <vt:lpwstr/>
      </vt:variant>
      <vt:variant>
        <vt:lpwstr>_Toc14352422</vt:lpwstr>
      </vt:variant>
      <vt:variant>
        <vt:i4>1245234</vt:i4>
      </vt:variant>
      <vt:variant>
        <vt:i4>881</vt:i4>
      </vt:variant>
      <vt:variant>
        <vt:i4>0</vt:i4>
      </vt:variant>
      <vt:variant>
        <vt:i4>5</vt:i4>
      </vt:variant>
      <vt:variant>
        <vt:lpwstr/>
      </vt:variant>
      <vt:variant>
        <vt:lpwstr>_Toc14352421</vt:lpwstr>
      </vt:variant>
      <vt:variant>
        <vt:i4>1179698</vt:i4>
      </vt:variant>
      <vt:variant>
        <vt:i4>875</vt:i4>
      </vt:variant>
      <vt:variant>
        <vt:i4>0</vt:i4>
      </vt:variant>
      <vt:variant>
        <vt:i4>5</vt:i4>
      </vt:variant>
      <vt:variant>
        <vt:lpwstr/>
      </vt:variant>
      <vt:variant>
        <vt:lpwstr>_Toc14352420</vt:lpwstr>
      </vt:variant>
      <vt:variant>
        <vt:i4>1769521</vt:i4>
      </vt:variant>
      <vt:variant>
        <vt:i4>869</vt:i4>
      </vt:variant>
      <vt:variant>
        <vt:i4>0</vt:i4>
      </vt:variant>
      <vt:variant>
        <vt:i4>5</vt:i4>
      </vt:variant>
      <vt:variant>
        <vt:lpwstr/>
      </vt:variant>
      <vt:variant>
        <vt:lpwstr>_Toc14352419</vt:lpwstr>
      </vt:variant>
      <vt:variant>
        <vt:i4>1703985</vt:i4>
      </vt:variant>
      <vt:variant>
        <vt:i4>863</vt:i4>
      </vt:variant>
      <vt:variant>
        <vt:i4>0</vt:i4>
      </vt:variant>
      <vt:variant>
        <vt:i4>5</vt:i4>
      </vt:variant>
      <vt:variant>
        <vt:lpwstr/>
      </vt:variant>
      <vt:variant>
        <vt:lpwstr>_Toc14352418</vt:lpwstr>
      </vt:variant>
      <vt:variant>
        <vt:i4>1376305</vt:i4>
      </vt:variant>
      <vt:variant>
        <vt:i4>857</vt:i4>
      </vt:variant>
      <vt:variant>
        <vt:i4>0</vt:i4>
      </vt:variant>
      <vt:variant>
        <vt:i4>5</vt:i4>
      </vt:variant>
      <vt:variant>
        <vt:lpwstr/>
      </vt:variant>
      <vt:variant>
        <vt:lpwstr>_Toc14352417</vt:lpwstr>
      </vt:variant>
      <vt:variant>
        <vt:i4>1310769</vt:i4>
      </vt:variant>
      <vt:variant>
        <vt:i4>851</vt:i4>
      </vt:variant>
      <vt:variant>
        <vt:i4>0</vt:i4>
      </vt:variant>
      <vt:variant>
        <vt:i4>5</vt:i4>
      </vt:variant>
      <vt:variant>
        <vt:lpwstr/>
      </vt:variant>
      <vt:variant>
        <vt:lpwstr>_Toc14352416</vt:lpwstr>
      </vt:variant>
      <vt:variant>
        <vt:i4>1507377</vt:i4>
      </vt:variant>
      <vt:variant>
        <vt:i4>845</vt:i4>
      </vt:variant>
      <vt:variant>
        <vt:i4>0</vt:i4>
      </vt:variant>
      <vt:variant>
        <vt:i4>5</vt:i4>
      </vt:variant>
      <vt:variant>
        <vt:lpwstr/>
      </vt:variant>
      <vt:variant>
        <vt:lpwstr>_Toc14352415</vt:lpwstr>
      </vt:variant>
      <vt:variant>
        <vt:i4>1441841</vt:i4>
      </vt:variant>
      <vt:variant>
        <vt:i4>839</vt:i4>
      </vt:variant>
      <vt:variant>
        <vt:i4>0</vt:i4>
      </vt:variant>
      <vt:variant>
        <vt:i4>5</vt:i4>
      </vt:variant>
      <vt:variant>
        <vt:lpwstr/>
      </vt:variant>
      <vt:variant>
        <vt:lpwstr>_Toc14352414</vt:lpwstr>
      </vt:variant>
      <vt:variant>
        <vt:i4>1114161</vt:i4>
      </vt:variant>
      <vt:variant>
        <vt:i4>833</vt:i4>
      </vt:variant>
      <vt:variant>
        <vt:i4>0</vt:i4>
      </vt:variant>
      <vt:variant>
        <vt:i4>5</vt:i4>
      </vt:variant>
      <vt:variant>
        <vt:lpwstr/>
      </vt:variant>
      <vt:variant>
        <vt:lpwstr>_Toc14352413</vt:lpwstr>
      </vt:variant>
      <vt:variant>
        <vt:i4>1048625</vt:i4>
      </vt:variant>
      <vt:variant>
        <vt:i4>827</vt:i4>
      </vt:variant>
      <vt:variant>
        <vt:i4>0</vt:i4>
      </vt:variant>
      <vt:variant>
        <vt:i4>5</vt:i4>
      </vt:variant>
      <vt:variant>
        <vt:lpwstr/>
      </vt:variant>
      <vt:variant>
        <vt:lpwstr>_Toc14352412</vt:lpwstr>
      </vt:variant>
      <vt:variant>
        <vt:i4>1245233</vt:i4>
      </vt:variant>
      <vt:variant>
        <vt:i4>821</vt:i4>
      </vt:variant>
      <vt:variant>
        <vt:i4>0</vt:i4>
      </vt:variant>
      <vt:variant>
        <vt:i4>5</vt:i4>
      </vt:variant>
      <vt:variant>
        <vt:lpwstr/>
      </vt:variant>
      <vt:variant>
        <vt:lpwstr>_Toc14352411</vt:lpwstr>
      </vt:variant>
      <vt:variant>
        <vt:i4>1310771</vt:i4>
      </vt:variant>
      <vt:variant>
        <vt:i4>812</vt:i4>
      </vt:variant>
      <vt:variant>
        <vt:i4>0</vt:i4>
      </vt:variant>
      <vt:variant>
        <vt:i4>5</vt:i4>
      </vt:variant>
      <vt:variant>
        <vt:lpwstr/>
      </vt:variant>
      <vt:variant>
        <vt:lpwstr>_Toc10202320</vt:lpwstr>
      </vt:variant>
      <vt:variant>
        <vt:i4>1900592</vt:i4>
      </vt:variant>
      <vt:variant>
        <vt:i4>806</vt:i4>
      </vt:variant>
      <vt:variant>
        <vt:i4>0</vt:i4>
      </vt:variant>
      <vt:variant>
        <vt:i4>5</vt:i4>
      </vt:variant>
      <vt:variant>
        <vt:lpwstr/>
      </vt:variant>
      <vt:variant>
        <vt:lpwstr>_Toc10202319</vt:lpwstr>
      </vt:variant>
      <vt:variant>
        <vt:i4>1835056</vt:i4>
      </vt:variant>
      <vt:variant>
        <vt:i4>800</vt:i4>
      </vt:variant>
      <vt:variant>
        <vt:i4>0</vt:i4>
      </vt:variant>
      <vt:variant>
        <vt:i4>5</vt:i4>
      </vt:variant>
      <vt:variant>
        <vt:lpwstr/>
      </vt:variant>
      <vt:variant>
        <vt:lpwstr>_Toc10202318</vt:lpwstr>
      </vt:variant>
      <vt:variant>
        <vt:i4>1245232</vt:i4>
      </vt:variant>
      <vt:variant>
        <vt:i4>794</vt:i4>
      </vt:variant>
      <vt:variant>
        <vt:i4>0</vt:i4>
      </vt:variant>
      <vt:variant>
        <vt:i4>5</vt:i4>
      </vt:variant>
      <vt:variant>
        <vt:lpwstr/>
      </vt:variant>
      <vt:variant>
        <vt:lpwstr>_Toc10202317</vt:lpwstr>
      </vt:variant>
      <vt:variant>
        <vt:i4>1179696</vt:i4>
      </vt:variant>
      <vt:variant>
        <vt:i4>788</vt:i4>
      </vt:variant>
      <vt:variant>
        <vt:i4>0</vt:i4>
      </vt:variant>
      <vt:variant>
        <vt:i4>5</vt:i4>
      </vt:variant>
      <vt:variant>
        <vt:lpwstr/>
      </vt:variant>
      <vt:variant>
        <vt:lpwstr>_Toc10202316</vt:lpwstr>
      </vt:variant>
      <vt:variant>
        <vt:i4>1114160</vt:i4>
      </vt:variant>
      <vt:variant>
        <vt:i4>782</vt:i4>
      </vt:variant>
      <vt:variant>
        <vt:i4>0</vt:i4>
      </vt:variant>
      <vt:variant>
        <vt:i4>5</vt:i4>
      </vt:variant>
      <vt:variant>
        <vt:lpwstr/>
      </vt:variant>
      <vt:variant>
        <vt:lpwstr>_Toc10202315</vt:lpwstr>
      </vt:variant>
      <vt:variant>
        <vt:i4>1048624</vt:i4>
      </vt:variant>
      <vt:variant>
        <vt:i4>776</vt:i4>
      </vt:variant>
      <vt:variant>
        <vt:i4>0</vt:i4>
      </vt:variant>
      <vt:variant>
        <vt:i4>5</vt:i4>
      </vt:variant>
      <vt:variant>
        <vt:lpwstr/>
      </vt:variant>
      <vt:variant>
        <vt:lpwstr>_Toc10202314</vt:lpwstr>
      </vt:variant>
      <vt:variant>
        <vt:i4>1507376</vt:i4>
      </vt:variant>
      <vt:variant>
        <vt:i4>770</vt:i4>
      </vt:variant>
      <vt:variant>
        <vt:i4>0</vt:i4>
      </vt:variant>
      <vt:variant>
        <vt:i4>5</vt:i4>
      </vt:variant>
      <vt:variant>
        <vt:lpwstr/>
      </vt:variant>
      <vt:variant>
        <vt:lpwstr>_Toc10202313</vt:lpwstr>
      </vt:variant>
      <vt:variant>
        <vt:i4>1441840</vt:i4>
      </vt:variant>
      <vt:variant>
        <vt:i4>764</vt:i4>
      </vt:variant>
      <vt:variant>
        <vt:i4>0</vt:i4>
      </vt:variant>
      <vt:variant>
        <vt:i4>5</vt:i4>
      </vt:variant>
      <vt:variant>
        <vt:lpwstr/>
      </vt:variant>
      <vt:variant>
        <vt:lpwstr>_Toc10202312</vt:lpwstr>
      </vt:variant>
      <vt:variant>
        <vt:i4>1376304</vt:i4>
      </vt:variant>
      <vt:variant>
        <vt:i4>758</vt:i4>
      </vt:variant>
      <vt:variant>
        <vt:i4>0</vt:i4>
      </vt:variant>
      <vt:variant>
        <vt:i4>5</vt:i4>
      </vt:variant>
      <vt:variant>
        <vt:lpwstr/>
      </vt:variant>
      <vt:variant>
        <vt:lpwstr>_Toc10202311</vt:lpwstr>
      </vt:variant>
      <vt:variant>
        <vt:i4>1310768</vt:i4>
      </vt:variant>
      <vt:variant>
        <vt:i4>752</vt:i4>
      </vt:variant>
      <vt:variant>
        <vt:i4>0</vt:i4>
      </vt:variant>
      <vt:variant>
        <vt:i4>5</vt:i4>
      </vt:variant>
      <vt:variant>
        <vt:lpwstr/>
      </vt:variant>
      <vt:variant>
        <vt:lpwstr>_Toc10202310</vt:lpwstr>
      </vt:variant>
      <vt:variant>
        <vt:i4>1900593</vt:i4>
      </vt:variant>
      <vt:variant>
        <vt:i4>746</vt:i4>
      </vt:variant>
      <vt:variant>
        <vt:i4>0</vt:i4>
      </vt:variant>
      <vt:variant>
        <vt:i4>5</vt:i4>
      </vt:variant>
      <vt:variant>
        <vt:lpwstr/>
      </vt:variant>
      <vt:variant>
        <vt:lpwstr>_Toc10202309</vt:lpwstr>
      </vt:variant>
      <vt:variant>
        <vt:i4>1835057</vt:i4>
      </vt:variant>
      <vt:variant>
        <vt:i4>740</vt:i4>
      </vt:variant>
      <vt:variant>
        <vt:i4>0</vt:i4>
      </vt:variant>
      <vt:variant>
        <vt:i4>5</vt:i4>
      </vt:variant>
      <vt:variant>
        <vt:lpwstr/>
      </vt:variant>
      <vt:variant>
        <vt:lpwstr>_Toc10202308</vt:lpwstr>
      </vt:variant>
      <vt:variant>
        <vt:i4>1245233</vt:i4>
      </vt:variant>
      <vt:variant>
        <vt:i4>734</vt:i4>
      </vt:variant>
      <vt:variant>
        <vt:i4>0</vt:i4>
      </vt:variant>
      <vt:variant>
        <vt:i4>5</vt:i4>
      </vt:variant>
      <vt:variant>
        <vt:lpwstr/>
      </vt:variant>
      <vt:variant>
        <vt:lpwstr>_Toc10202307</vt:lpwstr>
      </vt:variant>
      <vt:variant>
        <vt:i4>1179697</vt:i4>
      </vt:variant>
      <vt:variant>
        <vt:i4>728</vt:i4>
      </vt:variant>
      <vt:variant>
        <vt:i4>0</vt:i4>
      </vt:variant>
      <vt:variant>
        <vt:i4>5</vt:i4>
      </vt:variant>
      <vt:variant>
        <vt:lpwstr/>
      </vt:variant>
      <vt:variant>
        <vt:lpwstr>_Toc10202306</vt:lpwstr>
      </vt:variant>
      <vt:variant>
        <vt:i4>1114161</vt:i4>
      </vt:variant>
      <vt:variant>
        <vt:i4>722</vt:i4>
      </vt:variant>
      <vt:variant>
        <vt:i4>0</vt:i4>
      </vt:variant>
      <vt:variant>
        <vt:i4>5</vt:i4>
      </vt:variant>
      <vt:variant>
        <vt:lpwstr/>
      </vt:variant>
      <vt:variant>
        <vt:lpwstr>_Toc10202305</vt:lpwstr>
      </vt:variant>
      <vt:variant>
        <vt:i4>1048625</vt:i4>
      </vt:variant>
      <vt:variant>
        <vt:i4>716</vt:i4>
      </vt:variant>
      <vt:variant>
        <vt:i4>0</vt:i4>
      </vt:variant>
      <vt:variant>
        <vt:i4>5</vt:i4>
      </vt:variant>
      <vt:variant>
        <vt:lpwstr/>
      </vt:variant>
      <vt:variant>
        <vt:lpwstr>_Toc10202304</vt:lpwstr>
      </vt:variant>
      <vt:variant>
        <vt:i4>1507377</vt:i4>
      </vt:variant>
      <vt:variant>
        <vt:i4>710</vt:i4>
      </vt:variant>
      <vt:variant>
        <vt:i4>0</vt:i4>
      </vt:variant>
      <vt:variant>
        <vt:i4>5</vt:i4>
      </vt:variant>
      <vt:variant>
        <vt:lpwstr/>
      </vt:variant>
      <vt:variant>
        <vt:lpwstr>_Toc10202303</vt:lpwstr>
      </vt:variant>
      <vt:variant>
        <vt:i4>1441841</vt:i4>
      </vt:variant>
      <vt:variant>
        <vt:i4>704</vt:i4>
      </vt:variant>
      <vt:variant>
        <vt:i4>0</vt:i4>
      </vt:variant>
      <vt:variant>
        <vt:i4>5</vt:i4>
      </vt:variant>
      <vt:variant>
        <vt:lpwstr/>
      </vt:variant>
      <vt:variant>
        <vt:lpwstr>_Toc10202302</vt:lpwstr>
      </vt:variant>
      <vt:variant>
        <vt:i4>1376305</vt:i4>
      </vt:variant>
      <vt:variant>
        <vt:i4>698</vt:i4>
      </vt:variant>
      <vt:variant>
        <vt:i4>0</vt:i4>
      </vt:variant>
      <vt:variant>
        <vt:i4>5</vt:i4>
      </vt:variant>
      <vt:variant>
        <vt:lpwstr/>
      </vt:variant>
      <vt:variant>
        <vt:lpwstr>_Toc10202301</vt:lpwstr>
      </vt:variant>
      <vt:variant>
        <vt:i4>1310769</vt:i4>
      </vt:variant>
      <vt:variant>
        <vt:i4>692</vt:i4>
      </vt:variant>
      <vt:variant>
        <vt:i4>0</vt:i4>
      </vt:variant>
      <vt:variant>
        <vt:i4>5</vt:i4>
      </vt:variant>
      <vt:variant>
        <vt:lpwstr/>
      </vt:variant>
      <vt:variant>
        <vt:lpwstr>_Toc10202300</vt:lpwstr>
      </vt:variant>
      <vt:variant>
        <vt:i4>1835064</vt:i4>
      </vt:variant>
      <vt:variant>
        <vt:i4>686</vt:i4>
      </vt:variant>
      <vt:variant>
        <vt:i4>0</vt:i4>
      </vt:variant>
      <vt:variant>
        <vt:i4>5</vt:i4>
      </vt:variant>
      <vt:variant>
        <vt:lpwstr/>
      </vt:variant>
      <vt:variant>
        <vt:lpwstr>_Toc10202299</vt:lpwstr>
      </vt:variant>
      <vt:variant>
        <vt:i4>1900600</vt:i4>
      </vt:variant>
      <vt:variant>
        <vt:i4>680</vt:i4>
      </vt:variant>
      <vt:variant>
        <vt:i4>0</vt:i4>
      </vt:variant>
      <vt:variant>
        <vt:i4>5</vt:i4>
      </vt:variant>
      <vt:variant>
        <vt:lpwstr/>
      </vt:variant>
      <vt:variant>
        <vt:lpwstr>_Toc10202298</vt:lpwstr>
      </vt:variant>
      <vt:variant>
        <vt:i4>1179704</vt:i4>
      </vt:variant>
      <vt:variant>
        <vt:i4>674</vt:i4>
      </vt:variant>
      <vt:variant>
        <vt:i4>0</vt:i4>
      </vt:variant>
      <vt:variant>
        <vt:i4>5</vt:i4>
      </vt:variant>
      <vt:variant>
        <vt:lpwstr/>
      </vt:variant>
      <vt:variant>
        <vt:lpwstr>_Toc10202297</vt:lpwstr>
      </vt:variant>
      <vt:variant>
        <vt:i4>1245240</vt:i4>
      </vt:variant>
      <vt:variant>
        <vt:i4>668</vt:i4>
      </vt:variant>
      <vt:variant>
        <vt:i4>0</vt:i4>
      </vt:variant>
      <vt:variant>
        <vt:i4>5</vt:i4>
      </vt:variant>
      <vt:variant>
        <vt:lpwstr/>
      </vt:variant>
      <vt:variant>
        <vt:lpwstr>_Toc10202296</vt:lpwstr>
      </vt:variant>
      <vt:variant>
        <vt:i4>1048632</vt:i4>
      </vt:variant>
      <vt:variant>
        <vt:i4>662</vt:i4>
      </vt:variant>
      <vt:variant>
        <vt:i4>0</vt:i4>
      </vt:variant>
      <vt:variant>
        <vt:i4>5</vt:i4>
      </vt:variant>
      <vt:variant>
        <vt:lpwstr/>
      </vt:variant>
      <vt:variant>
        <vt:lpwstr>_Toc10202295</vt:lpwstr>
      </vt:variant>
      <vt:variant>
        <vt:i4>1114168</vt:i4>
      </vt:variant>
      <vt:variant>
        <vt:i4>656</vt:i4>
      </vt:variant>
      <vt:variant>
        <vt:i4>0</vt:i4>
      </vt:variant>
      <vt:variant>
        <vt:i4>5</vt:i4>
      </vt:variant>
      <vt:variant>
        <vt:lpwstr/>
      </vt:variant>
      <vt:variant>
        <vt:lpwstr>_Toc10202294</vt:lpwstr>
      </vt:variant>
      <vt:variant>
        <vt:i4>1441848</vt:i4>
      </vt:variant>
      <vt:variant>
        <vt:i4>650</vt:i4>
      </vt:variant>
      <vt:variant>
        <vt:i4>0</vt:i4>
      </vt:variant>
      <vt:variant>
        <vt:i4>5</vt:i4>
      </vt:variant>
      <vt:variant>
        <vt:lpwstr/>
      </vt:variant>
      <vt:variant>
        <vt:lpwstr>_Toc10202293</vt:lpwstr>
      </vt:variant>
      <vt:variant>
        <vt:i4>1507384</vt:i4>
      </vt:variant>
      <vt:variant>
        <vt:i4>644</vt:i4>
      </vt:variant>
      <vt:variant>
        <vt:i4>0</vt:i4>
      </vt:variant>
      <vt:variant>
        <vt:i4>5</vt:i4>
      </vt:variant>
      <vt:variant>
        <vt:lpwstr/>
      </vt:variant>
      <vt:variant>
        <vt:lpwstr>_Toc10202292</vt:lpwstr>
      </vt:variant>
      <vt:variant>
        <vt:i4>1310776</vt:i4>
      </vt:variant>
      <vt:variant>
        <vt:i4>638</vt:i4>
      </vt:variant>
      <vt:variant>
        <vt:i4>0</vt:i4>
      </vt:variant>
      <vt:variant>
        <vt:i4>5</vt:i4>
      </vt:variant>
      <vt:variant>
        <vt:lpwstr/>
      </vt:variant>
      <vt:variant>
        <vt:lpwstr>_Toc10202291</vt:lpwstr>
      </vt:variant>
      <vt:variant>
        <vt:i4>1376312</vt:i4>
      </vt:variant>
      <vt:variant>
        <vt:i4>632</vt:i4>
      </vt:variant>
      <vt:variant>
        <vt:i4>0</vt:i4>
      </vt:variant>
      <vt:variant>
        <vt:i4>5</vt:i4>
      </vt:variant>
      <vt:variant>
        <vt:lpwstr/>
      </vt:variant>
      <vt:variant>
        <vt:lpwstr>_Toc10202290</vt:lpwstr>
      </vt:variant>
      <vt:variant>
        <vt:i4>1835065</vt:i4>
      </vt:variant>
      <vt:variant>
        <vt:i4>626</vt:i4>
      </vt:variant>
      <vt:variant>
        <vt:i4>0</vt:i4>
      </vt:variant>
      <vt:variant>
        <vt:i4>5</vt:i4>
      </vt:variant>
      <vt:variant>
        <vt:lpwstr/>
      </vt:variant>
      <vt:variant>
        <vt:lpwstr>_Toc10202289</vt:lpwstr>
      </vt:variant>
      <vt:variant>
        <vt:i4>1900601</vt:i4>
      </vt:variant>
      <vt:variant>
        <vt:i4>620</vt:i4>
      </vt:variant>
      <vt:variant>
        <vt:i4>0</vt:i4>
      </vt:variant>
      <vt:variant>
        <vt:i4>5</vt:i4>
      </vt:variant>
      <vt:variant>
        <vt:lpwstr/>
      </vt:variant>
      <vt:variant>
        <vt:lpwstr>_Toc10202288</vt:lpwstr>
      </vt:variant>
      <vt:variant>
        <vt:i4>1179705</vt:i4>
      </vt:variant>
      <vt:variant>
        <vt:i4>614</vt:i4>
      </vt:variant>
      <vt:variant>
        <vt:i4>0</vt:i4>
      </vt:variant>
      <vt:variant>
        <vt:i4>5</vt:i4>
      </vt:variant>
      <vt:variant>
        <vt:lpwstr/>
      </vt:variant>
      <vt:variant>
        <vt:lpwstr>_Toc10202287</vt:lpwstr>
      </vt:variant>
      <vt:variant>
        <vt:i4>1245241</vt:i4>
      </vt:variant>
      <vt:variant>
        <vt:i4>608</vt:i4>
      </vt:variant>
      <vt:variant>
        <vt:i4>0</vt:i4>
      </vt:variant>
      <vt:variant>
        <vt:i4>5</vt:i4>
      </vt:variant>
      <vt:variant>
        <vt:lpwstr/>
      </vt:variant>
      <vt:variant>
        <vt:lpwstr>_Toc10202286</vt:lpwstr>
      </vt:variant>
      <vt:variant>
        <vt:i4>1048633</vt:i4>
      </vt:variant>
      <vt:variant>
        <vt:i4>602</vt:i4>
      </vt:variant>
      <vt:variant>
        <vt:i4>0</vt:i4>
      </vt:variant>
      <vt:variant>
        <vt:i4>5</vt:i4>
      </vt:variant>
      <vt:variant>
        <vt:lpwstr/>
      </vt:variant>
      <vt:variant>
        <vt:lpwstr>_Toc10202285</vt:lpwstr>
      </vt:variant>
      <vt:variant>
        <vt:i4>1114169</vt:i4>
      </vt:variant>
      <vt:variant>
        <vt:i4>596</vt:i4>
      </vt:variant>
      <vt:variant>
        <vt:i4>0</vt:i4>
      </vt:variant>
      <vt:variant>
        <vt:i4>5</vt:i4>
      </vt:variant>
      <vt:variant>
        <vt:lpwstr/>
      </vt:variant>
      <vt:variant>
        <vt:lpwstr>_Toc10202284</vt:lpwstr>
      </vt:variant>
      <vt:variant>
        <vt:i4>1441849</vt:i4>
      </vt:variant>
      <vt:variant>
        <vt:i4>590</vt:i4>
      </vt:variant>
      <vt:variant>
        <vt:i4>0</vt:i4>
      </vt:variant>
      <vt:variant>
        <vt:i4>5</vt:i4>
      </vt:variant>
      <vt:variant>
        <vt:lpwstr/>
      </vt:variant>
      <vt:variant>
        <vt:lpwstr>_Toc10202283</vt:lpwstr>
      </vt:variant>
      <vt:variant>
        <vt:i4>1507385</vt:i4>
      </vt:variant>
      <vt:variant>
        <vt:i4>584</vt:i4>
      </vt:variant>
      <vt:variant>
        <vt:i4>0</vt:i4>
      </vt:variant>
      <vt:variant>
        <vt:i4>5</vt:i4>
      </vt:variant>
      <vt:variant>
        <vt:lpwstr/>
      </vt:variant>
      <vt:variant>
        <vt:lpwstr>_Toc10202282</vt:lpwstr>
      </vt:variant>
      <vt:variant>
        <vt:i4>1310777</vt:i4>
      </vt:variant>
      <vt:variant>
        <vt:i4>578</vt:i4>
      </vt:variant>
      <vt:variant>
        <vt:i4>0</vt:i4>
      </vt:variant>
      <vt:variant>
        <vt:i4>5</vt:i4>
      </vt:variant>
      <vt:variant>
        <vt:lpwstr/>
      </vt:variant>
      <vt:variant>
        <vt:lpwstr>_Toc10202281</vt:lpwstr>
      </vt:variant>
      <vt:variant>
        <vt:i4>1376313</vt:i4>
      </vt:variant>
      <vt:variant>
        <vt:i4>572</vt:i4>
      </vt:variant>
      <vt:variant>
        <vt:i4>0</vt:i4>
      </vt:variant>
      <vt:variant>
        <vt:i4>5</vt:i4>
      </vt:variant>
      <vt:variant>
        <vt:lpwstr/>
      </vt:variant>
      <vt:variant>
        <vt:lpwstr>_Toc10202280</vt:lpwstr>
      </vt:variant>
      <vt:variant>
        <vt:i4>1835062</vt:i4>
      </vt:variant>
      <vt:variant>
        <vt:i4>566</vt:i4>
      </vt:variant>
      <vt:variant>
        <vt:i4>0</vt:i4>
      </vt:variant>
      <vt:variant>
        <vt:i4>5</vt:i4>
      </vt:variant>
      <vt:variant>
        <vt:lpwstr/>
      </vt:variant>
      <vt:variant>
        <vt:lpwstr>_Toc10202279</vt:lpwstr>
      </vt:variant>
      <vt:variant>
        <vt:i4>1900598</vt:i4>
      </vt:variant>
      <vt:variant>
        <vt:i4>560</vt:i4>
      </vt:variant>
      <vt:variant>
        <vt:i4>0</vt:i4>
      </vt:variant>
      <vt:variant>
        <vt:i4>5</vt:i4>
      </vt:variant>
      <vt:variant>
        <vt:lpwstr/>
      </vt:variant>
      <vt:variant>
        <vt:lpwstr>_Toc10202278</vt:lpwstr>
      </vt:variant>
      <vt:variant>
        <vt:i4>1179702</vt:i4>
      </vt:variant>
      <vt:variant>
        <vt:i4>554</vt:i4>
      </vt:variant>
      <vt:variant>
        <vt:i4>0</vt:i4>
      </vt:variant>
      <vt:variant>
        <vt:i4>5</vt:i4>
      </vt:variant>
      <vt:variant>
        <vt:lpwstr/>
      </vt:variant>
      <vt:variant>
        <vt:lpwstr>_Toc10202277</vt:lpwstr>
      </vt:variant>
      <vt:variant>
        <vt:i4>1245238</vt:i4>
      </vt:variant>
      <vt:variant>
        <vt:i4>548</vt:i4>
      </vt:variant>
      <vt:variant>
        <vt:i4>0</vt:i4>
      </vt:variant>
      <vt:variant>
        <vt:i4>5</vt:i4>
      </vt:variant>
      <vt:variant>
        <vt:lpwstr/>
      </vt:variant>
      <vt:variant>
        <vt:lpwstr>_Toc10202276</vt:lpwstr>
      </vt:variant>
      <vt:variant>
        <vt:i4>1048630</vt:i4>
      </vt:variant>
      <vt:variant>
        <vt:i4>542</vt:i4>
      </vt:variant>
      <vt:variant>
        <vt:i4>0</vt:i4>
      </vt:variant>
      <vt:variant>
        <vt:i4>5</vt:i4>
      </vt:variant>
      <vt:variant>
        <vt:lpwstr/>
      </vt:variant>
      <vt:variant>
        <vt:lpwstr>_Toc10202275</vt:lpwstr>
      </vt:variant>
      <vt:variant>
        <vt:i4>1114166</vt:i4>
      </vt:variant>
      <vt:variant>
        <vt:i4>536</vt:i4>
      </vt:variant>
      <vt:variant>
        <vt:i4>0</vt:i4>
      </vt:variant>
      <vt:variant>
        <vt:i4>5</vt:i4>
      </vt:variant>
      <vt:variant>
        <vt:lpwstr/>
      </vt:variant>
      <vt:variant>
        <vt:lpwstr>_Toc10202274</vt:lpwstr>
      </vt:variant>
      <vt:variant>
        <vt:i4>1441846</vt:i4>
      </vt:variant>
      <vt:variant>
        <vt:i4>530</vt:i4>
      </vt:variant>
      <vt:variant>
        <vt:i4>0</vt:i4>
      </vt:variant>
      <vt:variant>
        <vt:i4>5</vt:i4>
      </vt:variant>
      <vt:variant>
        <vt:lpwstr/>
      </vt:variant>
      <vt:variant>
        <vt:lpwstr>_Toc10202273</vt:lpwstr>
      </vt:variant>
      <vt:variant>
        <vt:i4>1507382</vt:i4>
      </vt:variant>
      <vt:variant>
        <vt:i4>524</vt:i4>
      </vt:variant>
      <vt:variant>
        <vt:i4>0</vt:i4>
      </vt:variant>
      <vt:variant>
        <vt:i4>5</vt:i4>
      </vt:variant>
      <vt:variant>
        <vt:lpwstr/>
      </vt:variant>
      <vt:variant>
        <vt:lpwstr>_Toc10202272</vt:lpwstr>
      </vt:variant>
      <vt:variant>
        <vt:i4>1310774</vt:i4>
      </vt:variant>
      <vt:variant>
        <vt:i4>518</vt:i4>
      </vt:variant>
      <vt:variant>
        <vt:i4>0</vt:i4>
      </vt:variant>
      <vt:variant>
        <vt:i4>5</vt:i4>
      </vt:variant>
      <vt:variant>
        <vt:lpwstr/>
      </vt:variant>
      <vt:variant>
        <vt:lpwstr>_Toc10202271</vt:lpwstr>
      </vt:variant>
      <vt:variant>
        <vt:i4>1376310</vt:i4>
      </vt:variant>
      <vt:variant>
        <vt:i4>512</vt:i4>
      </vt:variant>
      <vt:variant>
        <vt:i4>0</vt:i4>
      </vt:variant>
      <vt:variant>
        <vt:i4>5</vt:i4>
      </vt:variant>
      <vt:variant>
        <vt:lpwstr/>
      </vt:variant>
      <vt:variant>
        <vt:lpwstr>_Toc10202270</vt:lpwstr>
      </vt:variant>
      <vt:variant>
        <vt:i4>1835063</vt:i4>
      </vt:variant>
      <vt:variant>
        <vt:i4>506</vt:i4>
      </vt:variant>
      <vt:variant>
        <vt:i4>0</vt:i4>
      </vt:variant>
      <vt:variant>
        <vt:i4>5</vt:i4>
      </vt:variant>
      <vt:variant>
        <vt:lpwstr/>
      </vt:variant>
      <vt:variant>
        <vt:lpwstr>_Toc10202269</vt:lpwstr>
      </vt:variant>
      <vt:variant>
        <vt:i4>1900599</vt:i4>
      </vt:variant>
      <vt:variant>
        <vt:i4>500</vt:i4>
      </vt:variant>
      <vt:variant>
        <vt:i4>0</vt:i4>
      </vt:variant>
      <vt:variant>
        <vt:i4>5</vt:i4>
      </vt:variant>
      <vt:variant>
        <vt:lpwstr/>
      </vt:variant>
      <vt:variant>
        <vt:lpwstr>_Toc10202268</vt:lpwstr>
      </vt:variant>
      <vt:variant>
        <vt:i4>1179703</vt:i4>
      </vt:variant>
      <vt:variant>
        <vt:i4>494</vt:i4>
      </vt:variant>
      <vt:variant>
        <vt:i4>0</vt:i4>
      </vt:variant>
      <vt:variant>
        <vt:i4>5</vt:i4>
      </vt:variant>
      <vt:variant>
        <vt:lpwstr/>
      </vt:variant>
      <vt:variant>
        <vt:lpwstr>_Toc10202267</vt:lpwstr>
      </vt:variant>
      <vt:variant>
        <vt:i4>1245239</vt:i4>
      </vt:variant>
      <vt:variant>
        <vt:i4>488</vt:i4>
      </vt:variant>
      <vt:variant>
        <vt:i4>0</vt:i4>
      </vt:variant>
      <vt:variant>
        <vt:i4>5</vt:i4>
      </vt:variant>
      <vt:variant>
        <vt:lpwstr/>
      </vt:variant>
      <vt:variant>
        <vt:lpwstr>_Toc10202266</vt:lpwstr>
      </vt:variant>
      <vt:variant>
        <vt:i4>1048631</vt:i4>
      </vt:variant>
      <vt:variant>
        <vt:i4>482</vt:i4>
      </vt:variant>
      <vt:variant>
        <vt:i4>0</vt:i4>
      </vt:variant>
      <vt:variant>
        <vt:i4>5</vt:i4>
      </vt:variant>
      <vt:variant>
        <vt:lpwstr/>
      </vt:variant>
      <vt:variant>
        <vt:lpwstr>_Toc10202265</vt:lpwstr>
      </vt:variant>
      <vt:variant>
        <vt:i4>1114167</vt:i4>
      </vt:variant>
      <vt:variant>
        <vt:i4>476</vt:i4>
      </vt:variant>
      <vt:variant>
        <vt:i4>0</vt:i4>
      </vt:variant>
      <vt:variant>
        <vt:i4>5</vt:i4>
      </vt:variant>
      <vt:variant>
        <vt:lpwstr/>
      </vt:variant>
      <vt:variant>
        <vt:lpwstr>_Toc10202264</vt:lpwstr>
      </vt:variant>
      <vt:variant>
        <vt:i4>1441847</vt:i4>
      </vt:variant>
      <vt:variant>
        <vt:i4>470</vt:i4>
      </vt:variant>
      <vt:variant>
        <vt:i4>0</vt:i4>
      </vt:variant>
      <vt:variant>
        <vt:i4>5</vt:i4>
      </vt:variant>
      <vt:variant>
        <vt:lpwstr/>
      </vt:variant>
      <vt:variant>
        <vt:lpwstr>_Toc10202263</vt:lpwstr>
      </vt:variant>
      <vt:variant>
        <vt:i4>1507383</vt:i4>
      </vt:variant>
      <vt:variant>
        <vt:i4>464</vt:i4>
      </vt:variant>
      <vt:variant>
        <vt:i4>0</vt:i4>
      </vt:variant>
      <vt:variant>
        <vt:i4>5</vt:i4>
      </vt:variant>
      <vt:variant>
        <vt:lpwstr/>
      </vt:variant>
      <vt:variant>
        <vt:lpwstr>_Toc10202262</vt:lpwstr>
      </vt:variant>
      <vt:variant>
        <vt:i4>1310775</vt:i4>
      </vt:variant>
      <vt:variant>
        <vt:i4>458</vt:i4>
      </vt:variant>
      <vt:variant>
        <vt:i4>0</vt:i4>
      </vt:variant>
      <vt:variant>
        <vt:i4>5</vt:i4>
      </vt:variant>
      <vt:variant>
        <vt:lpwstr/>
      </vt:variant>
      <vt:variant>
        <vt:lpwstr>_Toc10202261</vt:lpwstr>
      </vt:variant>
      <vt:variant>
        <vt:i4>1376311</vt:i4>
      </vt:variant>
      <vt:variant>
        <vt:i4>452</vt:i4>
      </vt:variant>
      <vt:variant>
        <vt:i4>0</vt:i4>
      </vt:variant>
      <vt:variant>
        <vt:i4>5</vt:i4>
      </vt:variant>
      <vt:variant>
        <vt:lpwstr/>
      </vt:variant>
      <vt:variant>
        <vt:lpwstr>_Toc10202260</vt:lpwstr>
      </vt:variant>
      <vt:variant>
        <vt:i4>1835060</vt:i4>
      </vt:variant>
      <vt:variant>
        <vt:i4>446</vt:i4>
      </vt:variant>
      <vt:variant>
        <vt:i4>0</vt:i4>
      </vt:variant>
      <vt:variant>
        <vt:i4>5</vt:i4>
      </vt:variant>
      <vt:variant>
        <vt:lpwstr/>
      </vt:variant>
      <vt:variant>
        <vt:lpwstr>_Toc10202259</vt:lpwstr>
      </vt:variant>
      <vt:variant>
        <vt:i4>1900596</vt:i4>
      </vt:variant>
      <vt:variant>
        <vt:i4>440</vt:i4>
      </vt:variant>
      <vt:variant>
        <vt:i4>0</vt:i4>
      </vt:variant>
      <vt:variant>
        <vt:i4>5</vt:i4>
      </vt:variant>
      <vt:variant>
        <vt:lpwstr/>
      </vt:variant>
      <vt:variant>
        <vt:lpwstr>_Toc10202258</vt:lpwstr>
      </vt:variant>
      <vt:variant>
        <vt:i4>1179700</vt:i4>
      </vt:variant>
      <vt:variant>
        <vt:i4>434</vt:i4>
      </vt:variant>
      <vt:variant>
        <vt:i4>0</vt:i4>
      </vt:variant>
      <vt:variant>
        <vt:i4>5</vt:i4>
      </vt:variant>
      <vt:variant>
        <vt:lpwstr/>
      </vt:variant>
      <vt:variant>
        <vt:lpwstr>_Toc10202257</vt:lpwstr>
      </vt:variant>
      <vt:variant>
        <vt:i4>1245236</vt:i4>
      </vt:variant>
      <vt:variant>
        <vt:i4>428</vt:i4>
      </vt:variant>
      <vt:variant>
        <vt:i4>0</vt:i4>
      </vt:variant>
      <vt:variant>
        <vt:i4>5</vt:i4>
      </vt:variant>
      <vt:variant>
        <vt:lpwstr/>
      </vt:variant>
      <vt:variant>
        <vt:lpwstr>_Toc10202256</vt:lpwstr>
      </vt:variant>
      <vt:variant>
        <vt:i4>1048628</vt:i4>
      </vt:variant>
      <vt:variant>
        <vt:i4>422</vt:i4>
      </vt:variant>
      <vt:variant>
        <vt:i4>0</vt:i4>
      </vt:variant>
      <vt:variant>
        <vt:i4>5</vt:i4>
      </vt:variant>
      <vt:variant>
        <vt:lpwstr/>
      </vt:variant>
      <vt:variant>
        <vt:lpwstr>_Toc10202255</vt:lpwstr>
      </vt:variant>
      <vt:variant>
        <vt:i4>1114164</vt:i4>
      </vt:variant>
      <vt:variant>
        <vt:i4>416</vt:i4>
      </vt:variant>
      <vt:variant>
        <vt:i4>0</vt:i4>
      </vt:variant>
      <vt:variant>
        <vt:i4>5</vt:i4>
      </vt:variant>
      <vt:variant>
        <vt:lpwstr/>
      </vt:variant>
      <vt:variant>
        <vt:lpwstr>_Toc10202254</vt:lpwstr>
      </vt:variant>
      <vt:variant>
        <vt:i4>1441844</vt:i4>
      </vt:variant>
      <vt:variant>
        <vt:i4>410</vt:i4>
      </vt:variant>
      <vt:variant>
        <vt:i4>0</vt:i4>
      </vt:variant>
      <vt:variant>
        <vt:i4>5</vt:i4>
      </vt:variant>
      <vt:variant>
        <vt:lpwstr/>
      </vt:variant>
      <vt:variant>
        <vt:lpwstr>_Toc10202253</vt:lpwstr>
      </vt:variant>
      <vt:variant>
        <vt:i4>1507380</vt:i4>
      </vt:variant>
      <vt:variant>
        <vt:i4>404</vt:i4>
      </vt:variant>
      <vt:variant>
        <vt:i4>0</vt:i4>
      </vt:variant>
      <vt:variant>
        <vt:i4>5</vt:i4>
      </vt:variant>
      <vt:variant>
        <vt:lpwstr/>
      </vt:variant>
      <vt:variant>
        <vt:lpwstr>_Toc10202252</vt:lpwstr>
      </vt:variant>
      <vt:variant>
        <vt:i4>1310772</vt:i4>
      </vt:variant>
      <vt:variant>
        <vt:i4>398</vt:i4>
      </vt:variant>
      <vt:variant>
        <vt:i4>0</vt:i4>
      </vt:variant>
      <vt:variant>
        <vt:i4>5</vt:i4>
      </vt:variant>
      <vt:variant>
        <vt:lpwstr/>
      </vt:variant>
      <vt:variant>
        <vt:lpwstr>_Toc10202251</vt:lpwstr>
      </vt:variant>
      <vt:variant>
        <vt:i4>1376308</vt:i4>
      </vt:variant>
      <vt:variant>
        <vt:i4>392</vt:i4>
      </vt:variant>
      <vt:variant>
        <vt:i4>0</vt:i4>
      </vt:variant>
      <vt:variant>
        <vt:i4>5</vt:i4>
      </vt:variant>
      <vt:variant>
        <vt:lpwstr/>
      </vt:variant>
      <vt:variant>
        <vt:lpwstr>_Toc10202250</vt:lpwstr>
      </vt:variant>
      <vt:variant>
        <vt:i4>1835061</vt:i4>
      </vt:variant>
      <vt:variant>
        <vt:i4>386</vt:i4>
      </vt:variant>
      <vt:variant>
        <vt:i4>0</vt:i4>
      </vt:variant>
      <vt:variant>
        <vt:i4>5</vt:i4>
      </vt:variant>
      <vt:variant>
        <vt:lpwstr/>
      </vt:variant>
      <vt:variant>
        <vt:lpwstr>_Toc10202249</vt:lpwstr>
      </vt:variant>
      <vt:variant>
        <vt:i4>1900597</vt:i4>
      </vt:variant>
      <vt:variant>
        <vt:i4>380</vt:i4>
      </vt:variant>
      <vt:variant>
        <vt:i4>0</vt:i4>
      </vt:variant>
      <vt:variant>
        <vt:i4>5</vt:i4>
      </vt:variant>
      <vt:variant>
        <vt:lpwstr/>
      </vt:variant>
      <vt:variant>
        <vt:lpwstr>_Toc10202248</vt:lpwstr>
      </vt:variant>
      <vt:variant>
        <vt:i4>1179701</vt:i4>
      </vt:variant>
      <vt:variant>
        <vt:i4>374</vt:i4>
      </vt:variant>
      <vt:variant>
        <vt:i4>0</vt:i4>
      </vt:variant>
      <vt:variant>
        <vt:i4>5</vt:i4>
      </vt:variant>
      <vt:variant>
        <vt:lpwstr/>
      </vt:variant>
      <vt:variant>
        <vt:lpwstr>_Toc10202247</vt:lpwstr>
      </vt:variant>
      <vt:variant>
        <vt:i4>1245237</vt:i4>
      </vt:variant>
      <vt:variant>
        <vt:i4>368</vt:i4>
      </vt:variant>
      <vt:variant>
        <vt:i4>0</vt:i4>
      </vt:variant>
      <vt:variant>
        <vt:i4>5</vt:i4>
      </vt:variant>
      <vt:variant>
        <vt:lpwstr/>
      </vt:variant>
      <vt:variant>
        <vt:lpwstr>_Toc10202246</vt:lpwstr>
      </vt:variant>
      <vt:variant>
        <vt:i4>1048629</vt:i4>
      </vt:variant>
      <vt:variant>
        <vt:i4>362</vt:i4>
      </vt:variant>
      <vt:variant>
        <vt:i4>0</vt:i4>
      </vt:variant>
      <vt:variant>
        <vt:i4>5</vt:i4>
      </vt:variant>
      <vt:variant>
        <vt:lpwstr/>
      </vt:variant>
      <vt:variant>
        <vt:lpwstr>_Toc10202245</vt:lpwstr>
      </vt:variant>
      <vt:variant>
        <vt:i4>1114165</vt:i4>
      </vt:variant>
      <vt:variant>
        <vt:i4>356</vt:i4>
      </vt:variant>
      <vt:variant>
        <vt:i4>0</vt:i4>
      </vt:variant>
      <vt:variant>
        <vt:i4>5</vt:i4>
      </vt:variant>
      <vt:variant>
        <vt:lpwstr/>
      </vt:variant>
      <vt:variant>
        <vt:lpwstr>_Toc10202244</vt:lpwstr>
      </vt:variant>
      <vt:variant>
        <vt:i4>1441845</vt:i4>
      </vt:variant>
      <vt:variant>
        <vt:i4>350</vt:i4>
      </vt:variant>
      <vt:variant>
        <vt:i4>0</vt:i4>
      </vt:variant>
      <vt:variant>
        <vt:i4>5</vt:i4>
      </vt:variant>
      <vt:variant>
        <vt:lpwstr/>
      </vt:variant>
      <vt:variant>
        <vt:lpwstr>_Toc10202243</vt:lpwstr>
      </vt:variant>
      <vt:variant>
        <vt:i4>1507381</vt:i4>
      </vt:variant>
      <vt:variant>
        <vt:i4>344</vt:i4>
      </vt:variant>
      <vt:variant>
        <vt:i4>0</vt:i4>
      </vt:variant>
      <vt:variant>
        <vt:i4>5</vt:i4>
      </vt:variant>
      <vt:variant>
        <vt:lpwstr/>
      </vt:variant>
      <vt:variant>
        <vt:lpwstr>_Toc10202242</vt:lpwstr>
      </vt:variant>
      <vt:variant>
        <vt:i4>1310773</vt:i4>
      </vt:variant>
      <vt:variant>
        <vt:i4>338</vt:i4>
      </vt:variant>
      <vt:variant>
        <vt:i4>0</vt:i4>
      </vt:variant>
      <vt:variant>
        <vt:i4>5</vt:i4>
      </vt:variant>
      <vt:variant>
        <vt:lpwstr/>
      </vt:variant>
      <vt:variant>
        <vt:lpwstr>_Toc10202241</vt:lpwstr>
      </vt:variant>
      <vt:variant>
        <vt:i4>1376309</vt:i4>
      </vt:variant>
      <vt:variant>
        <vt:i4>332</vt:i4>
      </vt:variant>
      <vt:variant>
        <vt:i4>0</vt:i4>
      </vt:variant>
      <vt:variant>
        <vt:i4>5</vt:i4>
      </vt:variant>
      <vt:variant>
        <vt:lpwstr/>
      </vt:variant>
      <vt:variant>
        <vt:lpwstr>_Toc10202240</vt:lpwstr>
      </vt:variant>
      <vt:variant>
        <vt:i4>1835058</vt:i4>
      </vt:variant>
      <vt:variant>
        <vt:i4>326</vt:i4>
      </vt:variant>
      <vt:variant>
        <vt:i4>0</vt:i4>
      </vt:variant>
      <vt:variant>
        <vt:i4>5</vt:i4>
      </vt:variant>
      <vt:variant>
        <vt:lpwstr/>
      </vt:variant>
      <vt:variant>
        <vt:lpwstr>_Toc10202239</vt:lpwstr>
      </vt:variant>
      <vt:variant>
        <vt:i4>1900594</vt:i4>
      </vt:variant>
      <vt:variant>
        <vt:i4>320</vt:i4>
      </vt:variant>
      <vt:variant>
        <vt:i4>0</vt:i4>
      </vt:variant>
      <vt:variant>
        <vt:i4>5</vt:i4>
      </vt:variant>
      <vt:variant>
        <vt:lpwstr/>
      </vt:variant>
      <vt:variant>
        <vt:lpwstr>_Toc10202238</vt:lpwstr>
      </vt:variant>
      <vt:variant>
        <vt:i4>1179698</vt:i4>
      </vt:variant>
      <vt:variant>
        <vt:i4>314</vt:i4>
      </vt:variant>
      <vt:variant>
        <vt:i4>0</vt:i4>
      </vt:variant>
      <vt:variant>
        <vt:i4>5</vt:i4>
      </vt:variant>
      <vt:variant>
        <vt:lpwstr/>
      </vt:variant>
      <vt:variant>
        <vt:lpwstr>_Toc10202237</vt:lpwstr>
      </vt:variant>
      <vt:variant>
        <vt:i4>1245234</vt:i4>
      </vt:variant>
      <vt:variant>
        <vt:i4>308</vt:i4>
      </vt:variant>
      <vt:variant>
        <vt:i4>0</vt:i4>
      </vt:variant>
      <vt:variant>
        <vt:i4>5</vt:i4>
      </vt:variant>
      <vt:variant>
        <vt:lpwstr/>
      </vt:variant>
      <vt:variant>
        <vt:lpwstr>_Toc10202236</vt:lpwstr>
      </vt:variant>
      <vt:variant>
        <vt:i4>1048626</vt:i4>
      </vt:variant>
      <vt:variant>
        <vt:i4>302</vt:i4>
      </vt:variant>
      <vt:variant>
        <vt:i4>0</vt:i4>
      </vt:variant>
      <vt:variant>
        <vt:i4>5</vt:i4>
      </vt:variant>
      <vt:variant>
        <vt:lpwstr/>
      </vt:variant>
      <vt:variant>
        <vt:lpwstr>_Toc10202235</vt:lpwstr>
      </vt:variant>
      <vt:variant>
        <vt:i4>1114162</vt:i4>
      </vt:variant>
      <vt:variant>
        <vt:i4>296</vt:i4>
      </vt:variant>
      <vt:variant>
        <vt:i4>0</vt:i4>
      </vt:variant>
      <vt:variant>
        <vt:i4>5</vt:i4>
      </vt:variant>
      <vt:variant>
        <vt:lpwstr/>
      </vt:variant>
      <vt:variant>
        <vt:lpwstr>_Toc10202234</vt:lpwstr>
      </vt:variant>
      <vt:variant>
        <vt:i4>1441842</vt:i4>
      </vt:variant>
      <vt:variant>
        <vt:i4>290</vt:i4>
      </vt:variant>
      <vt:variant>
        <vt:i4>0</vt:i4>
      </vt:variant>
      <vt:variant>
        <vt:i4>5</vt:i4>
      </vt:variant>
      <vt:variant>
        <vt:lpwstr/>
      </vt:variant>
      <vt:variant>
        <vt:lpwstr>_Toc10202233</vt:lpwstr>
      </vt:variant>
      <vt:variant>
        <vt:i4>1507378</vt:i4>
      </vt:variant>
      <vt:variant>
        <vt:i4>284</vt:i4>
      </vt:variant>
      <vt:variant>
        <vt:i4>0</vt:i4>
      </vt:variant>
      <vt:variant>
        <vt:i4>5</vt:i4>
      </vt:variant>
      <vt:variant>
        <vt:lpwstr/>
      </vt:variant>
      <vt:variant>
        <vt:lpwstr>_Toc10202232</vt:lpwstr>
      </vt:variant>
      <vt:variant>
        <vt:i4>1310770</vt:i4>
      </vt:variant>
      <vt:variant>
        <vt:i4>278</vt:i4>
      </vt:variant>
      <vt:variant>
        <vt:i4>0</vt:i4>
      </vt:variant>
      <vt:variant>
        <vt:i4>5</vt:i4>
      </vt:variant>
      <vt:variant>
        <vt:lpwstr/>
      </vt:variant>
      <vt:variant>
        <vt:lpwstr>_Toc10202231</vt:lpwstr>
      </vt:variant>
      <vt:variant>
        <vt:i4>1376306</vt:i4>
      </vt:variant>
      <vt:variant>
        <vt:i4>272</vt:i4>
      </vt:variant>
      <vt:variant>
        <vt:i4>0</vt:i4>
      </vt:variant>
      <vt:variant>
        <vt:i4>5</vt:i4>
      </vt:variant>
      <vt:variant>
        <vt:lpwstr/>
      </vt:variant>
      <vt:variant>
        <vt:lpwstr>_Toc10202230</vt:lpwstr>
      </vt:variant>
      <vt:variant>
        <vt:i4>1835059</vt:i4>
      </vt:variant>
      <vt:variant>
        <vt:i4>266</vt:i4>
      </vt:variant>
      <vt:variant>
        <vt:i4>0</vt:i4>
      </vt:variant>
      <vt:variant>
        <vt:i4>5</vt:i4>
      </vt:variant>
      <vt:variant>
        <vt:lpwstr/>
      </vt:variant>
      <vt:variant>
        <vt:lpwstr>_Toc10202229</vt:lpwstr>
      </vt:variant>
      <vt:variant>
        <vt:i4>1900595</vt:i4>
      </vt:variant>
      <vt:variant>
        <vt:i4>260</vt:i4>
      </vt:variant>
      <vt:variant>
        <vt:i4>0</vt:i4>
      </vt:variant>
      <vt:variant>
        <vt:i4>5</vt:i4>
      </vt:variant>
      <vt:variant>
        <vt:lpwstr/>
      </vt:variant>
      <vt:variant>
        <vt:lpwstr>_Toc10202228</vt:lpwstr>
      </vt:variant>
      <vt:variant>
        <vt:i4>1179699</vt:i4>
      </vt:variant>
      <vt:variant>
        <vt:i4>254</vt:i4>
      </vt:variant>
      <vt:variant>
        <vt:i4>0</vt:i4>
      </vt:variant>
      <vt:variant>
        <vt:i4>5</vt:i4>
      </vt:variant>
      <vt:variant>
        <vt:lpwstr/>
      </vt:variant>
      <vt:variant>
        <vt:lpwstr>_Toc10202227</vt:lpwstr>
      </vt:variant>
      <vt:variant>
        <vt:i4>1245235</vt:i4>
      </vt:variant>
      <vt:variant>
        <vt:i4>248</vt:i4>
      </vt:variant>
      <vt:variant>
        <vt:i4>0</vt:i4>
      </vt:variant>
      <vt:variant>
        <vt:i4>5</vt:i4>
      </vt:variant>
      <vt:variant>
        <vt:lpwstr/>
      </vt:variant>
      <vt:variant>
        <vt:lpwstr>_Toc10202226</vt:lpwstr>
      </vt:variant>
      <vt:variant>
        <vt:i4>1048627</vt:i4>
      </vt:variant>
      <vt:variant>
        <vt:i4>242</vt:i4>
      </vt:variant>
      <vt:variant>
        <vt:i4>0</vt:i4>
      </vt:variant>
      <vt:variant>
        <vt:i4>5</vt:i4>
      </vt:variant>
      <vt:variant>
        <vt:lpwstr/>
      </vt:variant>
      <vt:variant>
        <vt:lpwstr>_Toc10202225</vt:lpwstr>
      </vt:variant>
      <vt:variant>
        <vt:i4>1114163</vt:i4>
      </vt:variant>
      <vt:variant>
        <vt:i4>236</vt:i4>
      </vt:variant>
      <vt:variant>
        <vt:i4>0</vt:i4>
      </vt:variant>
      <vt:variant>
        <vt:i4>5</vt:i4>
      </vt:variant>
      <vt:variant>
        <vt:lpwstr/>
      </vt:variant>
      <vt:variant>
        <vt:lpwstr>_Toc10202224</vt:lpwstr>
      </vt:variant>
      <vt:variant>
        <vt:i4>1441843</vt:i4>
      </vt:variant>
      <vt:variant>
        <vt:i4>230</vt:i4>
      </vt:variant>
      <vt:variant>
        <vt:i4>0</vt:i4>
      </vt:variant>
      <vt:variant>
        <vt:i4>5</vt:i4>
      </vt:variant>
      <vt:variant>
        <vt:lpwstr/>
      </vt:variant>
      <vt:variant>
        <vt:lpwstr>_Toc10202223</vt:lpwstr>
      </vt:variant>
      <vt:variant>
        <vt:i4>1507379</vt:i4>
      </vt:variant>
      <vt:variant>
        <vt:i4>224</vt:i4>
      </vt:variant>
      <vt:variant>
        <vt:i4>0</vt:i4>
      </vt:variant>
      <vt:variant>
        <vt:i4>5</vt:i4>
      </vt:variant>
      <vt:variant>
        <vt:lpwstr/>
      </vt:variant>
      <vt:variant>
        <vt:lpwstr>_Toc10202222</vt:lpwstr>
      </vt:variant>
      <vt:variant>
        <vt:i4>1310771</vt:i4>
      </vt:variant>
      <vt:variant>
        <vt:i4>218</vt:i4>
      </vt:variant>
      <vt:variant>
        <vt:i4>0</vt:i4>
      </vt:variant>
      <vt:variant>
        <vt:i4>5</vt:i4>
      </vt:variant>
      <vt:variant>
        <vt:lpwstr/>
      </vt:variant>
      <vt:variant>
        <vt:lpwstr>_Toc10202221</vt:lpwstr>
      </vt:variant>
      <vt:variant>
        <vt:i4>1376307</vt:i4>
      </vt:variant>
      <vt:variant>
        <vt:i4>212</vt:i4>
      </vt:variant>
      <vt:variant>
        <vt:i4>0</vt:i4>
      </vt:variant>
      <vt:variant>
        <vt:i4>5</vt:i4>
      </vt:variant>
      <vt:variant>
        <vt:lpwstr/>
      </vt:variant>
      <vt:variant>
        <vt:lpwstr>_Toc10202220</vt:lpwstr>
      </vt:variant>
      <vt:variant>
        <vt:i4>1835056</vt:i4>
      </vt:variant>
      <vt:variant>
        <vt:i4>206</vt:i4>
      </vt:variant>
      <vt:variant>
        <vt:i4>0</vt:i4>
      </vt:variant>
      <vt:variant>
        <vt:i4>5</vt:i4>
      </vt:variant>
      <vt:variant>
        <vt:lpwstr/>
      </vt:variant>
      <vt:variant>
        <vt:lpwstr>_Toc10202219</vt:lpwstr>
      </vt:variant>
      <vt:variant>
        <vt:i4>1900592</vt:i4>
      </vt:variant>
      <vt:variant>
        <vt:i4>200</vt:i4>
      </vt:variant>
      <vt:variant>
        <vt:i4>0</vt:i4>
      </vt:variant>
      <vt:variant>
        <vt:i4>5</vt:i4>
      </vt:variant>
      <vt:variant>
        <vt:lpwstr/>
      </vt:variant>
      <vt:variant>
        <vt:lpwstr>_Toc10202218</vt:lpwstr>
      </vt:variant>
      <vt:variant>
        <vt:i4>1179696</vt:i4>
      </vt:variant>
      <vt:variant>
        <vt:i4>194</vt:i4>
      </vt:variant>
      <vt:variant>
        <vt:i4>0</vt:i4>
      </vt:variant>
      <vt:variant>
        <vt:i4>5</vt:i4>
      </vt:variant>
      <vt:variant>
        <vt:lpwstr/>
      </vt:variant>
      <vt:variant>
        <vt:lpwstr>_Toc10202217</vt:lpwstr>
      </vt:variant>
      <vt:variant>
        <vt:i4>1245232</vt:i4>
      </vt:variant>
      <vt:variant>
        <vt:i4>188</vt:i4>
      </vt:variant>
      <vt:variant>
        <vt:i4>0</vt:i4>
      </vt:variant>
      <vt:variant>
        <vt:i4>5</vt:i4>
      </vt:variant>
      <vt:variant>
        <vt:lpwstr/>
      </vt:variant>
      <vt:variant>
        <vt:lpwstr>_Toc10202216</vt:lpwstr>
      </vt:variant>
      <vt:variant>
        <vt:i4>1048624</vt:i4>
      </vt:variant>
      <vt:variant>
        <vt:i4>182</vt:i4>
      </vt:variant>
      <vt:variant>
        <vt:i4>0</vt:i4>
      </vt:variant>
      <vt:variant>
        <vt:i4>5</vt:i4>
      </vt:variant>
      <vt:variant>
        <vt:lpwstr/>
      </vt:variant>
      <vt:variant>
        <vt:lpwstr>_Toc10202215</vt:lpwstr>
      </vt:variant>
      <vt:variant>
        <vt:i4>1114160</vt:i4>
      </vt:variant>
      <vt:variant>
        <vt:i4>176</vt:i4>
      </vt:variant>
      <vt:variant>
        <vt:i4>0</vt:i4>
      </vt:variant>
      <vt:variant>
        <vt:i4>5</vt:i4>
      </vt:variant>
      <vt:variant>
        <vt:lpwstr/>
      </vt:variant>
      <vt:variant>
        <vt:lpwstr>_Toc10202214</vt:lpwstr>
      </vt:variant>
      <vt:variant>
        <vt:i4>1441840</vt:i4>
      </vt:variant>
      <vt:variant>
        <vt:i4>170</vt:i4>
      </vt:variant>
      <vt:variant>
        <vt:i4>0</vt:i4>
      </vt:variant>
      <vt:variant>
        <vt:i4>5</vt:i4>
      </vt:variant>
      <vt:variant>
        <vt:lpwstr/>
      </vt:variant>
      <vt:variant>
        <vt:lpwstr>_Toc10202213</vt:lpwstr>
      </vt:variant>
      <vt:variant>
        <vt:i4>1507376</vt:i4>
      </vt:variant>
      <vt:variant>
        <vt:i4>164</vt:i4>
      </vt:variant>
      <vt:variant>
        <vt:i4>0</vt:i4>
      </vt:variant>
      <vt:variant>
        <vt:i4>5</vt:i4>
      </vt:variant>
      <vt:variant>
        <vt:lpwstr/>
      </vt:variant>
      <vt:variant>
        <vt:lpwstr>_Toc10202212</vt:lpwstr>
      </vt:variant>
      <vt:variant>
        <vt:i4>1310768</vt:i4>
      </vt:variant>
      <vt:variant>
        <vt:i4>158</vt:i4>
      </vt:variant>
      <vt:variant>
        <vt:i4>0</vt:i4>
      </vt:variant>
      <vt:variant>
        <vt:i4>5</vt:i4>
      </vt:variant>
      <vt:variant>
        <vt:lpwstr/>
      </vt:variant>
      <vt:variant>
        <vt:lpwstr>_Toc10202211</vt:lpwstr>
      </vt:variant>
      <vt:variant>
        <vt:i4>1376304</vt:i4>
      </vt:variant>
      <vt:variant>
        <vt:i4>152</vt:i4>
      </vt:variant>
      <vt:variant>
        <vt:i4>0</vt:i4>
      </vt:variant>
      <vt:variant>
        <vt:i4>5</vt:i4>
      </vt:variant>
      <vt:variant>
        <vt:lpwstr/>
      </vt:variant>
      <vt:variant>
        <vt:lpwstr>_Toc10202210</vt:lpwstr>
      </vt:variant>
      <vt:variant>
        <vt:i4>1835057</vt:i4>
      </vt:variant>
      <vt:variant>
        <vt:i4>146</vt:i4>
      </vt:variant>
      <vt:variant>
        <vt:i4>0</vt:i4>
      </vt:variant>
      <vt:variant>
        <vt:i4>5</vt:i4>
      </vt:variant>
      <vt:variant>
        <vt:lpwstr/>
      </vt:variant>
      <vt:variant>
        <vt:lpwstr>_Toc10202209</vt:lpwstr>
      </vt:variant>
      <vt:variant>
        <vt:i4>1900593</vt:i4>
      </vt:variant>
      <vt:variant>
        <vt:i4>140</vt:i4>
      </vt:variant>
      <vt:variant>
        <vt:i4>0</vt:i4>
      </vt:variant>
      <vt:variant>
        <vt:i4>5</vt:i4>
      </vt:variant>
      <vt:variant>
        <vt:lpwstr/>
      </vt:variant>
      <vt:variant>
        <vt:lpwstr>_Toc10202208</vt:lpwstr>
      </vt:variant>
      <vt:variant>
        <vt:i4>1179697</vt:i4>
      </vt:variant>
      <vt:variant>
        <vt:i4>134</vt:i4>
      </vt:variant>
      <vt:variant>
        <vt:i4>0</vt:i4>
      </vt:variant>
      <vt:variant>
        <vt:i4>5</vt:i4>
      </vt:variant>
      <vt:variant>
        <vt:lpwstr/>
      </vt:variant>
      <vt:variant>
        <vt:lpwstr>_Toc10202207</vt:lpwstr>
      </vt:variant>
      <vt:variant>
        <vt:i4>1245233</vt:i4>
      </vt:variant>
      <vt:variant>
        <vt:i4>128</vt:i4>
      </vt:variant>
      <vt:variant>
        <vt:i4>0</vt:i4>
      </vt:variant>
      <vt:variant>
        <vt:i4>5</vt:i4>
      </vt:variant>
      <vt:variant>
        <vt:lpwstr/>
      </vt:variant>
      <vt:variant>
        <vt:lpwstr>_Toc10202206</vt:lpwstr>
      </vt:variant>
      <vt:variant>
        <vt:i4>1048625</vt:i4>
      </vt:variant>
      <vt:variant>
        <vt:i4>122</vt:i4>
      </vt:variant>
      <vt:variant>
        <vt:i4>0</vt:i4>
      </vt:variant>
      <vt:variant>
        <vt:i4>5</vt:i4>
      </vt:variant>
      <vt:variant>
        <vt:lpwstr/>
      </vt:variant>
      <vt:variant>
        <vt:lpwstr>_Toc10202205</vt:lpwstr>
      </vt:variant>
      <vt:variant>
        <vt:i4>1114161</vt:i4>
      </vt:variant>
      <vt:variant>
        <vt:i4>116</vt:i4>
      </vt:variant>
      <vt:variant>
        <vt:i4>0</vt:i4>
      </vt:variant>
      <vt:variant>
        <vt:i4>5</vt:i4>
      </vt:variant>
      <vt:variant>
        <vt:lpwstr/>
      </vt:variant>
      <vt:variant>
        <vt:lpwstr>_Toc10202204</vt:lpwstr>
      </vt:variant>
      <vt:variant>
        <vt:i4>1441841</vt:i4>
      </vt:variant>
      <vt:variant>
        <vt:i4>110</vt:i4>
      </vt:variant>
      <vt:variant>
        <vt:i4>0</vt:i4>
      </vt:variant>
      <vt:variant>
        <vt:i4>5</vt:i4>
      </vt:variant>
      <vt:variant>
        <vt:lpwstr/>
      </vt:variant>
      <vt:variant>
        <vt:lpwstr>_Toc10202203</vt:lpwstr>
      </vt:variant>
      <vt:variant>
        <vt:i4>1507377</vt:i4>
      </vt:variant>
      <vt:variant>
        <vt:i4>104</vt:i4>
      </vt:variant>
      <vt:variant>
        <vt:i4>0</vt:i4>
      </vt:variant>
      <vt:variant>
        <vt:i4>5</vt:i4>
      </vt:variant>
      <vt:variant>
        <vt:lpwstr/>
      </vt:variant>
      <vt:variant>
        <vt:lpwstr>_Toc10202202</vt:lpwstr>
      </vt:variant>
      <vt:variant>
        <vt:i4>1310769</vt:i4>
      </vt:variant>
      <vt:variant>
        <vt:i4>98</vt:i4>
      </vt:variant>
      <vt:variant>
        <vt:i4>0</vt:i4>
      </vt:variant>
      <vt:variant>
        <vt:i4>5</vt:i4>
      </vt:variant>
      <vt:variant>
        <vt:lpwstr/>
      </vt:variant>
      <vt:variant>
        <vt:lpwstr>_Toc10202201</vt:lpwstr>
      </vt:variant>
      <vt:variant>
        <vt:i4>1376305</vt:i4>
      </vt:variant>
      <vt:variant>
        <vt:i4>92</vt:i4>
      </vt:variant>
      <vt:variant>
        <vt:i4>0</vt:i4>
      </vt:variant>
      <vt:variant>
        <vt:i4>5</vt:i4>
      </vt:variant>
      <vt:variant>
        <vt:lpwstr/>
      </vt:variant>
      <vt:variant>
        <vt:lpwstr>_Toc10202200</vt:lpwstr>
      </vt:variant>
      <vt:variant>
        <vt:i4>2031672</vt:i4>
      </vt:variant>
      <vt:variant>
        <vt:i4>86</vt:i4>
      </vt:variant>
      <vt:variant>
        <vt:i4>0</vt:i4>
      </vt:variant>
      <vt:variant>
        <vt:i4>5</vt:i4>
      </vt:variant>
      <vt:variant>
        <vt:lpwstr/>
      </vt:variant>
      <vt:variant>
        <vt:lpwstr>_Toc10202199</vt:lpwstr>
      </vt:variant>
      <vt:variant>
        <vt:i4>1966136</vt:i4>
      </vt:variant>
      <vt:variant>
        <vt:i4>80</vt:i4>
      </vt:variant>
      <vt:variant>
        <vt:i4>0</vt:i4>
      </vt:variant>
      <vt:variant>
        <vt:i4>5</vt:i4>
      </vt:variant>
      <vt:variant>
        <vt:lpwstr/>
      </vt:variant>
      <vt:variant>
        <vt:lpwstr>_Toc10202198</vt:lpwstr>
      </vt:variant>
      <vt:variant>
        <vt:i4>1114168</vt:i4>
      </vt:variant>
      <vt:variant>
        <vt:i4>74</vt:i4>
      </vt:variant>
      <vt:variant>
        <vt:i4>0</vt:i4>
      </vt:variant>
      <vt:variant>
        <vt:i4>5</vt:i4>
      </vt:variant>
      <vt:variant>
        <vt:lpwstr/>
      </vt:variant>
      <vt:variant>
        <vt:lpwstr>_Toc10202197</vt:lpwstr>
      </vt:variant>
      <vt:variant>
        <vt:i4>1048632</vt:i4>
      </vt:variant>
      <vt:variant>
        <vt:i4>68</vt:i4>
      </vt:variant>
      <vt:variant>
        <vt:i4>0</vt:i4>
      </vt:variant>
      <vt:variant>
        <vt:i4>5</vt:i4>
      </vt:variant>
      <vt:variant>
        <vt:lpwstr/>
      </vt:variant>
      <vt:variant>
        <vt:lpwstr>_Toc10202196</vt:lpwstr>
      </vt:variant>
      <vt:variant>
        <vt:i4>1245240</vt:i4>
      </vt:variant>
      <vt:variant>
        <vt:i4>62</vt:i4>
      </vt:variant>
      <vt:variant>
        <vt:i4>0</vt:i4>
      </vt:variant>
      <vt:variant>
        <vt:i4>5</vt:i4>
      </vt:variant>
      <vt:variant>
        <vt:lpwstr/>
      </vt:variant>
      <vt:variant>
        <vt:lpwstr>_Toc10202195</vt:lpwstr>
      </vt:variant>
      <vt:variant>
        <vt:i4>1179704</vt:i4>
      </vt:variant>
      <vt:variant>
        <vt:i4>56</vt:i4>
      </vt:variant>
      <vt:variant>
        <vt:i4>0</vt:i4>
      </vt:variant>
      <vt:variant>
        <vt:i4>5</vt:i4>
      </vt:variant>
      <vt:variant>
        <vt:lpwstr/>
      </vt:variant>
      <vt:variant>
        <vt:lpwstr>_Toc10202194</vt:lpwstr>
      </vt:variant>
      <vt:variant>
        <vt:i4>1376312</vt:i4>
      </vt:variant>
      <vt:variant>
        <vt:i4>50</vt:i4>
      </vt:variant>
      <vt:variant>
        <vt:i4>0</vt:i4>
      </vt:variant>
      <vt:variant>
        <vt:i4>5</vt:i4>
      </vt:variant>
      <vt:variant>
        <vt:lpwstr/>
      </vt:variant>
      <vt:variant>
        <vt:lpwstr>_Toc10202193</vt:lpwstr>
      </vt:variant>
      <vt:variant>
        <vt:i4>1310776</vt:i4>
      </vt:variant>
      <vt:variant>
        <vt:i4>44</vt:i4>
      </vt:variant>
      <vt:variant>
        <vt:i4>0</vt:i4>
      </vt:variant>
      <vt:variant>
        <vt:i4>5</vt:i4>
      </vt:variant>
      <vt:variant>
        <vt:lpwstr/>
      </vt:variant>
      <vt:variant>
        <vt:lpwstr>_Toc10202192</vt:lpwstr>
      </vt:variant>
      <vt:variant>
        <vt:i4>1507384</vt:i4>
      </vt:variant>
      <vt:variant>
        <vt:i4>38</vt:i4>
      </vt:variant>
      <vt:variant>
        <vt:i4>0</vt:i4>
      </vt:variant>
      <vt:variant>
        <vt:i4>5</vt:i4>
      </vt:variant>
      <vt:variant>
        <vt:lpwstr/>
      </vt:variant>
      <vt:variant>
        <vt:lpwstr>_Toc10202191</vt:lpwstr>
      </vt:variant>
      <vt:variant>
        <vt:i4>1441848</vt:i4>
      </vt:variant>
      <vt:variant>
        <vt:i4>32</vt:i4>
      </vt:variant>
      <vt:variant>
        <vt:i4>0</vt:i4>
      </vt:variant>
      <vt:variant>
        <vt:i4>5</vt:i4>
      </vt:variant>
      <vt:variant>
        <vt:lpwstr/>
      </vt:variant>
      <vt:variant>
        <vt:lpwstr>_Toc10202190</vt:lpwstr>
      </vt:variant>
      <vt:variant>
        <vt:i4>2031673</vt:i4>
      </vt:variant>
      <vt:variant>
        <vt:i4>26</vt:i4>
      </vt:variant>
      <vt:variant>
        <vt:i4>0</vt:i4>
      </vt:variant>
      <vt:variant>
        <vt:i4>5</vt:i4>
      </vt:variant>
      <vt:variant>
        <vt:lpwstr/>
      </vt:variant>
      <vt:variant>
        <vt:lpwstr>_Toc10202189</vt:lpwstr>
      </vt:variant>
      <vt:variant>
        <vt:i4>1966137</vt:i4>
      </vt:variant>
      <vt:variant>
        <vt:i4>20</vt:i4>
      </vt:variant>
      <vt:variant>
        <vt:i4>0</vt:i4>
      </vt:variant>
      <vt:variant>
        <vt:i4>5</vt:i4>
      </vt:variant>
      <vt:variant>
        <vt:lpwstr/>
      </vt:variant>
      <vt:variant>
        <vt:lpwstr>_Toc10202188</vt:lpwstr>
      </vt:variant>
      <vt:variant>
        <vt:i4>1114169</vt:i4>
      </vt:variant>
      <vt:variant>
        <vt:i4>14</vt:i4>
      </vt:variant>
      <vt:variant>
        <vt:i4>0</vt:i4>
      </vt:variant>
      <vt:variant>
        <vt:i4>5</vt:i4>
      </vt:variant>
      <vt:variant>
        <vt:lpwstr/>
      </vt:variant>
      <vt:variant>
        <vt:lpwstr>_Toc10202187</vt:lpwstr>
      </vt:variant>
      <vt:variant>
        <vt:i4>786543</vt:i4>
      </vt:variant>
      <vt:variant>
        <vt:i4>9</vt:i4>
      </vt:variant>
      <vt:variant>
        <vt:i4>0</vt:i4>
      </vt:variant>
      <vt:variant>
        <vt:i4>5</vt:i4>
      </vt:variant>
      <vt:variant>
        <vt:lpwstr>mailto:hta@health.gov.au</vt:lpwstr>
      </vt:variant>
      <vt:variant>
        <vt:lpwstr/>
      </vt:variant>
      <vt:variant>
        <vt:i4>3997727</vt:i4>
      </vt:variant>
      <vt:variant>
        <vt:i4>6</vt:i4>
      </vt:variant>
      <vt:variant>
        <vt:i4>0</vt:i4>
      </vt:variant>
      <vt:variant>
        <vt:i4>5</vt:i4>
      </vt:variant>
      <vt:variant>
        <vt:lpwstr>http://www.msac.gov.au/</vt:lpwstr>
      </vt:variant>
      <vt:variant>
        <vt:lpwstr/>
      </vt:variant>
      <vt:variant>
        <vt:i4>5242984</vt:i4>
      </vt:variant>
      <vt:variant>
        <vt:i4>3</vt:i4>
      </vt:variant>
      <vt:variant>
        <vt:i4>0</vt:i4>
      </vt:variant>
      <vt:variant>
        <vt:i4>5</vt:i4>
      </vt:variant>
      <vt:variant>
        <vt:lpwstr>http://www.ag.gov.au/</vt:lpwstr>
      </vt:variant>
      <vt:variant>
        <vt:lpwstr/>
      </vt:variant>
      <vt:variant>
        <vt:i4>3997727</vt:i4>
      </vt:variant>
      <vt:variant>
        <vt:i4>0</vt:i4>
      </vt:variant>
      <vt:variant>
        <vt:i4>0</vt:i4>
      </vt:variant>
      <vt:variant>
        <vt:i4>5</vt:i4>
      </vt:variant>
      <vt:variant>
        <vt:lpwstr>http://www.msac.gov.au/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2021-04-19T03:41:00Z</dcterms:created>
  <dcterms:modified xsi:type="dcterms:W3CDTF">2021-04-19T03:42:00Z</dcterms:modified>
</cp:coreProperties>
</file>