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B8696" w14:textId="6918C1DA" w:rsidR="00B01DA6" w:rsidRPr="00302F9F" w:rsidRDefault="0044715D" w:rsidP="00302F9F">
      <w:pPr>
        <w:spacing w:before="120" w:after="120" w:line="312" w:lineRule="auto"/>
        <w:jc w:val="center"/>
      </w:pPr>
      <w:bookmarkStart w:id="0" w:name="_Toc403747457"/>
      <w:bookmarkStart w:id="1" w:name="_Toc412039297"/>
      <w:r w:rsidRPr="008D5584">
        <w:rPr>
          <w:b/>
          <w:noProof/>
          <w:lang w:eastAsia="en-AU"/>
        </w:rPr>
        <w:drawing>
          <wp:inline distT="0" distB="0" distL="0" distR="0" wp14:anchorId="344BCB53" wp14:editId="5AC3F429">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5E45B510" w14:textId="77777777" w:rsidR="00C56066" w:rsidRPr="00C56066" w:rsidRDefault="00C56066" w:rsidP="00C56066">
      <w:pPr>
        <w:spacing w:before="1440"/>
        <w:jc w:val="center"/>
        <w:rPr>
          <w:b/>
          <w:i/>
          <w:sz w:val="56"/>
          <w:szCs w:val="56"/>
        </w:rPr>
      </w:pPr>
      <w:r w:rsidRPr="00C56066">
        <w:rPr>
          <w:b/>
          <w:sz w:val="64"/>
          <w:szCs w:val="64"/>
        </w:rPr>
        <w:t>RATIFIED PICO</w:t>
      </w:r>
    </w:p>
    <w:p w14:paraId="3CCC7238" w14:textId="61CC61EC" w:rsidR="0044715D" w:rsidRDefault="00C56066" w:rsidP="00302F9F">
      <w:pPr>
        <w:pStyle w:val="Heading10"/>
        <w:spacing w:before="1560"/>
        <w:jc w:val="center"/>
        <w:rPr>
          <w:sz w:val="48"/>
          <w:szCs w:val="48"/>
        </w:rPr>
      </w:pPr>
      <w:r>
        <w:rPr>
          <w:sz w:val="48"/>
          <w:szCs w:val="48"/>
        </w:rPr>
        <w:t xml:space="preserve">MSAC </w:t>
      </w:r>
      <w:r w:rsidR="00B01DA6">
        <w:rPr>
          <w:sz w:val="48"/>
          <w:szCs w:val="48"/>
        </w:rPr>
        <w:t>Application</w:t>
      </w:r>
      <w:r w:rsidR="005F4D2F">
        <w:rPr>
          <w:sz w:val="48"/>
          <w:szCs w:val="48"/>
        </w:rPr>
        <w:t xml:space="preserve"> </w:t>
      </w:r>
      <w:r w:rsidR="00F53E5F">
        <w:rPr>
          <w:sz w:val="48"/>
          <w:szCs w:val="48"/>
        </w:rPr>
        <w:t>1629</w:t>
      </w:r>
      <w:r w:rsidR="00303C94">
        <w:rPr>
          <w:sz w:val="48"/>
          <w:szCs w:val="48"/>
        </w:rPr>
        <w:t>:</w:t>
      </w:r>
    </w:p>
    <w:p w14:paraId="0BEF116B" w14:textId="62C76364" w:rsidR="006A06FA" w:rsidRPr="001C0CB7" w:rsidRDefault="00C9776A" w:rsidP="001C0CB7">
      <w:pPr>
        <w:pStyle w:val="Title"/>
        <w:spacing w:before="240" w:after="720"/>
        <w:rPr>
          <w:color w:val="548DD4" w:themeColor="text2" w:themeTint="99"/>
          <w:sz w:val="48"/>
          <w:szCs w:val="48"/>
        </w:rPr>
      </w:pPr>
      <w:r w:rsidRPr="001C0CB7">
        <w:rPr>
          <w:color w:val="548DD4" w:themeColor="text2" w:themeTint="99"/>
          <w:sz w:val="48"/>
          <w:szCs w:val="48"/>
        </w:rPr>
        <w:t>Defensive Antibacterial Coating (</w:t>
      </w:r>
      <w:r w:rsidR="006A06FA" w:rsidRPr="001C0CB7">
        <w:rPr>
          <w:color w:val="548DD4" w:themeColor="text2" w:themeTint="99"/>
          <w:sz w:val="48"/>
          <w:szCs w:val="48"/>
        </w:rPr>
        <w:t>DAC</w:t>
      </w:r>
      <w:r w:rsidRPr="001C0CB7">
        <w:rPr>
          <w:color w:val="548DD4" w:themeColor="text2" w:themeTint="99"/>
          <w:sz w:val="48"/>
          <w:szCs w:val="48"/>
        </w:rPr>
        <w:t>)</w:t>
      </w:r>
      <w:r w:rsidR="006A06FA" w:rsidRPr="001C0CB7">
        <w:rPr>
          <w:color w:val="548DD4" w:themeColor="text2" w:themeTint="99"/>
          <w:sz w:val="48"/>
          <w:szCs w:val="48"/>
        </w:rPr>
        <w:t xml:space="preserve"> 5ml Kit</w:t>
      </w:r>
    </w:p>
    <w:p w14:paraId="1EB83FFC" w14:textId="1E1FC26D" w:rsidR="00040AB5" w:rsidRDefault="00040AB5">
      <w:pPr>
        <w:rPr>
          <w:color w:val="548DD4"/>
        </w:rPr>
      </w:pPr>
      <w:r>
        <w:rPr>
          <w:color w:val="548DD4"/>
        </w:rPr>
        <w:br w:type="page"/>
      </w:r>
    </w:p>
    <w:p w14:paraId="443AB5D9" w14:textId="58F7BEB0" w:rsidR="00F12E59" w:rsidRPr="00F12E59" w:rsidRDefault="0044715D" w:rsidP="0044715D">
      <w:pPr>
        <w:pStyle w:val="Heading2"/>
        <w:spacing w:line="240" w:lineRule="auto"/>
        <w:jc w:val="both"/>
        <w:rPr>
          <w:b w:val="0"/>
          <w:i w:val="0"/>
          <w:u w:val="none"/>
        </w:rPr>
      </w:pPr>
      <w:r w:rsidRPr="00F12E59">
        <w:rPr>
          <w:color w:val="548DD4"/>
          <w:u w:val="none"/>
        </w:rPr>
        <w:lastRenderedPageBreak/>
        <w:t>Summary of PICO criteria</w:t>
      </w:r>
      <w:bookmarkEnd w:id="0"/>
      <w:bookmarkEnd w:id="1"/>
      <w:r w:rsidR="00F12E59" w:rsidRPr="00F12E59">
        <w:rPr>
          <w:color w:val="548DD4"/>
          <w:u w:val="none"/>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328"/>
        <w:gridCol w:w="7683"/>
      </w:tblGrid>
      <w:tr w:rsidR="0044715D" w:rsidRPr="00084393" w14:paraId="4E2569B8" w14:textId="77777777" w:rsidTr="0092511B">
        <w:trPr>
          <w:tblHeader/>
        </w:trPr>
        <w:tc>
          <w:tcPr>
            <w:tcW w:w="737" w:type="pct"/>
            <w:tcBorders>
              <w:top w:val="single" w:sz="8" w:space="0" w:color="auto"/>
              <w:bottom w:val="single" w:sz="8" w:space="0" w:color="auto"/>
              <w:right w:val="single" w:sz="4" w:space="0" w:color="auto"/>
            </w:tcBorders>
            <w:shd w:val="clear" w:color="auto" w:fill="D9D9D9"/>
          </w:tcPr>
          <w:p w14:paraId="2985CFB9" w14:textId="77777777" w:rsidR="0044715D" w:rsidRPr="00084393" w:rsidRDefault="00A84A56" w:rsidP="00D52C8A">
            <w:pPr>
              <w:spacing w:after="0" w:line="240" w:lineRule="auto"/>
              <w:rPr>
                <w:b/>
              </w:rPr>
            </w:pPr>
            <w:r>
              <w:rPr>
                <w:b/>
              </w:rPr>
              <w:t>Component</w:t>
            </w:r>
          </w:p>
        </w:tc>
        <w:tc>
          <w:tcPr>
            <w:tcW w:w="4263" w:type="pct"/>
            <w:tcBorders>
              <w:top w:val="single" w:sz="4" w:space="0" w:color="auto"/>
              <w:left w:val="single" w:sz="4" w:space="0" w:color="auto"/>
              <w:bottom w:val="single" w:sz="4" w:space="0" w:color="auto"/>
              <w:right w:val="single" w:sz="4" w:space="0" w:color="auto"/>
            </w:tcBorders>
            <w:shd w:val="clear" w:color="auto" w:fill="D9D9D9"/>
          </w:tcPr>
          <w:p w14:paraId="0D7EA24F" w14:textId="77777777" w:rsidR="0044715D" w:rsidRPr="00084393" w:rsidRDefault="0044715D" w:rsidP="00D52C8A">
            <w:pPr>
              <w:spacing w:after="0" w:line="240" w:lineRule="auto"/>
              <w:jc w:val="both"/>
              <w:rPr>
                <w:b/>
              </w:rPr>
            </w:pPr>
            <w:r>
              <w:rPr>
                <w:b/>
              </w:rPr>
              <w:t>Description</w:t>
            </w:r>
          </w:p>
        </w:tc>
      </w:tr>
      <w:tr w:rsidR="0044715D" w:rsidRPr="00084393" w14:paraId="3451877C" w14:textId="77777777" w:rsidTr="0092511B">
        <w:tc>
          <w:tcPr>
            <w:tcW w:w="737" w:type="pct"/>
            <w:tcBorders>
              <w:top w:val="single" w:sz="8" w:space="0" w:color="auto"/>
              <w:right w:val="single" w:sz="4" w:space="0" w:color="auto"/>
            </w:tcBorders>
          </w:tcPr>
          <w:p w14:paraId="0C559A74" w14:textId="77777777" w:rsidR="0044715D" w:rsidRPr="00084393" w:rsidRDefault="0044715D" w:rsidP="00D52C8A">
            <w:pPr>
              <w:spacing w:after="0" w:line="240" w:lineRule="auto"/>
              <w:rPr>
                <w:rFonts w:cs="Arial"/>
              </w:rPr>
            </w:pPr>
            <w:r w:rsidRPr="00084393">
              <w:rPr>
                <w:rFonts w:cs="Arial"/>
              </w:rPr>
              <w:t>Patients</w:t>
            </w:r>
          </w:p>
        </w:tc>
        <w:tc>
          <w:tcPr>
            <w:tcW w:w="4263" w:type="pct"/>
            <w:tcBorders>
              <w:top w:val="single" w:sz="4" w:space="0" w:color="auto"/>
              <w:left w:val="single" w:sz="4" w:space="0" w:color="auto"/>
              <w:bottom w:val="single" w:sz="4" w:space="0" w:color="auto"/>
              <w:right w:val="single" w:sz="4" w:space="0" w:color="auto"/>
            </w:tcBorders>
          </w:tcPr>
          <w:p w14:paraId="7E4FFE5B" w14:textId="6322279A" w:rsidR="00614102" w:rsidRDefault="00C84CEC" w:rsidP="000348DA">
            <w:pPr>
              <w:spacing w:before="20" w:afterLines="20" w:after="48" w:line="240" w:lineRule="auto"/>
            </w:pPr>
            <w:r>
              <w:t xml:space="preserve">Patients </w:t>
            </w:r>
            <w:r w:rsidR="00754BC0">
              <w:t>at risk of periprosthetic</w:t>
            </w:r>
            <w:r w:rsidR="00973012">
              <w:t xml:space="preserve"> deep surgical site infection (SSI)</w:t>
            </w:r>
            <w:r w:rsidR="00893C24">
              <w:t xml:space="preserve"> </w:t>
            </w:r>
            <w:r w:rsidR="00FF141E">
              <w:t>when undergoing surgery with orthopaedic implant</w:t>
            </w:r>
            <w:r w:rsidR="00FF141E" w:rsidRPr="00550038">
              <w:t xml:space="preserve"> procedure</w:t>
            </w:r>
            <w:r w:rsidR="00980E23">
              <w:t xml:space="preserve">(s). The </w:t>
            </w:r>
            <w:r w:rsidR="00CA7897">
              <w:t>a</w:t>
            </w:r>
            <w:r w:rsidR="00FF141E">
              <w:t xml:space="preserve">pplicant nominated 4 </w:t>
            </w:r>
            <w:r w:rsidR="003708BB">
              <w:t xml:space="preserve">surgical </w:t>
            </w:r>
            <w:r w:rsidR="00FF141E">
              <w:t>populations</w:t>
            </w:r>
            <w:r w:rsidR="006C2577">
              <w:t xml:space="preserve"> for the prevention</w:t>
            </w:r>
            <w:r w:rsidR="007A1499">
              <w:t xml:space="preserve"> </w:t>
            </w:r>
            <w:r w:rsidR="004B3480">
              <w:t>(primary, secondary)</w:t>
            </w:r>
            <w:r w:rsidR="006C2577">
              <w:t xml:space="preserve"> of </w:t>
            </w:r>
            <w:r w:rsidR="005E31A9">
              <w:t xml:space="preserve">deep </w:t>
            </w:r>
            <w:r w:rsidR="006C2577">
              <w:t>periprosthetic SSI</w:t>
            </w:r>
            <w:r w:rsidR="005E31A9">
              <w:t>,</w:t>
            </w:r>
            <w:r w:rsidR="00FF141E">
              <w:t xml:space="preserve"> categorised by </w:t>
            </w:r>
            <w:r w:rsidR="001F1B43">
              <w:t>the type and indication of the surgical arthroplasty procedure(s):</w:t>
            </w:r>
          </w:p>
          <w:p w14:paraId="2389CBBE" w14:textId="3E70B468" w:rsidR="00614102" w:rsidRPr="00A40B5D" w:rsidRDefault="001F1B43" w:rsidP="000348DA">
            <w:pPr>
              <w:pStyle w:val="NoSpacing"/>
              <w:numPr>
                <w:ilvl w:val="0"/>
                <w:numId w:val="22"/>
              </w:numPr>
              <w:spacing w:before="20" w:afterLines="20" w:after="48"/>
            </w:pPr>
            <w:r>
              <w:t xml:space="preserve">Patients undergoing </w:t>
            </w:r>
            <w:r w:rsidRPr="00A40B5D">
              <w:t>a</w:t>
            </w:r>
            <w:r w:rsidR="008E66E3">
              <w:t>n elective</w:t>
            </w:r>
            <w:r w:rsidRPr="00A40B5D">
              <w:t xml:space="preserve"> primary joint implant</w:t>
            </w:r>
            <w:r>
              <w:t xml:space="preserve"> at </w:t>
            </w:r>
            <w:r w:rsidR="00614102" w:rsidRPr="00A40B5D">
              <w:t xml:space="preserve">increased risk of infection </w:t>
            </w:r>
            <w:r>
              <w:t>due to the presence of comorbidities</w:t>
            </w:r>
            <w:r w:rsidR="00451CF1">
              <w:t xml:space="preserve"> (ASA </w:t>
            </w:r>
            <w:r w:rsidR="004B113C">
              <w:t>score</w:t>
            </w:r>
            <w:r w:rsidR="006F77FD">
              <w:t xml:space="preserve"> </w:t>
            </w:r>
            <w:r w:rsidR="006F77FD" w:rsidRPr="00477E37">
              <w:t>≥</w:t>
            </w:r>
            <w:r w:rsidR="0019143D" w:rsidRPr="00477E37">
              <w:t>3</w:t>
            </w:r>
            <w:r w:rsidR="00451CF1" w:rsidRPr="00477E37">
              <w:t>;</w:t>
            </w:r>
            <w:r w:rsidR="006F77FD">
              <w:t xml:space="preserve"> and</w:t>
            </w:r>
            <w:r w:rsidR="00451CF1">
              <w:t xml:space="preserve"> BMI &gt; 30; </w:t>
            </w:r>
            <w:r w:rsidR="006F77FD">
              <w:t xml:space="preserve">and </w:t>
            </w:r>
            <w:r w:rsidR="00451CF1">
              <w:t>Cementless</w:t>
            </w:r>
            <w:r w:rsidR="00E36EB4">
              <w:t xml:space="preserve"> Components</w:t>
            </w:r>
            <w:r w:rsidR="00451CF1">
              <w:t>)</w:t>
            </w:r>
          </w:p>
          <w:p w14:paraId="785A026D" w14:textId="6813215F" w:rsidR="00614102" w:rsidRPr="00720CB3" w:rsidRDefault="001F1B43" w:rsidP="000348DA">
            <w:pPr>
              <w:pStyle w:val="NoSpacing"/>
              <w:numPr>
                <w:ilvl w:val="0"/>
                <w:numId w:val="22"/>
              </w:numPr>
              <w:spacing w:before="20" w:afterLines="20" w:after="48"/>
            </w:pPr>
            <w:r>
              <w:t xml:space="preserve">Patients </w:t>
            </w:r>
            <w:r w:rsidR="00893C24" w:rsidRPr="00720CB3">
              <w:t xml:space="preserve">undergoing </w:t>
            </w:r>
            <w:r w:rsidR="008E66E3">
              <w:t xml:space="preserve">elective </w:t>
            </w:r>
            <w:r w:rsidR="00614102" w:rsidRPr="00720CB3">
              <w:t xml:space="preserve">megaprosthesis implantation or </w:t>
            </w:r>
            <w:r w:rsidR="008E66E3">
              <w:t xml:space="preserve">elective </w:t>
            </w:r>
            <w:r w:rsidR="00614102" w:rsidRPr="00720CB3">
              <w:t xml:space="preserve">major revision </w:t>
            </w:r>
            <w:r w:rsidR="008E66E3">
              <w:t xml:space="preserve">of </w:t>
            </w:r>
            <w:r w:rsidR="00614102" w:rsidRPr="00720CB3">
              <w:t>joint implants for indications other than periprosthetic infection, including total joint revision, tu</w:t>
            </w:r>
            <w:r w:rsidR="00A74718" w:rsidRPr="00720CB3">
              <w:t>mour removal and reconstruction</w:t>
            </w:r>
          </w:p>
          <w:p w14:paraId="301BF799" w14:textId="6603A8A5" w:rsidR="00614102" w:rsidRPr="00720CB3" w:rsidRDefault="001F1B43" w:rsidP="000348DA">
            <w:pPr>
              <w:pStyle w:val="NoSpacing"/>
              <w:numPr>
                <w:ilvl w:val="0"/>
                <w:numId w:val="22"/>
              </w:numPr>
              <w:spacing w:before="20" w:afterLines="20" w:after="48"/>
            </w:pPr>
            <w:r>
              <w:t xml:space="preserve">Patients </w:t>
            </w:r>
            <w:r w:rsidR="00893C24" w:rsidRPr="00720CB3">
              <w:t>undergoing</w:t>
            </w:r>
            <w:r w:rsidR="00614102" w:rsidRPr="00720CB3">
              <w:t xml:space="preserve"> surgery for periprosthetic inf</w:t>
            </w:r>
            <w:r w:rsidR="00A74718" w:rsidRPr="00720CB3">
              <w:t>ection with implant replacement</w:t>
            </w:r>
          </w:p>
          <w:p w14:paraId="0AB10FE7" w14:textId="4F835917" w:rsidR="00451CF1" w:rsidRDefault="00FF141E" w:rsidP="000348DA">
            <w:pPr>
              <w:pStyle w:val="NoSpacing"/>
              <w:numPr>
                <w:ilvl w:val="0"/>
                <w:numId w:val="22"/>
              </w:numPr>
              <w:spacing w:before="20" w:afterLines="20" w:after="48"/>
            </w:pPr>
            <w:r>
              <w:t xml:space="preserve">Patients </w:t>
            </w:r>
            <w:r w:rsidR="00614102" w:rsidRPr="00720CB3">
              <w:t>undergoing open r</w:t>
            </w:r>
            <w:r w:rsidR="00A74718" w:rsidRPr="00720CB3">
              <w:t>eduction and internal fixation</w:t>
            </w:r>
            <w:r w:rsidR="00492527">
              <w:t>:</w:t>
            </w:r>
          </w:p>
          <w:p w14:paraId="3AB63E83" w14:textId="14E76A21" w:rsidR="004B113C" w:rsidRDefault="00451CF1" w:rsidP="000348DA">
            <w:pPr>
              <w:pStyle w:val="NoSpacing"/>
              <w:spacing w:before="20" w:afterLines="20" w:after="48"/>
              <w:ind w:left="720"/>
            </w:pPr>
            <w:r>
              <w:t>Subgroup 1: Closed fracture with comorbidities (</w:t>
            </w:r>
            <w:r w:rsidR="004B113C">
              <w:t>ASA score </w:t>
            </w:r>
            <w:r w:rsidR="006F77FD" w:rsidRPr="00477E37">
              <w:t>≥</w:t>
            </w:r>
            <w:r w:rsidR="0019143D" w:rsidRPr="00477E37">
              <w:t>3</w:t>
            </w:r>
            <w:r w:rsidR="004B113C">
              <w:t xml:space="preserve">; </w:t>
            </w:r>
            <w:r w:rsidR="006F77FD">
              <w:t xml:space="preserve">and </w:t>
            </w:r>
            <w:r w:rsidR="004B113C">
              <w:t>BMI &gt; 30)</w:t>
            </w:r>
          </w:p>
          <w:p w14:paraId="4B13091D" w14:textId="66732187" w:rsidR="004B7BDF" w:rsidRPr="00573AC4" w:rsidRDefault="008F7F10" w:rsidP="000348DA">
            <w:pPr>
              <w:pStyle w:val="NoSpacing"/>
              <w:spacing w:before="20" w:afterLines="20" w:after="48"/>
              <w:ind w:left="720"/>
            </w:pPr>
            <w:r>
              <w:t>Subgroup 2: Open fracture</w:t>
            </w:r>
          </w:p>
        </w:tc>
      </w:tr>
      <w:tr w:rsidR="00A84A56" w:rsidRPr="00084393" w14:paraId="629FD2BF" w14:textId="77777777" w:rsidTr="0092511B">
        <w:tc>
          <w:tcPr>
            <w:tcW w:w="737" w:type="pct"/>
            <w:tcBorders>
              <w:right w:val="single" w:sz="4" w:space="0" w:color="auto"/>
            </w:tcBorders>
          </w:tcPr>
          <w:p w14:paraId="719429C3" w14:textId="77777777" w:rsidR="00A84A56" w:rsidRPr="00084393" w:rsidRDefault="00A84A56" w:rsidP="00D52C8A">
            <w:pPr>
              <w:spacing w:after="0" w:line="240" w:lineRule="auto"/>
              <w:rPr>
                <w:rFonts w:cs="Arial"/>
              </w:rPr>
            </w:pPr>
            <w:r w:rsidRPr="00084393">
              <w:rPr>
                <w:rFonts w:cs="Arial"/>
              </w:rPr>
              <w:t>Intervention</w:t>
            </w:r>
          </w:p>
        </w:tc>
        <w:tc>
          <w:tcPr>
            <w:tcW w:w="4263" w:type="pct"/>
            <w:tcBorders>
              <w:top w:val="single" w:sz="4" w:space="0" w:color="auto"/>
              <w:left w:val="single" w:sz="4" w:space="0" w:color="auto"/>
              <w:bottom w:val="single" w:sz="4" w:space="0" w:color="auto"/>
              <w:right w:val="single" w:sz="4" w:space="0" w:color="auto"/>
            </w:tcBorders>
          </w:tcPr>
          <w:p w14:paraId="5C1311D4" w14:textId="5A4622BC" w:rsidR="004B7BDF" w:rsidRPr="00DD456A" w:rsidRDefault="009A07E9" w:rsidP="000348DA">
            <w:pPr>
              <w:spacing w:before="20" w:afterLines="20" w:after="48" w:line="240" w:lineRule="auto"/>
            </w:pPr>
            <w:r>
              <w:t>T</w:t>
            </w:r>
            <w:r w:rsidRPr="009A07E9">
              <w:t xml:space="preserve">otal joint arthroplasty </w:t>
            </w:r>
            <w:r>
              <w:t>(</w:t>
            </w:r>
            <w:r w:rsidR="00081C28">
              <w:t>TJA</w:t>
            </w:r>
            <w:r>
              <w:t>)</w:t>
            </w:r>
            <w:r w:rsidR="00B04990">
              <w:t xml:space="preserve"> with</w:t>
            </w:r>
            <w:r w:rsidR="00EF69B2">
              <w:t xml:space="preserve"> </w:t>
            </w:r>
            <w:r w:rsidR="000940E0">
              <w:t xml:space="preserve">one or two kits of </w:t>
            </w:r>
            <w:r w:rsidR="00754BC0" w:rsidRPr="004D2EDA">
              <w:t>Defensive Antibacterial Coating</w:t>
            </w:r>
            <w:r w:rsidR="00754BC0">
              <w:t xml:space="preserve"> (DAC</w:t>
            </w:r>
            <w:r w:rsidR="00754BC0">
              <w:rPr>
                <w:rFonts w:cs="Calibri"/>
              </w:rPr>
              <w:t>®</w:t>
            </w:r>
            <w:r w:rsidR="00754BC0">
              <w:t xml:space="preserve">) </w:t>
            </w:r>
            <w:r w:rsidR="004879C5">
              <w:t>5</w:t>
            </w:r>
            <w:r w:rsidR="0092511B">
              <w:t> </w:t>
            </w:r>
            <w:r w:rsidR="004879C5">
              <w:t>m</w:t>
            </w:r>
            <w:r w:rsidR="00FB6B11">
              <w:t>l</w:t>
            </w:r>
            <w:r w:rsidR="00EF69B2">
              <w:t xml:space="preserve"> hydrogel applied to the surface of the implanted device</w:t>
            </w:r>
            <w:r w:rsidR="00FC16EF">
              <w:t>.</w:t>
            </w:r>
          </w:p>
        </w:tc>
      </w:tr>
      <w:tr w:rsidR="00A84A56" w:rsidRPr="00084393" w14:paraId="137D2189" w14:textId="77777777" w:rsidTr="0092511B">
        <w:tc>
          <w:tcPr>
            <w:tcW w:w="737" w:type="pct"/>
            <w:tcBorders>
              <w:right w:val="single" w:sz="4" w:space="0" w:color="auto"/>
            </w:tcBorders>
          </w:tcPr>
          <w:p w14:paraId="2864D656" w14:textId="77777777" w:rsidR="00A84A56" w:rsidRPr="00084393" w:rsidRDefault="00A84A56" w:rsidP="00D52C8A">
            <w:pPr>
              <w:spacing w:after="0" w:line="240" w:lineRule="auto"/>
              <w:rPr>
                <w:rFonts w:cs="Arial"/>
              </w:rPr>
            </w:pPr>
            <w:r w:rsidRPr="00084393">
              <w:rPr>
                <w:rFonts w:cs="Arial"/>
              </w:rPr>
              <w:t>Comparator</w:t>
            </w:r>
          </w:p>
        </w:tc>
        <w:tc>
          <w:tcPr>
            <w:tcW w:w="4263" w:type="pct"/>
            <w:tcBorders>
              <w:top w:val="single" w:sz="4" w:space="0" w:color="auto"/>
              <w:left w:val="single" w:sz="4" w:space="0" w:color="auto"/>
              <w:bottom w:val="single" w:sz="4" w:space="0" w:color="auto"/>
              <w:right w:val="single" w:sz="4" w:space="0" w:color="auto"/>
            </w:tcBorders>
          </w:tcPr>
          <w:p w14:paraId="3F7F58C4" w14:textId="0D4FD97D" w:rsidR="00794FCE" w:rsidRPr="00DD456A" w:rsidRDefault="00DC7A84" w:rsidP="000348DA">
            <w:pPr>
              <w:spacing w:before="20" w:afterLines="20" w:after="48" w:line="240" w:lineRule="auto"/>
            </w:pPr>
            <w:r>
              <w:t xml:space="preserve">Standard surgery: </w:t>
            </w:r>
            <w:r w:rsidR="00B04990" w:rsidRPr="00B04990">
              <w:t xml:space="preserve">TJA </w:t>
            </w:r>
            <w:r w:rsidR="000233D5">
              <w:t>with</w:t>
            </w:r>
            <w:r w:rsidR="00C7220A">
              <w:t>out</w:t>
            </w:r>
            <w:r w:rsidR="000233D5">
              <w:t xml:space="preserve"> DAC</w:t>
            </w:r>
          </w:p>
        </w:tc>
      </w:tr>
      <w:tr w:rsidR="00A84A56" w:rsidRPr="00084393" w14:paraId="7FE2D3EE" w14:textId="77777777" w:rsidTr="0092511B">
        <w:tc>
          <w:tcPr>
            <w:tcW w:w="737" w:type="pct"/>
            <w:tcBorders>
              <w:right w:val="single" w:sz="4" w:space="0" w:color="auto"/>
            </w:tcBorders>
          </w:tcPr>
          <w:p w14:paraId="427C3F70" w14:textId="77777777" w:rsidR="00A84A56" w:rsidRPr="00084393" w:rsidRDefault="00A84A56" w:rsidP="00D52C8A">
            <w:pPr>
              <w:spacing w:after="0" w:line="240" w:lineRule="auto"/>
              <w:rPr>
                <w:rFonts w:cs="Arial"/>
              </w:rPr>
            </w:pPr>
            <w:bookmarkStart w:id="2" w:name="_Hlk44686861"/>
            <w:r w:rsidRPr="00084393">
              <w:rPr>
                <w:rFonts w:cs="Arial"/>
              </w:rPr>
              <w:t>Outcomes</w:t>
            </w:r>
          </w:p>
        </w:tc>
        <w:tc>
          <w:tcPr>
            <w:tcW w:w="4263" w:type="pct"/>
            <w:tcBorders>
              <w:top w:val="single" w:sz="4" w:space="0" w:color="auto"/>
              <w:left w:val="single" w:sz="4" w:space="0" w:color="auto"/>
              <w:bottom w:val="single" w:sz="4" w:space="0" w:color="auto"/>
              <w:right w:val="single" w:sz="4" w:space="0" w:color="auto"/>
            </w:tcBorders>
          </w:tcPr>
          <w:p w14:paraId="4DFCE353" w14:textId="69F28B17" w:rsidR="00D52C8A" w:rsidRPr="00720CB3" w:rsidRDefault="00D52C8A" w:rsidP="000348DA">
            <w:pPr>
              <w:pStyle w:val="NoSpacing"/>
              <w:spacing w:before="20" w:afterLines="20" w:after="48"/>
              <w:rPr>
                <w:b/>
              </w:rPr>
            </w:pPr>
            <w:r w:rsidRPr="00720CB3">
              <w:rPr>
                <w:b/>
              </w:rPr>
              <w:t>Safety</w:t>
            </w:r>
          </w:p>
          <w:p w14:paraId="4A9CFD55" w14:textId="3F2D9308" w:rsidR="00DC373B" w:rsidRPr="00720CB3" w:rsidRDefault="00CE66D0" w:rsidP="000348DA">
            <w:pPr>
              <w:pStyle w:val="NoSpacing"/>
              <w:numPr>
                <w:ilvl w:val="0"/>
                <w:numId w:val="17"/>
              </w:numPr>
              <w:spacing w:before="20" w:afterLines="20" w:after="48"/>
            </w:pPr>
            <w:r w:rsidRPr="00720CB3">
              <w:t>Adverse events attributed to DAC</w:t>
            </w:r>
            <w:r w:rsidR="00A40B5D" w:rsidRPr="00720CB3">
              <w:t xml:space="preserve">; </w:t>
            </w:r>
            <w:r w:rsidR="00D52C8A" w:rsidRPr="00720CB3">
              <w:t>P</w:t>
            </w:r>
            <w:r w:rsidR="00B50E65" w:rsidRPr="00720CB3">
              <w:t>rocedural complications</w:t>
            </w:r>
            <w:r w:rsidR="00A40B5D" w:rsidRPr="00720CB3">
              <w:t>;</w:t>
            </w:r>
            <w:r w:rsidR="006C2577">
              <w:t xml:space="preserve"> Post-operative complications</w:t>
            </w:r>
            <w:r w:rsidR="007A1499">
              <w:t xml:space="preserve"> (e.g. amputation)</w:t>
            </w:r>
            <w:r w:rsidR="006C2577">
              <w:t>;</w:t>
            </w:r>
            <w:r w:rsidR="00A40B5D" w:rsidRPr="00720CB3">
              <w:t xml:space="preserve"> </w:t>
            </w:r>
            <w:r w:rsidR="00DC373B" w:rsidRPr="00720CB3">
              <w:t>Allergies associated with DAC</w:t>
            </w:r>
          </w:p>
          <w:p w14:paraId="18EB3EC0" w14:textId="77777777" w:rsidR="008A2B44" w:rsidRDefault="00CE66D0" w:rsidP="000348DA">
            <w:pPr>
              <w:pStyle w:val="NoSpacing"/>
              <w:spacing w:before="20" w:afterLines="20" w:after="48"/>
              <w:rPr>
                <w:b/>
              </w:rPr>
            </w:pPr>
            <w:r w:rsidRPr="00720CB3">
              <w:rPr>
                <w:b/>
              </w:rPr>
              <w:t>Clinical/therapeutic effectiveness outcomes</w:t>
            </w:r>
          </w:p>
          <w:p w14:paraId="581D5021" w14:textId="42E6522C" w:rsidR="008A2B44" w:rsidRPr="008A2B44" w:rsidRDefault="00A371F4" w:rsidP="000348DA">
            <w:pPr>
              <w:pStyle w:val="NoSpacing"/>
              <w:spacing w:before="20" w:afterLines="20" w:after="48"/>
              <w:rPr>
                <w:b/>
              </w:rPr>
            </w:pPr>
            <w:r>
              <w:rPr>
                <w:i/>
              </w:rPr>
              <w:t>Clinical outcomes</w:t>
            </w:r>
          </w:p>
          <w:p w14:paraId="396C558D" w14:textId="6A98C87D" w:rsidR="00CE66D0" w:rsidRPr="00720CB3" w:rsidRDefault="00162F26" w:rsidP="000348DA">
            <w:pPr>
              <w:pStyle w:val="NoSpacing"/>
              <w:numPr>
                <w:ilvl w:val="0"/>
                <w:numId w:val="17"/>
              </w:numPr>
              <w:spacing w:before="20" w:afterLines="20" w:after="48"/>
            </w:pPr>
            <w:r w:rsidRPr="00720CB3">
              <w:t xml:space="preserve">Incidence </w:t>
            </w:r>
            <w:r w:rsidR="00CE66D0" w:rsidRPr="00720CB3">
              <w:t xml:space="preserve">of </w:t>
            </w:r>
            <w:r w:rsidR="000940E0">
              <w:t>surgical site infection (</w:t>
            </w:r>
            <w:r w:rsidR="00CE66D0" w:rsidRPr="00720CB3">
              <w:t>SSI</w:t>
            </w:r>
            <w:r w:rsidR="000940E0">
              <w:t>)</w:t>
            </w:r>
            <w:r w:rsidR="00A40B5D" w:rsidRPr="00720CB3">
              <w:t>;</w:t>
            </w:r>
            <w:r w:rsidR="00BC35D8">
              <w:t xml:space="preserve"> Recurrence of SSI; </w:t>
            </w:r>
            <w:r w:rsidRPr="00720CB3">
              <w:t>Incidence of mortality due to SSI</w:t>
            </w:r>
            <w:r w:rsidR="001A6061">
              <w:t xml:space="preserve"> and all causes</w:t>
            </w:r>
            <w:r w:rsidR="00A40B5D" w:rsidRPr="00720CB3">
              <w:t xml:space="preserve">; </w:t>
            </w:r>
            <w:r w:rsidR="0020799A">
              <w:t xml:space="preserve">incidence of bacteraemia, septicaemia and septic shock; </w:t>
            </w:r>
            <w:r w:rsidR="00A40B5D" w:rsidRPr="00720CB3">
              <w:t>I</w:t>
            </w:r>
            <w:r w:rsidRPr="00720CB3">
              <w:t>ncidence of</w:t>
            </w:r>
            <w:r w:rsidR="007A7951">
              <w:t xml:space="preserve"> early and late post</w:t>
            </w:r>
            <w:r w:rsidR="009E0B69">
              <w:t>-</w:t>
            </w:r>
            <w:r w:rsidR="007A7951">
              <w:t>o</w:t>
            </w:r>
            <w:r w:rsidR="00025C9C">
              <w:t>perative</w:t>
            </w:r>
            <w:r w:rsidRPr="00720CB3">
              <w:t xml:space="preserve"> infection-related morbidity</w:t>
            </w:r>
            <w:r w:rsidR="00A40B5D" w:rsidRPr="00720CB3">
              <w:t xml:space="preserve">; </w:t>
            </w:r>
            <w:r w:rsidR="0055549F" w:rsidRPr="00720CB3">
              <w:t>Wound healing</w:t>
            </w:r>
            <w:r w:rsidR="0055549F" w:rsidRPr="00720CB3">
              <w:rPr>
                <w:vertAlign w:val="superscript"/>
              </w:rPr>
              <w:t>a</w:t>
            </w:r>
            <w:r w:rsidR="00A40B5D" w:rsidRPr="00720CB3">
              <w:t xml:space="preserve">; </w:t>
            </w:r>
            <w:r w:rsidR="00D52C8A" w:rsidRPr="00720CB3">
              <w:t>C</w:t>
            </w:r>
            <w:r w:rsidR="0055549F" w:rsidRPr="00720CB3">
              <w:t>linical scores</w:t>
            </w:r>
            <w:r w:rsidR="0055549F" w:rsidRPr="00720CB3">
              <w:rPr>
                <w:vertAlign w:val="superscript"/>
              </w:rPr>
              <w:t>b</w:t>
            </w:r>
            <w:r w:rsidR="00025C9C">
              <w:t>. Implant revision or permanent removal. Long-term antibiotic administration (potentially requires a central line)</w:t>
            </w:r>
          </w:p>
          <w:p w14:paraId="029E46B7" w14:textId="49D3F987" w:rsidR="00D52C8A" w:rsidRPr="00720CB3" w:rsidRDefault="00D52C8A" w:rsidP="000348DA">
            <w:pPr>
              <w:pStyle w:val="NoSpacing"/>
              <w:spacing w:before="20" w:afterLines="20" w:after="48"/>
              <w:rPr>
                <w:i/>
              </w:rPr>
            </w:pPr>
            <w:r w:rsidRPr="00720CB3">
              <w:rPr>
                <w:i/>
              </w:rPr>
              <w:t>Imagi</w:t>
            </w:r>
            <w:r w:rsidR="00344276" w:rsidRPr="00720CB3">
              <w:rPr>
                <w:i/>
              </w:rPr>
              <w:t>ng</w:t>
            </w:r>
            <w:r w:rsidRPr="00720CB3">
              <w:rPr>
                <w:i/>
              </w:rPr>
              <w:t xml:space="preserve"> outcomes</w:t>
            </w:r>
          </w:p>
          <w:p w14:paraId="221A3AE9" w14:textId="5B233A25" w:rsidR="00D52C8A" w:rsidRPr="00720CB3" w:rsidRDefault="00D52C8A" w:rsidP="000348DA">
            <w:pPr>
              <w:pStyle w:val="NoSpacing"/>
              <w:numPr>
                <w:ilvl w:val="0"/>
                <w:numId w:val="17"/>
              </w:numPr>
              <w:spacing w:before="20" w:afterLines="20" w:after="48"/>
            </w:pPr>
            <w:r w:rsidRPr="00720CB3">
              <w:t>Osteolysis or progressive (&gt;2mm) radiolucent lines around the implant</w:t>
            </w:r>
          </w:p>
          <w:p w14:paraId="717A8F68" w14:textId="1DECCE7A" w:rsidR="00D52C8A" w:rsidRPr="00720CB3" w:rsidRDefault="00D52C8A" w:rsidP="000348DA">
            <w:pPr>
              <w:pStyle w:val="NoSpacing"/>
              <w:numPr>
                <w:ilvl w:val="0"/>
                <w:numId w:val="17"/>
              </w:numPr>
              <w:spacing w:before="20" w:afterLines="20" w:after="48"/>
            </w:pPr>
            <w:r w:rsidRPr="00720CB3">
              <w:t>Implant</w:t>
            </w:r>
            <w:r w:rsidR="00164978">
              <w:t xml:space="preserve"> </w:t>
            </w:r>
            <w:r w:rsidRPr="00720CB3">
              <w:t>loosening or subsidence</w:t>
            </w:r>
          </w:p>
          <w:p w14:paraId="460BCD9A" w14:textId="4A6CB183" w:rsidR="00D52C8A" w:rsidRPr="00720CB3" w:rsidRDefault="00CE66D0" w:rsidP="000348DA">
            <w:pPr>
              <w:pStyle w:val="NoSpacing"/>
              <w:spacing w:before="20" w:afterLines="20" w:after="48"/>
              <w:rPr>
                <w:b/>
              </w:rPr>
            </w:pPr>
            <w:r w:rsidRPr="00720CB3">
              <w:rPr>
                <w:b/>
              </w:rPr>
              <w:t>Health-related quality of life</w:t>
            </w:r>
            <w:r w:rsidR="006D2067" w:rsidRPr="00720CB3">
              <w:rPr>
                <w:b/>
              </w:rPr>
              <w:t xml:space="preserve"> </w:t>
            </w:r>
          </w:p>
          <w:p w14:paraId="451BF63B" w14:textId="3152E151" w:rsidR="004B7BDF" w:rsidRPr="001C0CB7" w:rsidRDefault="00D52C8A" w:rsidP="000348DA">
            <w:pPr>
              <w:pStyle w:val="NoSpacing"/>
              <w:numPr>
                <w:ilvl w:val="0"/>
                <w:numId w:val="17"/>
              </w:numPr>
              <w:spacing w:before="20" w:afterLines="20" w:after="48"/>
            </w:pPr>
            <w:r w:rsidRPr="00720CB3">
              <w:t xml:space="preserve">Quality of life measures (e.g. </w:t>
            </w:r>
            <w:r w:rsidR="00A46E79">
              <w:t xml:space="preserve">standardised tools such as </w:t>
            </w:r>
            <w:r w:rsidR="006D2067" w:rsidRPr="00720CB3">
              <w:t>EQ-5D o</w:t>
            </w:r>
            <w:r w:rsidR="00941147" w:rsidRPr="00720CB3">
              <w:t>r</w:t>
            </w:r>
            <w:r w:rsidR="006D2067" w:rsidRPr="00720CB3">
              <w:t xml:space="preserve"> SF-36</w:t>
            </w:r>
            <w:r w:rsidRPr="00720CB3">
              <w:t>)</w:t>
            </w:r>
          </w:p>
          <w:p w14:paraId="625AABD0" w14:textId="779C6001" w:rsidR="005433B5" w:rsidRPr="00720CB3" w:rsidRDefault="00CE66D0" w:rsidP="000348DA">
            <w:pPr>
              <w:pStyle w:val="NoSpacing"/>
              <w:spacing w:before="20" w:afterLines="20" w:after="48"/>
              <w:rPr>
                <w:b/>
              </w:rPr>
            </w:pPr>
            <w:r w:rsidRPr="00720CB3">
              <w:rPr>
                <w:b/>
              </w:rPr>
              <w:t>Healthcare</w:t>
            </w:r>
            <w:r w:rsidR="00D52C8A" w:rsidRPr="00720CB3">
              <w:rPr>
                <w:b/>
              </w:rPr>
              <w:t xml:space="preserve"> system</w:t>
            </w:r>
            <w:r w:rsidRPr="00720CB3">
              <w:rPr>
                <w:b/>
              </w:rPr>
              <w:t xml:space="preserve"> </w:t>
            </w:r>
          </w:p>
          <w:p w14:paraId="28738850" w14:textId="5BA4D416" w:rsidR="002A559E" w:rsidRPr="00720CB3" w:rsidRDefault="00CE66D0" w:rsidP="000348DA">
            <w:pPr>
              <w:pStyle w:val="NoSpacing"/>
              <w:numPr>
                <w:ilvl w:val="0"/>
                <w:numId w:val="17"/>
              </w:numPr>
              <w:spacing w:before="20" w:afterLines="20" w:after="48"/>
            </w:pPr>
            <w:r w:rsidRPr="00720CB3">
              <w:t>Cost of treatment</w:t>
            </w:r>
            <w:r w:rsidR="00162F26" w:rsidRPr="00720CB3">
              <w:t>, revision surgery, extended antibiotic courses</w:t>
            </w:r>
            <w:r w:rsidRPr="00720CB3">
              <w:t xml:space="preserve"> and cost of treating adverse events</w:t>
            </w:r>
          </w:p>
          <w:p w14:paraId="5565E84C" w14:textId="333C227B" w:rsidR="00CE66D0" w:rsidRPr="00720CB3" w:rsidRDefault="002A559E" w:rsidP="000348DA">
            <w:pPr>
              <w:pStyle w:val="NoSpacing"/>
              <w:numPr>
                <w:ilvl w:val="0"/>
                <w:numId w:val="17"/>
              </w:numPr>
              <w:spacing w:before="20" w:afterLines="20" w:after="48"/>
            </w:pPr>
            <w:r w:rsidRPr="00720CB3">
              <w:t>Total cost to Medicare Benefits Schedule</w:t>
            </w:r>
            <w:r w:rsidR="00FC6AA7" w:rsidRPr="00720CB3">
              <w:t xml:space="preserve"> due to hospital treatment for complications of infections</w:t>
            </w:r>
            <w:r w:rsidR="00A40B5D" w:rsidRPr="00720CB3">
              <w:t xml:space="preserve">; </w:t>
            </w:r>
            <w:r w:rsidR="00FC6AA7" w:rsidRPr="00720CB3">
              <w:t xml:space="preserve">Total cost to </w:t>
            </w:r>
            <w:r w:rsidRPr="00720CB3">
              <w:t>Australian Government budgets</w:t>
            </w:r>
          </w:p>
          <w:p w14:paraId="039FA3E2" w14:textId="77777777" w:rsidR="005433B5" w:rsidRPr="00720CB3" w:rsidRDefault="005433B5" w:rsidP="000348DA">
            <w:pPr>
              <w:pStyle w:val="NoSpacing"/>
              <w:spacing w:before="20" w:afterLines="20" w:after="48"/>
              <w:rPr>
                <w:b/>
              </w:rPr>
            </w:pPr>
            <w:r w:rsidRPr="00720CB3">
              <w:rPr>
                <w:b/>
              </w:rPr>
              <w:t>Cost-effectiveness</w:t>
            </w:r>
          </w:p>
          <w:p w14:paraId="2C2AC561" w14:textId="327DA108" w:rsidR="00D6511D" w:rsidRPr="001C0CB7" w:rsidRDefault="00CE66D0" w:rsidP="000348DA">
            <w:pPr>
              <w:pStyle w:val="NoSpacing"/>
              <w:numPr>
                <w:ilvl w:val="0"/>
                <w:numId w:val="17"/>
              </w:numPr>
              <w:spacing w:before="20" w:afterLines="20" w:after="48"/>
              <w:ind w:left="714" w:hanging="357"/>
              <w:rPr>
                <w:u w:val="dotted"/>
              </w:rPr>
            </w:pPr>
            <w:r w:rsidRPr="00720CB3">
              <w:t>Cost per life-year gained</w:t>
            </w:r>
            <w:r w:rsidR="00A40B5D" w:rsidRPr="00720CB3">
              <w:t>;</w:t>
            </w:r>
            <w:r w:rsidRPr="00720CB3">
              <w:t xml:space="preserve"> cost per quality-adjusted life year (QALY) gained</w:t>
            </w:r>
            <w:r w:rsidR="00A40B5D" w:rsidRPr="00720CB3">
              <w:t>;</w:t>
            </w:r>
            <w:r w:rsidR="006D2067" w:rsidRPr="00720CB3">
              <w:t xml:space="preserve"> incremental cost-effectiveness ratio (ICER)</w:t>
            </w:r>
          </w:p>
        </w:tc>
      </w:tr>
    </w:tbl>
    <w:p w14:paraId="0622E278" w14:textId="00A5B8B4" w:rsidR="0055549F" w:rsidRPr="0055549F" w:rsidRDefault="0055549F" w:rsidP="00A40B5D">
      <w:pPr>
        <w:spacing w:after="0" w:line="240" w:lineRule="auto"/>
        <w:rPr>
          <w:rFonts w:ascii="Arial Narrow" w:hAnsi="Arial Narrow"/>
          <w:sz w:val="18"/>
          <w:szCs w:val="18"/>
        </w:rPr>
      </w:pPr>
      <w:r w:rsidRPr="0055549F">
        <w:rPr>
          <w:rFonts w:ascii="Arial Narrow" w:hAnsi="Arial Narrow"/>
          <w:sz w:val="18"/>
          <w:szCs w:val="18"/>
          <w:vertAlign w:val="superscript"/>
        </w:rPr>
        <w:t>a</w:t>
      </w:r>
      <w:r w:rsidR="0050120E">
        <w:rPr>
          <w:rFonts w:ascii="Arial Narrow" w:hAnsi="Arial Narrow"/>
          <w:sz w:val="18"/>
          <w:szCs w:val="18"/>
          <w:vertAlign w:val="superscript"/>
        </w:rPr>
        <w:t xml:space="preserve"> </w:t>
      </w:r>
      <w:r>
        <w:rPr>
          <w:rFonts w:ascii="Arial Narrow" w:hAnsi="Arial Narrow"/>
          <w:sz w:val="18"/>
          <w:szCs w:val="18"/>
        </w:rPr>
        <w:t>As detailed in Malizos et al. (2017), w</w:t>
      </w:r>
      <w:r w:rsidRPr="0055549F">
        <w:rPr>
          <w:rFonts w:ascii="Arial Narrow" w:hAnsi="Arial Narrow"/>
          <w:sz w:val="18"/>
          <w:szCs w:val="18"/>
        </w:rPr>
        <w:t xml:space="preserve">ound healing </w:t>
      </w:r>
      <w:r>
        <w:rPr>
          <w:rFonts w:ascii="Arial Narrow" w:hAnsi="Arial Narrow"/>
          <w:sz w:val="18"/>
          <w:szCs w:val="18"/>
        </w:rPr>
        <w:t>c</w:t>
      </w:r>
      <w:bookmarkEnd w:id="2"/>
      <w:r>
        <w:rPr>
          <w:rFonts w:ascii="Arial Narrow" w:hAnsi="Arial Narrow"/>
          <w:sz w:val="18"/>
          <w:szCs w:val="18"/>
        </w:rPr>
        <w:t>ould be</w:t>
      </w:r>
      <w:r w:rsidRPr="0055549F">
        <w:rPr>
          <w:rFonts w:ascii="Arial Narrow" w:hAnsi="Arial Narrow"/>
          <w:sz w:val="18"/>
          <w:szCs w:val="18"/>
        </w:rPr>
        <w:t xml:space="preserve"> assessed at 7</w:t>
      </w:r>
      <w:r>
        <w:rPr>
          <w:rFonts w:ascii="Arial Narrow" w:hAnsi="Arial Narrow"/>
          <w:sz w:val="18"/>
          <w:szCs w:val="18"/>
        </w:rPr>
        <w:t xml:space="preserve"> </w:t>
      </w:r>
      <w:r w:rsidRPr="0055549F">
        <w:rPr>
          <w:rFonts w:ascii="Arial Narrow" w:hAnsi="Arial Narrow"/>
          <w:sz w:val="18"/>
          <w:szCs w:val="18"/>
        </w:rPr>
        <w:t>and 14 days using the ASEPSIS score, described by Wilson</w:t>
      </w:r>
    </w:p>
    <w:p w14:paraId="00D62B11" w14:textId="4FF99509" w:rsidR="0055549F" w:rsidRDefault="00D52C8A" w:rsidP="00A40B5D">
      <w:pPr>
        <w:spacing w:after="0" w:line="240" w:lineRule="auto"/>
        <w:rPr>
          <w:rFonts w:ascii="Arial Narrow" w:hAnsi="Arial Narrow"/>
          <w:sz w:val="18"/>
          <w:szCs w:val="18"/>
        </w:rPr>
      </w:pPr>
      <w:r>
        <w:rPr>
          <w:rFonts w:ascii="Arial Narrow" w:hAnsi="Arial Narrow"/>
          <w:sz w:val="18"/>
          <w:szCs w:val="18"/>
        </w:rPr>
        <w:t xml:space="preserve">et al. </w:t>
      </w:r>
      <w:r>
        <w:rPr>
          <w:rFonts w:ascii="Arial Narrow" w:hAnsi="Arial Narrow"/>
          <w:sz w:val="18"/>
          <w:szCs w:val="18"/>
        </w:rPr>
        <w:fldChar w:fldCharType="begin"/>
      </w:r>
      <w:r w:rsidR="00C7220A">
        <w:rPr>
          <w:rFonts w:ascii="Arial Narrow" w:hAnsi="Arial Narrow"/>
          <w:sz w:val="18"/>
          <w:szCs w:val="18"/>
        </w:rPr>
        <w:instrText xml:space="preserve"> ADDIN EN.CITE &lt;EndNote&gt;&lt;Cite&gt;&lt;Author&gt;Wilson&lt;/Author&gt;&lt;Year&gt;1986&lt;/Year&gt;&lt;RecNum&gt;19&lt;/RecNum&gt;&lt;DisplayText&gt;[1]&lt;/DisplayText&gt;&lt;record&gt;&lt;rec-number&gt;19&lt;/rec-number&gt;&lt;foreign-keys&gt;&lt;key app="EN" db-id="0x52t0fa5ezaf7e22eopzxaswfsaaaevpfzf" timestamp="1593410072"&gt;19&lt;/key&gt;&lt;/foreign-keys&gt;&lt;ref-type name="Journal Article"&gt;17&lt;/ref-type&gt;&lt;contributors&gt;&lt;authors&gt;&lt;author&gt;Wilson, APR&lt;/author&gt;&lt;author&gt;Sturridge, MF&lt;/author&gt;&lt;author&gt;Treasure, T&lt;/author&gt;&lt;author&gt;Grüneberg, RN&lt;/author&gt;&lt;/authors&gt;&lt;/contributors&gt;&lt;titles&gt;&lt;title&gt;A scoring method (ASEPSIS) for postoperative wound infections for use in clinical trials of antibiotic prophylaxis&lt;/title&gt;&lt;secondary-title&gt;The Lancet&lt;/secondary-title&gt;&lt;/titles&gt;&lt;periodical&gt;&lt;full-title&gt;The Lancet&lt;/full-title&gt;&lt;/periodical&gt;&lt;pages&gt;311-312&lt;/pages&gt;&lt;volume&gt;327&lt;/volume&gt;&lt;number&gt;8476&lt;/number&gt;&lt;dates&gt;&lt;year&gt;1986&lt;/year&gt;&lt;/dates&gt;&lt;isbn&gt;0140-6736&lt;/isbn&gt;&lt;urls&gt;&lt;/urls&gt;&lt;/record&gt;&lt;/Cite&gt;&lt;/EndNote&gt;</w:instrText>
      </w:r>
      <w:r>
        <w:rPr>
          <w:rFonts w:ascii="Arial Narrow" w:hAnsi="Arial Narrow"/>
          <w:sz w:val="18"/>
          <w:szCs w:val="18"/>
        </w:rPr>
        <w:fldChar w:fldCharType="separate"/>
      </w:r>
      <w:r w:rsidR="00C7220A">
        <w:rPr>
          <w:rFonts w:ascii="Arial Narrow" w:hAnsi="Arial Narrow"/>
          <w:noProof/>
          <w:sz w:val="18"/>
          <w:szCs w:val="18"/>
        </w:rPr>
        <w:t>[1]</w:t>
      </w:r>
      <w:r>
        <w:rPr>
          <w:rFonts w:ascii="Arial Narrow" w:hAnsi="Arial Narrow"/>
          <w:sz w:val="18"/>
          <w:szCs w:val="18"/>
        </w:rPr>
        <w:fldChar w:fldCharType="end"/>
      </w:r>
      <w:r w:rsidR="0055549F">
        <w:rPr>
          <w:rFonts w:ascii="Arial Narrow" w:hAnsi="Arial Narrow"/>
          <w:sz w:val="18"/>
          <w:szCs w:val="18"/>
        </w:rPr>
        <w:t xml:space="preserve">. </w:t>
      </w:r>
      <w:r w:rsidR="003A1182">
        <w:rPr>
          <w:rFonts w:ascii="Arial Narrow" w:hAnsi="Arial Narrow"/>
          <w:sz w:val="18"/>
          <w:szCs w:val="18"/>
        </w:rPr>
        <w:t>The d</w:t>
      </w:r>
      <w:r w:rsidR="0055549F" w:rsidRPr="0055549F">
        <w:rPr>
          <w:rFonts w:ascii="Arial Narrow" w:hAnsi="Arial Narrow"/>
          <w:sz w:val="18"/>
          <w:szCs w:val="18"/>
        </w:rPr>
        <w:t xml:space="preserve">elayed wound </w:t>
      </w:r>
      <w:r w:rsidR="0055549F">
        <w:rPr>
          <w:rFonts w:ascii="Arial Narrow" w:hAnsi="Arial Narrow"/>
          <w:sz w:val="18"/>
          <w:szCs w:val="18"/>
        </w:rPr>
        <w:t xml:space="preserve">could be assessed based on whether there is </w:t>
      </w:r>
      <w:r w:rsidR="0055549F" w:rsidRPr="0055549F">
        <w:rPr>
          <w:rFonts w:ascii="Arial Narrow" w:hAnsi="Arial Narrow"/>
          <w:sz w:val="18"/>
          <w:szCs w:val="18"/>
        </w:rPr>
        <w:t>incomplete healing of the wound after 4 weeks from surgery,</w:t>
      </w:r>
      <w:r w:rsidR="0055549F">
        <w:rPr>
          <w:rFonts w:ascii="Arial Narrow" w:hAnsi="Arial Narrow"/>
          <w:sz w:val="18"/>
          <w:szCs w:val="18"/>
        </w:rPr>
        <w:t xml:space="preserve"> </w:t>
      </w:r>
      <w:r w:rsidR="0055549F" w:rsidRPr="0055549F">
        <w:rPr>
          <w:rFonts w:ascii="Arial Narrow" w:hAnsi="Arial Narrow"/>
          <w:sz w:val="18"/>
          <w:szCs w:val="18"/>
        </w:rPr>
        <w:t xml:space="preserve">including the </w:t>
      </w:r>
      <w:r w:rsidR="0055549F">
        <w:rPr>
          <w:rFonts w:ascii="Arial Narrow" w:hAnsi="Arial Narrow"/>
          <w:sz w:val="18"/>
          <w:szCs w:val="18"/>
        </w:rPr>
        <w:t>p</w:t>
      </w:r>
      <w:r w:rsidR="0055549F" w:rsidRPr="0055549F">
        <w:rPr>
          <w:rFonts w:ascii="Arial Narrow" w:hAnsi="Arial Narrow"/>
          <w:sz w:val="18"/>
          <w:szCs w:val="18"/>
        </w:rPr>
        <w:t>resence of wound dehiscence, necrosis</w:t>
      </w:r>
      <w:r w:rsidR="0055549F">
        <w:rPr>
          <w:rFonts w:ascii="Arial Narrow" w:hAnsi="Arial Narrow"/>
          <w:sz w:val="18"/>
          <w:szCs w:val="18"/>
        </w:rPr>
        <w:t xml:space="preserve"> </w:t>
      </w:r>
      <w:r w:rsidR="0055549F" w:rsidRPr="0055549F">
        <w:rPr>
          <w:rFonts w:ascii="Arial Narrow" w:hAnsi="Arial Narrow"/>
          <w:sz w:val="18"/>
          <w:szCs w:val="18"/>
        </w:rPr>
        <w:t>or serum leakage</w:t>
      </w:r>
      <w:r w:rsidR="0055549F">
        <w:rPr>
          <w:rFonts w:ascii="Arial Narrow" w:hAnsi="Arial Narrow"/>
          <w:sz w:val="18"/>
          <w:szCs w:val="18"/>
        </w:rPr>
        <w:t xml:space="preserve">. The presence of these conditions </w:t>
      </w:r>
      <w:r w:rsidR="0055549F" w:rsidRPr="0055549F">
        <w:rPr>
          <w:rFonts w:ascii="Arial Narrow" w:hAnsi="Arial Narrow"/>
          <w:sz w:val="18"/>
          <w:szCs w:val="18"/>
        </w:rPr>
        <w:t xml:space="preserve">may need further medication but </w:t>
      </w:r>
      <w:r w:rsidR="0055549F">
        <w:rPr>
          <w:rFonts w:ascii="Arial Narrow" w:hAnsi="Arial Narrow"/>
          <w:sz w:val="18"/>
          <w:szCs w:val="18"/>
        </w:rPr>
        <w:t xml:space="preserve">may </w:t>
      </w:r>
      <w:r w:rsidR="0055549F" w:rsidRPr="0055549F">
        <w:rPr>
          <w:rFonts w:ascii="Arial Narrow" w:hAnsi="Arial Narrow"/>
          <w:sz w:val="18"/>
          <w:szCs w:val="18"/>
        </w:rPr>
        <w:t>not require any additional surgical treatment.</w:t>
      </w:r>
    </w:p>
    <w:p w14:paraId="2B68E386" w14:textId="4D3C1314" w:rsidR="0055549F" w:rsidRDefault="0055549F" w:rsidP="002129D0">
      <w:pPr>
        <w:spacing w:after="0" w:line="240" w:lineRule="auto"/>
        <w:rPr>
          <w:rFonts w:ascii="Arial Narrow" w:hAnsi="Arial Narrow"/>
          <w:sz w:val="18"/>
          <w:szCs w:val="18"/>
        </w:rPr>
      </w:pPr>
      <w:r w:rsidRPr="0055549F">
        <w:rPr>
          <w:rFonts w:ascii="Arial Narrow" w:hAnsi="Arial Narrow"/>
          <w:sz w:val="18"/>
          <w:szCs w:val="18"/>
          <w:vertAlign w:val="superscript"/>
        </w:rPr>
        <w:t>b</w:t>
      </w:r>
      <w:r w:rsidR="0050120E">
        <w:rPr>
          <w:rFonts w:ascii="Arial Narrow" w:hAnsi="Arial Narrow"/>
          <w:sz w:val="18"/>
          <w:szCs w:val="18"/>
          <w:vertAlign w:val="superscript"/>
        </w:rPr>
        <w:t xml:space="preserve"> </w:t>
      </w:r>
      <w:r w:rsidR="0082241C" w:rsidRPr="0082241C">
        <w:rPr>
          <w:rFonts w:ascii="Arial Narrow" w:hAnsi="Arial Narrow"/>
          <w:sz w:val="18"/>
          <w:szCs w:val="18"/>
        </w:rPr>
        <w:t>Clinical</w:t>
      </w:r>
      <w:r w:rsidR="0082241C">
        <w:rPr>
          <w:rFonts w:ascii="Arial Narrow" w:hAnsi="Arial Narrow"/>
          <w:sz w:val="18"/>
          <w:szCs w:val="18"/>
        </w:rPr>
        <w:t xml:space="preserve"> scores could be obtained </w:t>
      </w:r>
      <w:r>
        <w:rPr>
          <w:rFonts w:ascii="Arial Narrow" w:hAnsi="Arial Narrow"/>
          <w:sz w:val="18"/>
          <w:szCs w:val="18"/>
        </w:rPr>
        <w:t>using</w:t>
      </w:r>
      <w:r w:rsidR="00132D17">
        <w:rPr>
          <w:rFonts w:ascii="Arial Narrow" w:hAnsi="Arial Narrow"/>
          <w:sz w:val="18"/>
          <w:szCs w:val="18"/>
        </w:rPr>
        <w:t xml:space="preserve"> several outcome measures, including</w:t>
      </w:r>
      <w:r>
        <w:rPr>
          <w:rFonts w:ascii="Arial Narrow" w:hAnsi="Arial Narrow"/>
          <w:sz w:val="18"/>
          <w:szCs w:val="18"/>
        </w:rPr>
        <w:t xml:space="preserve"> </w:t>
      </w:r>
      <w:r w:rsidR="002129D0" w:rsidRPr="002129D0">
        <w:rPr>
          <w:rFonts w:ascii="Arial Narrow" w:hAnsi="Arial Narrow"/>
          <w:sz w:val="18"/>
          <w:szCs w:val="18"/>
        </w:rPr>
        <w:t>Charnley Hip Score, Oxford Hip and</w:t>
      </w:r>
      <w:r w:rsidR="002129D0">
        <w:rPr>
          <w:rFonts w:ascii="Arial Narrow" w:hAnsi="Arial Narrow"/>
          <w:sz w:val="18"/>
          <w:szCs w:val="18"/>
        </w:rPr>
        <w:t xml:space="preserve"> K</w:t>
      </w:r>
      <w:r w:rsidR="002129D0" w:rsidRPr="002129D0">
        <w:rPr>
          <w:rFonts w:ascii="Arial Narrow" w:hAnsi="Arial Narrow"/>
          <w:sz w:val="18"/>
          <w:szCs w:val="18"/>
        </w:rPr>
        <w:t>nee Scores, Harris Hip Score, Hospital</w:t>
      </w:r>
      <w:r w:rsidR="00132D17">
        <w:rPr>
          <w:rFonts w:ascii="Arial Narrow" w:hAnsi="Arial Narrow"/>
          <w:sz w:val="18"/>
          <w:szCs w:val="18"/>
        </w:rPr>
        <w:t xml:space="preserve"> </w:t>
      </w:r>
      <w:r w:rsidR="002129D0" w:rsidRPr="002129D0">
        <w:rPr>
          <w:rFonts w:ascii="Arial Narrow" w:hAnsi="Arial Narrow"/>
          <w:sz w:val="18"/>
          <w:szCs w:val="18"/>
        </w:rPr>
        <w:t xml:space="preserve">for Special Surgery Knee Score, </w:t>
      </w:r>
      <w:r w:rsidR="002129D0">
        <w:rPr>
          <w:rFonts w:ascii="Arial Narrow" w:hAnsi="Arial Narrow"/>
          <w:sz w:val="18"/>
          <w:szCs w:val="18"/>
        </w:rPr>
        <w:t>K</w:t>
      </w:r>
      <w:r w:rsidR="002129D0" w:rsidRPr="002129D0">
        <w:rPr>
          <w:rFonts w:ascii="Arial Narrow" w:hAnsi="Arial Narrow"/>
          <w:sz w:val="18"/>
          <w:szCs w:val="18"/>
        </w:rPr>
        <w:t>nee Society Score</w:t>
      </w:r>
      <w:r w:rsidR="00132D17">
        <w:rPr>
          <w:rFonts w:ascii="Arial Narrow" w:hAnsi="Arial Narrow"/>
          <w:sz w:val="18"/>
          <w:szCs w:val="18"/>
        </w:rPr>
        <w:t xml:space="preserve">, </w:t>
      </w:r>
      <w:r w:rsidR="00132D17" w:rsidRPr="00132D17">
        <w:rPr>
          <w:rFonts w:ascii="Arial Narrow" w:hAnsi="Arial Narrow"/>
          <w:sz w:val="18"/>
          <w:szCs w:val="18"/>
        </w:rPr>
        <w:t>Oxford shoulder scores</w:t>
      </w:r>
      <w:r w:rsidR="00132D17">
        <w:rPr>
          <w:rFonts w:ascii="Arial Narrow" w:hAnsi="Arial Narrow"/>
          <w:sz w:val="18"/>
          <w:szCs w:val="18"/>
        </w:rPr>
        <w:t xml:space="preserve">, </w:t>
      </w:r>
      <w:r w:rsidR="00132D17" w:rsidRPr="00132D17">
        <w:rPr>
          <w:rFonts w:ascii="Arial Narrow" w:hAnsi="Arial Narrow"/>
          <w:sz w:val="18"/>
          <w:szCs w:val="18"/>
        </w:rPr>
        <w:t>Disabilities of the Arm Shoulder and Hand questionnaire</w:t>
      </w:r>
      <w:r w:rsidR="002129D0" w:rsidRPr="002129D0" w:rsidDel="002129D0">
        <w:rPr>
          <w:rFonts w:ascii="Arial Narrow" w:hAnsi="Arial Narrow"/>
          <w:sz w:val="18"/>
          <w:szCs w:val="18"/>
        </w:rPr>
        <w:t xml:space="preserve"> </w:t>
      </w:r>
      <w:r>
        <w:rPr>
          <w:rFonts w:ascii="Arial Narrow" w:hAnsi="Arial Narrow"/>
          <w:sz w:val="18"/>
          <w:szCs w:val="18"/>
        </w:rPr>
        <w:t>as appropriate.</w:t>
      </w:r>
    </w:p>
    <w:p w14:paraId="5B9C7610" w14:textId="6B0FF855" w:rsidR="00081C28" w:rsidRDefault="00081C28" w:rsidP="00A40B5D">
      <w:pPr>
        <w:spacing w:after="0" w:line="240" w:lineRule="auto"/>
        <w:rPr>
          <w:rFonts w:ascii="Arial Narrow" w:hAnsi="Arial Narrow"/>
          <w:sz w:val="18"/>
          <w:szCs w:val="18"/>
        </w:rPr>
      </w:pPr>
      <w:r w:rsidRPr="00AA53A5">
        <w:rPr>
          <w:rFonts w:ascii="Arial Narrow" w:hAnsi="Arial Narrow"/>
          <w:sz w:val="18"/>
          <w:szCs w:val="18"/>
        </w:rPr>
        <w:t>Abbreviations:</w:t>
      </w:r>
      <w:r w:rsidR="00805C45">
        <w:rPr>
          <w:rFonts w:ascii="Arial Narrow" w:hAnsi="Arial Narrow"/>
          <w:sz w:val="18"/>
          <w:szCs w:val="18"/>
        </w:rPr>
        <w:t xml:space="preserve"> ASA:</w:t>
      </w:r>
      <w:r w:rsidRPr="00AA53A5">
        <w:rPr>
          <w:rFonts w:ascii="Arial Narrow" w:hAnsi="Arial Narrow"/>
          <w:sz w:val="18"/>
          <w:szCs w:val="18"/>
        </w:rPr>
        <w:t xml:space="preserve"> </w:t>
      </w:r>
      <w:r w:rsidR="004B113C" w:rsidRPr="004B113C">
        <w:rPr>
          <w:rFonts w:ascii="Arial Narrow" w:hAnsi="Arial Narrow"/>
          <w:sz w:val="18"/>
          <w:szCs w:val="18"/>
        </w:rPr>
        <w:t>Americ</w:t>
      </w:r>
      <w:r w:rsidR="004B113C">
        <w:rPr>
          <w:rFonts w:ascii="Arial Narrow" w:hAnsi="Arial Narrow"/>
          <w:sz w:val="18"/>
          <w:szCs w:val="18"/>
        </w:rPr>
        <w:t>an Society of Anaesthesiologists; BMI</w:t>
      </w:r>
      <w:r w:rsidR="00805C45">
        <w:rPr>
          <w:rFonts w:ascii="Arial Narrow" w:hAnsi="Arial Narrow"/>
          <w:sz w:val="18"/>
          <w:szCs w:val="18"/>
        </w:rPr>
        <w:t>:</w:t>
      </w:r>
      <w:r w:rsidR="004B113C">
        <w:rPr>
          <w:rFonts w:ascii="Arial Narrow" w:hAnsi="Arial Narrow"/>
          <w:sz w:val="18"/>
          <w:szCs w:val="18"/>
        </w:rPr>
        <w:t xml:space="preserve"> body mass index; </w:t>
      </w:r>
      <w:r w:rsidRPr="00AA53A5">
        <w:rPr>
          <w:rFonts w:ascii="Arial Narrow" w:hAnsi="Arial Narrow"/>
          <w:sz w:val="18"/>
          <w:szCs w:val="18"/>
        </w:rPr>
        <w:t>E</w:t>
      </w:r>
      <w:r w:rsidR="009A07E9">
        <w:rPr>
          <w:rFonts w:ascii="Arial Narrow" w:hAnsi="Arial Narrow"/>
          <w:sz w:val="18"/>
          <w:szCs w:val="18"/>
        </w:rPr>
        <w:t>Q</w:t>
      </w:r>
      <w:r w:rsidRPr="00AA53A5">
        <w:rPr>
          <w:rFonts w:ascii="Arial Narrow" w:hAnsi="Arial Narrow"/>
          <w:sz w:val="18"/>
          <w:szCs w:val="18"/>
        </w:rPr>
        <w:t xml:space="preserve">-5D: EuroQol-5 Dimension scale; SF-36: Short Form </w:t>
      </w:r>
      <w:r w:rsidR="008607D4">
        <w:rPr>
          <w:rFonts w:ascii="Arial Narrow" w:hAnsi="Arial Narrow"/>
          <w:sz w:val="18"/>
          <w:szCs w:val="18"/>
        </w:rPr>
        <w:t>3</w:t>
      </w:r>
      <w:r w:rsidRPr="00AA53A5">
        <w:rPr>
          <w:rFonts w:ascii="Arial Narrow" w:hAnsi="Arial Narrow"/>
          <w:sz w:val="18"/>
          <w:szCs w:val="18"/>
        </w:rPr>
        <w:t>6 health survey</w:t>
      </w:r>
      <w:r>
        <w:rPr>
          <w:rFonts w:ascii="Arial Narrow" w:hAnsi="Arial Narrow"/>
          <w:sz w:val="18"/>
          <w:szCs w:val="18"/>
        </w:rPr>
        <w:t>; TJA: total joint arthroplasty</w:t>
      </w:r>
    </w:p>
    <w:p w14:paraId="404E6D2F" w14:textId="260692A9" w:rsidR="00B04990" w:rsidRPr="00745DED" w:rsidRDefault="00B04990" w:rsidP="001C0CB7">
      <w:pPr>
        <w:spacing w:before="360"/>
        <w:rPr>
          <w:rFonts w:eastAsia="MS Gothic"/>
          <w:b/>
          <w:bCs/>
          <w:i/>
          <w:color w:val="548DD4"/>
          <w:szCs w:val="26"/>
          <w:u w:val="single"/>
        </w:rPr>
      </w:pPr>
      <w:r w:rsidRPr="00745DED">
        <w:rPr>
          <w:rFonts w:eastAsia="MS Gothic"/>
          <w:b/>
          <w:bCs/>
          <w:i/>
          <w:color w:val="548DD4"/>
          <w:szCs w:val="26"/>
          <w:u w:val="single"/>
        </w:rPr>
        <w:t>PICO rationale for therapeutic medical services only</w:t>
      </w:r>
    </w:p>
    <w:p w14:paraId="180F1F9F" w14:textId="6ED30762" w:rsidR="00896845" w:rsidRPr="00E364F7" w:rsidRDefault="00896845" w:rsidP="00A43D43">
      <w:pPr>
        <w:pStyle w:val="Heading3"/>
        <w:rPr>
          <w:b w:val="0"/>
        </w:rPr>
      </w:pPr>
      <w:r w:rsidRPr="00E364F7">
        <w:t>Population</w:t>
      </w:r>
    </w:p>
    <w:p w14:paraId="599DE9D5" w14:textId="463C95F9" w:rsidR="006319FC" w:rsidRPr="005C4EA9" w:rsidRDefault="00550038" w:rsidP="004305B5">
      <w:r w:rsidRPr="005C4EA9">
        <w:t xml:space="preserve">The population for whom the proposed medical service is intended includes patients who are at risk of periprosthetic deep surgical site infection (SSI) </w:t>
      </w:r>
      <w:r w:rsidR="006319FC" w:rsidRPr="005C4EA9">
        <w:t>when</w:t>
      </w:r>
      <w:r w:rsidRPr="005C4EA9">
        <w:t xml:space="preserve"> undergoing orthopaedic </w:t>
      </w:r>
      <w:r w:rsidRPr="005C4EA9">
        <w:lastRenderedPageBreak/>
        <w:t>implant procedure</w:t>
      </w:r>
      <w:r w:rsidR="006319FC" w:rsidRPr="005C4EA9">
        <w:t>(s)</w:t>
      </w:r>
      <w:r w:rsidRPr="005C4EA9">
        <w:t>.</w:t>
      </w:r>
      <w:r w:rsidR="002B5B63" w:rsidRPr="005C4EA9">
        <w:t xml:space="preserve"> </w:t>
      </w:r>
      <w:r w:rsidR="00646203" w:rsidRPr="005C4EA9">
        <w:t xml:space="preserve">The </w:t>
      </w:r>
      <w:r w:rsidR="0038000B" w:rsidRPr="005C4EA9">
        <w:t>Application</w:t>
      </w:r>
      <w:r w:rsidR="00646203" w:rsidRPr="005C4EA9">
        <w:t xml:space="preserve"> </w:t>
      </w:r>
      <w:r w:rsidR="006319FC" w:rsidRPr="005C4EA9">
        <w:t>seeks</w:t>
      </w:r>
      <w:r w:rsidR="00646203" w:rsidRPr="005C4EA9">
        <w:t xml:space="preserve"> list</w:t>
      </w:r>
      <w:r w:rsidR="009433F1" w:rsidRPr="005C4EA9">
        <w:t>ing of</w:t>
      </w:r>
      <w:r w:rsidR="00646203" w:rsidRPr="005C4EA9">
        <w:t xml:space="preserve"> </w:t>
      </w:r>
      <w:r w:rsidR="00FF6C2A" w:rsidRPr="005C4EA9">
        <w:t>Defensive Antibacterial Coating (</w:t>
      </w:r>
      <w:r w:rsidR="00646203" w:rsidRPr="005C4EA9">
        <w:t>DAC</w:t>
      </w:r>
      <w:r w:rsidR="00FF6C2A" w:rsidRPr="005C4EA9">
        <w:t>)</w:t>
      </w:r>
      <w:r w:rsidR="00646203" w:rsidRPr="005C4EA9">
        <w:t xml:space="preserve"> 5ml Kit</w:t>
      </w:r>
      <w:r w:rsidR="00AF72C0" w:rsidRPr="005C4EA9">
        <w:t xml:space="preserve"> </w:t>
      </w:r>
      <w:r w:rsidR="009A07E9" w:rsidRPr="005C4EA9">
        <w:t>o</w:t>
      </w:r>
      <w:r w:rsidR="00AF72C0" w:rsidRPr="005C4EA9">
        <w:t xml:space="preserve">n the </w:t>
      </w:r>
      <w:r w:rsidR="009A07E9" w:rsidRPr="005C4EA9">
        <w:t>P</w:t>
      </w:r>
      <w:r w:rsidR="00AF72C0" w:rsidRPr="005C4EA9">
        <w:t>rosthes</w:t>
      </w:r>
      <w:r w:rsidR="00144C57" w:rsidRPr="005C4EA9">
        <w:t>e</w:t>
      </w:r>
      <w:r w:rsidR="00AF72C0" w:rsidRPr="005C4EA9">
        <w:t xml:space="preserve">s </w:t>
      </w:r>
      <w:r w:rsidR="009A07E9" w:rsidRPr="005C4EA9">
        <w:t>L</w:t>
      </w:r>
      <w:r w:rsidR="00AF72C0" w:rsidRPr="005C4EA9">
        <w:t>ist.</w:t>
      </w:r>
    </w:p>
    <w:p w14:paraId="404F03D3" w14:textId="53192754" w:rsidR="00176F29" w:rsidRPr="005C4EA9" w:rsidRDefault="00176F29" w:rsidP="00CE7DBF">
      <w:r w:rsidRPr="005C4EA9">
        <w:t xml:space="preserve">The </w:t>
      </w:r>
      <w:r w:rsidR="00CA7897">
        <w:t>a</w:t>
      </w:r>
      <w:r w:rsidRPr="005C4EA9">
        <w:t>pplicant nominated 4 surgical populations (which were amended during preparation of the PICO) for the prevention</w:t>
      </w:r>
      <w:r w:rsidR="004B3480" w:rsidRPr="005C4EA9">
        <w:t xml:space="preserve"> (primary, secondary)</w:t>
      </w:r>
      <w:r w:rsidRPr="005C4EA9">
        <w:t xml:space="preserve"> of deep periprosthetic SSI, categorised by the type and indication of the surgical arthroplasty procedure(s):</w:t>
      </w:r>
    </w:p>
    <w:p w14:paraId="325286CD" w14:textId="77777777" w:rsidR="00176F29" w:rsidRPr="005C4EA9" w:rsidRDefault="00176F29" w:rsidP="00F835F6">
      <w:pPr>
        <w:pStyle w:val="NoSpacing"/>
        <w:numPr>
          <w:ilvl w:val="0"/>
          <w:numId w:val="24"/>
        </w:numPr>
      </w:pPr>
      <w:r w:rsidRPr="005C4EA9">
        <w:t>Patients undergoing an elective primary joint implant at increased risk of infection due to the presence of comorbidities</w:t>
      </w:r>
    </w:p>
    <w:p w14:paraId="230A3573" w14:textId="77777777" w:rsidR="00176F29" w:rsidRPr="005C4EA9" w:rsidRDefault="00176F29" w:rsidP="00F835F6">
      <w:pPr>
        <w:pStyle w:val="NoSpacing"/>
        <w:numPr>
          <w:ilvl w:val="0"/>
          <w:numId w:val="24"/>
        </w:numPr>
      </w:pPr>
      <w:r w:rsidRPr="005C4EA9">
        <w:t>Patients undergoing elective megaprosthesis implantation or elective major revision of joint implants for indications other than periprosthetic infection, including total joint revision, tumour removal and reconstruction</w:t>
      </w:r>
    </w:p>
    <w:p w14:paraId="59B1417C" w14:textId="2BA6C9ED" w:rsidR="00176F29" w:rsidRPr="005C4EA9" w:rsidRDefault="00176F29" w:rsidP="00F835F6">
      <w:pPr>
        <w:pStyle w:val="NoSpacing"/>
        <w:numPr>
          <w:ilvl w:val="0"/>
          <w:numId w:val="24"/>
        </w:numPr>
      </w:pPr>
      <w:r w:rsidRPr="005C4EA9">
        <w:t>Patients undergoing surgery for periprosthetic infection with implant replacement</w:t>
      </w:r>
    </w:p>
    <w:p w14:paraId="3B7CD31A" w14:textId="7832AC65" w:rsidR="005A64C0" w:rsidRDefault="00176F29" w:rsidP="001C0CB7">
      <w:pPr>
        <w:pStyle w:val="NoSpacing"/>
        <w:numPr>
          <w:ilvl w:val="0"/>
          <w:numId w:val="24"/>
        </w:numPr>
        <w:spacing w:after="240"/>
        <w:ind w:left="714" w:hanging="357"/>
      </w:pPr>
      <w:r w:rsidRPr="005C4EA9">
        <w:t>Patients undergoing open reduction and int</w:t>
      </w:r>
      <w:r w:rsidR="001C0CB7">
        <w:t>ernal fixation.</w:t>
      </w:r>
    </w:p>
    <w:p w14:paraId="13F48C15" w14:textId="6214084E" w:rsidR="000F5513" w:rsidRDefault="005A64C0" w:rsidP="005A64C0">
      <w:pPr>
        <w:rPr>
          <w:i/>
        </w:rPr>
      </w:pPr>
      <w:r w:rsidRPr="005A64C0">
        <w:rPr>
          <w:i/>
        </w:rPr>
        <w:t>PASC considered that, for population 4, open reduction and internal fixation (ORIF) is generally not elective, so populations 4a and 4b should be combined into a single population. PASC also advised that the application should specify appropriate subgroups, joints or surgical procedures that would benefit, to help narrow this population.</w:t>
      </w:r>
    </w:p>
    <w:p w14:paraId="766B18F1" w14:textId="1C62C38C" w:rsidR="005A64C0" w:rsidRDefault="00BF514D" w:rsidP="005A64C0">
      <w:pPr>
        <w:rPr>
          <w:i/>
        </w:rPr>
      </w:pPr>
      <w:r>
        <w:rPr>
          <w:i/>
        </w:rPr>
        <w:t>Subsequently, the applicant suggested the following subgroups for population 4. Patients with:</w:t>
      </w:r>
    </w:p>
    <w:p w14:paraId="68764B58" w14:textId="52279D19" w:rsidR="00BF514D" w:rsidRPr="00BF514D" w:rsidRDefault="00A76757" w:rsidP="00BF514D">
      <w:pPr>
        <w:pStyle w:val="ListParagraph"/>
        <w:numPr>
          <w:ilvl w:val="0"/>
          <w:numId w:val="17"/>
        </w:numPr>
        <w:rPr>
          <w:i/>
        </w:rPr>
      </w:pPr>
      <w:r>
        <w:rPr>
          <w:i/>
        </w:rPr>
        <w:t>a</w:t>
      </w:r>
      <w:r w:rsidR="00BF514D" w:rsidRPr="00BF514D">
        <w:rPr>
          <w:i/>
        </w:rPr>
        <w:t>ny open fracture and;</w:t>
      </w:r>
    </w:p>
    <w:p w14:paraId="3DC08494" w14:textId="3781154C" w:rsidR="005A64C0" w:rsidRPr="000F5513" w:rsidRDefault="00BF514D" w:rsidP="005A64C0">
      <w:pPr>
        <w:pStyle w:val="ListParagraph"/>
        <w:numPr>
          <w:ilvl w:val="0"/>
          <w:numId w:val="17"/>
        </w:numPr>
        <w:rPr>
          <w:i/>
        </w:rPr>
      </w:pPr>
      <w:r>
        <w:rPr>
          <w:i/>
        </w:rPr>
        <w:t>the sam</w:t>
      </w:r>
      <w:r w:rsidRPr="00BF514D">
        <w:rPr>
          <w:i/>
        </w:rPr>
        <w:t>e co-morbidity stratification as population 1</w:t>
      </w:r>
      <w:r w:rsidR="00A76757">
        <w:rPr>
          <w:i/>
        </w:rPr>
        <w:t>.</w:t>
      </w:r>
    </w:p>
    <w:p w14:paraId="092312F9" w14:textId="1BC2E847" w:rsidR="00C75448" w:rsidRPr="005C4EA9" w:rsidRDefault="00C75448" w:rsidP="00C75448">
      <w:r w:rsidRPr="005C4EA9">
        <w:t xml:space="preserve">The </w:t>
      </w:r>
      <w:r w:rsidR="00951B88" w:rsidRPr="005C4EA9">
        <w:t>World Health Organisation (</w:t>
      </w:r>
      <w:r w:rsidRPr="005C4EA9">
        <w:t>WHO</w:t>
      </w:r>
      <w:r w:rsidR="00951B88" w:rsidRPr="005C4EA9">
        <w:t>)</w:t>
      </w:r>
      <w:r w:rsidRPr="005C4EA9">
        <w:t xml:space="preserve"> 2016 Guidelines define SSIs as an infection that occurs within 30 days after the operation and involves the skin and subcutaneous tissue of the incision (superficial incisional) and/or the deep soft tissue (for example fascia, muscle) of the </w:t>
      </w:r>
      <w:r w:rsidR="003264E6" w:rsidRPr="005C4EA9">
        <w:t>incision</w:t>
      </w:r>
      <w:r w:rsidRPr="005C4EA9">
        <w:t xml:space="preserve"> (deep incisional) and/or any part of the anatomy (for example, organs and spaces) other than the incision that was opened or manipulated during an operation (organ/space)</w:t>
      </w:r>
      <w:r w:rsidR="00EE30CD" w:rsidRPr="005C4EA9">
        <w:t xml:space="preserve"> </w:t>
      </w:r>
      <w:r w:rsidR="00EE30CD" w:rsidRPr="005C4EA9">
        <w:fldChar w:fldCharType="begin"/>
      </w:r>
      <w:r w:rsidR="00EE30CD" w:rsidRPr="005C4EA9">
        <w:instrText xml:space="preserve"> ADDIN EN.CITE &lt;EndNote&gt;&lt;Cite&gt;&lt;Author&gt;Organization&lt;/Author&gt;&lt;Year&gt;2016&lt;/Year&gt;&lt;RecNum&gt;27&lt;/RecNum&gt;&lt;DisplayText&gt;[2]&lt;/DisplayText&gt;&lt;record&gt;&lt;rec-number&gt;27&lt;/rec-number&gt;&lt;foreign-keys&gt;&lt;key app="EN" db-id="0x52t0fa5ezaf7e22eopzxaswfsaaaevpfzf" timestamp="1594269894"&gt;27&lt;/key&gt;&lt;/foreign-keys&gt;&lt;ref-type name="Book"&gt;6&lt;/ref-type&gt;&lt;contributors&gt;&lt;authors&gt;&lt;author&gt;World Health Organization&lt;/author&gt;&lt;/authors&gt;&lt;/contributors&gt;&lt;titles&gt;&lt;title&gt;Global guidelines for the prevention of surgical site infection&lt;/title&gt;&lt;/titles&gt;&lt;dates&gt;&lt;year&gt;2016&lt;/year&gt;&lt;/dates&gt;&lt;publisher&gt;World Health Organization&lt;/publisher&gt;&lt;isbn&gt;9241549882&lt;/isbn&gt;&lt;urls&gt;&lt;/urls&gt;&lt;/record&gt;&lt;/Cite&gt;&lt;/EndNote&gt;</w:instrText>
      </w:r>
      <w:r w:rsidR="00EE30CD" w:rsidRPr="005C4EA9">
        <w:fldChar w:fldCharType="separate"/>
      </w:r>
      <w:r w:rsidR="00EE30CD" w:rsidRPr="005C4EA9">
        <w:rPr>
          <w:noProof/>
        </w:rPr>
        <w:t>[2]</w:t>
      </w:r>
      <w:r w:rsidR="00EE30CD" w:rsidRPr="005C4EA9">
        <w:fldChar w:fldCharType="end"/>
      </w:r>
      <w:r w:rsidRPr="005C4EA9">
        <w:t>.</w:t>
      </w:r>
      <w:r w:rsidR="005C7839" w:rsidRPr="005C4EA9">
        <w:t xml:space="preserve"> SSIs remain the most common healthcare associated infection, with an incidence of up to 2.5% after primary hip and knee arthroplasty and 10% following revision surgery</w:t>
      </w:r>
      <w:r w:rsidR="003D48E2" w:rsidRPr="005C4EA9">
        <w:t xml:space="preserve"> </w:t>
      </w:r>
      <w:r w:rsidR="003D48E2" w:rsidRPr="005C4EA9">
        <w:fldChar w:fldCharType="begin"/>
      </w:r>
      <w:r w:rsidR="00EE30CD" w:rsidRPr="005C4EA9">
        <w:instrText xml:space="preserve"> ADDIN EN.CITE &lt;EndNote&gt;&lt;Cite&gt;&lt;Author&gt;Romanò&lt;/Author&gt;&lt;Year&gt;2016&lt;/Year&gt;&lt;RecNum&gt;34&lt;/RecNum&gt;&lt;DisplayText&gt;[3]&lt;/DisplayText&gt;&lt;record&gt;&lt;rec-number&gt;34&lt;/rec-number&gt;&lt;foreign-keys&gt;&lt;key app="EN" db-id="0x52t0fa5ezaf7e22eopzxaswfsaaaevpfzf" timestamp="1594962473"&gt;34&lt;/key&gt;&lt;/foreign-keys&gt;&lt;ref-type name="Journal Article"&gt;17&lt;/ref-type&gt;&lt;contributors&gt;&lt;authors&gt;&lt;author&gt;Romanò, Carlo Luca&lt;/author&gt;&lt;author&gt;Malizos, Kostantinos&lt;/author&gt;&lt;author&gt;Capuano, Nicola&lt;/author&gt;&lt;author&gt;Mezzoprete, Riccardo&lt;/author&gt;&lt;author&gt;D&amp;apos;Arienzo, Michele&lt;/author&gt;&lt;author&gt;Van Der Straeten, Catherine&lt;/author&gt;&lt;author&gt;Scarponi, Sara&lt;/author&gt;&lt;author&gt;Drago, Lorenzo&lt;/author&gt;&lt;/authors&gt;&lt;/contributors&gt;&lt;titles&gt;&lt;title&gt;Does an antibiotic-loaded hydrogel coating reduce early post-surgical infection after joint arthroplasty?&lt;/title&gt;&lt;secondary-title&gt;Journal of bone and joint infection&lt;/secondary-title&gt;&lt;/titles&gt;&lt;periodical&gt;&lt;full-title&gt;Journal of bone and joint infection&lt;/full-title&gt;&lt;/periodical&gt;&lt;pages&gt;34&lt;/pages&gt;&lt;volume&gt;1&lt;/volume&gt;&lt;dates&gt;&lt;year&gt;2016&lt;/year&gt;&lt;/dates&gt;&lt;urls&gt;&lt;/urls&gt;&lt;/record&gt;&lt;/Cite&gt;&lt;/EndNote&gt;</w:instrText>
      </w:r>
      <w:r w:rsidR="003D48E2" w:rsidRPr="005C4EA9">
        <w:fldChar w:fldCharType="separate"/>
      </w:r>
      <w:r w:rsidR="00EE30CD" w:rsidRPr="005C4EA9">
        <w:rPr>
          <w:noProof/>
        </w:rPr>
        <w:t>[3]</w:t>
      </w:r>
      <w:r w:rsidR="003D48E2" w:rsidRPr="005C4EA9">
        <w:fldChar w:fldCharType="end"/>
      </w:r>
      <w:r w:rsidR="003D48E2" w:rsidRPr="005C4EA9">
        <w:t>.</w:t>
      </w:r>
      <w:r w:rsidR="006118D3">
        <w:t xml:space="preserve"> </w:t>
      </w:r>
      <w:r w:rsidR="006118D3" w:rsidRPr="006118D3">
        <w:rPr>
          <w:i/>
        </w:rPr>
        <w:t>PASC noted that deep SSIs are serious adverse event of arthroplasty and that interventions are needed to reduce SSI rates.</w:t>
      </w:r>
    </w:p>
    <w:p w14:paraId="7E7A7FF6" w14:textId="2D3C969B" w:rsidR="00984816" w:rsidRPr="005C4EA9" w:rsidRDefault="00AC5385" w:rsidP="00984816">
      <w:r w:rsidRPr="005C4EA9">
        <w:t xml:space="preserve">Periprosthetic </w:t>
      </w:r>
      <w:r w:rsidR="004966CF" w:rsidRPr="005C4EA9">
        <w:t>joint</w:t>
      </w:r>
      <w:r w:rsidRPr="005C4EA9">
        <w:t xml:space="preserve"> SSI</w:t>
      </w:r>
      <w:r w:rsidR="004966CF" w:rsidRPr="005C4EA9">
        <w:t>s</w:t>
      </w:r>
      <w:r w:rsidRPr="005C4EA9">
        <w:t xml:space="preserve"> </w:t>
      </w:r>
      <w:r w:rsidR="0031609C" w:rsidRPr="005C4EA9">
        <w:t>are</w:t>
      </w:r>
      <w:r w:rsidR="004966CF" w:rsidRPr="005C4EA9">
        <w:t xml:space="preserve"> complications after arthroplasty</w:t>
      </w:r>
      <w:r w:rsidR="006319FC" w:rsidRPr="005C4EA9">
        <w:t>,</w:t>
      </w:r>
      <w:r w:rsidR="004966CF" w:rsidRPr="005C4EA9">
        <w:t xml:space="preserve"> most commonly occurring during implantation and are attributed to endogenous skin flora or exogenous sources from the operation site </w:t>
      </w:r>
      <w:r w:rsidR="009F3949" w:rsidRPr="005C4EA9">
        <w:fldChar w:fldCharType="begin"/>
      </w:r>
      <w:r w:rsidR="00EE30CD" w:rsidRPr="005C4EA9">
        <w:instrText xml:space="preserve"> ADDIN EN.CITE &lt;EndNote&gt;&lt;Cite&gt;&lt;Author&gt;Kapadia&lt;/Author&gt;&lt;Year&gt;2016&lt;/Year&gt;&lt;RecNum&gt;1&lt;/RecNum&gt;&lt;DisplayText&gt;[4]&lt;/DisplayText&gt;&lt;record&gt;&lt;rec-number&gt;1&lt;/rec-number&gt;&lt;foreign-keys&gt;&lt;key app="EN" db-id="0x52t0fa5ezaf7e22eopzxaswfsaaaevpfzf" timestamp="1592877770"&gt;1&lt;/key&gt;&lt;/foreign-keys&gt;&lt;ref-type name="Journal Article"&gt;17&lt;/ref-type&gt;&lt;contributors&gt;&lt;authors&gt;&lt;author&gt;Kapadia, Bhaveen H&lt;/author&gt;&lt;author&gt;Berg, Richard A&lt;/author&gt;&lt;author&gt;Daley, Jacqueline A&lt;/author&gt;&lt;author&gt;Fritz, Jan&lt;/author&gt;&lt;author&gt;Bhave, Anil&lt;/author&gt;&lt;author&gt;Mont, Michael A&lt;/author&gt;&lt;/authors&gt;&lt;/contributors&gt;&lt;titles&gt;&lt;title&gt;Periprosthetic joint infection&lt;/title&gt;&lt;secondary-title&gt;The Lancet&lt;/secondary-title&gt;&lt;/titles&gt;&lt;periodical&gt;&lt;full-title&gt;The Lancet&lt;/full-title&gt;&lt;/periodical&gt;&lt;pages&gt;386-394&lt;/pages&gt;&lt;volume&gt;387&lt;/volume&gt;&lt;number&gt;10016&lt;/number&gt;&lt;dates&gt;&lt;year&gt;2016&lt;/year&gt;&lt;/dates&gt;&lt;isbn&gt;0140-6736&lt;/isbn&gt;&lt;urls&gt;&lt;/urls&gt;&lt;/record&gt;&lt;/Cite&gt;&lt;/EndNote&gt;</w:instrText>
      </w:r>
      <w:r w:rsidR="009F3949" w:rsidRPr="005C4EA9">
        <w:fldChar w:fldCharType="separate"/>
      </w:r>
      <w:r w:rsidR="00EE30CD" w:rsidRPr="005C4EA9">
        <w:rPr>
          <w:noProof/>
        </w:rPr>
        <w:t>[4]</w:t>
      </w:r>
      <w:r w:rsidR="009F3949" w:rsidRPr="005C4EA9">
        <w:fldChar w:fldCharType="end"/>
      </w:r>
      <w:r w:rsidR="004966CF" w:rsidRPr="005C4EA9">
        <w:t>.</w:t>
      </w:r>
      <w:r w:rsidR="009D4EA3" w:rsidRPr="005C4EA9">
        <w:t xml:space="preserve"> </w:t>
      </w:r>
      <w:r w:rsidR="005A0475" w:rsidRPr="005C4EA9">
        <w:t>They</w:t>
      </w:r>
      <w:r w:rsidR="009D4EA3" w:rsidRPr="005C4EA9">
        <w:t xml:space="preserve"> are typically caused by microorganisms that thrive in biofilms, within which microorganisms form a complex and organised structure, resembling multicellular organisms </w:t>
      </w:r>
      <w:r w:rsidR="009D4EA3" w:rsidRPr="005C4EA9">
        <w:fldChar w:fldCharType="begin"/>
      </w:r>
      <w:r w:rsidR="00EE30CD" w:rsidRPr="005C4EA9">
        <w:instrText xml:space="preserve"> ADDIN EN.CITE &lt;EndNote&gt;&lt;Cite&gt;&lt;Author&gt;Costerton&lt;/Author&gt;&lt;Year&gt;1999&lt;/Year&gt;&lt;RecNum&gt;10&lt;/RecNum&gt;&lt;DisplayText&gt;[5]&lt;/DisplayText&gt;&lt;record&gt;&lt;rec-number&gt;10&lt;/rec-number&gt;&lt;foreign-keys&gt;&lt;key app="EN" db-id="0x52t0fa5ezaf7e22eopzxaswfsaaaevpfzf" timestamp="1592889260"&gt;10&lt;/key&gt;&lt;/foreign-keys&gt;&lt;ref-type name="Journal Article"&gt;17&lt;/ref-type&gt;&lt;contributors&gt;&lt;authors&gt;&lt;author&gt;Costerton, J William&lt;/author&gt;&lt;author&gt;Stewart, Philip S&lt;/author&gt;&lt;author&gt;Greenberg, E Peter&lt;/author&gt;&lt;/authors&gt;&lt;/contributors&gt;&lt;titles&gt;&lt;title&gt;Bacterial biofilms: a common cause of persistent infections&lt;/title&gt;&lt;secondary-title&gt;Science&lt;/secondary-title&gt;&lt;/titles&gt;&lt;periodical&gt;&lt;full-title&gt;Science&lt;/full-title&gt;&lt;/periodical&gt;&lt;pages&gt;1318-1322&lt;/pages&gt;&lt;volume&gt;284&lt;/volume&gt;&lt;number&gt;5418&lt;/number&gt;&lt;dates&gt;&lt;year&gt;1999&lt;/year&gt;&lt;/dates&gt;&lt;isbn&gt;0036-8075&lt;/isbn&gt;&lt;urls&gt;&lt;/urls&gt;&lt;/record&gt;&lt;/Cite&gt;&lt;/EndNote&gt;</w:instrText>
      </w:r>
      <w:r w:rsidR="009D4EA3" w:rsidRPr="005C4EA9">
        <w:fldChar w:fldCharType="separate"/>
      </w:r>
      <w:r w:rsidR="00EE30CD" w:rsidRPr="005C4EA9">
        <w:rPr>
          <w:noProof/>
        </w:rPr>
        <w:t>[5]</w:t>
      </w:r>
      <w:r w:rsidR="009D4EA3" w:rsidRPr="005C4EA9">
        <w:fldChar w:fldCharType="end"/>
      </w:r>
      <w:r w:rsidR="009D4EA3" w:rsidRPr="005C4EA9">
        <w:t xml:space="preserve">. </w:t>
      </w:r>
      <w:r w:rsidR="00984816" w:rsidRPr="005C4EA9">
        <w:t xml:space="preserve">The </w:t>
      </w:r>
      <w:r w:rsidR="00162F26" w:rsidRPr="005C4EA9">
        <w:t>A</w:t>
      </w:r>
      <w:r w:rsidR="00DD6F79" w:rsidRPr="005C4EA9">
        <w:t>pplication note</w:t>
      </w:r>
      <w:r w:rsidR="00C90F3B" w:rsidRPr="005C4EA9">
        <w:t>d</w:t>
      </w:r>
      <w:r w:rsidR="00DD6F79" w:rsidRPr="005C4EA9">
        <w:t xml:space="preserve"> the following</w:t>
      </w:r>
      <w:r w:rsidR="00984816" w:rsidRPr="005C4EA9">
        <w:t xml:space="preserve"> </w:t>
      </w:r>
      <w:r w:rsidR="00DD6F79" w:rsidRPr="005C4EA9">
        <w:t xml:space="preserve">risk factors for </w:t>
      </w:r>
      <w:r w:rsidR="005A0475" w:rsidRPr="005C4EA9">
        <w:t>such infections</w:t>
      </w:r>
      <w:r w:rsidR="00984816" w:rsidRPr="005C4EA9">
        <w:t xml:space="preserve">: obesity, </w:t>
      </w:r>
      <w:r w:rsidR="00935DE4" w:rsidRPr="005C4EA9">
        <w:t>diabetes mellitus</w:t>
      </w:r>
      <w:r w:rsidR="00984816" w:rsidRPr="005C4EA9">
        <w:t>, use of disease</w:t>
      </w:r>
      <w:r w:rsidR="003A1182" w:rsidRPr="005C4EA9">
        <w:t>-</w:t>
      </w:r>
      <w:r w:rsidR="00984816" w:rsidRPr="005C4EA9">
        <w:t xml:space="preserve">modifying antirheumatic drugs, rheumatoid arthritis, immunosuppressed state, malignancy, American Society of </w:t>
      </w:r>
      <w:r w:rsidR="006821B7" w:rsidRPr="005C4EA9">
        <w:t>An</w:t>
      </w:r>
      <w:r w:rsidR="004B113C">
        <w:t>a</w:t>
      </w:r>
      <w:r w:rsidR="006821B7" w:rsidRPr="005C4EA9">
        <w:t xml:space="preserve">esthesiologists </w:t>
      </w:r>
      <w:r w:rsidR="0077789C" w:rsidRPr="005C4EA9">
        <w:t>(ASA)</w:t>
      </w:r>
      <w:r w:rsidR="00984816" w:rsidRPr="005C4EA9">
        <w:t xml:space="preserve"> score </w:t>
      </w:r>
      <w:r w:rsidR="00694CBE" w:rsidRPr="005C4EA9">
        <w:rPr>
          <w:rFonts w:cs="Calibri"/>
        </w:rPr>
        <w:t>≥</w:t>
      </w:r>
      <w:r w:rsidR="00984816" w:rsidRPr="005C4EA9">
        <w:t>3 (</w:t>
      </w:r>
      <w:r w:rsidR="00577923" w:rsidRPr="005C4EA9">
        <w:t xml:space="preserve">severe </w:t>
      </w:r>
      <w:r w:rsidR="003914B7" w:rsidRPr="005C4EA9">
        <w:t>s</w:t>
      </w:r>
      <w:r w:rsidR="00984816" w:rsidRPr="005C4EA9">
        <w:t xml:space="preserve">ystemic </w:t>
      </w:r>
      <w:r w:rsidR="003914B7" w:rsidRPr="005C4EA9">
        <w:t>d</w:t>
      </w:r>
      <w:r w:rsidR="00984816" w:rsidRPr="005C4EA9">
        <w:t xml:space="preserve">isease), colonisation with </w:t>
      </w:r>
      <w:r w:rsidR="00984816" w:rsidRPr="009A6309">
        <w:rPr>
          <w:i/>
        </w:rPr>
        <w:t>Staphylococcus aureus</w:t>
      </w:r>
      <w:r w:rsidR="00984816" w:rsidRPr="005C4EA9">
        <w:t xml:space="preserve">, </w:t>
      </w:r>
      <w:r w:rsidR="00984816" w:rsidRPr="005C4EA9">
        <w:lastRenderedPageBreak/>
        <w:t>previous arthroplasty or other surgery of the same joint, history of prior prosthetic joint infection, arthroplasty for management of fracture, prolonged procedure duration, and contaminated or dirty surgical site</w:t>
      </w:r>
      <w:r w:rsidR="00612743" w:rsidRPr="005C4EA9">
        <w:t xml:space="preserve"> (p14 of the Application)</w:t>
      </w:r>
      <w:r w:rsidR="00984816" w:rsidRPr="005C4EA9">
        <w:t>.</w:t>
      </w:r>
    </w:p>
    <w:p w14:paraId="5F9C3CA1" w14:textId="1A9F637C" w:rsidR="00515CDC" w:rsidRDefault="009D4EA3" w:rsidP="00C90FC7">
      <w:r>
        <w:t>Periprosthetic joint SSIs</w:t>
      </w:r>
      <w:r w:rsidR="00515CDC">
        <w:t xml:space="preserve"> could manifest either early (mostly within the first four weeks after implantation) or with a delay (typically between three months and three years)</w:t>
      </w:r>
      <w:r w:rsidRPr="009D4EA3">
        <w:t xml:space="preserve"> </w:t>
      </w:r>
      <w:r>
        <w:fldChar w:fldCharType="begin"/>
      </w:r>
      <w:r w:rsidR="00EE30CD">
        <w:instrText xml:space="preserve"> ADDIN EN.CITE &lt;EndNote&gt;&lt;Cite&gt;&lt;Author&gt;Zimmerli&lt;/Author&gt;&lt;Year&gt;2004&lt;/Year&gt;&lt;RecNum&gt;9&lt;/RecNum&gt;&lt;DisplayText&gt;[6]&lt;/DisplayText&gt;&lt;record&gt;&lt;rec-number&gt;9&lt;/rec-number&gt;&lt;foreign-keys&gt;&lt;key app="EN" db-id="0x52t0fa5ezaf7e22eopzxaswfsaaaevpfzf" timestamp="1592889156"&gt;9&lt;/key&gt;&lt;/foreign-keys&gt;&lt;ref-type name="Journal Article"&gt;17&lt;/ref-type&gt;&lt;contributors&gt;&lt;authors&gt;&lt;author&gt;Zimmerli, Werner&lt;/author&gt;&lt;author&gt;Trampuz, Andrej&lt;/author&gt;&lt;author&gt;Ochsner, Peter E&lt;/author&gt;&lt;/authors&gt;&lt;/contributors&gt;&lt;titles&gt;&lt;title&gt;Prosthetic-joint infections&lt;/title&gt;&lt;secondary-title&gt;New England Journal of Medicine&lt;/secondary-title&gt;&lt;/titles&gt;&lt;periodical&gt;&lt;full-title&gt;New England Journal of Medicine&lt;/full-title&gt;&lt;/periodical&gt;&lt;pages&gt;1645-1654&lt;/pages&gt;&lt;volume&gt;351&lt;/volume&gt;&lt;number&gt;16&lt;/number&gt;&lt;dates&gt;&lt;year&gt;2004&lt;/year&gt;&lt;/dates&gt;&lt;isbn&gt;0028-4793&lt;/isbn&gt;&lt;urls&gt;&lt;/urls&gt;&lt;/record&gt;&lt;/Cite&gt;&lt;/EndNote&gt;</w:instrText>
      </w:r>
      <w:r>
        <w:fldChar w:fldCharType="separate"/>
      </w:r>
      <w:r w:rsidR="00EE30CD">
        <w:rPr>
          <w:noProof/>
        </w:rPr>
        <w:t>[6]</w:t>
      </w:r>
      <w:r>
        <w:fldChar w:fldCharType="end"/>
      </w:r>
      <w:r w:rsidR="00515CDC">
        <w:t>. Early infections are identified with local and systemic signs of inflammation and are generally caused by hi</w:t>
      </w:r>
      <w:r w:rsidR="00C90F3B">
        <w:t xml:space="preserve">gh-virulent pathogens, such as </w:t>
      </w:r>
      <w:r w:rsidR="00C90F3B" w:rsidRPr="00C90F3B">
        <w:rPr>
          <w:i/>
        </w:rPr>
        <w:t>S</w:t>
      </w:r>
      <w:r w:rsidR="00515CDC" w:rsidRPr="00C90F3B">
        <w:rPr>
          <w:i/>
        </w:rPr>
        <w:t>taphylococcus aureus</w:t>
      </w:r>
      <w:r w:rsidR="00515CDC">
        <w:t xml:space="preserve">, </w:t>
      </w:r>
      <w:r w:rsidR="00515CDC" w:rsidRPr="00C90F3B">
        <w:rPr>
          <w:i/>
        </w:rPr>
        <w:t>enterococci</w:t>
      </w:r>
      <w:r w:rsidR="00515CDC">
        <w:t xml:space="preserve"> and </w:t>
      </w:r>
      <w:r w:rsidR="00515CDC" w:rsidRPr="00C90F3B">
        <w:rPr>
          <w:i/>
        </w:rPr>
        <w:t>streptococci</w:t>
      </w:r>
      <w:r w:rsidR="00515CDC">
        <w:t xml:space="preserve">). Delayed infections are manifested with more chronic symptoms, such as joint pain and early loosening and are mostly caused by low-virulent organisms, such as coagulase-negative </w:t>
      </w:r>
      <w:r w:rsidR="00515CDC" w:rsidRPr="00B9458E">
        <w:rPr>
          <w:i/>
        </w:rPr>
        <w:t>staphylococci</w:t>
      </w:r>
      <w:r w:rsidR="00515CDC">
        <w:t xml:space="preserve"> or species related to </w:t>
      </w:r>
      <w:r w:rsidR="00515CDC" w:rsidRPr="00C90F3B">
        <w:rPr>
          <w:i/>
        </w:rPr>
        <w:t>Cutibacterium</w:t>
      </w:r>
      <w:r w:rsidR="00907D8F">
        <w:t>.</w:t>
      </w:r>
    </w:p>
    <w:p w14:paraId="5D6D140D" w14:textId="3644D49F" w:rsidR="00164194" w:rsidRDefault="00164194" w:rsidP="00C90FC7">
      <w:r>
        <w:t>A staging system</w:t>
      </w:r>
      <w:r w:rsidR="00440A18">
        <w:t xml:space="preserve">, which was defined in McPherson et al. </w:t>
      </w:r>
      <w:r w:rsidR="00FF3113">
        <w:t>(</w:t>
      </w:r>
      <w:r w:rsidR="00440A18">
        <w:t>2002</w:t>
      </w:r>
      <w:r w:rsidR="00FF3113">
        <w:t xml:space="preserve">) </w:t>
      </w:r>
      <w:r w:rsidR="00FF3113">
        <w:fldChar w:fldCharType="begin"/>
      </w:r>
      <w:r w:rsidR="00FF3113">
        <w:instrText xml:space="preserve"> ADDIN EN.CITE &lt;EndNote&gt;&lt;Cite&gt;&lt;Author&gt;McPherson&lt;/Author&gt;&lt;Year&gt;2002&lt;/Year&gt;&lt;RecNum&gt;40&lt;/RecNum&gt;&lt;DisplayText&gt;[7]&lt;/DisplayText&gt;&lt;record&gt;&lt;rec-number&gt;40&lt;/rec-number&gt;&lt;foreign-keys&gt;&lt;key app="EN" db-id="0x52t0fa5ezaf7e22eopzxaswfsaaaevpfzf" timestamp="1594966968"&gt;40&lt;/key&gt;&lt;/foreign-keys&gt;&lt;ref-type name="Journal Article"&gt;17&lt;/ref-type&gt;&lt;contributors&gt;&lt;authors&gt;&lt;author&gt;McPherson, Edward J&lt;/author&gt;&lt;author&gt;Woodson, Chris&lt;/author&gt;&lt;author&gt;Holtom, Paul&lt;/author&gt;&lt;author&gt;Roidis, Nikolaos&lt;/author&gt;&lt;author&gt;Shufelt, Chrissandra&lt;/author&gt;&lt;author&gt;Patzakis, Michael&lt;/author&gt;&lt;/authors&gt;&lt;/contributors&gt;&lt;titles&gt;&lt;title&gt;Periprosthetic total hip infection: outcomes using a staging system&lt;/title&gt;&lt;secondary-title&gt;Clinical Orthopaedics and Related Research®&lt;/secondary-title&gt;&lt;/titles&gt;&lt;periodical&gt;&lt;full-title&gt;Clinical Orthopaedics and Related Research®&lt;/full-title&gt;&lt;/periodical&gt;&lt;pages&gt;8-15&lt;/pages&gt;&lt;volume&gt;403&lt;/volume&gt;&lt;dates&gt;&lt;year&gt;2002&lt;/year&gt;&lt;/dates&gt;&lt;isbn&gt;0009-921X&lt;/isbn&gt;&lt;urls&gt;&lt;/urls&gt;&lt;/record&gt;&lt;/Cite&gt;&lt;/EndNote&gt;</w:instrText>
      </w:r>
      <w:r w:rsidR="00FF3113">
        <w:fldChar w:fldCharType="separate"/>
      </w:r>
      <w:r w:rsidR="00FF3113">
        <w:rPr>
          <w:noProof/>
        </w:rPr>
        <w:t>[7]</w:t>
      </w:r>
      <w:r w:rsidR="00FF3113">
        <w:fldChar w:fldCharType="end"/>
      </w:r>
      <w:r w:rsidR="00440A18">
        <w:t>, can be used to stage</w:t>
      </w:r>
      <w:r w:rsidR="00E06733">
        <w:t xml:space="preserve"> </w:t>
      </w:r>
      <w:r>
        <w:t>peripro</w:t>
      </w:r>
      <w:r w:rsidR="00E06733">
        <w:t>sthetic joint infections using three</w:t>
      </w:r>
      <w:r>
        <w:t xml:space="preserve"> categories to stage the infection in the host:</w:t>
      </w:r>
    </w:p>
    <w:p w14:paraId="1E39C7E6" w14:textId="12106AE8" w:rsidR="00164194" w:rsidRDefault="007A7951" w:rsidP="00007CDB">
      <w:pPr>
        <w:pStyle w:val="ListParagraph"/>
        <w:numPr>
          <w:ilvl w:val="0"/>
          <w:numId w:val="17"/>
        </w:numPr>
      </w:pPr>
      <w:r>
        <w:t>Infection type: I (early post</w:t>
      </w:r>
      <w:r w:rsidR="009E0B69">
        <w:t>-</w:t>
      </w:r>
      <w:r>
        <w:t>o</w:t>
      </w:r>
      <w:r w:rsidR="00164194">
        <w:t>per</w:t>
      </w:r>
      <w:r>
        <w:t>ative infection; &lt; 4 weeks post</w:t>
      </w:r>
      <w:r w:rsidR="009E0B69">
        <w:t>-</w:t>
      </w:r>
      <w:r>
        <w:t>o</w:t>
      </w:r>
      <w:r w:rsidR="00164194">
        <w:t xml:space="preserve">perative), II (haematogenous infection; &lt; 4 duration) or III (late chronic infection; &gt;4 weeks duration) </w:t>
      </w:r>
    </w:p>
    <w:p w14:paraId="13C826AF" w14:textId="73986BC9" w:rsidR="00164194" w:rsidRDefault="00164194" w:rsidP="00007CDB">
      <w:pPr>
        <w:pStyle w:val="ListParagraph"/>
        <w:numPr>
          <w:ilvl w:val="0"/>
          <w:numId w:val="17"/>
        </w:numPr>
      </w:pPr>
      <w:r>
        <w:t>Systemic host grade (medical and immune status): A (uncompromised), B (compromised), or C (significant compromise)</w:t>
      </w:r>
    </w:p>
    <w:p w14:paraId="632F6758" w14:textId="522E14B4" w:rsidR="00164194" w:rsidRDefault="00164194" w:rsidP="00007CDB">
      <w:pPr>
        <w:pStyle w:val="ListParagraph"/>
        <w:numPr>
          <w:ilvl w:val="0"/>
          <w:numId w:val="17"/>
        </w:numPr>
      </w:pPr>
      <w:r>
        <w:t xml:space="preserve">Local wound </w:t>
      </w:r>
      <w:r w:rsidRPr="008A2B44">
        <w:t xml:space="preserve">or extremity grade: 1 (uncompromised), 2 (compromised), or 3 (significant compromise) (see Table </w:t>
      </w:r>
      <w:r w:rsidR="00BD4DEA" w:rsidRPr="008A2B44">
        <w:t>1</w:t>
      </w:r>
      <w:r w:rsidRPr="008A2B44">
        <w:t xml:space="preserve"> in</w:t>
      </w:r>
      <w:r>
        <w:t xml:space="preserve"> Appendix)</w:t>
      </w:r>
      <w:r w:rsidR="00440A18">
        <w:t>.</w:t>
      </w:r>
    </w:p>
    <w:p w14:paraId="0D2C1F02" w14:textId="222DDB0A" w:rsidR="00440A18" w:rsidRPr="005C4EA9" w:rsidRDefault="00440A18" w:rsidP="00DF3DC0">
      <w:r w:rsidRPr="005C4EA9">
        <w:t xml:space="preserve">The pivotal RCTs by Romano et al. </w:t>
      </w:r>
      <w:r w:rsidR="00FF3113" w:rsidRPr="005C4EA9">
        <w:t>(</w:t>
      </w:r>
      <w:r w:rsidRPr="005C4EA9">
        <w:t>2016</w:t>
      </w:r>
      <w:r w:rsidR="00FF3113" w:rsidRPr="005C4EA9">
        <w:t>)</w:t>
      </w:r>
      <w:r w:rsidRPr="005C4EA9">
        <w:t xml:space="preserve"> and Malizos et al. </w:t>
      </w:r>
      <w:r w:rsidR="00FF3113" w:rsidRPr="005C4EA9">
        <w:t>(</w:t>
      </w:r>
      <w:r w:rsidRPr="005C4EA9">
        <w:t>2018</w:t>
      </w:r>
      <w:r w:rsidR="00FF3113" w:rsidRPr="005C4EA9">
        <w:t>)</w:t>
      </w:r>
      <w:r w:rsidRPr="005C4EA9">
        <w:t xml:space="preserve"> report the systemic host grade (medical and immune status) in patients at baseline</w:t>
      </w:r>
      <w:r w:rsidR="00C7323F" w:rsidRPr="005C4EA9">
        <w:t xml:space="preserve"> </w:t>
      </w:r>
      <w:r w:rsidR="00C7323F" w:rsidRPr="005C4EA9">
        <w:fldChar w:fldCharType="begin">
          <w:fldData xml:space="preserve">PEVuZE5vdGU+PENpdGU+PEF1dGhvcj5NYWxpem9zPC9BdXRob3I+PFllYXI+MjAxNzwvWWVhcj48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</w:fldData>
        </w:fldChar>
      </w:r>
      <w:r w:rsidR="00FF3113" w:rsidRPr="005C4EA9">
        <w:instrText xml:space="preserve"> ADDIN EN.CITE </w:instrText>
      </w:r>
      <w:r w:rsidR="00FF3113" w:rsidRPr="005C4EA9">
        <w:fldChar w:fldCharType="begin">
          <w:fldData xml:space="preserve">PEVuZE5vdGU+PENpdGU+PEF1dGhvcj5NYWxpem9zPC9BdXRob3I+PFllYXI+MjAxNzwvWWVhcj48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</w:fldData>
        </w:fldChar>
      </w:r>
      <w:r w:rsidR="00FF3113" w:rsidRPr="005C4EA9">
        <w:instrText xml:space="preserve"> ADDIN EN.CITE.DATA </w:instrText>
      </w:r>
      <w:r w:rsidR="00FF3113" w:rsidRPr="005C4EA9">
        <w:fldChar w:fldCharType="end"/>
      </w:r>
      <w:r w:rsidR="00C7323F" w:rsidRPr="005C4EA9">
        <w:fldChar w:fldCharType="separate"/>
      </w:r>
      <w:r w:rsidR="00FF3113" w:rsidRPr="005C4EA9">
        <w:rPr>
          <w:noProof/>
        </w:rPr>
        <w:t>[3, 8]</w:t>
      </w:r>
      <w:r w:rsidR="00C7323F" w:rsidRPr="005C4EA9">
        <w:fldChar w:fldCharType="end"/>
      </w:r>
      <w:r w:rsidRPr="005C4EA9">
        <w:t>.</w:t>
      </w:r>
    </w:p>
    <w:p w14:paraId="523A8AAB" w14:textId="7807A800" w:rsidR="007E52B5" w:rsidRPr="005C4EA9" w:rsidRDefault="007E52B5" w:rsidP="00573AC4">
      <w:r w:rsidRPr="005C4EA9">
        <w:t>MSIS criteria</w:t>
      </w:r>
      <w:r w:rsidR="005272D7" w:rsidRPr="005C4EA9">
        <w:rPr>
          <w:rStyle w:val="FootnoteReference"/>
        </w:rPr>
        <w:footnoteReference w:id="1"/>
      </w:r>
      <w:r w:rsidR="00985DBB" w:rsidRPr="005C4EA9">
        <w:t xml:space="preserve"> </w:t>
      </w:r>
      <w:r w:rsidR="00CC5EAC" w:rsidRPr="005C4EA9">
        <w:t>can be used to confirm the presence of periprosthetic joint infection among</w:t>
      </w:r>
      <w:r w:rsidR="00985DBB" w:rsidRPr="005C4EA9">
        <w:t xml:space="preserve"> patients undergoing surgery</w:t>
      </w:r>
      <w:r w:rsidR="00FF3113" w:rsidRPr="005C4EA9">
        <w:t xml:space="preserve"> </w:t>
      </w:r>
      <w:r w:rsidR="00FF3113" w:rsidRPr="005C4EA9">
        <w:fldChar w:fldCharType="begin"/>
      </w:r>
      <w:r w:rsidR="00FF3113" w:rsidRPr="005C4EA9">
        <w:instrText xml:space="preserve"> ADDIN EN.CITE &lt;EndNote&gt;&lt;Cite&gt;&lt;Author&gt;Parvizi&lt;/Author&gt;&lt;Year&gt;2014&lt;/Year&gt;&lt;RecNum&gt;43&lt;/RecNum&gt;&lt;DisplayText&gt;[9]&lt;/DisplayText&gt;&lt;record&gt;&lt;rec-number&gt;43&lt;/rec-number&gt;&lt;foreign-keys&gt;&lt;key app="EN" db-id="0x52t0fa5ezaf7e22eopzxaswfsaaaevpfzf" timestamp="1595046699"&gt;43&lt;/key&gt;&lt;/foreign-keys&gt;&lt;ref-type name="Journal Article"&gt;17&lt;/ref-type&gt;&lt;contributors&gt;&lt;authors&gt;&lt;author&gt;Parvizi, Javad&lt;/author&gt;&lt;author&gt;Gehrke, Thorsten&lt;/author&gt;&lt;/authors&gt;&lt;/contributors&gt;&lt;titles&gt;&lt;title&gt;Definition of periprosthetic joint infection&lt;/title&gt;&lt;secondary-title&gt;The Journal of arthroplasty&lt;/secondary-title&gt;&lt;/titles&gt;&lt;periodical&gt;&lt;full-title&gt;The Journal of arthroplasty&lt;/full-title&gt;&lt;/periodical&gt;&lt;pages&gt;1331&lt;/pages&gt;&lt;volume&gt;29&lt;/volume&gt;&lt;number&gt;7&lt;/number&gt;&lt;dates&gt;&lt;year&gt;2014&lt;/year&gt;&lt;/dates&gt;&lt;isbn&gt;0883-5403&lt;/isbn&gt;&lt;urls&gt;&lt;/urls&gt;&lt;/record&gt;&lt;/Cite&gt;&lt;/EndNote&gt;</w:instrText>
      </w:r>
      <w:r w:rsidR="00FF3113" w:rsidRPr="005C4EA9">
        <w:fldChar w:fldCharType="separate"/>
      </w:r>
      <w:r w:rsidR="00FF3113" w:rsidRPr="005C4EA9">
        <w:rPr>
          <w:noProof/>
        </w:rPr>
        <w:t>[9]</w:t>
      </w:r>
      <w:r w:rsidR="00FF3113" w:rsidRPr="005C4EA9">
        <w:fldChar w:fldCharType="end"/>
      </w:r>
      <w:r w:rsidR="00CC5EAC" w:rsidRPr="005C4EA9">
        <w:t>:</w:t>
      </w:r>
    </w:p>
    <w:p w14:paraId="40ED1F2B" w14:textId="0D9BCD01" w:rsidR="00CC5EAC" w:rsidRPr="005C4EA9" w:rsidRDefault="00CC5EAC" w:rsidP="00CC5EAC">
      <w:pPr>
        <w:pStyle w:val="ListParagraph"/>
        <w:numPr>
          <w:ilvl w:val="0"/>
          <w:numId w:val="27"/>
        </w:numPr>
      </w:pPr>
      <w:r w:rsidRPr="005C4EA9">
        <w:rPr>
          <w:rFonts w:asciiTheme="minorHAnsi" w:hAnsiTheme="minorHAnsi" w:cstheme="minorHAnsi"/>
          <w:color w:val="131413"/>
        </w:rPr>
        <w:t>Major criteria: 2 positive periprosthetic cultures with phenotypically identified organisms or a sinus tr</w:t>
      </w:r>
      <w:r w:rsidR="00BF5B13" w:rsidRPr="005C4EA9">
        <w:rPr>
          <w:rFonts w:asciiTheme="minorHAnsi" w:hAnsiTheme="minorHAnsi" w:cstheme="minorHAnsi"/>
          <w:color w:val="131413"/>
        </w:rPr>
        <w:t>act communicating with joint</w:t>
      </w:r>
      <w:r w:rsidR="00295D97" w:rsidRPr="005C4EA9">
        <w:rPr>
          <w:rFonts w:asciiTheme="minorHAnsi" w:hAnsiTheme="minorHAnsi" w:cstheme="minorHAnsi"/>
          <w:color w:val="131413"/>
        </w:rPr>
        <w:t>, or</w:t>
      </w:r>
    </w:p>
    <w:p w14:paraId="610BE795" w14:textId="0723E70F" w:rsidR="00CC5EAC" w:rsidRPr="005C4EA9" w:rsidRDefault="00CC5EAC" w:rsidP="00CC5EAC">
      <w:pPr>
        <w:pStyle w:val="ListParagraph"/>
        <w:numPr>
          <w:ilvl w:val="0"/>
          <w:numId w:val="27"/>
        </w:numPr>
      </w:pPr>
      <w:r w:rsidRPr="005C4EA9">
        <w:rPr>
          <w:rFonts w:asciiTheme="minorHAnsi" w:hAnsiTheme="minorHAnsi" w:cstheme="minorHAnsi"/>
          <w:color w:val="131413"/>
        </w:rPr>
        <w:t xml:space="preserve">Minor criteria (having </w:t>
      </w:r>
      <w:r w:rsidR="00295D97" w:rsidRPr="005C4EA9">
        <w:rPr>
          <w:rFonts w:asciiTheme="minorHAnsi" w:hAnsiTheme="minorHAnsi" w:cstheme="minorHAnsi"/>
          <w:color w:val="131413"/>
        </w:rPr>
        <w:t>3</w:t>
      </w:r>
      <w:r w:rsidRPr="005C4EA9">
        <w:rPr>
          <w:rFonts w:asciiTheme="minorHAnsi" w:hAnsiTheme="minorHAnsi" w:cstheme="minorHAnsi"/>
          <w:color w:val="131413"/>
        </w:rPr>
        <w:t xml:space="preserve"> of </w:t>
      </w:r>
      <w:r w:rsidR="00295D97" w:rsidRPr="005C4EA9">
        <w:rPr>
          <w:rFonts w:asciiTheme="minorHAnsi" w:hAnsiTheme="minorHAnsi" w:cstheme="minorHAnsi"/>
          <w:color w:val="131413"/>
        </w:rPr>
        <w:t>5</w:t>
      </w:r>
      <w:r w:rsidRPr="005C4EA9">
        <w:rPr>
          <w:rFonts w:asciiTheme="minorHAnsi" w:hAnsiTheme="minorHAnsi" w:cstheme="minorHAnsi"/>
          <w:color w:val="131413"/>
        </w:rPr>
        <w:t xml:space="preserve"> criteria</w:t>
      </w:r>
      <w:r w:rsidR="00295D97" w:rsidRPr="005C4EA9">
        <w:rPr>
          <w:rFonts w:asciiTheme="minorHAnsi" w:hAnsiTheme="minorHAnsi" w:cstheme="minorHAnsi"/>
          <w:color w:val="131413"/>
        </w:rPr>
        <w:t xml:space="preserve"> below</w:t>
      </w:r>
      <w:r w:rsidRPr="005C4EA9">
        <w:rPr>
          <w:rFonts w:asciiTheme="minorHAnsi" w:hAnsiTheme="minorHAnsi" w:cstheme="minorHAnsi"/>
          <w:color w:val="131413"/>
        </w:rPr>
        <w:t>):</w:t>
      </w:r>
    </w:p>
    <w:p w14:paraId="52270585" w14:textId="77777777" w:rsidR="00C573CF" w:rsidRPr="005C4EA9" w:rsidRDefault="00295D97" w:rsidP="00295D97">
      <w:pPr>
        <w:pStyle w:val="ListParagraph"/>
        <w:numPr>
          <w:ilvl w:val="1"/>
          <w:numId w:val="27"/>
        </w:numPr>
      </w:pPr>
      <w:r w:rsidRPr="005C4EA9">
        <w:rPr>
          <w:rFonts w:asciiTheme="minorHAnsi" w:hAnsiTheme="minorHAnsi" w:cstheme="minorHAnsi"/>
          <w:color w:val="131413"/>
        </w:rPr>
        <w:t>Elevated serum C-reactive protein (CRP) AND erythrocyte sedimentation rate (ESR)</w:t>
      </w:r>
    </w:p>
    <w:p w14:paraId="65FBAF12" w14:textId="3FDB3301" w:rsidR="00CC5EAC" w:rsidRPr="005C4EA9" w:rsidRDefault="00577375" w:rsidP="00295D97">
      <w:pPr>
        <w:pStyle w:val="ListParagraph"/>
        <w:numPr>
          <w:ilvl w:val="1"/>
          <w:numId w:val="27"/>
        </w:numPr>
      </w:pPr>
      <w:r w:rsidRPr="005C4EA9">
        <w:rPr>
          <w:rFonts w:asciiTheme="minorHAnsi" w:hAnsiTheme="minorHAnsi" w:cstheme="minorHAnsi"/>
          <w:color w:val="131413"/>
        </w:rPr>
        <w:t>Elevated synovial W</w:t>
      </w:r>
      <w:r w:rsidR="00C573CF" w:rsidRPr="005C4EA9">
        <w:rPr>
          <w:rFonts w:asciiTheme="minorHAnsi" w:hAnsiTheme="minorHAnsi" w:cstheme="minorHAnsi"/>
          <w:color w:val="131413"/>
        </w:rPr>
        <w:t xml:space="preserve">hite </w:t>
      </w:r>
      <w:r w:rsidRPr="005C4EA9">
        <w:rPr>
          <w:rFonts w:asciiTheme="minorHAnsi" w:hAnsiTheme="minorHAnsi" w:cstheme="minorHAnsi"/>
          <w:color w:val="131413"/>
        </w:rPr>
        <w:t>B</w:t>
      </w:r>
      <w:r w:rsidR="00C573CF" w:rsidRPr="005C4EA9">
        <w:rPr>
          <w:rFonts w:asciiTheme="minorHAnsi" w:hAnsiTheme="minorHAnsi" w:cstheme="minorHAnsi"/>
          <w:color w:val="131413"/>
        </w:rPr>
        <w:t xml:space="preserve">lood </w:t>
      </w:r>
      <w:r w:rsidRPr="005C4EA9">
        <w:rPr>
          <w:rFonts w:asciiTheme="minorHAnsi" w:hAnsiTheme="minorHAnsi" w:cstheme="minorHAnsi"/>
          <w:color w:val="131413"/>
        </w:rPr>
        <w:t>C</w:t>
      </w:r>
      <w:r w:rsidR="00C573CF" w:rsidRPr="005C4EA9">
        <w:rPr>
          <w:rFonts w:asciiTheme="minorHAnsi" w:hAnsiTheme="minorHAnsi" w:cstheme="minorHAnsi"/>
          <w:color w:val="131413"/>
        </w:rPr>
        <w:t>ell (WBC)</w:t>
      </w:r>
      <w:r w:rsidRPr="005C4EA9">
        <w:rPr>
          <w:rFonts w:asciiTheme="minorHAnsi" w:hAnsiTheme="minorHAnsi" w:cstheme="minorHAnsi"/>
          <w:color w:val="131413"/>
        </w:rPr>
        <w:t xml:space="preserve"> count</w:t>
      </w:r>
      <w:r w:rsidR="00FF3113" w:rsidRPr="005C4EA9">
        <w:rPr>
          <w:rFonts w:asciiTheme="minorHAnsi" w:hAnsiTheme="minorHAnsi" w:cstheme="minorHAnsi"/>
          <w:color w:val="131413"/>
        </w:rPr>
        <w:t xml:space="preserve"> OR ++ change on leukocyte esterase test strip</w:t>
      </w:r>
    </w:p>
    <w:p w14:paraId="5C1BCCB7" w14:textId="1EEBB4FF" w:rsidR="00CC5EAC" w:rsidRPr="005C4EA9" w:rsidRDefault="00577375" w:rsidP="00C573CF">
      <w:pPr>
        <w:pStyle w:val="ListParagraph"/>
        <w:numPr>
          <w:ilvl w:val="1"/>
          <w:numId w:val="27"/>
        </w:numPr>
      </w:pPr>
      <w:r w:rsidRPr="005C4EA9">
        <w:rPr>
          <w:rFonts w:asciiTheme="minorHAnsi" w:hAnsiTheme="minorHAnsi" w:cstheme="minorHAnsi"/>
          <w:color w:val="131413"/>
        </w:rPr>
        <w:t>E</w:t>
      </w:r>
      <w:r w:rsidR="00CC5EAC" w:rsidRPr="005C4EA9">
        <w:rPr>
          <w:rFonts w:asciiTheme="minorHAnsi" w:hAnsiTheme="minorHAnsi" w:cstheme="minorHAnsi"/>
          <w:color w:val="131413"/>
        </w:rPr>
        <w:t xml:space="preserve">levated </w:t>
      </w:r>
      <w:r w:rsidR="00C573CF" w:rsidRPr="005C4EA9">
        <w:rPr>
          <w:rFonts w:asciiTheme="minorHAnsi" w:hAnsiTheme="minorHAnsi" w:cstheme="minorHAnsi"/>
          <w:color w:val="131413"/>
        </w:rPr>
        <w:t>synovial</w:t>
      </w:r>
      <w:r w:rsidR="00FF3113" w:rsidRPr="005C4EA9">
        <w:rPr>
          <w:rFonts w:asciiTheme="minorHAnsi" w:hAnsiTheme="minorHAnsi" w:cstheme="minorHAnsi"/>
          <w:color w:val="131413"/>
        </w:rPr>
        <w:t xml:space="preserve"> fluid polymorphonuclear</w:t>
      </w:r>
      <w:r w:rsidR="00C573CF" w:rsidRPr="005C4EA9">
        <w:rPr>
          <w:rFonts w:asciiTheme="minorHAnsi" w:hAnsiTheme="minorHAnsi" w:cstheme="minorHAnsi"/>
          <w:color w:val="131413"/>
        </w:rPr>
        <w:t xml:space="preserve"> neutrophil percentage (PMN</w:t>
      </w:r>
      <w:r w:rsidRPr="005C4EA9">
        <w:rPr>
          <w:rFonts w:asciiTheme="minorHAnsi" w:hAnsiTheme="minorHAnsi" w:cstheme="minorHAnsi"/>
          <w:color w:val="131413"/>
        </w:rPr>
        <w:t>%)</w:t>
      </w:r>
    </w:p>
    <w:p w14:paraId="4B965B57" w14:textId="77777777" w:rsidR="005272D7" w:rsidRPr="005C4EA9" w:rsidRDefault="005272D7" w:rsidP="005272D7">
      <w:pPr>
        <w:pStyle w:val="ListParagraph"/>
        <w:numPr>
          <w:ilvl w:val="1"/>
          <w:numId w:val="27"/>
        </w:numPr>
      </w:pPr>
      <w:r w:rsidRPr="005C4EA9">
        <w:rPr>
          <w:rFonts w:asciiTheme="minorHAnsi" w:hAnsiTheme="minorHAnsi" w:cstheme="minorHAnsi"/>
          <w:color w:val="131413"/>
        </w:rPr>
        <w:t>Positive histological analysis of periprosthetic tissue</w:t>
      </w:r>
    </w:p>
    <w:p w14:paraId="4D1D209F" w14:textId="62E24C6C" w:rsidR="00577375" w:rsidRPr="005C4EA9" w:rsidRDefault="005272D7" w:rsidP="005272D7">
      <w:pPr>
        <w:pStyle w:val="ListParagraph"/>
        <w:numPr>
          <w:ilvl w:val="1"/>
          <w:numId w:val="27"/>
        </w:numPr>
      </w:pPr>
      <w:r w:rsidRPr="005C4EA9">
        <w:t>A single positive culture</w:t>
      </w:r>
      <w:r w:rsidR="001C0CB7">
        <w:t>.</w:t>
      </w:r>
    </w:p>
    <w:p w14:paraId="59E4ECE9" w14:textId="3FFAEFED" w:rsidR="00BF5B13" w:rsidRPr="005C4EA9" w:rsidRDefault="00F334D7" w:rsidP="00C90FC7">
      <w:r w:rsidRPr="005C4EA9">
        <w:lastRenderedPageBreak/>
        <w:t xml:space="preserve">Two case control studies by Capuano et al. </w:t>
      </w:r>
      <w:r w:rsidR="00FF3113" w:rsidRPr="005C4EA9">
        <w:t>(</w:t>
      </w:r>
      <w:r w:rsidRPr="005C4EA9">
        <w:t>2018</w:t>
      </w:r>
      <w:r w:rsidR="00FF3113" w:rsidRPr="005C4EA9">
        <w:t>)</w:t>
      </w:r>
      <w:r w:rsidR="00683B40" w:rsidRPr="005C4EA9">
        <w:t xml:space="preserve"> </w:t>
      </w:r>
      <w:r w:rsidR="00683B40" w:rsidRPr="005C4EA9">
        <w:fldChar w:fldCharType="begin"/>
      </w:r>
      <w:r w:rsidR="00683B40" w:rsidRPr="005C4EA9">
        <w:instrText xml:space="preserve"> ADDIN EN.CITE &lt;EndNote&gt;&lt;Cite&gt;&lt;Author&gt;Capuano&lt;/Author&gt;&lt;Year&gt;2018&lt;/Year&gt;&lt;RecNum&gt;36&lt;/RecNum&gt;&lt;DisplayText&gt;[10]&lt;/DisplayText&gt;&lt;record&gt;&lt;rec-number&gt;36&lt;/rec-number&gt;&lt;foreign-keys&gt;&lt;key app="EN" db-id="0x52t0fa5ezaf7e22eopzxaswfsaaaevpfzf" timestamp="1594964417"&gt;36&lt;/key&gt;&lt;/foreign-keys&gt;&lt;ref-type name="Journal Article"&gt;17&lt;/ref-type&gt;&lt;contributors&gt;&lt;authors&gt;&lt;author&gt;Capuano, Nicola&lt;/author&gt;&lt;author&gt;Logoluso, Nicola&lt;/author&gt;&lt;author&gt;Gallazzi, Enrico&lt;/author&gt;&lt;author&gt;Drago, Lorenzo&lt;/author&gt;&lt;author&gt;Romanò, Carlo Luca&lt;/author&gt;&lt;/authors&gt;&lt;/contributors&gt;&lt;titles&gt;&lt;title&gt;One-stage exchange with antibacterial hydrogel coated implants provides similar results to two-stage revision, without the coating, for the treatment of peri-prosthetic infection&lt;/title&gt;&lt;secondary-title&gt;Knee Surgery, Sports Traumatology, Arthroscopy&lt;/secondary-title&gt;&lt;/titles&gt;&lt;periodical&gt;&lt;full-title&gt;Knee Surgery, Sports Traumatology, Arthroscopy&lt;/full-title&gt;&lt;/periodical&gt;&lt;pages&gt;3362-3367&lt;/pages&gt;&lt;volume&gt;26&lt;/volume&gt;&lt;number&gt;11&lt;/number&gt;&lt;dates&gt;&lt;year&gt;2018&lt;/year&gt;&lt;/dates&gt;&lt;isbn&gt;0942-2056&lt;/isbn&gt;&lt;urls&gt;&lt;/urls&gt;&lt;/record&gt;&lt;/Cite&gt;&lt;/EndNote&gt;</w:instrText>
      </w:r>
      <w:r w:rsidR="00683B40" w:rsidRPr="005C4EA9">
        <w:fldChar w:fldCharType="separate"/>
      </w:r>
      <w:r w:rsidR="00683B40" w:rsidRPr="005C4EA9">
        <w:rPr>
          <w:noProof/>
        </w:rPr>
        <w:t>[10]</w:t>
      </w:r>
      <w:r w:rsidR="00683B40" w:rsidRPr="005C4EA9">
        <w:fldChar w:fldCharType="end"/>
      </w:r>
      <w:r w:rsidRPr="005C4EA9">
        <w:t xml:space="preserve"> and Zagra et al. </w:t>
      </w:r>
      <w:r w:rsidR="00FF3113" w:rsidRPr="005C4EA9">
        <w:t>(</w:t>
      </w:r>
      <w:r w:rsidRPr="005C4EA9">
        <w:t>2019</w:t>
      </w:r>
      <w:r w:rsidR="00FF3113" w:rsidRPr="005C4EA9">
        <w:t>)</w:t>
      </w:r>
      <w:r w:rsidR="00683B40" w:rsidRPr="005C4EA9">
        <w:t xml:space="preserve"> </w:t>
      </w:r>
      <w:r w:rsidR="00683B40" w:rsidRPr="005C4EA9">
        <w:fldChar w:fldCharType="begin"/>
      </w:r>
      <w:r w:rsidR="00282F28" w:rsidRPr="005C4EA9">
        <w:instrText xml:space="preserve"> ADDIN EN.CITE &lt;EndNote&gt;&lt;Cite&gt;&lt;Author&gt;Zagra&lt;/Author&gt;&lt;Year&gt;2019&lt;/Year&gt;&lt;RecNum&gt;38&lt;/RecNum&gt;&lt;DisplayText&gt;[11]&lt;/DisplayText&gt;&lt;record&gt;&lt;rec-number&gt;38&lt;/rec-number&gt;&lt;foreign-keys&gt;&lt;key app="EN" db-id="0x52t0fa5ezaf7e22eopzxaswfsaaaevpfzf" timestamp="1594964999"&gt;38&lt;/key&gt;&lt;/foreign-keys&gt;&lt;ref-type name="Journal Article"&gt;17&lt;/ref-type&gt;&lt;contributors&gt;&lt;authors&gt;&lt;author&gt;Zagra, Luigi&lt;/author&gt;&lt;author&gt;Gallazzi, Enrico&lt;/author&gt;&lt;author&gt;Romanò, Delia&lt;/author&gt;&lt;author&gt;Scarponi, Sara&lt;/author&gt;&lt;author&gt;Romanò, Carlo&lt;/author&gt;&lt;/authors&gt;&lt;/contributors&gt;&lt;titles&gt;&lt;title&gt;Two-stage cementless hip revision for peri-prosthetic infection with an antibacterial hydrogel coating: results of a comparative series&lt;/title&gt;&lt;secondary-title&gt;International Orthopaedics&lt;/secondary-title&gt;&lt;/titles&gt;&lt;periodical&gt;&lt;full-title&gt;International Orthopaedics&lt;/full-title&gt;&lt;/periodical&gt;&lt;pages&gt;111-115&lt;/pages&gt;&lt;volume&gt;43&lt;/volume&gt;&lt;number&gt;1&lt;/number&gt;&lt;dates&gt;&lt;year&gt;2019&lt;/year&gt;&lt;/dates&gt;&lt;isbn&gt;0341-2695&lt;/isbn&gt;&lt;urls&gt;&lt;/urls&gt;&lt;/record&gt;&lt;/Cite&gt;&lt;/EndNote&gt;</w:instrText>
      </w:r>
      <w:r w:rsidR="00683B40" w:rsidRPr="005C4EA9">
        <w:fldChar w:fldCharType="separate"/>
      </w:r>
      <w:r w:rsidR="00282F28" w:rsidRPr="005C4EA9">
        <w:rPr>
          <w:noProof/>
        </w:rPr>
        <w:t>[11]</w:t>
      </w:r>
      <w:r w:rsidR="00683B40" w:rsidRPr="005C4EA9">
        <w:fldChar w:fldCharType="end"/>
      </w:r>
      <w:r w:rsidRPr="005C4EA9">
        <w:t xml:space="preserve"> and an upcoming RCT (NCT04251377)</w:t>
      </w:r>
      <w:r w:rsidR="00683B40" w:rsidRPr="005C4EA9">
        <w:rPr>
          <w:rStyle w:val="FootnoteReference"/>
        </w:rPr>
        <w:footnoteReference w:id="2"/>
      </w:r>
      <w:r w:rsidRPr="005C4EA9">
        <w:t xml:space="preserve"> used MSIS criteria to</w:t>
      </w:r>
      <w:r w:rsidR="00FF3113" w:rsidRPr="005C4EA9">
        <w:t xml:space="preserve"> define the patients having periprosthetic joint infection</w:t>
      </w:r>
      <w:r w:rsidR="004F770C" w:rsidRPr="005C4EA9">
        <w:t xml:space="preserve"> (see Table 2)</w:t>
      </w:r>
      <w:r w:rsidR="00FF3113" w:rsidRPr="005C4EA9">
        <w:t>.</w:t>
      </w:r>
    </w:p>
    <w:p w14:paraId="124D2255" w14:textId="755786DB" w:rsidR="008C02D4" w:rsidRPr="005C4EA9" w:rsidRDefault="002B394F" w:rsidP="00C90FC7">
      <w:r w:rsidRPr="005C4EA9">
        <w:t xml:space="preserve">Periprosthetic joint SSIs are associated with increased perioperative morbidity, mortality, length of stay, cost of hospital care and </w:t>
      </w:r>
      <w:r w:rsidR="003A1182" w:rsidRPr="005C4EA9">
        <w:t xml:space="preserve">the </w:t>
      </w:r>
      <w:r w:rsidRPr="005C4EA9">
        <w:t xml:space="preserve">requirement for additional procedures to address the infection </w:t>
      </w:r>
      <w:r w:rsidRPr="005C4EA9">
        <w:fldChar w:fldCharType="begin"/>
      </w:r>
      <w:r w:rsidR="00282F28" w:rsidRPr="005C4EA9">
        <w:instrText xml:space="preserve"> ADDIN EN.CITE &lt;EndNote&gt;&lt;Cite&gt;&lt;Author&gt;Poultsides&lt;/Author&gt;&lt;Year&gt;2013&lt;/Year&gt;&lt;RecNum&gt;2&lt;/RecNum&gt;&lt;DisplayText&gt;[12]&lt;/DisplayText&gt;&lt;record&gt;&lt;rec-number&gt;2&lt;/rec-number&gt;&lt;foreign-keys&gt;&lt;key app="EN" db-id="0x52t0fa5ezaf7e22eopzxaswfsaaaevpfzf" timestamp="1592878772"&gt;2&lt;/key&gt;&lt;/foreign-keys&gt;&lt;ref-type name="Journal Article"&gt;17&lt;/ref-type&gt;&lt;contributors&gt;&lt;authors&gt;&lt;author&gt;Poultsides, Lazaros A&lt;/author&gt;&lt;author&gt;Ma, Yan&lt;/author&gt;&lt;author&gt;Della Valle, Alejandro Gonzalez&lt;/author&gt;&lt;author&gt;Chiu, Ya-Lin&lt;/author&gt;&lt;author&gt;Sculco, Thomas P&lt;/author&gt;&lt;author&gt;Memtsoudis, Stavros G&lt;/author&gt;&lt;/authors&gt;&lt;/contributors&gt;&lt;titles&gt;&lt;title&gt;In-hospital surgical site infections after primary hip and knee arthroplasty—incidence and risk factors&lt;/title&gt;&lt;secondary-title&gt;The Journal of arthroplasty&lt;/secondary-title&gt;&lt;/titles&gt;&lt;periodical&gt;&lt;full-title&gt;The Journal of arthroplasty&lt;/full-title&gt;&lt;/periodical&gt;&lt;pages&gt;385-389&lt;/pages&gt;&lt;volume&gt;28&lt;/volume&gt;&lt;number&gt;3&lt;/number&gt;&lt;dates&gt;&lt;year&gt;2013&lt;/year&gt;&lt;/dates&gt;&lt;isbn&gt;0883-5403&lt;/isbn&gt;&lt;urls&gt;&lt;/urls&gt;&lt;/record&gt;&lt;/Cite&gt;&lt;/EndNote&gt;</w:instrText>
      </w:r>
      <w:r w:rsidRPr="005C4EA9">
        <w:fldChar w:fldCharType="separate"/>
      </w:r>
      <w:r w:rsidR="00282F28" w:rsidRPr="005C4EA9">
        <w:rPr>
          <w:noProof/>
        </w:rPr>
        <w:t>[12]</w:t>
      </w:r>
      <w:r w:rsidRPr="005C4EA9">
        <w:fldChar w:fldCharType="end"/>
      </w:r>
      <w:r w:rsidRPr="005C4EA9">
        <w:t xml:space="preserve">. They could also lead to the need for revision surgery and extended antibiotic courses </w:t>
      </w:r>
      <w:r w:rsidRPr="005C4EA9">
        <w:fldChar w:fldCharType="begin"/>
      </w:r>
      <w:r w:rsidR="00EE30CD" w:rsidRPr="005C4EA9">
        <w:instrText xml:space="preserve"> ADDIN EN.CITE &lt;EndNote&gt;&lt;Cite&gt;&lt;Author&gt;Kapadia&lt;/Author&gt;&lt;Year&gt;2016&lt;/Year&gt;&lt;RecNum&gt;1&lt;/RecNum&gt;&lt;DisplayText&gt;[4]&lt;/DisplayText&gt;&lt;record&gt;&lt;rec-number&gt;1&lt;/rec-number&gt;&lt;foreign-keys&gt;&lt;key app="EN" db-id="0x52t0fa5ezaf7e22eopzxaswfsaaaevpfzf" timestamp="1592877770"&gt;1&lt;/key&gt;&lt;/foreign-keys&gt;&lt;ref-type name="Journal Article"&gt;17&lt;/ref-type&gt;&lt;contributors&gt;&lt;authors&gt;&lt;author&gt;Kapadia, Bhaveen H&lt;/author&gt;&lt;author&gt;Berg, Richard A&lt;/author&gt;&lt;author&gt;Daley, Jacqueline A&lt;/author&gt;&lt;author&gt;Fritz, Jan&lt;/author&gt;&lt;author&gt;Bhave, Anil&lt;/author&gt;&lt;author&gt;Mont, Michael A&lt;/author&gt;&lt;/authors&gt;&lt;/contributors&gt;&lt;titles&gt;&lt;title&gt;Periprosthetic joint infection&lt;/title&gt;&lt;secondary-title&gt;The Lancet&lt;/secondary-title&gt;&lt;/titles&gt;&lt;periodical&gt;&lt;full-title&gt;The Lancet&lt;/full-title&gt;&lt;/periodical&gt;&lt;pages&gt;386-394&lt;/pages&gt;&lt;volume&gt;387&lt;/volume&gt;&lt;number&gt;10016&lt;/number&gt;&lt;dates&gt;&lt;year&gt;2016&lt;/year&gt;&lt;/dates&gt;&lt;isbn&gt;0140-6736&lt;/isbn&gt;&lt;urls&gt;&lt;/urls&gt;&lt;/record&gt;&lt;/Cite&gt;&lt;/EndNote&gt;</w:instrText>
      </w:r>
      <w:r w:rsidRPr="005C4EA9">
        <w:fldChar w:fldCharType="separate"/>
      </w:r>
      <w:r w:rsidR="00EE30CD" w:rsidRPr="005C4EA9">
        <w:rPr>
          <w:noProof/>
        </w:rPr>
        <w:t>[4]</w:t>
      </w:r>
      <w:r w:rsidRPr="005C4EA9">
        <w:fldChar w:fldCharType="end"/>
      </w:r>
      <w:r w:rsidRPr="005C4EA9">
        <w:t xml:space="preserve">. The </w:t>
      </w:r>
      <w:r w:rsidR="008C02D4" w:rsidRPr="005C4EA9">
        <w:t>implication</w:t>
      </w:r>
      <w:r w:rsidR="00F62B7C" w:rsidRPr="005C4EA9">
        <w:t>s</w:t>
      </w:r>
      <w:r w:rsidRPr="005C4EA9">
        <w:t xml:space="preserve"> of periprosthetic joint SSIs </w:t>
      </w:r>
      <w:r w:rsidR="008C02D4" w:rsidRPr="005C4EA9">
        <w:t>can be broadly categorised under two sets of factors</w:t>
      </w:r>
      <w:r w:rsidRPr="005C4EA9">
        <w:t>: clinical factors, characterised by high risks of morbidity and mortality</w:t>
      </w:r>
      <w:r w:rsidR="00EB2C97" w:rsidRPr="005C4EA9">
        <w:t>, and economic factors, characterised by the substantial costs</w:t>
      </w:r>
      <w:r w:rsidR="009C7525" w:rsidRPr="005C4EA9">
        <w:t xml:space="preserve"> to the healthcare system </w:t>
      </w:r>
      <w:r w:rsidR="009C7525" w:rsidRPr="005C4EA9">
        <w:fldChar w:fldCharType="begin"/>
      </w:r>
      <w:r w:rsidR="00282F28" w:rsidRPr="005C4EA9">
        <w:instrText xml:space="preserve"> ADDIN EN.CITE &lt;EndNote&gt;&lt;Cite&gt;&lt;Author&gt;Adeyemi&lt;/Author&gt;&lt;Year&gt;2019&lt;/Year&gt;&lt;RecNum&gt;3&lt;/RecNum&gt;&lt;DisplayText&gt;[13]&lt;/DisplayText&gt;&lt;record&gt;&lt;rec-number&gt;3&lt;/rec-number&gt;&lt;foreign-keys&gt;&lt;key app="EN" db-id="0x52t0fa5ezaf7e22eopzxaswfsaaaevpfzf" timestamp="1592880099"&gt;3&lt;/key&gt;&lt;/foreign-keys&gt;&lt;ref-type name="Journal Article"&gt;17&lt;/ref-type&gt;&lt;contributors&gt;&lt;authors&gt;&lt;author&gt;Adeyemi, Ayoade&lt;/author&gt;&lt;author&gt;Trueman, Paul&lt;/author&gt;&lt;/authors&gt;&lt;/contributors&gt;&lt;titles&gt;&lt;title&gt;Economic burden of surgical site infections within the episode of care following joint replacement&lt;/title&gt;&lt;secondary-title&gt;Journal of Orthopaedic Surgery and Research&lt;/secondary-title&gt;&lt;/titles&gt;&lt;periodical&gt;&lt;full-title&gt;Journal of Orthopaedic Surgery and Research&lt;/full-title&gt;&lt;/periodical&gt;&lt;pages&gt;196&lt;/pages&gt;&lt;volume&gt;14&lt;/volume&gt;&lt;number&gt;1&lt;/number&gt;&lt;dates&gt;&lt;year&gt;2019&lt;/year&gt;&lt;pub-dates&gt;&lt;date&gt;2019/06/27&lt;/date&gt;&lt;/pub-dates&gt;&lt;/dates&gt;&lt;isbn&gt;1749-799X&lt;/isbn&gt;&lt;urls&gt;&lt;related-urls&gt;&lt;url&gt;https://doi.org/10.1186/s13018-019-1224-8&lt;/url&gt;&lt;/related-urls&gt;&lt;/urls&gt;&lt;electronic-resource-num&gt;10.1186/s13018-019-1224-8&lt;/electronic-resource-num&gt;&lt;/record&gt;&lt;/Cite&gt;&lt;/EndNote&gt;</w:instrText>
      </w:r>
      <w:r w:rsidR="009C7525" w:rsidRPr="005C4EA9">
        <w:fldChar w:fldCharType="separate"/>
      </w:r>
      <w:r w:rsidR="00282F28" w:rsidRPr="005C4EA9">
        <w:rPr>
          <w:noProof/>
        </w:rPr>
        <w:t>[13]</w:t>
      </w:r>
      <w:r w:rsidR="009C7525" w:rsidRPr="005C4EA9">
        <w:fldChar w:fldCharType="end"/>
      </w:r>
      <w:r w:rsidR="006319FC" w:rsidRPr="005C4EA9">
        <w:t xml:space="preserve"> (p14 of the Application)</w:t>
      </w:r>
      <w:r w:rsidR="00EB2C97" w:rsidRPr="005C4EA9">
        <w:t>.</w:t>
      </w:r>
    </w:p>
    <w:p w14:paraId="4BD8D304" w14:textId="15469D32" w:rsidR="00AC5385" w:rsidRPr="005C4EA9" w:rsidRDefault="00D44EAE" w:rsidP="00A1679D">
      <w:r w:rsidRPr="005C4EA9">
        <w:t>A systematic review by Lum et al</w:t>
      </w:r>
      <w:r w:rsidR="008203A8" w:rsidRPr="005C4EA9">
        <w:t>.</w:t>
      </w:r>
      <w:r w:rsidRPr="005C4EA9">
        <w:t xml:space="preserve"> (2018) </w:t>
      </w:r>
      <w:r w:rsidR="006319FC" w:rsidRPr="005C4EA9">
        <w:t>reported</w:t>
      </w:r>
      <w:r w:rsidRPr="005C4EA9">
        <w:t xml:space="preserve"> that patients undergoing total knee replacement had a</w:t>
      </w:r>
      <w:r w:rsidR="003A1182" w:rsidRPr="005C4EA9">
        <w:t>n</w:t>
      </w:r>
      <w:r w:rsidRPr="005C4EA9">
        <w:t xml:space="preserve"> SSI-related post-operative one-year mortality rate of 4.33%, which rose to 21.64% at five years </w:t>
      </w:r>
      <w:r w:rsidRPr="005C4EA9">
        <w:fldChar w:fldCharType="begin"/>
      </w:r>
      <w:r w:rsidR="00282F28" w:rsidRPr="005C4EA9">
        <w:instrText xml:space="preserve"> ADDIN EN.CITE &lt;EndNote&gt;&lt;Cite&gt;&lt;Author&gt;Lum&lt;/Author&gt;&lt;Year&gt;2018&lt;/Year&gt;&lt;RecNum&gt;5&lt;/RecNum&gt;&lt;DisplayText&gt;[14]&lt;/DisplayText&gt;&lt;record&gt;&lt;rec-number&gt;5&lt;/rec-number&gt;&lt;foreign-keys&gt;&lt;key app="EN" db-id="0x52t0fa5ezaf7e22eopzxaswfsaaaevpfzf" timestamp="1592880934"&gt;5&lt;/key&gt;&lt;/foreign-keys&gt;&lt;ref-type name="Journal Article"&gt;17&lt;/ref-type&gt;&lt;contributors&gt;&lt;authors&gt;&lt;author&gt;Lum, Zachary C&lt;/author&gt;&lt;author&gt;Natsuhara, Kyle M&lt;/author&gt;&lt;author&gt;Shelton, Trevor J&lt;/author&gt;&lt;author&gt;Giordani, Mauro&lt;/author&gt;&lt;author&gt;Pereira, Gavin C&lt;/author&gt;&lt;author&gt;Meehan, John P&lt;/author&gt;&lt;/authors&gt;&lt;/contributors&gt;&lt;titles&gt;&lt;title&gt;Mortality during total knee periprosthetic joint infection&lt;/title&gt;&lt;secondary-title&gt;The Journal of Arthroplasty&lt;/secondary-title&gt;&lt;/titles&gt;&lt;periodical&gt;&lt;full-title&gt;The Journal of arthroplasty&lt;/full-title&gt;&lt;/periodical&gt;&lt;pages&gt;3783-3788&lt;/pages&gt;&lt;volume&gt;33&lt;/volume&gt;&lt;number&gt;12&lt;/number&gt;&lt;dates&gt;&lt;year&gt;2018&lt;/year&gt;&lt;/dates&gt;&lt;isbn&gt;0883-5403&lt;/isbn&gt;&lt;urls&gt;&lt;/urls&gt;&lt;/record&gt;&lt;/Cite&gt;&lt;/EndNote&gt;</w:instrText>
      </w:r>
      <w:r w:rsidRPr="005C4EA9">
        <w:fldChar w:fldCharType="separate"/>
      </w:r>
      <w:r w:rsidR="00282F28" w:rsidRPr="005C4EA9">
        <w:rPr>
          <w:noProof/>
        </w:rPr>
        <w:t>[14]</w:t>
      </w:r>
      <w:r w:rsidRPr="005C4EA9">
        <w:fldChar w:fldCharType="end"/>
      </w:r>
      <w:r w:rsidRPr="005C4EA9">
        <w:t xml:space="preserve">. The </w:t>
      </w:r>
      <w:r w:rsidR="008C02D4" w:rsidRPr="005C4EA9">
        <w:t>odds</w:t>
      </w:r>
      <w:r w:rsidRPr="005C4EA9">
        <w:t xml:space="preserve"> of death</w:t>
      </w:r>
      <w:r w:rsidR="008C02D4" w:rsidRPr="005C4EA9">
        <w:t xml:space="preserve"> after total knee periprost</w:t>
      </w:r>
      <w:r w:rsidR="004D274A" w:rsidRPr="005C4EA9">
        <w:t xml:space="preserve">hetic joint infections was 3.05, </w:t>
      </w:r>
      <w:r w:rsidR="008C02D4" w:rsidRPr="005C4EA9">
        <w:t>adjusting for age.</w:t>
      </w:r>
      <w:r w:rsidR="00013D27" w:rsidRPr="005C4EA9">
        <w:t xml:space="preserve"> Patients surviving SSIs </w:t>
      </w:r>
      <w:r w:rsidR="00B9458E" w:rsidRPr="005C4EA9">
        <w:t>may</w:t>
      </w:r>
      <w:r w:rsidR="00013D27" w:rsidRPr="005C4EA9">
        <w:t xml:space="preserve"> often be debilitated by infection-related morbidity, leading to decreased quality of life. An Australian study</w:t>
      </w:r>
      <w:r w:rsidR="008203A8" w:rsidRPr="005C4EA9">
        <w:t xml:space="preserve"> by Cahill et al. (2008)</w:t>
      </w:r>
      <w:r w:rsidR="00013D27" w:rsidRPr="005C4EA9">
        <w:t xml:space="preserve"> showed that patients with SSIs</w:t>
      </w:r>
      <w:r w:rsidR="008203A8" w:rsidRPr="005C4EA9">
        <w:t xml:space="preserve"> after total joint replacement</w:t>
      </w:r>
      <w:r w:rsidR="00013D27" w:rsidRPr="005C4EA9">
        <w:t xml:space="preserve"> experienced significantly poorer satisfaction in </w:t>
      </w:r>
      <w:r w:rsidR="003A1182" w:rsidRPr="005C4EA9">
        <w:t xml:space="preserve">both </w:t>
      </w:r>
      <w:r w:rsidR="00013D27" w:rsidRPr="005C4EA9">
        <w:t>outcome and diminished quality of life, mainly in terms of pain, stiffness, ability to live independently and their mental health</w:t>
      </w:r>
      <w:r w:rsidR="008203A8" w:rsidRPr="005C4EA9">
        <w:t xml:space="preserve"> </w:t>
      </w:r>
      <w:r w:rsidR="008203A8" w:rsidRPr="005C4EA9">
        <w:fldChar w:fldCharType="begin"/>
      </w:r>
      <w:r w:rsidR="00282F28" w:rsidRPr="005C4EA9">
        <w:instrText xml:space="preserve"> ADDIN EN.CITE &lt;EndNote&gt;&lt;Cite&gt;&lt;Author&gt;Cahill&lt;/Author&gt;&lt;Year&gt;2008&lt;/Year&gt;&lt;RecNum&gt;6&lt;/RecNum&gt;&lt;DisplayText&gt;[15]&lt;/DisplayText&gt;&lt;record&gt;&lt;rec-number&gt;6&lt;/rec-number&gt;&lt;foreign-keys&gt;&lt;key app="EN" db-id="0x52t0fa5ezaf7e22eopzxaswfsaaaevpfzf" timestamp="1592884884"&gt;6&lt;/key&gt;&lt;/foreign-keys&gt;&lt;ref-type name="Journal Article"&gt;17&lt;/ref-type&gt;&lt;contributors&gt;&lt;authors&gt;&lt;author&gt;Cahill, Jennifer Louise&lt;/author&gt;&lt;author&gt;Shadbolt, B&lt;/author&gt;&lt;author&gt;Scarvell, JM&lt;/author&gt;&lt;author&gt;Smith, Paul N&lt;/author&gt;&lt;/authors&gt;&lt;/contributors&gt;&lt;titles&gt;&lt;title&gt;Quality of life after infection in total joint replacement&lt;/title&gt;&lt;secondary-title&gt;Journal of orthopaedic surgery&lt;/secondary-title&gt;&lt;/titles&gt;&lt;periodical&gt;&lt;full-title&gt;Journal of orthopaedic surgery&lt;/full-title&gt;&lt;/periodical&gt;&lt;pages&gt;58-65&lt;/pages&gt;&lt;volume&gt;16&lt;/volume&gt;&lt;number&gt;1&lt;/number&gt;&lt;dates&gt;&lt;year&gt;2008&lt;/year&gt;&lt;/dates&gt;&lt;isbn&gt;2309-4990&lt;/isbn&gt;&lt;urls&gt;&lt;/urls&gt;&lt;/record&gt;&lt;/Cite&gt;&lt;/EndNote&gt;</w:instrText>
      </w:r>
      <w:r w:rsidR="008203A8" w:rsidRPr="005C4EA9">
        <w:fldChar w:fldCharType="separate"/>
      </w:r>
      <w:r w:rsidR="00282F28" w:rsidRPr="005C4EA9">
        <w:rPr>
          <w:noProof/>
        </w:rPr>
        <w:t>[15]</w:t>
      </w:r>
      <w:r w:rsidR="008203A8" w:rsidRPr="005C4EA9">
        <w:fldChar w:fldCharType="end"/>
      </w:r>
      <w:r w:rsidR="00013D27" w:rsidRPr="005C4EA9">
        <w:t>.</w:t>
      </w:r>
      <w:r w:rsidR="00A1679D" w:rsidRPr="005C4EA9">
        <w:t xml:space="preserve"> The</w:t>
      </w:r>
      <w:r w:rsidR="0031609C" w:rsidRPr="005C4EA9">
        <w:t>se</w:t>
      </w:r>
      <w:r w:rsidR="00A1679D" w:rsidRPr="005C4EA9">
        <w:t xml:space="preserve"> results</w:t>
      </w:r>
      <w:r w:rsidR="0031609C" w:rsidRPr="005C4EA9">
        <w:t xml:space="preserve"> were robust even after controlling for</w:t>
      </w:r>
      <w:r w:rsidR="00A1679D" w:rsidRPr="005C4EA9">
        <w:t xml:space="preserve"> age, sex, and follow-up period using multiple regression analysis</w:t>
      </w:r>
      <w:r w:rsidR="0031609C" w:rsidRPr="005C4EA9">
        <w:t xml:space="preserve"> </w:t>
      </w:r>
      <w:r w:rsidR="0031609C" w:rsidRPr="005C4EA9">
        <w:fldChar w:fldCharType="begin"/>
      </w:r>
      <w:r w:rsidR="00282F28" w:rsidRPr="005C4EA9">
        <w:instrText xml:space="preserve"> ADDIN EN.CITE &lt;EndNote&gt;&lt;Cite&gt;&lt;Author&gt;Cahill&lt;/Author&gt;&lt;Year&gt;2008&lt;/Year&gt;&lt;RecNum&gt;6&lt;/RecNum&gt;&lt;DisplayText&gt;[15]&lt;/DisplayText&gt;&lt;record&gt;&lt;rec-number&gt;6&lt;/rec-number&gt;&lt;foreign-keys&gt;&lt;key app="EN" db-id="0x52t0fa5ezaf7e22eopzxaswfsaaaevpfzf" timestamp="1592884884"&gt;6&lt;/key&gt;&lt;/foreign-keys&gt;&lt;ref-type name="Journal Article"&gt;17&lt;/ref-type&gt;&lt;contributors&gt;&lt;authors&gt;&lt;author&gt;Cahill, Jennifer Louise&lt;/author&gt;&lt;author&gt;Shadbolt, B&lt;/author&gt;&lt;author&gt;Scarvell, JM&lt;/author&gt;&lt;author&gt;Smith, Paul N&lt;/author&gt;&lt;/authors&gt;&lt;/contributors&gt;&lt;titles&gt;&lt;title&gt;Quality of life after infection in total joint replacement&lt;/title&gt;&lt;secondary-title&gt;Journal of orthopaedic surgery&lt;/secondary-title&gt;&lt;/titles&gt;&lt;periodical&gt;&lt;full-title&gt;Journal of orthopaedic surgery&lt;/full-title&gt;&lt;/periodical&gt;&lt;pages&gt;58-65&lt;/pages&gt;&lt;volume&gt;16&lt;/volume&gt;&lt;number&gt;1&lt;/number&gt;&lt;dates&gt;&lt;year&gt;2008&lt;/year&gt;&lt;/dates&gt;&lt;isbn&gt;2309-4990&lt;/isbn&gt;&lt;urls&gt;&lt;/urls&gt;&lt;/record&gt;&lt;/Cite&gt;&lt;/EndNote&gt;</w:instrText>
      </w:r>
      <w:r w:rsidR="0031609C" w:rsidRPr="005C4EA9">
        <w:fldChar w:fldCharType="separate"/>
      </w:r>
      <w:r w:rsidR="00282F28" w:rsidRPr="005C4EA9">
        <w:rPr>
          <w:noProof/>
        </w:rPr>
        <w:t>[15]</w:t>
      </w:r>
      <w:r w:rsidR="0031609C" w:rsidRPr="005C4EA9">
        <w:fldChar w:fldCharType="end"/>
      </w:r>
      <w:r w:rsidR="00907D8F" w:rsidRPr="005C4EA9">
        <w:t>.</w:t>
      </w:r>
    </w:p>
    <w:p w14:paraId="0C1F3A01" w14:textId="5DECB777" w:rsidR="0095446D" w:rsidRPr="0067309D" w:rsidRDefault="005A0475" w:rsidP="003B76D6">
      <w:pPr>
        <w:rPr>
          <w:i/>
        </w:rPr>
      </w:pPr>
      <w:r w:rsidRPr="005C4EA9">
        <w:t>C</w:t>
      </w:r>
      <w:r w:rsidR="0095446D" w:rsidRPr="005C4EA9">
        <w:t>linical and quality of life consequences of p</w:t>
      </w:r>
      <w:r w:rsidR="00C90FC7" w:rsidRPr="005C4EA9">
        <w:t>eriprosthetic joint SSI</w:t>
      </w:r>
      <w:r w:rsidR="0095446D" w:rsidRPr="005C4EA9">
        <w:t>s are particularly pronounced in already compromised patients, such as those having a tumour that requires major revision</w:t>
      </w:r>
      <w:r w:rsidR="0095446D">
        <w:t xml:space="preserve"> arthroplasty and a megaprosthesis </w:t>
      </w:r>
      <w:r w:rsidR="0095446D">
        <w:fldChar w:fldCharType="begin"/>
      </w:r>
      <w:r w:rsidR="00282F28">
        <w:instrText xml:space="preserve"> ADDIN EN.CITE &lt;EndNote&gt;&lt;Cite&gt;&lt;Author&gt;Sigmund&lt;/Author&gt;&lt;Year&gt;2018&lt;/Year&gt;&lt;RecNum&gt;7&lt;/RecNum&gt;&lt;DisplayText&gt;[16]&lt;/DisplayText&gt;&lt;record&gt;&lt;rec-number&gt;7&lt;/rec-number&gt;&lt;foreign-keys&gt;&lt;key app="EN" db-id="0x52t0fa5ezaf7e22eopzxaswfsaaaevpfzf" timestamp="1592887540"&gt;7&lt;/key&gt;&lt;/foreign-keys&gt;&lt;ref-type name="Journal Article"&gt;17&lt;/ref-type&gt;&lt;contributors&gt;&lt;authors&gt;&lt;author&gt;Sigmund, Irene Katharina&lt;/author&gt;&lt;author&gt;Gamper, Jutta&lt;/author&gt;&lt;author&gt;Weber, Christine&lt;/author&gt;&lt;author&gt;Holinka, Johannes&lt;/author&gt;&lt;author&gt;Panotopoulos, Joannis&lt;/author&gt;&lt;author&gt;Funovics, Philipp Theodor&lt;/author&gt;&lt;author&gt;Windhager, Reinhard&lt;/author&gt;&lt;/authors&gt;&lt;/contributors&gt;&lt;titles&gt;&lt;title&gt;Efficacy of different revision procedures for infected megaprostheses in musculoskeletal tumour surgery of the lower limb&lt;/title&gt;&lt;secondary-title&gt;PloS one&lt;/secondary-title&gt;&lt;/titles&gt;&lt;periodical&gt;&lt;full-title&gt;PloS one&lt;/full-title&gt;&lt;/periodical&gt;&lt;pages&gt;e0200304&lt;/pages&gt;&lt;volume&gt;13&lt;/volume&gt;&lt;number&gt;7&lt;/number&gt;&lt;dates&gt;&lt;year&gt;2018&lt;/year&gt;&lt;/dates&gt;&lt;isbn&gt;1932-6203&lt;/isbn&gt;&lt;urls&gt;&lt;/urls&gt;&lt;/record&gt;&lt;/Cite&gt;&lt;/EndNote&gt;</w:instrText>
      </w:r>
      <w:r w:rsidR="0095446D">
        <w:fldChar w:fldCharType="separate"/>
      </w:r>
      <w:r w:rsidR="00282F28">
        <w:rPr>
          <w:noProof/>
        </w:rPr>
        <w:t>[16]</w:t>
      </w:r>
      <w:r w:rsidR="0095446D">
        <w:fldChar w:fldCharType="end"/>
      </w:r>
      <w:r w:rsidR="0095446D">
        <w:t>. There is a chance of high reinfection rate among these patients, which could result in the loss of the limb or even death</w:t>
      </w:r>
      <w:r w:rsidR="008F3E0D">
        <w:t xml:space="preserve"> </w:t>
      </w:r>
      <w:r w:rsidR="008F3E0D">
        <w:fldChar w:fldCharType="begin"/>
      </w:r>
      <w:r w:rsidR="00282F28">
        <w:instrText xml:space="preserve"> ADDIN EN.CITE &lt;EndNote&gt;&lt;Cite&gt;&lt;Author&gt;Sigmund&lt;/Author&gt;&lt;Year&gt;2018&lt;/Year&gt;&lt;RecNum&gt;7&lt;/RecNum&gt;&lt;DisplayText&gt;[16]&lt;/DisplayText&gt;&lt;record&gt;&lt;rec-number&gt;7&lt;/rec-number&gt;&lt;foreign-keys&gt;&lt;key app="EN" db-id="0x52t0fa5ezaf7e22eopzxaswfsaaaevpfzf" timestamp="1592887540"&gt;7&lt;/key&gt;&lt;/foreign-keys&gt;&lt;ref-type name="Journal Article"&gt;17&lt;/ref-type&gt;&lt;contributors&gt;&lt;authors&gt;&lt;author&gt;Sigmund, Irene Katharina&lt;/author&gt;&lt;author&gt;Gamper, Jutta&lt;/author&gt;&lt;author&gt;Weber, Christine&lt;/author&gt;&lt;author&gt;Holinka, Johannes&lt;/author&gt;&lt;author&gt;Panotopoulos, Joannis&lt;/author&gt;&lt;author&gt;Funovics, Philipp Theodor&lt;/author&gt;&lt;author&gt;Windhager, Reinhard&lt;/author&gt;&lt;/authors&gt;&lt;/contributors&gt;&lt;titles&gt;&lt;title&gt;Efficacy of different revision procedures for infected megaprostheses in musculoskeletal tumour surgery of the lower limb&lt;/title&gt;&lt;secondary-title&gt;PloS one&lt;/secondary-title&gt;&lt;/titles&gt;&lt;periodical&gt;&lt;full-title&gt;PloS one&lt;/full-title&gt;&lt;/periodical&gt;&lt;pages&gt;e0200304&lt;/pages&gt;&lt;volume&gt;13&lt;/volume&gt;&lt;number&gt;7&lt;/number&gt;&lt;dates&gt;&lt;year&gt;2018&lt;/year&gt;&lt;/dates&gt;&lt;isbn&gt;1932-6203&lt;/isbn&gt;&lt;urls&gt;&lt;/urls&gt;&lt;/record&gt;&lt;/Cite&gt;&lt;/EndNote&gt;</w:instrText>
      </w:r>
      <w:r w:rsidR="008F3E0D">
        <w:fldChar w:fldCharType="separate"/>
      </w:r>
      <w:r w:rsidR="00282F28">
        <w:rPr>
          <w:noProof/>
        </w:rPr>
        <w:t>[16]</w:t>
      </w:r>
      <w:r w:rsidR="008F3E0D">
        <w:fldChar w:fldCharType="end"/>
      </w:r>
      <w:r w:rsidR="0095446D">
        <w:t>.</w:t>
      </w:r>
    </w:p>
    <w:p w14:paraId="332D0A10" w14:textId="0AF029E9" w:rsidR="00AD0F45" w:rsidRDefault="006319FC" w:rsidP="00B30275">
      <w:r>
        <w:t>The cost implications of remediating of periprosthetic joint SSIs could be substantial, given the high clinical and disease burden.</w:t>
      </w:r>
      <w:r w:rsidR="00ED5F89">
        <w:t xml:space="preserve"> </w:t>
      </w:r>
      <w:r w:rsidR="007E690B">
        <w:t>An Australian study by Peel et al. (2013) estimated</w:t>
      </w:r>
      <w:r w:rsidR="00145A05">
        <w:t xml:space="preserve"> the median cost of treating</w:t>
      </w:r>
      <w:r w:rsidR="007E690B">
        <w:t xml:space="preserve"> prosthetic joint infection</w:t>
      </w:r>
      <w:r w:rsidR="004D274A">
        <w:rPr>
          <w:rStyle w:val="FootnoteReference"/>
        </w:rPr>
        <w:footnoteReference w:id="3"/>
      </w:r>
      <w:r w:rsidR="007E690B">
        <w:t xml:space="preserve"> to </w:t>
      </w:r>
      <w:r w:rsidR="00145A05">
        <w:t>be</w:t>
      </w:r>
      <w:r w:rsidR="007E690B">
        <w:t xml:space="preserve"> </w:t>
      </w:r>
      <w:r w:rsidR="00A14E99">
        <w:t xml:space="preserve">Australian </w:t>
      </w:r>
      <w:r w:rsidR="00145A05">
        <w:t>$34,800</w:t>
      </w:r>
      <w:r w:rsidR="00A14E99">
        <w:t xml:space="preserve"> per patient.</w:t>
      </w:r>
      <w:r w:rsidR="00846532">
        <w:t xml:space="preserve"> </w:t>
      </w:r>
      <w:r w:rsidR="00A14E99">
        <w:t xml:space="preserve">Costs would further increase </w:t>
      </w:r>
      <w:r w:rsidR="00B30275">
        <w:t>substantially</w:t>
      </w:r>
      <w:r w:rsidR="00A14E99">
        <w:t xml:space="preserve"> if the initial surgery is not successful, resulting in further surgical</w:t>
      </w:r>
      <w:r w:rsidR="00AD0F45">
        <w:t xml:space="preserve"> (revision)</w:t>
      </w:r>
      <w:r w:rsidR="00A14E99">
        <w:t xml:space="preserve"> and/or lengthy treatment procedures </w:t>
      </w:r>
      <w:r w:rsidR="00A14E99">
        <w:fldChar w:fldCharType="begin"/>
      </w:r>
      <w:r w:rsidR="00282F28">
        <w:instrText xml:space="preserve"> ADDIN EN.CITE &lt;EndNote&gt;&lt;Cite&gt;&lt;Author&gt;Peel&lt;/Author&gt;&lt;Year&gt;2013&lt;/Year&gt;&lt;RecNum&gt;12&lt;/RecNum&gt;&lt;DisplayText&gt;[17]&lt;/DisplayText&gt;&lt;record&gt;&lt;rec-number&gt;12&lt;/rec-number&gt;&lt;foreign-keys&gt;&lt;key app="EN" db-id="0x52t0fa5ezaf7e22eopzxaswfsaaaevpfzf" timestamp="1592890039"&gt;12&lt;/key&gt;&lt;/foreign-keys&gt;&lt;ref-type name="Journal Article"&gt;17&lt;/ref-type&gt;&lt;contributors&gt;&lt;authors&gt;&lt;author&gt;Peel, TN&lt;/author&gt;&lt;author&gt;Cheng, AC&lt;/author&gt;&lt;author&gt;Lorenzo, YP&lt;/author&gt;&lt;author&gt;Kong, DCM&lt;/author&gt;&lt;author&gt;Buising, KL&lt;/author&gt;&lt;author&gt;Choong, PFM&lt;/author&gt;&lt;/authors&gt;&lt;/contributors&gt;&lt;titles&gt;&lt;title&gt;Factors influencing the cost of prosthetic joint infection treatment&lt;/title&gt;&lt;secondary-title&gt;Journal of Hospital Infection&lt;/secondary-title&gt;&lt;/titles&gt;&lt;periodical&gt;&lt;full-title&gt;Journal of Hospital Infection&lt;/full-title&gt;&lt;/periodical&gt;&lt;pages&gt;213-219&lt;/pages&gt;&lt;volume&gt;85&lt;/volume&gt;&lt;number&gt;3&lt;/number&gt;&lt;dates&gt;&lt;year&gt;2013&lt;/year&gt;&lt;/dates&gt;&lt;isbn&gt;0195-6701&lt;/isbn&gt;&lt;urls&gt;&lt;/urls&gt;&lt;/record&gt;&lt;/Cite&gt;&lt;/EndNote&gt;</w:instrText>
      </w:r>
      <w:r w:rsidR="00A14E99">
        <w:fldChar w:fldCharType="separate"/>
      </w:r>
      <w:r w:rsidR="00282F28">
        <w:rPr>
          <w:noProof/>
        </w:rPr>
        <w:t>[17]</w:t>
      </w:r>
      <w:r w:rsidR="00A14E99">
        <w:fldChar w:fldCharType="end"/>
      </w:r>
      <w:r w:rsidR="00A14E99">
        <w:t>.</w:t>
      </w:r>
    </w:p>
    <w:p w14:paraId="5C9EFE1C" w14:textId="387E424F" w:rsidR="00A14E99" w:rsidRDefault="00A14E99" w:rsidP="00B30275">
      <w:r>
        <w:t xml:space="preserve">As life expectancy continues to </w:t>
      </w:r>
      <w:r w:rsidR="00F8368D">
        <w:t>grow</w:t>
      </w:r>
      <w:r>
        <w:t xml:space="preserve"> in Australia and elsewhere, the incidence of periprosthetic joint SSIs</w:t>
      </w:r>
      <w:r w:rsidR="00133092">
        <w:t xml:space="preserve"> could increase further with the rise </w:t>
      </w:r>
      <w:r>
        <w:t>in</w:t>
      </w:r>
      <w:r w:rsidR="00B30275">
        <w:t xml:space="preserve"> the</w:t>
      </w:r>
      <w:r>
        <w:t xml:space="preserve"> number of joint surgeries, particularly those related to hip and knee </w:t>
      </w:r>
      <w:r>
        <w:fldChar w:fldCharType="begin"/>
      </w:r>
      <w:r w:rsidR="00282F28">
        <w:instrText xml:space="preserve"> ADDIN EN.CITE &lt;EndNote&gt;&lt;Cite&gt;&lt;Author&gt;Kurtz&lt;/Author&gt;&lt;Year&gt;2007&lt;/Year&gt;&lt;RecNum&gt;4&lt;/RecNum&gt;&lt;DisplayText&gt;[18, 19]&lt;/DisplayText&gt;&lt;record&gt;&lt;rec-number&gt;4&lt;/rec-number&gt;&lt;foreign-keys&gt;&lt;key app="EN" db-id="0x52t0fa5ezaf7e22eopzxaswfsaaaevpfzf" timestamp="1592880479"&gt;4&lt;/key&gt;&lt;/foreign-keys&gt;&lt;ref-type name="Journal Article"&gt;17&lt;/ref-type&gt;&lt;contributors&gt;&lt;authors&gt;&lt;author&gt;Kurtz, Steven&lt;/author&gt;&lt;author&gt;Ong, Kevin&lt;/author&gt;&lt;author&gt;Lau, Edmund&lt;/author&gt;&lt;author&gt;Mowat, Fionna&lt;/author&gt;&lt;author&gt;Halpern, Michael&lt;/author&gt;&lt;/authors&gt;&lt;/contributors&gt;&lt;titles&gt;&lt;title&gt;Projections of primary and revision hip and knee arthroplasty in the United States from 2005 to 2030&lt;/title&gt;&lt;secondary-title&gt;Jbjs&lt;/secondary-title&gt;&lt;/titles&gt;&lt;periodical&gt;&lt;full-title&gt;Jbjs&lt;/full-title&gt;&lt;/periodical&gt;&lt;pages&gt;780-785&lt;/pages&gt;&lt;volume&gt;89&lt;/volume&gt;&lt;number&gt;4&lt;/number&gt;&lt;dates&gt;&lt;year&gt;2007&lt;/year&gt;&lt;/dates&gt;&lt;isbn&gt;0021-9355&lt;/isbn&gt;&lt;urls&gt;&lt;/urls&gt;&lt;/record&gt;&lt;/Cite&gt;&lt;Cite&gt;&lt;Author&gt;Kurtz&lt;/Author&gt;&lt;Year&gt;2012&lt;/Year&gt;&lt;RecNum&gt;13&lt;/RecNum&gt;&lt;record&gt;&lt;rec-number&gt;13&lt;/rec-number&gt;&lt;foreign-keys&gt;&lt;key app="EN" db-id="0x52t0fa5ezaf7e22eopzxaswfsaaaevpfzf" timestamp="1592890531"&gt;13&lt;/key&gt;&lt;/foreign-keys&gt;&lt;ref-type name="Journal Article"&gt;17&lt;/ref-type&gt;&lt;contributors&gt;&lt;authors&gt;&lt;author&gt;Kurtz, Steven M&lt;/author&gt;&lt;author&gt;Lau, Edmund&lt;/author&gt;&lt;author&gt;Watson, Heather&lt;/author&gt;&lt;author&gt;Schmier, Jordana K&lt;/author&gt;&lt;author&gt;Parvizi, Javad&lt;/author&gt;&lt;/authors&gt;&lt;/contributors&gt;&lt;titles&gt;&lt;title&gt;Economic burden of periprosthetic joint infection in the United States&lt;/title&gt;&lt;secondary-title&gt;The Journal of arthroplasty&lt;/secondary-title&gt;&lt;/titles&gt;&lt;periodical&gt;&lt;full-title&gt;The Journal of arthroplasty&lt;/full-title&gt;&lt;/periodical&gt;&lt;pages&gt;61-65. e1&lt;/pages&gt;&lt;volume&gt;27&lt;/volume&gt;&lt;number&gt;8&lt;/number&gt;&lt;dates&gt;&lt;year&gt;2012&lt;/year&gt;&lt;/dates&gt;&lt;isbn&gt;0883-5403&lt;/isbn&gt;&lt;urls&gt;&lt;/urls&gt;&lt;/record&gt;&lt;/Cite&gt;&lt;/EndNote&gt;</w:instrText>
      </w:r>
      <w:r>
        <w:fldChar w:fldCharType="separate"/>
      </w:r>
      <w:r w:rsidR="00282F28">
        <w:rPr>
          <w:noProof/>
        </w:rPr>
        <w:t>[18, 19]</w:t>
      </w:r>
      <w:r>
        <w:fldChar w:fldCharType="end"/>
      </w:r>
      <w:r>
        <w:t>.</w:t>
      </w:r>
      <w:r w:rsidR="00B30275">
        <w:t xml:space="preserve"> This could have considerable economic implica</w:t>
      </w:r>
      <w:r w:rsidR="00907D8F">
        <w:t>tions on the healthcare system.</w:t>
      </w:r>
    </w:p>
    <w:p w14:paraId="5287C62A" w14:textId="623836C1" w:rsidR="005C4CC6" w:rsidRPr="005C4CC6" w:rsidRDefault="00603488" w:rsidP="00B30275">
      <w:pPr>
        <w:rPr>
          <w:u w:val="single"/>
        </w:rPr>
      </w:pPr>
      <w:r>
        <w:rPr>
          <w:u w:val="single"/>
        </w:rPr>
        <w:lastRenderedPageBreak/>
        <w:t>Incidence</w:t>
      </w:r>
    </w:p>
    <w:p w14:paraId="1D722416" w14:textId="50F1854C" w:rsidR="00184C9E" w:rsidRPr="005C4EA9" w:rsidRDefault="00184C9E" w:rsidP="0051218E">
      <w:r w:rsidRPr="005C4EA9">
        <w:t xml:space="preserve">In 2018, around 122,500 joint replacement procedures were conducted in Australia </w:t>
      </w:r>
      <w:r w:rsidRPr="005C4EA9">
        <w:fldChar w:fldCharType="begin"/>
      </w:r>
      <w:r w:rsidR="00282F28" w:rsidRPr="005C4EA9">
        <w:instrText xml:space="preserve"> ADDIN EN.CITE &lt;EndNote&gt;&lt;Cite&gt;&lt;Author&gt;Australian Orthopaedic Association National Joint Replacement Registry (AOANJRR)&lt;/Author&gt;&lt;Year&gt;2019&lt;/Year&gt;&lt;RecNum&gt;14&lt;/RecNum&gt;&lt;DisplayText&gt;[20]&lt;/DisplayText&gt;&lt;record&gt;&lt;rec-number&gt;14&lt;/rec-number&gt;&lt;foreign-keys&gt;&lt;key app="EN" db-id="0x52t0fa5ezaf7e22eopzxaswfsaaaevpfzf" timestamp="1592893004"&gt;14&lt;/key&gt;&lt;/foreign-keys&gt;&lt;ref-type name="Report"&gt;27&lt;/ref-type&gt;&lt;contributors&gt;&lt;authors&gt;&lt;author&gt;Australian Orthopaedic Association National Joint Replacement Registry (AOANJRR),&lt;/author&gt;&lt;/authors&gt;&lt;/contributors&gt;&lt;titles&gt;&lt;title&gt;Hip, Knee &amp;amp; Shoulder Arthroplasty: 2019 Annual Report&lt;/title&gt;&lt;/titles&gt;&lt;dates&gt;&lt;year&gt;2019&lt;/year&gt;&lt;/dates&gt;&lt;pub-location&gt;Adelaide: AOA&lt;/pub-location&gt;&lt;urls&gt;&lt;/urls&gt;&lt;/record&gt;&lt;/Cite&gt;&lt;/EndNote&gt;</w:instrText>
      </w:r>
      <w:r w:rsidRPr="005C4EA9">
        <w:fldChar w:fldCharType="separate"/>
      </w:r>
      <w:r w:rsidR="00282F28" w:rsidRPr="005C4EA9">
        <w:rPr>
          <w:noProof/>
        </w:rPr>
        <w:t>[20]</w:t>
      </w:r>
      <w:r w:rsidRPr="005C4EA9">
        <w:fldChar w:fldCharType="end"/>
      </w:r>
      <w:r w:rsidRPr="005C4EA9">
        <w:t xml:space="preserve">. Between 2013-2018, a total of 2,073 patients (i.e. 0.9% out of 299,699 procedures) received revisions of primary total knee replacement in Australia as a result of infection, while 1,093 revisions (i.e. 0.7% of 180,722 procedures) took place for total hip replacement </w:t>
      </w:r>
      <w:r w:rsidRPr="005C4EA9">
        <w:fldChar w:fldCharType="begin"/>
      </w:r>
      <w:r w:rsidR="00282F28" w:rsidRPr="005C4EA9">
        <w:instrText xml:space="preserve"> ADDIN EN.CITE &lt;EndNote&gt;&lt;Cite&gt;&lt;Author&gt;Australian Orthopaedic Association National Joint Replacement Registry (AOANJRR)&lt;/Author&gt;&lt;Year&gt;2019&lt;/Year&gt;&lt;RecNum&gt;14&lt;/RecNum&gt;&lt;DisplayText&gt;[20]&lt;/DisplayText&gt;&lt;record&gt;&lt;rec-number&gt;14&lt;/rec-number&gt;&lt;foreign-keys&gt;&lt;key app="EN" db-id="0x52t0fa5ezaf7e22eopzxaswfsaaaevpfzf" timestamp="1592893004"&gt;14&lt;/key&gt;&lt;/foreign-keys&gt;&lt;ref-type name="Report"&gt;27&lt;/ref-type&gt;&lt;contributors&gt;&lt;authors&gt;&lt;author&gt;Australian Orthopaedic Association National Joint Replacement Registry (AOANJRR),&lt;/author&gt;&lt;/authors&gt;&lt;/contributors&gt;&lt;titles&gt;&lt;title&gt;Hip, Knee &amp;amp; Shoulder Arthroplasty: 2019 Annual Report&lt;/title&gt;&lt;/titles&gt;&lt;dates&gt;&lt;year&gt;2019&lt;/year&gt;&lt;/dates&gt;&lt;pub-location&gt;Adelaide: AOA&lt;/pub-location&gt;&lt;urls&gt;&lt;/urls&gt;&lt;/record&gt;&lt;/Cite&gt;&lt;/EndNote&gt;</w:instrText>
      </w:r>
      <w:r w:rsidRPr="005C4EA9">
        <w:fldChar w:fldCharType="separate"/>
      </w:r>
      <w:r w:rsidR="00282F28" w:rsidRPr="005C4EA9">
        <w:rPr>
          <w:noProof/>
        </w:rPr>
        <w:t>[20]</w:t>
      </w:r>
      <w:r w:rsidRPr="005C4EA9">
        <w:fldChar w:fldCharType="end"/>
      </w:r>
      <w:r w:rsidRPr="005C4EA9">
        <w:t>.</w:t>
      </w:r>
    </w:p>
    <w:p w14:paraId="56F3B3AA" w14:textId="5516C63D" w:rsidR="004E4ED6" w:rsidRPr="005C4EA9" w:rsidRDefault="0051218E" w:rsidP="0051218E">
      <w:r w:rsidRPr="005C4EA9">
        <w:t xml:space="preserve">The </w:t>
      </w:r>
      <w:r w:rsidR="00162F26" w:rsidRPr="005C4EA9">
        <w:t>A</w:t>
      </w:r>
      <w:r w:rsidR="002448F7" w:rsidRPr="005C4EA9">
        <w:t>pplication</w:t>
      </w:r>
      <w:r w:rsidRPr="005C4EA9">
        <w:t xml:space="preserve"> note</w:t>
      </w:r>
      <w:r w:rsidR="002448F7" w:rsidRPr="005C4EA9">
        <w:t>d</w:t>
      </w:r>
      <w:r w:rsidRPr="005C4EA9">
        <w:t xml:space="preserve"> that</w:t>
      </w:r>
      <w:r w:rsidR="006C40C9" w:rsidRPr="005C4EA9">
        <w:t xml:space="preserve"> overall</w:t>
      </w:r>
      <w:r w:rsidR="00297783" w:rsidRPr="005C4EA9">
        <w:rPr>
          <w:rStyle w:val="FootnoteReference"/>
        </w:rPr>
        <w:footnoteReference w:id="4"/>
      </w:r>
      <w:r w:rsidRPr="005C4EA9">
        <w:t xml:space="preserve"> </w:t>
      </w:r>
      <w:r w:rsidR="006C40C9" w:rsidRPr="005C4EA9">
        <w:t>p</w:t>
      </w:r>
      <w:r w:rsidRPr="005C4EA9">
        <w:t xml:space="preserve">eriprosthetic joint SSI is a relatively rare adverse outcome with </w:t>
      </w:r>
      <w:r w:rsidR="003A1182" w:rsidRPr="005C4EA9">
        <w:t xml:space="preserve">an </w:t>
      </w:r>
      <w:r w:rsidR="004E4ED6" w:rsidRPr="005C4EA9">
        <w:t>incidence</w:t>
      </w:r>
      <w:r w:rsidRPr="005C4EA9">
        <w:t xml:space="preserve"> rate of around 2%</w:t>
      </w:r>
      <w:r w:rsidR="00612743" w:rsidRPr="005C4EA9">
        <w:t xml:space="preserve"> (p19 of the Application)</w:t>
      </w:r>
      <w:r w:rsidRPr="005C4EA9">
        <w:t xml:space="preserve">. This percentage </w:t>
      </w:r>
      <w:r w:rsidR="002448F7" w:rsidRPr="005C4EA9">
        <w:t>is</w:t>
      </w:r>
      <w:r w:rsidRPr="005C4EA9">
        <w:t xml:space="preserve"> comparable to the overall </w:t>
      </w:r>
      <w:r w:rsidR="004E4ED6" w:rsidRPr="005C4EA9">
        <w:t>incidence</w:t>
      </w:r>
      <w:r w:rsidRPr="005C4EA9">
        <w:t xml:space="preserve"> rate</w:t>
      </w:r>
      <w:r w:rsidR="00CB7A57" w:rsidRPr="005C4EA9">
        <w:t xml:space="preserve"> of 1.7%</w:t>
      </w:r>
      <w:r w:rsidR="00E32C95" w:rsidRPr="005C4EA9">
        <w:t xml:space="preserve"> in the Australia</w:t>
      </w:r>
      <w:r w:rsidR="00603488" w:rsidRPr="005C4EA9">
        <w:t>n</w:t>
      </w:r>
      <w:r w:rsidR="00E32C95" w:rsidRPr="005C4EA9">
        <w:t xml:space="preserve"> population</w:t>
      </w:r>
      <w:r w:rsidR="003A1182" w:rsidRPr="005C4EA9">
        <w:t>,</w:t>
      </w:r>
      <w:r w:rsidR="00E32C95" w:rsidRPr="005C4EA9">
        <w:t xml:space="preserve"> as</w:t>
      </w:r>
      <w:r w:rsidRPr="005C4EA9">
        <w:t xml:space="preserve"> reported in </w:t>
      </w:r>
      <w:r w:rsidR="00CB7A57" w:rsidRPr="005C4EA9">
        <w:t>the literature</w:t>
      </w:r>
      <w:r w:rsidR="00E32C95" w:rsidRPr="005C4EA9">
        <w:t xml:space="preserve"> </w:t>
      </w:r>
      <w:r w:rsidR="00E32C95" w:rsidRPr="005C4EA9">
        <w:fldChar w:fldCharType="begin"/>
      </w:r>
      <w:r w:rsidR="00282F28" w:rsidRPr="005C4EA9">
        <w:instrText xml:space="preserve"> ADDIN EN.CITE &lt;EndNote&gt;&lt;Cite&gt;&lt;Author&gt;Marang-Van de Mheen&lt;/Author&gt;&lt;Year&gt;2017&lt;/Year&gt;&lt;RecNum&gt;15&lt;/RecNum&gt;&lt;DisplayText&gt;[21]&lt;/DisplayText&gt;&lt;record&gt;&lt;rec-number&gt;15&lt;/rec-number&gt;&lt;foreign-keys&gt;&lt;key app="EN" db-id="0x52t0fa5ezaf7e22eopzxaswfsaaaevpfzf" timestamp="1593152479"&gt;15&lt;/key&gt;&lt;/foreign-keys&gt;&lt;ref-type name="Journal Article"&gt;17&lt;/ref-type&gt;&lt;contributors&gt;&lt;authors&gt;&lt;author&gt;Marang-Van de Mheen, Perla J&lt;/author&gt;&lt;author&gt;Turner, Ellie Bragan&lt;/author&gt;&lt;author&gt;Liew, Susan&lt;/author&gt;&lt;author&gt;Mutalima, Nora&lt;/author&gt;&lt;author&gt;Tran, Ton&lt;/author&gt;&lt;author&gt;Rasmussen, Sten&lt;/author&gt;&lt;author&gt;Nelissen, Rob GHH&lt;/author&gt;&lt;author&gt;Gordon, Andrew&lt;/author&gt;&lt;/authors&gt;&lt;/contributors&gt;&lt;titles&gt;&lt;title&gt;Variation in Prosthetic Joint Infection and treatment strategies during 4.5 years of follow-up after primary joint arthroplasty using administrative data of 41397 patients across Australian, European and United States hospitals&lt;/title&gt;&lt;secondary-title&gt;BMC musculoskeletal disorders&lt;/secondary-title&gt;&lt;/titles&gt;&lt;periodical&gt;&lt;full-title&gt;BMC musculoskeletal disorders&lt;/full-title&gt;&lt;/periodical&gt;&lt;pages&gt;207&lt;/pages&gt;&lt;volume&gt;18&lt;/volume&gt;&lt;number&gt;1&lt;/number&gt;&lt;dates&gt;&lt;year&gt;2017&lt;/year&gt;&lt;/dates&gt;&lt;isbn&gt;1471-2474&lt;/isbn&gt;&lt;urls&gt;&lt;/urls&gt;&lt;/record&gt;&lt;/Cite&gt;&lt;/EndNote&gt;</w:instrText>
      </w:r>
      <w:r w:rsidR="00E32C95" w:rsidRPr="005C4EA9">
        <w:fldChar w:fldCharType="separate"/>
      </w:r>
      <w:r w:rsidR="00282F28" w:rsidRPr="005C4EA9">
        <w:rPr>
          <w:noProof/>
        </w:rPr>
        <w:t>[21]</w:t>
      </w:r>
      <w:r w:rsidR="00E32C95" w:rsidRPr="005C4EA9">
        <w:fldChar w:fldCharType="end"/>
      </w:r>
      <w:r w:rsidR="00E32C95" w:rsidRPr="005C4EA9">
        <w:t>.</w:t>
      </w:r>
      <w:r w:rsidR="006C40C9" w:rsidRPr="005C4EA9">
        <w:t xml:space="preserve"> However, the incidence rate for periprosthetic deep joint SSI</w:t>
      </w:r>
      <w:r w:rsidR="00DB4B10" w:rsidRPr="005C4EA9">
        <w:t xml:space="preserve"> only</w:t>
      </w:r>
      <w:r w:rsidR="006C40C9" w:rsidRPr="005C4EA9">
        <w:t xml:space="preserve"> could be much lower than 2%. A systematic review by Urquhart et al. (20</w:t>
      </w:r>
      <w:r w:rsidR="00DB4B10" w:rsidRPr="005C4EA9">
        <w:t>10</w:t>
      </w:r>
      <w:r w:rsidR="006C40C9" w:rsidRPr="005C4EA9">
        <w:t xml:space="preserve">) </w:t>
      </w:r>
      <w:r w:rsidR="00DB4B10" w:rsidRPr="005C4EA9">
        <w:t>reported</w:t>
      </w:r>
      <w:r w:rsidR="006C40C9" w:rsidRPr="005C4EA9">
        <w:t xml:space="preserve"> that the incidence of deep SSI following primary total hip arthroplasty ranged from 0.2% before discharge to 1.1%</w:t>
      </w:r>
      <w:r w:rsidR="003266C5" w:rsidRPr="005C4EA9">
        <w:t xml:space="preserve"> for the period up to and including five years post-surgery</w:t>
      </w:r>
      <w:r w:rsidR="00DB4B10" w:rsidRPr="005C4EA9">
        <w:t xml:space="preserve"> </w:t>
      </w:r>
      <w:r w:rsidR="00DB4B10" w:rsidRPr="005C4EA9">
        <w:fldChar w:fldCharType="begin"/>
      </w:r>
      <w:r w:rsidR="00282F28" w:rsidRPr="005C4EA9">
        <w:instrText xml:space="preserve"> ADDIN EN.CITE &lt;EndNote&gt;&lt;Cite&gt;&lt;Author&gt;Urquhart&lt;/Author&gt;&lt;Year&gt;2010&lt;/Year&gt;&lt;RecNum&gt;21&lt;/RecNum&gt;&lt;DisplayText&gt;[22]&lt;/DisplayText&gt;&lt;record&gt;&lt;rec-number&gt;21&lt;/rec-number&gt;&lt;foreign-keys&gt;&lt;key app="EN" db-id="0x52t0fa5ezaf7e22eopzxaswfsaaaevpfzf" timestamp="1594007383"&gt;21&lt;/key&gt;&lt;/foreign-keys&gt;&lt;ref-type name="Journal Article"&gt;17&lt;/ref-type&gt;&lt;contributors&gt;&lt;authors&gt;&lt;author&gt;Urquhart, Donna M&lt;/author&gt;&lt;author&gt;Hanna, Fahad S&lt;/author&gt;&lt;author&gt;Brennan, Sharon L&lt;/author&gt;&lt;author&gt;Wluka, Anita E&lt;/author&gt;&lt;author&gt;Leder, Karin&lt;/author&gt;&lt;author&gt;Cameron, Peter A&lt;/author&gt;&lt;author&gt;Graves, Stephen E&lt;/author&gt;&lt;author&gt;Cicuttini, Flavia M&lt;/author&gt;&lt;/authors&gt;&lt;/contributors&gt;&lt;titles&gt;&lt;title&gt;Incidence and risk factors for deep surgical site infection after primary total hip arthroplasty: a systematic review&lt;/title&gt;&lt;secondary-title&gt;The Journal of arthroplasty&lt;/secondary-title&gt;&lt;/titles&gt;&lt;periodical&gt;&lt;full-title&gt;The Journal of arthroplasty&lt;/full-title&gt;&lt;/periodical&gt;&lt;pages&gt;1216-1222. e3&lt;/pages&gt;&lt;volume&gt;25&lt;/volume&gt;&lt;number&gt;8&lt;/number&gt;&lt;dates&gt;&lt;year&gt;2010&lt;/year&gt;&lt;/dates&gt;&lt;isbn&gt;0883-5403&lt;/isbn&gt;&lt;urls&gt;&lt;/urls&gt;&lt;/record&gt;&lt;/Cite&gt;&lt;/EndNote&gt;</w:instrText>
      </w:r>
      <w:r w:rsidR="00DB4B10" w:rsidRPr="005C4EA9">
        <w:fldChar w:fldCharType="separate"/>
      </w:r>
      <w:r w:rsidR="00282F28" w:rsidRPr="005C4EA9">
        <w:rPr>
          <w:noProof/>
        </w:rPr>
        <w:t>[22]</w:t>
      </w:r>
      <w:r w:rsidR="00DB4B10" w:rsidRPr="005C4EA9">
        <w:fldChar w:fldCharType="end"/>
      </w:r>
      <w:r w:rsidR="003266C5" w:rsidRPr="005C4EA9">
        <w:t>.</w:t>
      </w:r>
    </w:p>
    <w:p w14:paraId="1021F21E" w14:textId="74652201" w:rsidR="003F0066" w:rsidRDefault="003F0066" w:rsidP="00026203">
      <w:pPr>
        <w:keepNext/>
        <w:rPr>
          <w:u w:val="single"/>
        </w:rPr>
      </w:pPr>
      <w:r w:rsidRPr="003F0066">
        <w:rPr>
          <w:u w:val="single"/>
        </w:rPr>
        <w:t>Utilisation estimates</w:t>
      </w:r>
    </w:p>
    <w:p w14:paraId="6DE37553" w14:textId="55288DA3" w:rsidR="0079455A" w:rsidRDefault="003F0066" w:rsidP="00DD4E12">
      <w:r w:rsidRPr="005C4EA9">
        <w:t xml:space="preserve">The </w:t>
      </w:r>
      <w:r w:rsidR="0038000B" w:rsidRPr="005C4EA9">
        <w:t>A</w:t>
      </w:r>
      <w:r w:rsidRPr="005C4EA9">
        <w:t xml:space="preserve">pplication </w:t>
      </w:r>
      <w:r w:rsidR="0038000B" w:rsidRPr="005C4EA9">
        <w:t xml:space="preserve">estimated </w:t>
      </w:r>
      <w:r w:rsidRPr="005C4EA9">
        <w:t xml:space="preserve">that less than 100 patients would utilise </w:t>
      </w:r>
      <w:r w:rsidR="00AF3399" w:rsidRPr="005C4EA9">
        <w:t>DAC 5ml kit</w:t>
      </w:r>
      <w:r w:rsidR="00DD4E12" w:rsidRPr="005C4EA9">
        <w:t xml:space="preserve"> </w:t>
      </w:r>
      <w:r w:rsidR="0038000B" w:rsidRPr="005C4EA9">
        <w:t xml:space="preserve">in </w:t>
      </w:r>
      <w:r w:rsidR="00DD4E12" w:rsidRPr="005C4EA9">
        <w:t>the first year</w:t>
      </w:r>
      <w:r w:rsidR="00612743" w:rsidRPr="005C4EA9">
        <w:t xml:space="preserve"> (p19 of the Application)</w:t>
      </w:r>
      <w:r w:rsidR="00AF3399" w:rsidRPr="005C4EA9">
        <w:t>. The</w:t>
      </w:r>
      <w:r w:rsidRPr="005C4EA9">
        <w:t xml:space="preserve"> </w:t>
      </w:r>
      <w:r w:rsidR="0038000B" w:rsidRPr="005C4EA9">
        <w:t>A</w:t>
      </w:r>
      <w:r w:rsidRPr="005C4EA9">
        <w:t xml:space="preserve">pplication </w:t>
      </w:r>
      <w:r w:rsidR="002448F7" w:rsidRPr="005C4EA9">
        <w:t>also mentioned</w:t>
      </w:r>
      <w:r w:rsidRPr="005C4EA9">
        <w:t xml:space="preserve"> that less than 500 patients were anticipated to utilise it over the </w:t>
      </w:r>
      <w:r w:rsidR="00AF3399" w:rsidRPr="005C4EA9">
        <w:t>next</w:t>
      </w:r>
      <w:r w:rsidRPr="005C4EA9">
        <w:t xml:space="preserve"> three years </w:t>
      </w:r>
      <w:r w:rsidR="00612743" w:rsidRPr="005C4EA9">
        <w:t>(p19 of the Application)</w:t>
      </w:r>
      <w:r w:rsidR="00CE3A49" w:rsidRPr="005C4EA9">
        <w:t>.</w:t>
      </w:r>
      <w:r w:rsidR="008A2B44" w:rsidRPr="005C4EA9">
        <w:t xml:space="preserve"> </w:t>
      </w:r>
      <w:r w:rsidR="000037EE" w:rsidRPr="005C4EA9">
        <w:t>The</w:t>
      </w:r>
      <w:r w:rsidR="00741D9D" w:rsidRPr="005C4EA9">
        <w:t>re</w:t>
      </w:r>
      <w:r w:rsidR="000037EE" w:rsidRPr="005C4EA9">
        <w:t xml:space="preserve"> is uncertainty regarding </w:t>
      </w:r>
      <w:r w:rsidR="00980E23" w:rsidRPr="005C4EA9">
        <w:t xml:space="preserve">which population among the 4 </w:t>
      </w:r>
      <w:r w:rsidR="00CA7897">
        <w:t>a</w:t>
      </w:r>
      <w:r w:rsidR="000037EE" w:rsidRPr="005C4EA9">
        <w:t xml:space="preserve">pplicant nominated surgical populations would be </w:t>
      </w:r>
      <w:r w:rsidR="00741D9D" w:rsidRPr="005C4EA9">
        <w:t>the largest</w:t>
      </w:r>
      <w:r w:rsidR="001658DF" w:rsidRPr="005C4EA9">
        <w:t>.</w:t>
      </w:r>
      <w:r w:rsidR="000037EE" w:rsidRPr="005C4EA9">
        <w:t xml:space="preserve"> </w:t>
      </w:r>
      <w:r w:rsidR="00DD4E12" w:rsidRPr="005C4EA9">
        <w:t xml:space="preserve">During the preparation of the PICO, the </w:t>
      </w:r>
      <w:r w:rsidR="00CA7897">
        <w:t>a</w:t>
      </w:r>
      <w:r w:rsidR="0038000B" w:rsidRPr="005C4EA9">
        <w:t>pplicant</w:t>
      </w:r>
      <w:r w:rsidR="00DD4E12" w:rsidRPr="005C4EA9">
        <w:t xml:space="preserve"> indicated that the</w:t>
      </w:r>
      <w:r w:rsidR="0038000B" w:rsidRPr="005C4EA9">
        <w:t xml:space="preserve"> estimated</w:t>
      </w:r>
      <w:r w:rsidR="00DD4E12" w:rsidRPr="005C4EA9">
        <w:t xml:space="preserve"> number of patients utilising DAC 5ml kit (initial and three years following the initial year) </w:t>
      </w:r>
      <w:r w:rsidR="0038000B" w:rsidRPr="005C4EA9">
        <w:t xml:space="preserve">in Australia </w:t>
      </w:r>
      <w:r w:rsidR="00DD4E12" w:rsidRPr="005C4EA9">
        <w:t>was based on</w:t>
      </w:r>
      <w:r w:rsidR="0038000B" w:rsidRPr="005C4EA9">
        <w:t xml:space="preserve"> the rates of uptake of DAC</w:t>
      </w:r>
      <w:r w:rsidR="00DD4E12" w:rsidRPr="005C4EA9">
        <w:t xml:space="preserve"> in</w:t>
      </w:r>
      <w:r w:rsidR="0038000B" w:rsidRPr="005C4EA9">
        <w:t xml:space="preserve"> the European Union</w:t>
      </w:r>
      <w:r w:rsidR="00DD4E12" w:rsidRPr="005C4EA9">
        <w:t xml:space="preserve">. The </w:t>
      </w:r>
      <w:r w:rsidR="00CA7897">
        <w:t>a</w:t>
      </w:r>
      <w:r w:rsidR="0038000B" w:rsidRPr="005C4EA9">
        <w:t>pplicant</w:t>
      </w:r>
      <w:r w:rsidR="00DD4E12" w:rsidRPr="005C4EA9">
        <w:t xml:space="preserve"> also indicated that the utilisation pattern in Australia would be similar to the one in </w:t>
      </w:r>
      <w:r w:rsidR="0038000B" w:rsidRPr="005C4EA9">
        <w:t>European Union</w:t>
      </w:r>
      <w:r w:rsidR="00DD4E12" w:rsidRPr="005C4EA9">
        <w:t>.</w:t>
      </w:r>
      <w:r w:rsidR="00B21B50" w:rsidRPr="005C4EA9">
        <w:t xml:space="preserve"> </w:t>
      </w:r>
      <w:r w:rsidR="00185363" w:rsidRPr="005C4EA9">
        <w:t xml:space="preserve">The </w:t>
      </w:r>
      <w:r w:rsidR="00CA7897">
        <w:t>a</w:t>
      </w:r>
      <w:r w:rsidR="0038000B" w:rsidRPr="005C4EA9">
        <w:t>pplicant</w:t>
      </w:r>
      <w:r w:rsidR="00185363" w:rsidRPr="005C4EA9">
        <w:t xml:space="preserve"> should provide relevant references to </w:t>
      </w:r>
      <w:r w:rsidR="00603488" w:rsidRPr="005C4EA9">
        <w:t>support</w:t>
      </w:r>
      <w:r w:rsidR="00185363" w:rsidRPr="005C4EA9">
        <w:t xml:space="preserve"> these</w:t>
      </w:r>
      <w:r w:rsidR="00B21B50" w:rsidRPr="005C4EA9">
        <w:t xml:space="preserve"> </w:t>
      </w:r>
      <w:r w:rsidR="001D2489" w:rsidRPr="005C4EA9">
        <w:t>claims</w:t>
      </w:r>
      <w:r w:rsidR="00B21B50" w:rsidRPr="005C4EA9">
        <w:t>.</w:t>
      </w:r>
    </w:p>
    <w:p w14:paraId="1676301F" w14:textId="09EFC9B6" w:rsidR="00DD4E12" w:rsidRDefault="00242B7E" w:rsidP="00DD4E12">
      <w:pPr>
        <w:rPr>
          <w:i/>
        </w:rPr>
      </w:pPr>
      <w:r w:rsidRPr="00242B7E">
        <w:rPr>
          <w:i/>
        </w:rPr>
        <w:t>PASC considered that the applicant’s estimate of the size of the proposed population and sizes of subpopulations was uncertain and needed to be clarified in the assessment phase. This uncertainty in part was related to the broadly defined patient populations, in particular population 1, which could have a potentially large eligible population given the large numbers (~80%) of total knee joint replacements and total hip replacements performed on the MBS (see Table 1). PASC noted the applicant’s advice indicating that the infection rate for population 1 would be approximately 1% for all comers.</w:t>
      </w:r>
    </w:p>
    <w:p w14:paraId="4F1A08C8" w14:textId="72F50EC3" w:rsidR="00BF514D" w:rsidRPr="00BF514D" w:rsidRDefault="00BF514D" w:rsidP="00DD4E12">
      <w:pPr>
        <w:rPr>
          <w:i/>
        </w:rPr>
      </w:pPr>
      <w:r>
        <w:rPr>
          <w:i/>
        </w:rPr>
        <w:t xml:space="preserve">In its response, the applicant considered the primary population size could be further defined by the </w:t>
      </w:r>
      <w:r w:rsidR="00225726" w:rsidRPr="00C0594C">
        <w:rPr>
          <w:i/>
          <w:lang w:val="en-GB" w:eastAsia="ja-JP"/>
        </w:rPr>
        <w:t xml:space="preserve">Australian Orthopaedic Association National Joint Replacement Registry </w:t>
      </w:r>
      <w:r w:rsidR="00225726">
        <w:rPr>
          <w:i/>
          <w:lang w:val="en-GB" w:eastAsia="ja-JP"/>
        </w:rPr>
        <w:t>(</w:t>
      </w:r>
      <w:r>
        <w:rPr>
          <w:i/>
        </w:rPr>
        <w:t>AOANJRR</w:t>
      </w:r>
      <w:r w:rsidR="00225726">
        <w:rPr>
          <w:i/>
        </w:rPr>
        <w:t>)</w:t>
      </w:r>
      <w:r>
        <w:rPr>
          <w:i/>
        </w:rPr>
        <w:t xml:space="preserve">. The applicant noted that in the primary joint population, DAC is only compatible with cementless or hybrid fixation components. The applicant considered this was relevant </w:t>
      </w:r>
      <w:r>
        <w:rPr>
          <w:i/>
        </w:rPr>
        <w:lastRenderedPageBreak/>
        <w:t xml:space="preserve">as over 70% of primary knee replacements are fully cemented and therefore would not be indicated for DAC. </w:t>
      </w:r>
      <w:r w:rsidRPr="00BF514D">
        <w:rPr>
          <w:i/>
          <w:color w:val="000000" w:themeColor="text1"/>
        </w:rPr>
        <w:t>Additionally, The AOANJRR reported approximately 36% and 38% of primary total hip and total knee implant patients have an ASA score of 3 or higher. Similarly the BMI &gt; 30 segment of the total hip and total knee population is only 39% and 58% respectively</w:t>
      </w:r>
      <w:r>
        <w:rPr>
          <w:i/>
          <w:color w:val="000000" w:themeColor="text1"/>
        </w:rPr>
        <w:t>. This would be relevant to the estimates</w:t>
      </w:r>
      <w:r w:rsidR="000F5513">
        <w:rPr>
          <w:i/>
          <w:color w:val="000000" w:themeColor="text1"/>
        </w:rPr>
        <w:t>,</w:t>
      </w:r>
      <w:r>
        <w:rPr>
          <w:i/>
          <w:color w:val="000000" w:themeColor="text1"/>
        </w:rPr>
        <w:t xml:space="preserve"> if</w:t>
      </w:r>
      <w:r w:rsidR="00C21ACC">
        <w:rPr>
          <w:i/>
          <w:color w:val="000000" w:themeColor="text1"/>
        </w:rPr>
        <w:t xml:space="preserve"> as proposed by the applicant (</w:t>
      </w:r>
      <w:r w:rsidR="00C21ACC" w:rsidRPr="000F5513">
        <w:rPr>
          <w:i/>
          <w:color w:val="000000" w:themeColor="text1"/>
        </w:rPr>
        <w:t xml:space="preserve">see page </w:t>
      </w:r>
      <w:r w:rsidR="000F5513">
        <w:rPr>
          <w:i/>
          <w:color w:val="000000" w:themeColor="text1"/>
        </w:rPr>
        <w:t>10</w:t>
      </w:r>
      <w:r w:rsidR="00C21ACC">
        <w:rPr>
          <w:i/>
          <w:color w:val="000000" w:themeColor="text1"/>
        </w:rPr>
        <w:t>)</w:t>
      </w:r>
      <w:r w:rsidR="000F5513">
        <w:rPr>
          <w:i/>
          <w:color w:val="000000" w:themeColor="text1"/>
        </w:rPr>
        <w:t>,</w:t>
      </w:r>
      <w:r>
        <w:rPr>
          <w:i/>
          <w:color w:val="000000" w:themeColor="text1"/>
        </w:rPr>
        <w:t xml:space="preserve"> eligibility for DAC was limited to patients with an ASA score o</w:t>
      </w:r>
      <w:r w:rsidR="00C21ACC">
        <w:rPr>
          <w:i/>
          <w:color w:val="000000" w:themeColor="text1"/>
        </w:rPr>
        <w:t>f 3 or above and Obese Class 1. The applicant noted that if all three criteria would need to be met for DAC to be used, the eligible primary joint population is likely to be 10% of the overall population.</w:t>
      </w:r>
    </w:p>
    <w:p w14:paraId="32E0738F" w14:textId="2A78952E" w:rsidR="00CE3A49" w:rsidRPr="00AD75D7" w:rsidRDefault="00DD4E12" w:rsidP="003F0066">
      <w:pPr>
        <w:rPr>
          <w:i/>
        </w:rPr>
      </w:pPr>
      <w:r w:rsidRPr="005C4EA9">
        <w:t>Since t</w:t>
      </w:r>
      <w:r w:rsidR="00CE3A49" w:rsidRPr="005C4EA9">
        <w:t xml:space="preserve">he </w:t>
      </w:r>
      <w:r w:rsidR="0038000B" w:rsidRPr="005C4EA9">
        <w:t>Application</w:t>
      </w:r>
      <w:r w:rsidR="00CE3A49" w:rsidRPr="005C4EA9">
        <w:t xml:space="preserve"> did not present an epidemiological approach estimating the expected utilisation of</w:t>
      </w:r>
      <w:r w:rsidR="0038000B" w:rsidRPr="005C4EA9">
        <w:t xml:space="preserve"> the</w:t>
      </w:r>
      <w:r w:rsidR="00CE3A49" w:rsidRPr="005C4EA9">
        <w:t xml:space="preserve"> DAC 5ml</w:t>
      </w:r>
      <w:r w:rsidRPr="005C4EA9">
        <w:t xml:space="preserve"> kit over the next three years, </w:t>
      </w:r>
      <w:r w:rsidR="00603488" w:rsidRPr="005C4EA9">
        <w:t xml:space="preserve">the size of the eligible patient population </w:t>
      </w:r>
      <w:r w:rsidR="00184C9E" w:rsidRPr="005C4EA9">
        <w:t xml:space="preserve">between 2016 and 2019 </w:t>
      </w:r>
      <w:r w:rsidR="00603488" w:rsidRPr="005C4EA9">
        <w:t xml:space="preserve">was </w:t>
      </w:r>
      <w:r w:rsidR="003264E6" w:rsidRPr="005C4EA9">
        <w:t xml:space="preserve">investigated </w:t>
      </w:r>
      <w:r w:rsidR="00184C9E" w:rsidRPr="005C4EA9">
        <w:t>using</w:t>
      </w:r>
      <w:r w:rsidR="00AF3399" w:rsidRPr="005C4EA9">
        <w:t xml:space="preserve"> MBS items </w:t>
      </w:r>
      <w:r w:rsidR="00B21B50" w:rsidRPr="005C4EA9">
        <w:t>provided</w:t>
      </w:r>
      <w:r w:rsidR="00AF3399" w:rsidRPr="005C4EA9">
        <w:t xml:space="preserve"> in the </w:t>
      </w:r>
      <w:r w:rsidR="0038000B" w:rsidRPr="005C4EA9">
        <w:t>Application</w:t>
      </w:r>
      <w:r w:rsidR="001D2489" w:rsidRPr="005C4EA9">
        <w:t xml:space="preserve"> year</w:t>
      </w:r>
      <w:r w:rsidR="00552852" w:rsidRPr="005C4EA9">
        <w:t xml:space="preserve"> (Table 1)</w:t>
      </w:r>
      <w:r w:rsidR="001D2489" w:rsidRPr="005C4EA9">
        <w:t>.</w:t>
      </w:r>
      <w:r w:rsidR="00AF3399" w:rsidRPr="005C4EA9">
        <w:t xml:space="preserve"> </w:t>
      </w:r>
      <w:r w:rsidR="00552852" w:rsidRPr="005C4EA9">
        <w:t>The</w:t>
      </w:r>
      <w:r w:rsidR="00552852">
        <w:t xml:space="preserve"> Application provided the following 19 MBS item numbers: </w:t>
      </w:r>
      <w:r w:rsidR="00552852">
        <w:rPr>
          <w:szCs w:val="20"/>
        </w:rPr>
        <w:t>49318, 49319, 49324, 49327, 49330, 49333, 49336, 49346, 49509, 49512, 49517, 49518, 49527, 49530, 49533, 50215, 50218, 50224, 50227 (p17 of the Application)</w:t>
      </w:r>
      <w:r w:rsidR="00874A5A">
        <w:rPr>
          <w:szCs w:val="20"/>
        </w:rPr>
        <w:t>.</w:t>
      </w:r>
      <w:r w:rsidR="00552852">
        <w:rPr>
          <w:szCs w:val="20"/>
        </w:rPr>
        <w:t xml:space="preserve"> The eligible patients for DAC</w:t>
      </w:r>
      <w:r w:rsidR="003264E6">
        <w:rPr>
          <w:szCs w:val="20"/>
        </w:rPr>
        <w:t xml:space="preserve"> could be considered to be </w:t>
      </w:r>
      <w:r w:rsidR="00CA7D1E">
        <w:rPr>
          <w:szCs w:val="20"/>
        </w:rPr>
        <w:t xml:space="preserve">those who access one of the 19 </w:t>
      </w:r>
      <w:r w:rsidR="00CA7D1E" w:rsidRPr="00CA7D1E">
        <w:rPr>
          <w:szCs w:val="20"/>
        </w:rPr>
        <w:t>MBS-subsidised services</w:t>
      </w:r>
      <w:r w:rsidR="003264E6">
        <w:rPr>
          <w:szCs w:val="20"/>
        </w:rPr>
        <w:t xml:space="preserve"> for orthopaedic </w:t>
      </w:r>
      <w:r w:rsidR="008A2B44">
        <w:rPr>
          <w:szCs w:val="20"/>
        </w:rPr>
        <w:t xml:space="preserve">surgical procedures </w:t>
      </w:r>
      <w:r w:rsidR="00464EAB">
        <w:rPr>
          <w:szCs w:val="20"/>
        </w:rPr>
        <w:t>(</w:t>
      </w:r>
      <w:r w:rsidR="003264E6">
        <w:rPr>
          <w:szCs w:val="20"/>
        </w:rPr>
        <w:t>hip, knee arthroplasty procedures, and orthopaedic procedures f</w:t>
      </w:r>
      <w:r w:rsidR="00464EAB">
        <w:rPr>
          <w:szCs w:val="20"/>
        </w:rPr>
        <w:t>or tumour indications</w:t>
      </w:r>
      <w:r w:rsidR="003264E6">
        <w:rPr>
          <w:szCs w:val="20"/>
        </w:rPr>
        <w:t>)</w:t>
      </w:r>
      <w:r w:rsidR="00464EAB">
        <w:rPr>
          <w:szCs w:val="20"/>
        </w:rPr>
        <w:t>,</w:t>
      </w:r>
      <w:r w:rsidR="003264E6">
        <w:rPr>
          <w:szCs w:val="20"/>
        </w:rPr>
        <w:t xml:space="preserve"> </w:t>
      </w:r>
      <w:r w:rsidR="00CA7D1E">
        <w:rPr>
          <w:szCs w:val="20"/>
        </w:rPr>
        <w:t xml:space="preserve">and </w:t>
      </w:r>
      <w:r w:rsidR="00184C9E">
        <w:rPr>
          <w:szCs w:val="20"/>
        </w:rPr>
        <w:t xml:space="preserve">at risk of </w:t>
      </w:r>
      <w:r w:rsidR="00CA7D1E">
        <w:rPr>
          <w:szCs w:val="20"/>
        </w:rPr>
        <w:t>develop</w:t>
      </w:r>
      <w:r w:rsidR="00184C9E">
        <w:rPr>
          <w:szCs w:val="20"/>
        </w:rPr>
        <w:t>ing</w:t>
      </w:r>
      <w:r w:rsidR="00CA7D1E">
        <w:rPr>
          <w:szCs w:val="20"/>
        </w:rPr>
        <w:t xml:space="preserve"> deep SSI.</w:t>
      </w:r>
    </w:p>
    <w:p w14:paraId="2452CE1B" w14:textId="0C3A999E" w:rsidR="00CE3A49" w:rsidRDefault="00CE3A49" w:rsidP="00CE3A49">
      <w:pPr>
        <w:pStyle w:val="Caption"/>
      </w:pPr>
      <w:bookmarkStart w:id="3" w:name="_Ref45865307"/>
      <w:r>
        <w:t xml:space="preserve">Table </w:t>
      </w:r>
      <w:r w:rsidR="003E577A">
        <w:fldChar w:fldCharType="begin"/>
      </w:r>
      <w:r w:rsidR="003E577A">
        <w:instrText xml:space="preserve"> SEQ Table \* ARABIC </w:instrText>
      </w:r>
      <w:r w:rsidR="003E577A">
        <w:fldChar w:fldCharType="separate"/>
      </w:r>
      <w:r w:rsidR="003E577A">
        <w:rPr>
          <w:noProof/>
        </w:rPr>
        <w:t>1</w:t>
      </w:r>
      <w:r w:rsidR="003E577A">
        <w:fldChar w:fldCharType="end"/>
      </w:r>
      <w:bookmarkEnd w:id="3"/>
      <w:r>
        <w:t xml:space="preserve">: </w:t>
      </w:r>
      <w:r w:rsidR="003264E6">
        <w:t xml:space="preserve">MBS Utilisation of 19 MBS items provided in the application form </w:t>
      </w:r>
      <w:r>
        <w:t xml:space="preserve">over </w:t>
      </w:r>
      <w:r w:rsidR="002C4485">
        <w:t>2016-</w:t>
      </w:r>
      <w:r w:rsidR="00551D46">
        <w:t>1</w:t>
      </w:r>
      <w:r w:rsidR="002C4485">
        <w:t>9</w:t>
      </w:r>
    </w:p>
    <w:tbl>
      <w:tblPr>
        <w:tblpPr w:leftFromText="180" w:rightFromText="180" w:vertAnchor="text" w:tblpY="1"/>
        <w:tblOverlap w:val="never"/>
        <w:tblW w:w="5000" w:type="pct"/>
        <w:tblLayout w:type="fixed"/>
        <w:tblLook w:val="04A0" w:firstRow="1" w:lastRow="0" w:firstColumn="1" w:lastColumn="0" w:noHBand="0" w:noVBand="1"/>
      </w:tblPr>
      <w:tblGrid>
        <w:gridCol w:w="875"/>
        <w:gridCol w:w="5642"/>
        <w:gridCol w:w="849"/>
        <w:gridCol w:w="849"/>
        <w:gridCol w:w="801"/>
      </w:tblGrid>
      <w:tr w:rsidR="00552852" w:rsidRPr="001A7A3D" w14:paraId="4A7AF8E9" w14:textId="77777777" w:rsidTr="00AD75D7">
        <w:trPr>
          <w:trHeight w:val="450"/>
          <w:tblHeader/>
        </w:trPr>
        <w:tc>
          <w:tcPr>
            <w:tcW w:w="485" w:type="pct"/>
            <w:tcBorders>
              <w:top w:val="single" w:sz="4" w:space="0" w:color="auto"/>
              <w:left w:val="single" w:sz="4" w:space="0" w:color="auto"/>
              <w:right w:val="single" w:sz="4" w:space="0" w:color="auto"/>
            </w:tcBorders>
            <w:shd w:val="clear" w:color="auto" w:fill="auto"/>
            <w:vAlign w:val="center"/>
            <w:hideMark/>
          </w:tcPr>
          <w:p w14:paraId="03A225BD" w14:textId="77777777" w:rsidR="00552852" w:rsidRPr="00646203" w:rsidRDefault="00552852" w:rsidP="00C56066">
            <w:pPr>
              <w:spacing w:after="0" w:line="240" w:lineRule="auto"/>
              <w:ind w:right="-86"/>
              <w:jc w:val="center"/>
              <w:rPr>
                <w:rFonts w:eastAsia="Times New Roman" w:cs="Calibri"/>
                <w:b/>
                <w:bCs/>
                <w:color w:val="000000"/>
                <w:sz w:val="20"/>
                <w:szCs w:val="20"/>
                <w:lang w:eastAsia="en-AU"/>
              </w:rPr>
            </w:pPr>
            <w:r w:rsidRPr="00646203">
              <w:rPr>
                <w:rFonts w:eastAsia="Times New Roman" w:cs="Calibri"/>
                <w:b/>
                <w:bCs/>
                <w:color w:val="000000"/>
                <w:sz w:val="20"/>
                <w:szCs w:val="20"/>
                <w:lang w:eastAsia="en-AU"/>
              </w:rPr>
              <w:t>MBS item</w:t>
            </w:r>
          </w:p>
        </w:tc>
        <w:tc>
          <w:tcPr>
            <w:tcW w:w="3129" w:type="pct"/>
            <w:tcBorders>
              <w:top w:val="single" w:sz="4" w:space="0" w:color="auto"/>
              <w:left w:val="nil"/>
              <w:right w:val="single" w:sz="4" w:space="0" w:color="auto"/>
            </w:tcBorders>
            <w:shd w:val="clear" w:color="auto" w:fill="auto"/>
            <w:vAlign w:val="center"/>
            <w:hideMark/>
          </w:tcPr>
          <w:p w14:paraId="78608143" w14:textId="77777777" w:rsidR="00552852" w:rsidRPr="001A7A3D" w:rsidRDefault="00552852" w:rsidP="00C56066">
            <w:pPr>
              <w:spacing w:after="0" w:line="240" w:lineRule="auto"/>
              <w:jc w:val="center"/>
              <w:rPr>
                <w:rFonts w:eastAsia="Times New Roman" w:cs="Calibri"/>
                <w:b/>
                <w:bCs/>
                <w:color w:val="000000"/>
                <w:sz w:val="20"/>
                <w:szCs w:val="20"/>
                <w:lang w:eastAsia="en-AU"/>
              </w:rPr>
            </w:pPr>
            <w:r w:rsidRPr="001A7A3D">
              <w:rPr>
                <w:rFonts w:eastAsia="Times New Roman" w:cs="Calibri"/>
                <w:b/>
                <w:bCs/>
                <w:color w:val="000000"/>
                <w:sz w:val="20"/>
                <w:szCs w:val="20"/>
                <w:lang w:eastAsia="en-AU"/>
              </w:rPr>
              <w:t>Description</w:t>
            </w:r>
          </w:p>
          <w:p w14:paraId="7E8E740F" w14:textId="1C8AC80A" w:rsidR="00552852" w:rsidRPr="001A7A3D" w:rsidRDefault="00552852" w:rsidP="00C56066">
            <w:pPr>
              <w:spacing w:after="0" w:line="240" w:lineRule="auto"/>
              <w:jc w:val="center"/>
              <w:rPr>
                <w:rFonts w:eastAsia="Times New Roman" w:cs="Calibri"/>
                <w:b/>
                <w:bCs/>
                <w:color w:val="000000"/>
                <w:sz w:val="20"/>
                <w:szCs w:val="20"/>
                <w:lang w:eastAsia="en-AU"/>
              </w:rPr>
            </w:pPr>
          </w:p>
        </w:tc>
        <w:tc>
          <w:tcPr>
            <w:tcW w:w="1386" w:type="pct"/>
            <w:gridSpan w:val="3"/>
            <w:tcBorders>
              <w:top w:val="single" w:sz="4" w:space="0" w:color="auto"/>
              <w:left w:val="nil"/>
              <w:bottom w:val="single" w:sz="4" w:space="0" w:color="auto"/>
              <w:right w:val="single" w:sz="4" w:space="0" w:color="auto"/>
            </w:tcBorders>
            <w:shd w:val="clear" w:color="auto" w:fill="auto"/>
            <w:vAlign w:val="center"/>
            <w:hideMark/>
          </w:tcPr>
          <w:p w14:paraId="3A0770B1" w14:textId="426DD2FB" w:rsidR="00552852" w:rsidRPr="001A7A3D" w:rsidRDefault="00552852" w:rsidP="00551D46">
            <w:pPr>
              <w:spacing w:after="0" w:line="240" w:lineRule="auto"/>
              <w:jc w:val="center"/>
              <w:rPr>
                <w:rFonts w:eastAsia="Times New Roman" w:cs="Calibri"/>
                <w:b/>
                <w:bCs/>
                <w:color w:val="000000"/>
                <w:sz w:val="20"/>
                <w:szCs w:val="20"/>
                <w:lang w:eastAsia="en-AU"/>
              </w:rPr>
            </w:pPr>
            <w:r w:rsidRPr="001A7A3D">
              <w:rPr>
                <w:rFonts w:eastAsia="Times New Roman" w:cs="Calibri"/>
                <w:b/>
                <w:bCs/>
                <w:color w:val="000000"/>
                <w:sz w:val="20"/>
                <w:szCs w:val="20"/>
                <w:lang w:eastAsia="en-AU"/>
              </w:rPr>
              <w:t>Number of services</w:t>
            </w:r>
            <w:r>
              <w:rPr>
                <w:rFonts w:eastAsia="Times New Roman" w:cs="Calibri"/>
                <w:b/>
                <w:bCs/>
                <w:color w:val="000000"/>
                <w:sz w:val="20"/>
                <w:szCs w:val="20"/>
                <w:lang w:eastAsia="en-AU"/>
              </w:rPr>
              <w:t xml:space="preserve"> used</w:t>
            </w:r>
            <w:r w:rsidRPr="001A7A3D">
              <w:rPr>
                <w:rFonts w:eastAsia="Times New Roman" w:cs="Calibri"/>
                <w:b/>
                <w:bCs/>
                <w:color w:val="000000"/>
                <w:sz w:val="20"/>
                <w:szCs w:val="20"/>
                <w:lang w:eastAsia="en-AU"/>
              </w:rPr>
              <w:t xml:space="preserve"> in each financial year</w:t>
            </w:r>
          </w:p>
        </w:tc>
      </w:tr>
      <w:tr w:rsidR="00552852" w:rsidRPr="001A7A3D" w14:paraId="768B0BBF" w14:textId="77777777" w:rsidTr="00AD75D7">
        <w:trPr>
          <w:trHeight w:val="520"/>
          <w:tblHeader/>
        </w:trPr>
        <w:tc>
          <w:tcPr>
            <w:tcW w:w="485" w:type="pct"/>
            <w:tcBorders>
              <w:left w:val="single" w:sz="4" w:space="0" w:color="auto"/>
              <w:bottom w:val="single" w:sz="4" w:space="0" w:color="auto"/>
              <w:right w:val="single" w:sz="4" w:space="0" w:color="auto"/>
            </w:tcBorders>
            <w:shd w:val="clear" w:color="auto" w:fill="auto"/>
            <w:vAlign w:val="center"/>
            <w:hideMark/>
          </w:tcPr>
          <w:p w14:paraId="6AABEED7" w14:textId="77777777" w:rsidR="00552852" w:rsidRPr="00646203" w:rsidRDefault="00552852" w:rsidP="00551D46">
            <w:pPr>
              <w:spacing w:after="0" w:line="240" w:lineRule="auto"/>
              <w:rPr>
                <w:rFonts w:eastAsia="Times New Roman" w:cs="Calibri"/>
                <w:bCs/>
                <w:color w:val="000000"/>
                <w:sz w:val="20"/>
                <w:szCs w:val="20"/>
                <w:lang w:eastAsia="en-AU"/>
              </w:rPr>
            </w:pPr>
          </w:p>
        </w:tc>
        <w:tc>
          <w:tcPr>
            <w:tcW w:w="3129" w:type="pct"/>
            <w:tcBorders>
              <w:left w:val="nil"/>
              <w:bottom w:val="single" w:sz="4" w:space="0" w:color="auto"/>
              <w:right w:val="single" w:sz="4" w:space="0" w:color="auto"/>
            </w:tcBorders>
            <w:shd w:val="clear" w:color="auto" w:fill="auto"/>
            <w:vAlign w:val="center"/>
            <w:hideMark/>
          </w:tcPr>
          <w:p w14:paraId="60F69308" w14:textId="11836258" w:rsidR="00552852" w:rsidRPr="001A7A3D" w:rsidRDefault="00552852" w:rsidP="00551D46">
            <w:pPr>
              <w:spacing w:after="0" w:line="240" w:lineRule="auto"/>
              <w:rPr>
                <w:rFonts w:eastAsia="Times New Roman" w:cs="Calibri"/>
                <w:b/>
                <w:bCs/>
                <w:color w:val="000000"/>
                <w:sz w:val="20"/>
                <w:szCs w:val="20"/>
                <w:lang w:eastAsia="en-AU"/>
              </w:rPr>
            </w:pPr>
          </w:p>
        </w:tc>
        <w:tc>
          <w:tcPr>
            <w:tcW w:w="471" w:type="pct"/>
            <w:tcBorders>
              <w:top w:val="nil"/>
              <w:left w:val="nil"/>
              <w:bottom w:val="single" w:sz="4" w:space="0" w:color="auto"/>
              <w:right w:val="single" w:sz="4" w:space="0" w:color="auto"/>
            </w:tcBorders>
            <w:shd w:val="clear" w:color="auto" w:fill="auto"/>
            <w:vAlign w:val="center"/>
            <w:hideMark/>
          </w:tcPr>
          <w:p w14:paraId="5B1F9744" w14:textId="77777777" w:rsidR="00552852" w:rsidRDefault="00552852" w:rsidP="00551D46">
            <w:pPr>
              <w:spacing w:after="0" w:line="240" w:lineRule="auto"/>
              <w:jc w:val="center"/>
              <w:rPr>
                <w:rFonts w:eastAsia="Times New Roman" w:cs="Calibri"/>
                <w:b/>
                <w:bCs/>
                <w:color w:val="000000"/>
                <w:sz w:val="20"/>
                <w:szCs w:val="20"/>
                <w:lang w:eastAsia="en-AU"/>
              </w:rPr>
            </w:pPr>
            <w:r w:rsidRPr="001A7A3D">
              <w:rPr>
                <w:rFonts w:eastAsia="Times New Roman" w:cs="Calibri"/>
                <w:b/>
                <w:bCs/>
                <w:color w:val="000000"/>
                <w:sz w:val="20"/>
                <w:szCs w:val="20"/>
                <w:lang w:eastAsia="en-AU"/>
              </w:rPr>
              <w:t>2016/</w:t>
            </w:r>
          </w:p>
          <w:p w14:paraId="6E738D71" w14:textId="44FA8DD2" w:rsidR="00552852" w:rsidRPr="001A7A3D" w:rsidRDefault="00552852" w:rsidP="00551D46">
            <w:pPr>
              <w:spacing w:after="0" w:line="240" w:lineRule="auto"/>
              <w:jc w:val="center"/>
              <w:rPr>
                <w:rFonts w:eastAsia="Times New Roman" w:cs="Calibri"/>
                <w:b/>
                <w:bCs/>
                <w:color w:val="000000"/>
                <w:sz w:val="20"/>
                <w:szCs w:val="20"/>
                <w:lang w:eastAsia="en-AU"/>
              </w:rPr>
            </w:pPr>
            <w:r w:rsidRPr="001A7A3D">
              <w:rPr>
                <w:rFonts w:eastAsia="Times New Roman" w:cs="Calibri"/>
                <w:b/>
                <w:bCs/>
                <w:color w:val="000000"/>
                <w:sz w:val="20"/>
                <w:szCs w:val="20"/>
                <w:lang w:eastAsia="en-AU"/>
              </w:rPr>
              <w:t>2017</w:t>
            </w:r>
          </w:p>
        </w:tc>
        <w:tc>
          <w:tcPr>
            <w:tcW w:w="471" w:type="pct"/>
            <w:tcBorders>
              <w:top w:val="nil"/>
              <w:left w:val="nil"/>
              <w:bottom w:val="single" w:sz="4" w:space="0" w:color="auto"/>
              <w:right w:val="single" w:sz="4" w:space="0" w:color="auto"/>
            </w:tcBorders>
            <w:shd w:val="clear" w:color="auto" w:fill="auto"/>
            <w:vAlign w:val="center"/>
            <w:hideMark/>
          </w:tcPr>
          <w:p w14:paraId="0F13F98E" w14:textId="77777777" w:rsidR="00552852" w:rsidRDefault="00552852" w:rsidP="00551D46">
            <w:pPr>
              <w:spacing w:after="0" w:line="240" w:lineRule="auto"/>
              <w:jc w:val="center"/>
              <w:rPr>
                <w:rFonts w:eastAsia="Times New Roman" w:cs="Calibri"/>
                <w:b/>
                <w:bCs/>
                <w:color w:val="000000"/>
                <w:sz w:val="20"/>
                <w:szCs w:val="20"/>
                <w:lang w:eastAsia="en-AU"/>
              </w:rPr>
            </w:pPr>
            <w:r w:rsidRPr="001A7A3D">
              <w:rPr>
                <w:rFonts w:eastAsia="Times New Roman" w:cs="Calibri"/>
                <w:b/>
                <w:bCs/>
                <w:color w:val="000000"/>
                <w:sz w:val="20"/>
                <w:szCs w:val="20"/>
                <w:lang w:eastAsia="en-AU"/>
              </w:rPr>
              <w:t>2017/</w:t>
            </w:r>
          </w:p>
          <w:p w14:paraId="62062BB3" w14:textId="5C8C57DF" w:rsidR="00552852" w:rsidRPr="001A7A3D" w:rsidRDefault="00552852" w:rsidP="00551D46">
            <w:pPr>
              <w:spacing w:after="0" w:line="240" w:lineRule="auto"/>
              <w:jc w:val="center"/>
              <w:rPr>
                <w:rFonts w:eastAsia="Times New Roman" w:cs="Calibri"/>
                <w:b/>
                <w:bCs/>
                <w:color w:val="000000"/>
                <w:sz w:val="20"/>
                <w:szCs w:val="20"/>
                <w:lang w:eastAsia="en-AU"/>
              </w:rPr>
            </w:pPr>
            <w:r w:rsidRPr="001A7A3D">
              <w:rPr>
                <w:rFonts w:eastAsia="Times New Roman" w:cs="Calibri"/>
                <w:b/>
                <w:bCs/>
                <w:color w:val="000000"/>
                <w:sz w:val="20"/>
                <w:szCs w:val="20"/>
                <w:lang w:eastAsia="en-AU"/>
              </w:rPr>
              <w:t>2018</w:t>
            </w:r>
          </w:p>
        </w:tc>
        <w:tc>
          <w:tcPr>
            <w:tcW w:w="444" w:type="pct"/>
            <w:tcBorders>
              <w:top w:val="nil"/>
              <w:left w:val="nil"/>
              <w:bottom w:val="single" w:sz="4" w:space="0" w:color="auto"/>
              <w:right w:val="single" w:sz="4" w:space="0" w:color="auto"/>
            </w:tcBorders>
            <w:shd w:val="clear" w:color="auto" w:fill="auto"/>
            <w:vAlign w:val="center"/>
            <w:hideMark/>
          </w:tcPr>
          <w:p w14:paraId="21C7516A" w14:textId="77777777" w:rsidR="00552852" w:rsidRPr="001A7A3D" w:rsidRDefault="00552852" w:rsidP="00551D46">
            <w:pPr>
              <w:spacing w:after="0" w:line="240" w:lineRule="auto"/>
              <w:jc w:val="center"/>
              <w:rPr>
                <w:rFonts w:eastAsia="Times New Roman" w:cs="Calibri"/>
                <w:b/>
                <w:bCs/>
                <w:color w:val="000000"/>
                <w:sz w:val="20"/>
                <w:szCs w:val="20"/>
                <w:lang w:eastAsia="en-AU"/>
              </w:rPr>
            </w:pPr>
            <w:r w:rsidRPr="001A7A3D">
              <w:rPr>
                <w:rFonts w:eastAsia="Times New Roman" w:cs="Calibri"/>
                <w:b/>
                <w:bCs/>
                <w:color w:val="000000"/>
                <w:sz w:val="20"/>
                <w:szCs w:val="20"/>
                <w:lang w:eastAsia="en-AU"/>
              </w:rPr>
              <w:t>2018/2019</w:t>
            </w:r>
          </w:p>
        </w:tc>
      </w:tr>
      <w:tr w:rsidR="004E4ED6" w:rsidRPr="001A7A3D" w14:paraId="55DBBC4B" w14:textId="77777777" w:rsidTr="00551D46">
        <w:trPr>
          <w:cantSplit/>
          <w:trHeight w:val="520"/>
        </w:trPr>
        <w:tc>
          <w:tcPr>
            <w:tcW w:w="485" w:type="pct"/>
            <w:tcBorders>
              <w:top w:val="nil"/>
              <w:left w:val="single" w:sz="4" w:space="0" w:color="auto"/>
              <w:bottom w:val="single" w:sz="4" w:space="0" w:color="auto"/>
              <w:right w:val="single" w:sz="4" w:space="0" w:color="auto"/>
            </w:tcBorders>
            <w:shd w:val="clear" w:color="auto" w:fill="auto"/>
            <w:vAlign w:val="center"/>
            <w:hideMark/>
          </w:tcPr>
          <w:p w14:paraId="4F4EA016" w14:textId="77777777" w:rsidR="004E4ED6" w:rsidRPr="00646203" w:rsidRDefault="004E4ED6" w:rsidP="00551D46">
            <w:pPr>
              <w:spacing w:after="0" w:line="240" w:lineRule="auto"/>
              <w:rPr>
                <w:rFonts w:eastAsia="Times New Roman" w:cs="Calibri"/>
                <w:bCs/>
                <w:color w:val="000000"/>
                <w:sz w:val="20"/>
                <w:szCs w:val="20"/>
                <w:lang w:eastAsia="en-AU"/>
              </w:rPr>
            </w:pPr>
            <w:r w:rsidRPr="00646203">
              <w:rPr>
                <w:rFonts w:eastAsia="Times New Roman" w:cs="Calibri"/>
                <w:bCs/>
                <w:color w:val="000000"/>
                <w:sz w:val="20"/>
                <w:szCs w:val="20"/>
                <w:lang w:eastAsia="en-AU"/>
              </w:rPr>
              <w:t>49318</w:t>
            </w:r>
          </w:p>
        </w:tc>
        <w:tc>
          <w:tcPr>
            <w:tcW w:w="3129" w:type="pct"/>
            <w:tcBorders>
              <w:top w:val="nil"/>
              <w:left w:val="nil"/>
              <w:bottom w:val="single" w:sz="4" w:space="0" w:color="auto"/>
              <w:right w:val="single" w:sz="4" w:space="0" w:color="auto"/>
            </w:tcBorders>
            <w:shd w:val="clear" w:color="auto" w:fill="auto"/>
            <w:vAlign w:val="center"/>
            <w:hideMark/>
          </w:tcPr>
          <w:p w14:paraId="16605605" w14:textId="77777777" w:rsidR="004E4ED6" w:rsidRPr="001A7A3D" w:rsidRDefault="004E4ED6" w:rsidP="00551D46">
            <w:pPr>
              <w:spacing w:after="0" w:line="240" w:lineRule="auto"/>
              <w:rPr>
                <w:rFonts w:eastAsia="Times New Roman" w:cs="Calibri"/>
                <w:color w:val="000000"/>
                <w:sz w:val="20"/>
                <w:szCs w:val="20"/>
                <w:lang w:eastAsia="en-AU"/>
              </w:rPr>
            </w:pPr>
            <w:r w:rsidRPr="001A7A3D">
              <w:rPr>
                <w:rFonts w:eastAsia="Times New Roman" w:cs="Calibri"/>
                <w:color w:val="000000"/>
                <w:sz w:val="20"/>
                <w:szCs w:val="20"/>
                <w:lang w:eastAsia="en-AU"/>
              </w:rPr>
              <w:t>Hip, total replacement arthroplasty of, including minor bone grafting (anaes.) (assist.)</w:t>
            </w:r>
          </w:p>
        </w:tc>
        <w:tc>
          <w:tcPr>
            <w:tcW w:w="471" w:type="pct"/>
            <w:tcBorders>
              <w:top w:val="nil"/>
              <w:left w:val="nil"/>
              <w:bottom w:val="single" w:sz="4" w:space="0" w:color="auto"/>
              <w:right w:val="single" w:sz="4" w:space="0" w:color="auto"/>
            </w:tcBorders>
            <w:shd w:val="clear" w:color="auto" w:fill="auto"/>
            <w:vAlign w:val="center"/>
            <w:hideMark/>
          </w:tcPr>
          <w:p w14:paraId="08D0B21F"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18,289</w:t>
            </w:r>
          </w:p>
        </w:tc>
        <w:tc>
          <w:tcPr>
            <w:tcW w:w="471" w:type="pct"/>
            <w:tcBorders>
              <w:top w:val="nil"/>
              <w:left w:val="nil"/>
              <w:bottom w:val="single" w:sz="4" w:space="0" w:color="auto"/>
              <w:right w:val="single" w:sz="4" w:space="0" w:color="auto"/>
            </w:tcBorders>
            <w:shd w:val="clear" w:color="auto" w:fill="auto"/>
            <w:vAlign w:val="center"/>
            <w:hideMark/>
          </w:tcPr>
          <w:p w14:paraId="494DFA7F"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19,040</w:t>
            </w:r>
          </w:p>
        </w:tc>
        <w:tc>
          <w:tcPr>
            <w:tcW w:w="444" w:type="pct"/>
            <w:tcBorders>
              <w:top w:val="nil"/>
              <w:left w:val="nil"/>
              <w:bottom w:val="single" w:sz="4" w:space="0" w:color="auto"/>
              <w:right w:val="single" w:sz="4" w:space="0" w:color="auto"/>
            </w:tcBorders>
            <w:shd w:val="clear" w:color="auto" w:fill="auto"/>
            <w:vAlign w:val="center"/>
            <w:hideMark/>
          </w:tcPr>
          <w:p w14:paraId="4F8FAC8F"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19,270</w:t>
            </w:r>
          </w:p>
        </w:tc>
      </w:tr>
      <w:tr w:rsidR="004E4ED6" w:rsidRPr="001A7A3D" w14:paraId="39343787" w14:textId="77777777" w:rsidTr="00551D46">
        <w:trPr>
          <w:cantSplit/>
          <w:trHeight w:val="520"/>
        </w:trPr>
        <w:tc>
          <w:tcPr>
            <w:tcW w:w="485" w:type="pct"/>
            <w:tcBorders>
              <w:top w:val="nil"/>
              <w:left w:val="single" w:sz="4" w:space="0" w:color="auto"/>
              <w:bottom w:val="single" w:sz="4" w:space="0" w:color="auto"/>
              <w:right w:val="single" w:sz="4" w:space="0" w:color="auto"/>
            </w:tcBorders>
            <w:shd w:val="clear" w:color="auto" w:fill="auto"/>
            <w:vAlign w:val="center"/>
            <w:hideMark/>
          </w:tcPr>
          <w:p w14:paraId="69D37AFC" w14:textId="77777777" w:rsidR="004E4ED6" w:rsidRPr="00646203" w:rsidRDefault="004E4ED6" w:rsidP="00551D46">
            <w:pPr>
              <w:spacing w:after="0" w:line="240" w:lineRule="auto"/>
              <w:rPr>
                <w:rFonts w:eastAsia="Times New Roman" w:cs="Calibri"/>
                <w:bCs/>
                <w:color w:val="000000"/>
                <w:sz w:val="20"/>
                <w:szCs w:val="20"/>
                <w:lang w:eastAsia="en-AU"/>
              </w:rPr>
            </w:pPr>
            <w:r w:rsidRPr="00646203">
              <w:rPr>
                <w:rFonts w:eastAsia="Times New Roman" w:cs="Calibri"/>
                <w:bCs/>
                <w:color w:val="000000"/>
                <w:sz w:val="20"/>
                <w:szCs w:val="20"/>
                <w:lang w:eastAsia="en-AU"/>
              </w:rPr>
              <w:t>49319</w:t>
            </w:r>
          </w:p>
        </w:tc>
        <w:tc>
          <w:tcPr>
            <w:tcW w:w="3129" w:type="pct"/>
            <w:tcBorders>
              <w:top w:val="nil"/>
              <w:left w:val="nil"/>
              <w:bottom w:val="single" w:sz="4" w:space="0" w:color="auto"/>
              <w:right w:val="single" w:sz="4" w:space="0" w:color="auto"/>
            </w:tcBorders>
            <w:shd w:val="clear" w:color="auto" w:fill="auto"/>
            <w:vAlign w:val="center"/>
            <w:hideMark/>
          </w:tcPr>
          <w:p w14:paraId="71220B68" w14:textId="77777777" w:rsidR="004E4ED6" w:rsidRPr="001A7A3D" w:rsidRDefault="004E4ED6" w:rsidP="00551D46">
            <w:pPr>
              <w:spacing w:after="0" w:line="240" w:lineRule="auto"/>
              <w:rPr>
                <w:rFonts w:eastAsia="Times New Roman" w:cs="Calibri"/>
                <w:color w:val="000000"/>
                <w:sz w:val="20"/>
                <w:szCs w:val="20"/>
                <w:lang w:eastAsia="en-AU"/>
              </w:rPr>
            </w:pPr>
            <w:r w:rsidRPr="001A7A3D">
              <w:rPr>
                <w:rFonts w:eastAsia="Times New Roman" w:cs="Calibri"/>
                <w:color w:val="000000"/>
                <w:sz w:val="20"/>
                <w:szCs w:val="20"/>
                <w:lang w:eastAsia="en-AU"/>
              </w:rPr>
              <w:t>Hip, total replacement arthroplasty of, including associated minor grafting, if performed - bilateral (anaes.) (assist.)</w:t>
            </w:r>
          </w:p>
        </w:tc>
        <w:tc>
          <w:tcPr>
            <w:tcW w:w="471" w:type="pct"/>
            <w:tcBorders>
              <w:top w:val="nil"/>
              <w:left w:val="nil"/>
              <w:bottom w:val="single" w:sz="4" w:space="0" w:color="auto"/>
              <w:right w:val="single" w:sz="4" w:space="0" w:color="auto"/>
            </w:tcBorders>
            <w:shd w:val="clear" w:color="auto" w:fill="auto"/>
            <w:vAlign w:val="center"/>
            <w:hideMark/>
          </w:tcPr>
          <w:p w14:paraId="421C8A45"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304</w:t>
            </w:r>
          </w:p>
        </w:tc>
        <w:tc>
          <w:tcPr>
            <w:tcW w:w="471" w:type="pct"/>
            <w:tcBorders>
              <w:top w:val="nil"/>
              <w:left w:val="nil"/>
              <w:bottom w:val="single" w:sz="4" w:space="0" w:color="auto"/>
              <w:right w:val="single" w:sz="4" w:space="0" w:color="auto"/>
            </w:tcBorders>
            <w:shd w:val="clear" w:color="auto" w:fill="auto"/>
            <w:vAlign w:val="center"/>
            <w:hideMark/>
          </w:tcPr>
          <w:p w14:paraId="5BF14BB6"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344</w:t>
            </w:r>
          </w:p>
        </w:tc>
        <w:tc>
          <w:tcPr>
            <w:tcW w:w="444" w:type="pct"/>
            <w:tcBorders>
              <w:top w:val="nil"/>
              <w:left w:val="nil"/>
              <w:bottom w:val="single" w:sz="4" w:space="0" w:color="auto"/>
              <w:right w:val="single" w:sz="4" w:space="0" w:color="auto"/>
            </w:tcBorders>
            <w:shd w:val="clear" w:color="auto" w:fill="auto"/>
            <w:vAlign w:val="center"/>
            <w:hideMark/>
          </w:tcPr>
          <w:p w14:paraId="52F26C5E"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342</w:t>
            </w:r>
          </w:p>
        </w:tc>
      </w:tr>
      <w:tr w:rsidR="004E4ED6" w:rsidRPr="001A7A3D" w14:paraId="26957BBE" w14:textId="77777777" w:rsidTr="00551D46">
        <w:trPr>
          <w:cantSplit/>
          <w:trHeight w:val="520"/>
        </w:trPr>
        <w:tc>
          <w:tcPr>
            <w:tcW w:w="485" w:type="pct"/>
            <w:tcBorders>
              <w:top w:val="nil"/>
              <w:left w:val="single" w:sz="4" w:space="0" w:color="auto"/>
              <w:bottom w:val="single" w:sz="4" w:space="0" w:color="auto"/>
              <w:right w:val="single" w:sz="4" w:space="0" w:color="auto"/>
            </w:tcBorders>
            <w:shd w:val="clear" w:color="auto" w:fill="auto"/>
            <w:vAlign w:val="center"/>
            <w:hideMark/>
          </w:tcPr>
          <w:p w14:paraId="234306AB" w14:textId="77777777" w:rsidR="004E4ED6" w:rsidRPr="00646203" w:rsidRDefault="004E4ED6" w:rsidP="00551D46">
            <w:pPr>
              <w:spacing w:after="0" w:line="240" w:lineRule="auto"/>
              <w:rPr>
                <w:rFonts w:eastAsia="Times New Roman" w:cs="Calibri"/>
                <w:bCs/>
                <w:color w:val="000000"/>
                <w:sz w:val="20"/>
                <w:szCs w:val="20"/>
                <w:lang w:eastAsia="en-AU"/>
              </w:rPr>
            </w:pPr>
            <w:r w:rsidRPr="00646203">
              <w:rPr>
                <w:rFonts w:eastAsia="Times New Roman" w:cs="Calibri"/>
                <w:bCs/>
                <w:color w:val="000000"/>
                <w:sz w:val="20"/>
                <w:szCs w:val="20"/>
                <w:lang w:eastAsia="en-AU"/>
              </w:rPr>
              <w:t>49324</w:t>
            </w:r>
          </w:p>
        </w:tc>
        <w:tc>
          <w:tcPr>
            <w:tcW w:w="3129" w:type="pct"/>
            <w:tcBorders>
              <w:top w:val="nil"/>
              <w:left w:val="nil"/>
              <w:bottom w:val="single" w:sz="4" w:space="0" w:color="auto"/>
              <w:right w:val="single" w:sz="4" w:space="0" w:color="auto"/>
            </w:tcBorders>
            <w:shd w:val="clear" w:color="auto" w:fill="auto"/>
            <w:vAlign w:val="center"/>
            <w:hideMark/>
          </w:tcPr>
          <w:p w14:paraId="5D6392AE" w14:textId="77777777" w:rsidR="004E4ED6" w:rsidRPr="001A7A3D" w:rsidRDefault="004E4ED6" w:rsidP="00551D46">
            <w:pPr>
              <w:spacing w:after="0" w:line="240" w:lineRule="auto"/>
              <w:rPr>
                <w:rFonts w:eastAsia="Times New Roman" w:cs="Calibri"/>
                <w:color w:val="000000"/>
                <w:sz w:val="20"/>
                <w:szCs w:val="20"/>
                <w:lang w:eastAsia="en-AU"/>
              </w:rPr>
            </w:pPr>
            <w:r w:rsidRPr="001A7A3D">
              <w:rPr>
                <w:rFonts w:eastAsia="Times New Roman" w:cs="Calibri"/>
                <w:color w:val="000000"/>
                <w:sz w:val="20"/>
                <w:szCs w:val="20"/>
                <w:lang w:eastAsia="en-AU"/>
              </w:rPr>
              <w:t>Hip, total replacement arthroplasty of, revision procedure including removal of prosthesis (anaes.) (assist.)</w:t>
            </w:r>
          </w:p>
        </w:tc>
        <w:tc>
          <w:tcPr>
            <w:tcW w:w="471" w:type="pct"/>
            <w:tcBorders>
              <w:top w:val="nil"/>
              <w:left w:val="nil"/>
              <w:bottom w:val="single" w:sz="4" w:space="0" w:color="auto"/>
              <w:right w:val="single" w:sz="4" w:space="0" w:color="auto"/>
            </w:tcBorders>
            <w:shd w:val="clear" w:color="auto" w:fill="auto"/>
            <w:vAlign w:val="center"/>
            <w:hideMark/>
          </w:tcPr>
          <w:p w14:paraId="4FFEFEC4"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1,112</w:t>
            </w:r>
          </w:p>
        </w:tc>
        <w:tc>
          <w:tcPr>
            <w:tcW w:w="471" w:type="pct"/>
            <w:tcBorders>
              <w:top w:val="nil"/>
              <w:left w:val="nil"/>
              <w:bottom w:val="single" w:sz="4" w:space="0" w:color="auto"/>
              <w:right w:val="single" w:sz="4" w:space="0" w:color="auto"/>
            </w:tcBorders>
            <w:shd w:val="clear" w:color="auto" w:fill="auto"/>
            <w:vAlign w:val="center"/>
            <w:hideMark/>
          </w:tcPr>
          <w:p w14:paraId="04809214"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1,071</w:t>
            </w:r>
          </w:p>
        </w:tc>
        <w:tc>
          <w:tcPr>
            <w:tcW w:w="444" w:type="pct"/>
            <w:tcBorders>
              <w:top w:val="nil"/>
              <w:left w:val="nil"/>
              <w:bottom w:val="single" w:sz="4" w:space="0" w:color="auto"/>
              <w:right w:val="single" w:sz="4" w:space="0" w:color="auto"/>
            </w:tcBorders>
            <w:shd w:val="clear" w:color="auto" w:fill="auto"/>
            <w:vAlign w:val="center"/>
            <w:hideMark/>
          </w:tcPr>
          <w:p w14:paraId="5370B9D1"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1,158</w:t>
            </w:r>
          </w:p>
        </w:tc>
      </w:tr>
      <w:tr w:rsidR="004E4ED6" w:rsidRPr="001A7A3D" w14:paraId="5D7D6B49" w14:textId="77777777" w:rsidTr="00551D46">
        <w:trPr>
          <w:cantSplit/>
          <w:trHeight w:val="780"/>
        </w:trPr>
        <w:tc>
          <w:tcPr>
            <w:tcW w:w="485" w:type="pct"/>
            <w:tcBorders>
              <w:top w:val="nil"/>
              <w:left w:val="single" w:sz="4" w:space="0" w:color="auto"/>
              <w:bottom w:val="single" w:sz="4" w:space="0" w:color="auto"/>
              <w:right w:val="single" w:sz="4" w:space="0" w:color="auto"/>
            </w:tcBorders>
            <w:shd w:val="clear" w:color="auto" w:fill="auto"/>
            <w:vAlign w:val="center"/>
            <w:hideMark/>
          </w:tcPr>
          <w:p w14:paraId="4FB8E251" w14:textId="77777777" w:rsidR="004E4ED6" w:rsidRPr="00646203" w:rsidRDefault="004E4ED6" w:rsidP="00551D46">
            <w:pPr>
              <w:spacing w:after="0" w:line="240" w:lineRule="auto"/>
              <w:rPr>
                <w:rFonts w:eastAsia="Times New Roman" w:cs="Calibri"/>
                <w:bCs/>
                <w:color w:val="000000"/>
                <w:sz w:val="20"/>
                <w:szCs w:val="20"/>
                <w:lang w:eastAsia="en-AU"/>
              </w:rPr>
            </w:pPr>
            <w:r w:rsidRPr="00646203">
              <w:rPr>
                <w:rFonts w:eastAsia="Times New Roman" w:cs="Calibri"/>
                <w:bCs/>
                <w:color w:val="000000"/>
                <w:sz w:val="20"/>
                <w:szCs w:val="20"/>
                <w:lang w:eastAsia="en-AU"/>
              </w:rPr>
              <w:t>49327</w:t>
            </w:r>
          </w:p>
        </w:tc>
        <w:tc>
          <w:tcPr>
            <w:tcW w:w="3129" w:type="pct"/>
            <w:tcBorders>
              <w:top w:val="nil"/>
              <w:left w:val="nil"/>
              <w:bottom w:val="single" w:sz="4" w:space="0" w:color="auto"/>
              <w:right w:val="single" w:sz="4" w:space="0" w:color="auto"/>
            </w:tcBorders>
            <w:shd w:val="clear" w:color="auto" w:fill="auto"/>
            <w:vAlign w:val="center"/>
            <w:hideMark/>
          </w:tcPr>
          <w:p w14:paraId="02CF2368" w14:textId="77777777" w:rsidR="004E4ED6" w:rsidRPr="001A7A3D" w:rsidRDefault="004E4ED6" w:rsidP="00551D46">
            <w:pPr>
              <w:spacing w:after="0" w:line="240" w:lineRule="auto"/>
              <w:rPr>
                <w:rFonts w:eastAsia="Times New Roman" w:cs="Calibri"/>
                <w:color w:val="000000"/>
                <w:sz w:val="20"/>
                <w:szCs w:val="20"/>
                <w:lang w:eastAsia="en-AU"/>
              </w:rPr>
            </w:pPr>
            <w:r w:rsidRPr="001A7A3D">
              <w:rPr>
                <w:rFonts w:eastAsia="Times New Roman" w:cs="Calibri"/>
                <w:color w:val="000000"/>
                <w:sz w:val="20"/>
                <w:szCs w:val="20"/>
                <w:lang w:eastAsia="en-AU"/>
              </w:rPr>
              <w:t>Hip, total replacement arthroplasty of, revision procedure requiring bone grafting to acetabulum, including obtaining of graft (anaes.) (assist.)</w:t>
            </w:r>
          </w:p>
        </w:tc>
        <w:tc>
          <w:tcPr>
            <w:tcW w:w="471" w:type="pct"/>
            <w:tcBorders>
              <w:top w:val="nil"/>
              <w:left w:val="nil"/>
              <w:bottom w:val="single" w:sz="4" w:space="0" w:color="auto"/>
              <w:right w:val="single" w:sz="4" w:space="0" w:color="auto"/>
            </w:tcBorders>
            <w:shd w:val="clear" w:color="auto" w:fill="auto"/>
            <w:vAlign w:val="center"/>
            <w:hideMark/>
          </w:tcPr>
          <w:p w14:paraId="5F8E086C"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473</w:t>
            </w:r>
          </w:p>
        </w:tc>
        <w:tc>
          <w:tcPr>
            <w:tcW w:w="471" w:type="pct"/>
            <w:tcBorders>
              <w:top w:val="nil"/>
              <w:left w:val="nil"/>
              <w:bottom w:val="single" w:sz="4" w:space="0" w:color="auto"/>
              <w:right w:val="single" w:sz="4" w:space="0" w:color="auto"/>
            </w:tcBorders>
            <w:shd w:val="clear" w:color="auto" w:fill="auto"/>
            <w:vAlign w:val="center"/>
            <w:hideMark/>
          </w:tcPr>
          <w:p w14:paraId="66E6078D"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476</w:t>
            </w:r>
          </w:p>
        </w:tc>
        <w:tc>
          <w:tcPr>
            <w:tcW w:w="444" w:type="pct"/>
            <w:tcBorders>
              <w:top w:val="nil"/>
              <w:left w:val="nil"/>
              <w:bottom w:val="single" w:sz="4" w:space="0" w:color="auto"/>
              <w:right w:val="single" w:sz="4" w:space="0" w:color="auto"/>
            </w:tcBorders>
            <w:shd w:val="clear" w:color="auto" w:fill="auto"/>
            <w:vAlign w:val="center"/>
            <w:hideMark/>
          </w:tcPr>
          <w:p w14:paraId="21BCA7C8"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493</w:t>
            </w:r>
          </w:p>
        </w:tc>
      </w:tr>
      <w:tr w:rsidR="004E4ED6" w:rsidRPr="001A7A3D" w14:paraId="55541430" w14:textId="77777777" w:rsidTr="00551D46">
        <w:trPr>
          <w:cantSplit/>
          <w:trHeight w:val="520"/>
        </w:trPr>
        <w:tc>
          <w:tcPr>
            <w:tcW w:w="485" w:type="pct"/>
            <w:tcBorders>
              <w:top w:val="nil"/>
              <w:left w:val="single" w:sz="4" w:space="0" w:color="auto"/>
              <w:bottom w:val="single" w:sz="4" w:space="0" w:color="auto"/>
              <w:right w:val="single" w:sz="4" w:space="0" w:color="auto"/>
            </w:tcBorders>
            <w:shd w:val="clear" w:color="auto" w:fill="auto"/>
            <w:vAlign w:val="center"/>
            <w:hideMark/>
          </w:tcPr>
          <w:p w14:paraId="2F89C23C" w14:textId="77777777" w:rsidR="004E4ED6" w:rsidRPr="00646203" w:rsidRDefault="004E4ED6" w:rsidP="00551D46">
            <w:pPr>
              <w:spacing w:after="0" w:line="240" w:lineRule="auto"/>
              <w:rPr>
                <w:rFonts w:eastAsia="Times New Roman" w:cs="Calibri"/>
                <w:bCs/>
                <w:color w:val="000000"/>
                <w:sz w:val="20"/>
                <w:szCs w:val="20"/>
                <w:lang w:eastAsia="en-AU"/>
              </w:rPr>
            </w:pPr>
            <w:r w:rsidRPr="00646203">
              <w:rPr>
                <w:rFonts w:eastAsia="Times New Roman" w:cs="Calibri"/>
                <w:bCs/>
                <w:color w:val="000000"/>
                <w:sz w:val="20"/>
                <w:szCs w:val="20"/>
                <w:lang w:eastAsia="en-AU"/>
              </w:rPr>
              <w:t>49330</w:t>
            </w:r>
          </w:p>
        </w:tc>
        <w:tc>
          <w:tcPr>
            <w:tcW w:w="3129" w:type="pct"/>
            <w:tcBorders>
              <w:top w:val="nil"/>
              <w:left w:val="nil"/>
              <w:bottom w:val="single" w:sz="4" w:space="0" w:color="auto"/>
              <w:right w:val="single" w:sz="4" w:space="0" w:color="auto"/>
            </w:tcBorders>
            <w:shd w:val="clear" w:color="auto" w:fill="auto"/>
            <w:vAlign w:val="center"/>
            <w:hideMark/>
          </w:tcPr>
          <w:p w14:paraId="52ED5528" w14:textId="77777777" w:rsidR="004E4ED6" w:rsidRPr="001A7A3D" w:rsidRDefault="004E4ED6" w:rsidP="00551D46">
            <w:pPr>
              <w:spacing w:after="0" w:line="240" w:lineRule="auto"/>
              <w:rPr>
                <w:rFonts w:eastAsia="Times New Roman" w:cs="Calibri"/>
                <w:color w:val="000000"/>
                <w:sz w:val="20"/>
                <w:szCs w:val="20"/>
                <w:lang w:eastAsia="en-AU"/>
              </w:rPr>
            </w:pPr>
            <w:r w:rsidRPr="001A7A3D">
              <w:rPr>
                <w:rFonts w:eastAsia="Times New Roman" w:cs="Calibri"/>
                <w:color w:val="000000"/>
                <w:sz w:val="20"/>
                <w:szCs w:val="20"/>
                <w:lang w:eastAsia="en-AU"/>
              </w:rPr>
              <w:t>Hip, total replacement arthroplasty of, revision procedure requiring bone grafting to femur, including obtaining of graft (anaes.) (assist.)</w:t>
            </w:r>
          </w:p>
        </w:tc>
        <w:tc>
          <w:tcPr>
            <w:tcW w:w="471" w:type="pct"/>
            <w:tcBorders>
              <w:top w:val="nil"/>
              <w:left w:val="nil"/>
              <w:bottom w:val="single" w:sz="4" w:space="0" w:color="auto"/>
              <w:right w:val="single" w:sz="4" w:space="0" w:color="auto"/>
            </w:tcBorders>
            <w:shd w:val="clear" w:color="auto" w:fill="auto"/>
            <w:vAlign w:val="center"/>
            <w:hideMark/>
          </w:tcPr>
          <w:p w14:paraId="75E8C5CE"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232</w:t>
            </w:r>
          </w:p>
        </w:tc>
        <w:tc>
          <w:tcPr>
            <w:tcW w:w="471" w:type="pct"/>
            <w:tcBorders>
              <w:top w:val="nil"/>
              <w:left w:val="nil"/>
              <w:bottom w:val="single" w:sz="4" w:space="0" w:color="auto"/>
              <w:right w:val="single" w:sz="4" w:space="0" w:color="auto"/>
            </w:tcBorders>
            <w:shd w:val="clear" w:color="auto" w:fill="auto"/>
            <w:vAlign w:val="center"/>
            <w:hideMark/>
          </w:tcPr>
          <w:p w14:paraId="7DF96DB6"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266</w:t>
            </w:r>
          </w:p>
        </w:tc>
        <w:tc>
          <w:tcPr>
            <w:tcW w:w="444" w:type="pct"/>
            <w:tcBorders>
              <w:top w:val="nil"/>
              <w:left w:val="nil"/>
              <w:bottom w:val="single" w:sz="4" w:space="0" w:color="auto"/>
              <w:right w:val="single" w:sz="4" w:space="0" w:color="auto"/>
            </w:tcBorders>
            <w:shd w:val="clear" w:color="auto" w:fill="auto"/>
            <w:vAlign w:val="center"/>
            <w:hideMark/>
          </w:tcPr>
          <w:p w14:paraId="64F2E550"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224</w:t>
            </w:r>
          </w:p>
        </w:tc>
      </w:tr>
      <w:tr w:rsidR="004E4ED6" w:rsidRPr="001A7A3D" w14:paraId="4FC19749" w14:textId="77777777" w:rsidTr="00551D46">
        <w:trPr>
          <w:cantSplit/>
          <w:trHeight w:val="780"/>
        </w:trPr>
        <w:tc>
          <w:tcPr>
            <w:tcW w:w="485" w:type="pct"/>
            <w:tcBorders>
              <w:top w:val="nil"/>
              <w:left w:val="single" w:sz="4" w:space="0" w:color="auto"/>
              <w:bottom w:val="single" w:sz="4" w:space="0" w:color="auto"/>
              <w:right w:val="single" w:sz="4" w:space="0" w:color="auto"/>
            </w:tcBorders>
            <w:shd w:val="clear" w:color="auto" w:fill="auto"/>
            <w:vAlign w:val="center"/>
            <w:hideMark/>
          </w:tcPr>
          <w:p w14:paraId="15976562" w14:textId="77777777" w:rsidR="004E4ED6" w:rsidRPr="00646203" w:rsidRDefault="004E4ED6" w:rsidP="00551D46">
            <w:pPr>
              <w:spacing w:after="0" w:line="240" w:lineRule="auto"/>
              <w:rPr>
                <w:rFonts w:eastAsia="Times New Roman" w:cs="Calibri"/>
                <w:bCs/>
                <w:color w:val="000000"/>
                <w:sz w:val="20"/>
                <w:szCs w:val="20"/>
                <w:lang w:eastAsia="en-AU"/>
              </w:rPr>
            </w:pPr>
            <w:r w:rsidRPr="00646203">
              <w:rPr>
                <w:rFonts w:eastAsia="Times New Roman" w:cs="Calibri"/>
                <w:bCs/>
                <w:color w:val="000000"/>
                <w:sz w:val="20"/>
                <w:szCs w:val="20"/>
                <w:lang w:eastAsia="en-AU"/>
              </w:rPr>
              <w:t>49333</w:t>
            </w:r>
          </w:p>
        </w:tc>
        <w:tc>
          <w:tcPr>
            <w:tcW w:w="3129" w:type="pct"/>
            <w:tcBorders>
              <w:top w:val="nil"/>
              <w:left w:val="nil"/>
              <w:bottom w:val="single" w:sz="4" w:space="0" w:color="auto"/>
              <w:right w:val="single" w:sz="4" w:space="0" w:color="auto"/>
            </w:tcBorders>
            <w:shd w:val="clear" w:color="auto" w:fill="auto"/>
            <w:vAlign w:val="center"/>
            <w:hideMark/>
          </w:tcPr>
          <w:p w14:paraId="6C192250" w14:textId="77777777" w:rsidR="004E4ED6" w:rsidRPr="001A7A3D" w:rsidRDefault="004E4ED6" w:rsidP="00551D46">
            <w:pPr>
              <w:spacing w:after="0" w:line="240" w:lineRule="auto"/>
              <w:rPr>
                <w:rFonts w:eastAsia="Times New Roman" w:cs="Calibri"/>
                <w:color w:val="000000"/>
                <w:sz w:val="20"/>
                <w:szCs w:val="20"/>
                <w:lang w:eastAsia="en-AU"/>
              </w:rPr>
            </w:pPr>
            <w:r w:rsidRPr="001A7A3D">
              <w:rPr>
                <w:rFonts w:eastAsia="Times New Roman" w:cs="Calibri"/>
                <w:color w:val="000000"/>
                <w:sz w:val="20"/>
                <w:szCs w:val="20"/>
                <w:lang w:eastAsia="en-AU"/>
              </w:rPr>
              <w:t>Hip, total replacement arthroplasty of, revision procedure requiring bone grafting to both acetabulum and femur, including obtaining of graft (anaes.) (assist.)</w:t>
            </w:r>
          </w:p>
        </w:tc>
        <w:tc>
          <w:tcPr>
            <w:tcW w:w="471" w:type="pct"/>
            <w:tcBorders>
              <w:top w:val="nil"/>
              <w:left w:val="nil"/>
              <w:bottom w:val="single" w:sz="4" w:space="0" w:color="auto"/>
              <w:right w:val="single" w:sz="4" w:space="0" w:color="auto"/>
            </w:tcBorders>
            <w:shd w:val="clear" w:color="auto" w:fill="auto"/>
            <w:vAlign w:val="center"/>
            <w:hideMark/>
          </w:tcPr>
          <w:p w14:paraId="1B463C5E"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297</w:t>
            </w:r>
          </w:p>
        </w:tc>
        <w:tc>
          <w:tcPr>
            <w:tcW w:w="471" w:type="pct"/>
            <w:tcBorders>
              <w:top w:val="nil"/>
              <w:left w:val="nil"/>
              <w:bottom w:val="single" w:sz="4" w:space="0" w:color="auto"/>
              <w:right w:val="single" w:sz="4" w:space="0" w:color="auto"/>
            </w:tcBorders>
            <w:shd w:val="clear" w:color="auto" w:fill="auto"/>
            <w:vAlign w:val="center"/>
            <w:hideMark/>
          </w:tcPr>
          <w:p w14:paraId="7086ABCD"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334</w:t>
            </w:r>
          </w:p>
        </w:tc>
        <w:tc>
          <w:tcPr>
            <w:tcW w:w="444" w:type="pct"/>
            <w:tcBorders>
              <w:top w:val="nil"/>
              <w:left w:val="nil"/>
              <w:bottom w:val="single" w:sz="4" w:space="0" w:color="auto"/>
              <w:right w:val="single" w:sz="4" w:space="0" w:color="auto"/>
            </w:tcBorders>
            <w:shd w:val="clear" w:color="auto" w:fill="auto"/>
            <w:vAlign w:val="center"/>
            <w:hideMark/>
          </w:tcPr>
          <w:p w14:paraId="7979C683"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336</w:t>
            </w:r>
          </w:p>
        </w:tc>
      </w:tr>
      <w:tr w:rsidR="004E4ED6" w:rsidRPr="001A7A3D" w14:paraId="0F87556D" w14:textId="77777777" w:rsidTr="00551D46">
        <w:trPr>
          <w:cantSplit/>
          <w:trHeight w:val="1040"/>
        </w:trPr>
        <w:tc>
          <w:tcPr>
            <w:tcW w:w="485" w:type="pct"/>
            <w:tcBorders>
              <w:top w:val="nil"/>
              <w:left w:val="single" w:sz="4" w:space="0" w:color="auto"/>
              <w:bottom w:val="single" w:sz="4" w:space="0" w:color="auto"/>
              <w:right w:val="single" w:sz="4" w:space="0" w:color="auto"/>
            </w:tcBorders>
            <w:shd w:val="clear" w:color="auto" w:fill="auto"/>
            <w:vAlign w:val="center"/>
            <w:hideMark/>
          </w:tcPr>
          <w:p w14:paraId="50D5A38F" w14:textId="77777777" w:rsidR="004E4ED6" w:rsidRPr="00646203" w:rsidRDefault="004E4ED6" w:rsidP="00551D46">
            <w:pPr>
              <w:spacing w:after="0" w:line="240" w:lineRule="auto"/>
              <w:rPr>
                <w:rFonts w:eastAsia="Times New Roman" w:cs="Calibri"/>
                <w:bCs/>
                <w:color w:val="000000"/>
                <w:sz w:val="20"/>
                <w:szCs w:val="20"/>
                <w:lang w:eastAsia="en-AU"/>
              </w:rPr>
            </w:pPr>
            <w:r w:rsidRPr="00646203">
              <w:rPr>
                <w:rFonts w:eastAsia="Times New Roman" w:cs="Calibri"/>
                <w:bCs/>
                <w:color w:val="000000"/>
                <w:sz w:val="20"/>
                <w:szCs w:val="20"/>
                <w:lang w:eastAsia="en-AU"/>
              </w:rPr>
              <w:t>49336</w:t>
            </w:r>
          </w:p>
        </w:tc>
        <w:tc>
          <w:tcPr>
            <w:tcW w:w="3129" w:type="pct"/>
            <w:tcBorders>
              <w:top w:val="nil"/>
              <w:left w:val="nil"/>
              <w:bottom w:val="single" w:sz="4" w:space="0" w:color="auto"/>
              <w:right w:val="single" w:sz="4" w:space="0" w:color="auto"/>
            </w:tcBorders>
            <w:shd w:val="clear" w:color="auto" w:fill="auto"/>
            <w:vAlign w:val="center"/>
            <w:hideMark/>
          </w:tcPr>
          <w:p w14:paraId="2EF08F33" w14:textId="77777777" w:rsidR="004E4ED6" w:rsidRPr="001A7A3D" w:rsidRDefault="004E4ED6" w:rsidP="00551D46">
            <w:pPr>
              <w:spacing w:after="0" w:line="240" w:lineRule="auto"/>
              <w:rPr>
                <w:rFonts w:eastAsia="Times New Roman" w:cs="Calibri"/>
                <w:color w:val="000000"/>
                <w:sz w:val="20"/>
                <w:szCs w:val="20"/>
                <w:lang w:eastAsia="en-AU"/>
              </w:rPr>
            </w:pPr>
            <w:r w:rsidRPr="001A7A3D">
              <w:rPr>
                <w:rFonts w:eastAsia="Times New Roman" w:cs="Calibri"/>
                <w:color w:val="000000"/>
                <w:sz w:val="20"/>
                <w:szCs w:val="20"/>
                <w:lang w:eastAsia="en-AU"/>
              </w:rPr>
              <w:t>Hip, treatment of a fracture of the femur where revision total hip replacement is required as part of the treatment of the fracture (not including intra-operative fracture), being a service associated with a service to which items 49324 to 49333 apply (anaes.) (assist.)</w:t>
            </w:r>
          </w:p>
        </w:tc>
        <w:tc>
          <w:tcPr>
            <w:tcW w:w="471" w:type="pct"/>
            <w:tcBorders>
              <w:top w:val="nil"/>
              <w:left w:val="nil"/>
              <w:bottom w:val="single" w:sz="4" w:space="0" w:color="auto"/>
              <w:right w:val="single" w:sz="4" w:space="0" w:color="auto"/>
            </w:tcBorders>
            <w:shd w:val="clear" w:color="auto" w:fill="auto"/>
            <w:vAlign w:val="center"/>
            <w:hideMark/>
          </w:tcPr>
          <w:p w14:paraId="5DB260BB"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237</w:t>
            </w:r>
          </w:p>
        </w:tc>
        <w:tc>
          <w:tcPr>
            <w:tcW w:w="471" w:type="pct"/>
            <w:tcBorders>
              <w:top w:val="nil"/>
              <w:left w:val="nil"/>
              <w:bottom w:val="single" w:sz="4" w:space="0" w:color="auto"/>
              <w:right w:val="single" w:sz="4" w:space="0" w:color="auto"/>
            </w:tcBorders>
            <w:shd w:val="clear" w:color="auto" w:fill="auto"/>
            <w:vAlign w:val="center"/>
            <w:hideMark/>
          </w:tcPr>
          <w:p w14:paraId="1F35D188"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178</w:t>
            </w:r>
          </w:p>
        </w:tc>
        <w:tc>
          <w:tcPr>
            <w:tcW w:w="444" w:type="pct"/>
            <w:tcBorders>
              <w:top w:val="nil"/>
              <w:left w:val="nil"/>
              <w:bottom w:val="single" w:sz="4" w:space="0" w:color="auto"/>
              <w:right w:val="single" w:sz="4" w:space="0" w:color="auto"/>
            </w:tcBorders>
            <w:shd w:val="clear" w:color="auto" w:fill="auto"/>
            <w:vAlign w:val="center"/>
            <w:hideMark/>
          </w:tcPr>
          <w:p w14:paraId="6EB421F3"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242</w:t>
            </w:r>
          </w:p>
        </w:tc>
      </w:tr>
      <w:tr w:rsidR="004E4ED6" w:rsidRPr="001A7A3D" w14:paraId="2D4AB3D9" w14:textId="77777777" w:rsidTr="00551D46">
        <w:trPr>
          <w:cantSplit/>
          <w:trHeight w:val="780"/>
        </w:trPr>
        <w:tc>
          <w:tcPr>
            <w:tcW w:w="485" w:type="pct"/>
            <w:tcBorders>
              <w:top w:val="nil"/>
              <w:left w:val="single" w:sz="4" w:space="0" w:color="auto"/>
              <w:bottom w:val="single" w:sz="4" w:space="0" w:color="auto"/>
              <w:right w:val="single" w:sz="4" w:space="0" w:color="auto"/>
            </w:tcBorders>
            <w:shd w:val="clear" w:color="auto" w:fill="auto"/>
            <w:vAlign w:val="center"/>
            <w:hideMark/>
          </w:tcPr>
          <w:p w14:paraId="55E4EAAC" w14:textId="77777777" w:rsidR="004E4ED6" w:rsidRPr="00646203" w:rsidRDefault="004E4ED6" w:rsidP="00551D46">
            <w:pPr>
              <w:spacing w:after="0" w:line="240" w:lineRule="auto"/>
              <w:rPr>
                <w:rFonts w:eastAsia="Times New Roman" w:cs="Calibri"/>
                <w:bCs/>
                <w:color w:val="000000"/>
                <w:sz w:val="20"/>
                <w:szCs w:val="20"/>
                <w:lang w:eastAsia="en-AU"/>
              </w:rPr>
            </w:pPr>
            <w:r w:rsidRPr="00646203">
              <w:rPr>
                <w:rFonts w:eastAsia="Times New Roman" w:cs="Calibri"/>
                <w:bCs/>
                <w:color w:val="000000"/>
                <w:sz w:val="20"/>
                <w:szCs w:val="20"/>
                <w:lang w:eastAsia="en-AU"/>
              </w:rPr>
              <w:t>49346</w:t>
            </w:r>
          </w:p>
        </w:tc>
        <w:tc>
          <w:tcPr>
            <w:tcW w:w="3129" w:type="pct"/>
            <w:tcBorders>
              <w:top w:val="nil"/>
              <w:left w:val="nil"/>
              <w:bottom w:val="single" w:sz="4" w:space="0" w:color="auto"/>
              <w:right w:val="single" w:sz="4" w:space="0" w:color="auto"/>
            </w:tcBorders>
            <w:shd w:val="clear" w:color="auto" w:fill="auto"/>
            <w:vAlign w:val="center"/>
            <w:hideMark/>
          </w:tcPr>
          <w:p w14:paraId="4A0BAB8A" w14:textId="77777777" w:rsidR="004E4ED6" w:rsidRPr="001A7A3D" w:rsidRDefault="004E4ED6" w:rsidP="00551D46">
            <w:pPr>
              <w:spacing w:after="0" w:line="240" w:lineRule="auto"/>
              <w:rPr>
                <w:rFonts w:eastAsia="Times New Roman" w:cs="Calibri"/>
                <w:color w:val="000000"/>
                <w:sz w:val="20"/>
                <w:szCs w:val="20"/>
                <w:lang w:eastAsia="en-AU"/>
              </w:rPr>
            </w:pPr>
            <w:r w:rsidRPr="001A7A3D">
              <w:rPr>
                <w:rFonts w:eastAsia="Times New Roman" w:cs="Calibri"/>
                <w:color w:val="000000"/>
                <w:sz w:val="20"/>
                <w:szCs w:val="20"/>
                <w:lang w:eastAsia="en-AU"/>
              </w:rPr>
              <w:t>Hip, revision arthroplasty with replacement of acetabular liner or ceramic head, not requiring removal of femoral component or acetabular shell (anaes.) (assist.)</w:t>
            </w:r>
          </w:p>
        </w:tc>
        <w:tc>
          <w:tcPr>
            <w:tcW w:w="471" w:type="pct"/>
            <w:tcBorders>
              <w:top w:val="nil"/>
              <w:left w:val="nil"/>
              <w:bottom w:val="single" w:sz="4" w:space="0" w:color="auto"/>
              <w:right w:val="single" w:sz="4" w:space="0" w:color="auto"/>
            </w:tcBorders>
            <w:shd w:val="clear" w:color="auto" w:fill="auto"/>
            <w:vAlign w:val="center"/>
            <w:hideMark/>
          </w:tcPr>
          <w:p w14:paraId="3CC0ABEB"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196</w:t>
            </w:r>
          </w:p>
        </w:tc>
        <w:tc>
          <w:tcPr>
            <w:tcW w:w="471" w:type="pct"/>
            <w:tcBorders>
              <w:top w:val="nil"/>
              <w:left w:val="nil"/>
              <w:bottom w:val="single" w:sz="4" w:space="0" w:color="auto"/>
              <w:right w:val="single" w:sz="4" w:space="0" w:color="auto"/>
            </w:tcBorders>
            <w:shd w:val="clear" w:color="auto" w:fill="auto"/>
            <w:vAlign w:val="center"/>
            <w:hideMark/>
          </w:tcPr>
          <w:p w14:paraId="46902798"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175</w:t>
            </w:r>
          </w:p>
        </w:tc>
        <w:tc>
          <w:tcPr>
            <w:tcW w:w="444" w:type="pct"/>
            <w:tcBorders>
              <w:top w:val="nil"/>
              <w:left w:val="nil"/>
              <w:bottom w:val="single" w:sz="4" w:space="0" w:color="auto"/>
              <w:right w:val="single" w:sz="4" w:space="0" w:color="auto"/>
            </w:tcBorders>
            <w:shd w:val="clear" w:color="auto" w:fill="auto"/>
            <w:vAlign w:val="center"/>
            <w:hideMark/>
          </w:tcPr>
          <w:p w14:paraId="234BC82A"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168</w:t>
            </w:r>
          </w:p>
        </w:tc>
      </w:tr>
      <w:tr w:rsidR="004E4ED6" w:rsidRPr="001A7A3D" w14:paraId="40B7D587" w14:textId="77777777" w:rsidTr="00551D46">
        <w:trPr>
          <w:cantSplit/>
          <w:trHeight w:val="520"/>
        </w:trPr>
        <w:tc>
          <w:tcPr>
            <w:tcW w:w="485" w:type="pct"/>
            <w:tcBorders>
              <w:top w:val="nil"/>
              <w:left w:val="single" w:sz="4" w:space="0" w:color="auto"/>
              <w:bottom w:val="single" w:sz="4" w:space="0" w:color="auto"/>
              <w:right w:val="single" w:sz="4" w:space="0" w:color="auto"/>
            </w:tcBorders>
            <w:shd w:val="clear" w:color="auto" w:fill="auto"/>
            <w:vAlign w:val="center"/>
            <w:hideMark/>
          </w:tcPr>
          <w:p w14:paraId="25E25557" w14:textId="77777777" w:rsidR="004E4ED6" w:rsidRPr="00646203" w:rsidRDefault="004E4ED6" w:rsidP="00551D46">
            <w:pPr>
              <w:spacing w:after="0" w:line="240" w:lineRule="auto"/>
              <w:rPr>
                <w:rFonts w:eastAsia="Times New Roman" w:cs="Calibri"/>
                <w:bCs/>
                <w:color w:val="000000"/>
                <w:sz w:val="20"/>
                <w:szCs w:val="20"/>
                <w:lang w:eastAsia="en-AU"/>
              </w:rPr>
            </w:pPr>
            <w:r w:rsidRPr="00646203">
              <w:rPr>
                <w:rFonts w:eastAsia="Times New Roman" w:cs="Calibri"/>
                <w:bCs/>
                <w:color w:val="000000"/>
                <w:sz w:val="20"/>
                <w:szCs w:val="20"/>
                <w:lang w:eastAsia="en-AU"/>
              </w:rPr>
              <w:t>49509</w:t>
            </w:r>
          </w:p>
        </w:tc>
        <w:tc>
          <w:tcPr>
            <w:tcW w:w="3129" w:type="pct"/>
            <w:tcBorders>
              <w:top w:val="nil"/>
              <w:left w:val="nil"/>
              <w:bottom w:val="single" w:sz="4" w:space="0" w:color="auto"/>
              <w:right w:val="single" w:sz="4" w:space="0" w:color="auto"/>
            </w:tcBorders>
            <w:shd w:val="clear" w:color="auto" w:fill="auto"/>
            <w:vAlign w:val="center"/>
            <w:hideMark/>
          </w:tcPr>
          <w:p w14:paraId="76F0A559" w14:textId="77777777" w:rsidR="004E4ED6" w:rsidRPr="001A7A3D" w:rsidRDefault="004E4ED6" w:rsidP="00551D46">
            <w:pPr>
              <w:spacing w:after="0" w:line="240" w:lineRule="auto"/>
              <w:rPr>
                <w:rFonts w:eastAsia="Times New Roman" w:cs="Calibri"/>
                <w:color w:val="000000"/>
                <w:sz w:val="20"/>
                <w:szCs w:val="20"/>
                <w:lang w:eastAsia="en-AU"/>
              </w:rPr>
            </w:pPr>
            <w:r w:rsidRPr="001A7A3D">
              <w:rPr>
                <w:rFonts w:eastAsia="Times New Roman" w:cs="Calibri"/>
                <w:color w:val="000000"/>
                <w:sz w:val="20"/>
                <w:szCs w:val="20"/>
                <w:lang w:eastAsia="en-AU"/>
              </w:rPr>
              <w:t>Knee, total synovectomy or arthrodesis with synovectomy if performed (anaes.) (assist.)</w:t>
            </w:r>
          </w:p>
        </w:tc>
        <w:tc>
          <w:tcPr>
            <w:tcW w:w="471" w:type="pct"/>
            <w:tcBorders>
              <w:top w:val="nil"/>
              <w:left w:val="nil"/>
              <w:bottom w:val="single" w:sz="4" w:space="0" w:color="auto"/>
              <w:right w:val="single" w:sz="4" w:space="0" w:color="auto"/>
            </w:tcBorders>
            <w:shd w:val="clear" w:color="auto" w:fill="auto"/>
            <w:vAlign w:val="center"/>
            <w:hideMark/>
          </w:tcPr>
          <w:p w14:paraId="090430C3"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2,817</w:t>
            </w:r>
          </w:p>
        </w:tc>
        <w:tc>
          <w:tcPr>
            <w:tcW w:w="471" w:type="pct"/>
            <w:tcBorders>
              <w:top w:val="nil"/>
              <w:left w:val="nil"/>
              <w:bottom w:val="single" w:sz="4" w:space="0" w:color="auto"/>
              <w:right w:val="single" w:sz="4" w:space="0" w:color="auto"/>
            </w:tcBorders>
            <w:shd w:val="clear" w:color="auto" w:fill="auto"/>
            <w:vAlign w:val="center"/>
            <w:hideMark/>
          </w:tcPr>
          <w:p w14:paraId="00CF4BD6"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3,216</w:t>
            </w:r>
          </w:p>
        </w:tc>
        <w:tc>
          <w:tcPr>
            <w:tcW w:w="444" w:type="pct"/>
            <w:tcBorders>
              <w:top w:val="nil"/>
              <w:left w:val="nil"/>
              <w:bottom w:val="single" w:sz="4" w:space="0" w:color="auto"/>
              <w:right w:val="single" w:sz="4" w:space="0" w:color="auto"/>
            </w:tcBorders>
            <w:shd w:val="clear" w:color="auto" w:fill="auto"/>
            <w:vAlign w:val="center"/>
            <w:hideMark/>
          </w:tcPr>
          <w:p w14:paraId="2B9CFD8D"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3,418</w:t>
            </w:r>
          </w:p>
        </w:tc>
      </w:tr>
      <w:tr w:rsidR="004E4ED6" w:rsidRPr="001A7A3D" w14:paraId="43AC625F" w14:textId="77777777" w:rsidTr="00551D46">
        <w:trPr>
          <w:cantSplit/>
          <w:trHeight w:val="520"/>
        </w:trPr>
        <w:tc>
          <w:tcPr>
            <w:tcW w:w="485" w:type="pct"/>
            <w:tcBorders>
              <w:top w:val="nil"/>
              <w:left w:val="single" w:sz="4" w:space="0" w:color="auto"/>
              <w:bottom w:val="single" w:sz="4" w:space="0" w:color="auto"/>
              <w:right w:val="single" w:sz="4" w:space="0" w:color="auto"/>
            </w:tcBorders>
            <w:shd w:val="clear" w:color="auto" w:fill="auto"/>
            <w:vAlign w:val="center"/>
            <w:hideMark/>
          </w:tcPr>
          <w:p w14:paraId="67877013" w14:textId="77777777" w:rsidR="004E4ED6" w:rsidRPr="00646203" w:rsidRDefault="004E4ED6" w:rsidP="00551D46">
            <w:pPr>
              <w:spacing w:after="0" w:line="240" w:lineRule="auto"/>
              <w:rPr>
                <w:rFonts w:eastAsia="Times New Roman" w:cs="Calibri"/>
                <w:bCs/>
                <w:color w:val="000000"/>
                <w:sz w:val="20"/>
                <w:szCs w:val="20"/>
                <w:lang w:eastAsia="en-AU"/>
              </w:rPr>
            </w:pPr>
            <w:r w:rsidRPr="00646203">
              <w:rPr>
                <w:rFonts w:eastAsia="Times New Roman" w:cs="Calibri"/>
                <w:bCs/>
                <w:color w:val="000000"/>
                <w:sz w:val="20"/>
                <w:szCs w:val="20"/>
                <w:lang w:eastAsia="en-AU"/>
              </w:rPr>
              <w:t>49512</w:t>
            </w:r>
          </w:p>
        </w:tc>
        <w:tc>
          <w:tcPr>
            <w:tcW w:w="3129" w:type="pct"/>
            <w:tcBorders>
              <w:top w:val="nil"/>
              <w:left w:val="nil"/>
              <w:bottom w:val="single" w:sz="4" w:space="0" w:color="auto"/>
              <w:right w:val="single" w:sz="4" w:space="0" w:color="auto"/>
            </w:tcBorders>
            <w:shd w:val="clear" w:color="auto" w:fill="auto"/>
            <w:vAlign w:val="center"/>
            <w:hideMark/>
          </w:tcPr>
          <w:p w14:paraId="51E36AC2" w14:textId="77777777" w:rsidR="004E4ED6" w:rsidRPr="001A7A3D" w:rsidRDefault="004E4ED6" w:rsidP="00551D46">
            <w:pPr>
              <w:spacing w:after="0" w:line="240" w:lineRule="auto"/>
              <w:rPr>
                <w:rFonts w:eastAsia="Times New Roman" w:cs="Calibri"/>
                <w:color w:val="000000"/>
                <w:sz w:val="20"/>
                <w:szCs w:val="20"/>
                <w:lang w:eastAsia="en-AU"/>
              </w:rPr>
            </w:pPr>
            <w:r w:rsidRPr="001A7A3D">
              <w:rPr>
                <w:rFonts w:eastAsia="Times New Roman" w:cs="Calibri"/>
                <w:color w:val="000000"/>
                <w:sz w:val="20"/>
                <w:szCs w:val="20"/>
                <w:lang w:eastAsia="en-AU"/>
              </w:rPr>
              <w:t>Knee, arthrodesis of, with synovectomy if performed, with removal of prosthesis (anaes.) (assist.)</w:t>
            </w:r>
          </w:p>
        </w:tc>
        <w:tc>
          <w:tcPr>
            <w:tcW w:w="471" w:type="pct"/>
            <w:tcBorders>
              <w:top w:val="nil"/>
              <w:left w:val="nil"/>
              <w:bottom w:val="single" w:sz="4" w:space="0" w:color="auto"/>
              <w:right w:val="single" w:sz="4" w:space="0" w:color="auto"/>
            </w:tcBorders>
            <w:shd w:val="clear" w:color="auto" w:fill="auto"/>
            <w:vAlign w:val="center"/>
            <w:hideMark/>
          </w:tcPr>
          <w:p w14:paraId="1C8376DC"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9</w:t>
            </w:r>
          </w:p>
        </w:tc>
        <w:tc>
          <w:tcPr>
            <w:tcW w:w="471" w:type="pct"/>
            <w:tcBorders>
              <w:top w:val="nil"/>
              <w:left w:val="nil"/>
              <w:bottom w:val="single" w:sz="4" w:space="0" w:color="auto"/>
              <w:right w:val="single" w:sz="4" w:space="0" w:color="auto"/>
            </w:tcBorders>
            <w:shd w:val="clear" w:color="auto" w:fill="auto"/>
            <w:vAlign w:val="center"/>
            <w:hideMark/>
          </w:tcPr>
          <w:p w14:paraId="7A739C5A"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17</w:t>
            </w:r>
          </w:p>
        </w:tc>
        <w:tc>
          <w:tcPr>
            <w:tcW w:w="444" w:type="pct"/>
            <w:tcBorders>
              <w:top w:val="nil"/>
              <w:left w:val="nil"/>
              <w:bottom w:val="single" w:sz="4" w:space="0" w:color="auto"/>
              <w:right w:val="single" w:sz="4" w:space="0" w:color="auto"/>
            </w:tcBorders>
            <w:shd w:val="clear" w:color="auto" w:fill="auto"/>
            <w:vAlign w:val="center"/>
            <w:hideMark/>
          </w:tcPr>
          <w:p w14:paraId="40421F02"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22</w:t>
            </w:r>
          </w:p>
        </w:tc>
      </w:tr>
      <w:tr w:rsidR="004E4ED6" w:rsidRPr="001A7A3D" w14:paraId="19FEF873" w14:textId="77777777" w:rsidTr="00551D46">
        <w:trPr>
          <w:cantSplit/>
          <w:trHeight w:val="290"/>
        </w:trPr>
        <w:tc>
          <w:tcPr>
            <w:tcW w:w="485" w:type="pct"/>
            <w:tcBorders>
              <w:top w:val="nil"/>
              <w:left w:val="single" w:sz="4" w:space="0" w:color="auto"/>
              <w:bottom w:val="single" w:sz="4" w:space="0" w:color="auto"/>
              <w:right w:val="single" w:sz="4" w:space="0" w:color="auto"/>
            </w:tcBorders>
            <w:shd w:val="clear" w:color="auto" w:fill="auto"/>
            <w:vAlign w:val="center"/>
            <w:hideMark/>
          </w:tcPr>
          <w:p w14:paraId="4746BDC3" w14:textId="77777777" w:rsidR="004E4ED6" w:rsidRPr="00646203" w:rsidRDefault="004E4ED6" w:rsidP="00551D46">
            <w:pPr>
              <w:spacing w:after="0" w:line="240" w:lineRule="auto"/>
              <w:rPr>
                <w:rFonts w:eastAsia="Times New Roman" w:cs="Calibri"/>
                <w:bCs/>
                <w:color w:val="000000"/>
                <w:sz w:val="20"/>
                <w:szCs w:val="20"/>
                <w:lang w:eastAsia="en-AU"/>
              </w:rPr>
            </w:pPr>
            <w:r w:rsidRPr="00646203">
              <w:rPr>
                <w:rFonts w:eastAsia="Times New Roman" w:cs="Calibri"/>
                <w:bCs/>
                <w:color w:val="000000"/>
                <w:sz w:val="20"/>
                <w:szCs w:val="20"/>
                <w:lang w:eastAsia="en-AU"/>
              </w:rPr>
              <w:t>49517</w:t>
            </w:r>
          </w:p>
        </w:tc>
        <w:tc>
          <w:tcPr>
            <w:tcW w:w="3129" w:type="pct"/>
            <w:tcBorders>
              <w:top w:val="nil"/>
              <w:left w:val="nil"/>
              <w:bottom w:val="single" w:sz="4" w:space="0" w:color="auto"/>
              <w:right w:val="single" w:sz="4" w:space="0" w:color="auto"/>
            </w:tcBorders>
            <w:shd w:val="clear" w:color="auto" w:fill="auto"/>
            <w:vAlign w:val="center"/>
            <w:hideMark/>
          </w:tcPr>
          <w:p w14:paraId="7FEAC737" w14:textId="77777777" w:rsidR="004E4ED6" w:rsidRPr="001A7A3D" w:rsidRDefault="004E4ED6" w:rsidP="00551D46">
            <w:pPr>
              <w:spacing w:after="0" w:line="240" w:lineRule="auto"/>
              <w:rPr>
                <w:rFonts w:eastAsia="Times New Roman" w:cs="Calibri"/>
                <w:color w:val="000000"/>
                <w:sz w:val="20"/>
                <w:szCs w:val="20"/>
                <w:lang w:eastAsia="en-AU"/>
              </w:rPr>
            </w:pPr>
            <w:r w:rsidRPr="001A7A3D">
              <w:rPr>
                <w:rFonts w:eastAsia="Times New Roman" w:cs="Calibri"/>
                <w:color w:val="000000"/>
                <w:sz w:val="20"/>
                <w:szCs w:val="20"/>
                <w:lang w:eastAsia="en-AU"/>
              </w:rPr>
              <w:t>Knee, hemiarthroplasty of (anaes.) (assist.)</w:t>
            </w:r>
          </w:p>
        </w:tc>
        <w:tc>
          <w:tcPr>
            <w:tcW w:w="471" w:type="pct"/>
            <w:tcBorders>
              <w:top w:val="nil"/>
              <w:left w:val="nil"/>
              <w:bottom w:val="single" w:sz="4" w:space="0" w:color="auto"/>
              <w:right w:val="single" w:sz="4" w:space="0" w:color="auto"/>
            </w:tcBorders>
            <w:shd w:val="clear" w:color="auto" w:fill="auto"/>
            <w:vAlign w:val="center"/>
            <w:hideMark/>
          </w:tcPr>
          <w:p w14:paraId="6CE97FF7"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2,321</w:t>
            </w:r>
          </w:p>
        </w:tc>
        <w:tc>
          <w:tcPr>
            <w:tcW w:w="471" w:type="pct"/>
            <w:tcBorders>
              <w:top w:val="nil"/>
              <w:left w:val="nil"/>
              <w:bottom w:val="single" w:sz="4" w:space="0" w:color="auto"/>
              <w:right w:val="single" w:sz="4" w:space="0" w:color="auto"/>
            </w:tcBorders>
            <w:shd w:val="clear" w:color="auto" w:fill="auto"/>
            <w:vAlign w:val="center"/>
            <w:hideMark/>
          </w:tcPr>
          <w:p w14:paraId="54DF11A7"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2,731</w:t>
            </w:r>
          </w:p>
        </w:tc>
        <w:tc>
          <w:tcPr>
            <w:tcW w:w="444" w:type="pct"/>
            <w:tcBorders>
              <w:top w:val="nil"/>
              <w:left w:val="nil"/>
              <w:bottom w:val="single" w:sz="4" w:space="0" w:color="auto"/>
              <w:right w:val="single" w:sz="4" w:space="0" w:color="auto"/>
            </w:tcBorders>
            <w:shd w:val="clear" w:color="auto" w:fill="auto"/>
            <w:vAlign w:val="center"/>
            <w:hideMark/>
          </w:tcPr>
          <w:p w14:paraId="0CB5154E"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2,688</w:t>
            </w:r>
          </w:p>
        </w:tc>
      </w:tr>
      <w:tr w:rsidR="004E4ED6" w:rsidRPr="001A7A3D" w14:paraId="5553A712" w14:textId="77777777" w:rsidTr="00551D46">
        <w:trPr>
          <w:cantSplit/>
          <w:trHeight w:val="290"/>
        </w:trPr>
        <w:tc>
          <w:tcPr>
            <w:tcW w:w="485" w:type="pct"/>
            <w:tcBorders>
              <w:top w:val="nil"/>
              <w:left w:val="single" w:sz="4" w:space="0" w:color="auto"/>
              <w:bottom w:val="single" w:sz="4" w:space="0" w:color="auto"/>
              <w:right w:val="single" w:sz="4" w:space="0" w:color="auto"/>
            </w:tcBorders>
            <w:shd w:val="clear" w:color="auto" w:fill="auto"/>
            <w:vAlign w:val="center"/>
            <w:hideMark/>
          </w:tcPr>
          <w:p w14:paraId="658E2692" w14:textId="77777777" w:rsidR="004E4ED6" w:rsidRPr="00646203" w:rsidRDefault="004E4ED6" w:rsidP="00551D46">
            <w:pPr>
              <w:spacing w:after="0" w:line="240" w:lineRule="auto"/>
              <w:rPr>
                <w:rFonts w:eastAsia="Times New Roman" w:cs="Calibri"/>
                <w:bCs/>
                <w:color w:val="000000"/>
                <w:sz w:val="20"/>
                <w:szCs w:val="20"/>
                <w:lang w:eastAsia="en-AU"/>
              </w:rPr>
            </w:pPr>
            <w:r w:rsidRPr="00646203">
              <w:rPr>
                <w:rFonts w:eastAsia="Times New Roman" w:cs="Calibri"/>
                <w:bCs/>
                <w:color w:val="000000"/>
                <w:sz w:val="20"/>
                <w:szCs w:val="20"/>
                <w:lang w:eastAsia="en-AU"/>
              </w:rPr>
              <w:t>49518</w:t>
            </w:r>
          </w:p>
        </w:tc>
        <w:tc>
          <w:tcPr>
            <w:tcW w:w="3129" w:type="pct"/>
            <w:tcBorders>
              <w:top w:val="nil"/>
              <w:left w:val="nil"/>
              <w:bottom w:val="single" w:sz="4" w:space="0" w:color="auto"/>
              <w:right w:val="single" w:sz="4" w:space="0" w:color="auto"/>
            </w:tcBorders>
            <w:shd w:val="clear" w:color="auto" w:fill="auto"/>
            <w:vAlign w:val="center"/>
            <w:hideMark/>
          </w:tcPr>
          <w:p w14:paraId="196AA43B" w14:textId="77777777" w:rsidR="004E4ED6" w:rsidRPr="001A7A3D" w:rsidRDefault="004E4ED6" w:rsidP="00551D46">
            <w:pPr>
              <w:spacing w:after="0" w:line="240" w:lineRule="auto"/>
              <w:rPr>
                <w:rFonts w:eastAsia="Times New Roman" w:cs="Calibri"/>
                <w:color w:val="000000"/>
                <w:sz w:val="20"/>
                <w:szCs w:val="20"/>
                <w:lang w:eastAsia="en-AU"/>
              </w:rPr>
            </w:pPr>
            <w:r w:rsidRPr="001A7A3D">
              <w:rPr>
                <w:rFonts w:eastAsia="Times New Roman" w:cs="Calibri"/>
                <w:color w:val="000000"/>
                <w:sz w:val="20"/>
                <w:szCs w:val="20"/>
                <w:lang w:eastAsia="en-AU"/>
              </w:rPr>
              <w:t>Knee, total replacement arthroplasty of (anaes.) (assist.)</w:t>
            </w:r>
          </w:p>
        </w:tc>
        <w:tc>
          <w:tcPr>
            <w:tcW w:w="471" w:type="pct"/>
            <w:tcBorders>
              <w:top w:val="nil"/>
              <w:left w:val="nil"/>
              <w:bottom w:val="single" w:sz="4" w:space="0" w:color="auto"/>
              <w:right w:val="single" w:sz="4" w:space="0" w:color="auto"/>
            </w:tcBorders>
            <w:shd w:val="clear" w:color="auto" w:fill="auto"/>
            <w:vAlign w:val="center"/>
            <w:hideMark/>
          </w:tcPr>
          <w:p w14:paraId="2B2B2235"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25,886</w:t>
            </w:r>
          </w:p>
        </w:tc>
        <w:tc>
          <w:tcPr>
            <w:tcW w:w="471" w:type="pct"/>
            <w:tcBorders>
              <w:top w:val="nil"/>
              <w:left w:val="nil"/>
              <w:bottom w:val="single" w:sz="4" w:space="0" w:color="auto"/>
              <w:right w:val="single" w:sz="4" w:space="0" w:color="auto"/>
            </w:tcBorders>
            <w:shd w:val="clear" w:color="auto" w:fill="auto"/>
            <w:vAlign w:val="center"/>
            <w:hideMark/>
          </w:tcPr>
          <w:p w14:paraId="30CC1CA1"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26,131</w:t>
            </w:r>
          </w:p>
        </w:tc>
        <w:tc>
          <w:tcPr>
            <w:tcW w:w="444" w:type="pct"/>
            <w:tcBorders>
              <w:top w:val="nil"/>
              <w:left w:val="nil"/>
              <w:bottom w:val="single" w:sz="4" w:space="0" w:color="auto"/>
              <w:right w:val="single" w:sz="4" w:space="0" w:color="auto"/>
            </w:tcBorders>
            <w:shd w:val="clear" w:color="auto" w:fill="auto"/>
            <w:vAlign w:val="center"/>
            <w:hideMark/>
          </w:tcPr>
          <w:p w14:paraId="21730A02"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26,545</w:t>
            </w:r>
          </w:p>
        </w:tc>
      </w:tr>
      <w:tr w:rsidR="004E4ED6" w:rsidRPr="001A7A3D" w14:paraId="6A10E95C" w14:textId="77777777" w:rsidTr="00551D46">
        <w:trPr>
          <w:cantSplit/>
          <w:trHeight w:val="520"/>
        </w:trPr>
        <w:tc>
          <w:tcPr>
            <w:tcW w:w="485" w:type="pct"/>
            <w:tcBorders>
              <w:top w:val="nil"/>
              <w:left w:val="single" w:sz="4" w:space="0" w:color="auto"/>
              <w:bottom w:val="single" w:sz="4" w:space="0" w:color="auto"/>
              <w:right w:val="single" w:sz="4" w:space="0" w:color="auto"/>
            </w:tcBorders>
            <w:shd w:val="clear" w:color="auto" w:fill="auto"/>
            <w:vAlign w:val="center"/>
            <w:hideMark/>
          </w:tcPr>
          <w:p w14:paraId="053D4E29" w14:textId="77777777" w:rsidR="004E4ED6" w:rsidRPr="00646203" w:rsidRDefault="004E4ED6" w:rsidP="00551D46">
            <w:pPr>
              <w:spacing w:after="0" w:line="240" w:lineRule="auto"/>
              <w:rPr>
                <w:rFonts w:eastAsia="Times New Roman" w:cs="Calibri"/>
                <w:bCs/>
                <w:color w:val="000000"/>
                <w:sz w:val="20"/>
                <w:szCs w:val="20"/>
                <w:lang w:eastAsia="en-AU"/>
              </w:rPr>
            </w:pPr>
            <w:r w:rsidRPr="00646203">
              <w:rPr>
                <w:rFonts w:eastAsia="Times New Roman" w:cs="Calibri"/>
                <w:bCs/>
                <w:color w:val="000000"/>
                <w:sz w:val="20"/>
                <w:szCs w:val="20"/>
                <w:lang w:eastAsia="en-AU"/>
              </w:rPr>
              <w:t>49527</w:t>
            </w:r>
          </w:p>
        </w:tc>
        <w:tc>
          <w:tcPr>
            <w:tcW w:w="3129" w:type="pct"/>
            <w:tcBorders>
              <w:top w:val="nil"/>
              <w:left w:val="nil"/>
              <w:bottom w:val="single" w:sz="4" w:space="0" w:color="auto"/>
              <w:right w:val="single" w:sz="4" w:space="0" w:color="auto"/>
            </w:tcBorders>
            <w:shd w:val="clear" w:color="auto" w:fill="auto"/>
            <w:vAlign w:val="center"/>
            <w:hideMark/>
          </w:tcPr>
          <w:p w14:paraId="1BEC2E99" w14:textId="77777777" w:rsidR="004E4ED6" w:rsidRPr="001A7A3D" w:rsidRDefault="004E4ED6" w:rsidP="00551D46">
            <w:pPr>
              <w:spacing w:after="0" w:line="240" w:lineRule="auto"/>
              <w:rPr>
                <w:rFonts w:eastAsia="Times New Roman" w:cs="Calibri"/>
                <w:color w:val="000000"/>
                <w:sz w:val="20"/>
                <w:szCs w:val="20"/>
                <w:lang w:eastAsia="en-AU"/>
              </w:rPr>
            </w:pPr>
            <w:r w:rsidRPr="001A7A3D">
              <w:rPr>
                <w:rFonts w:eastAsia="Times New Roman" w:cs="Calibri"/>
                <w:color w:val="000000"/>
                <w:sz w:val="20"/>
                <w:szCs w:val="20"/>
                <w:lang w:eastAsia="en-AU"/>
              </w:rPr>
              <w:t>Knee, total replacement arthroplasty of, revision procedure, including removal of prosthesis (anaes.) (assist.)</w:t>
            </w:r>
          </w:p>
        </w:tc>
        <w:tc>
          <w:tcPr>
            <w:tcW w:w="471" w:type="pct"/>
            <w:tcBorders>
              <w:top w:val="nil"/>
              <w:left w:val="nil"/>
              <w:bottom w:val="single" w:sz="4" w:space="0" w:color="auto"/>
              <w:right w:val="single" w:sz="4" w:space="0" w:color="auto"/>
            </w:tcBorders>
            <w:shd w:val="clear" w:color="auto" w:fill="auto"/>
            <w:vAlign w:val="center"/>
            <w:hideMark/>
          </w:tcPr>
          <w:p w14:paraId="4EC463CC"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1,824</w:t>
            </w:r>
          </w:p>
        </w:tc>
        <w:tc>
          <w:tcPr>
            <w:tcW w:w="471" w:type="pct"/>
            <w:tcBorders>
              <w:top w:val="nil"/>
              <w:left w:val="nil"/>
              <w:bottom w:val="single" w:sz="4" w:space="0" w:color="auto"/>
              <w:right w:val="single" w:sz="4" w:space="0" w:color="auto"/>
            </w:tcBorders>
            <w:shd w:val="clear" w:color="auto" w:fill="auto"/>
            <w:vAlign w:val="center"/>
            <w:hideMark/>
          </w:tcPr>
          <w:p w14:paraId="5F355622"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1,949</w:t>
            </w:r>
          </w:p>
        </w:tc>
        <w:tc>
          <w:tcPr>
            <w:tcW w:w="444" w:type="pct"/>
            <w:tcBorders>
              <w:top w:val="nil"/>
              <w:left w:val="nil"/>
              <w:bottom w:val="single" w:sz="4" w:space="0" w:color="auto"/>
              <w:right w:val="single" w:sz="4" w:space="0" w:color="auto"/>
            </w:tcBorders>
            <w:shd w:val="clear" w:color="auto" w:fill="auto"/>
            <w:vAlign w:val="center"/>
            <w:hideMark/>
          </w:tcPr>
          <w:p w14:paraId="1C364C11"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2,057</w:t>
            </w:r>
          </w:p>
        </w:tc>
      </w:tr>
      <w:tr w:rsidR="004E4ED6" w:rsidRPr="001A7A3D" w14:paraId="678887D1" w14:textId="77777777" w:rsidTr="00551D46">
        <w:trPr>
          <w:cantSplit/>
          <w:trHeight w:val="780"/>
        </w:trPr>
        <w:tc>
          <w:tcPr>
            <w:tcW w:w="485" w:type="pct"/>
            <w:tcBorders>
              <w:top w:val="nil"/>
              <w:left w:val="single" w:sz="4" w:space="0" w:color="auto"/>
              <w:bottom w:val="single" w:sz="4" w:space="0" w:color="auto"/>
              <w:right w:val="single" w:sz="4" w:space="0" w:color="auto"/>
            </w:tcBorders>
            <w:shd w:val="clear" w:color="auto" w:fill="auto"/>
            <w:vAlign w:val="center"/>
            <w:hideMark/>
          </w:tcPr>
          <w:p w14:paraId="25D56FAD" w14:textId="77777777" w:rsidR="004E4ED6" w:rsidRPr="00646203" w:rsidRDefault="004E4ED6" w:rsidP="00551D46">
            <w:pPr>
              <w:spacing w:after="0" w:line="240" w:lineRule="auto"/>
              <w:rPr>
                <w:rFonts w:eastAsia="Times New Roman" w:cs="Calibri"/>
                <w:bCs/>
                <w:color w:val="000000"/>
                <w:sz w:val="20"/>
                <w:szCs w:val="20"/>
                <w:lang w:eastAsia="en-AU"/>
              </w:rPr>
            </w:pPr>
            <w:r w:rsidRPr="00646203">
              <w:rPr>
                <w:rFonts w:eastAsia="Times New Roman" w:cs="Calibri"/>
                <w:bCs/>
                <w:color w:val="000000"/>
                <w:sz w:val="20"/>
                <w:szCs w:val="20"/>
                <w:lang w:eastAsia="en-AU"/>
              </w:rPr>
              <w:t>49530</w:t>
            </w:r>
          </w:p>
        </w:tc>
        <w:tc>
          <w:tcPr>
            <w:tcW w:w="3129" w:type="pct"/>
            <w:tcBorders>
              <w:top w:val="nil"/>
              <w:left w:val="nil"/>
              <w:bottom w:val="single" w:sz="4" w:space="0" w:color="auto"/>
              <w:right w:val="single" w:sz="4" w:space="0" w:color="auto"/>
            </w:tcBorders>
            <w:shd w:val="clear" w:color="auto" w:fill="auto"/>
            <w:vAlign w:val="center"/>
            <w:hideMark/>
          </w:tcPr>
          <w:p w14:paraId="0829FFFD" w14:textId="77777777" w:rsidR="004E4ED6" w:rsidRPr="001A7A3D" w:rsidRDefault="004E4ED6" w:rsidP="00551D46">
            <w:pPr>
              <w:spacing w:after="0" w:line="240" w:lineRule="auto"/>
              <w:rPr>
                <w:rFonts w:eastAsia="Times New Roman" w:cs="Calibri"/>
                <w:color w:val="000000"/>
                <w:sz w:val="20"/>
                <w:szCs w:val="20"/>
                <w:lang w:eastAsia="en-AU"/>
              </w:rPr>
            </w:pPr>
            <w:r w:rsidRPr="001A7A3D">
              <w:rPr>
                <w:rFonts w:eastAsia="Times New Roman" w:cs="Calibri"/>
                <w:color w:val="000000"/>
                <w:sz w:val="20"/>
                <w:szCs w:val="20"/>
                <w:lang w:eastAsia="en-AU"/>
              </w:rPr>
              <w:t>Knee, total replacement arthroplasty of, revision procedure, requiring bone grafting to femur or tibia, including obtaining of graft and including removal of prosthesis (anaes.) (assist.)</w:t>
            </w:r>
          </w:p>
        </w:tc>
        <w:tc>
          <w:tcPr>
            <w:tcW w:w="471" w:type="pct"/>
            <w:tcBorders>
              <w:top w:val="nil"/>
              <w:left w:val="nil"/>
              <w:bottom w:val="single" w:sz="4" w:space="0" w:color="auto"/>
              <w:right w:val="single" w:sz="4" w:space="0" w:color="auto"/>
            </w:tcBorders>
            <w:shd w:val="clear" w:color="auto" w:fill="auto"/>
            <w:vAlign w:val="center"/>
            <w:hideMark/>
          </w:tcPr>
          <w:p w14:paraId="4E4E52F8"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351</w:t>
            </w:r>
          </w:p>
        </w:tc>
        <w:tc>
          <w:tcPr>
            <w:tcW w:w="471" w:type="pct"/>
            <w:tcBorders>
              <w:top w:val="nil"/>
              <w:left w:val="nil"/>
              <w:bottom w:val="single" w:sz="4" w:space="0" w:color="auto"/>
              <w:right w:val="single" w:sz="4" w:space="0" w:color="auto"/>
            </w:tcBorders>
            <w:shd w:val="clear" w:color="auto" w:fill="auto"/>
            <w:vAlign w:val="center"/>
            <w:hideMark/>
          </w:tcPr>
          <w:p w14:paraId="2DD1C791"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297</w:t>
            </w:r>
          </w:p>
        </w:tc>
        <w:tc>
          <w:tcPr>
            <w:tcW w:w="444" w:type="pct"/>
            <w:tcBorders>
              <w:top w:val="nil"/>
              <w:left w:val="nil"/>
              <w:bottom w:val="single" w:sz="4" w:space="0" w:color="auto"/>
              <w:right w:val="single" w:sz="4" w:space="0" w:color="auto"/>
            </w:tcBorders>
            <w:shd w:val="clear" w:color="auto" w:fill="auto"/>
            <w:vAlign w:val="center"/>
            <w:hideMark/>
          </w:tcPr>
          <w:p w14:paraId="63E1C67D"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330</w:t>
            </w:r>
          </w:p>
        </w:tc>
      </w:tr>
      <w:tr w:rsidR="004E4ED6" w:rsidRPr="001A7A3D" w14:paraId="3D9C0311" w14:textId="77777777" w:rsidTr="00551D46">
        <w:trPr>
          <w:cantSplit/>
          <w:trHeight w:val="780"/>
        </w:trPr>
        <w:tc>
          <w:tcPr>
            <w:tcW w:w="485" w:type="pct"/>
            <w:tcBorders>
              <w:top w:val="nil"/>
              <w:left w:val="single" w:sz="4" w:space="0" w:color="auto"/>
              <w:bottom w:val="single" w:sz="4" w:space="0" w:color="auto"/>
              <w:right w:val="single" w:sz="4" w:space="0" w:color="auto"/>
            </w:tcBorders>
            <w:shd w:val="clear" w:color="auto" w:fill="auto"/>
            <w:vAlign w:val="center"/>
            <w:hideMark/>
          </w:tcPr>
          <w:p w14:paraId="7BCF5808" w14:textId="77777777" w:rsidR="004E4ED6" w:rsidRPr="00646203" w:rsidRDefault="004E4ED6" w:rsidP="00551D46">
            <w:pPr>
              <w:spacing w:after="0" w:line="240" w:lineRule="auto"/>
              <w:rPr>
                <w:rFonts w:eastAsia="Times New Roman" w:cs="Calibri"/>
                <w:bCs/>
                <w:color w:val="000000"/>
                <w:sz w:val="20"/>
                <w:szCs w:val="20"/>
                <w:lang w:eastAsia="en-AU"/>
              </w:rPr>
            </w:pPr>
            <w:r w:rsidRPr="00646203">
              <w:rPr>
                <w:rFonts w:eastAsia="Times New Roman" w:cs="Calibri"/>
                <w:bCs/>
                <w:color w:val="000000"/>
                <w:sz w:val="20"/>
                <w:szCs w:val="20"/>
                <w:lang w:eastAsia="en-AU"/>
              </w:rPr>
              <w:t>49533</w:t>
            </w:r>
          </w:p>
        </w:tc>
        <w:tc>
          <w:tcPr>
            <w:tcW w:w="3129" w:type="pct"/>
            <w:tcBorders>
              <w:top w:val="nil"/>
              <w:left w:val="nil"/>
              <w:bottom w:val="single" w:sz="4" w:space="0" w:color="auto"/>
              <w:right w:val="single" w:sz="4" w:space="0" w:color="auto"/>
            </w:tcBorders>
            <w:shd w:val="clear" w:color="auto" w:fill="auto"/>
            <w:vAlign w:val="center"/>
            <w:hideMark/>
          </w:tcPr>
          <w:p w14:paraId="5C711574" w14:textId="77777777" w:rsidR="004E4ED6" w:rsidRPr="001A7A3D" w:rsidRDefault="004E4ED6" w:rsidP="00551D46">
            <w:pPr>
              <w:spacing w:after="0" w:line="240" w:lineRule="auto"/>
              <w:rPr>
                <w:rFonts w:eastAsia="Times New Roman" w:cs="Calibri"/>
                <w:color w:val="000000"/>
                <w:sz w:val="20"/>
                <w:szCs w:val="20"/>
                <w:lang w:eastAsia="en-AU"/>
              </w:rPr>
            </w:pPr>
            <w:r w:rsidRPr="001A7A3D">
              <w:rPr>
                <w:rFonts w:eastAsia="Times New Roman" w:cs="Calibri"/>
                <w:color w:val="000000"/>
                <w:sz w:val="20"/>
                <w:szCs w:val="20"/>
                <w:lang w:eastAsia="en-AU"/>
              </w:rPr>
              <w:t>Knee, total replacement arthroplasty of, revision procedure, requiring bone grafting to both femur and tibia, including obtaining of graft and including removal of prosthesis (anaes.) (assist.)</w:t>
            </w:r>
          </w:p>
        </w:tc>
        <w:tc>
          <w:tcPr>
            <w:tcW w:w="471" w:type="pct"/>
            <w:tcBorders>
              <w:top w:val="nil"/>
              <w:left w:val="nil"/>
              <w:bottom w:val="single" w:sz="4" w:space="0" w:color="auto"/>
              <w:right w:val="single" w:sz="4" w:space="0" w:color="auto"/>
            </w:tcBorders>
            <w:shd w:val="clear" w:color="auto" w:fill="auto"/>
            <w:vAlign w:val="center"/>
            <w:hideMark/>
          </w:tcPr>
          <w:p w14:paraId="7950E85E"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445</w:t>
            </w:r>
          </w:p>
        </w:tc>
        <w:tc>
          <w:tcPr>
            <w:tcW w:w="471" w:type="pct"/>
            <w:tcBorders>
              <w:top w:val="nil"/>
              <w:left w:val="nil"/>
              <w:bottom w:val="single" w:sz="4" w:space="0" w:color="auto"/>
              <w:right w:val="single" w:sz="4" w:space="0" w:color="auto"/>
            </w:tcBorders>
            <w:shd w:val="clear" w:color="auto" w:fill="auto"/>
            <w:vAlign w:val="center"/>
            <w:hideMark/>
          </w:tcPr>
          <w:p w14:paraId="2FEF4733"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516</w:t>
            </w:r>
          </w:p>
        </w:tc>
        <w:tc>
          <w:tcPr>
            <w:tcW w:w="444" w:type="pct"/>
            <w:tcBorders>
              <w:top w:val="nil"/>
              <w:left w:val="nil"/>
              <w:bottom w:val="single" w:sz="4" w:space="0" w:color="auto"/>
              <w:right w:val="single" w:sz="4" w:space="0" w:color="auto"/>
            </w:tcBorders>
            <w:shd w:val="clear" w:color="auto" w:fill="auto"/>
            <w:vAlign w:val="center"/>
            <w:hideMark/>
          </w:tcPr>
          <w:p w14:paraId="098B3C7B"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600</w:t>
            </w:r>
          </w:p>
        </w:tc>
      </w:tr>
      <w:tr w:rsidR="004E4ED6" w:rsidRPr="001A7A3D" w14:paraId="6E32417D" w14:textId="77777777" w:rsidTr="00551D46">
        <w:trPr>
          <w:cantSplit/>
          <w:trHeight w:val="1040"/>
        </w:trPr>
        <w:tc>
          <w:tcPr>
            <w:tcW w:w="485" w:type="pct"/>
            <w:tcBorders>
              <w:top w:val="nil"/>
              <w:left w:val="single" w:sz="4" w:space="0" w:color="auto"/>
              <w:bottom w:val="single" w:sz="4" w:space="0" w:color="auto"/>
              <w:right w:val="single" w:sz="4" w:space="0" w:color="auto"/>
            </w:tcBorders>
            <w:shd w:val="clear" w:color="auto" w:fill="auto"/>
            <w:vAlign w:val="center"/>
            <w:hideMark/>
          </w:tcPr>
          <w:p w14:paraId="252E687D" w14:textId="77777777" w:rsidR="004E4ED6" w:rsidRPr="00646203" w:rsidRDefault="004E4ED6" w:rsidP="00551D46">
            <w:pPr>
              <w:spacing w:after="0" w:line="240" w:lineRule="auto"/>
              <w:rPr>
                <w:rFonts w:eastAsia="Times New Roman" w:cs="Calibri"/>
                <w:bCs/>
                <w:color w:val="000000"/>
                <w:sz w:val="20"/>
                <w:szCs w:val="20"/>
                <w:lang w:eastAsia="en-AU"/>
              </w:rPr>
            </w:pPr>
            <w:r w:rsidRPr="00646203">
              <w:rPr>
                <w:rFonts w:eastAsia="Times New Roman" w:cs="Calibri"/>
                <w:bCs/>
                <w:color w:val="000000"/>
                <w:sz w:val="20"/>
                <w:szCs w:val="20"/>
                <w:lang w:eastAsia="en-AU"/>
              </w:rPr>
              <w:t>50215</w:t>
            </w:r>
          </w:p>
        </w:tc>
        <w:tc>
          <w:tcPr>
            <w:tcW w:w="3129" w:type="pct"/>
            <w:tcBorders>
              <w:top w:val="nil"/>
              <w:left w:val="nil"/>
              <w:bottom w:val="single" w:sz="4" w:space="0" w:color="auto"/>
              <w:right w:val="single" w:sz="4" w:space="0" w:color="auto"/>
            </w:tcBorders>
            <w:shd w:val="clear" w:color="auto" w:fill="auto"/>
            <w:vAlign w:val="center"/>
            <w:hideMark/>
          </w:tcPr>
          <w:p w14:paraId="006B3791" w14:textId="77777777" w:rsidR="004E4ED6" w:rsidRPr="001A7A3D" w:rsidRDefault="004E4ED6" w:rsidP="00551D46">
            <w:pPr>
              <w:spacing w:after="0" w:line="240" w:lineRule="auto"/>
              <w:rPr>
                <w:rFonts w:eastAsia="Times New Roman" w:cs="Calibri"/>
                <w:color w:val="000000"/>
                <w:sz w:val="20"/>
                <w:szCs w:val="20"/>
                <w:lang w:eastAsia="en-AU"/>
              </w:rPr>
            </w:pPr>
            <w:r w:rsidRPr="001A7A3D">
              <w:rPr>
                <w:rFonts w:eastAsia="Times New Roman" w:cs="Calibri"/>
                <w:color w:val="000000"/>
                <w:sz w:val="20"/>
                <w:szCs w:val="20"/>
                <w:lang w:eastAsia="en-AU"/>
              </w:rPr>
              <w:t>Malignant or aggressive soft tissue tumour affecting the long bones of leg or arm, enbloc resection of, with compartmental or wide excision of soft tissue, with intercalary reconstruction (prosthesis, allograft or autograft) (anaes.) (assist.)</w:t>
            </w:r>
          </w:p>
        </w:tc>
        <w:tc>
          <w:tcPr>
            <w:tcW w:w="471" w:type="pct"/>
            <w:tcBorders>
              <w:top w:val="nil"/>
              <w:left w:val="nil"/>
              <w:bottom w:val="single" w:sz="4" w:space="0" w:color="auto"/>
              <w:right w:val="single" w:sz="4" w:space="0" w:color="auto"/>
            </w:tcBorders>
            <w:shd w:val="clear" w:color="auto" w:fill="auto"/>
            <w:vAlign w:val="center"/>
            <w:hideMark/>
          </w:tcPr>
          <w:p w14:paraId="2C3F52F9"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21</w:t>
            </w:r>
          </w:p>
        </w:tc>
        <w:tc>
          <w:tcPr>
            <w:tcW w:w="471" w:type="pct"/>
            <w:tcBorders>
              <w:top w:val="nil"/>
              <w:left w:val="nil"/>
              <w:bottom w:val="single" w:sz="4" w:space="0" w:color="auto"/>
              <w:right w:val="single" w:sz="4" w:space="0" w:color="auto"/>
            </w:tcBorders>
            <w:shd w:val="clear" w:color="auto" w:fill="auto"/>
            <w:vAlign w:val="center"/>
            <w:hideMark/>
          </w:tcPr>
          <w:p w14:paraId="145EF520"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27</w:t>
            </w:r>
          </w:p>
        </w:tc>
        <w:tc>
          <w:tcPr>
            <w:tcW w:w="444" w:type="pct"/>
            <w:tcBorders>
              <w:top w:val="nil"/>
              <w:left w:val="nil"/>
              <w:bottom w:val="single" w:sz="4" w:space="0" w:color="auto"/>
              <w:right w:val="single" w:sz="4" w:space="0" w:color="auto"/>
            </w:tcBorders>
            <w:shd w:val="clear" w:color="auto" w:fill="auto"/>
            <w:vAlign w:val="center"/>
            <w:hideMark/>
          </w:tcPr>
          <w:p w14:paraId="19EE835D"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19</w:t>
            </w:r>
          </w:p>
        </w:tc>
      </w:tr>
      <w:tr w:rsidR="00C56066" w:rsidRPr="001A7A3D" w14:paraId="4744F0F0" w14:textId="77777777" w:rsidTr="00511545">
        <w:trPr>
          <w:trHeight w:val="450"/>
          <w:tblHeader/>
        </w:trPr>
        <w:tc>
          <w:tcPr>
            <w:tcW w:w="485" w:type="pct"/>
            <w:tcBorders>
              <w:top w:val="single" w:sz="4" w:space="0" w:color="auto"/>
              <w:left w:val="single" w:sz="4" w:space="0" w:color="auto"/>
              <w:right w:val="single" w:sz="4" w:space="0" w:color="auto"/>
            </w:tcBorders>
            <w:shd w:val="clear" w:color="auto" w:fill="auto"/>
            <w:vAlign w:val="center"/>
            <w:hideMark/>
          </w:tcPr>
          <w:p w14:paraId="0E74A235" w14:textId="77777777" w:rsidR="00C56066" w:rsidRPr="00646203" w:rsidRDefault="00C56066" w:rsidP="00C56066">
            <w:pPr>
              <w:spacing w:after="0" w:line="240" w:lineRule="auto"/>
              <w:jc w:val="center"/>
              <w:rPr>
                <w:rFonts w:eastAsia="Times New Roman" w:cs="Calibri"/>
                <w:b/>
                <w:bCs/>
                <w:color w:val="000000"/>
                <w:sz w:val="20"/>
                <w:szCs w:val="20"/>
                <w:lang w:eastAsia="en-AU"/>
              </w:rPr>
            </w:pPr>
            <w:r w:rsidRPr="00646203">
              <w:rPr>
                <w:rFonts w:eastAsia="Times New Roman" w:cs="Calibri"/>
                <w:b/>
                <w:bCs/>
                <w:color w:val="000000"/>
                <w:sz w:val="20"/>
                <w:szCs w:val="20"/>
                <w:lang w:eastAsia="en-AU"/>
              </w:rPr>
              <w:t>MBS item</w:t>
            </w:r>
          </w:p>
        </w:tc>
        <w:tc>
          <w:tcPr>
            <w:tcW w:w="3129" w:type="pct"/>
            <w:tcBorders>
              <w:top w:val="single" w:sz="4" w:space="0" w:color="auto"/>
              <w:left w:val="nil"/>
              <w:right w:val="single" w:sz="4" w:space="0" w:color="auto"/>
            </w:tcBorders>
            <w:shd w:val="clear" w:color="auto" w:fill="auto"/>
            <w:vAlign w:val="center"/>
            <w:hideMark/>
          </w:tcPr>
          <w:p w14:paraId="2B7F8BEB" w14:textId="77777777" w:rsidR="00C56066" w:rsidRPr="001A7A3D" w:rsidRDefault="00C56066" w:rsidP="00C56066">
            <w:pPr>
              <w:spacing w:after="0" w:line="240" w:lineRule="auto"/>
              <w:jc w:val="center"/>
              <w:rPr>
                <w:rFonts w:eastAsia="Times New Roman" w:cs="Calibri"/>
                <w:b/>
                <w:bCs/>
                <w:color w:val="000000"/>
                <w:sz w:val="20"/>
                <w:szCs w:val="20"/>
                <w:lang w:eastAsia="en-AU"/>
              </w:rPr>
            </w:pPr>
            <w:r w:rsidRPr="001A7A3D">
              <w:rPr>
                <w:rFonts w:eastAsia="Times New Roman" w:cs="Calibri"/>
                <w:b/>
                <w:bCs/>
                <w:color w:val="000000"/>
                <w:sz w:val="20"/>
                <w:szCs w:val="20"/>
                <w:lang w:eastAsia="en-AU"/>
              </w:rPr>
              <w:t>Description</w:t>
            </w:r>
          </w:p>
          <w:p w14:paraId="572786D8" w14:textId="77777777" w:rsidR="00C56066" w:rsidRPr="001A7A3D" w:rsidRDefault="00C56066" w:rsidP="00C56066">
            <w:pPr>
              <w:spacing w:after="0" w:line="240" w:lineRule="auto"/>
              <w:jc w:val="center"/>
              <w:rPr>
                <w:rFonts w:eastAsia="Times New Roman" w:cs="Calibri"/>
                <w:b/>
                <w:bCs/>
                <w:color w:val="000000"/>
                <w:sz w:val="20"/>
                <w:szCs w:val="20"/>
                <w:lang w:eastAsia="en-AU"/>
              </w:rPr>
            </w:pPr>
          </w:p>
        </w:tc>
        <w:tc>
          <w:tcPr>
            <w:tcW w:w="1386" w:type="pct"/>
            <w:gridSpan w:val="3"/>
            <w:tcBorders>
              <w:top w:val="single" w:sz="4" w:space="0" w:color="auto"/>
              <w:left w:val="nil"/>
              <w:bottom w:val="single" w:sz="4" w:space="0" w:color="auto"/>
              <w:right w:val="single" w:sz="4" w:space="0" w:color="auto"/>
            </w:tcBorders>
            <w:shd w:val="clear" w:color="auto" w:fill="auto"/>
            <w:vAlign w:val="center"/>
            <w:hideMark/>
          </w:tcPr>
          <w:p w14:paraId="226CE975" w14:textId="77777777" w:rsidR="00C56066" w:rsidRPr="001A7A3D" w:rsidRDefault="00C56066" w:rsidP="00C56066">
            <w:pPr>
              <w:spacing w:after="0" w:line="240" w:lineRule="auto"/>
              <w:jc w:val="center"/>
              <w:rPr>
                <w:rFonts w:eastAsia="Times New Roman" w:cs="Calibri"/>
                <w:b/>
                <w:bCs/>
                <w:color w:val="000000"/>
                <w:sz w:val="20"/>
                <w:szCs w:val="20"/>
                <w:lang w:eastAsia="en-AU"/>
              </w:rPr>
            </w:pPr>
            <w:bookmarkStart w:id="4" w:name="_GoBack"/>
            <w:r w:rsidRPr="001A7A3D">
              <w:rPr>
                <w:rFonts w:eastAsia="Times New Roman" w:cs="Calibri"/>
                <w:b/>
                <w:bCs/>
                <w:color w:val="000000"/>
                <w:sz w:val="20"/>
                <w:szCs w:val="20"/>
                <w:lang w:eastAsia="en-AU"/>
              </w:rPr>
              <w:t>Number of services</w:t>
            </w:r>
            <w:r>
              <w:rPr>
                <w:rFonts w:eastAsia="Times New Roman" w:cs="Calibri"/>
                <w:b/>
                <w:bCs/>
                <w:color w:val="000000"/>
                <w:sz w:val="20"/>
                <w:szCs w:val="20"/>
                <w:lang w:eastAsia="en-AU"/>
              </w:rPr>
              <w:t xml:space="preserve"> used</w:t>
            </w:r>
            <w:r w:rsidRPr="001A7A3D">
              <w:rPr>
                <w:rFonts w:eastAsia="Times New Roman" w:cs="Calibri"/>
                <w:b/>
                <w:bCs/>
                <w:color w:val="000000"/>
                <w:sz w:val="20"/>
                <w:szCs w:val="20"/>
                <w:lang w:eastAsia="en-AU"/>
              </w:rPr>
              <w:t xml:space="preserve"> in each financial year</w:t>
            </w:r>
            <w:bookmarkEnd w:id="4"/>
          </w:p>
        </w:tc>
      </w:tr>
      <w:tr w:rsidR="00C56066" w:rsidRPr="001A7A3D" w14:paraId="3FBE3D38" w14:textId="77777777" w:rsidTr="00511545">
        <w:trPr>
          <w:trHeight w:val="520"/>
          <w:tblHeader/>
        </w:trPr>
        <w:tc>
          <w:tcPr>
            <w:tcW w:w="485" w:type="pct"/>
            <w:tcBorders>
              <w:left w:val="single" w:sz="4" w:space="0" w:color="auto"/>
              <w:bottom w:val="single" w:sz="4" w:space="0" w:color="auto"/>
              <w:right w:val="single" w:sz="4" w:space="0" w:color="auto"/>
            </w:tcBorders>
            <w:shd w:val="clear" w:color="auto" w:fill="auto"/>
            <w:vAlign w:val="center"/>
            <w:hideMark/>
          </w:tcPr>
          <w:p w14:paraId="3ADC134F" w14:textId="77777777" w:rsidR="00C56066" w:rsidRPr="00646203" w:rsidRDefault="00C56066" w:rsidP="00C56066">
            <w:pPr>
              <w:spacing w:after="0" w:line="240" w:lineRule="auto"/>
              <w:jc w:val="center"/>
              <w:rPr>
                <w:rFonts w:eastAsia="Times New Roman" w:cs="Calibri"/>
                <w:bCs/>
                <w:color w:val="000000"/>
                <w:sz w:val="20"/>
                <w:szCs w:val="20"/>
                <w:lang w:eastAsia="en-AU"/>
              </w:rPr>
            </w:pPr>
          </w:p>
        </w:tc>
        <w:tc>
          <w:tcPr>
            <w:tcW w:w="3129" w:type="pct"/>
            <w:tcBorders>
              <w:left w:val="nil"/>
              <w:bottom w:val="single" w:sz="4" w:space="0" w:color="auto"/>
              <w:right w:val="single" w:sz="4" w:space="0" w:color="auto"/>
            </w:tcBorders>
            <w:shd w:val="clear" w:color="auto" w:fill="auto"/>
            <w:vAlign w:val="center"/>
            <w:hideMark/>
          </w:tcPr>
          <w:p w14:paraId="27DD9BA9" w14:textId="77777777" w:rsidR="00C56066" w:rsidRPr="001A7A3D" w:rsidRDefault="00C56066" w:rsidP="00C56066">
            <w:pPr>
              <w:spacing w:after="0" w:line="240" w:lineRule="auto"/>
              <w:jc w:val="center"/>
              <w:rPr>
                <w:rFonts w:eastAsia="Times New Roman" w:cs="Calibri"/>
                <w:b/>
                <w:bCs/>
                <w:color w:val="000000"/>
                <w:sz w:val="20"/>
                <w:szCs w:val="20"/>
                <w:lang w:eastAsia="en-AU"/>
              </w:rPr>
            </w:pPr>
          </w:p>
        </w:tc>
        <w:tc>
          <w:tcPr>
            <w:tcW w:w="471" w:type="pct"/>
            <w:tcBorders>
              <w:top w:val="nil"/>
              <w:left w:val="nil"/>
              <w:bottom w:val="single" w:sz="4" w:space="0" w:color="auto"/>
              <w:right w:val="single" w:sz="4" w:space="0" w:color="auto"/>
            </w:tcBorders>
            <w:shd w:val="clear" w:color="auto" w:fill="auto"/>
            <w:vAlign w:val="center"/>
            <w:hideMark/>
          </w:tcPr>
          <w:p w14:paraId="7BA973B0" w14:textId="77777777" w:rsidR="00C56066" w:rsidRDefault="00C56066" w:rsidP="00C56066">
            <w:pPr>
              <w:spacing w:after="0" w:line="240" w:lineRule="auto"/>
              <w:jc w:val="center"/>
              <w:rPr>
                <w:rFonts w:eastAsia="Times New Roman" w:cs="Calibri"/>
                <w:b/>
                <w:bCs/>
                <w:color w:val="000000"/>
                <w:sz w:val="20"/>
                <w:szCs w:val="20"/>
                <w:lang w:eastAsia="en-AU"/>
              </w:rPr>
            </w:pPr>
            <w:r w:rsidRPr="001A7A3D">
              <w:rPr>
                <w:rFonts w:eastAsia="Times New Roman" w:cs="Calibri"/>
                <w:b/>
                <w:bCs/>
                <w:color w:val="000000"/>
                <w:sz w:val="20"/>
                <w:szCs w:val="20"/>
                <w:lang w:eastAsia="en-AU"/>
              </w:rPr>
              <w:t>2016/</w:t>
            </w:r>
          </w:p>
          <w:p w14:paraId="2EC82A37" w14:textId="77777777" w:rsidR="00C56066" w:rsidRPr="001A7A3D" w:rsidRDefault="00C56066" w:rsidP="00C56066">
            <w:pPr>
              <w:spacing w:after="0" w:line="240" w:lineRule="auto"/>
              <w:jc w:val="center"/>
              <w:rPr>
                <w:rFonts w:eastAsia="Times New Roman" w:cs="Calibri"/>
                <w:b/>
                <w:bCs/>
                <w:color w:val="000000"/>
                <w:sz w:val="20"/>
                <w:szCs w:val="20"/>
                <w:lang w:eastAsia="en-AU"/>
              </w:rPr>
            </w:pPr>
            <w:r w:rsidRPr="001A7A3D">
              <w:rPr>
                <w:rFonts w:eastAsia="Times New Roman" w:cs="Calibri"/>
                <w:b/>
                <w:bCs/>
                <w:color w:val="000000"/>
                <w:sz w:val="20"/>
                <w:szCs w:val="20"/>
                <w:lang w:eastAsia="en-AU"/>
              </w:rPr>
              <w:t>2017</w:t>
            </w:r>
          </w:p>
        </w:tc>
        <w:tc>
          <w:tcPr>
            <w:tcW w:w="471" w:type="pct"/>
            <w:tcBorders>
              <w:top w:val="nil"/>
              <w:left w:val="nil"/>
              <w:bottom w:val="single" w:sz="4" w:space="0" w:color="auto"/>
              <w:right w:val="single" w:sz="4" w:space="0" w:color="auto"/>
            </w:tcBorders>
            <w:shd w:val="clear" w:color="auto" w:fill="auto"/>
            <w:vAlign w:val="center"/>
            <w:hideMark/>
          </w:tcPr>
          <w:p w14:paraId="50083C72" w14:textId="77777777" w:rsidR="00C56066" w:rsidRDefault="00C56066" w:rsidP="00C56066">
            <w:pPr>
              <w:spacing w:after="0" w:line="240" w:lineRule="auto"/>
              <w:jc w:val="center"/>
              <w:rPr>
                <w:rFonts w:eastAsia="Times New Roman" w:cs="Calibri"/>
                <w:b/>
                <w:bCs/>
                <w:color w:val="000000"/>
                <w:sz w:val="20"/>
                <w:szCs w:val="20"/>
                <w:lang w:eastAsia="en-AU"/>
              </w:rPr>
            </w:pPr>
            <w:r w:rsidRPr="001A7A3D">
              <w:rPr>
                <w:rFonts w:eastAsia="Times New Roman" w:cs="Calibri"/>
                <w:b/>
                <w:bCs/>
                <w:color w:val="000000"/>
                <w:sz w:val="20"/>
                <w:szCs w:val="20"/>
                <w:lang w:eastAsia="en-AU"/>
              </w:rPr>
              <w:t>2017/</w:t>
            </w:r>
          </w:p>
          <w:p w14:paraId="6703D1A8" w14:textId="77777777" w:rsidR="00C56066" w:rsidRPr="001A7A3D" w:rsidRDefault="00C56066" w:rsidP="00C56066">
            <w:pPr>
              <w:spacing w:after="0" w:line="240" w:lineRule="auto"/>
              <w:jc w:val="center"/>
              <w:rPr>
                <w:rFonts w:eastAsia="Times New Roman" w:cs="Calibri"/>
                <w:b/>
                <w:bCs/>
                <w:color w:val="000000"/>
                <w:sz w:val="20"/>
                <w:szCs w:val="20"/>
                <w:lang w:eastAsia="en-AU"/>
              </w:rPr>
            </w:pPr>
            <w:r w:rsidRPr="001A7A3D">
              <w:rPr>
                <w:rFonts w:eastAsia="Times New Roman" w:cs="Calibri"/>
                <w:b/>
                <w:bCs/>
                <w:color w:val="000000"/>
                <w:sz w:val="20"/>
                <w:szCs w:val="20"/>
                <w:lang w:eastAsia="en-AU"/>
              </w:rPr>
              <w:t>2018</w:t>
            </w:r>
          </w:p>
        </w:tc>
        <w:tc>
          <w:tcPr>
            <w:tcW w:w="444" w:type="pct"/>
            <w:tcBorders>
              <w:top w:val="nil"/>
              <w:left w:val="nil"/>
              <w:bottom w:val="single" w:sz="4" w:space="0" w:color="auto"/>
              <w:right w:val="single" w:sz="4" w:space="0" w:color="auto"/>
            </w:tcBorders>
            <w:shd w:val="clear" w:color="auto" w:fill="auto"/>
            <w:vAlign w:val="center"/>
            <w:hideMark/>
          </w:tcPr>
          <w:p w14:paraId="188EF79F" w14:textId="77777777" w:rsidR="00C56066" w:rsidRPr="001A7A3D" w:rsidRDefault="00C56066" w:rsidP="00C56066">
            <w:pPr>
              <w:spacing w:after="0" w:line="240" w:lineRule="auto"/>
              <w:jc w:val="center"/>
              <w:rPr>
                <w:rFonts w:eastAsia="Times New Roman" w:cs="Calibri"/>
                <w:b/>
                <w:bCs/>
                <w:color w:val="000000"/>
                <w:sz w:val="20"/>
                <w:szCs w:val="20"/>
                <w:lang w:eastAsia="en-AU"/>
              </w:rPr>
            </w:pPr>
            <w:r w:rsidRPr="001A7A3D">
              <w:rPr>
                <w:rFonts w:eastAsia="Times New Roman" w:cs="Calibri"/>
                <w:b/>
                <w:bCs/>
                <w:color w:val="000000"/>
                <w:sz w:val="20"/>
                <w:szCs w:val="20"/>
                <w:lang w:eastAsia="en-AU"/>
              </w:rPr>
              <w:t>2018/2019</w:t>
            </w:r>
          </w:p>
        </w:tc>
      </w:tr>
      <w:tr w:rsidR="004E4ED6" w:rsidRPr="001A7A3D" w14:paraId="5623DABF" w14:textId="77777777" w:rsidTr="00551D46">
        <w:trPr>
          <w:cantSplit/>
          <w:trHeight w:val="780"/>
        </w:trPr>
        <w:tc>
          <w:tcPr>
            <w:tcW w:w="485" w:type="pct"/>
            <w:tcBorders>
              <w:top w:val="nil"/>
              <w:left w:val="single" w:sz="4" w:space="0" w:color="auto"/>
              <w:bottom w:val="single" w:sz="4" w:space="0" w:color="auto"/>
              <w:right w:val="single" w:sz="4" w:space="0" w:color="auto"/>
            </w:tcBorders>
            <w:shd w:val="clear" w:color="auto" w:fill="auto"/>
            <w:vAlign w:val="center"/>
            <w:hideMark/>
          </w:tcPr>
          <w:p w14:paraId="19075189" w14:textId="77777777" w:rsidR="004E4ED6" w:rsidRPr="00646203" w:rsidRDefault="004E4ED6" w:rsidP="00551D46">
            <w:pPr>
              <w:spacing w:after="0" w:line="240" w:lineRule="auto"/>
              <w:rPr>
                <w:rFonts w:eastAsia="Times New Roman" w:cs="Calibri"/>
                <w:bCs/>
                <w:color w:val="000000"/>
                <w:sz w:val="20"/>
                <w:szCs w:val="20"/>
                <w:lang w:eastAsia="en-AU"/>
              </w:rPr>
            </w:pPr>
            <w:r w:rsidRPr="00646203">
              <w:rPr>
                <w:rFonts w:eastAsia="Times New Roman" w:cs="Calibri"/>
                <w:bCs/>
                <w:color w:val="000000"/>
                <w:sz w:val="20"/>
                <w:szCs w:val="20"/>
                <w:lang w:eastAsia="en-AU"/>
              </w:rPr>
              <w:t>50218</w:t>
            </w:r>
          </w:p>
        </w:tc>
        <w:tc>
          <w:tcPr>
            <w:tcW w:w="3129" w:type="pct"/>
            <w:tcBorders>
              <w:top w:val="nil"/>
              <w:left w:val="nil"/>
              <w:bottom w:val="single" w:sz="4" w:space="0" w:color="auto"/>
              <w:right w:val="single" w:sz="4" w:space="0" w:color="auto"/>
            </w:tcBorders>
            <w:shd w:val="clear" w:color="auto" w:fill="auto"/>
            <w:vAlign w:val="center"/>
            <w:hideMark/>
          </w:tcPr>
          <w:p w14:paraId="48CFAD0A" w14:textId="77777777" w:rsidR="004E4ED6" w:rsidRPr="001A7A3D" w:rsidRDefault="004E4ED6" w:rsidP="00551D46">
            <w:pPr>
              <w:spacing w:after="0" w:line="240" w:lineRule="auto"/>
              <w:rPr>
                <w:rFonts w:eastAsia="Times New Roman" w:cs="Calibri"/>
                <w:color w:val="000000"/>
                <w:sz w:val="20"/>
                <w:szCs w:val="20"/>
                <w:lang w:eastAsia="en-AU"/>
              </w:rPr>
            </w:pPr>
            <w:r w:rsidRPr="001A7A3D">
              <w:rPr>
                <w:rFonts w:eastAsia="Times New Roman" w:cs="Calibri"/>
                <w:color w:val="000000"/>
                <w:sz w:val="20"/>
                <w:szCs w:val="20"/>
                <w:lang w:eastAsia="en-AU"/>
              </w:rPr>
              <w:t>Malignant tumour of long bone, enbloc resection of, with replacement or arthrodesis of adjacent joint, with synovectomy if performed (anaes.) (assist.)</w:t>
            </w:r>
          </w:p>
        </w:tc>
        <w:tc>
          <w:tcPr>
            <w:tcW w:w="471" w:type="pct"/>
            <w:tcBorders>
              <w:top w:val="nil"/>
              <w:left w:val="nil"/>
              <w:bottom w:val="single" w:sz="4" w:space="0" w:color="auto"/>
              <w:right w:val="single" w:sz="4" w:space="0" w:color="auto"/>
            </w:tcBorders>
            <w:shd w:val="clear" w:color="auto" w:fill="auto"/>
            <w:vAlign w:val="center"/>
            <w:hideMark/>
          </w:tcPr>
          <w:p w14:paraId="622E4248"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87</w:t>
            </w:r>
          </w:p>
        </w:tc>
        <w:tc>
          <w:tcPr>
            <w:tcW w:w="471" w:type="pct"/>
            <w:tcBorders>
              <w:top w:val="nil"/>
              <w:left w:val="nil"/>
              <w:bottom w:val="single" w:sz="4" w:space="0" w:color="auto"/>
              <w:right w:val="single" w:sz="4" w:space="0" w:color="auto"/>
            </w:tcBorders>
            <w:shd w:val="clear" w:color="auto" w:fill="auto"/>
            <w:vAlign w:val="center"/>
            <w:hideMark/>
          </w:tcPr>
          <w:p w14:paraId="23B1A258"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87</w:t>
            </w:r>
          </w:p>
        </w:tc>
        <w:tc>
          <w:tcPr>
            <w:tcW w:w="444" w:type="pct"/>
            <w:tcBorders>
              <w:top w:val="nil"/>
              <w:left w:val="nil"/>
              <w:bottom w:val="single" w:sz="4" w:space="0" w:color="auto"/>
              <w:right w:val="single" w:sz="4" w:space="0" w:color="auto"/>
            </w:tcBorders>
            <w:shd w:val="clear" w:color="auto" w:fill="auto"/>
            <w:vAlign w:val="center"/>
            <w:hideMark/>
          </w:tcPr>
          <w:p w14:paraId="70ADC9CE"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101</w:t>
            </w:r>
          </w:p>
        </w:tc>
      </w:tr>
      <w:tr w:rsidR="004E4ED6" w:rsidRPr="001A7A3D" w14:paraId="5A279CFA" w14:textId="77777777" w:rsidTr="00551D46">
        <w:trPr>
          <w:cantSplit/>
          <w:trHeight w:val="780"/>
        </w:trPr>
        <w:tc>
          <w:tcPr>
            <w:tcW w:w="485" w:type="pct"/>
            <w:tcBorders>
              <w:top w:val="nil"/>
              <w:left w:val="single" w:sz="4" w:space="0" w:color="auto"/>
              <w:bottom w:val="single" w:sz="4" w:space="0" w:color="auto"/>
              <w:right w:val="single" w:sz="4" w:space="0" w:color="auto"/>
            </w:tcBorders>
            <w:shd w:val="clear" w:color="auto" w:fill="auto"/>
            <w:vAlign w:val="center"/>
            <w:hideMark/>
          </w:tcPr>
          <w:p w14:paraId="388BB56B" w14:textId="77777777" w:rsidR="004E4ED6" w:rsidRPr="00646203" w:rsidRDefault="004E4ED6" w:rsidP="00551D46">
            <w:pPr>
              <w:spacing w:after="0" w:line="240" w:lineRule="auto"/>
              <w:rPr>
                <w:rFonts w:eastAsia="Times New Roman" w:cs="Calibri"/>
                <w:bCs/>
                <w:color w:val="000000"/>
                <w:sz w:val="20"/>
                <w:szCs w:val="20"/>
                <w:lang w:eastAsia="en-AU"/>
              </w:rPr>
            </w:pPr>
            <w:r w:rsidRPr="00646203">
              <w:rPr>
                <w:rFonts w:eastAsia="Times New Roman" w:cs="Calibri"/>
                <w:bCs/>
                <w:color w:val="000000"/>
                <w:sz w:val="20"/>
                <w:szCs w:val="20"/>
                <w:lang w:eastAsia="en-AU"/>
              </w:rPr>
              <w:t>50224</w:t>
            </w:r>
          </w:p>
        </w:tc>
        <w:tc>
          <w:tcPr>
            <w:tcW w:w="3129" w:type="pct"/>
            <w:tcBorders>
              <w:top w:val="nil"/>
              <w:left w:val="nil"/>
              <w:bottom w:val="single" w:sz="4" w:space="0" w:color="auto"/>
              <w:right w:val="single" w:sz="4" w:space="0" w:color="auto"/>
            </w:tcBorders>
            <w:shd w:val="clear" w:color="auto" w:fill="auto"/>
            <w:vAlign w:val="center"/>
            <w:hideMark/>
          </w:tcPr>
          <w:p w14:paraId="62BB9027" w14:textId="77777777" w:rsidR="004E4ED6" w:rsidRPr="001A7A3D" w:rsidRDefault="004E4ED6" w:rsidP="00551D46">
            <w:pPr>
              <w:spacing w:after="0" w:line="240" w:lineRule="auto"/>
              <w:rPr>
                <w:rFonts w:eastAsia="Times New Roman" w:cs="Calibri"/>
                <w:color w:val="000000"/>
                <w:sz w:val="20"/>
                <w:szCs w:val="20"/>
                <w:lang w:eastAsia="en-AU"/>
              </w:rPr>
            </w:pPr>
            <w:r w:rsidRPr="001A7A3D">
              <w:rPr>
                <w:rFonts w:eastAsia="Times New Roman" w:cs="Calibri"/>
                <w:color w:val="000000"/>
                <w:sz w:val="20"/>
                <w:szCs w:val="20"/>
                <w:lang w:eastAsia="en-AU"/>
              </w:rPr>
              <w:t>Malignant or aggressive soft tissue tumour of pelvis, sacrum or spine; or scapula and shoulder, enbloc resection of, with reconstruction by prosthesis, allograft or autograft (anaes.) (assist.)</w:t>
            </w:r>
          </w:p>
        </w:tc>
        <w:tc>
          <w:tcPr>
            <w:tcW w:w="471" w:type="pct"/>
            <w:tcBorders>
              <w:top w:val="nil"/>
              <w:left w:val="nil"/>
              <w:bottom w:val="single" w:sz="4" w:space="0" w:color="auto"/>
              <w:right w:val="single" w:sz="4" w:space="0" w:color="auto"/>
            </w:tcBorders>
            <w:shd w:val="clear" w:color="auto" w:fill="auto"/>
            <w:vAlign w:val="center"/>
            <w:hideMark/>
          </w:tcPr>
          <w:p w14:paraId="5096108B"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60</w:t>
            </w:r>
          </w:p>
        </w:tc>
        <w:tc>
          <w:tcPr>
            <w:tcW w:w="471" w:type="pct"/>
            <w:tcBorders>
              <w:top w:val="nil"/>
              <w:left w:val="nil"/>
              <w:bottom w:val="single" w:sz="4" w:space="0" w:color="auto"/>
              <w:right w:val="single" w:sz="4" w:space="0" w:color="auto"/>
            </w:tcBorders>
            <w:shd w:val="clear" w:color="auto" w:fill="auto"/>
            <w:vAlign w:val="center"/>
            <w:hideMark/>
          </w:tcPr>
          <w:p w14:paraId="28057F50"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52</w:t>
            </w:r>
          </w:p>
        </w:tc>
        <w:tc>
          <w:tcPr>
            <w:tcW w:w="444" w:type="pct"/>
            <w:tcBorders>
              <w:top w:val="nil"/>
              <w:left w:val="nil"/>
              <w:bottom w:val="single" w:sz="4" w:space="0" w:color="auto"/>
              <w:right w:val="single" w:sz="4" w:space="0" w:color="auto"/>
            </w:tcBorders>
            <w:shd w:val="clear" w:color="auto" w:fill="auto"/>
            <w:vAlign w:val="center"/>
            <w:hideMark/>
          </w:tcPr>
          <w:p w14:paraId="75F1D93B"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50</w:t>
            </w:r>
          </w:p>
        </w:tc>
      </w:tr>
      <w:tr w:rsidR="004E4ED6" w:rsidRPr="001A7A3D" w14:paraId="5F81F9C5" w14:textId="77777777" w:rsidTr="00551D46">
        <w:trPr>
          <w:cantSplit/>
          <w:trHeight w:val="780"/>
        </w:trPr>
        <w:tc>
          <w:tcPr>
            <w:tcW w:w="485" w:type="pct"/>
            <w:tcBorders>
              <w:top w:val="nil"/>
              <w:left w:val="single" w:sz="4" w:space="0" w:color="auto"/>
              <w:bottom w:val="single" w:sz="4" w:space="0" w:color="auto"/>
              <w:right w:val="single" w:sz="4" w:space="0" w:color="auto"/>
            </w:tcBorders>
            <w:shd w:val="clear" w:color="auto" w:fill="auto"/>
            <w:vAlign w:val="center"/>
            <w:hideMark/>
          </w:tcPr>
          <w:p w14:paraId="3CBDF611" w14:textId="77777777" w:rsidR="004E4ED6" w:rsidRPr="00646203" w:rsidRDefault="004E4ED6" w:rsidP="00551D46">
            <w:pPr>
              <w:spacing w:after="0" w:line="240" w:lineRule="auto"/>
              <w:rPr>
                <w:rFonts w:eastAsia="Times New Roman" w:cs="Calibri"/>
                <w:bCs/>
                <w:color w:val="000000"/>
                <w:sz w:val="20"/>
                <w:szCs w:val="20"/>
                <w:lang w:eastAsia="en-AU"/>
              </w:rPr>
            </w:pPr>
            <w:r w:rsidRPr="00646203">
              <w:rPr>
                <w:rFonts w:eastAsia="Times New Roman" w:cs="Calibri"/>
                <w:bCs/>
                <w:color w:val="000000"/>
                <w:sz w:val="20"/>
                <w:szCs w:val="20"/>
                <w:lang w:eastAsia="en-AU"/>
              </w:rPr>
              <w:t>50227</w:t>
            </w:r>
          </w:p>
        </w:tc>
        <w:tc>
          <w:tcPr>
            <w:tcW w:w="3129" w:type="pct"/>
            <w:tcBorders>
              <w:top w:val="nil"/>
              <w:left w:val="nil"/>
              <w:bottom w:val="single" w:sz="4" w:space="0" w:color="auto"/>
              <w:right w:val="single" w:sz="4" w:space="0" w:color="auto"/>
            </w:tcBorders>
            <w:shd w:val="clear" w:color="auto" w:fill="auto"/>
            <w:vAlign w:val="center"/>
            <w:hideMark/>
          </w:tcPr>
          <w:p w14:paraId="5E95BC72" w14:textId="77777777" w:rsidR="004E4ED6" w:rsidRPr="001A7A3D" w:rsidRDefault="004E4ED6" w:rsidP="00551D46">
            <w:pPr>
              <w:spacing w:after="0" w:line="240" w:lineRule="auto"/>
              <w:rPr>
                <w:rFonts w:eastAsia="Times New Roman" w:cs="Calibri"/>
                <w:color w:val="000000"/>
                <w:sz w:val="20"/>
                <w:szCs w:val="20"/>
                <w:lang w:eastAsia="en-AU"/>
              </w:rPr>
            </w:pPr>
            <w:r w:rsidRPr="001A7A3D">
              <w:rPr>
                <w:rFonts w:eastAsia="Times New Roman" w:cs="Calibri"/>
                <w:color w:val="000000"/>
                <w:sz w:val="20"/>
                <w:szCs w:val="20"/>
                <w:lang w:eastAsia="en-AU"/>
              </w:rPr>
              <w:t>Malignant bone tumour, enbloc resection of, with massive anatomic specific allograft or autograft, with or without prosthetic replacement (anaes.) (assist.)</w:t>
            </w:r>
          </w:p>
        </w:tc>
        <w:tc>
          <w:tcPr>
            <w:tcW w:w="471" w:type="pct"/>
            <w:tcBorders>
              <w:top w:val="nil"/>
              <w:left w:val="nil"/>
              <w:bottom w:val="single" w:sz="4" w:space="0" w:color="auto"/>
              <w:right w:val="single" w:sz="4" w:space="0" w:color="auto"/>
            </w:tcBorders>
            <w:shd w:val="clear" w:color="auto" w:fill="auto"/>
            <w:vAlign w:val="center"/>
            <w:hideMark/>
          </w:tcPr>
          <w:p w14:paraId="316B4C30"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14</w:t>
            </w:r>
          </w:p>
        </w:tc>
        <w:tc>
          <w:tcPr>
            <w:tcW w:w="471" w:type="pct"/>
            <w:tcBorders>
              <w:top w:val="nil"/>
              <w:left w:val="nil"/>
              <w:bottom w:val="single" w:sz="4" w:space="0" w:color="auto"/>
              <w:right w:val="single" w:sz="4" w:space="0" w:color="auto"/>
            </w:tcBorders>
            <w:shd w:val="clear" w:color="auto" w:fill="auto"/>
            <w:vAlign w:val="center"/>
            <w:hideMark/>
          </w:tcPr>
          <w:p w14:paraId="7C56A10E"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20</w:t>
            </w:r>
          </w:p>
        </w:tc>
        <w:tc>
          <w:tcPr>
            <w:tcW w:w="444" w:type="pct"/>
            <w:tcBorders>
              <w:top w:val="nil"/>
              <w:left w:val="nil"/>
              <w:bottom w:val="single" w:sz="4" w:space="0" w:color="auto"/>
              <w:right w:val="single" w:sz="4" w:space="0" w:color="auto"/>
            </w:tcBorders>
            <w:shd w:val="clear" w:color="auto" w:fill="auto"/>
            <w:vAlign w:val="center"/>
            <w:hideMark/>
          </w:tcPr>
          <w:p w14:paraId="226D8B33" w14:textId="77777777" w:rsidR="004E4ED6" w:rsidRPr="001A7A3D" w:rsidRDefault="004E4ED6"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14</w:t>
            </w:r>
          </w:p>
        </w:tc>
      </w:tr>
      <w:tr w:rsidR="00CE3A49" w:rsidRPr="004E4ED6" w14:paraId="13531F04" w14:textId="77777777" w:rsidTr="00551D46">
        <w:trPr>
          <w:cantSplit/>
          <w:trHeight w:val="520"/>
        </w:trPr>
        <w:tc>
          <w:tcPr>
            <w:tcW w:w="3614" w:type="pct"/>
            <w:gridSpan w:val="2"/>
            <w:tcBorders>
              <w:top w:val="nil"/>
              <w:left w:val="single" w:sz="4" w:space="0" w:color="auto"/>
              <w:bottom w:val="single" w:sz="4" w:space="0" w:color="auto"/>
              <w:right w:val="single" w:sz="4" w:space="0" w:color="auto"/>
            </w:tcBorders>
            <w:shd w:val="clear" w:color="auto" w:fill="auto"/>
            <w:vAlign w:val="center"/>
            <w:hideMark/>
          </w:tcPr>
          <w:p w14:paraId="3D115143" w14:textId="77777777" w:rsidR="00CE3A49" w:rsidRPr="00646203" w:rsidRDefault="00CE3A49" w:rsidP="00551D46">
            <w:pPr>
              <w:spacing w:after="0" w:line="240" w:lineRule="auto"/>
              <w:rPr>
                <w:rFonts w:eastAsia="Times New Roman" w:cs="Calibri"/>
                <w:bCs/>
                <w:color w:val="000000"/>
                <w:sz w:val="20"/>
                <w:szCs w:val="20"/>
                <w:lang w:eastAsia="en-AU"/>
              </w:rPr>
            </w:pPr>
            <w:r w:rsidRPr="00646203">
              <w:rPr>
                <w:rFonts w:eastAsia="Times New Roman" w:cs="Calibri"/>
                <w:bCs/>
                <w:color w:val="000000"/>
                <w:sz w:val="20"/>
                <w:szCs w:val="20"/>
                <w:lang w:eastAsia="en-AU"/>
              </w:rPr>
              <w:t>Total MBS services</w:t>
            </w:r>
          </w:p>
          <w:p w14:paraId="7CE106EC" w14:textId="0F0B3C34" w:rsidR="00CE3A49" w:rsidRPr="00646203" w:rsidRDefault="00CE3A49" w:rsidP="00551D46">
            <w:pPr>
              <w:spacing w:after="0" w:line="240" w:lineRule="auto"/>
              <w:rPr>
                <w:rFonts w:eastAsia="Times New Roman" w:cs="Calibri"/>
                <w:bCs/>
                <w:color w:val="000000"/>
                <w:sz w:val="20"/>
                <w:szCs w:val="20"/>
                <w:lang w:eastAsia="en-AU"/>
              </w:rPr>
            </w:pPr>
            <w:r w:rsidRPr="00646203">
              <w:rPr>
                <w:rFonts w:eastAsia="Times New Roman" w:cs="Calibri"/>
                <w:bCs/>
                <w:color w:val="000000"/>
                <w:sz w:val="20"/>
                <w:szCs w:val="20"/>
                <w:lang w:eastAsia="en-AU"/>
              </w:rPr>
              <w:t> </w:t>
            </w:r>
          </w:p>
        </w:tc>
        <w:tc>
          <w:tcPr>
            <w:tcW w:w="471" w:type="pct"/>
            <w:tcBorders>
              <w:top w:val="nil"/>
              <w:left w:val="nil"/>
              <w:bottom w:val="single" w:sz="4" w:space="0" w:color="auto"/>
              <w:right w:val="single" w:sz="4" w:space="0" w:color="auto"/>
            </w:tcBorders>
            <w:shd w:val="clear" w:color="auto" w:fill="auto"/>
            <w:vAlign w:val="center"/>
            <w:hideMark/>
          </w:tcPr>
          <w:p w14:paraId="5FD394B4" w14:textId="77777777" w:rsidR="00CE3A49" w:rsidRPr="001A7A3D" w:rsidRDefault="00CE3A49"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54,975</w:t>
            </w:r>
          </w:p>
        </w:tc>
        <w:tc>
          <w:tcPr>
            <w:tcW w:w="471" w:type="pct"/>
            <w:tcBorders>
              <w:top w:val="nil"/>
              <w:left w:val="nil"/>
              <w:bottom w:val="single" w:sz="4" w:space="0" w:color="auto"/>
              <w:right w:val="single" w:sz="4" w:space="0" w:color="auto"/>
            </w:tcBorders>
            <w:shd w:val="clear" w:color="auto" w:fill="auto"/>
            <w:vAlign w:val="center"/>
            <w:hideMark/>
          </w:tcPr>
          <w:p w14:paraId="52FC98BA" w14:textId="77777777" w:rsidR="00CE3A49" w:rsidRPr="001A7A3D" w:rsidRDefault="00CE3A49" w:rsidP="00551D46">
            <w:pPr>
              <w:spacing w:after="0" w:line="240" w:lineRule="auto"/>
              <w:jc w:val="center"/>
              <w:rPr>
                <w:rFonts w:eastAsia="Times New Roman" w:cs="Calibri"/>
                <w:color w:val="000000"/>
                <w:sz w:val="20"/>
                <w:szCs w:val="20"/>
                <w:lang w:eastAsia="en-AU"/>
              </w:rPr>
            </w:pPr>
            <w:r w:rsidRPr="001A7A3D">
              <w:rPr>
                <w:rFonts w:eastAsia="Times New Roman" w:cs="Calibri"/>
                <w:color w:val="000000"/>
                <w:sz w:val="20"/>
                <w:szCs w:val="20"/>
                <w:lang w:eastAsia="en-AU"/>
              </w:rPr>
              <w:t>56,927</w:t>
            </w:r>
          </w:p>
        </w:tc>
        <w:tc>
          <w:tcPr>
            <w:tcW w:w="444" w:type="pct"/>
            <w:tcBorders>
              <w:top w:val="nil"/>
              <w:left w:val="nil"/>
              <w:bottom w:val="single" w:sz="4" w:space="0" w:color="auto"/>
              <w:right w:val="single" w:sz="4" w:space="0" w:color="auto"/>
            </w:tcBorders>
            <w:shd w:val="clear" w:color="auto" w:fill="auto"/>
            <w:vAlign w:val="center"/>
            <w:hideMark/>
          </w:tcPr>
          <w:p w14:paraId="3F7C0185" w14:textId="77777777" w:rsidR="00CE3A49" w:rsidRPr="004E4ED6" w:rsidRDefault="00CE3A49" w:rsidP="00551D46">
            <w:pPr>
              <w:spacing w:after="0" w:line="240" w:lineRule="auto"/>
              <w:jc w:val="center"/>
              <w:rPr>
                <w:rFonts w:eastAsia="Times New Roman" w:cs="Calibri"/>
                <w:sz w:val="20"/>
                <w:szCs w:val="20"/>
                <w:lang w:eastAsia="en-AU"/>
              </w:rPr>
            </w:pPr>
            <w:r w:rsidRPr="001A7A3D">
              <w:rPr>
                <w:rFonts w:eastAsia="Times New Roman" w:cs="Calibri"/>
                <w:color w:val="000000"/>
                <w:sz w:val="20"/>
                <w:szCs w:val="20"/>
                <w:lang w:eastAsia="en-AU"/>
              </w:rPr>
              <w:t>58,077</w:t>
            </w:r>
          </w:p>
        </w:tc>
      </w:tr>
    </w:tbl>
    <w:p w14:paraId="6FD59612" w14:textId="68465248" w:rsidR="004E4ED6" w:rsidRDefault="00CE3A49" w:rsidP="00185363">
      <w:pPr>
        <w:spacing w:after="0" w:line="240" w:lineRule="auto"/>
        <w:rPr>
          <w:sz w:val="20"/>
          <w:szCs w:val="20"/>
        </w:rPr>
      </w:pPr>
      <w:r w:rsidRPr="00CE3A49">
        <w:rPr>
          <w:sz w:val="20"/>
          <w:szCs w:val="20"/>
        </w:rPr>
        <w:t>Source: Compiled during the preparation of the PICO</w:t>
      </w:r>
      <w:r>
        <w:rPr>
          <w:sz w:val="20"/>
          <w:szCs w:val="20"/>
        </w:rPr>
        <w:t xml:space="preserve"> for the MSAC </w:t>
      </w:r>
      <w:r w:rsidR="0038000B">
        <w:rPr>
          <w:sz w:val="20"/>
          <w:szCs w:val="20"/>
        </w:rPr>
        <w:t>Application</w:t>
      </w:r>
      <w:r>
        <w:rPr>
          <w:sz w:val="20"/>
          <w:szCs w:val="20"/>
        </w:rPr>
        <w:t xml:space="preserve"> 1629 based on Medicare data</w:t>
      </w:r>
      <w:r w:rsidR="00FD73DC">
        <w:t xml:space="preserve"> </w:t>
      </w:r>
      <w:r w:rsidR="00FD73DC">
        <w:fldChar w:fldCharType="begin"/>
      </w:r>
      <w:r w:rsidR="00282F28">
        <w:instrText xml:space="preserve"> ADDIN EN.CITE &lt;EndNote&gt;&lt;Cite&gt;&lt;Author&gt;Medicare Australia Statistics&lt;/Author&gt;&lt;Year&gt;2020&lt;/Year&gt;&lt;RecNum&gt;33&lt;/RecNum&gt;&lt;DisplayText&gt;[23]&lt;/DisplayText&gt;&lt;record&gt;&lt;rec-number&gt;33&lt;/rec-number&gt;&lt;foreign-keys&gt;&lt;key app="EN" db-id="0x52t0fa5ezaf7e22eopzxaswfsaaaevpfzf" timestamp="1594275820"&gt;33&lt;/key&gt;&lt;/foreign-keys&gt;&lt;ref-type name="Web Page"&gt;12&lt;/ref-type&gt;&lt;contributors&gt;&lt;authors&gt;&lt;author&gt;Medicare Australia Statistics,&lt;/author&gt;&lt;/authors&gt;&lt;/contributors&gt;&lt;titles&gt;&lt;title&gt;Requested Medicare items processed from July 2016 to June 2019&lt;/title&gt;&lt;/titles&gt;&lt;volume&gt;2020&lt;/volume&gt;&lt;number&gt;June 1&lt;/number&gt;&lt;dates&gt;&lt;year&gt;2020&lt;/year&gt;&lt;/dates&gt;&lt;pub-location&gt;Canberra&lt;/pub-location&gt;&lt;publisher&gt;Australian Government Department of Human Services&lt;/publisher&gt;&lt;urls&gt;&lt;related-urls&gt;&lt;url&gt;http://medicarestatistics.humanservices.gov.au/statistics/do.jsp?_PROGRAM=%2Fstatistics%2Fmbs_item_standard_report&amp;amp;DRILL=ag&amp;amp;group=49318%2C+49319%2C+49324%2C+49327%2C+49330%2C+49333%2C+49336%2C+49346%2C+49509%2C+49512%2C+49517%2C+49518%2C+49527%2C+49530%2C+49533%2C+50215%2C+50218%2C+50224%2C+50227&amp;amp;VAR=services&amp;amp;STAT=count&amp;amp;RPT_FMT=by+time+period+and+state&amp;amp;PTYPE=finyear&amp;amp;START_DT=201607&amp;amp;END_DT=201906&lt;/url&gt;&lt;/related-urls&gt;&lt;/urls&gt;&lt;/record&gt;&lt;/Cite&gt;&lt;/EndNote&gt;</w:instrText>
      </w:r>
      <w:r w:rsidR="00FD73DC">
        <w:fldChar w:fldCharType="separate"/>
      </w:r>
      <w:r w:rsidR="00282F28">
        <w:rPr>
          <w:noProof/>
        </w:rPr>
        <w:t>[23]</w:t>
      </w:r>
      <w:r w:rsidR="00FD73DC">
        <w:fldChar w:fldCharType="end"/>
      </w:r>
      <w:r>
        <w:rPr>
          <w:sz w:val="20"/>
          <w:szCs w:val="20"/>
        </w:rPr>
        <w:t>.</w:t>
      </w:r>
    </w:p>
    <w:p w14:paraId="315C0CD4" w14:textId="72BCD18D" w:rsidR="00185363" w:rsidRDefault="00185363" w:rsidP="0013086E">
      <w:pPr>
        <w:spacing w:after="0"/>
        <w:rPr>
          <w:sz w:val="20"/>
          <w:szCs w:val="20"/>
        </w:rPr>
      </w:pPr>
      <w:r>
        <w:rPr>
          <w:sz w:val="20"/>
          <w:szCs w:val="20"/>
        </w:rPr>
        <w:t>MBS items in the table were based on the Application (p17 of the Application)</w:t>
      </w:r>
    </w:p>
    <w:p w14:paraId="50BFFBFE" w14:textId="53A47001" w:rsidR="0013086E" w:rsidRPr="00CE3A49" w:rsidRDefault="009B30D2" w:rsidP="0051218E">
      <w:pPr>
        <w:rPr>
          <w:sz w:val="20"/>
          <w:szCs w:val="20"/>
        </w:rPr>
      </w:pPr>
      <w:r>
        <w:rPr>
          <w:sz w:val="20"/>
          <w:szCs w:val="20"/>
        </w:rPr>
        <w:t xml:space="preserve">Abbreviations: </w:t>
      </w:r>
      <w:r w:rsidR="0013086E">
        <w:rPr>
          <w:sz w:val="20"/>
          <w:szCs w:val="20"/>
        </w:rPr>
        <w:t xml:space="preserve">MBS: Medicare Benefits Schedule; MSAC: </w:t>
      </w:r>
      <w:r w:rsidR="0013086E" w:rsidRPr="0013086E">
        <w:rPr>
          <w:sz w:val="20"/>
          <w:szCs w:val="20"/>
        </w:rPr>
        <w:t>Medical Services Advisory Committee</w:t>
      </w:r>
    </w:p>
    <w:p w14:paraId="62FC2BCE" w14:textId="588FDB89" w:rsidR="00775F33" w:rsidRPr="005C4EA9" w:rsidRDefault="00775F33" w:rsidP="00AF3399">
      <w:r w:rsidRPr="005C4EA9">
        <w:t>For the utilisation to remain within 500 in the first three years</w:t>
      </w:r>
      <w:r w:rsidR="00551D46" w:rsidRPr="005C4EA9">
        <w:t xml:space="preserve"> using the MBS utilisation data from 2016-19</w:t>
      </w:r>
      <w:r w:rsidRPr="005C4EA9">
        <w:t xml:space="preserve">, the incidence rate of </w:t>
      </w:r>
      <w:r w:rsidR="004D721E" w:rsidRPr="005C4EA9">
        <w:t>periprosthetic</w:t>
      </w:r>
      <w:r w:rsidR="00716365" w:rsidRPr="005C4EA9">
        <w:t xml:space="preserve"> joint deep</w:t>
      </w:r>
      <w:r w:rsidR="004D721E" w:rsidRPr="005C4EA9">
        <w:t xml:space="preserve"> SSI</w:t>
      </w:r>
      <w:r w:rsidRPr="005C4EA9">
        <w:t xml:space="preserve"> would have to be around 0.30%</w:t>
      </w:r>
      <w:r w:rsidR="004D721E" w:rsidRPr="005C4EA9">
        <w:t xml:space="preserve">, which is </w:t>
      </w:r>
      <w:r w:rsidR="00716365" w:rsidRPr="005C4EA9">
        <w:t>within the incidence rate reported in the systematic review by Urquhart et al. (2010)</w:t>
      </w:r>
      <w:r w:rsidR="004D721E" w:rsidRPr="005C4EA9">
        <w:t>.</w:t>
      </w:r>
      <w:r w:rsidR="003B7E87" w:rsidRPr="005C4EA9">
        <w:t xml:space="preserve"> </w:t>
      </w:r>
      <w:r w:rsidR="001D2489" w:rsidRPr="005C4EA9">
        <w:t xml:space="preserve">It could be that the proportion of patients fulfilling </w:t>
      </w:r>
      <w:r w:rsidR="00716365" w:rsidRPr="005C4EA9">
        <w:t xml:space="preserve">the Applicant-listed </w:t>
      </w:r>
      <w:r w:rsidR="001D2489" w:rsidRPr="005C4EA9">
        <w:t>conditions</w:t>
      </w:r>
      <w:r w:rsidR="00716365" w:rsidRPr="005C4EA9">
        <w:rPr>
          <w:rStyle w:val="FootnoteReference"/>
        </w:rPr>
        <w:footnoteReference w:id="5"/>
      </w:r>
      <w:r w:rsidR="002C018C" w:rsidRPr="005C4EA9">
        <w:t xml:space="preserve"> </w:t>
      </w:r>
      <w:r w:rsidR="001D2489" w:rsidRPr="005C4EA9">
        <w:t>would be around 0.30% of overall services</w:t>
      </w:r>
      <w:r w:rsidR="003B7E87" w:rsidRPr="005C4EA9">
        <w:t xml:space="preserve"> as</w:t>
      </w:r>
      <w:r w:rsidR="001D2489" w:rsidRPr="005C4EA9">
        <w:t xml:space="preserve"> provided in Table 1.</w:t>
      </w:r>
      <w:r w:rsidR="003B7E87" w:rsidRPr="005C4EA9">
        <w:t xml:space="preserve"> However, this is </w:t>
      </w:r>
      <w:r w:rsidR="00205A3B" w:rsidRPr="005C4EA9">
        <w:t>un</w:t>
      </w:r>
      <w:r w:rsidR="003B7E87" w:rsidRPr="005C4EA9">
        <w:t>certain</w:t>
      </w:r>
      <w:r w:rsidR="003A1182" w:rsidRPr="005C4EA9">
        <w:t>,</w:t>
      </w:r>
      <w:r w:rsidR="003B7E87" w:rsidRPr="005C4EA9">
        <w:t xml:space="preserve"> owing to the lack of relevant data.</w:t>
      </w:r>
      <w:r w:rsidR="001D2489" w:rsidRPr="005C4EA9">
        <w:t xml:space="preserve"> </w:t>
      </w:r>
      <w:r w:rsidR="004D721E" w:rsidRPr="005C4EA9">
        <w:t>Thus, this estimate will need to be refined and validated in the assessment report.</w:t>
      </w:r>
      <w:r w:rsidR="00CA1BA2" w:rsidRPr="005C4EA9">
        <w:t xml:space="preserve"> Table 1 could provide useful information to help estimate the size of the eligible patient population.</w:t>
      </w:r>
    </w:p>
    <w:p w14:paraId="6E9883A3" w14:textId="2C5624B4" w:rsidR="00AF3399" w:rsidRPr="005C4EA9" w:rsidRDefault="00AF3399" w:rsidP="00AF3399">
      <w:r w:rsidRPr="005C4EA9">
        <w:t xml:space="preserve">The </w:t>
      </w:r>
      <w:r w:rsidR="0038000B" w:rsidRPr="005C4EA9">
        <w:t>Application</w:t>
      </w:r>
      <w:r w:rsidRPr="005C4EA9">
        <w:t xml:space="preserve"> mentioned that the risk of leakage</w:t>
      </w:r>
      <w:r w:rsidR="002C4485" w:rsidRPr="005C4EA9">
        <w:t>, i.e. use of DAC in patients outside the target population,</w:t>
      </w:r>
      <w:r w:rsidRPr="005C4EA9">
        <w:t xml:space="preserve"> was anticipated to be close to zero, given the relatively rare </w:t>
      </w:r>
      <w:r w:rsidR="00716365" w:rsidRPr="005C4EA9">
        <w:t>incidence of deep SSIs</w:t>
      </w:r>
      <w:r w:rsidR="00FA5A8B">
        <w:t xml:space="preserve"> (p19 </w:t>
      </w:r>
      <w:r w:rsidR="00612743" w:rsidRPr="005C4EA9">
        <w:t>of the Application)</w:t>
      </w:r>
      <w:r w:rsidRPr="005C4EA9">
        <w:t>.</w:t>
      </w:r>
      <w:r w:rsidR="00584D1E" w:rsidRPr="005C4EA9">
        <w:t xml:space="preserve"> The four groups proposed in the Application are patients with increased risk of developing deep SSIs. The at-risk population could be larger than the population who develop disease. Leakage is possible </w:t>
      </w:r>
      <w:r w:rsidR="00720CB3" w:rsidRPr="005C4EA9">
        <w:t>through the definitio</w:t>
      </w:r>
      <w:r w:rsidR="00907D8F" w:rsidRPr="005C4EA9">
        <w:t>n of eligible at-risk patients.</w:t>
      </w:r>
    </w:p>
    <w:p w14:paraId="52D144F3" w14:textId="637D659F" w:rsidR="00E364F7" w:rsidRPr="00EF24EE" w:rsidRDefault="002B3338" w:rsidP="00FE60D6">
      <w:pPr>
        <w:pStyle w:val="Heading4"/>
      </w:pPr>
      <w:r w:rsidRPr="00EF24EE">
        <w:t>Rationale</w:t>
      </w:r>
    </w:p>
    <w:p w14:paraId="1E9C1911" w14:textId="77777777" w:rsidR="00757BE7" w:rsidRDefault="00306F11" w:rsidP="00553D21">
      <w:r w:rsidRPr="005C4EA9">
        <w:t>The patient populations which ha</w:t>
      </w:r>
      <w:r w:rsidR="00AB1417" w:rsidRPr="005C4EA9">
        <w:t>ve</w:t>
      </w:r>
      <w:r w:rsidRPr="005C4EA9">
        <w:t xml:space="preserve"> been included in </w:t>
      </w:r>
      <w:r w:rsidR="00AB1417" w:rsidRPr="005C4EA9">
        <w:t>published</w:t>
      </w:r>
      <w:r w:rsidRPr="005C4EA9">
        <w:t xml:space="preserve"> studies in periprosthetic joint SSI prevention</w:t>
      </w:r>
      <w:r w:rsidR="009A5E43" w:rsidRPr="005C4EA9">
        <w:t xml:space="preserve"> and treatment</w:t>
      </w:r>
      <w:r w:rsidRPr="005C4EA9">
        <w:t xml:space="preserve"> </w:t>
      </w:r>
      <w:r w:rsidR="00AB1417" w:rsidRPr="005C4EA9">
        <w:t>are</w:t>
      </w:r>
      <w:r w:rsidRPr="005C4EA9">
        <w:t xml:space="preserve"> summarised in Table 2. </w:t>
      </w:r>
      <w:r w:rsidR="0098200B" w:rsidRPr="005C4EA9">
        <w:t>During preparation of the PICO, these studie</w:t>
      </w:r>
      <w:r w:rsidR="009F4BAD" w:rsidRPr="005C4EA9">
        <w:t xml:space="preserve">s were grouped according to the predominant </w:t>
      </w:r>
      <w:r w:rsidR="0098200B" w:rsidRPr="005C4EA9">
        <w:t>proposed patient populations</w:t>
      </w:r>
      <w:r w:rsidR="009F4BAD" w:rsidRPr="005C4EA9">
        <w:t xml:space="preserve"> in this application</w:t>
      </w:r>
      <w:r w:rsidR="0098200B" w:rsidRPr="005C4EA9">
        <w:t xml:space="preserve">, noting that there </w:t>
      </w:r>
      <w:r w:rsidR="00A62555" w:rsidRPr="005C4EA9">
        <w:t>were multiple populations included in some of the studies</w:t>
      </w:r>
      <w:r w:rsidR="00E40E69" w:rsidRPr="005C4EA9">
        <w:t>. For example, it was noted that</w:t>
      </w:r>
      <w:r w:rsidR="00E40E69">
        <w:rPr>
          <w:i/>
        </w:rPr>
        <w:t xml:space="preserve"> </w:t>
      </w:r>
      <w:r w:rsidR="00E40E69" w:rsidRPr="005C4EA9">
        <w:t xml:space="preserve">the predominant population in </w:t>
      </w:r>
      <w:r w:rsidR="0098200B" w:rsidRPr="005C4EA9">
        <w:t xml:space="preserve">Romano et al. </w:t>
      </w:r>
      <w:r w:rsidR="0004312B" w:rsidRPr="005C4EA9">
        <w:t>(</w:t>
      </w:r>
      <w:r w:rsidR="0098200B" w:rsidRPr="005C4EA9">
        <w:t>2016</w:t>
      </w:r>
      <w:r w:rsidR="00A62555" w:rsidRPr="005C4EA9">
        <w:t>) was</w:t>
      </w:r>
      <w:r w:rsidR="00E40E69" w:rsidRPr="005C4EA9">
        <w:t xml:space="preserve"> patients receiving primary surgery (71.1%)</w:t>
      </w:r>
      <w:r w:rsidR="0004312B" w:rsidRPr="005C4EA9">
        <w:t xml:space="preserve"> </w:t>
      </w:r>
      <w:r w:rsidR="00E40E69" w:rsidRPr="005C4EA9">
        <w:t xml:space="preserve">and </w:t>
      </w:r>
      <w:r w:rsidR="0004312B" w:rsidRPr="005C4EA9">
        <w:t xml:space="preserve">with compromised immune status (65.5%), which </w:t>
      </w:r>
      <w:r w:rsidR="00E40E69" w:rsidRPr="005C4EA9">
        <w:t>would align to population 1</w:t>
      </w:r>
      <w:r w:rsidR="0067309D" w:rsidRPr="005C4EA9">
        <w:t xml:space="preserve"> </w:t>
      </w:r>
      <w:r w:rsidR="0067309D" w:rsidRPr="005C4EA9">
        <w:fldChar w:fldCharType="begin"/>
      </w:r>
      <w:r w:rsidR="0067309D" w:rsidRPr="005C4EA9">
        <w:instrText xml:space="preserve"> ADDIN EN.CITE &lt;EndNote&gt;&lt;Cite&gt;&lt;Author&gt;Romanò&lt;/Author&gt;&lt;Year&gt;2016&lt;/Year&gt;&lt;RecNum&gt;34&lt;/RecNum&gt;&lt;DisplayText&gt;[3]&lt;/DisplayText&gt;&lt;record&gt;&lt;rec-number&gt;34&lt;/rec-number&gt;&lt;foreign-keys&gt;&lt;key app="EN" db-id="0x52t0fa5ezaf7e22eopzxaswfsaaaevpfzf" timestamp="1594962473"&gt;34&lt;/key&gt;&lt;/foreign-keys&gt;&lt;ref-type name="Journal Article"&gt;17&lt;/ref-type&gt;&lt;contributors&gt;&lt;authors&gt;&lt;author&gt;Romanò, Carlo Luca&lt;/author&gt;&lt;author&gt;Malizos, Kostantinos&lt;/author&gt;&lt;author&gt;Capuano, Nicola&lt;/author&gt;&lt;author&gt;Mezzoprete, Riccardo&lt;/author&gt;&lt;author&gt;D&amp;apos;Arienzo, Michele&lt;/author&gt;&lt;author&gt;Van Der Straeten, Catherine&lt;/author&gt;&lt;author&gt;Scarponi, Sara&lt;/author&gt;&lt;author&gt;Drago, Lorenzo&lt;/author&gt;&lt;/authors&gt;&lt;/contributors&gt;&lt;titles&gt;&lt;title&gt;Does an antibiotic-loaded hydrogel coating reduce early post-surgical infection after joint arthroplasty?&lt;/title&gt;&lt;secondary-title&gt;Journal of bone and joint infection&lt;/secondary-title&gt;&lt;/titles&gt;&lt;periodical&gt;&lt;full-title&gt;Journal of bone and joint infection&lt;/full-title&gt;&lt;/periodical&gt;&lt;pages&gt;34&lt;/pages&gt;&lt;volume&gt;1&lt;/volume&gt;&lt;dates&gt;&lt;year&gt;2016&lt;/year&gt;&lt;/dates&gt;&lt;urls&gt;&lt;/urls&gt;&lt;/record&gt;&lt;/Cite&gt;&lt;/EndNote&gt;</w:instrText>
      </w:r>
      <w:r w:rsidR="0067309D" w:rsidRPr="005C4EA9">
        <w:fldChar w:fldCharType="separate"/>
      </w:r>
      <w:r w:rsidR="0067309D" w:rsidRPr="005C4EA9">
        <w:rPr>
          <w:noProof/>
        </w:rPr>
        <w:t>[3]</w:t>
      </w:r>
      <w:r w:rsidR="0067309D" w:rsidRPr="005C4EA9">
        <w:fldChar w:fldCharType="end"/>
      </w:r>
      <w:r w:rsidR="00E40E69" w:rsidRPr="005C4EA9">
        <w:t>.</w:t>
      </w:r>
      <w:r w:rsidR="00665AE3">
        <w:t xml:space="preserve"> </w:t>
      </w:r>
      <w:r w:rsidR="00A62555" w:rsidRPr="005C4EA9">
        <w:t xml:space="preserve">Regarding the definition of comorbidities in Romano et al. </w:t>
      </w:r>
      <w:r w:rsidR="00FF3113" w:rsidRPr="005C4EA9">
        <w:t>(</w:t>
      </w:r>
      <w:r w:rsidR="00A62555" w:rsidRPr="005C4EA9">
        <w:t>2016</w:t>
      </w:r>
      <w:r w:rsidR="00FF3113" w:rsidRPr="005C4EA9">
        <w:t>)</w:t>
      </w:r>
      <w:r w:rsidR="00A62555" w:rsidRPr="005C4EA9">
        <w:t>, it was considered that compromised immune status might relate to comorbidities, either due to inherited disorders of immunity (small proportion of all patients); or acquired causes, e.g. diabetes, smoking cancer long-term steroids, immunosuppressants etc.); however, comorbidities were not reported as baseline characteristics in the trial, but were reported for those who had complications</w:t>
      </w:r>
      <w:r w:rsidR="00687E9D" w:rsidRPr="005C4EA9">
        <w:rPr>
          <w:rStyle w:val="FootnoteReference"/>
        </w:rPr>
        <w:footnoteReference w:id="6"/>
      </w:r>
      <w:r w:rsidR="00A62555" w:rsidRPr="005C4EA9">
        <w:t>.</w:t>
      </w:r>
    </w:p>
    <w:p w14:paraId="240909EB" w14:textId="64A78988" w:rsidR="0079455A" w:rsidRDefault="0079455A" w:rsidP="00553D21">
      <w:pPr>
        <w:rPr>
          <w:i/>
        </w:rPr>
      </w:pPr>
      <w:r w:rsidRPr="00665AE3">
        <w:rPr>
          <w:i/>
        </w:rPr>
        <w:t>PASC considered that the comorbidities for increased infection risk would be relevant for all proposed populations, not just population 1.</w:t>
      </w:r>
      <w:r w:rsidR="00757BE7">
        <w:rPr>
          <w:i/>
        </w:rPr>
        <w:t xml:space="preserve"> The applicant considered it would be inappropriate to </w:t>
      </w:r>
      <w:r w:rsidR="003D3713">
        <w:rPr>
          <w:i/>
        </w:rPr>
        <w:t>limit the</w:t>
      </w:r>
      <w:r w:rsidR="00757BE7">
        <w:rPr>
          <w:i/>
        </w:rPr>
        <w:t xml:space="preserve"> use of DAC in population</w:t>
      </w:r>
      <w:r w:rsidR="003D3713">
        <w:rPr>
          <w:i/>
        </w:rPr>
        <w:t>s</w:t>
      </w:r>
      <w:r w:rsidR="00757BE7">
        <w:rPr>
          <w:i/>
        </w:rPr>
        <w:t xml:space="preserve"> 2 and 3, noting that they are much smaller and well-defined populations, with significantly high infection rates regardless of comorbidities and high risk of infection.</w:t>
      </w:r>
    </w:p>
    <w:p w14:paraId="154B5512" w14:textId="6F9411AC" w:rsidR="0079455A" w:rsidRDefault="00560109" w:rsidP="00553D21">
      <w:r w:rsidRPr="00560109">
        <w:rPr>
          <w:i/>
        </w:rPr>
        <w:t xml:space="preserve">PASC noted that the rate of infection would be approximately 1% of all knee/hip replacements. </w:t>
      </w:r>
      <w:r w:rsidR="00553D21" w:rsidRPr="00553D21">
        <w:rPr>
          <w:i/>
        </w:rPr>
        <w:t>Given that infection is often unpredictable, PASC advised that the application should include evidence-based information to define which patients are at increased risk of infection in population 1, including the strength of association between defined comorbidities and infection risk. PASC noted the applicant’s advice indicating there are many publications reporting on this association, which would be important for inclusion in the assessment phase.</w:t>
      </w:r>
    </w:p>
    <w:p w14:paraId="33C63E04" w14:textId="4DC294D8" w:rsidR="00306F11" w:rsidRPr="00553D21" w:rsidRDefault="00553D21" w:rsidP="00553D21">
      <w:r w:rsidRPr="00553D21">
        <w:t>Romano et al. (2016)</w:t>
      </w:r>
      <w:r w:rsidR="00954BAB">
        <w:t xml:space="preserve"> </w:t>
      </w:r>
      <w:r w:rsidR="00A62555" w:rsidRPr="005C4EA9">
        <w:t>also recruited those who were undergoing</w:t>
      </w:r>
      <w:r w:rsidR="00E40E69" w:rsidRPr="005C4EA9">
        <w:t xml:space="preserve"> revision surgery for infection, which would align with population 3.</w:t>
      </w:r>
      <w:r>
        <w:t xml:space="preserve"> </w:t>
      </w:r>
      <w:r w:rsidRPr="00553D21">
        <w:rPr>
          <w:i/>
        </w:rPr>
        <w:t>PASC noted for population 3, the applicant’s response to the draft PICO considered that most patients receiving an implant replacement with DAC for infection would be with a one-stage revision procedure which is generally semi-elective and planned. Thus, PASC agreed to remove ‘elective’ from the definition of population 3.</w:t>
      </w:r>
    </w:p>
    <w:p w14:paraId="619CA377" w14:textId="332F02B4" w:rsidR="0079455A" w:rsidRDefault="002C5777" w:rsidP="001C0CB7">
      <w:pPr>
        <w:pStyle w:val="Caption"/>
        <w:spacing w:after="240" w:line="276" w:lineRule="auto"/>
        <w:ind w:left="0" w:firstLine="0"/>
        <w:rPr>
          <w:rFonts w:asciiTheme="minorHAnsi" w:hAnsiTheme="minorHAnsi" w:cstheme="minorHAnsi"/>
          <w:b w:val="0"/>
          <w:sz w:val="22"/>
          <w:szCs w:val="22"/>
        </w:rPr>
      </w:pPr>
      <w:r w:rsidRPr="00351586">
        <w:rPr>
          <w:rFonts w:asciiTheme="minorHAnsi" w:hAnsiTheme="minorHAnsi" w:cstheme="minorHAnsi"/>
          <w:b w:val="0"/>
          <w:sz w:val="22"/>
          <w:szCs w:val="22"/>
        </w:rPr>
        <w:t xml:space="preserve">Patients in </w:t>
      </w:r>
      <w:r w:rsidR="00006F14" w:rsidRPr="00351586">
        <w:rPr>
          <w:rFonts w:asciiTheme="minorHAnsi" w:hAnsiTheme="minorHAnsi" w:cstheme="minorHAnsi"/>
          <w:b w:val="0"/>
          <w:sz w:val="22"/>
          <w:szCs w:val="22"/>
        </w:rPr>
        <w:t xml:space="preserve">Zoccali et al. (2019) </w:t>
      </w:r>
      <w:r w:rsidRPr="00351586">
        <w:rPr>
          <w:rFonts w:asciiTheme="minorHAnsi" w:hAnsiTheme="minorHAnsi" w:cstheme="minorHAnsi"/>
          <w:b w:val="0"/>
          <w:sz w:val="22"/>
          <w:szCs w:val="22"/>
        </w:rPr>
        <w:t>received</w:t>
      </w:r>
      <w:r w:rsidR="00006F14" w:rsidRPr="00351586">
        <w:rPr>
          <w:rFonts w:asciiTheme="minorHAnsi" w:hAnsiTheme="minorHAnsi" w:cstheme="minorHAnsi"/>
          <w:b w:val="0"/>
          <w:sz w:val="22"/>
          <w:szCs w:val="22"/>
        </w:rPr>
        <w:t xml:space="preserve"> a megaprosthetic implant coated with DAC</w:t>
      </w:r>
      <w:r w:rsidR="00BE2992" w:rsidRPr="00351586">
        <w:rPr>
          <w:rFonts w:asciiTheme="minorHAnsi" w:hAnsiTheme="minorHAnsi" w:cstheme="minorHAnsi"/>
          <w:b w:val="0"/>
          <w:sz w:val="22"/>
          <w:szCs w:val="22"/>
        </w:rPr>
        <w:t xml:space="preserve"> </w:t>
      </w:r>
      <w:r w:rsidR="00006F14" w:rsidRPr="00351586">
        <w:rPr>
          <w:rFonts w:asciiTheme="minorHAnsi" w:hAnsiTheme="minorHAnsi" w:cstheme="minorHAnsi"/>
          <w:b w:val="0"/>
          <w:sz w:val="22"/>
          <w:szCs w:val="22"/>
        </w:rPr>
        <w:t>and would align with population 2</w:t>
      </w:r>
      <w:r w:rsidR="00C22DE4" w:rsidRPr="00351586">
        <w:rPr>
          <w:rFonts w:asciiTheme="minorHAnsi" w:hAnsiTheme="minorHAnsi" w:cstheme="minorHAnsi"/>
          <w:b w:val="0"/>
          <w:sz w:val="22"/>
          <w:szCs w:val="22"/>
        </w:rPr>
        <w:t xml:space="preserve"> </w:t>
      </w:r>
      <w:r w:rsidR="00282F28" w:rsidRPr="00351586">
        <w:rPr>
          <w:rFonts w:asciiTheme="minorHAnsi" w:hAnsiTheme="minorHAnsi" w:cstheme="minorHAnsi"/>
          <w:b w:val="0"/>
          <w:sz w:val="22"/>
          <w:szCs w:val="22"/>
        </w:rPr>
        <w:fldChar w:fldCharType="begin"/>
      </w:r>
      <w:r w:rsidR="00282F28" w:rsidRPr="00351586">
        <w:rPr>
          <w:rFonts w:asciiTheme="minorHAnsi" w:hAnsiTheme="minorHAnsi" w:cstheme="minorHAnsi"/>
          <w:b w:val="0"/>
          <w:sz w:val="22"/>
          <w:szCs w:val="22"/>
        </w:rPr>
        <w:instrText xml:space="preserve"> ADDIN EN.CITE &lt;EndNote&gt;&lt;Cite&gt;&lt;Author&gt;Zoccali&lt;/Author&gt;&lt;Year&gt;2019&lt;/Year&gt;&lt;RecNum&gt;39&lt;/RecNum&gt;&lt;DisplayText&gt;[24]&lt;/DisplayText&gt;&lt;record&gt;&lt;rec-number&gt;39&lt;/rec-number&gt;&lt;foreign-keys&gt;&lt;key app="EN" db-id="0x52t0fa5ezaf7e22eopzxaswfsaaaevpfzf" timestamp="1594965526"&gt;39&lt;/key&gt;&lt;/foreign-keys&gt;&lt;ref-type name="Conference Paper"&gt;47&lt;/ref-type&gt;&lt;contributors&gt;&lt;authors&gt;&lt;author&gt;Zoccali, Carmine&lt;/author&gt;&lt;author&gt;Daolio, Primo Andrea&lt;/author&gt;&lt;author&gt;Scoccianti, Guido&lt;/author&gt;&lt;author&gt;Biagini, Roberto&lt;/author&gt;&lt;author&gt;Campanacci, Domenico &lt;/author&gt;&lt;/authors&gt;&lt;/contributors&gt;&lt;titles&gt;&lt;title&gt;Antibacterial hydrogel coating in the prevention of periprosthetic joint infection after bone reconstruction with megaprosthesis: a consecutive case series&lt;/title&gt;&lt;/titles&gt;&lt;dates&gt;&lt;year&gt;2019&lt;/year&gt;&lt;/dates&gt;&lt;urls&gt;&lt;related-urls&gt;&lt;url&gt;https://www.emsos2019.eu/sites/www.emsos2019.eu/files/documenti/EMSOSfirenze.pdf&lt;/url&gt;&lt;/related-urls&gt;&lt;/urls&gt;&lt;/record&gt;&lt;/Cite&gt;&lt;/EndNote&gt;</w:instrText>
      </w:r>
      <w:r w:rsidR="00282F28" w:rsidRPr="00351586">
        <w:rPr>
          <w:rFonts w:asciiTheme="minorHAnsi" w:hAnsiTheme="minorHAnsi" w:cstheme="minorHAnsi"/>
          <w:b w:val="0"/>
          <w:sz w:val="22"/>
          <w:szCs w:val="22"/>
        </w:rPr>
        <w:fldChar w:fldCharType="separate"/>
      </w:r>
      <w:r w:rsidR="00282F28" w:rsidRPr="00351586">
        <w:rPr>
          <w:rFonts w:asciiTheme="minorHAnsi" w:hAnsiTheme="minorHAnsi" w:cstheme="minorHAnsi"/>
          <w:b w:val="0"/>
          <w:noProof/>
          <w:sz w:val="22"/>
          <w:szCs w:val="22"/>
        </w:rPr>
        <w:t>[24]</w:t>
      </w:r>
      <w:r w:rsidR="00282F28" w:rsidRPr="00351586">
        <w:rPr>
          <w:rFonts w:asciiTheme="minorHAnsi" w:hAnsiTheme="minorHAnsi" w:cstheme="minorHAnsi"/>
          <w:b w:val="0"/>
          <w:sz w:val="22"/>
          <w:szCs w:val="22"/>
        </w:rPr>
        <w:fldChar w:fldCharType="end"/>
      </w:r>
      <w:r w:rsidR="00006F14" w:rsidRPr="00351586">
        <w:rPr>
          <w:rFonts w:asciiTheme="minorHAnsi" w:hAnsiTheme="minorHAnsi" w:cstheme="minorHAnsi"/>
          <w:b w:val="0"/>
          <w:sz w:val="22"/>
          <w:szCs w:val="22"/>
        </w:rPr>
        <w:t>.</w:t>
      </w:r>
      <w:r w:rsidR="00553D21" w:rsidRPr="00351586">
        <w:rPr>
          <w:rFonts w:asciiTheme="minorHAnsi" w:hAnsiTheme="minorHAnsi" w:cstheme="minorHAnsi"/>
          <w:b w:val="0"/>
          <w:sz w:val="22"/>
          <w:szCs w:val="22"/>
        </w:rPr>
        <w:t xml:space="preserve"> </w:t>
      </w:r>
      <w:r w:rsidR="00553D21" w:rsidRPr="00351586">
        <w:rPr>
          <w:rFonts w:asciiTheme="minorHAnsi" w:hAnsiTheme="minorHAnsi" w:cstheme="minorHAnsi"/>
          <w:b w:val="0"/>
          <w:i/>
          <w:sz w:val="22"/>
          <w:szCs w:val="22"/>
        </w:rPr>
        <w:t>PASC confirmed for population 2, DAC would be used for all patients receiving a megaprosthesis or revision, not just patien</w:t>
      </w:r>
      <w:r w:rsidR="00650EF4">
        <w:rPr>
          <w:rFonts w:asciiTheme="minorHAnsi" w:hAnsiTheme="minorHAnsi" w:cstheme="minorHAnsi"/>
          <w:b w:val="0"/>
          <w:i/>
          <w:sz w:val="22"/>
          <w:szCs w:val="22"/>
        </w:rPr>
        <w:t>ts at higher risk of infection.</w:t>
      </w:r>
      <w:r w:rsidR="00553D21" w:rsidRPr="00351586">
        <w:rPr>
          <w:rFonts w:asciiTheme="minorHAnsi" w:hAnsiTheme="minorHAnsi" w:cstheme="minorHAnsi"/>
          <w:b w:val="0"/>
          <w:i/>
          <w:sz w:val="22"/>
          <w:szCs w:val="22"/>
        </w:rPr>
        <w:t xml:space="preserve"> PASC noted the applicant’s advice indicating that population 2 would have the highest infection rate of up to 25% (relative to other proposed populations), but would be the smallest subpopulation. Surgical procedures for malignancy represented approximately 0.3% of surgical procedures provided on MBS in 2018/19 (see Table 1).</w:t>
      </w:r>
    </w:p>
    <w:p w14:paraId="5292B69B" w14:textId="3DBEF3D2" w:rsidR="00351586" w:rsidRDefault="00BE2992" w:rsidP="003C6416">
      <w:pPr>
        <w:pStyle w:val="Caption"/>
        <w:spacing w:after="0" w:line="276" w:lineRule="auto"/>
        <w:ind w:left="0" w:firstLine="0"/>
        <w:rPr>
          <w:rFonts w:asciiTheme="minorHAnsi" w:hAnsiTheme="minorHAnsi" w:cstheme="minorHAnsi"/>
          <w:b w:val="0"/>
          <w:sz w:val="22"/>
          <w:szCs w:val="22"/>
        </w:rPr>
      </w:pPr>
      <w:r w:rsidRPr="00351586">
        <w:rPr>
          <w:rFonts w:asciiTheme="minorHAnsi" w:hAnsiTheme="minorHAnsi" w:cstheme="minorHAnsi"/>
          <w:b w:val="0"/>
          <w:sz w:val="22"/>
          <w:szCs w:val="22"/>
        </w:rPr>
        <w:t>Patients included in Capuano et al. (2018)</w:t>
      </w:r>
      <w:r w:rsidR="00683B40" w:rsidRPr="00351586">
        <w:rPr>
          <w:rFonts w:asciiTheme="minorHAnsi" w:hAnsiTheme="minorHAnsi" w:cstheme="minorHAnsi"/>
          <w:b w:val="0"/>
          <w:sz w:val="22"/>
          <w:szCs w:val="22"/>
        </w:rPr>
        <w:t xml:space="preserve"> </w:t>
      </w:r>
      <w:r w:rsidR="00683B40" w:rsidRPr="00351586">
        <w:rPr>
          <w:rFonts w:asciiTheme="minorHAnsi" w:hAnsiTheme="minorHAnsi" w:cstheme="minorHAnsi"/>
          <w:b w:val="0"/>
          <w:sz w:val="22"/>
          <w:szCs w:val="22"/>
        </w:rPr>
        <w:fldChar w:fldCharType="begin"/>
      </w:r>
      <w:r w:rsidR="00683B40" w:rsidRPr="00351586">
        <w:rPr>
          <w:rFonts w:asciiTheme="minorHAnsi" w:hAnsiTheme="minorHAnsi" w:cstheme="minorHAnsi"/>
          <w:b w:val="0"/>
          <w:sz w:val="22"/>
          <w:szCs w:val="22"/>
        </w:rPr>
        <w:instrText xml:space="preserve"> ADDIN EN.CITE &lt;EndNote&gt;&lt;Cite&gt;&lt;Author&gt;Capuano&lt;/Author&gt;&lt;Year&gt;2018&lt;/Year&gt;&lt;RecNum&gt;36&lt;/RecNum&gt;&lt;DisplayText&gt;[10]&lt;/DisplayText&gt;&lt;record&gt;&lt;rec-number&gt;36&lt;/rec-number&gt;&lt;foreign-keys&gt;&lt;key app="EN" db-id="0x52t0fa5ezaf7e22eopzxaswfsaaaevpfzf" timestamp="1594964417"&gt;36&lt;/key&gt;&lt;/foreign-keys&gt;&lt;ref-type name="Journal Article"&gt;17&lt;/ref-type&gt;&lt;contributors&gt;&lt;authors&gt;&lt;author&gt;Capuano, Nicola&lt;/author&gt;&lt;author&gt;Logoluso, Nicola&lt;/author&gt;&lt;author&gt;Gallazzi, Enrico&lt;/author&gt;&lt;author&gt;Drago, Lorenzo&lt;/author&gt;&lt;author&gt;Romanò, Carlo Luca&lt;/author&gt;&lt;/authors&gt;&lt;/contributors&gt;&lt;titles&gt;&lt;title&gt;One-stage exchange with antibacterial hydrogel coated implants provides similar results to two-stage revision, without the coating, for the treatment of peri-prosthetic infection&lt;/title&gt;&lt;secondary-title&gt;Knee Surgery, Sports Traumatology, Arthroscopy&lt;/secondary-title&gt;&lt;/titles&gt;&lt;periodical&gt;&lt;full-title&gt;Knee Surgery, Sports Traumatology, Arthroscopy&lt;/full-title&gt;&lt;/periodical&gt;&lt;pages&gt;3362-3367&lt;/pages&gt;&lt;volume&gt;26&lt;/volume&gt;&lt;number&gt;11&lt;/number&gt;&lt;dates&gt;&lt;year&gt;2018&lt;/year&gt;&lt;/dates&gt;&lt;isbn&gt;0942-2056&lt;/isbn&gt;&lt;urls&gt;&lt;/urls&gt;&lt;/record&gt;&lt;/Cite&gt;&lt;/EndNote&gt;</w:instrText>
      </w:r>
      <w:r w:rsidR="00683B40" w:rsidRPr="00351586">
        <w:rPr>
          <w:rFonts w:asciiTheme="minorHAnsi" w:hAnsiTheme="minorHAnsi" w:cstheme="minorHAnsi"/>
          <w:b w:val="0"/>
          <w:sz w:val="22"/>
          <w:szCs w:val="22"/>
        </w:rPr>
        <w:fldChar w:fldCharType="separate"/>
      </w:r>
      <w:r w:rsidR="00683B40" w:rsidRPr="00351586">
        <w:rPr>
          <w:rFonts w:asciiTheme="minorHAnsi" w:hAnsiTheme="minorHAnsi" w:cstheme="minorHAnsi"/>
          <w:b w:val="0"/>
          <w:noProof/>
          <w:sz w:val="22"/>
          <w:szCs w:val="22"/>
        </w:rPr>
        <w:t>[10]</w:t>
      </w:r>
      <w:r w:rsidR="00683B40" w:rsidRPr="00351586">
        <w:rPr>
          <w:rFonts w:asciiTheme="minorHAnsi" w:hAnsiTheme="minorHAnsi" w:cstheme="minorHAnsi"/>
          <w:b w:val="0"/>
          <w:sz w:val="22"/>
          <w:szCs w:val="22"/>
        </w:rPr>
        <w:fldChar w:fldCharType="end"/>
      </w:r>
      <w:r w:rsidRPr="00351586">
        <w:rPr>
          <w:rFonts w:asciiTheme="minorHAnsi" w:hAnsiTheme="minorHAnsi" w:cstheme="minorHAnsi"/>
          <w:b w:val="0"/>
          <w:sz w:val="22"/>
          <w:szCs w:val="22"/>
        </w:rPr>
        <w:t>, Zagra et al. (2019)</w:t>
      </w:r>
      <w:r w:rsidR="00683B40" w:rsidRPr="00351586">
        <w:rPr>
          <w:rFonts w:asciiTheme="minorHAnsi" w:hAnsiTheme="minorHAnsi" w:cstheme="minorHAnsi"/>
          <w:b w:val="0"/>
          <w:sz w:val="22"/>
          <w:szCs w:val="22"/>
        </w:rPr>
        <w:t xml:space="preserve"> </w:t>
      </w:r>
      <w:r w:rsidR="00683B40" w:rsidRPr="00351586">
        <w:rPr>
          <w:rFonts w:asciiTheme="minorHAnsi" w:hAnsiTheme="minorHAnsi" w:cstheme="minorHAnsi"/>
          <w:b w:val="0"/>
          <w:sz w:val="22"/>
          <w:szCs w:val="22"/>
        </w:rPr>
        <w:fldChar w:fldCharType="begin"/>
      </w:r>
      <w:r w:rsidR="00282F28" w:rsidRPr="00351586">
        <w:rPr>
          <w:rFonts w:asciiTheme="minorHAnsi" w:hAnsiTheme="minorHAnsi" w:cstheme="minorHAnsi"/>
          <w:b w:val="0"/>
          <w:sz w:val="22"/>
          <w:szCs w:val="22"/>
        </w:rPr>
        <w:instrText xml:space="preserve"> ADDIN EN.CITE &lt;EndNote&gt;&lt;Cite&gt;&lt;Author&gt;Zagra&lt;/Author&gt;&lt;Year&gt;2019&lt;/Year&gt;&lt;RecNum&gt;38&lt;/RecNum&gt;&lt;DisplayText&gt;[11]&lt;/DisplayText&gt;&lt;record&gt;&lt;rec-number&gt;38&lt;/rec-number&gt;&lt;foreign-keys&gt;&lt;key app="EN" db-id="0x52t0fa5ezaf7e22eopzxaswfsaaaevpfzf" timestamp="1594964999"&gt;38&lt;/key&gt;&lt;/foreign-keys&gt;&lt;ref-type name="Journal Article"&gt;17&lt;/ref-type&gt;&lt;contributors&gt;&lt;authors&gt;&lt;author&gt;Zagra, Luigi&lt;/author&gt;&lt;author&gt;Gallazzi, Enrico&lt;/author&gt;&lt;author&gt;Romanò, Delia&lt;/author&gt;&lt;author&gt;Scarponi, Sara&lt;/author&gt;&lt;author&gt;Romanò, Carlo&lt;/author&gt;&lt;/authors&gt;&lt;/contributors&gt;&lt;titles&gt;&lt;title&gt;Two-stage cementless hip revision for peri-prosthetic infection with an antibacterial hydrogel coating: results of a comparative series&lt;/title&gt;&lt;secondary-title&gt;International Orthopaedics&lt;/secondary-title&gt;&lt;/titles&gt;&lt;periodical&gt;&lt;full-title&gt;International Orthopaedics&lt;/full-title&gt;&lt;/periodical&gt;&lt;pages&gt;111-115&lt;/pages&gt;&lt;volume&gt;43&lt;/volume&gt;&lt;number&gt;1&lt;/number&gt;&lt;dates&gt;&lt;year&gt;2019&lt;/year&gt;&lt;/dates&gt;&lt;isbn&gt;0341-2695&lt;/isbn&gt;&lt;urls&gt;&lt;/urls&gt;&lt;/record&gt;&lt;/Cite&gt;&lt;/EndNote&gt;</w:instrText>
      </w:r>
      <w:r w:rsidR="00683B40" w:rsidRPr="00351586">
        <w:rPr>
          <w:rFonts w:asciiTheme="minorHAnsi" w:hAnsiTheme="minorHAnsi" w:cstheme="minorHAnsi"/>
          <w:b w:val="0"/>
          <w:sz w:val="22"/>
          <w:szCs w:val="22"/>
        </w:rPr>
        <w:fldChar w:fldCharType="separate"/>
      </w:r>
      <w:r w:rsidR="00282F28" w:rsidRPr="00351586">
        <w:rPr>
          <w:rFonts w:asciiTheme="minorHAnsi" w:hAnsiTheme="minorHAnsi" w:cstheme="minorHAnsi"/>
          <w:b w:val="0"/>
          <w:noProof/>
          <w:sz w:val="22"/>
          <w:szCs w:val="22"/>
        </w:rPr>
        <w:t>[11]</w:t>
      </w:r>
      <w:r w:rsidR="00683B40" w:rsidRPr="00351586">
        <w:rPr>
          <w:rFonts w:asciiTheme="minorHAnsi" w:hAnsiTheme="minorHAnsi" w:cstheme="minorHAnsi"/>
          <w:b w:val="0"/>
          <w:sz w:val="22"/>
          <w:szCs w:val="22"/>
        </w:rPr>
        <w:fldChar w:fldCharType="end"/>
      </w:r>
      <w:r w:rsidRPr="00351586">
        <w:rPr>
          <w:rFonts w:asciiTheme="minorHAnsi" w:hAnsiTheme="minorHAnsi" w:cstheme="minorHAnsi"/>
          <w:b w:val="0"/>
          <w:sz w:val="22"/>
          <w:szCs w:val="22"/>
        </w:rPr>
        <w:t xml:space="preserve"> and </w:t>
      </w:r>
      <w:r w:rsidR="002C5777" w:rsidRPr="00351586">
        <w:rPr>
          <w:rFonts w:asciiTheme="minorHAnsi" w:hAnsiTheme="minorHAnsi" w:cstheme="minorHAnsi"/>
          <w:b w:val="0"/>
          <w:sz w:val="22"/>
          <w:szCs w:val="22"/>
        </w:rPr>
        <w:t>an</w:t>
      </w:r>
      <w:r w:rsidRPr="00351586">
        <w:rPr>
          <w:rFonts w:asciiTheme="minorHAnsi" w:hAnsiTheme="minorHAnsi" w:cstheme="minorHAnsi"/>
          <w:b w:val="0"/>
          <w:sz w:val="22"/>
          <w:szCs w:val="22"/>
        </w:rPr>
        <w:t xml:space="preserve"> upcoming RCT (NCT04251377)</w:t>
      </w:r>
      <w:r w:rsidR="002C5777" w:rsidRPr="00351586">
        <w:rPr>
          <w:rFonts w:asciiTheme="minorHAnsi" w:hAnsiTheme="minorHAnsi" w:cstheme="minorHAnsi"/>
          <w:b w:val="0"/>
          <w:sz w:val="22"/>
          <w:szCs w:val="22"/>
        </w:rPr>
        <w:t xml:space="preserve"> received</w:t>
      </w:r>
      <w:r w:rsidRPr="00351586">
        <w:rPr>
          <w:rFonts w:asciiTheme="minorHAnsi" w:hAnsiTheme="minorHAnsi" w:cstheme="minorHAnsi"/>
          <w:b w:val="0"/>
          <w:sz w:val="22"/>
          <w:szCs w:val="22"/>
        </w:rPr>
        <w:t xml:space="preserve"> two-stage revision surgeries with implant replacement and would thus align with population 3.</w:t>
      </w:r>
      <w:r w:rsidR="005A64C0" w:rsidRPr="00351586">
        <w:rPr>
          <w:rFonts w:asciiTheme="minorHAnsi" w:hAnsiTheme="minorHAnsi" w:cstheme="minorHAnsi"/>
          <w:b w:val="0"/>
          <w:sz w:val="22"/>
          <w:szCs w:val="22"/>
        </w:rPr>
        <w:t xml:space="preserve"> </w:t>
      </w:r>
      <w:r w:rsidR="002C5777" w:rsidRPr="00351586">
        <w:rPr>
          <w:rFonts w:asciiTheme="minorHAnsi" w:hAnsiTheme="minorHAnsi" w:cstheme="minorHAnsi"/>
          <w:b w:val="0"/>
          <w:sz w:val="22"/>
          <w:szCs w:val="22"/>
        </w:rPr>
        <w:t xml:space="preserve">Malizos et al. (2017) recruited </w:t>
      </w:r>
      <w:r w:rsidR="004D3A99" w:rsidRPr="00351586">
        <w:rPr>
          <w:rFonts w:asciiTheme="minorHAnsi" w:hAnsiTheme="minorHAnsi" w:cstheme="minorHAnsi"/>
          <w:b w:val="0"/>
          <w:sz w:val="22"/>
          <w:szCs w:val="22"/>
        </w:rPr>
        <w:t>patients</w:t>
      </w:r>
      <w:r w:rsidR="002C5777" w:rsidRPr="00351586">
        <w:rPr>
          <w:rFonts w:asciiTheme="minorHAnsi" w:hAnsiTheme="minorHAnsi" w:cstheme="minorHAnsi"/>
          <w:b w:val="0"/>
          <w:sz w:val="22"/>
          <w:szCs w:val="22"/>
        </w:rPr>
        <w:t xml:space="preserve"> </w:t>
      </w:r>
      <w:r w:rsidR="00330D1A" w:rsidRPr="00351586">
        <w:rPr>
          <w:rFonts w:asciiTheme="minorHAnsi" w:hAnsiTheme="minorHAnsi" w:cstheme="minorHAnsi"/>
          <w:b w:val="0"/>
          <w:sz w:val="22"/>
          <w:szCs w:val="22"/>
        </w:rPr>
        <w:t>with</w:t>
      </w:r>
      <w:r w:rsidR="002C5777" w:rsidRPr="00351586">
        <w:rPr>
          <w:rFonts w:asciiTheme="minorHAnsi" w:hAnsiTheme="minorHAnsi" w:cstheme="minorHAnsi"/>
          <w:b w:val="0"/>
          <w:sz w:val="22"/>
          <w:szCs w:val="22"/>
        </w:rPr>
        <w:t xml:space="preserve"> a fresh (&lt;7 days) closed fracture requiring surgical reduction and internal fixation with either a metal plate and/or screws or with an intramedullary nail, which would align with population 4</w:t>
      </w:r>
      <w:r w:rsidR="00C22DE4" w:rsidRPr="00351586">
        <w:rPr>
          <w:rFonts w:asciiTheme="minorHAnsi" w:hAnsiTheme="minorHAnsi" w:cstheme="minorHAnsi"/>
          <w:b w:val="0"/>
          <w:sz w:val="22"/>
          <w:szCs w:val="22"/>
        </w:rPr>
        <w:t xml:space="preserve"> </w:t>
      </w:r>
      <w:r w:rsidR="00282F28" w:rsidRPr="00351586">
        <w:rPr>
          <w:rFonts w:asciiTheme="minorHAnsi" w:hAnsiTheme="minorHAnsi" w:cstheme="minorHAnsi"/>
          <w:b w:val="0"/>
          <w:sz w:val="22"/>
          <w:szCs w:val="22"/>
        </w:rPr>
        <w:fldChar w:fldCharType="begin"/>
      </w:r>
      <w:r w:rsidR="00282F28" w:rsidRPr="00351586">
        <w:rPr>
          <w:rFonts w:asciiTheme="minorHAnsi" w:hAnsiTheme="minorHAnsi" w:cstheme="minorHAnsi"/>
          <w:b w:val="0"/>
          <w:sz w:val="22"/>
          <w:szCs w:val="22"/>
        </w:rPr>
        <w:instrText xml:space="preserve"> ADDIN EN.CITE &lt;EndNote&gt;&lt;Cite&gt;&lt;Author&gt;Malizos&lt;/Author&gt;&lt;Year&gt;2017&lt;/Year&gt;&lt;RecNum&gt;37&lt;/RecNum&gt;&lt;DisplayText&gt;[8]&lt;/DisplayText&gt;&lt;record&gt;&lt;rec-number&gt;37&lt;/rec-number&gt;&lt;foreign-keys&gt;&lt;key app="EN" db-id="0x52t0fa5ezaf7e22eopzxaswfsaaaevpfzf" timestamp="1594964589"&gt;37&lt;/key&gt;&lt;/foreign-keys&gt;&lt;ref-type name="Journal Article"&gt;17&lt;/ref-type&gt;&lt;contributors&gt;&lt;authors&gt;&lt;author&gt;Malizos, Kostantinos&lt;/author&gt;&lt;author&gt;Blauth, Michael&lt;/author&gt;&lt;author&gt;Danita, Adrian&lt;/author&gt;&lt;author&gt;Capuano, Nicola&lt;/author&gt;&lt;author&gt;Mezzoprete, Riccardo&lt;/author&gt;&lt;author&gt;Logoluso, Nicola&lt;/author&gt;&lt;author&gt;Drago, Lorenzo&lt;/author&gt;&lt;author&gt;Romano, Carlo Luca&lt;/author&gt;&lt;/authors&gt;&lt;/contributors&gt;&lt;titles&gt;&lt;title&gt;Fast-resorbable antibiotic-loaded hydrogel coating to reduce post-surgical infection after internal osteosynthesis: a multicenter randomized controlled trial&lt;/title&gt;&lt;secondary-title&gt;Journal of Orthopaedics and Traumatology&lt;/secondary-title&gt;&lt;/titles&gt;&lt;periodical&gt;&lt;full-title&gt;Journal of Orthopaedics and Traumatology&lt;/full-title&gt;&lt;/periodical&gt;&lt;pages&gt;159-169&lt;/pages&gt;&lt;volume&gt;18&lt;/volume&gt;&lt;number&gt;2&lt;/number&gt;&lt;dates&gt;&lt;year&gt;2017&lt;/year&gt;&lt;/dates&gt;&lt;isbn&gt;1590-9921&lt;/isbn&gt;&lt;urls&gt;&lt;/urls&gt;&lt;/record&gt;&lt;/Cite&gt;&lt;/EndNote&gt;</w:instrText>
      </w:r>
      <w:r w:rsidR="00282F28" w:rsidRPr="00351586">
        <w:rPr>
          <w:rFonts w:asciiTheme="minorHAnsi" w:hAnsiTheme="minorHAnsi" w:cstheme="minorHAnsi"/>
          <w:b w:val="0"/>
          <w:sz w:val="22"/>
          <w:szCs w:val="22"/>
        </w:rPr>
        <w:fldChar w:fldCharType="separate"/>
      </w:r>
      <w:r w:rsidR="00282F28" w:rsidRPr="00351586">
        <w:rPr>
          <w:rFonts w:asciiTheme="minorHAnsi" w:hAnsiTheme="minorHAnsi" w:cstheme="minorHAnsi"/>
          <w:b w:val="0"/>
          <w:noProof/>
          <w:sz w:val="22"/>
          <w:szCs w:val="22"/>
        </w:rPr>
        <w:t>[8]</w:t>
      </w:r>
      <w:r w:rsidR="00282F28" w:rsidRPr="00351586">
        <w:rPr>
          <w:rFonts w:asciiTheme="minorHAnsi" w:hAnsiTheme="minorHAnsi" w:cstheme="minorHAnsi"/>
          <w:b w:val="0"/>
          <w:sz w:val="22"/>
          <w:szCs w:val="22"/>
        </w:rPr>
        <w:fldChar w:fldCharType="end"/>
      </w:r>
      <w:r w:rsidR="002C5777" w:rsidRPr="00351586">
        <w:rPr>
          <w:rFonts w:asciiTheme="minorHAnsi" w:hAnsiTheme="minorHAnsi" w:cstheme="minorHAnsi"/>
          <w:b w:val="0"/>
          <w:sz w:val="22"/>
          <w:szCs w:val="22"/>
        </w:rPr>
        <w:t>.</w:t>
      </w:r>
      <w:r w:rsidR="009D6442" w:rsidRPr="00351586">
        <w:rPr>
          <w:rFonts w:asciiTheme="minorHAnsi" w:hAnsiTheme="minorHAnsi" w:cstheme="minorHAnsi"/>
          <w:b w:val="0"/>
          <w:sz w:val="22"/>
          <w:szCs w:val="22"/>
        </w:rPr>
        <w:t xml:space="preserve"> </w:t>
      </w:r>
      <w:r w:rsidR="00024A45" w:rsidRPr="00351586">
        <w:rPr>
          <w:rFonts w:asciiTheme="minorHAnsi" w:hAnsiTheme="minorHAnsi" w:cstheme="minorHAnsi"/>
          <w:b w:val="0"/>
          <w:sz w:val="22"/>
          <w:szCs w:val="22"/>
        </w:rPr>
        <w:t xml:space="preserve">Malizos et al. (2017) also </w:t>
      </w:r>
      <w:r w:rsidR="005C4D5C" w:rsidRPr="00351586">
        <w:rPr>
          <w:rFonts w:asciiTheme="minorHAnsi" w:hAnsiTheme="minorHAnsi" w:cstheme="minorHAnsi"/>
          <w:b w:val="0"/>
          <w:sz w:val="22"/>
          <w:szCs w:val="22"/>
        </w:rPr>
        <w:t>assessed treatment and control population at baseline for imbalance in terms of morbidities. Additionally, the study recorded morbidities among patients with SSI</w:t>
      </w:r>
      <w:r w:rsidR="009C68AE" w:rsidRPr="00351586">
        <w:rPr>
          <w:rFonts w:asciiTheme="minorHAnsi" w:hAnsiTheme="minorHAnsi" w:cstheme="minorHAnsi"/>
          <w:b w:val="0"/>
          <w:sz w:val="22"/>
          <w:szCs w:val="22"/>
        </w:rPr>
        <w:t>, including nicotine and alcohol abuse, diabetes, old age, peripheral vasculopathy, severe rheumatoid arthritis, and corticosteroid therapy</w:t>
      </w:r>
      <w:r w:rsidR="005C4D5C" w:rsidRPr="00351586">
        <w:rPr>
          <w:rFonts w:asciiTheme="minorHAnsi" w:hAnsiTheme="minorHAnsi" w:cstheme="minorHAnsi"/>
          <w:b w:val="0"/>
          <w:sz w:val="22"/>
          <w:szCs w:val="22"/>
        </w:rPr>
        <w:t>.</w:t>
      </w:r>
      <w:r w:rsidR="009C68AE" w:rsidRPr="00351586">
        <w:rPr>
          <w:rFonts w:asciiTheme="minorHAnsi" w:hAnsiTheme="minorHAnsi" w:cstheme="minorHAnsi"/>
          <w:b w:val="0"/>
          <w:sz w:val="22"/>
          <w:szCs w:val="22"/>
        </w:rPr>
        <w:t xml:space="preserve"> Thus, patients in Malizos et al. (2017) would also align with population 1.</w:t>
      </w:r>
    </w:p>
    <w:p w14:paraId="58C89D7E" w14:textId="5E7FCB34" w:rsidR="00C0594C" w:rsidRDefault="00C0594C" w:rsidP="003C6416">
      <w:pPr>
        <w:spacing w:before="240"/>
        <w:rPr>
          <w:i/>
          <w:lang w:val="en-GB" w:eastAsia="ja-JP"/>
        </w:rPr>
      </w:pPr>
      <w:r w:rsidRPr="00C0594C">
        <w:rPr>
          <w:i/>
          <w:lang w:val="en-GB" w:eastAsia="ja-JP"/>
        </w:rPr>
        <w:t>PASC noted that the patient populations were complex, and that as defined, populations 1 and 4 were large and diverse. PASC advised that “comorbidities” in population 1 (e.g. obesity, diabetes mellitus, immunosuppression and malignancy) should be further defined, including a condition-specific scoring measure, if possible, to help define the population. PASC noted the applicant’s advice indicating that the AOANJRR only collected ASA, BMI and height; functional outcomes were not collected.</w:t>
      </w:r>
      <w:r w:rsidR="0079455A">
        <w:rPr>
          <w:i/>
          <w:lang w:val="en-GB" w:eastAsia="ja-JP"/>
        </w:rPr>
        <w:t xml:space="preserve"> However subsequent to this, it was established that publications on infection</w:t>
      </w:r>
      <w:r w:rsidR="000F5513">
        <w:rPr>
          <w:i/>
          <w:lang w:val="en-GB" w:eastAsia="ja-JP"/>
        </w:rPr>
        <w:t>s are available through</w:t>
      </w:r>
      <w:r w:rsidR="0079455A">
        <w:rPr>
          <w:i/>
          <w:lang w:val="en-GB" w:eastAsia="ja-JP"/>
        </w:rPr>
        <w:t xml:space="preserve"> the AOANJRR’s website.</w:t>
      </w:r>
    </w:p>
    <w:p w14:paraId="2A6A341F" w14:textId="7C6CA65C" w:rsidR="0079455A" w:rsidRPr="001C0CB7" w:rsidRDefault="00A31345" w:rsidP="001C0CB7">
      <w:pPr>
        <w:rPr>
          <w:i/>
          <w:color w:val="000000" w:themeColor="text1"/>
        </w:rPr>
      </w:pPr>
      <w:r>
        <w:rPr>
          <w:i/>
          <w:lang w:val="en-GB" w:eastAsia="ja-JP"/>
        </w:rPr>
        <w:t xml:space="preserve">The applicant proposed a scoring method that utilises </w:t>
      </w:r>
      <w:r w:rsidRPr="00A31345">
        <w:rPr>
          <w:i/>
          <w:color w:val="000000" w:themeColor="text1"/>
        </w:rPr>
        <w:t xml:space="preserve">the AOANJRR data for defining population 1. </w:t>
      </w:r>
      <w:r>
        <w:rPr>
          <w:i/>
          <w:color w:val="000000" w:themeColor="text1"/>
        </w:rPr>
        <w:t>The applicant proposed that e</w:t>
      </w:r>
      <w:r w:rsidRPr="00A31345">
        <w:rPr>
          <w:i/>
          <w:color w:val="000000" w:themeColor="text1"/>
        </w:rPr>
        <w:t xml:space="preserve">ligibility for DAC usage in the setting of primary de novo joint arthroplasty should be limited to patients with an ASA score of 3 or above and Obese Class 1 or above and cementless components. </w:t>
      </w:r>
      <w:r>
        <w:rPr>
          <w:i/>
          <w:color w:val="000000" w:themeColor="text1"/>
        </w:rPr>
        <w:t>They considered t</w:t>
      </w:r>
      <w:r w:rsidRPr="00A31345">
        <w:rPr>
          <w:i/>
          <w:color w:val="000000" w:themeColor="text1"/>
        </w:rPr>
        <w:t>his criterion</w:t>
      </w:r>
      <w:r>
        <w:rPr>
          <w:i/>
          <w:color w:val="000000" w:themeColor="text1"/>
        </w:rPr>
        <w:t xml:space="preserve"> was</w:t>
      </w:r>
      <w:r w:rsidRPr="00A31345">
        <w:rPr>
          <w:i/>
          <w:color w:val="000000" w:themeColor="text1"/>
        </w:rPr>
        <w:t xml:space="preserve"> supported by large systematic </w:t>
      </w:r>
      <w:r w:rsidRPr="00E76E7E">
        <w:rPr>
          <w:i/>
          <w:color w:val="000000" w:themeColor="text1"/>
        </w:rPr>
        <w:t>reviews</w:t>
      </w:r>
      <w:r w:rsidR="00E76E7E" w:rsidRPr="00E76E7E">
        <w:rPr>
          <w:i/>
          <w:color w:val="000000" w:themeColor="text1"/>
        </w:rPr>
        <w:t xml:space="preserve"> (</w:t>
      </w:r>
      <w:r w:rsidR="00E76E7E" w:rsidRPr="00E76E7E">
        <w:rPr>
          <w:i/>
        </w:rPr>
        <w:t>Kunutsor et al (2016))</w:t>
      </w:r>
      <w:r w:rsidRPr="00E76E7E">
        <w:rPr>
          <w:i/>
          <w:color w:val="000000" w:themeColor="text1"/>
        </w:rPr>
        <w:t>.</w:t>
      </w:r>
    </w:p>
    <w:p w14:paraId="7B526991" w14:textId="266A2ED0" w:rsidR="00306F11" w:rsidRDefault="00306F11" w:rsidP="00F43108">
      <w:pPr>
        <w:pStyle w:val="Caption"/>
      </w:pPr>
      <w:r>
        <w:t xml:space="preserve">Table </w:t>
      </w:r>
      <w:r w:rsidR="003E577A">
        <w:fldChar w:fldCharType="begin"/>
      </w:r>
      <w:r w:rsidR="003E577A">
        <w:instrText xml:space="preserve"> SEQ Table \* ARABIC </w:instrText>
      </w:r>
      <w:r w:rsidR="003E577A">
        <w:fldChar w:fldCharType="separate"/>
      </w:r>
      <w:r w:rsidR="003E577A">
        <w:rPr>
          <w:noProof/>
        </w:rPr>
        <w:t>2</w:t>
      </w:r>
      <w:r w:rsidR="003E577A">
        <w:fldChar w:fldCharType="end"/>
      </w:r>
      <w:r>
        <w:t>: Descriptions of patient populations for DAC in periprosthetic joint SSI prevention</w:t>
      </w:r>
      <w:r w:rsidR="00AB1417">
        <w:t xml:space="preserve"> in published studies</w:t>
      </w:r>
    </w:p>
    <w:tbl>
      <w:tblPr>
        <w:tblStyle w:val="TableGrid"/>
        <w:tblW w:w="4799" w:type="pct"/>
        <w:tblCellMar>
          <w:left w:w="28" w:type="dxa"/>
          <w:right w:w="28" w:type="dxa"/>
        </w:tblCellMar>
        <w:tblLook w:val="04A0" w:firstRow="1" w:lastRow="0" w:firstColumn="1" w:lastColumn="0" w:noHBand="0" w:noVBand="1"/>
        <w:tblCaption w:val="Summary of Evidence - Published"/>
      </w:tblPr>
      <w:tblGrid>
        <w:gridCol w:w="1838"/>
        <w:gridCol w:w="1255"/>
        <w:gridCol w:w="5561"/>
      </w:tblGrid>
      <w:tr w:rsidR="00252C1F" w:rsidRPr="00560D95" w14:paraId="5BB77414" w14:textId="77777777" w:rsidTr="004C04E6">
        <w:trPr>
          <w:tblHeader/>
        </w:trPr>
        <w:tc>
          <w:tcPr>
            <w:tcW w:w="1062" w:type="pct"/>
            <w:tcBorders>
              <w:bottom w:val="single" w:sz="4" w:space="0" w:color="auto"/>
            </w:tcBorders>
          </w:tcPr>
          <w:p w14:paraId="62A796EA" w14:textId="72C446D1" w:rsidR="00252C1F" w:rsidRPr="005C4EA9" w:rsidRDefault="00252C1F" w:rsidP="004839BB">
            <w:pPr>
              <w:pStyle w:val="TableHEADER"/>
              <w:spacing w:before="0"/>
              <w:rPr>
                <w:rFonts w:asciiTheme="minorHAnsi" w:hAnsiTheme="minorHAnsi"/>
              </w:rPr>
            </w:pPr>
            <w:r w:rsidRPr="005C4EA9">
              <w:rPr>
                <w:rFonts w:asciiTheme="minorHAnsi" w:hAnsiTheme="minorHAnsi"/>
              </w:rPr>
              <w:t>Study type</w:t>
            </w:r>
          </w:p>
        </w:tc>
        <w:tc>
          <w:tcPr>
            <w:tcW w:w="725" w:type="pct"/>
            <w:tcBorders>
              <w:bottom w:val="single" w:sz="4" w:space="0" w:color="auto"/>
            </w:tcBorders>
          </w:tcPr>
          <w:p w14:paraId="52556B18" w14:textId="6C51EEB2" w:rsidR="00252C1F" w:rsidRPr="005C4EA9" w:rsidRDefault="00252C1F" w:rsidP="004839BB">
            <w:pPr>
              <w:pStyle w:val="TableHEADER"/>
              <w:spacing w:before="0"/>
              <w:rPr>
                <w:rFonts w:asciiTheme="minorHAnsi" w:hAnsiTheme="minorHAnsi"/>
              </w:rPr>
            </w:pPr>
            <w:r w:rsidRPr="005C4EA9">
              <w:rPr>
                <w:rFonts w:asciiTheme="minorHAnsi" w:hAnsiTheme="minorHAnsi"/>
              </w:rPr>
              <w:t>Study identifier</w:t>
            </w:r>
          </w:p>
        </w:tc>
        <w:tc>
          <w:tcPr>
            <w:tcW w:w="3213" w:type="pct"/>
            <w:tcBorders>
              <w:bottom w:val="single" w:sz="4" w:space="0" w:color="auto"/>
            </w:tcBorders>
          </w:tcPr>
          <w:p w14:paraId="31FA5AA0" w14:textId="20205841" w:rsidR="00252C1F" w:rsidRPr="005C4EA9" w:rsidRDefault="00252C1F" w:rsidP="004839BB">
            <w:pPr>
              <w:pStyle w:val="TableHEADER"/>
              <w:spacing w:before="0"/>
              <w:rPr>
                <w:rFonts w:asciiTheme="minorHAnsi" w:hAnsiTheme="minorHAnsi"/>
              </w:rPr>
            </w:pPr>
            <w:r w:rsidRPr="005C4EA9">
              <w:rPr>
                <w:rFonts w:asciiTheme="minorHAnsi" w:hAnsiTheme="minorHAnsi"/>
              </w:rPr>
              <w:t>Patient population</w:t>
            </w:r>
          </w:p>
        </w:tc>
      </w:tr>
      <w:tr w:rsidR="00252C1F" w:rsidRPr="00560D95" w14:paraId="35B33FD6" w14:textId="77777777" w:rsidTr="004C04E6">
        <w:trPr>
          <w:cantSplit/>
          <w:tblHeader/>
        </w:trPr>
        <w:tc>
          <w:tcPr>
            <w:tcW w:w="1062" w:type="pct"/>
            <w:tcBorders>
              <w:top w:val="single" w:sz="4" w:space="0" w:color="auto"/>
              <w:left w:val="single" w:sz="4" w:space="0" w:color="auto"/>
              <w:bottom w:val="single" w:sz="4" w:space="0" w:color="auto"/>
              <w:right w:val="nil"/>
            </w:tcBorders>
          </w:tcPr>
          <w:p w14:paraId="1831B64E" w14:textId="5B82E46C" w:rsidR="00252C1F" w:rsidRPr="005C4EA9" w:rsidRDefault="00252C1F" w:rsidP="006A6C0E">
            <w:pPr>
              <w:spacing w:before="20" w:after="20"/>
              <w:rPr>
                <w:rFonts w:asciiTheme="minorHAnsi" w:hAnsiTheme="minorHAnsi" w:cstheme="minorHAnsi"/>
                <w:sz w:val="20"/>
                <w:szCs w:val="20"/>
                <w:vertAlign w:val="superscript"/>
              </w:rPr>
            </w:pPr>
            <w:r w:rsidRPr="005C4EA9">
              <w:rPr>
                <w:rFonts w:asciiTheme="minorHAnsi" w:hAnsiTheme="minorHAnsi" w:cstheme="minorHAnsi"/>
                <w:sz w:val="20"/>
                <w:szCs w:val="20"/>
              </w:rPr>
              <w:t>Population 1</w:t>
            </w:r>
          </w:p>
        </w:tc>
        <w:tc>
          <w:tcPr>
            <w:tcW w:w="725" w:type="pct"/>
            <w:tcBorders>
              <w:top w:val="single" w:sz="4" w:space="0" w:color="auto"/>
              <w:left w:val="nil"/>
              <w:bottom w:val="single" w:sz="4" w:space="0" w:color="auto"/>
              <w:right w:val="nil"/>
            </w:tcBorders>
          </w:tcPr>
          <w:p w14:paraId="462B8F13" w14:textId="77777777" w:rsidR="00252C1F" w:rsidRPr="005C4EA9" w:rsidRDefault="00252C1F" w:rsidP="006A6C0E">
            <w:pPr>
              <w:widowControl w:val="0"/>
              <w:autoSpaceDE w:val="0"/>
              <w:autoSpaceDN w:val="0"/>
              <w:adjustRightInd w:val="0"/>
              <w:spacing w:before="20" w:after="20"/>
              <w:rPr>
                <w:rFonts w:asciiTheme="minorHAnsi" w:hAnsiTheme="minorHAnsi" w:cstheme="minorHAnsi"/>
                <w:sz w:val="20"/>
                <w:szCs w:val="20"/>
              </w:rPr>
            </w:pPr>
          </w:p>
        </w:tc>
        <w:tc>
          <w:tcPr>
            <w:tcW w:w="3213" w:type="pct"/>
            <w:tcBorders>
              <w:top w:val="single" w:sz="4" w:space="0" w:color="auto"/>
              <w:left w:val="nil"/>
              <w:bottom w:val="single" w:sz="4" w:space="0" w:color="auto"/>
              <w:right w:val="single" w:sz="4" w:space="0" w:color="auto"/>
            </w:tcBorders>
          </w:tcPr>
          <w:p w14:paraId="101CA359" w14:textId="2FE733A0" w:rsidR="00252C1F" w:rsidRPr="005C4EA9" w:rsidRDefault="00E40E69" w:rsidP="006A6C0E">
            <w:pPr>
              <w:spacing w:before="20" w:after="20"/>
              <w:rPr>
                <w:rFonts w:asciiTheme="minorHAnsi" w:hAnsiTheme="minorHAnsi"/>
                <w:bCs/>
                <w:sz w:val="20"/>
                <w:szCs w:val="20"/>
              </w:rPr>
            </w:pPr>
            <w:r w:rsidRPr="005C4EA9">
              <w:rPr>
                <w:rFonts w:asciiTheme="minorHAnsi" w:hAnsiTheme="minorHAnsi"/>
                <w:bCs/>
                <w:sz w:val="20"/>
                <w:szCs w:val="20"/>
              </w:rPr>
              <w:t xml:space="preserve">(also </w:t>
            </w:r>
            <w:r w:rsidR="0004312B" w:rsidRPr="005C4EA9">
              <w:rPr>
                <w:rFonts w:asciiTheme="minorHAnsi" w:hAnsiTheme="minorHAnsi"/>
                <w:bCs/>
                <w:sz w:val="20"/>
                <w:szCs w:val="20"/>
              </w:rPr>
              <w:t>include</w:t>
            </w:r>
            <w:r w:rsidRPr="005C4EA9">
              <w:rPr>
                <w:rFonts w:asciiTheme="minorHAnsi" w:hAnsiTheme="minorHAnsi"/>
                <w:bCs/>
                <w:sz w:val="20"/>
                <w:szCs w:val="20"/>
              </w:rPr>
              <w:t>s</w:t>
            </w:r>
            <w:r w:rsidR="0004312B" w:rsidRPr="005C4EA9">
              <w:rPr>
                <w:rFonts w:asciiTheme="minorHAnsi" w:hAnsiTheme="minorHAnsi"/>
                <w:bCs/>
                <w:sz w:val="20"/>
                <w:szCs w:val="20"/>
              </w:rPr>
              <w:t xml:space="preserve"> </w:t>
            </w:r>
            <w:r w:rsidRPr="005C4EA9">
              <w:rPr>
                <w:rFonts w:asciiTheme="minorHAnsi" w:hAnsiTheme="minorHAnsi"/>
                <w:bCs/>
                <w:sz w:val="20"/>
                <w:szCs w:val="20"/>
              </w:rPr>
              <w:t xml:space="preserve">some </w:t>
            </w:r>
            <w:r w:rsidR="0004312B" w:rsidRPr="005C4EA9">
              <w:rPr>
                <w:rFonts w:asciiTheme="minorHAnsi" w:hAnsiTheme="minorHAnsi"/>
                <w:bCs/>
                <w:sz w:val="20"/>
                <w:szCs w:val="20"/>
              </w:rPr>
              <w:t xml:space="preserve">patients </w:t>
            </w:r>
            <w:r w:rsidRPr="005C4EA9">
              <w:rPr>
                <w:rFonts w:asciiTheme="minorHAnsi" w:hAnsiTheme="minorHAnsi"/>
                <w:bCs/>
                <w:sz w:val="20"/>
                <w:szCs w:val="20"/>
              </w:rPr>
              <w:t>in population</w:t>
            </w:r>
            <w:r w:rsidR="0004312B" w:rsidRPr="005C4EA9">
              <w:rPr>
                <w:rFonts w:asciiTheme="minorHAnsi" w:hAnsiTheme="minorHAnsi"/>
                <w:bCs/>
                <w:sz w:val="20"/>
                <w:szCs w:val="20"/>
              </w:rPr>
              <w:t xml:space="preserve"> 3)</w:t>
            </w:r>
          </w:p>
        </w:tc>
      </w:tr>
      <w:tr w:rsidR="0098200B" w:rsidRPr="00560D95" w14:paraId="4741A6F8" w14:textId="77777777" w:rsidTr="001A117D">
        <w:trPr>
          <w:cantSplit/>
        </w:trPr>
        <w:tc>
          <w:tcPr>
            <w:tcW w:w="1062" w:type="pct"/>
            <w:tcBorders>
              <w:top w:val="single" w:sz="4" w:space="0" w:color="auto"/>
              <w:bottom w:val="single" w:sz="4" w:space="0" w:color="auto"/>
            </w:tcBorders>
          </w:tcPr>
          <w:p w14:paraId="37B200D2" w14:textId="5F841CA9" w:rsidR="0098200B" w:rsidRPr="005C4EA9" w:rsidRDefault="0098200B" w:rsidP="0098200B">
            <w:pPr>
              <w:rPr>
                <w:rFonts w:asciiTheme="minorHAnsi" w:hAnsiTheme="minorHAnsi" w:cstheme="minorHAnsi"/>
                <w:sz w:val="20"/>
                <w:szCs w:val="20"/>
              </w:rPr>
            </w:pPr>
            <w:r w:rsidRPr="005C4EA9">
              <w:rPr>
                <w:rFonts w:asciiTheme="minorHAnsi" w:hAnsiTheme="minorHAnsi" w:cstheme="minorHAnsi"/>
                <w:sz w:val="20"/>
                <w:szCs w:val="20"/>
              </w:rPr>
              <w:t>Prospective, multicentre, randomised control trial</w:t>
            </w:r>
          </w:p>
        </w:tc>
        <w:tc>
          <w:tcPr>
            <w:tcW w:w="725" w:type="pct"/>
            <w:tcBorders>
              <w:top w:val="single" w:sz="4" w:space="0" w:color="auto"/>
              <w:bottom w:val="single" w:sz="4" w:space="0" w:color="auto"/>
            </w:tcBorders>
          </w:tcPr>
          <w:p w14:paraId="6A4C58EE" w14:textId="77777777" w:rsidR="0098200B" w:rsidRPr="005C4EA9" w:rsidRDefault="0098200B" w:rsidP="0098200B">
            <w:pPr>
              <w:widowControl w:val="0"/>
              <w:autoSpaceDE w:val="0"/>
              <w:autoSpaceDN w:val="0"/>
              <w:adjustRightInd w:val="0"/>
              <w:spacing w:after="200" w:line="276" w:lineRule="auto"/>
              <w:rPr>
                <w:rFonts w:asciiTheme="minorHAnsi" w:hAnsiTheme="minorHAnsi" w:cstheme="minorHAnsi"/>
                <w:sz w:val="20"/>
                <w:szCs w:val="20"/>
              </w:rPr>
            </w:pPr>
            <w:r w:rsidRPr="005C4EA9">
              <w:rPr>
                <w:rFonts w:asciiTheme="minorHAnsi" w:hAnsiTheme="minorHAnsi" w:cstheme="minorHAnsi"/>
                <w:sz w:val="20"/>
                <w:szCs w:val="20"/>
              </w:rPr>
              <w:t>Romano et al. (2016)</w:t>
            </w:r>
          </w:p>
          <w:p w14:paraId="42D64BD6" w14:textId="77777777" w:rsidR="0098200B" w:rsidRPr="005C4EA9" w:rsidRDefault="0098200B" w:rsidP="0098200B">
            <w:pPr>
              <w:widowControl w:val="0"/>
              <w:autoSpaceDE w:val="0"/>
              <w:autoSpaceDN w:val="0"/>
              <w:adjustRightInd w:val="0"/>
              <w:rPr>
                <w:rFonts w:asciiTheme="minorHAnsi" w:hAnsiTheme="minorHAnsi" w:cstheme="minorHAnsi"/>
                <w:sz w:val="20"/>
                <w:szCs w:val="20"/>
              </w:rPr>
            </w:pPr>
          </w:p>
        </w:tc>
        <w:tc>
          <w:tcPr>
            <w:tcW w:w="3213" w:type="pct"/>
            <w:tcBorders>
              <w:top w:val="single" w:sz="4" w:space="0" w:color="auto"/>
              <w:bottom w:val="single" w:sz="4" w:space="0" w:color="auto"/>
            </w:tcBorders>
          </w:tcPr>
          <w:p w14:paraId="3052416C" w14:textId="77777777" w:rsidR="0098200B" w:rsidRPr="005C4EA9" w:rsidRDefault="0098200B" w:rsidP="008F7F10">
            <w:pPr>
              <w:spacing w:after="200"/>
              <w:rPr>
                <w:rFonts w:asciiTheme="minorHAnsi" w:hAnsiTheme="minorHAnsi"/>
                <w:bCs/>
                <w:sz w:val="20"/>
                <w:szCs w:val="20"/>
              </w:rPr>
            </w:pPr>
            <w:r w:rsidRPr="005C4EA9">
              <w:rPr>
                <w:rFonts w:asciiTheme="minorHAnsi" w:hAnsiTheme="minorHAnsi"/>
                <w:bCs/>
                <w:sz w:val="20"/>
                <w:szCs w:val="20"/>
              </w:rPr>
              <w:t xml:space="preserve">380 patients undergoing Primary or revision surgery randomised to DAC or No DAC – </w:t>
            </w:r>
          </w:p>
          <w:p w14:paraId="5EA498F6" w14:textId="6081D231" w:rsidR="0098200B" w:rsidRPr="005C4EA9" w:rsidRDefault="0098200B" w:rsidP="008F7F10">
            <w:pPr>
              <w:spacing w:after="200"/>
              <w:rPr>
                <w:rFonts w:asciiTheme="minorHAnsi" w:hAnsiTheme="minorHAnsi"/>
                <w:bCs/>
                <w:sz w:val="20"/>
                <w:szCs w:val="20"/>
              </w:rPr>
            </w:pPr>
            <w:r w:rsidRPr="005C4EA9">
              <w:rPr>
                <w:rFonts w:asciiTheme="minorHAnsi" w:hAnsiTheme="minorHAnsi"/>
                <w:bCs/>
                <w:sz w:val="20"/>
                <w:szCs w:val="20"/>
              </w:rPr>
              <w:t>Treated group: N=189; male 42.9%; mean age (SD)=69yr (12.6); McPherson host class B 65.6%</w:t>
            </w:r>
            <w:r w:rsidR="00B21144" w:rsidRPr="005C4EA9">
              <w:rPr>
                <w:rFonts w:asciiTheme="minorHAnsi" w:hAnsiTheme="minorHAnsi"/>
                <w:bCs/>
                <w:sz w:val="20"/>
                <w:szCs w:val="20"/>
              </w:rPr>
              <w:t xml:space="preserve"> (compromised immune status)</w:t>
            </w:r>
            <w:r w:rsidRPr="005C4EA9">
              <w:rPr>
                <w:rFonts w:asciiTheme="minorHAnsi" w:hAnsiTheme="minorHAnsi"/>
                <w:bCs/>
                <w:sz w:val="20"/>
                <w:szCs w:val="20"/>
              </w:rPr>
              <w:t>, class C 10.6%; undergoing revision surgery for infection 28.2% (26.6% by 2-stage procedure).</w:t>
            </w:r>
          </w:p>
          <w:p w14:paraId="18C195EE" w14:textId="04276640" w:rsidR="0098200B" w:rsidRPr="005C4EA9" w:rsidRDefault="0098200B" w:rsidP="008F7F10">
            <w:pPr>
              <w:spacing w:after="200"/>
              <w:rPr>
                <w:rFonts w:asciiTheme="minorHAnsi" w:hAnsiTheme="minorHAnsi"/>
                <w:bCs/>
                <w:sz w:val="20"/>
                <w:szCs w:val="20"/>
              </w:rPr>
            </w:pPr>
            <w:r w:rsidRPr="005C4EA9">
              <w:rPr>
                <w:rFonts w:asciiTheme="minorHAnsi" w:hAnsiTheme="minorHAnsi"/>
                <w:bCs/>
                <w:sz w:val="20"/>
                <w:szCs w:val="20"/>
              </w:rPr>
              <w:t>Control group: N=184; male 40.2%; mean age (SD)=71yr (10.6); McPherson host class B 69.0%, class C 7.6%; undergoing revision surgery for infection 28.3% (26.1% by 2-stage procedure).</w:t>
            </w:r>
          </w:p>
          <w:p w14:paraId="2F840F61" w14:textId="173A1FB7" w:rsidR="0098200B" w:rsidRPr="005C4EA9" w:rsidRDefault="0098200B" w:rsidP="008F7F10">
            <w:pPr>
              <w:spacing w:after="200"/>
              <w:rPr>
                <w:rFonts w:asciiTheme="minorHAnsi" w:hAnsiTheme="minorHAnsi"/>
                <w:bCs/>
                <w:sz w:val="20"/>
                <w:szCs w:val="20"/>
              </w:rPr>
            </w:pPr>
            <w:r w:rsidRPr="005C4EA9">
              <w:rPr>
                <w:rFonts w:asciiTheme="minorHAnsi" w:hAnsiTheme="minorHAnsi"/>
                <w:bCs/>
                <w:sz w:val="20"/>
                <w:szCs w:val="20"/>
              </w:rPr>
              <w:t>Inclusion criteria: need for a cementless or hybrid (partially cemented) total hip or knee prosthesis and age&gt;18 years</w:t>
            </w:r>
            <w:r w:rsidR="007A7951" w:rsidRPr="005C4EA9">
              <w:rPr>
                <w:rFonts w:asciiTheme="minorHAnsi" w:hAnsiTheme="minorHAnsi"/>
                <w:bCs/>
                <w:sz w:val="20"/>
                <w:szCs w:val="20"/>
              </w:rPr>
              <w:t>.</w:t>
            </w:r>
          </w:p>
          <w:p w14:paraId="784EBFBF" w14:textId="77777777" w:rsidR="0098200B" w:rsidRPr="005C4EA9" w:rsidRDefault="0098200B" w:rsidP="008F7F10">
            <w:pPr>
              <w:spacing w:after="200"/>
              <w:rPr>
                <w:rFonts w:asciiTheme="minorHAnsi" w:hAnsiTheme="minorHAnsi"/>
                <w:bCs/>
                <w:sz w:val="20"/>
                <w:szCs w:val="20"/>
              </w:rPr>
            </w:pPr>
            <w:r w:rsidRPr="005C4EA9">
              <w:rPr>
                <w:rFonts w:asciiTheme="minorHAnsi" w:hAnsiTheme="minorHAnsi"/>
                <w:bCs/>
                <w:sz w:val="20"/>
                <w:szCs w:val="20"/>
              </w:rPr>
              <w:t>Exclusion criteria: pregnancy, breast-feeding or planning to become pregnant during the study period, the presence of an active infection at the site of surgery, severe malignancies with a life expectancy of less than 3 months, previous diagnosis of immune depression or immunosuppressive treatment for organ</w:t>
            </w:r>
          </w:p>
          <w:p w14:paraId="46CA9406" w14:textId="4D834055" w:rsidR="0098200B" w:rsidRPr="005C4EA9" w:rsidRDefault="0098200B" w:rsidP="008F7F10">
            <w:pPr>
              <w:spacing w:after="200"/>
              <w:rPr>
                <w:rFonts w:asciiTheme="minorHAnsi" w:hAnsiTheme="minorHAnsi"/>
                <w:bCs/>
                <w:sz w:val="20"/>
                <w:szCs w:val="20"/>
              </w:rPr>
            </w:pPr>
            <w:r w:rsidRPr="005C4EA9">
              <w:rPr>
                <w:rFonts w:asciiTheme="minorHAnsi" w:hAnsiTheme="minorHAnsi"/>
                <w:bCs/>
                <w:sz w:val="20"/>
                <w:szCs w:val="20"/>
              </w:rPr>
              <w:t>transplantation, known allergy to the antibiotics or the DAC hydrogel constituents, unwillingness or inability to present for follow-up examinations or refusal to sign the informed consent documents or inability to do so.</w:t>
            </w:r>
          </w:p>
          <w:p w14:paraId="32281886" w14:textId="7C425A09" w:rsidR="0098200B" w:rsidRPr="005C4EA9" w:rsidRDefault="0098200B" w:rsidP="008F7F10">
            <w:pPr>
              <w:autoSpaceDE w:val="0"/>
              <w:autoSpaceDN w:val="0"/>
              <w:adjustRightInd w:val="0"/>
              <w:spacing w:after="200"/>
              <w:rPr>
                <w:rFonts w:asciiTheme="minorHAnsi" w:hAnsiTheme="minorHAnsi"/>
                <w:bCs/>
                <w:sz w:val="20"/>
                <w:szCs w:val="20"/>
              </w:rPr>
            </w:pPr>
            <w:r w:rsidRPr="005C4EA9">
              <w:rPr>
                <w:rFonts w:asciiTheme="minorHAnsi" w:hAnsiTheme="minorHAnsi"/>
                <w:bCs/>
                <w:sz w:val="20"/>
                <w:szCs w:val="20"/>
              </w:rPr>
              <w:t>Note, comorbidities were reported in patients who had complications.</w:t>
            </w:r>
          </w:p>
        </w:tc>
      </w:tr>
    </w:tbl>
    <w:p w14:paraId="19FAC299" w14:textId="77777777" w:rsidR="00C56066" w:rsidRDefault="00C56066">
      <w:r>
        <w:br w:type="page"/>
      </w:r>
    </w:p>
    <w:tbl>
      <w:tblPr>
        <w:tblStyle w:val="TableGrid"/>
        <w:tblW w:w="4799" w:type="pct"/>
        <w:tblCellMar>
          <w:left w:w="28" w:type="dxa"/>
          <w:right w:w="28" w:type="dxa"/>
        </w:tblCellMar>
        <w:tblLook w:val="04A0" w:firstRow="1" w:lastRow="0" w:firstColumn="1" w:lastColumn="0" w:noHBand="0" w:noVBand="1"/>
        <w:tblCaption w:val="Summary of Evidence - Published"/>
      </w:tblPr>
      <w:tblGrid>
        <w:gridCol w:w="1838"/>
        <w:gridCol w:w="1255"/>
        <w:gridCol w:w="5561"/>
      </w:tblGrid>
      <w:tr w:rsidR="00252C1F" w:rsidRPr="00560D95" w14:paraId="3DC11029" w14:textId="77777777" w:rsidTr="001A117D">
        <w:trPr>
          <w:cantSplit/>
        </w:trPr>
        <w:tc>
          <w:tcPr>
            <w:tcW w:w="1062" w:type="pct"/>
            <w:tcBorders>
              <w:top w:val="single" w:sz="4" w:space="0" w:color="auto"/>
              <w:left w:val="single" w:sz="4" w:space="0" w:color="auto"/>
              <w:bottom w:val="single" w:sz="4" w:space="0" w:color="auto"/>
              <w:right w:val="nil"/>
            </w:tcBorders>
          </w:tcPr>
          <w:p w14:paraId="6F469D68" w14:textId="467BE486" w:rsidR="00252C1F" w:rsidRPr="005C4EA9" w:rsidRDefault="00252C1F" w:rsidP="006A6C0E">
            <w:pPr>
              <w:spacing w:before="20" w:after="20"/>
              <w:rPr>
                <w:rFonts w:asciiTheme="minorHAnsi" w:hAnsiTheme="minorHAnsi" w:cstheme="minorHAnsi"/>
                <w:sz w:val="20"/>
                <w:szCs w:val="20"/>
              </w:rPr>
            </w:pPr>
            <w:r w:rsidRPr="005C4EA9">
              <w:rPr>
                <w:rFonts w:asciiTheme="minorHAnsi" w:hAnsiTheme="minorHAnsi" w:cstheme="minorHAnsi"/>
                <w:sz w:val="20"/>
                <w:szCs w:val="20"/>
              </w:rPr>
              <w:t>Population 2</w:t>
            </w:r>
          </w:p>
        </w:tc>
        <w:tc>
          <w:tcPr>
            <w:tcW w:w="725" w:type="pct"/>
            <w:tcBorders>
              <w:top w:val="single" w:sz="4" w:space="0" w:color="auto"/>
              <w:left w:val="nil"/>
              <w:bottom w:val="single" w:sz="4" w:space="0" w:color="auto"/>
              <w:right w:val="nil"/>
            </w:tcBorders>
          </w:tcPr>
          <w:p w14:paraId="03118C1B" w14:textId="77777777" w:rsidR="00252C1F" w:rsidRPr="005C4EA9" w:rsidRDefault="00252C1F" w:rsidP="004839BB">
            <w:pPr>
              <w:rPr>
                <w:rFonts w:asciiTheme="minorHAnsi" w:hAnsiTheme="minorHAnsi" w:cstheme="minorHAnsi"/>
                <w:sz w:val="20"/>
                <w:szCs w:val="20"/>
              </w:rPr>
            </w:pPr>
          </w:p>
        </w:tc>
        <w:tc>
          <w:tcPr>
            <w:tcW w:w="3213" w:type="pct"/>
            <w:tcBorders>
              <w:top w:val="single" w:sz="4" w:space="0" w:color="auto"/>
              <w:left w:val="nil"/>
              <w:bottom w:val="single" w:sz="4" w:space="0" w:color="auto"/>
              <w:right w:val="single" w:sz="4" w:space="0" w:color="auto"/>
            </w:tcBorders>
          </w:tcPr>
          <w:p w14:paraId="53389BE2" w14:textId="77777777" w:rsidR="00252C1F" w:rsidRPr="005C4EA9" w:rsidRDefault="00252C1F" w:rsidP="004839BB">
            <w:pPr>
              <w:autoSpaceDE w:val="0"/>
              <w:autoSpaceDN w:val="0"/>
              <w:adjustRightInd w:val="0"/>
              <w:rPr>
                <w:rFonts w:asciiTheme="minorHAnsi" w:hAnsiTheme="minorHAnsi" w:cstheme="minorHAnsi"/>
                <w:sz w:val="20"/>
                <w:szCs w:val="20"/>
              </w:rPr>
            </w:pPr>
          </w:p>
        </w:tc>
      </w:tr>
      <w:tr w:rsidR="00252C1F" w:rsidRPr="00560D95" w14:paraId="47219916" w14:textId="77777777" w:rsidTr="001A117D">
        <w:trPr>
          <w:cantSplit/>
        </w:trPr>
        <w:tc>
          <w:tcPr>
            <w:tcW w:w="1062" w:type="pct"/>
            <w:tcBorders>
              <w:top w:val="single" w:sz="4" w:space="0" w:color="auto"/>
              <w:bottom w:val="single" w:sz="4" w:space="0" w:color="auto"/>
            </w:tcBorders>
          </w:tcPr>
          <w:p w14:paraId="3295C452" w14:textId="39E9FD6B" w:rsidR="00252C1F" w:rsidRPr="005C4EA9" w:rsidRDefault="00252C1F" w:rsidP="00252C1F">
            <w:pPr>
              <w:rPr>
                <w:rFonts w:asciiTheme="minorHAnsi" w:hAnsiTheme="minorHAnsi" w:cstheme="minorHAnsi"/>
                <w:sz w:val="20"/>
                <w:szCs w:val="20"/>
              </w:rPr>
            </w:pPr>
            <w:r w:rsidRPr="005C4EA9">
              <w:rPr>
                <w:rFonts w:asciiTheme="minorHAnsi" w:hAnsiTheme="minorHAnsi"/>
                <w:sz w:val="20"/>
                <w:szCs w:val="20"/>
              </w:rPr>
              <w:t xml:space="preserve">Consecutive Case Series* </w:t>
            </w:r>
          </w:p>
        </w:tc>
        <w:tc>
          <w:tcPr>
            <w:tcW w:w="725" w:type="pct"/>
            <w:tcBorders>
              <w:top w:val="single" w:sz="4" w:space="0" w:color="auto"/>
              <w:bottom w:val="single" w:sz="4" w:space="0" w:color="auto"/>
            </w:tcBorders>
          </w:tcPr>
          <w:p w14:paraId="369945F2" w14:textId="60ABD00E" w:rsidR="00252C1F" w:rsidRPr="005C4EA9" w:rsidRDefault="00252C1F" w:rsidP="00252C1F">
            <w:pPr>
              <w:rPr>
                <w:rFonts w:asciiTheme="minorHAnsi" w:hAnsiTheme="minorHAnsi" w:cstheme="minorHAnsi"/>
                <w:sz w:val="20"/>
                <w:szCs w:val="20"/>
              </w:rPr>
            </w:pPr>
            <w:r w:rsidRPr="005C4EA9">
              <w:rPr>
                <w:rFonts w:asciiTheme="minorHAnsi" w:hAnsiTheme="minorHAnsi"/>
                <w:sz w:val="20"/>
                <w:szCs w:val="20"/>
              </w:rPr>
              <w:t>Zoccali et al. (2019)</w:t>
            </w:r>
          </w:p>
        </w:tc>
        <w:tc>
          <w:tcPr>
            <w:tcW w:w="3213" w:type="pct"/>
            <w:tcBorders>
              <w:top w:val="single" w:sz="4" w:space="0" w:color="auto"/>
              <w:bottom w:val="single" w:sz="4" w:space="0" w:color="auto"/>
            </w:tcBorders>
          </w:tcPr>
          <w:p w14:paraId="311D2BAF" w14:textId="3A598F4A" w:rsidR="00252C1F" w:rsidRPr="005C4EA9" w:rsidRDefault="00252C1F" w:rsidP="008F7F10">
            <w:pPr>
              <w:autoSpaceDE w:val="0"/>
              <w:autoSpaceDN w:val="0"/>
              <w:adjustRightInd w:val="0"/>
              <w:spacing w:after="200"/>
              <w:rPr>
                <w:rFonts w:asciiTheme="minorHAnsi" w:hAnsiTheme="minorHAnsi" w:cstheme="minorHAnsi"/>
                <w:sz w:val="20"/>
                <w:szCs w:val="20"/>
              </w:rPr>
            </w:pPr>
            <w:r w:rsidRPr="005C4EA9">
              <w:rPr>
                <w:rFonts w:asciiTheme="minorHAnsi" w:hAnsiTheme="minorHAnsi"/>
                <w:sz w:val="20"/>
                <w:szCs w:val="20"/>
              </w:rPr>
              <w:t>Forty-seven consecutive patients in three Centres received a megaprosthetic implant coated with Antibacterial-Loaded Hyaluronan Based Gel following tumour resection and limb salvage surgical procedure. Sites were Distal Femur (n=17) and Proximal Femur (n=19).</w:t>
            </w:r>
          </w:p>
        </w:tc>
      </w:tr>
      <w:tr w:rsidR="00252C1F" w:rsidRPr="00560D95" w14:paraId="1A44D863" w14:textId="77777777" w:rsidTr="001A117D">
        <w:trPr>
          <w:cantSplit/>
        </w:trPr>
        <w:tc>
          <w:tcPr>
            <w:tcW w:w="1062" w:type="pct"/>
            <w:tcBorders>
              <w:top w:val="single" w:sz="4" w:space="0" w:color="auto"/>
              <w:left w:val="single" w:sz="4" w:space="0" w:color="auto"/>
              <w:bottom w:val="single" w:sz="4" w:space="0" w:color="auto"/>
              <w:right w:val="nil"/>
            </w:tcBorders>
          </w:tcPr>
          <w:p w14:paraId="1B886D47" w14:textId="493E5D01" w:rsidR="00252C1F" w:rsidRPr="005C4EA9" w:rsidRDefault="00252C1F" w:rsidP="006A6C0E">
            <w:pPr>
              <w:spacing w:before="20" w:after="20"/>
              <w:rPr>
                <w:rFonts w:asciiTheme="minorHAnsi" w:hAnsiTheme="minorHAnsi" w:cstheme="minorHAnsi"/>
                <w:sz w:val="20"/>
                <w:szCs w:val="20"/>
              </w:rPr>
            </w:pPr>
            <w:r w:rsidRPr="005C4EA9">
              <w:rPr>
                <w:rFonts w:asciiTheme="minorHAnsi" w:hAnsiTheme="minorHAnsi" w:cstheme="minorHAnsi"/>
                <w:sz w:val="20"/>
                <w:szCs w:val="20"/>
              </w:rPr>
              <w:t>Population 3</w:t>
            </w:r>
          </w:p>
        </w:tc>
        <w:tc>
          <w:tcPr>
            <w:tcW w:w="725" w:type="pct"/>
            <w:tcBorders>
              <w:top w:val="single" w:sz="4" w:space="0" w:color="auto"/>
              <w:left w:val="nil"/>
              <w:bottom w:val="single" w:sz="4" w:space="0" w:color="auto"/>
              <w:right w:val="nil"/>
            </w:tcBorders>
          </w:tcPr>
          <w:p w14:paraId="5BD4F9A2" w14:textId="77777777" w:rsidR="00252C1F" w:rsidRPr="005C4EA9" w:rsidRDefault="00252C1F" w:rsidP="004839BB">
            <w:pPr>
              <w:rPr>
                <w:rFonts w:asciiTheme="minorHAnsi" w:hAnsiTheme="minorHAnsi" w:cstheme="minorHAnsi"/>
                <w:sz w:val="20"/>
                <w:szCs w:val="20"/>
              </w:rPr>
            </w:pPr>
          </w:p>
        </w:tc>
        <w:tc>
          <w:tcPr>
            <w:tcW w:w="3213" w:type="pct"/>
            <w:tcBorders>
              <w:top w:val="single" w:sz="4" w:space="0" w:color="auto"/>
              <w:left w:val="nil"/>
              <w:bottom w:val="single" w:sz="4" w:space="0" w:color="auto"/>
              <w:right w:val="single" w:sz="4" w:space="0" w:color="auto"/>
            </w:tcBorders>
          </w:tcPr>
          <w:p w14:paraId="1479A893" w14:textId="77777777" w:rsidR="00252C1F" w:rsidRPr="005C4EA9" w:rsidRDefault="00252C1F" w:rsidP="004839BB">
            <w:pPr>
              <w:autoSpaceDE w:val="0"/>
              <w:autoSpaceDN w:val="0"/>
              <w:adjustRightInd w:val="0"/>
              <w:rPr>
                <w:rFonts w:asciiTheme="minorHAnsi" w:hAnsiTheme="minorHAnsi" w:cstheme="minorHAnsi"/>
                <w:sz w:val="20"/>
                <w:szCs w:val="20"/>
              </w:rPr>
            </w:pPr>
          </w:p>
        </w:tc>
      </w:tr>
      <w:tr w:rsidR="00252C1F" w:rsidRPr="00560D95" w14:paraId="0FD1624B" w14:textId="77777777" w:rsidTr="001A117D">
        <w:trPr>
          <w:cantSplit/>
        </w:trPr>
        <w:tc>
          <w:tcPr>
            <w:tcW w:w="1062" w:type="pct"/>
            <w:tcBorders>
              <w:top w:val="single" w:sz="4" w:space="0" w:color="auto"/>
            </w:tcBorders>
          </w:tcPr>
          <w:p w14:paraId="5E2DFE4B" w14:textId="0A15F8E6" w:rsidR="00252C1F" w:rsidRPr="005C4EA9" w:rsidRDefault="00252C1F" w:rsidP="00252C1F">
            <w:pPr>
              <w:rPr>
                <w:rFonts w:asciiTheme="minorHAnsi" w:hAnsiTheme="minorHAnsi" w:cstheme="minorHAnsi"/>
                <w:sz w:val="20"/>
                <w:szCs w:val="20"/>
              </w:rPr>
            </w:pPr>
            <w:r w:rsidRPr="005C4EA9">
              <w:rPr>
                <w:rFonts w:asciiTheme="minorHAnsi" w:hAnsiTheme="minorHAnsi" w:cstheme="minorHAnsi"/>
                <w:color w:val="131413"/>
                <w:sz w:val="20"/>
                <w:szCs w:val="20"/>
              </w:rPr>
              <w:t>Case-control study.</w:t>
            </w:r>
          </w:p>
        </w:tc>
        <w:tc>
          <w:tcPr>
            <w:tcW w:w="725" w:type="pct"/>
            <w:tcBorders>
              <w:top w:val="single" w:sz="4" w:space="0" w:color="auto"/>
            </w:tcBorders>
          </w:tcPr>
          <w:p w14:paraId="25816328" w14:textId="4685B0E5" w:rsidR="00252C1F" w:rsidRPr="005C4EA9" w:rsidRDefault="00252C1F" w:rsidP="00252C1F">
            <w:pPr>
              <w:rPr>
                <w:rFonts w:asciiTheme="minorHAnsi" w:hAnsiTheme="minorHAnsi" w:cstheme="minorHAnsi"/>
                <w:sz w:val="20"/>
                <w:szCs w:val="20"/>
              </w:rPr>
            </w:pPr>
            <w:r w:rsidRPr="005C4EA9">
              <w:rPr>
                <w:rFonts w:asciiTheme="minorHAnsi" w:hAnsiTheme="minorHAnsi" w:cstheme="minorHAnsi"/>
                <w:sz w:val="20"/>
                <w:szCs w:val="20"/>
              </w:rPr>
              <w:t>Capuano et al. (2018)</w:t>
            </w:r>
            <w:r w:rsidR="00BD4DEA" w:rsidRPr="005C4EA9">
              <w:rPr>
                <w:rFonts w:asciiTheme="minorHAnsi" w:hAnsiTheme="minorHAnsi" w:cstheme="minorHAnsi"/>
                <w:sz w:val="20"/>
                <w:szCs w:val="20"/>
              </w:rPr>
              <w:t xml:space="preserve"> </w:t>
            </w:r>
          </w:p>
        </w:tc>
        <w:tc>
          <w:tcPr>
            <w:tcW w:w="3213" w:type="pct"/>
            <w:tcBorders>
              <w:top w:val="single" w:sz="4" w:space="0" w:color="auto"/>
            </w:tcBorders>
          </w:tcPr>
          <w:p w14:paraId="12F4E23A" w14:textId="77777777" w:rsidR="00252C1F" w:rsidRPr="005C4EA9" w:rsidRDefault="00252C1F" w:rsidP="00650EF4">
            <w:pPr>
              <w:autoSpaceDE w:val="0"/>
              <w:autoSpaceDN w:val="0"/>
              <w:adjustRightInd w:val="0"/>
              <w:spacing w:after="200" w:line="276" w:lineRule="auto"/>
              <w:rPr>
                <w:rFonts w:asciiTheme="minorHAnsi" w:hAnsiTheme="minorHAnsi" w:cstheme="minorHAnsi"/>
                <w:color w:val="131413"/>
                <w:sz w:val="20"/>
                <w:szCs w:val="20"/>
              </w:rPr>
            </w:pPr>
            <w:r w:rsidRPr="005C4EA9">
              <w:rPr>
                <w:rFonts w:asciiTheme="minorHAnsi" w:hAnsiTheme="minorHAnsi" w:cstheme="minorHAnsi"/>
                <w:color w:val="131413"/>
                <w:sz w:val="20"/>
                <w:szCs w:val="20"/>
              </w:rPr>
              <w:t>22 cases undergoing 1-stage exchange hip or knee procedures, using cementless (hip) or partially cemented (knee) implants coated with DAC, matched for age, sex, infection site and host type with 22 controls undergoing 2-stage exchange hip or knee procedures, using cementless (hip) or partially cemented (knee) implants without DAC.</w:t>
            </w:r>
            <w:r w:rsidRPr="005C4EA9">
              <w:rPr>
                <w:rFonts w:asciiTheme="minorHAnsi" w:hAnsiTheme="minorHAnsi"/>
                <w:sz w:val="20"/>
                <w:szCs w:val="20"/>
              </w:rPr>
              <w:t xml:space="preserve"> </w:t>
            </w:r>
            <w:r w:rsidRPr="005C4EA9">
              <w:rPr>
                <w:rFonts w:asciiTheme="minorHAnsi" w:hAnsiTheme="minorHAnsi" w:cstheme="minorHAnsi"/>
                <w:color w:val="131413"/>
                <w:sz w:val="20"/>
                <w:szCs w:val="20"/>
              </w:rPr>
              <w:t>Cases: 9 male, 13 female; mean age 71.3 ± 13.6yr; McPherson host class B+C 86.4%; revision for septic hip 22.7%, for septic knee 77.3%; 1st-stage MRSA population 52.1%.</w:t>
            </w:r>
          </w:p>
          <w:p w14:paraId="449D0B67" w14:textId="38E0D350" w:rsidR="00B004B3" w:rsidRPr="005C4EA9" w:rsidRDefault="00252C1F" w:rsidP="00650EF4">
            <w:pPr>
              <w:autoSpaceDE w:val="0"/>
              <w:autoSpaceDN w:val="0"/>
              <w:adjustRightInd w:val="0"/>
              <w:spacing w:after="200"/>
              <w:rPr>
                <w:rFonts w:asciiTheme="minorHAnsi" w:hAnsiTheme="minorHAnsi" w:cstheme="minorHAnsi"/>
                <w:color w:val="131413"/>
                <w:sz w:val="20"/>
                <w:szCs w:val="20"/>
              </w:rPr>
            </w:pPr>
            <w:r w:rsidRPr="005C4EA9">
              <w:rPr>
                <w:rFonts w:asciiTheme="minorHAnsi" w:hAnsiTheme="minorHAnsi" w:cstheme="minorHAnsi"/>
                <w:color w:val="131413"/>
                <w:sz w:val="20"/>
                <w:szCs w:val="20"/>
              </w:rPr>
              <w:t>Controls: 9 male, 13 female; mean age 71.9 ± 8.3yr; McPherson host class B+C 81.8%; revision for septic hip 22.7%, for septic knee 77.3%; 1st-stage MRSA population 30.4%.</w:t>
            </w:r>
          </w:p>
          <w:p w14:paraId="6A776CF8" w14:textId="16377257" w:rsidR="00444ADA" w:rsidRPr="005C4EA9" w:rsidRDefault="00B004B3" w:rsidP="00650EF4">
            <w:pPr>
              <w:autoSpaceDE w:val="0"/>
              <w:autoSpaceDN w:val="0"/>
              <w:adjustRightInd w:val="0"/>
              <w:spacing w:after="200"/>
              <w:rPr>
                <w:rFonts w:asciiTheme="minorHAnsi" w:hAnsiTheme="minorHAnsi" w:cstheme="minorHAnsi"/>
                <w:color w:val="131413"/>
                <w:sz w:val="20"/>
                <w:szCs w:val="20"/>
              </w:rPr>
            </w:pPr>
            <w:r w:rsidRPr="005C4EA9">
              <w:rPr>
                <w:rFonts w:asciiTheme="minorHAnsi" w:hAnsiTheme="minorHAnsi" w:cstheme="minorHAnsi"/>
                <w:color w:val="131413"/>
                <w:sz w:val="20"/>
                <w:szCs w:val="20"/>
              </w:rPr>
              <w:t xml:space="preserve">Inclusion criteria cases: </w:t>
            </w:r>
            <w:r w:rsidR="0066591E" w:rsidRPr="005C4EA9">
              <w:rPr>
                <w:rFonts w:asciiTheme="minorHAnsi" w:hAnsiTheme="minorHAnsi" w:cstheme="minorHAnsi"/>
                <w:color w:val="131413"/>
                <w:sz w:val="20"/>
                <w:szCs w:val="20"/>
              </w:rPr>
              <w:t xml:space="preserve">one stage revision for </w:t>
            </w:r>
            <w:r w:rsidRPr="005C4EA9">
              <w:rPr>
                <w:rFonts w:asciiTheme="minorHAnsi" w:hAnsiTheme="minorHAnsi" w:cstheme="minorHAnsi"/>
                <w:color w:val="131413"/>
                <w:sz w:val="20"/>
                <w:szCs w:val="20"/>
              </w:rPr>
              <w:t>delayed or late prosthetic knee or hip infection as defined by MSIS criteria</w:t>
            </w:r>
            <w:r w:rsidR="007A7951" w:rsidRPr="005C4EA9">
              <w:rPr>
                <w:rFonts w:asciiTheme="minorHAnsi" w:hAnsiTheme="minorHAnsi" w:cstheme="minorHAnsi"/>
                <w:color w:val="131413"/>
                <w:sz w:val="20"/>
                <w:szCs w:val="20"/>
              </w:rPr>
              <w:t>.</w:t>
            </w:r>
          </w:p>
          <w:p w14:paraId="1BB67897" w14:textId="55AF0F21" w:rsidR="00B004B3" w:rsidRPr="005C4EA9" w:rsidRDefault="00444ADA" w:rsidP="00650EF4">
            <w:pPr>
              <w:autoSpaceDE w:val="0"/>
              <w:autoSpaceDN w:val="0"/>
              <w:adjustRightInd w:val="0"/>
              <w:spacing w:after="200"/>
              <w:rPr>
                <w:rFonts w:asciiTheme="minorHAnsi" w:hAnsiTheme="minorHAnsi" w:cstheme="minorHAnsi"/>
                <w:color w:val="131413"/>
                <w:sz w:val="20"/>
                <w:szCs w:val="20"/>
              </w:rPr>
            </w:pPr>
            <w:r w:rsidRPr="005C4EA9">
              <w:rPr>
                <w:rFonts w:asciiTheme="minorHAnsi" w:hAnsiTheme="minorHAnsi" w:cstheme="minorHAnsi"/>
                <w:color w:val="131413"/>
                <w:sz w:val="20"/>
                <w:szCs w:val="20"/>
              </w:rPr>
              <w:t>Exclusion criteria cases: lack of pre-operative identification of pathogen, large-soft tissue defects preventing skin closure or patient refusal to undergo a 1-stage approach.</w:t>
            </w:r>
          </w:p>
          <w:p w14:paraId="6FC5BC30" w14:textId="30B2489F" w:rsidR="00B004B3" w:rsidRPr="005C4EA9" w:rsidRDefault="00B004B3" w:rsidP="00650EF4">
            <w:pPr>
              <w:autoSpaceDE w:val="0"/>
              <w:autoSpaceDN w:val="0"/>
              <w:adjustRightInd w:val="0"/>
              <w:spacing w:after="200"/>
              <w:rPr>
                <w:rFonts w:asciiTheme="minorHAnsi" w:hAnsiTheme="minorHAnsi" w:cstheme="minorHAnsi"/>
                <w:sz w:val="20"/>
                <w:szCs w:val="20"/>
              </w:rPr>
            </w:pPr>
            <w:r w:rsidRPr="005C4EA9">
              <w:rPr>
                <w:rFonts w:asciiTheme="minorHAnsi" w:hAnsiTheme="minorHAnsi" w:cstheme="minorHAnsi"/>
                <w:color w:val="131413"/>
                <w:sz w:val="20"/>
                <w:szCs w:val="20"/>
              </w:rPr>
              <w:t xml:space="preserve">Inclusion criteria controls: </w:t>
            </w:r>
            <w:r w:rsidR="0066591E" w:rsidRPr="005C4EA9">
              <w:rPr>
                <w:rFonts w:asciiTheme="minorHAnsi" w:hAnsiTheme="minorHAnsi" w:cstheme="minorHAnsi"/>
                <w:color w:val="131413"/>
                <w:sz w:val="20"/>
                <w:szCs w:val="20"/>
              </w:rPr>
              <w:t>peri-prost</w:t>
            </w:r>
            <w:r w:rsidRPr="005C4EA9">
              <w:rPr>
                <w:rFonts w:asciiTheme="minorHAnsi" w:hAnsiTheme="minorHAnsi" w:cstheme="minorHAnsi"/>
                <w:color w:val="131413"/>
                <w:sz w:val="20"/>
                <w:szCs w:val="20"/>
              </w:rPr>
              <w:t>h</w:t>
            </w:r>
            <w:r w:rsidR="0066591E" w:rsidRPr="005C4EA9">
              <w:rPr>
                <w:rFonts w:asciiTheme="minorHAnsi" w:hAnsiTheme="minorHAnsi" w:cstheme="minorHAnsi"/>
                <w:color w:val="131413"/>
                <w:sz w:val="20"/>
                <w:szCs w:val="20"/>
              </w:rPr>
              <w:t>et</w:t>
            </w:r>
            <w:r w:rsidRPr="005C4EA9">
              <w:rPr>
                <w:rFonts w:asciiTheme="minorHAnsi" w:hAnsiTheme="minorHAnsi" w:cstheme="minorHAnsi"/>
                <w:color w:val="131413"/>
                <w:sz w:val="20"/>
                <w:szCs w:val="20"/>
              </w:rPr>
              <w:t>ic knee or hip infection as defined by MSIS criteria treated with 2-stage procedure, using a preformed antibiotic-loaded spacer and a cementless or hybrid revision implant without DAC</w:t>
            </w:r>
            <w:r w:rsidR="007A7951" w:rsidRPr="005C4EA9">
              <w:rPr>
                <w:rFonts w:asciiTheme="minorHAnsi" w:hAnsiTheme="minorHAnsi" w:cstheme="minorHAnsi"/>
                <w:color w:val="131413"/>
                <w:sz w:val="20"/>
                <w:szCs w:val="20"/>
              </w:rPr>
              <w:t>.</w:t>
            </w:r>
          </w:p>
        </w:tc>
      </w:tr>
      <w:tr w:rsidR="00252C1F" w:rsidRPr="00560D95" w14:paraId="1D370A16" w14:textId="77777777" w:rsidTr="001A117D">
        <w:trPr>
          <w:cantSplit/>
        </w:trPr>
        <w:tc>
          <w:tcPr>
            <w:tcW w:w="1062" w:type="pct"/>
          </w:tcPr>
          <w:p w14:paraId="7ADBED71" w14:textId="686043BB" w:rsidR="00252C1F" w:rsidRPr="005C4EA9" w:rsidRDefault="00252C1F" w:rsidP="00252C1F">
            <w:pPr>
              <w:rPr>
                <w:rFonts w:asciiTheme="minorHAnsi" w:hAnsiTheme="minorHAnsi" w:cstheme="minorHAnsi"/>
                <w:sz w:val="20"/>
                <w:szCs w:val="20"/>
              </w:rPr>
            </w:pPr>
            <w:r w:rsidRPr="005C4EA9">
              <w:rPr>
                <w:rFonts w:asciiTheme="minorHAnsi" w:hAnsiTheme="minorHAnsi" w:cstheme="minorHAnsi"/>
                <w:color w:val="131413"/>
                <w:sz w:val="20"/>
                <w:szCs w:val="20"/>
              </w:rPr>
              <w:t>Case-control study.</w:t>
            </w:r>
          </w:p>
        </w:tc>
        <w:tc>
          <w:tcPr>
            <w:tcW w:w="725" w:type="pct"/>
          </w:tcPr>
          <w:p w14:paraId="6230F42C" w14:textId="50134156" w:rsidR="00252C1F" w:rsidRPr="005C4EA9" w:rsidRDefault="00252C1F" w:rsidP="00252C1F">
            <w:pPr>
              <w:rPr>
                <w:rFonts w:asciiTheme="minorHAnsi" w:hAnsiTheme="minorHAnsi" w:cstheme="minorHAnsi"/>
                <w:sz w:val="20"/>
                <w:szCs w:val="20"/>
              </w:rPr>
            </w:pPr>
            <w:r w:rsidRPr="005C4EA9">
              <w:rPr>
                <w:rFonts w:asciiTheme="minorHAnsi" w:hAnsiTheme="minorHAnsi" w:cstheme="minorHAnsi"/>
                <w:sz w:val="20"/>
                <w:szCs w:val="20"/>
              </w:rPr>
              <w:t>Zagra et al. (2019)</w:t>
            </w:r>
          </w:p>
        </w:tc>
        <w:tc>
          <w:tcPr>
            <w:tcW w:w="3213" w:type="pct"/>
          </w:tcPr>
          <w:p w14:paraId="0DBE695F" w14:textId="77777777" w:rsidR="00252C1F" w:rsidRPr="005C4EA9" w:rsidRDefault="00252C1F" w:rsidP="00252C1F">
            <w:pPr>
              <w:autoSpaceDE w:val="0"/>
              <w:autoSpaceDN w:val="0"/>
              <w:adjustRightInd w:val="0"/>
              <w:spacing w:after="200" w:line="276" w:lineRule="auto"/>
              <w:rPr>
                <w:rFonts w:asciiTheme="minorHAnsi" w:hAnsiTheme="minorHAnsi" w:cstheme="minorHAnsi"/>
                <w:color w:val="131413"/>
                <w:sz w:val="20"/>
                <w:szCs w:val="20"/>
              </w:rPr>
            </w:pPr>
            <w:r w:rsidRPr="005C4EA9">
              <w:rPr>
                <w:rFonts w:asciiTheme="minorHAnsi" w:hAnsiTheme="minorHAnsi" w:cstheme="minorHAnsi"/>
                <w:color w:val="131413"/>
                <w:sz w:val="20"/>
                <w:szCs w:val="20"/>
              </w:rPr>
              <w:t>27 cases undergoing 2-stage exchange hip procedure using cementless implants coated with DAC matched for age and host type with 27 controls without DAC operated on in the same time period.</w:t>
            </w:r>
          </w:p>
          <w:p w14:paraId="5CDD0EEB" w14:textId="5D4E9B89" w:rsidR="00252C1F" w:rsidRPr="005C4EA9" w:rsidRDefault="00252C1F" w:rsidP="00252C1F">
            <w:pPr>
              <w:autoSpaceDE w:val="0"/>
              <w:autoSpaceDN w:val="0"/>
              <w:adjustRightInd w:val="0"/>
              <w:spacing w:after="200" w:line="276" w:lineRule="auto"/>
              <w:rPr>
                <w:rFonts w:asciiTheme="minorHAnsi" w:hAnsiTheme="minorHAnsi" w:cstheme="minorHAnsi"/>
                <w:color w:val="131413"/>
                <w:sz w:val="20"/>
                <w:szCs w:val="20"/>
              </w:rPr>
            </w:pPr>
            <w:r w:rsidRPr="005C4EA9">
              <w:rPr>
                <w:rFonts w:asciiTheme="minorHAnsi" w:hAnsiTheme="minorHAnsi" w:cstheme="minorHAnsi"/>
                <w:color w:val="131413"/>
                <w:sz w:val="20"/>
                <w:szCs w:val="20"/>
              </w:rPr>
              <w:t>Inclusion criteria: delayed or lat</w:t>
            </w:r>
            <w:r w:rsidR="00444ADA" w:rsidRPr="005C4EA9">
              <w:rPr>
                <w:rFonts w:asciiTheme="minorHAnsi" w:hAnsiTheme="minorHAnsi" w:cstheme="minorHAnsi"/>
                <w:color w:val="131413"/>
                <w:sz w:val="20"/>
                <w:szCs w:val="20"/>
              </w:rPr>
              <w:t>e peri-prosthetic hip infection</w:t>
            </w:r>
            <w:r w:rsidR="00951B88" w:rsidRPr="005C4EA9">
              <w:rPr>
                <w:rFonts w:asciiTheme="minorHAnsi" w:hAnsiTheme="minorHAnsi" w:cstheme="minorHAnsi"/>
                <w:color w:val="131413"/>
                <w:sz w:val="20"/>
                <w:szCs w:val="20"/>
              </w:rPr>
              <w:t xml:space="preserve"> as defined by </w:t>
            </w:r>
            <w:r w:rsidR="00F334D7" w:rsidRPr="005C4EA9">
              <w:rPr>
                <w:rFonts w:asciiTheme="minorHAnsi" w:hAnsiTheme="minorHAnsi" w:cstheme="minorHAnsi"/>
                <w:color w:val="131413"/>
                <w:sz w:val="20"/>
                <w:szCs w:val="20"/>
              </w:rPr>
              <w:t>MSIS criteria</w:t>
            </w:r>
            <w:r w:rsidR="00444ADA" w:rsidRPr="005C4EA9">
              <w:rPr>
                <w:rFonts w:asciiTheme="minorHAnsi" w:hAnsiTheme="minorHAnsi" w:cstheme="minorHAnsi"/>
                <w:color w:val="131413"/>
                <w:sz w:val="20"/>
                <w:szCs w:val="20"/>
              </w:rPr>
              <w:t>, treated with 2-stage procedure and a cementless revision implant</w:t>
            </w:r>
            <w:r w:rsidR="007A7951" w:rsidRPr="005C4EA9">
              <w:rPr>
                <w:rFonts w:asciiTheme="minorHAnsi" w:hAnsiTheme="minorHAnsi" w:cstheme="minorHAnsi"/>
                <w:color w:val="131413"/>
                <w:sz w:val="20"/>
                <w:szCs w:val="20"/>
              </w:rPr>
              <w:t>.</w:t>
            </w:r>
          </w:p>
          <w:p w14:paraId="27922A0F" w14:textId="77777777" w:rsidR="00252C1F" w:rsidRPr="005C4EA9" w:rsidRDefault="00252C1F" w:rsidP="00252C1F">
            <w:pPr>
              <w:autoSpaceDE w:val="0"/>
              <w:autoSpaceDN w:val="0"/>
              <w:adjustRightInd w:val="0"/>
              <w:spacing w:after="200" w:line="276" w:lineRule="auto"/>
              <w:rPr>
                <w:rFonts w:asciiTheme="minorHAnsi" w:hAnsiTheme="minorHAnsi" w:cstheme="minorHAnsi"/>
                <w:color w:val="131413"/>
                <w:sz w:val="20"/>
                <w:szCs w:val="20"/>
              </w:rPr>
            </w:pPr>
            <w:r w:rsidRPr="005C4EA9">
              <w:rPr>
                <w:rFonts w:asciiTheme="minorHAnsi" w:hAnsiTheme="minorHAnsi" w:cstheme="minorHAnsi"/>
                <w:color w:val="131413"/>
                <w:sz w:val="20"/>
                <w:szCs w:val="20"/>
              </w:rPr>
              <w:t>Exclusion criteria: large soft-tissue defects; previous failed revision for infection.</w:t>
            </w:r>
          </w:p>
          <w:p w14:paraId="2D644F60" w14:textId="77777777" w:rsidR="00252C1F" w:rsidRPr="005C4EA9" w:rsidRDefault="00252C1F" w:rsidP="00252C1F">
            <w:pPr>
              <w:autoSpaceDE w:val="0"/>
              <w:autoSpaceDN w:val="0"/>
              <w:adjustRightInd w:val="0"/>
              <w:spacing w:after="200" w:line="276" w:lineRule="auto"/>
              <w:rPr>
                <w:rFonts w:asciiTheme="minorHAnsi" w:hAnsiTheme="minorHAnsi" w:cstheme="minorHAnsi"/>
                <w:color w:val="131413"/>
                <w:sz w:val="20"/>
                <w:szCs w:val="20"/>
              </w:rPr>
            </w:pPr>
            <w:r w:rsidRPr="005C4EA9">
              <w:rPr>
                <w:rFonts w:asciiTheme="minorHAnsi" w:hAnsiTheme="minorHAnsi" w:cstheme="minorHAnsi"/>
                <w:color w:val="131413"/>
                <w:sz w:val="20"/>
                <w:szCs w:val="20"/>
              </w:rPr>
              <w:t>Cases: 11male, 16 female; mean age 63.9 ± 11.7yr; McPherson host class B 70.4%, class C 25.9%; 1st-stage explant MRSA population 18.5%.</w:t>
            </w:r>
          </w:p>
          <w:p w14:paraId="0B141A06" w14:textId="7C45EC1D" w:rsidR="00252C1F" w:rsidRPr="005C4EA9" w:rsidRDefault="00252C1F" w:rsidP="008F7F10">
            <w:pPr>
              <w:autoSpaceDE w:val="0"/>
              <w:autoSpaceDN w:val="0"/>
              <w:adjustRightInd w:val="0"/>
              <w:spacing w:after="200"/>
              <w:rPr>
                <w:rFonts w:asciiTheme="minorHAnsi" w:hAnsiTheme="minorHAnsi" w:cstheme="minorHAnsi"/>
                <w:sz w:val="20"/>
                <w:szCs w:val="20"/>
              </w:rPr>
            </w:pPr>
            <w:r w:rsidRPr="005C4EA9">
              <w:rPr>
                <w:rFonts w:asciiTheme="minorHAnsi" w:hAnsiTheme="minorHAnsi" w:cstheme="minorHAnsi"/>
                <w:color w:val="131413"/>
                <w:sz w:val="20"/>
                <w:szCs w:val="20"/>
              </w:rPr>
              <w:t>Controls: 14 male, 13 female; mean age 64.8 ± 10.1yr; McPherson host class B 81.5%, class C 14.8%; 1st-stage explant MRSA population 18.5%.</w:t>
            </w:r>
          </w:p>
        </w:tc>
      </w:tr>
      <w:tr w:rsidR="00B91D61" w:rsidRPr="00560D95" w14:paraId="29F1D47F" w14:textId="77777777" w:rsidTr="001A117D">
        <w:trPr>
          <w:cantSplit/>
        </w:trPr>
        <w:tc>
          <w:tcPr>
            <w:tcW w:w="1062" w:type="pct"/>
            <w:tcBorders>
              <w:bottom w:val="single" w:sz="4" w:space="0" w:color="auto"/>
            </w:tcBorders>
          </w:tcPr>
          <w:p w14:paraId="636E19F9" w14:textId="46C37C7B" w:rsidR="00B91D61" w:rsidRPr="005C4EA9" w:rsidRDefault="00B91D61" w:rsidP="00252C1F">
            <w:pPr>
              <w:rPr>
                <w:rFonts w:asciiTheme="minorHAnsi" w:hAnsiTheme="minorHAnsi" w:cstheme="minorHAnsi"/>
                <w:color w:val="131413"/>
                <w:sz w:val="20"/>
                <w:szCs w:val="20"/>
              </w:rPr>
            </w:pPr>
            <w:r w:rsidRPr="005C4EA9">
              <w:rPr>
                <w:rFonts w:asciiTheme="minorHAnsi" w:hAnsiTheme="minorHAnsi" w:cstheme="minorHAnsi"/>
                <w:color w:val="131413"/>
                <w:sz w:val="20"/>
                <w:szCs w:val="20"/>
              </w:rPr>
              <w:t>NCT04251377</w:t>
            </w:r>
          </w:p>
        </w:tc>
        <w:tc>
          <w:tcPr>
            <w:tcW w:w="725" w:type="pct"/>
            <w:tcBorders>
              <w:bottom w:val="single" w:sz="4" w:space="0" w:color="auto"/>
            </w:tcBorders>
          </w:tcPr>
          <w:p w14:paraId="2E7899C6" w14:textId="77777777" w:rsidR="00B91D61" w:rsidRPr="005C4EA9" w:rsidRDefault="00B91D61" w:rsidP="00252C1F">
            <w:pPr>
              <w:rPr>
                <w:rFonts w:asciiTheme="minorHAnsi" w:hAnsiTheme="minorHAnsi" w:cstheme="minorHAnsi"/>
                <w:sz w:val="20"/>
                <w:szCs w:val="20"/>
              </w:rPr>
            </w:pPr>
            <w:r w:rsidRPr="005C4EA9">
              <w:rPr>
                <w:rFonts w:asciiTheme="minorHAnsi" w:hAnsiTheme="minorHAnsi" w:cstheme="minorHAnsi"/>
                <w:sz w:val="20"/>
                <w:szCs w:val="20"/>
              </w:rPr>
              <w:t>Primary completion date: 2022</w:t>
            </w:r>
          </w:p>
          <w:p w14:paraId="11E75494" w14:textId="7C7C0A1B" w:rsidR="00B91D61" w:rsidRPr="005C4EA9" w:rsidRDefault="00B91D61" w:rsidP="00252C1F">
            <w:pPr>
              <w:rPr>
                <w:rFonts w:asciiTheme="minorHAnsi" w:hAnsiTheme="minorHAnsi" w:cstheme="minorHAnsi"/>
                <w:sz w:val="20"/>
                <w:szCs w:val="20"/>
              </w:rPr>
            </w:pPr>
            <w:r w:rsidRPr="005C4EA9">
              <w:rPr>
                <w:rFonts w:asciiTheme="minorHAnsi" w:hAnsiTheme="minorHAnsi" w:cstheme="minorHAnsi"/>
                <w:sz w:val="20"/>
                <w:szCs w:val="20"/>
              </w:rPr>
              <w:t>Final completion date: 2024</w:t>
            </w:r>
          </w:p>
        </w:tc>
        <w:tc>
          <w:tcPr>
            <w:tcW w:w="3213" w:type="pct"/>
            <w:tcBorders>
              <w:bottom w:val="single" w:sz="4" w:space="0" w:color="auto"/>
            </w:tcBorders>
          </w:tcPr>
          <w:p w14:paraId="4CFE8986" w14:textId="03142291" w:rsidR="00B91D61" w:rsidRPr="005C4EA9" w:rsidRDefault="00B07067" w:rsidP="00650EF4">
            <w:pPr>
              <w:autoSpaceDE w:val="0"/>
              <w:autoSpaceDN w:val="0"/>
              <w:adjustRightInd w:val="0"/>
              <w:spacing w:after="200"/>
              <w:rPr>
                <w:rFonts w:asciiTheme="minorHAnsi" w:hAnsiTheme="minorHAnsi" w:cstheme="minorHAnsi"/>
                <w:color w:val="131413"/>
                <w:sz w:val="20"/>
                <w:szCs w:val="20"/>
              </w:rPr>
            </w:pPr>
            <w:r w:rsidRPr="005C4EA9">
              <w:rPr>
                <w:rFonts w:asciiTheme="minorHAnsi" w:hAnsiTheme="minorHAnsi" w:cstheme="minorHAnsi"/>
                <w:color w:val="131413"/>
                <w:sz w:val="20"/>
                <w:szCs w:val="20"/>
              </w:rPr>
              <w:t>Selected i</w:t>
            </w:r>
            <w:r w:rsidR="00B91D61" w:rsidRPr="005C4EA9">
              <w:rPr>
                <w:rFonts w:asciiTheme="minorHAnsi" w:hAnsiTheme="minorHAnsi" w:cstheme="minorHAnsi"/>
                <w:color w:val="131413"/>
                <w:sz w:val="20"/>
                <w:szCs w:val="20"/>
              </w:rPr>
              <w:t>nclusion criteria:</w:t>
            </w:r>
            <w:r w:rsidR="005514E6" w:rsidRPr="005C4EA9">
              <w:rPr>
                <w:rFonts w:asciiTheme="minorHAnsi" w:hAnsiTheme="minorHAnsi" w:cstheme="minorHAnsi"/>
                <w:color w:val="131413"/>
                <w:sz w:val="20"/>
                <w:szCs w:val="20"/>
              </w:rPr>
              <w:t xml:space="preserve"> aged</w:t>
            </w:r>
            <w:r w:rsidR="005514E6" w:rsidRPr="005C4EA9">
              <w:t> </w:t>
            </w:r>
            <w:r w:rsidR="005514E6" w:rsidRPr="005C4EA9">
              <w:rPr>
                <w:rFonts w:asciiTheme="minorHAnsi" w:hAnsiTheme="minorHAnsi" w:cstheme="minorHAnsi"/>
                <w:color w:val="131413"/>
                <w:sz w:val="20"/>
                <w:szCs w:val="20"/>
              </w:rPr>
              <w:t>&gt;18 years chronic periprosthetic hip joint infection as defined by MSIS criteria; 2 positive periprosthetic cultures with phenotypically identified organisms or a sinus tract communicating with joint, or having 3 of 5 minor criteria: elevated CRP and ESR, elevated synovial WBC count or change of ++ on leukocyte esterase test strip; elevated synovial fluid PMN</w:t>
            </w:r>
            <w:r w:rsidR="00DB0C79" w:rsidRPr="005C4EA9">
              <w:rPr>
                <w:rFonts w:asciiTheme="minorHAnsi" w:hAnsiTheme="minorHAnsi" w:cstheme="minorHAnsi"/>
                <w:color w:val="131413"/>
                <w:sz w:val="20"/>
                <w:szCs w:val="20"/>
              </w:rPr>
              <w:t xml:space="preserve"> </w:t>
            </w:r>
            <w:r w:rsidR="005514E6" w:rsidRPr="005C4EA9">
              <w:rPr>
                <w:rFonts w:asciiTheme="minorHAnsi" w:hAnsiTheme="minorHAnsi" w:cstheme="minorHAnsi"/>
                <w:color w:val="131413"/>
                <w:sz w:val="20"/>
                <w:szCs w:val="20"/>
              </w:rPr>
              <w:t>(%); positive histological analysis of periprosthetic tissue; a single positive culture</w:t>
            </w:r>
            <w:r w:rsidR="007A7951" w:rsidRPr="005C4EA9">
              <w:rPr>
                <w:rFonts w:asciiTheme="minorHAnsi" w:hAnsiTheme="minorHAnsi" w:cstheme="minorHAnsi"/>
                <w:color w:val="131413"/>
                <w:sz w:val="20"/>
                <w:szCs w:val="20"/>
              </w:rPr>
              <w:t>.</w:t>
            </w:r>
          </w:p>
          <w:p w14:paraId="72A4738D" w14:textId="38D0965F" w:rsidR="00B91D61" w:rsidRPr="005C4EA9" w:rsidRDefault="00B07067" w:rsidP="00650EF4">
            <w:pPr>
              <w:autoSpaceDE w:val="0"/>
              <w:autoSpaceDN w:val="0"/>
              <w:adjustRightInd w:val="0"/>
              <w:spacing w:after="200"/>
              <w:rPr>
                <w:rFonts w:asciiTheme="minorHAnsi" w:hAnsiTheme="minorHAnsi" w:cstheme="minorHAnsi"/>
                <w:color w:val="131413"/>
                <w:sz w:val="20"/>
                <w:szCs w:val="20"/>
              </w:rPr>
            </w:pPr>
            <w:r w:rsidRPr="005C4EA9">
              <w:rPr>
                <w:rFonts w:asciiTheme="minorHAnsi" w:hAnsiTheme="minorHAnsi" w:cstheme="minorHAnsi"/>
                <w:color w:val="131413"/>
                <w:sz w:val="20"/>
                <w:szCs w:val="20"/>
              </w:rPr>
              <w:t>Selected e</w:t>
            </w:r>
            <w:r w:rsidR="00B91D61" w:rsidRPr="005C4EA9">
              <w:rPr>
                <w:rFonts w:asciiTheme="minorHAnsi" w:hAnsiTheme="minorHAnsi" w:cstheme="minorHAnsi"/>
                <w:color w:val="131413"/>
                <w:sz w:val="20"/>
                <w:szCs w:val="20"/>
              </w:rPr>
              <w:t>xclusion criteria:</w:t>
            </w:r>
            <w:r w:rsidR="00E37C62" w:rsidRPr="005C4EA9">
              <w:rPr>
                <w:rFonts w:asciiTheme="minorHAnsi" w:hAnsiTheme="minorHAnsi" w:cstheme="minorHAnsi"/>
                <w:color w:val="131413"/>
                <w:sz w:val="20"/>
                <w:szCs w:val="20"/>
              </w:rPr>
              <w:t xml:space="preserve"> </w:t>
            </w:r>
            <w:r w:rsidR="005514E6" w:rsidRPr="005C4EA9">
              <w:rPr>
                <w:rFonts w:asciiTheme="minorHAnsi" w:hAnsiTheme="minorHAnsi" w:cstheme="minorHAnsi"/>
                <w:color w:val="131413"/>
                <w:sz w:val="20"/>
                <w:szCs w:val="20"/>
              </w:rPr>
              <w:t>hypersensitivity to hydrogel components, pregnancy or positive pregnancy test, life expectancy &lt;3 months, expected use of a cemented implant by the surgical team.</w:t>
            </w:r>
          </w:p>
        </w:tc>
      </w:tr>
      <w:tr w:rsidR="00252C1F" w:rsidRPr="00560D95" w14:paraId="7F514FE9" w14:textId="77777777" w:rsidTr="001A117D">
        <w:trPr>
          <w:cantSplit/>
        </w:trPr>
        <w:tc>
          <w:tcPr>
            <w:tcW w:w="1062" w:type="pct"/>
            <w:tcBorders>
              <w:top w:val="single" w:sz="4" w:space="0" w:color="auto"/>
              <w:left w:val="single" w:sz="4" w:space="0" w:color="auto"/>
              <w:bottom w:val="single" w:sz="4" w:space="0" w:color="auto"/>
              <w:right w:val="nil"/>
            </w:tcBorders>
          </w:tcPr>
          <w:p w14:paraId="1FC4EE96" w14:textId="4BEFF99A" w:rsidR="00252C1F" w:rsidRPr="005C4EA9" w:rsidRDefault="00252C1F" w:rsidP="006A6C0E">
            <w:pPr>
              <w:spacing w:before="20" w:after="20"/>
              <w:rPr>
                <w:rFonts w:asciiTheme="minorHAnsi" w:hAnsiTheme="minorHAnsi" w:cstheme="minorHAnsi"/>
                <w:sz w:val="20"/>
                <w:szCs w:val="20"/>
              </w:rPr>
            </w:pPr>
            <w:r w:rsidRPr="005C4EA9">
              <w:rPr>
                <w:rFonts w:asciiTheme="minorHAnsi" w:hAnsiTheme="minorHAnsi" w:cstheme="minorHAnsi"/>
                <w:sz w:val="20"/>
                <w:szCs w:val="20"/>
              </w:rPr>
              <w:t>Population 4</w:t>
            </w:r>
          </w:p>
        </w:tc>
        <w:tc>
          <w:tcPr>
            <w:tcW w:w="725" w:type="pct"/>
            <w:tcBorders>
              <w:top w:val="single" w:sz="4" w:space="0" w:color="auto"/>
              <w:left w:val="nil"/>
              <w:bottom w:val="single" w:sz="4" w:space="0" w:color="auto"/>
              <w:right w:val="nil"/>
            </w:tcBorders>
          </w:tcPr>
          <w:p w14:paraId="6101B640" w14:textId="77777777" w:rsidR="00252C1F" w:rsidRPr="005C4EA9" w:rsidRDefault="00252C1F" w:rsidP="004839BB">
            <w:pPr>
              <w:rPr>
                <w:rFonts w:asciiTheme="minorHAnsi" w:hAnsiTheme="minorHAnsi" w:cstheme="minorHAnsi"/>
                <w:sz w:val="20"/>
                <w:szCs w:val="20"/>
              </w:rPr>
            </w:pPr>
          </w:p>
        </w:tc>
        <w:tc>
          <w:tcPr>
            <w:tcW w:w="3213" w:type="pct"/>
            <w:tcBorders>
              <w:top w:val="single" w:sz="4" w:space="0" w:color="auto"/>
              <w:left w:val="nil"/>
              <w:bottom w:val="single" w:sz="4" w:space="0" w:color="auto"/>
              <w:right w:val="single" w:sz="4" w:space="0" w:color="auto"/>
            </w:tcBorders>
          </w:tcPr>
          <w:p w14:paraId="19B99336" w14:textId="7C95B5B7" w:rsidR="00252C1F" w:rsidRPr="005C4EA9" w:rsidRDefault="00252C1F" w:rsidP="004839BB">
            <w:pPr>
              <w:autoSpaceDE w:val="0"/>
              <w:autoSpaceDN w:val="0"/>
              <w:adjustRightInd w:val="0"/>
              <w:rPr>
                <w:rFonts w:asciiTheme="minorHAnsi" w:hAnsiTheme="minorHAnsi" w:cstheme="minorHAnsi"/>
                <w:sz w:val="20"/>
                <w:szCs w:val="20"/>
              </w:rPr>
            </w:pPr>
          </w:p>
        </w:tc>
      </w:tr>
      <w:tr w:rsidR="00252C1F" w:rsidRPr="00560D95" w14:paraId="63A62075" w14:textId="77777777" w:rsidTr="001A117D">
        <w:trPr>
          <w:cantSplit/>
        </w:trPr>
        <w:tc>
          <w:tcPr>
            <w:tcW w:w="1062" w:type="pct"/>
            <w:tcBorders>
              <w:top w:val="single" w:sz="4" w:space="0" w:color="auto"/>
              <w:bottom w:val="single" w:sz="4" w:space="0" w:color="auto"/>
            </w:tcBorders>
          </w:tcPr>
          <w:p w14:paraId="1906C495" w14:textId="77777777" w:rsidR="00252C1F" w:rsidRPr="005C4EA9" w:rsidRDefault="00252C1F" w:rsidP="004839BB">
            <w:pPr>
              <w:rPr>
                <w:rFonts w:asciiTheme="minorHAnsi" w:hAnsiTheme="minorHAnsi"/>
                <w:b/>
                <w:sz w:val="20"/>
                <w:szCs w:val="20"/>
              </w:rPr>
            </w:pPr>
            <w:r w:rsidRPr="005C4EA9">
              <w:rPr>
                <w:rFonts w:asciiTheme="minorHAnsi" w:hAnsiTheme="minorHAnsi" w:cstheme="minorHAnsi"/>
                <w:sz w:val="20"/>
                <w:szCs w:val="20"/>
              </w:rPr>
              <w:t>Prospective, multicentre, randomised control trial</w:t>
            </w:r>
          </w:p>
        </w:tc>
        <w:tc>
          <w:tcPr>
            <w:tcW w:w="725" w:type="pct"/>
            <w:tcBorders>
              <w:top w:val="single" w:sz="4" w:space="0" w:color="auto"/>
              <w:bottom w:val="single" w:sz="4" w:space="0" w:color="auto"/>
            </w:tcBorders>
          </w:tcPr>
          <w:p w14:paraId="33B04F9D" w14:textId="57166F5D" w:rsidR="00252C1F" w:rsidRPr="005C4EA9" w:rsidRDefault="00252C1F" w:rsidP="004839BB">
            <w:pPr>
              <w:rPr>
                <w:rFonts w:asciiTheme="minorHAnsi" w:hAnsiTheme="minorHAnsi"/>
                <w:b/>
                <w:sz w:val="20"/>
                <w:szCs w:val="20"/>
              </w:rPr>
            </w:pPr>
            <w:r w:rsidRPr="005C4EA9">
              <w:rPr>
                <w:rFonts w:asciiTheme="minorHAnsi" w:hAnsiTheme="minorHAnsi" w:cstheme="minorHAnsi"/>
                <w:sz w:val="20"/>
                <w:szCs w:val="20"/>
              </w:rPr>
              <w:t>Malizos et al. (2017)</w:t>
            </w:r>
          </w:p>
        </w:tc>
        <w:tc>
          <w:tcPr>
            <w:tcW w:w="3213" w:type="pct"/>
            <w:tcBorders>
              <w:top w:val="single" w:sz="4" w:space="0" w:color="auto"/>
              <w:bottom w:val="single" w:sz="4" w:space="0" w:color="auto"/>
            </w:tcBorders>
          </w:tcPr>
          <w:p w14:paraId="0DEAF874" w14:textId="57516195" w:rsidR="00252C1F" w:rsidRPr="005C4EA9" w:rsidRDefault="00252C1F" w:rsidP="004839BB">
            <w:pPr>
              <w:autoSpaceDE w:val="0"/>
              <w:autoSpaceDN w:val="0"/>
              <w:adjustRightInd w:val="0"/>
              <w:spacing w:after="200" w:line="276" w:lineRule="auto"/>
              <w:rPr>
                <w:rFonts w:asciiTheme="minorHAnsi" w:hAnsiTheme="minorHAnsi" w:cstheme="minorHAnsi"/>
                <w:sz w:val="20"/>
                <w:szCs w:val="20"/>
              </w:rPr>
            </w:pPr>
            <w:r w:rsidRPr="005C4EA9">
              <w:rPr>
                <w:rFonts w:asciiTheme="minorHAnsi" w:hAnsiTheme="minorHAnsi" w:cstheme="minorHAnsi"/>
                <w:sz w:val="20"/>
                <w:szCs w:val="20"/>
              </w:rPr>
              <w:t>Randomised 256 patients over 18yr with a fresh (&lt;7 days) closed fracture requiring surgical reduction and internal fixation with either a metal plate and/or screws, or with an intramedullary nail to DAC or No DAC</w:t>
            </w:r>
            <w:r w:rsidR="00040AB5">
              <w:rPr>
                <w:rFonts w:asciiTheme="minorHAnsi" w:hAnsiTheme="minorHAnsi" w:cstheme="minorHAnsi"/>
                <w:sz w:val="20"/>
                <w:szCs w:val="20"/>
              </w:rPr>
              <w:t>.</w:t>
            </w:r>
          </w:p>
          <w:p w14:paraId="0A4A3962" w14:textId="77777777" w:rsidR="00252C1F" w:rsidRPr="005C4EA9" w:rsidRDefault="00252C1F" w:rsidP="004839BB">
            <w:pPr>
              <w:autoSpaceDE w:val="0"/>
              <w:autoSpaceDN w:val="0"/>
              <w:adjustRightInd w:val="0"/>
              <w:spacing w:after="200" w:line="276" w:lineRule="auto"/>
              <w:rPr>
                <w:rFonts w:asciiTheme="minorHAnsi" w:hAnsiTheme="minorHAnsi" w:cstheme="minorHAnsi"/>
                <w:sz w:val="20"/>
                <w:szCs w:val="20"/>
              </w:rPr>
            </w:pPr>
            <w:r w:rsidRPr="005C4EA9">
              <w:rPr>
                <w:rFonts w:asciiTheme="minorHAnsi" w:hAnsiTheme="minorHAnsi" w:cstheme="minorHAnsi"/>
                <w:sz w:val="20"/>
                <w:szCs w:val="20"/>
              </w:rPr>
              <w:t>Treated group: N=126; male 42.1%; mean age (SD)=62.5yr (12.6); McPherson host class B 48.4%, class C 4.0%; major fracture sites=femur 37.3%, ankle/foot 25.4%, forearm/wrist 11.1%.</w:t>
            </w:r>
          </w:p>
          <w:p w14:paraId="448BFCFE" w14:textId="3A820EB5" w:rsidR="005514E6" w:rsidRPr="005C4EA9" w:rsidRDefault="00252C1F" w:rsidP="00650EF4">
            <w:pPr>
              <w:autoSpaceDE w:val="0"/>
              <w:autoSpaceDN w:val="0"/>
              <w:adjustRightInd w:val="0"/>
              <w:spacing w:after="200" w:line="276" w:lineRule="auto"/>
              <w:rPr>
                <w:rFonts w:asciiTheme="minorHAnsi" w:hAnsiTheme="minorHAnsi" w:cstheme="minorHAnsi"/>
                <w:sz w:val="20"/>
                <w:szCs w:val="20"/>
              </w:rPr>
            </w:pPr>
            <w:r w:rsidRPr="005C4EA9">
              <w:rPr>
                <w:rFonts w:asciiTheme="minorHAnsi" w:hAnsiTheme="minorHAnsi" w:cstheme="minorHAnsi"/>
                <w:sz w:val="20"/>
                <w:szCs w:val="20"/>
              </w:rPr>
              <w:t>Control group: N=127; male 44.9%; mean age (SD)=58.6yr (17.6); McPherson host class B 41.7%, class C 3.1%; major fracture sites=femur 25.2%, ankle/foot 22.8%, forearm/wrist 22.8%.</w:t>
            </w:r>
          </w:p>
          <w:p w14:paraId="044C719D" w14:textId="40BDD583" w:rsidR="005514E6" w:rsidRPr="005C4EA9" w:rsidRDefault="005514E6" w:rsidP="00650EF4">
            <w:pPr>
              <w:autoSpaceDE w:val="0"/>
              <w:autoSpaceDN w:val="0"/>
              <w:adjustRightInd w:val="0"/>
              <w:spacing w:after="200" w:line="276" w:lineRule="auto"/>
              <w:rPr>
                <w:rFonts w:asciiTheme="minorHAnsi" w:hAnsiTheme="minorHAnsi" w:cstheme="minorHAnsi"/>
                <w:sz w:val="20"/>
                <w:szCs w:val="20"/>
              </w:rPr>
            </w:pPr>
            <w:r w:rsidRPr="005C4EA9">
              <w:rPr>
                <w:rFonts w:asciiTheme="minorHAnsi" w:hAnsiTheme="minorHAnsi" w:cstheme="minorHAnsi"/>
                <w:sz w:val="20"/>
                <w:szCs w:val="20"/>
              </w:rPr>
              <w:t>Inclusion criteria: presence of a fresh (&lt;7 days) closed fracture requiring ORIF with either a metal plate a</w:t>
            </w:r>
            <w:r w:rsidR="001A117D" w:rsidRPr="005C4EA9">
              <w:rPr>
                <w:rFonts w:asciiTheme="minorHAnsi" w:hAnsiTheme="minorHAnsi" w:cstheme="minorHAnsi"/>
                <w:sz w:val="20"/>
                <w:szCs w:val="20"/>
              </w:rPr>
              <w:t>n</w:t>
            </w:r>
            <w:r w:rsidRPr="005C4EA9">
              <w:rPr>
                <w:rFonts w:asciiTheme="minorHAnsi" w:hAnsiTheme="minorHAnsi" w:cstheme="minorHAnsi"/>
                <w:sz w:val="20"/>
                <w:szCs w:val="20"/>
              </w:rPr>
              <w:t>d/or screws in patients aged&gt;18 years</w:t>
            </w:r>
            <w:r w:rsidR="007A7951" w:rsidRPr="005C4EA9">
              <w:rPr>
                <w:rFonts w:asciiTheme="minorHAnsi" w:hAnsiTheme="minorHAnsi" w:cstheme="minorHAnsi"/>
                <w:sz w:val="20"/>
                <w:szCs w:val="20"/>
              </w:rPr>
              <w:t>.</w:t>
            </w:r>
          </w:p>
          <w:p w14:paraId="7DA9BAF6" w14:textId="77777777" w:rsidR="005514E6" w:rsidRPr="005C4EA9" w:rsidRDefault="005514E6" w:rsidP="00650EF4">
            <w:pPr>
              <w:autoSpaceDE w:val="0"/>
              <w:autoSpaceDN w:val="0"/>
              <w:adjustRightInd w:val="0"/>
              <w:spacing w:after="200" w:line="276" w:lineRule="auto"/>
              <w:rPr>
                <w:rFonts w:asciiTheme="minorHAnsi" w:hAnsiTheme="minorHAnsi" w:cstheme="minorHAnsi"/>
                <w:sz w:val="20"/>
                <w:szCs w:val="20"/>
              </w:rPr>
            </w:pPr>
            <w:r w:rsidRPr="005C4EA9">
              <w:rPr>
                <w:rFonts w:asciiTheme="minorHAnsi" w:hAnsiTheme="minorHAnsi" w:cstheme="minorHAnsi"/>
                <w:sz w:val="20"/>
                <w:szCs w:val="20"/>
              </w:rPr>
              <w:t>Selected exclusion criteria: pregnancy, breastfeeding or planning pregnancy, presence of previous or active infection at site of fracture, severe malignancies with life expectancy&lt; 3 months, previous diagnosis of immune depression (including HIV) or immune suppressive treatment for organ transplantation, known allergy to antibiotics or DAC.</w:t>
            </w:r>
          </w:p>
        </w:tc>
      </w:tr>
    </w:tbl>
    <w:p w14:paraId="17CD67C4" w14:textId="31A09144" w:rsidR="004D721E" w:rsidRPr="005C4EA9" w:rsidRDefault="006659AF" w:rsidP="00306F11">
      <w:pPr>
        <w:spacing w:after="0" w:line="240" w:lineRule="auto"/>
        <w:rPr>
          <w:sz w:val="20"/>
          <w:szCs w:val="20"/>
        </w:rPr>
      </w:pPr>
      <w:r w:rsidRPr="005C4EA9">
        <w:rPr>
          <w:sz w:val="20"/>
          <w:szCs w:val="20"/>
        </w:rPr>
        <w:t xml:space="preserve">Source: </w:t>
      </w:r>
      <w:r w:rsidR="00B91D61" w:rsidRPr="005C4EA9">
        <w:rPr>
          <w:sz w:val="20"/>
          <w:szCs w:val="20"/>
        </w:rPr>
        <w:t>Compiled from</w:t>
      </w:r>
      <w:r w:rsidR="008A2B44" w:rsidRPr="005C4EA9">
        <w:rPr>
          <w:sz w:val="20"/>
          <w:szCs w:val="20"/>
        </w:rPr>
        <w:t xml:space="preserve"> </w:t>
      </w:r>
      <w:r w:rsidRPr="005C4EA9">
        <w:rPr>
          <w:sz w:val="20"/>
          <w:szCs w:val="20"/>
        </w:rPr>
        <w:t xml:space="preserve">Table provided </w:t>
      </w:r>
      <w:r w:rsidR="00D31A28" w:rsidRPr="005C4EA9">
        <w:rPr>
          <w:sz w:val="20"/>
          <w:szCs w:val="20"/>
        </w:rPr>
        <w:t>on</w:t>
      </w:r>
      <w:r w:rsidRPr="005C4EA9">
        <w:rPr>
          <w:sz w:val="20"/>
          <w:szCs w:val="20"/>
        </w:rPr>
        <w:t xml:space="preserve"> pp6-10 of the Application</w:t>
      </w:r>
      <w:r w:rsidR="00B91D61" w:rsidRPr="005C4EA9">
        <w:rPr>
          <w:sz w:val="20"/>
          <w:szCs w:val="20"/>
        </w:rPr>
        <w:t xml:space="preserve"> and </w:t>
      </w:r>
      <w:r w:rsidR="00444ADA" w:rsidRPr="005C4EA9">
        <w:rPr>
          <w:sz w:val="20"/>
          <w:szCs w:val="20"/>
        </w:rPr>
        <w:t xml:space="preserve">additional information extracted from </w:t>
      </w:r>
      <w:r w:rsidR="00B91D61" w:rsidRPr="005C4EA9">
        <w:rPr>
          <w:sz w:val="20"/>
          <w:szCs w:val="20"/>
        </w:rPr>
        <w:t>publications</w:t>
      </w:r>
    </w:p>
    <w:p w14:paraId="39F64EE2" w14:textId="38BD646E" w:rsidR="00691D21" w:rsidRDefault="00691D21" w:rsidP="00691D21">
      <w:pPr>
        <w:spacing w:after="0" w:line="240" w:lineRule="auto"/>
        <w:rPr>
          <w:sz w:val="20"/>
          <w:szCs w:val="20"/>
        </w:rPr>
      </w:pPr>
      <w:r>
        <w:rPr>
          <w:sz w:val="20"/>
          <w:szCs w:val="20"/>
        </w:rPr>
        <w:t>*Zoccali et al. (2019) is not a peer-reviewed pa</w:t>
      </w:r>
      <w:r w:rsidR="002842FB">
        <w:rPr>
          <w:sz w:val="20"/>
          <w:szCs w:val="20"/>
        </w:rPr>
        <w:t>per but a conference abstract.</w:t>
      </w:r>
      <w:r w:rsidR="004839BB">
        <w:rPr>
          <w:sz w:val="20"/>
          <w:szCs w:val="20"/>
        </w:rPr>
        <w:t xml:space="preserve"> </w:t>
      </w:r>
      <w:r w:rsidR="007A7951">
        <w:rPr>
          <w:sz w:val="20"/>
          <w:szCs w:val="20"/>
        </w:rPr>
        <w:t>The f</w:t>
      </w:r>
      <w:r w:rsidR="004839BB">
        <w:rPr>
          <w:sz w:val="20"/>
          <w:szCs w:val="20"/>
        </w:rPr>
        <w:t>ull text was not available.</w:t>
      </w:r>
    </w:p>
    <w:p w14:paraId="647BB469" w14:textId="5D658768" w:rsidR="00887B11" w:rsidRPr="00887B11" w:rsidRDefault="00306F11" w:rsidP="001C0CB7">
      <w:pPr>
        <w:spacing w:after="240" w:line="240" w:lineRule="auto"/>
        <w:rPr>
          <w:sz w:val="20"/>
          <w:szCs w:val="20"/>
        </w:rPr>
      </w:pPr>
      <w:r>
        <w:rPr>
          <w:sz w:val="20"/>
          <w:szCs w:val="20"/>
        </w:rPr>
        <w:t xml:space="preserve">Abbreviations: </w:t>
      </w:r>
      <w:r w:rsidR="0084189E">
        <w:rPr>
          <w:sz w:val="20"/>
          <w:szCs w:val="20"/>
        </w:rPr>
        <w:t xml:space="preserve">CRP: </w:t>
      </w:r>
      <w:r w:rsidR="0084189E" w:rsidRPr="0084189E">
        <w:rPr>
          <w:sz w:val="20"/>
          <w:szCs w:val="20"/>
        </w:rPr>
        <w:t>C-reactive protein</w:t>
      </w:r>
      <w:r w:rsidR="0084189E">
        <w:rPr>
          <w:sz w:val="20"/>
          <w:szCs w:val="20"/>
        </w:rPr>
        <w:t>;</w:t>
      </w:r>
      <w:r w:rsidR="0084189E" w:rsidRPr="0084189E">
        <w:rPr>
          <w:sz w:val="20"/>
          <w:szCs w:val="20"/>
        </w:rPr>
        <w:t xml:space="preserve"> </w:t>
      </w:r>
      <w:r>
        <w:rPr>
          <w:sz w:val="20"/>
          <w:szCs w:val="20"/>
        </w:rPr>
        <w:t xml:space="preserve">DAC: </w:t>
      </w:r>
      <w:r w:rsidRPr="00306F11">
        <w:rPr>
          <w:sz w:val="20"/>
          <w:szCs w:val="20"/>
        </w:rPr>
        <w:t>Defensive Antibacterial Coating</w:t>
      </w:r>
      <w:r>
        <w:rPr>
          <w:sz w:val="20"/>
          <w:szCs w:val="20"/>
        </w:rPr>
        <w:t>;</w:t>
      </w:r>
      <w:r w:rsidR="0084189E">
        <w:rPr>
          <w:sz w:val="20"/>
          <w:szCs w:val="20"/>
        </w:rPr>
        <w:t xml:space="preserve"> ESR:</w:t>
      </w:r>
      <w:r w:rsidR="0084189E" w:rsidRPr="0084189E">
        <w:t xml:space="preserve"> </w:t>
      </w:r>
      <w:r w:rsidR="0084189E">
        <w:rPr>
          <w:sz w:val="20"/>
          <w:szCs w:val="20"/>
        </w:rPr>
        <w:t>Erythrocyte Sedimentation R</w:t>
      </w:r>
      <w:r w:rsidR="0084189E" w:rsidRPr="0084189E">
        <w:rPr>
          <w:sz w:val="20"/>
          <w:szCs w:val="20"/>
        </w:rPr>
        <w:t>ate</w:t>
      </w:r>
      <w:r w:rsidR="0084189E">
        <w:rPr>
          <w:sz w:val="20"/>
          <w:szCs w:val="20"/>
        </w:rPr>
        <w:t>;</w:t>
      </w:r>
      <w:r w:rsidR="008A2B44">
        <w:rPr>
          <w:sz w:val="20"/>
          <w:szCs w:val="20"/>
        </w:rPr>
        <w:t xml:space="preserve"> </w:t>
      </w:r>
      <w:r>
        <w:rPr>
          <w:sz w:val="20"/>
          <w:szCs w:val="20"/>
        </w:rPr>
        <w:t xml:space="preserve">MRSA: </w:t>
      </w:r>
      <w:r w:rsidRPr="00306F11">
        <w:rPr>
          <w:sz w:val="20"/>
          <w:szCs w:val="20"/>
        </w:rPr>
        <w:t xml:space="preserve">Methicillin-resistant </w:t>
      </w:r>
      <w:r w:rsidRPr="0067309D">
        <w:rPr>
          <w:i/>
          <w:sz w:val="20"/>
          <w:szCs w:val="20"/>
        </w:rPr>
        <w:t>Staphylococcus aureus</w:t>
      </w:r>
      <w:r>
        <w:rPr>
          <w:sz w:val="20"/>
          <w:szCs w:val="20"/>
        </w:rPr>
        <w:t>;</w:t>
      </w:r>
      <w:r w:rsidR="00B004B3">
        <w:rPr>
          <w:sz w:val="20"/>
          <w:szCs w:val="20"/>
        </w:rPr>
        <w:t xml:space="preserve"> MSIS: Musculoskeletal Infection Society Criteria; </w:t>
      </w:r>
      <w:r w:rsidR="0084189E">
        <w:rPr>
          <w:sz w:val="20"/>
          <w:szCs w:val="20"/>
        </w:rPr>
        <w:t>PMN: P</w:t>
      </w:r>
      <w:r w:rsidR="0084189E" w:rsidRPr="0084189E">
        <w:rPr>
          <w:sz w:val="20"/>
          <w:szCs w:val="20"/>
        </w:rPr>
        <w:t>olymorphonuclear</w:t>
      </w:r>
      <w:r w:rsidR="0084189E">
        <w:rPr>
          <w:sz w:val="20"/>
          <w:szCs w:val="20"/>
        </w:rPr>
        <w:t>;</w:t>
      </w:r>
      <w:r w:rsidR="008A2B44">
        <w:rPr>
          <w:sz w:val="20"/>
          <w:szCs w:val="20"/>
        </w:rPr>
        <w:t xml:space="preserve"> </w:t>
      </w:r>
      <w:r>
        <w:rPr>
          <w:sz w:val="20"/>
          <w:szCs w:val="20"/>
        </w:rPr>
        <w:t>SD: Standard deviation</w:t>
      </w:r>
      <w:r w:rsidR="0084189E">
        <w:rPr>
          <w:sz w:val="20"/>
          <w:szCs w:val="20"/>
        </w:rPr>
        <w:t>; WBC: White Blood Cell</w:t>
      </w:r>
    </w:p>
    <w:p w14:paraId="1A827AE4" w14:textId="4B0B2536" w:rsidR="00CB453B" w:rsidRPr="00E77A12" w:rsidRDefault="00B1503B">
      <w:r w:rsidRPr="005C4EA9">
        <w:t>Two</w:t>
      </w:r>
      <w:r w:rsidR="00CB453B" w:rsidRPr="005C4EA9">
        <w:t xml:space="preserve"> randomised controlled trial</w:t>
      </w:r>
      <w:r w:rsidR="00691D21" w:rsidRPr="005C4EA9">
        <w:t xml:space="preserve"> (RCTs)</w:t>
      </w:r>
      <w:r w:rsidR="00CB453B" w:rsidRPr="005C4EA9">
        <w:t xml:space="preserve"> </w:t>
      </w:r>
      <w:r w:rsidR="00894B1E" w:rsidRPr="005C4EA9">
        <w:t>by Romano et al. (2016)</w:t>
      </w:r>
      <w:r w:rsidRPr="005C4EA9">
        <w:t xml:space="preserve"> and Malizos et al. (2017)</w:t>
      </w:r>
      <w:r w:rsidR="00894B1E" w:rsidRPr="005C4EA9">
        <w:t xml:space="preserve"> restricted the use of DAC in p</w:t>
      </w:r>
      <w:r w:rsidR="003A1182" w:rsidRPr="005C4EA9">
        <w:t>eri</w:t>
      </w:r>
      <w:r w:rsidR="00894B1E" w:rsidRPr="005C4EA9">
        <w:t xml:space="preserve">prosthetic joint SSI to patients over 18 years (at </w:t>
      </w:r>
      <w:r w:rsidR="003A1182" w:rsidRPr="005C4EA9">
        <w:t xml:space="preserve">the </w:t>
      </w:r>
      <w:r w:rsidR="00894B1E" w:rsidRPr="005C4EA9">
        <w:t>date of study inclusion)</w:t>
      </w:r>
      <w:r w:rsidR="0067309D" w:rsidRPr="005C4EA9">
        <w:t xml:space="preserve"> </w:t>
      </w:r>
      <w:r w:rsidR="0067309D" w:rsidRPr="005C4EA9">
        <w:fldChar w:fldCharType="begin">
          <w:fldData xml:space="preserve">PEVuZE5vdGU+PENpdGU+PEF1dGhvcj5Sb21hbsOyPC9BdXRob3I+PFllYXI+MjAxNjwvWWVhcj48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</w:fldData>
        </w:fldChar>
      </w:r>
      <w:r w:rsidR="00FF3113" w:rsidRPr="005C4EA9">
        <w:instrText xml:space="preserve"> ADDIN EN.CITE </w:instrText>
      </w:r>
      <w:r w:rsidR="00FF3113" w:rsidRPr="005C4EA9">
        <w:fldChar w:fldCharType="begin">
          <w:fldData xml:space="preserve">PEVuZE5vdGU+PENpdGU+PEF1dGhvcj5Sb21hbsOyPC9BdXRob3I+PFllYXI+MjAxNjwvWWVhcj48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</w:fldData>
        </w:fldChar>
      </w:r>
      <w:r w:rsidR="00FF3113" w:rsidRPr="005C4EA9">
        <w:instrText xml:space="preserve"> ADDIN EN.CITE.DATA </w:instrText>
      </w:r>
      <w:r w:rsidR="00FF3113" w:rsidRPr="005C4EA9">
        <w:fldChar w:fldCharType="end"/>
      </w:r>
      <w:r w:rsidR="0067309D" w:rsidRPr="005C4EA9">
        <w:fldChar w:fldCharType="separate"/>
      </w:r>
      <w:r w:rsidR="00FF3113" w:rsidRPr="005C4EA9">
        <w:rPr>
          <w:noProof/>
        </w:rPr>
        <w:t>[3, 8]</w:t>
      </w:r>
      <w:r w:rsidR="0067309D" w:rsidRPr="005C4EA9">
        <w:fldChar w:fldCharType="end"/>
      </w:r>
      <w:r w:rsidR="00894B1E" w:rsidRPr="005C4EA9">
        <w:t xml:space="preserve">. </w:t>
      </w:r>
      <w:r w:rsidR="00CB453B" w:rsidRPr="005C4EA9">
        <w:t xml:space="preserve">Further, </w:t>
      </w:r>
      <w:r w:rsidRPr="005C4EA9">
        <w:t>Romano et al. (2016)</w:t>
      </w:r>
      <w:r w:rsidR="00894B1E" w:rsidRPr="005C4EA9">
        <w:t xml:space="preserve"> included patients with “</w:t>
      </w:r>
      <w:r w:rsidR="00894B1E" w:rsidRPr="005C4EA9">
        <w:rPr>
          <w:color w:val="000000"/>
          <w:shd w:val="clear" w:color="auto" w:fill="FFFFFF"/>
        </w:rPr>
        <w:t>the need for a cementless or hybrid (partially cemented) total hip or knee prosthesis”</w:t>
      </w:r>
      <w:r w:rsidR="00A33E5D" w:rsidRPr="005C4EA9">
        <w:rPr>
          <w:color w:val="000000"/>
          <w:shd w:val="clear" w:color="auto" w:fill="FFFFFF"/>
        </w:rPr>
        <w:t xml:space="preserve"> </w:t>
      </w:r>
      <w:r w:rsidR="00A33E5D" w:rsidRPr="005C4EA9">
        <w:rPr>
          <w:color w:val="000000"/>
          <w:shd w:val="clear" w:color="auto" w:fill="FFFFFF"/>
        </w:rPr>
        <w:fldChar w:fldCharType="begin"/>
      </w:r>
      <w:r w:rsidR="00A33E5D" w:rsidRPr="005C4EA9">
        <w:rPr>
          <w:color w:val="000000"/>
          <w:shd w:val="clear" w:color="auto" w:fill="FFFFFF"/>
        </w:rPr>
        <w:instrText xml:space="preserve"> ADDIN EN.CITE &lt;EndNote&gt;&lt;Cite&gt;&lt;Author&gt;Romanò&lt;/Author&gt;&lt;Year&gt;2016&lt;/Year&gt;&lt;RecNum&gt;34&lt;/RecNum&gt;&lt;DisplayText&gt;[3]&lt;/DisplayText&gt;&lt;record&gt;&lt;rec-number&gt;34&lt;/rec-number&gt;&lt;foreign-keys&gt;&lt;key app="EN" db-id="0x52t0fa5ezaf7e22eopzxaswfsaaaevpfzf" timestamp="1594962473"&gt;34&lt;/key&gt;&lt;/foreign-keys&gt;&lt;ref-type name="Journal Article"&gt;17&lt;/ref-type&gt;&lt;contributors&gt;&lt;authors&gt;&lt;author&gt;Romanò, Carlo Luca&lt;/author&gt;&lt;author&gt;Malizos, Kostantinos&lt;/author&gt;&lt;author&gt;Capuano, Nicola&lt;/author&gt;&lt;author&gt;Mezzoprete, Riccardo&lt;/author&gt;&lt;author&gt;D&amp;apos;Arienzo, Michele&lt;/author&gt;&lt;author&gt;Van Der Straeten, Catherine&lt;/author&gt;&lt;author&gt;Scarponi, Sara&lt;/author&gt;&lt;author&gt;Drago, Lorenzo&lt;/author&gt;&lt;/authors&gt;&lt;/contributors&gt;&lt;titles&gt;&lt;title&gt;Does an antibiotic-loaded hydrogel coating reduce early post-surgical infection after joint arthroplasty?&lt;/title&gt;&lt;secondary-title&gt;Journal of bone and joint infection&lt;/secondary-title&gt;&lt;/titles&gt;&lt;periodical&gt;&lt;full-title&gt;Journal of bone and joint infection&lt;/full-title&gt;&lt;/periodical&gt;&lt;pages&gt;34&lt;/pages&gt;&lt;volume&gt;1&lt;/volume&gt;&lt;dates&gt;&lt;year&gt;2016&lt;/year&gt;&lt;/dates&gt;&lt;urls&gt;&lt;/urls&gt;&lt;/record&gt;&lt;/Cite&gt;&lt;/EndNote&gt;</w:instrText>
      </w:r>
      <w:r w:rsidR="00A33E5D" w:rsidRPr="005C4EA9">
        <w:rPr>
          <w:color w:val="000000"/>
          <w:shd w:val="clear" w:color="auto" w:fill="FFFFFF"/>
        </w:rPr>
        <w:fldChar w:fldCharType="separate"/>
      </w:r>
      <w:r w:rsidR="00A33E5D" w:rsidRPr="005C4EA9">
        <w:rPr>
          <w:noProof/>
          <w:color w:val="000000"/>
          <w:shd w:val="clear" w:color="auto" w:fill="FFFFFF"/>
        </w:rPr>
        <w:t>[3]</w:t>
      </w:r>
      <w:r w:rsidR="00A33E5D" w:rsidRPr="005C4EA9">
        <w:rPr>
          <w:color w:val="000000"/>
          <w:shd w:val="clear" w:color="auto" w:fill="FFFFFF"/>
        </w:rPr>
        <w:fldChar w:fldCharType="end"/>
      </w:r>
      <w:r w:rsidR="00894B1E" w:rsidRPr="005C4EA9">
        <w:rPr>
          <w:color w:val="000000"/>
          <w:shd w:val="clear" w:color="auto" w:fill="FFFFFF"/>
        </w:rPr>
        <w:t xml:space="preserve">. The </w:t>
      </w:r>
      <w:r w:rsidR="0038000B" w:rsidRPr="005C4EA9">
        <w:rPr>
          <w:color w:val="000000"/>
          <w:shd w:val="clear" w:color="auto" w:fill="FFFFFF"/>
        </w:rPr>
        <w:t>Application</w:t>
      </w:r>
      <w:r w:rsidR="00894B1E" w:rsidRPr="005C4EA9">
        <w:rPr>
          <w:color w:val="000000"/>
          <w:shd w:val="clear" w:color="auto" w:fill="FFFFFF"/>
        </w:rPr>
        <w:t xml:space="preserve"> </w:t>
      </w:r>
      <w:r w:rsidR="00612743" w:rsidRPr="005C4EA9">
        <w:rPr>
          <w:color w:val="000000"/>
          <w:shd w:val="clear" w:color="auto" w:fill="FFFFFF"/>
        </w:rPr>
        <w:t>did</w:t>
      </w:r>
      <w:r w:rsidR="00894B1E" w:rsidRPr="005C4EA9">
        <w:rPr>
          <w:color w:val="000000"/>
          <w:shd w:val="clear" w:color="auto" w:fill="FFFFFF"/>
        </w:rPr>
        <w:t xml:space="preserve"> not explicitly </w:t>
      </w:r>
      <w:r w:rsidR="00EE4652" w:rsidRPr="005C4EA9">
        <w:rPr>
          <w:color w:val="000000"/>
          <w:shd w:val="clear" w:color="auto" w:fill="FFFFFF"/>
        </w:rPr>
        <w:t>mention these conditions for a patient to be eligible to receive DAC</w:t>
      </w:r>
      <w:r w:rsidR="00894B1E" w:rsidRPr="005C4EA9">
        <w:rPr>
          <w:color w:val="000000"/>
          <w:shd w:val="clear" w:color="auto" w:fill="FFFFFF"/>
        </w:rPr>
        <w:t xml:space="preserve">. Thus, the restrictions based on age and the extent of cement needed for </w:t>
      </w:r>
      <w:r w:rsidR="003A1182" w:rsidRPr="005C4EA9">
        <w:rPr>
          <w:color w:val="000000"/>
          <w:shd w:val="clear" w:color="auto" w:fill="FFFFFF"/>
        </w:rPr>
        <w:t xml:space="preserve">the </w:t>
      </w:r>
      <w:r w:rsidR="00894B1E" w:rsidRPr="005C4EA9">
        <w:rPr>
          <w:color w:val="000000"/>
          <w:shd w:val="clear" w:color="auto" w:fill="FFFFFF"/>
        </w:rPr>
        <w:t>prosthesis is not clear</w:t>
      </w:r>
      <w:r w:rsidR="00894B1E" w:rsidRPr="005C4EA9">
        <w:t>.</w:t>
      </w:r>
      <w:r w:rsidR="00121719">
        <w:t xml:space="preserve"> </w:t>
      </w:r>
      <w:r w:rsidR="00EE4652" w:rsidRPr="005C4EA9">
        <w:t>Additionally, the use of DAC in Romano et al.</w:t>
      </w:r>
      <w:r w:rsidR="00EE4652" w:rsidRPr="00E77A12">
        <w:rPr>
          <w:i/>
        </w:rPr>
        <w:t xml:space="preserve"> </w:t>
      </w:r>
      <w:r w:rsidR="00EE4652" w:rsidRPr="005C4EA9">
        <w:t xml:space="preserve">(2016) is limited to hip or knee prosthesis. </w:t>
      </w:r>
      <w:r w:rsidR="00612743" w:rsidRPr="005C4EA9">
        <w:t>Compared to this, t</w:t>
      </w:r>
      <w:r w:rsidR="00EE4652" w:rsidRPr="005C4EA9">
        <w:t xml:space="preserve">he </w:t>
      </w:r>
      <w:r w:rsidR="0038000B" w:rsidRPr="005C4EA9">
        <w:t>Application</w:t>
      </w:r>
      <w:r w:rsidR="00EE4652" w:rsidRPr="005C4EA9">
        <w:t xml:space="preserve"> propose</w:t>
      </w:r>
      <w:r w:rsidR="00612743" w:rsidRPr="005C4EA9">
        <w:t>d</w:t>
      </w:r>
      <w:r w:rsidR="00EE4652" w:rsidRPr="005C4EA9">
        <w:t xml:space="preserve"> the use of DAC in all possib</w:t>
      </w:r>
      <w:r w:rsidR="00612743" w:rsidRPr="005C4EA9">
        <w:t>le joint prostheses associated with 19</w:t>
      </w:r>
      <w:r w:rsidR="00EE4652" w:rsidRPr="005C4EA9">
        <w:t xml:space="preserve"> MBS</w:t>
      </w:r>
      <w:r w:rsidR="00612743" w:rsidRPr="005C4EA9">
        <w:t xml:space="preserve"> items</w:t>
      </w:r>
      <w:r w:rsidR="00691D21" w:rsidRPr="005C4EA9">
        <w:t xml:space="preserve">, provided they are at risk of periprosthetic joint </w:t>
      </w:r>
      <w:r w:rsidR="0013086E" w:rsidRPr="005C4EA9">
        <w:t>SSIs</w:t>
      </w:r>
      <w:r w:rsidR="00612743" w:rsidRPr="005C4EA9">
        <w:t xml:space="preserve"> (p17 of the Application)</w:t>
      </w:r>
      <w:r w:rsidR="00EE4652" w:rsidRPr="005C4EA9">
        <w:t>.</w:t>
      </w:r>
    </w:p>
    <w:p w14:paraId="277A756C" w14:textId="34B7A8D1" w:rsidR="007E10FC" w:rsidRPr="005C4EA9" w:rsidRDefault="00CB453B" w:rsidP="0033618C">
      <w:r w:rsidRPr="005C4EA9">
        <w:t>T</w:t>
      </w:r>
      <w:r w:rsidR="00EE4652" w:rsidRPr="005C4EA9">
        <w:t xml:space="preserve">he </w:t>
      </w:r>
      <w:r w:rsidR="0038000B" w:rsidRPr="005C4EA9">
        <w:t>Application</w:t>
      </w:r>
      <w:r w:rsidR="00EE4652" w:rsidRPr="005C4EA9">
        <w:t xml:space="preserve"> </w:t>
      </w:r>
      <w:r w:rsidR="003B3CB4" w:rsidRPr="005C4EA9">
        <w:t>did</w:t>
      </w:r>
      <w:r w:rsidR="00EE4652" w:rsidRPr="005C4EA9">
        <w:t xml:space="preserve"> not mention conditions when DAC would not be applicable</w:t>
      </w:r>
      <w:r w:rsidRPr="005C4EA9">
        <w:t>.</w:t>
      </w:r>
      <w:r w:rsidR="00EE4652" w:rsidRPr="005C4EA9">
        <w:t xml:space="preserve"> Romano et al. (2016)</w:t>
      </w:r>
      <w:r w:rsidR="00B1503B" w:rsidRPr="005C4EA9">
        <w:t xml:space="preserve"> and Malizos et al. (2017)</w:t>
      </w:r>
      <w:r w:rsidR="00EE4652" w:rsidRPr="005C4EA9">
        <w:t xml:space="preserve"> </w:t>
      </w:r>
      <w:r w:rsidR="00B1503B" w:rsidRPr="005C4EA9">
        <w:t>excluded patients with</w:t>
      </w:r>
      <w:r w:rsidR="00EE4652" w:rsidRPr="005C4EA9">
        <w:t xml:space="preserve">: pregnancy, breastfeeding or planning to become pregnant during the study period, the presence of an active infection at the site of surgery, severe malignancies with a life expectancy of </w:t>
      </w:r>
      <w:r w:rsidR="003A1182" w:rsidRPr="005C4EA9">
        <w:t>fewer</w:t>
      </w:r>
      <w:r w:rsidR="00EE4652" w:rsidRPr="005C4EA9">
        <w:t xml:space="preserve"> than 3 months, previous diagnosis of immune depression or immunosuppressive treatment for organ transplantation, known allergy to the antibiotics or DAC hydrogel constituents, unwillingness or inability to present for follow-up examinations or refusal to sign the informed consent documents or inability to do so</w:t>
      </w:r>
      <w:r w:rsidR="0067309D" w:rsidRPr="005C4EA9">
        <w:t xml:space="preserve"> </w:t>
      </w:r>
      <w:r w:rsidR="0067309D" w:rsidRPr="005C4EA9">
        <w:fldChar w:fldCharType="begin">
          <w:fldData xml:space="preserve">PEVuZE5vdGU+PENpdGU+PEF1dGhvcj5NYWxpem9zPC9BdXRob3I+PFllYXI+MjAxNzwvWWVhcj48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</w:fldData>
        </w:fldChar>
      </w:r>
      <w:r w:rsidR="00FF3113" w:rsidRPr="005C4EA9">
        <w:instrText xml:space="preserve"> ADDIN EN.CITE </w:instrText>
      </w:r>
      <w:r w:rsidR="00FF3113" w:rsidRPr="005C4EA9">
        <w:fldChar w:fldCharType="begin">
          <w:fldData xml:space="preserve">PEVuZE5vdGU+PENpdGU+PEF1dGhvcj5NYWxpem9zPC9BdXRob3I+PFllYXI+MjAxNzwvWWVhcj48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</w:fldData>
        </w:fldChar>
      </w:r>
      <w:r w:rsidR="00FF3113" w:rsidRPr="005C4EA9">
        <w:instrText xml:space="preserve"> ADDIN EN.CITE.DATA </w:instrText>
      </w:r>
      <w:r w:rsidR="00FF3113" w:rsidRPr="005C4EA9">
        <w:fldChar w:fldCharType="end"/>
      </w:r>
      <w:r w:rsidR="0067309D" w:rsidRPr="005C4EA9">
        <w:fldChar w:fldCharType="separate"/>
      </w:r>
      <w:r w:rsidR="00FF3113" w:rsidRPr="005C4EA9">
        <w:rPr>
          <w:noProof/>
        </w:rPr>
        <w:t>[3, 8]</w:t>
      </w:r>
      <w:r w:rsidR="0067309D" w:rsidRPr="005C4EA9">
        <w:fldChar w:fldCharType="end"/>
      </w:r>
      <w:r w:rsidR="00EE4652" w:rsidRPr="005C4EA9">
        <w:t xml:space="preserve">. Information regarding the eligibility of </w:t>
      </w:r>
      <w:r w:rsidR="003A1182" w:rsidRPr="005C4EA9">
        <w:t xml:space="preserve">the </w:t>
      </w:r>
      <w:r w:rsidR="00EE4652" w:rsidRPr="005C4EA9">
        <w:t>patient population for DAC should be presented in the assessment report</w:t>
      </w:r>
      <w:r w:rsidR="003B3CB4" w:rsidRPr="005C4EA9">
        <w:t>.</w:t>
      </w:r>
    </w:p>
    <w:p w14:paraId="0A2FF4C4" w14:textId="2FBED7B5" w:rsidR="00E37C62" w:rsidRPr="005C4EA9" w:rsidRDefault="00E37C62" w:rsidP="00807985">
      <w:pPr>
        <w:rPr>
          <w:u w:val="single"/>
        </w:rPr>
      </w:pPr>
      <w:r w:rsidRPr="005C4EA9">
        <w:rPr>
          <w:u w:val="single"/>
        </w:rPr>
        <w:t>Patient management, including diagnostic workup</w:t>
      </w:r>
    </w:p>
    <w:p w14:paraId="367717EC" w14:textId="4CB6EFAD" w:rsidR="00E63330" w:rsidRPr="005C4EA9" w:rsidRDefault="006A6E81" w:rsidP="00807985">
      <w:r w:rsidRPr="005C4EA9">
        <w:t xml:space="preserve">The diagnostic workup </w:t>
      </w:r>
      <w:r w:rsidR="008A2B44" w:rsidRPr="005C4EA9">
        <w:t>of</w:t>
      </w:r>
      <w:r w:rsidR="008A2B44" w:rsidRPr="005C4EA9">
        <w:rPr>
          <w:b/>
        </w:rPr>
        <w:t xml:space="preserve"> </w:t>
      </w:r>
      <w:r w:rsidR="008A2B44" w:rsidRPr="005C4EA9">
        <w:t>the</w:t>
      </w:r>
      <w:r w:rsidRPr="005C4EA9">
        <w:t xml:space="preserve"> proposed population </w:t>
      </w:r>
      <w:r w:rsidR="00001282" w:rsidRPr="005C4EA9">
        <w:t xml:space="preserve">might </w:t>
      </w:r>
      <w:r w:rsidR="00E63330" w:rsidRPr="005C4EA9">
        <w:t>include the following</w:t>
      </w:r>
      <w:r w:rsidRPr="005C4EA9">
        <w:t xml:space="preserve"> tests</w:t>
      </w:r>
      <w:r w:rsidR="00E63330" w:rsidRPr="005C4EA9">
        <w:t xml:space="preserve">: </w:t>
      </w:r>
    </w:p>
    <w:p w14:paraId="11878C14" w14:textId="77777777" w:rsidR="00AC4669" w:rsidRDefault="00E63330" w:rsidP="00E63330">
      <w:pPr>
        <w:pStyle w:val="ListParagraph"/>
        <w:numPr>
          <w:ilvl w:val="0"/>
          <w:numId w:val="17"/>
        </w:numPr>
      </w:pPr>
      <w:r w:rsidRPr="005C4EA9">
        <w:t>Laboratory investigations: Serum tests (to detect Erythr</w:t>
      </w:r>
      <w:r w:rsidR="00AC4669">
        <w:t xml:space="preserve">ocyte sedimentation rate (ESR), </w:t>
      </w:r>
    </w:p>
    <w:p w14:paraId="47B29D23" w14:textId="7487CD89" w:rsidR="00E63330" w:rsidRPr="005C4EA9" w:rsidRDefault="00E63330" w:rsidP="00AC4669">
      <w:pPr>
        <w:pStyle w:val="ListParagraph"/>
      </w:pPr>
      <w:r w:rsidRPr="005C4EA9">
        <w:t xml:space="preserve">C-reactive protein, </w:t>
      </w:r>
      <w:r w:rsidR="00B93016" w:rsidRPr="005C4EA9">
        <w:t>full blood count, blood clotting,</w:t>
      </w:r>
      <w:r w:rsidRPr="005C4EA9">
        <w:t xml:space="preserve"> and liver and kidney function markers) and synovial </w:t>
      </w:r>
      <w:r w:rsidR="008F7F10">
        <w:t>fluid microscopy</w:t>
      </w:r>
    </w:p>
    <w:p w14:paraId="7D498738" w14:textId="6C735BAD" w:rsidR="00E63330" w:rsidRPr="005C4EA9" w:rsidRDefault="00E63330" w:rsidP="00E63330">
      <w:pPr>
        <w:pStyle w:val="ListParagraph"/>
        <w:numPr>
          <w:ilvl w:val="0"/>
          <w:numId w:val="17"/>
        </w:numPr>
      </w:pPr>
      <w:r w:rsidRPr="005C4EA9">
        <w:t>Histopathological test</w:t>
      </w:r>
      <w:r w:rsidR="006A6E81" w:rsidRPr="005C4EA9">
        <w:t>ing</w:t>
      </w:r>
      <w:r w:rsidRPr="005C4EA9">
        <w:t xml:space="preserve"> to detect acute inflammation in the periprosthetic tissue</w:t>
      </w:r>
    </w:p>
    <w:p w14:paraId="5B436B14" w14:textId="0E441F4E" w:rsidR="00E63330" w:rsidRPr="005C4EA9" w:rsidRDefault="00E63330" w:rsidP="00E63330">
      <w:pPr>
        <w:pStyle w:val="ListParagraph"/>
        <w:numPr>
          <w:ilvl w:val="0"/>
          <w:numId w:val="17"/>
        </w:numPr>
      </w:pPr>
      <w:r w:rsidRPr="005C4EA9">
        <w:t>Microbiological testing</w:t>
      </w:r>
      <w:r w:rsidR="00B93016" w:rsidRPr="005C4EA9">
        <w:t xml:space="preserve"> of blood, skin or deep tissue</w:t>
      </w:r>
      <w:r w:rsidRPr="005C4EA9">
        <w:t>, including the culture of synovial fluid</w:t>
      </w:r>
    </w:p>
    <w:p w14:paraId="0E47696C" w14:textId="53E709CD" w:rsidR="00A55C0F" w:rsidRPr="005C4EA9" w:rsidRDefault="00E63330" w:rsidP="00E63330">
      <w:pPr>
        <w:pStyle w:val="ListParagraph"/>
        <w:numPr>
          <w:ilvl w:val="0"/>
          <w:numId w:val="17"/>
        </w:numPr>
      </w:pPr>
      <w:r w:rsidRPr="005C4EA9">
        <w:t xml:space="preserve">Radiological testing, including </w:t>
      </w:r>
      <w:r w:rsidR="00F4172A" w:rsidRPr="005C4EA9">
        <w:t>magnetic resonance imaging (</w:t>
      </w:r>
      <w:r w:rsidRPr="005C4EA9">
        <w:t>MRI</w:t>
      </w:r>
      <w:r w:rsidR="00F4172A" w:rsidRPr="005C4EA9">
        <w:t>)</w:t>
      </w:r>
      <w:r w:rsidRPr="005C4EA9">
        <w:t xml:space="preserve">, </w:t>
      </w:r>
      <w:r w:rsidR="00F4172A" w:rsidRPr="005C4EA9">
        <w:t>positron emission tomography (</w:t>
      </w:r>
      <w:r w:rsidRPr="005C4EA9">
        <w:t>PET</w:t>
      </w:r>
      <w:r w:rsidR="00F4172A" w:rsidRPr="005C4EA9">
        <w:t>)</w:t>
      </w:r>
      <w:r w:rsidRPr="005C4EA9">
        <w:t xml:space="preserve"> scans</w:t>
      </w:r>
      <w:r w:rsidR="007656D8" w:rsidRPr="005C4EA9">
        <w:t>.</w:t>
      </w:r>
    </w:p>
    <w:p w14:paraId="616FCDB8" w14:textId="2090FE4D" w:rsidR="002B23A0" w:rsidRPr="005C4EA9" w:rsidRDefault="002B23A0" w:rsidP="009F4898">
      <w:r w:rsidRPr="005C4EA9">
        <w:t xml:space="preserve">It was noted in one of the pivotal RCT (Romano et al. </w:t>
      </w:r>
      <w:r w:rsidR="00FF3113" w:rsidRPr="005C4EA9">
        <w:t>(</w:t>
      </w:r>
      <w:r w:rsidRPr="005C4EA9">
        <w:t>2016)</w:t>
      </w:r>
      <w:r w:rsidR="00FF3113" w:rsidRPr="005C4EA9">
        <w:t>)</w:t>
      </w:r>
      <w:r w:rsidRPr="005C4EA9">
        <w:t xml:space="preserve"> all patients underwent pre-operative clinical, radiographic and laboratory test examinations</w:t>
      </w:r>
      <w:r w:rsidR="00A33E5D" w:rsidRPr="005C4EA9">
        <w:t xml:space="preserve"> </w:t>
      </w:r>
      <w:r w:rsidR="00A33E5D" w:rsidRPr="005C4EA9">
        <w:rPr>
          <w:color w:val="000000"/>
          <w:shd w:val="clear" w:color="auto" w:fill="FFFFFF"/>
        </w:rPr>
        <w:fldChar w:fldCharType="begin"/>
      </w:r>
      <w:r w:rsidR="00A33E5D" w:rsidRPr="005C4EA9">
        <w:rPr>
          <w:color w:val="000000"/>
          <w:shd w:val="clear" w:color="auto" w:fill="FFFFFF"/>
        </w:rPr>
        <w:instrText xml:space="preserve"> ADDIN EN.CITE &lt;EndNote&gt;&lt;Cite&gt;&lt;Author&gt;Romanò&lt;/Author&gt;&lt;Year&gt;2016&lt;/Year&gt;&lt;RecNum&gt;34&lt;/RecNum&gt;&lt;DisplayText&gt;[3]&lt;/DisplayText&gt;&lt;record&gt;&lt;rec-number&gt;34&lt;/rec-number&gt;&lt;foreign-keys&gt;&lt;key app="EN" db-id="0x52t0fa5ezaf7e22eopzxaswfsaaaevpfzf" timestamp="1594962473"&gt;34&lt;/key&gt;&lt;/foreign-keys&gt;&lt;ref-type name="Journal Article"&gt;17&lt;/ref-type&gt;&lt;contributors&gt;&lt;authors&gt;&lt;author&gt;Romanò, Carlo Luca&lt;/author&gt;&lt;author&gt;Malizos, Kostantinos&lt;/author&gt;&lt;author&gt;Capuano, Nicola&lt;/author&gt;&lt;author&gt;Mezzoprete, Riccardo&lt;/author&gt;&lt;author&gt;D&amp;apos;Arienzo, Michele&lt;/author&gt;&lt;author&gt;Van Der Straeten, Catherine&lt;/author&gt;&lt;author&gt;Scarponi, Sara&lt;/author&gt;&lt;author&gt;Drago, Lorenzo&lt;/author&gt;&lt;/authors&gt;&lt;/contributors&gt;&lt;titles&gt;&lt;title&gt;Does an antibiotic-loaded hydrogel coating reduce early post-surgical infection after joint arthroplasty?&lt;/title&gt;&lt;secondary-title&gt;Journal of bone and joint infection&lt;/secondary-title&gt;&lt;/titles&gt;&lt;periodical&gt;&lt;full-title&gt;Journal of bone and joint infection&lt;/full-title&gt;&lt;/periodical&gt;&lt;pages&gt;34&lt;/pages&gt;&lt;volume&gt;1&lt;/volume&gt;&lt;dates&gt;&lt;year&gt;2016&lt;/year&gt;&lt;/dates&gt;&lt;urls&gt;&lt;/urls&gt;&lt;/record&gt;&lt;/Cite&gt;&lt;/EndNote&gt;</w:instrText>
      </w:r>
      <w:r w:rsidR="00A33E5D" w:rsidRPr="005C4EA9">
        <w:rPr>
          <w:color w:val="000000"/>
          <w:shd w:val="clear" w:color="auto" w:fill="FFFFFF"/>
        </w:rPr>
        <w:fldChar w:fldCharType="separate"/>
      </w:r>
      <w:r w:rsidR="00A33E5D" w:rsidRPr="005C4EA9">
        <w:rPr>
          <w:noProof/>
          <w:color w:val="000000"/>
          <w:shd w:val="clear" w:color="auto" w:fill="FFFFFF"/>
        </w:rPr>
        <w:t>[3]</w:t>
      </w:r>
      <w:r w:rsidR="00A33E5D" w:rsidRPr="005C4EA9">
        <w:rPr>
          <w:color w:val="000000"/>
          <w:shd w:val="clear" w:color="auto" w:fill="FFFFFF"/>
        </w:rPr>
        <w:fldChar w:fldCharType="end"/>
      </w:r>
      <w:r w:rsidR="00B2573E" w:rsidRPr="005C4EA9">
        <w:t>.</w:t>
      </w:r>
    </w:p>
    <w:p w14:paraId="2577680F" w14:textId="31E63375" w:rsidR="001E7DFB" w:rsidRPr="00E63330" w:rsidRDefault="00CA7897" w:rsidP="009F4898">
      <w:r>
        <w:t>The a</w:t>
      </w:r>
      <w:r w:rsidR="001E7DFB">
        <w:t xml:space="preserve">pplicant indicated that currently, </w:t>
      </w:r>
      <w:r w:rsidR="001E7DFB" w:rsidRPr="00322A0C">
        <w:t>prophylaxis against joint infection is provided by the use of systemic antibiotics</w:t>
      </w:r>
      <w:r w:rsidR="001E7DFB">
        <w:t xml:space="preserve"> (p</w:t>
      </w:r>
      <w:r w:rsidR="006F19B8">
        <w:t>.</w:t>
      </w:r>
      <w:r w:rsidR="001E7DFB">
        <w:t>15 of application form).</w:t>
      </w:r>
    </w:p>
    <w:p w14:paraId="76BBECF4" w14:textId="77777777" w:rsidR="00896845" w:rsidRPr="00E364F7" w:rsidRDefault="00896845" w:rsidP="00B04990">
      <w:pPr>
        <w:pStyle w:val="Heading3"/>
      </w:pPr>
      <w:r w:rsidRPr="00E364F7">
        <w:t>Intervention</w:t>
      </w:r>
    </w:p>
    <w:p w14:paraId="1713242B" w14:textId="223E8827" w:rsidR="00C02B9F" w:rsidRDefault="004D2EDA" w:rsidP="00C02B9F">
      <w:r w:rsidRPr="004D2EDA">
        <w:t>Defensive Antibacterial Coating</w:t>
      </w:r>
      <w:r>
        <w:t xml:space="preserve"> (DAC</w:t>
      </w:r>
      <w:r w:rsidR="00A32BAD">
        <w:rPr>
          <w:rFonts w:cs="Calibri"/>
        </w:rPr>
        <w:t>®</w:t>
      </w:r>
      <w:r>
        <w:t>)</w:t>
      </w:r>
      <w:r w:rsidR="006B242B">
        <w:t xml:space="preserve"> </w:t>
      </w:r>
      <w:r w:rsidR="000D1581">
        <w:t>5 m</w:t>
      </w:r>
      <w:r w:rsidR="00BD4780">
        <w:t>l</w:t>
      </w:r>
      <w:r w:rsidR="000D1581">
        <w:t xml:space="preserve"> kit </w:t>
      </w:r>
      <w:r w:rsidR="006B242B">
        <w:t xml:space="preserve">is </w:t>
      </w:r>
      <w:r w:rsidR="006B242B" w:rsidRPr="006B242B">
        <w:t xml:space="preserve">a </w:t>
      </w:r>
      <w:r w:rsidR="000D1581">
        <w:t>s</w:t>
      </w:r>
      <w:r w:rsidR="006B242B" w:rsidRPr="006B242B">
        <w:t>terile</w:t>
      </w:r>
      <w:r w:rsidR="00F70348">
        <w:t>, single-use,</w:t>
      </w:r>
      <w:r w:rsidR="006B242B" w:rsidRPr="006B242B">
        <w:t xml:space="preserve"> </w:t>
      </w:r>
      <w:r w:rsidR="003752DB">
        <w:t xml:space="preserve">Class III </w:t>
      </w:r>
      <w:r w:rsidR="006B242B" w:rsidRPr="006B242B">
        <w:t>medical device</w:t>
      </w:r>
      <w:r w:rsidR="00A41BB5">
        <w:t xml:space="preserve"> </w:t>
      </w:r>
      <w:r w:rsidR="000D1581">
        <w:t>designed for the p</w:t>
      </w:r>
      <w:r w:rsidR="000D1581" w:rsidRPr="006B242B">
        <w:t xml:space="preserve">reparation and application of a bioresorbable hydrogel coating </w:t>
      </w:r>
      <w:r w:rsidR="000D1581">
        <w:t>to prevent peri-implant infection</w:t>
      </w:r>
      <w:r w:rsidR="006A36B8">
        <w:t xml:space="preserve"> due to </w:t>
      </w:r>
      <w:r w:rsidR="006A36B8" w:rsidRPr="006A36B8">
        <w:t>both Gram-positive and -negative genera of aerobic and anaerobic bacteria</w:t>
      </w:r>
      <w:r w:rsidR="00600F0F">
        <w:t xml:space="preserve"> during and after total joint arthroplasty (TJA)</w:t>
      </w:r>
      <w:r w:rsidR="000D1581">
        <w:t>.</w:t>
      </w:r>
      <w:r w:rsidR="0012231C">
        <w:t xml:space="preserve"> </w:t>
      </w:r>
      <w:r w:rsidR="00C02B9F" w:rsidRPr="0074587D">
        <w:t>This</w:t>
      </w:r>
      <w:r w:rsidR="00C02B9F">
        <w:t xml:space="preserve"> </w:t>
      </w:r>
      <w:r w:rsidR="009433F1">
        <w:t xml:space="preserve">co-dependent </w:t>
      </w:r>
      <w:r w:rsidR="0038000B">
        <w:t>Application</w:t>
      </w:r>
      <w:r w:rsidR="00C02B9F">
        <w:t xml:space="preserve"> is</w:t>
      </w:r>
      <w:r w:rsidR="009433F1">
        <w:t xml:space="preserve"> also being considered by the</w:t>
      </w:r>
      <w:r w:rsidR="00C02B9F">
        <w:t xml:space="preserve"> </w:t>
      </w:r>
      <w:r w:rsidR="009433F1">
        <w:t>Prostheses List Advisory Committee (</w:t>
      </w:r>
      <w:r w:rsidR="00C02B9F">
        <w:t>PLAC</w:t>
      </w:r>
      <w:r w:rsidR="009433F1">
        <w:t>)</w:t>
      </w:r>
      <w:r w:rsidR="00C02B9F">
        <w:t xml:space="preserve">. The </w:t>
      </w:r>
      <w:r w:rsidR="00CA7897">
        <w:t>a</w:t>
      </w:r>
      <w:r w:rsidR="0038000B">
        <w:t>pplicant</w:t>
      </w:r>
      <w:r w:rsidR="00C02B9F">
        <w:t xml:space="preserve"> for this MSAC </w:t>
      </w:r>
      <w:r w:rsidR="0038000B">
        <w:t>Application</w:t>
      </w:r>
      <w:r w:rsidR="00C02B9F">
        <w:t xml:space="preserve"> is </w:t>
      </w:r>
      <w:r w:rsidR="00C02B9F" w:rsidRPr="002B5B63">
        <w:t>Novagenit</w:t>
      </w:r>
      <w:r w:rsidR="000E1CFB">
        <w:rPr>
          <w:rFonts w:cs="Calibri"/>
        </w:rPr>
        <w:t>®</w:t>
      </w:r>
      <w:r w:rsidR="00C02B9F" w:rsidRPr="002B5B63">
        <w:t xml:space="preserve"> Australia Pty Ltd, a distributor for Novagenit</w:t>
      </w:r>
      <w:r w:rsidR="000E1CFB">
        <w:rPr>
          <w:rFonts w:cs="Calibri"/>
        </w:rPr>
        <w:t>®</w:t>
      </w:r>
      <w:r w:rsidR="00C02B9F" w:rsidRPr="002B5B63">
        <w:t xml:space="preserve"> Italy</w:t>
      </w:r>
      <w:r w:rsidR="00C02B9F">
        <w:t>.</w:t>
      </w:r>
    </w:p>
    <w:p w14:paraId="61B4E26E" w14:textId="33617CCB" w:rsidR="007F1E6E" w:rsidRDefault="00A41BB5" w:rsidP="0012231C">
      <w:r w:rsidRPr="00A41BB5">
        <w:t xml:space="preserve">DAC </w:t>
      </w:r>
      <w:r w:rsidR="00321A54">
        <w:t xml:space="preserve">is composed of </w:t>
      </w:r>
      <w:r w:rsidR="000B7718">
        <w:t xml:space="preserve">two bioresorbable polymers: </w:t>
      </w:r>
      <w:r w:rsidR="00321A54">
        <w:t>hyaluronic acid</w:t>
      </w:r>
      <w:r w:rsidR="00FF6C2A">
        <w:t xml:space="preserve"> (H</w:t>
      </w:r>
      <w:r w:rsidR="00801418">
        <w:t>A</w:t>
      </w:r>
      <w:r w:rsidR="00FF6C2A">
        <w:t>)</w:t>
      </w:r>
      <w:r w:rsidR="00321A54">
        <w:t xml:space="preserve"> </w:t>
      </w:r>
      <w:r w:rsidR="000B7718">
        <w:t xml:space="preserve">and polylactic acid. </w:t>
      </w:r>
      <w:r w:rsidR="00801418">
        <w:t>HA</w:t>
      </w:r>
      <w:r w:rsidR="00E63BEB">
        <w:t xml:space="preserve"> is a</w:t>
      </w:r>
      <w:r w:rsidR="00321A54">
        <w:t xml:space="preserve"> natural polysaccharide that exists in all living organisms</w:t>
      </w:r>
      <w:r w:rsidR="00E63BEB">
        <w:t xml:space="preserve"> and </w:t>
      </w:r>
      <w:r w:rsidR="00865C91">
        <w:t xml:space="preserve">is the main constituent of the extracellular matrix in human connective tissue. </w:t>
      </w:r>
      <w:r w:rsidR="00E61AAE">
        <w:t>Surfaces coated with H</w:t>
      </w:r>
      <w:r w:rsidR="00801418">
        <w:t>A</w:t>
      </w:r>
      <w:r w:rsidR="00E61AAE">
        <w:t xml:space="preserve"> have less b</w:t>
      </w:r>
      <w:r w:rsidR="00865C91">
        <w:t>acterial adherence and growth</w:t>
      </w:r>
      <w:r w:rsidR="003169FA">
        <w:t xml:space="preserve"> </w:t>
      </w:r>
      <w:r w:rsidR="003169FA">
        <w:fldChar w:fldCharType="begin"/>
      </w:r>
      <w:r w:rsidR="00FF3113">
        <w:instrText xml:space="preserve"> ADDIN EN.CITE &lt;EndNote&gt;&lt;Cite&gt;&lt;Author&gt;Novagenit&lt;/Author&gt;&lt;RecNum&gt;23&lt;/RecNum&gt;&lt;DisplayText&gt;[25]&lt;/DisplayText&gt;&lt;record&gt;&lt;rec-number&gt;23&lt;/rec-number&gt;&lt;foreign-keys&gt;&lt;key app="EN" db-id="0x52t0fa5ezaf7e22eopzxaswfsaaaevpfzf" timestamp="1594265340"&gt;23&lt;/key&gt;&lt;/foreign-keys&gt;&lt;ref-type name="Web Page"&gt;12&lt;/ref-type&gt;&lt;contributors&gt;&lt;authors&gt;&lt;author&gt;Novagenit&lt;/author&gt;&lt;/authors&gt;&lt;/contributors&gt;&lt;titles&gt;&lt;title&gt;What is DAC&lt;/title&gt;&lt;/titles&gt;&lt;dates&gt;&lt;pub-dates&gt;&lt;date&gt;22 June 2020&lt;/date&gt;&lt;/pub-dates&gt;&lt;/dates&gt;&lt;urls&gt;&lt;related-urls&gt;&lt;url&gt;http://www.dac-coating.com/dac/what-is-dac/&lt;/url&gt;&lt;/related-urls&gt;&lt;/urls&gt;&lt;/record&gt;&lt;/Cite&gt;&lt;/EndNote&gt;</w:instrText>
      </w:r>
      <w:r w:rsidR="003169FA">
        <w:fldChar w:fldCharType="separate"/>
      </w:r>
      <w:r w:rsidR="00FF3113">
        <w:rPr>
          <w:noProof/>
        </w:rPr>
        <w:t>[25]</w:t>
      </w:r>
      <w:r w:rsidR="003169FA">
        <w:fldChar w:fldCharType="end"/>
      </w:r>
      <w:r w:rsidR="00592A4A">
        <w:t>.</w:t>
      </w:r>
      <w:r w:rsidR="00865C91">
        <w:t xml:space="preserve"> </w:t>
      </w:r>
      <w:r w:rsidR="00E63BEB">
        <w:t>Polylactic acid</w:t>
      </w:r>
      <w:r w:rsidR="00E61AAE">
        <w:t xml:space="preserve"> is </w:t>
      </w:r>
      <w:r w:rsidR="00321A54">
        <w:t xml:space="preserve">a synthetic polymer </w:t>
      </w:r>
      <w:r w:rsidR="00E63BEB">
        <w:t xml:space="preserve">made </w:t>
      </w:r>
      <w:r w:rsidR="00321A54">
        <w:t xml:space="preserve">from </w:t>
      </w:r>
      <w:r w:rsidR="000B7718">
        <w:t>renewable sources (e.g. corn)</w:t>
      </w:r>
      <w:r w:rsidR="00CB28A7">
        <w:t xml:space="preserve"> and </w:t>
      </w:r>
      <w:r w:rsidR="00E63BEB">
        <w:t xml:space="preserve">is </w:t>
      </w:r>
      <w:r w:rsidR="00CB28A7">
        <w:t>entirely biodegradable</w:t>
      </w:r>
      <w:r w:rsidR="00907D8F">
        <w:t>.</w:t>
      </w:r>
    </w:p>
    <w:p w14:paraId="4427CB54" w14:textId="384CCA23" w:rsidR="007F1E6E" w:rsidRDefault="00097840" w:rsidP="008070A3">
      <w:pPr>
        <w:rPr>
          <w:i/>
        </w:rPr>
      </w:pPr>
      <w:r w:rsidRPr="00097840">
        <w:t xml:space="preserve">DAC hydrogel is </w:t>
      </w:r>
      <w:r w:rsidR="009C118D">
        <w:t xml:space="preserve">supplied as a </w:t>
      </w:r>
      <w:r w:rsidRPr="00097840">
        <w:t xml:space="preserve">dry powder, to be </w:t>
      </w:r>
      <w:r w:rsidR="009007E1">
        <w:t>reconstituted into a hydrogel at the time of surgery and applied immediately to the surface of the implanted device</w:t>
      </w:r>
      <w:r w:rsidRPr="00097840">
        <w:t>. Sterile water is to be used but not saline solutions.</w:t>
      </w:r>
      <w:r>
        <w:t xml:space="preserve"> </w:t>
      </w:r>
      <w:r w:rsidR="00E63BEB">
        <w:t xml:space="preserve">When coated to an implant surface, DAC hydrogel </w:t>
      </w:r>
      <w:r w:rsidR="000D1581">
        <w:t xml:space="preserve">acts as a temporary </w:t>
      </w:r>
      <w:r w:rsidR="000D1581" w:rsidRPr="006B242B">
        <w:t xml:space="preserve">physical barrier against </w:t>
      </w:r>
      <w:r w:rsidR="00E63BEB">
        <w:t xml:space="preserve">bacterial </w:t>
      </w:r>
      <w:r w:rsidR="000D1581" w:rsidRPr="006B242B">
        <w:t xml:space="preserve">adhesion </w:t>
      </w:r>
      <w:r w:rsidR="00E63BEB">
        <w:t>and colonisation of the surface</w:t>
      </w:r>
      <w:r w:rsidR="003169FA">
        <w:t xml:space="preserve"> </w:t>
      </w:r>
      <w:r w:rsidR="003169FA">
        <w:fldChar w:fldCharType="begin"/>
      </w:r>
      <w:r w:rsidR="00FF3113">
        <w:instrText xml:space="preserve"> ADDIN EN.CITE &lt;EndNote&gt;&lt;Cite&gt;&lt;Author&gt;Novagenit&lt;/Author&gt;&lt;RecNum&gt;24&lt;/RecNum&gt;&lt;DisplayText&gt;[26]&lt;/DisplayText&gt;&lt;record&gt;&lt;rec-number&gt;24&lt;/rec-number&gt;&lt;foreign-keys&gt;&lt;key app="EN" db-id="0x52t0fa5ezaf7e22eopzxaswfsaaaevpfzf" timestamp="1594265596"&gt;24&lt;/key&gt;&lt;/foreign-keys&gt;&lt;ref-type name="Web Page"&gt;12&lt;/ref-type&gt;&lt;contributors&gt;&lt;authors&gt;&lt;author&gt;Novagenit&lt;/author&gt;&lt;/authors&gt;&lt;/contributors&gt;&lt;titles&gt;&lt;title&gt;Technical Data Sheet&lt;/title&gt;&lt;/titles&gt;&lt;dates&gt;&lt;pub-dates&gt;&lt;date&gt;18 June 2020&lt;/date&gt;&lt;/pub-dates&gt;&lt;/dates&gt;&lt;urls&gt;&lt;related-urls&gt;&lt;url&gt;http://www.novagenit.com/page_contents/media/pdf/ST-NG002_KIT_DAC_DACXXNNNY_EN_rev05.pdf&lt;/url&gt;&lt;/related-urls&gt;&lt;/urls&gt;&lt;/record&gt;&lt;/Cite&gt;&lt;/EndNote&gt;</w:instrText>
      </w:r>
      <w:r w:rsidR="003169FA">
        <w:fldChar w:fldCharType="separate"/>
      </w:r>
      <w:r w:rsidR="00FF3113">
        <w:rPr>
          <w:noProof/>
        </w:rPr>
        <w:t>[26]</w:t>
      </w:r>
      <w:r w:rsidR="003169FA">
        <w:fldChar w:fldCharType="end"/>
      </w:r>
      <w:r w:rsidR="005B6E1D">
        <w:t>.</w:t>
      </w:r>
      <w:r w:rsidR="00F831FF">
        <w:t xml:space="preserve"> </w:t>
      </w:r>
      <w:r w:rsidR="007F1E6E">
        <w:t xml:space="preserve">The </w:t>
      </w:r>
      <w:r w:rsidR="00CA7897">
        <w:t>a</w:t>
      </w:r>
      <w:r w:rsidR="0038000B">
        <w:t>pplicant</w:t>
      </w:r>
      <w:r w:rsidR="007F1E6E">
        <w:t xml:space="preserve"> reported that complete absorption of the hydrogel would occur within 72 hours after application and therefore would not adversely impact on osseointegration or the bone healing process</w:t>
      </w:r>
      <w:r w:rsidR="005B6E1D">
        <w:t xml:space="preserve"> </w:t>
      </w:r>
      <w:r w:rsidR="005B6E1D">
        <w:fldChar w:fldCharType="begin"/>
      </w:r>
      <w:r w:rsidR="00FF3113">
        <w:instrText xml:space="preserve"> ADDIN EN.CITE &lt;EndNote&gt;&lt;Cite&gt;&lt;Author&gt;Davidson&lt;/Author&gt;&lt;Year&gt;2019&lt;/Year&gt;&lt;RecNum&gt;16&lt;/RecNum&gt;&lt;DisplayText&gt;[27]&lt;/DisplayText&gt;&lt;record&gt;&lt;rec-number&gt;16&lt;/rec-number&gt;&lt;foreign-keys&gt;&lt;key app="EN" db-id="0x52t0fa5ezaf7e22eopzxaswfsaaaevpfzf" timestamp="1593310667"&gt;16&lt;/key&gt;&lt;/foreign-keys&gt;&lt;ref-type name="Journal Article"&gt;17&lt;/ref-type&gt;&lt;contributors&gt;&lt;authors&gt;&lt;author&gt;Davidson, Donald J&lt;/author&gt;&lt;author&gt;Spratt, David&lt;/author&gt;&lt;author&gt;Liddle, Alexander D&lt;/author&gt;&lt;/authors&gt;&lt;/contributors&gt;&lt;titles&gt;&lt;title&gt;Implant materials and prosthetic joint infection: the battle with the biofilm&lt;/title&gt;&lt;secondary-title&gt;EFORT open reviews&lt;/secondary-title&gt;&lt;/titles&gt;&lt;periodical&gt;&lt;full-title&gt;EFORT open reviews&lt;/full-title&gt;&lt;/periodical&gt;&lt;pages&gt;633-639&lt;/pages&gt;&lt;volume&gt;4&lt;/volume&gt;&lt;number&gt;11&lt;/number&gt;&lt;dates&gt;&lt;year&gt;2019&lt;/year&gt;&lt;/dates&gt;&lt;isbn&gt;2396-7544&lt;/isbn&gt;&lt;urls&gt;&lt;/urls&gt;&lt;/record&gt;&lt;/Cite&gt;&lt;/EndNote&gt;</w:instrText>
      </w:r>
      <w:r w:rsidR="005B6E1D">
        <w:fldChar w:fldCharType="separate"/>
      </w:r>
      <w:r w:rsidR="00FF3113">
        <w:rPr>
          <w:noProof/>
        </w:rPr>
        <w:t>[27]</w:t>
      </w:r>
      <w:r w:rsidR="005B6E1D">
        <w:fldChar w:fldCharType="end"/>
      </w:r>
      <w:r w:rsidR="007F1E6E">
        <w:t>.</w:t>
      </w:r>
      <w:r w:rsidR="009A2F77" w:rsidRPr="009A2F77">
        <w:rPr>
          <w:i/>
        </w:rPr>
        <w:t xml:space="preserve"> </w:t>
      </w:r>
      <w:r w:rsidR="009A2F77" w:rsidRPr="008070A3">
        <w:rPr>
          <w:i/>
        </w:rPr>
        <w:t>PASC queried whether DAC should be used only for cementless prostheses; however, this was considered to be difficult to classify and had uncertain relevance to the outcomes.</w:t>
      </w:r>
    </w:p>
    <w:p w14:paraId="381F2433" w14:textId="1B81DEB7" w:rsidR="00A07F29" w:rsidRPr="008070A3" w:rsidRDefault="00A07F29" w:rsidP="008070A3">
      <w:r>
        <w:rPr>
          <w:i/>
        </w:rPr>
        <w:t>The applicant confirmed that they recommend limiting DAC to cementless and hybrid primary implants, which have available surfaces for loading DAC for surgeons who have chosen this fixation. The applicant noted that m</w:t>
      </w:r>
      <w:r w:rsidR="000940E0">
        <w:rPr>
          <w:i/>
        </w:rPr>
        <w:t>e</w:t>
      </w:r>
      <w:r>
        <w:rPr>
          <w:i/>
        </w:rPr>
        <w:t>g</w:t>
      </w:r>
      <w:r w:rsidR="00A51F50">
        <w:rPr>
          <w:i/>
        </w:rPr>
        <w:t>a</w:t>
      </w:r>
      <w:r>
        <w:rPr>
          <w:i/>
        </w:rPr>
        <w:t xml:space="preserve">prostheses have large exposed surface areas available for DAC loading, regardless of the stem fixation method, making DAC appropriate for use in both a cemented or cementless </w:t>
      </w:r>
      <w:r w:rsidR="000F5513">
        <w:rPr>
          <w:i/>
        </w:rPr>
        <w:t>megaprostheses</w:t>
      </w:r>
      <w:r>
        <w:rPr>
          <w:i/>
        </w:rPr>
        <w:t>.</w:t>
      </w:r>
    </w:p>
    <w:p w14:paraId="3C45865C" w14:textId="45F98120" w:rsidR="0074587D" w:rsidRDefault="009C118D" w:rsidP="00AF46D1">
      <w:pPr>
        <w:rPr>
          <w:i/>
        </w:rPr>
      </w:pPr>
      <w:r>
        <w:t xml:space="preserve">Infection </w:t>
      </w:r>
      <w:r w:rsidR="005F6F70">
        <w:t xml:space="preserve">prophylaxis </w:t>
      </w:r>
      <w:r w:rsidR="002C6F04">
        <w:t xml:space="preserve">may be </w:t>
      </w:r>
      <w:r w:rsidR="0044177F">
        <w:t xml:space="preserve">further </w:t>
      </w:r>
      <w:r w:rsidR="00900169">
        <w:t xml:space="preserve">reinforced </w:t>
      </w:r>
      <w:r w:rsidR="002C6F04">
        <w:t xml:space="preserve">by </w:t>
      </w:r>
      <w:r w:rsidR="005F6F70">
        <w:t xml:space="preserve">rehydrating DAC hydrogel powder with </w:t>
      </w:r>
      <w:r w:rsidR="00E52043">
        <w:t>a solution of water for injectable preparations containing antibiotics</w:t>
      </w:r>
      <w:r>
        <w:t>;</w:t>
      </w:r>
      <w:r w:rsidR="00E52043">
        <w:t xml:space="preserve"> </w:t>
      </w:r>
      <w:r w:rsidR="002C6F04">
        <w:t>provided it is d</w:t>
      </w:r>
      <w:r w:rsidR="00E52043">
        <w:t xml:space="preserve">eemed appropriate by the </w:t>
      </w:r>
      <w:r w:rsidR="005F6F70">
        <w:t xml:space="preserve">treating </w:t>
      </w:r>
      <w:r w:rsidR="00E52043">
        <w:t>surgeon</w:t>
      </w:r>
      <w:r w:rsidR="00E52043" w:rsidRPr="005C4EA9">
        <w:t>.</w:t>
      </w:r>
      <w:r w:rsidR="00E67F85" w:rsidRPr="005C4EA9">
        <w:t xml:space="preserve"> It is not clear whether further training and quality assurance programs are required to be developed to assist in the application of DAC.</w:t>
      </w:r>
      <w:r w:rsidR="007D0D6D">
        <w:t xml:space="preserve"> </w:t>
      </w:r>
      <w:r w:rsidR="007D0D6D" w:rsidRPr="007D0D6D">
        <w:rPr>
          <w:i/>
        </w:rPr>
        <w:t>PASC noted the applicant’s response to the draft PICO stating that no training is required to use DAC.</w:t>
      </w:r>
    </w:p>
    <w:p w14:paraId="11ED3493" w14:textId="45861C75" w:rsidR="000D1581" w:rsidRPr="005C4EA9" w:rsidRDefault="00900169" w:rsidP="00AF46D1">
      <w:r w:rsidRPr="005C4EA9">
        <w:t xml:space="preserve">The </w:t>
      </w:r>
      <w:r w:rsidR="00CA7897">
        <w:t>a</w:t>
      </w:r>
      <w:r w:rsidR="0038000B" w:rsidRPr="005C4EA9">
        <w:t>pplicant</w:t>
      </w:r>
      <w:r w:rsidRPr="005C4EA9">
        <w:t xml:space="preserve"> reported that antibiotics </w:t>
      </w:r>
      <w:r w:rsidR="0015585F" w:rsidRPr="005C4EA9">
        <w:t xml:space="preserve">(not included in DAC kit) and DAC </w:t>
      </w:r>
      <w:r w:rsidRPr="005C4EA9">
        <w:t>are compatible</w:t>
      </w:r>
      <w:r w:rsidR="003169FA" w:rsidRPr="005C4EA9">
        <w:t xml:space="preserve"> </w:t>
      </w:r>
      <w:r w:rsidR="003169FA" w:rsidRPr="005C4EA9">
        <w:fldChar w:fldCharType="begin"/>
      </w:r>
      <w:r w:rsidR="00FF3113" w:rsidRPr="005C4EA9">
        <w:instrText xml:space="preserve"> ADDIN EN.CITE &lt;EndNote&gt;&lt;Cite&gt;&lt;Author&gt;Novagenit&lt;/Author&gt;&lt;RecNum&gt;25&lt;/RecNum&gt;&lt;DisplayText&gt;[28]&lt;/DisplayText&gt;&lt;record&gt;&lt;rec-number&gt;25&lt;/rec-number&gt;&lt;foreign-keys&gt;&lt;key app="EN" db-id="0x52t0fa5ezaf7e22eopzxaswfsaaaevpfzf" timestamp="1594265847"&gt;25&lt;/key&gt;&lt;/foreign-keys&gt;&lt;ref-type name="Web Page"&gt;12&lt;/ref-type&gt;&lt;contributors&gt;&lt;authors&gt;&lt;author&gt;Novagenit&lt;/author&gt;&lt;/authors&gt;&lt;/contributors&gt;&lt;titles&gt;&lt;title&gt;DAC barrier effect&lt;/title&gt;&lt;/titles&gt;&lt;dates&gt;&lt;pub-dates&gt;&lt;date&gt;28 June 2020&lt;/date&gt;&lt;/pub-dates&gt;&lt;/dates&gt;&lt;urls&gt;&lt;related-urls&gt;&lt;url&gt;http://www.dac-coating.com/dac/dac-barrier-effect/&lt;/url&gt;&lt;/related-urls&gt;&lt;/urls&gt;&lt;/record&gt;&lt;/Cite&gt;&lt;/EndNote&gt;</w:instrText>
      </w:r>
      <w:r w:rsidR="003169FA" w:rsidRPr="005C4EA9">
        <w:fldChar w:fldCharType="separate"/>
      </w:r>
      <w:r w:rsidR="00FF3113" w:rsidRPr="005C4EA9">
        <w:rPr>
          <w:noProof/>
        </w:rPr>
        <w:t>[28]</w:t>
      </w:r>
      <w:r w:rsidR="003169FA" w:rsidRPr="005C4EA9">
        <w:fldChar w:fldCharType="end"/>
      </w:r>
      <w:r w:rsidRPr="005C4EA9">
        <w:t xml:space="preserve">. </w:t>
      </w:r>
      <w:r w:rsidR="00E67F85" w:rsidRPr="005C4EA9">
        <w:t xml:space="preserve">Several potential antibiotics, including gentamicin, vancomycin, daptomycin, meropenem, rifampicin, and ciprofloxacin were suggested in the literature </w:t>
      </w:r>
      <w:r w:rsidR="00E67F85" w:rsidRPr="005C4EA9">
        <w:fldChar w:fldCharType="begin"/>
      </w:r>
      <w:r w:rsidR="00FF3113" w:rsidRPr="005C4EA9">
        <w:instrText xml:space="preserve"> ADDIN EN.CITE &lt;EndNote&gt;&lt;Cite&gt;&lt;Author&gt;Drago&lt;/Author&gt;&lt;Year&gt;2014&lt;/Year&gt;&lt;RecNum&gt;17&lt;/RecNum&gt;&lt;DisplayText&gt;[29]&lt;/DisplayText&gt;&lt;record&gt;&lt;rec-number&gt;17&lt;/rec-number&gt;&lt;foreign-keys&gt;&lt;key app="EN" db-id="0x52t0fa5ezaf7e22eopzxaswfsaaaevpfzf" timestamp="1593322800"&gt;17&lt;/key&gt;&lt;/foreign-keys&gt;&lt;ref-type name="Journal Article"&gt;17&lt;/ref-type&gt;&lt;contributors&gt;&lt;authors&gt;&lt;author&gt;Drago, Lorenzo&lt;/author&gt;&lt;author&gt;Boot, Willemijn&lt;/author&gt;&lt;author&gt;Dimas, Kostantinos&lt;/author&gt;&lt;author&gt;Malizos, Kostantinos&lt;/author&gt;&lt;author&gt;Hänsch, Gertrud M&lt;/author&gt;&lt;author&gt;Stuyck, Jos&lt;/author&gt;&lt;author&gt;Gawlitta, Debby&lt;/author&gt;&lt;author&gt;Romanò, Carlo L&lt;/author&gt;&lt;/authors&gt;&lt;/contributors&gt;&lt;titles&gt;&lt;title&gt;Does implant coating with antibacterial-loaded hydrogel reduce bacterial colonization and biofilm formation in vitro?&lt;/title&gt;&lt;secondary-title&gt;Clinical Orthopaedics and Related Research®&lt;/secondary-title&gt;&lt;/titles&gt;&lt;periodical&gt;&lt;full-title&gt;Clinical Orthopaedics and Related Research®&lt;/full-title&gt;&lt;/periodical&gt;&lt;pages&gt;3311-3323&lt;/pages&gt;&lt;volume&gt;472&lt;/volume&gt;&lt;number&gt;11&lt;/number&gt;&lt;dates&gt;&lt;year&gt;2014&lt;/year&gt;&lt;/dates&gt;&lt;isbn&gt;0009-921X&lt;/isbn&gt;&lt;urls&gt;&lt;/urls&gt;&lt;/record&gt;&lt;/Cite&gt;&lt;/EndNote&gt;</w:instrText>
      </w:r>
      <w:r w:rsidR="00E67F85" w:rsidRPr="005C4EA9">
        <w:fldChar w:fldCharType="separate"/>
      </w:r>
      <w:r w:rsidR="00FF3113" w:rsidRPr="005C4EA9">
        <w:rPr>
          <w:noProof/>
        </w:rPr>
        <w:t>[29]</w:t>
      </w:r>
      <w:r w:rsidR="00E67F85" w:rsidRPr="005C4EA9">
        <w:fldChar w:fldCharType="end"/>
      </w:r>
      <w:r w:rsidR="00E67F85" w:rsidRPr="005C4EA9">
        <w:t>. Among them, daptomycin and meropenem are not PBS-listed</w:t>
      </w:r>
      <w:r w:rsidR="007656D8" w:rsidRPr="005C4EA9">
        <w:t>, but rather restricted to hospital use only</w:t>
      </w:r>
      <w:r w:rsidR="00E67F85" w:rsidRPr="005C4EA9">
        <w:t>.</w:t>
      </w:r>
      <w:r w:rsidR="00AF72C0" w:rsidRPr="005C4EA9">
        <w:t xml:space="preserve"> However, it </w:t>
      </w:r>
      <w:r w:rsidR="00CD43B9" w:rsidRPr="005C4EA9">
        <w:t xml:space="preserve">is </w:t>
      </w:r>
      <w:r w:rsidR="00AF72C0" w:rsidRPr="005C4EA9">
        <w:t xml:space="preserve">not clear what antibiotics would be appropriate to use with DAC. During the preparation of the PICO, the </w:t>
      </w:r>
      <w:r w:rsidR="00CA7897">
        <w:t>a</w:t>
      </w:r>
      <w:r w:rsidR="0038000B" w:rsidRPr="005C4EA9">
        <w:t>pplicant</w:t>
      </w:r>
      <w:r w:rsidR="00AF72C0" w:rsidRPr="005C4EA9">
        <w:t xml:space="preserve"> indicated that the choice of antibiotics depends on hospital settings and cause of infection</w:t>
      </w:r>
      <w:r w:rsidR="003A1182" w:rsidRPr="005C4EA9">
        <w:t xml:space="preserve">. </w:t>
      </w:r>
      <w:r w:rsidR="00AF72C0" w:rsidRPr="005C4EA9">
        <w:t xml:space="preserve">The </w:t>
      </w:r>
      <w:r w:rsidR="00CA7897">
        <w:t>a</w:t>
      </w:r>
      <w:r w:rsidR="0038000B" w:rsidRPr="005C4EA9">
        <w:t>pplicant</w:t>
      </w:r>
      <w:r w:rsidR="00AF72C0" w:rsidRPr="005C4EA9">
        <w:t xml:space="preserve"> </w:t>
      </w:r>
      <w:r w:rsidR="003D5CA4" w:rsidRPr="005C4EA9">
        <w:t>also</w:t>
      </w:r>
      <w:r w:rsidR="00DC373B" w:rsidRPr="005C4EA9">
        <w:t xml:space="preserve"> </w:t>
      </w:r>
      <w:r w:rsidR="00AF72C0" w:rsidRPr="005C4EA9">
        <w:t xml:space="preserve">noted </w:t>
      </w:r>
      <w:r w:rsidR="00DC373B" w:rsidRPr="005C4EA9">
        <w:t xml:space="preserve">that </w:t>
      </w:r>
      <w:r w:rsidR="00AF72C0" w:rsidRPr="005C4EA9">
        <w:t xml:space="preserve">vancomycin, gentamicin and cefazolin </w:t>
      </w:r>
      <w:r w:rsidR="00DC373B" w:rsidRPr="005C4EA9">
        <w:t>were among</w:t>
      </w:r>
      <w:r w:rsidR="00AF72C0" w:rsidRPr="005C4EA9">
        <w:t xml:space="preserve"> three of the most used antibiotics in the Australian context</w:t>
      </w:r>
      <w:r w:rsidR="00792E5A" w:rsidRPr="005C4EA9">
        <w:t xml:space="preserve">. It was noted that </w:t>
      </w:r>
      <w:r w:rsidR="00AC2DD9" w:rsidRPr="005C4EA9">
        <w:t xml:space="preserve">in the pivotal </w:t>
      </w:r>
      <w:r w:rsidR="00792E5A" w:rsidRPr="005C4EA9">
        <w:t>RCT</w:t>
      </w:r>
      <w:r w:rsidR="00AC2DD9" w:rsidRPr="005C4EA9">
        <w:t xml:space="preserve"> by Romano </w:t>
      </w:r>
      <w:r w:rsidR="00792E5A" w:rsidRPr="005C4EA9">
        <w:t xml:space="preserve">et al. (2016), the predominant systemic prophylaxis was </w:t>
      </w:r>
      <w:r w:rsidR="005652D8" w:rsidRPr="005C4EA9">
        <w:t>cefazolin</w:t>
      </w:r>
      <w:r w:rsidR="00792E5A" w:rsidRPr="005C4EA9">
        <w:t xml:space="preserve"> (48.2%)</w:t>
      </w:r>
      <w:r w:rsidR="00CA2CAF" w:rsidRPr="005C4EA9">
        <w:t>, and the predominant loading of DAC with antibiotic was with vancomycin (52.9%) and gentamicin (37.0%)</w:t>
      </w:r>
      <w:r w:rsidR="00A33E5D" w:rsidRPr="005C4EA9">
        <w:t xml:space="preserve"> </w:t>
      </w:r>
      <w:r w:rsidR="00A33E5D" w:rsidRPr="005C4EA9">
        <w:rPr>
          <w:color w:val="000000"/>
          <w:shd w:val="clear" w:color="auto" w:fill="FFFFFF"/>
        </w:rPr>
        <w:fldChar w:fldCharType="begin"/>
      </w:r>
      <w:r w:rsidR="00A33E5D" w:rsidRPr="005C4EA9">
        <w:rPr>
          <w:color w:val="000000"/>
          <w:shd w:val="clear" w:color="auto" w:fill="FFFFFF"/>
        </w:rPr>
        <w:instrText xml:space="preserve"> ADDIN EN.CITE &lt;EndNote&gt;&lt;Cite&gt;&lt;Author&gt;Romanò&lt;/Author&gt;&lt;Year&gt;2016&lt;/Year&gt;&lt;RecNum&gt;34&lt;/RecNum&gt;&lt;DisplayText&gt;[3]&lt;/DisplayText&gt;&lt;record&gt;&lt;rec-number&gt;34&lt;/rec-number&gt;&lt;foreign-keys&gt;&lt;key app="EN" db-id="0x52t0fa5ezaf7e22eopzxaswfsaaaevpfzf" timestamp="1594962473"&gt;34&lt;/key&gt;&lt;/foreign-keys&gt;&lt;ref-type name="Journal Article"&gt;17&lt;/ref-type&gt;&lt;contributors&gt;&lt;authors&gt;&lt;author&gt;Romanò, Carlo Luca&lt;/author&gt;&lt;author&gt;Malizos, Kostantinos&lt;/author&gt;&lt;author&gt;Capuano, Nicola&lt;/author&gt;&lt;author&gt;Mezzoprete, Riccardo&lt;/author&gt;&lt;author&gt;D&amp;apos;Arienzo, Michele&lt;/author&gt;&lt;author&gt;Van Der Straeten, Catherine&lt;/author&gt;&lt;author&gt;Scarponi, Sara&lt;/author&gt;&lt;author&gt;Drago, Lorenzo&lt;/author&gt;&lt;/authors&gt;&lt;/contributors&gt;&lt;titles&gt;&lt;title&gt;Does an antibiotic-loaded hydrogel coating reduce early post-surgical infection after joint arthroplasty?&lt;/title&gt;&lt;secondary-title&gt;Journal of bone and joint infection&lt;/secondary-title&gt;&lt;/titles&gt;&lt;periodical&gt;&lt;full-title&gt;Journal of bone and joint infection&lt;/full-title&gt;&lt;/periodical&gt;&lt;pages&gt;34&lt;/pages&gt;&lt;volume&gt;1&lt;/volume&gt;&lt;dates&gt;&lt;year&gt;2016&lt;/year&gt;&lt;/dates&gt;&lt;urls&gt;&lt;/urls&gt;&lt;/record&gt;&lt;/Cite&gt;&lt;/EndNote&gt;</w:instrText>
      </w:r>
      <w:r w:rsidR="00A33E5D" w:rsidRPr="005C4EA9">
        <w:rPr>
          <w:color w:val="000000"/>
          <w:shd w:val="clear" w:color="auto" w:fill="FFFFFF"/>
        </w:rPr>
        <w:fldChar w:fldCharType="separate"/>
      </w:r>
      <w:r w:rsidR="00A33E5D" w:rsidRPr="005C4EA9">
        <w:rPr>
          <w:noProof/>
          <w:color w:val="000000"/>
          <w:shd w:val="clear" w:color="auto" w:fill="FFFFFF"/>
        </w:rPr>
        <w:t>[3]</w:t>
      </w:r>
      <w:r w:rsidR="00A33E5D" w:rsidRPr="005C4EA9">
        <w:rPr>
          <w:color w:val="000000"/>
          <w:shd w:val="clear" w:color="auto" w:fill="FFFFFF"/>
        </w:rPr>
        <w:fldChar w:fldCharType="end"/>
      </w:r>
      <w:r w:rsidR="00CA2CAF" w:rsidRPr="005C4EA9">
        <w:t>.</w:t>
      </w:r>
    </w:p>
    <w:p w14:paraId="242A65BE" w14:textId="4A70DC5C" w:rsidR="0012231C" w:rsidRPr="005C4EA9" w:rsidRDefault="00785CDD" w:rsidP="00FF6C2A">
      <w:r w:rsidRPr="005C4EA9">
        <w:t>DAC is currently being evaluated for registration by the Therapeutic Goods Administration</w:t>
      </w:r>
      <w:r w:rsidR="003631DB" w:rsidRPr="005C4EA9">
        <w:t xml:space="preserve"> (TGA)</w:t>
      </w:r>
      <w:r w:rsidRPr="005C4EA9">
        <w:t>.</w:t>
      </w:r>
      <w:r w:rsidR="003631DB" w:rsidRPr="005C4EA9">
        <w:t xml:space="preserve"> </w:t>
      </w:r>
      <w:r w:rsidR="00F218E9" w:rsidRPr="005C4EA9">
        <w:t xml:space="preserve">The following information was provided by the </w:t>
      </w:r>
      <w:r w:rsidR="00CA7897">
        <w:t>a</w:t>
      </w:r>
      <w:r w:rsidR="0038000B" w:rsidRPr="005C4EA9">
        <w:t>pplicant</w:t>
      </w:r>
      <w:r w:rsidR="00F218E9" w:rsidRPr="005C4EA9">
        <w:t xml:space="preserve"> regarding the registration process on the </w:t>
      </w:r>
      <w:r w:rsidR="00FF6C2A" w:rsidRPr="005C4EA9">
        <w:t>Australian Register of Therapeutic Goods (</w:t>
      </w:r>
      <w:r w:rsidR="00F218E9" w:rsidRPr="005C4EA9">
        <w:t>ARTG</w:t>
      </w:r>
      <w:r w:rsidR="00FF6C2A" w:rsidRPr="005C4EA9">
        <w:t>)</w:t>
      </w:r>
      <w:r w:rsidR="00F218E9" w:rsidRPr="005C4EA9">
        <w:t xml:space="preserve"> by the TGA</w:t>
      </w:r>
      <w:r w:rsidR="00FF6C2A" w:rsidRPr="005C4EA9">
        <w:t xml:space="preserve"> (p5 of the Application)</w:t>
      </w:r>
      <w:r w:rsidR="00F218E9" w:rsidRPr="005C4EA9">
        <w:t>:</w:t>
      </w:r>
    </w:p>
    <w:p w14:paraId="333E8A3F" w14:textId="480ECC95" w:rsidR="00F218E9" w:rsidRPr="005C4EA9" w:rsidRDefault="00F218E9" w:rsidP="00F218E9">
      <w:pPr>
        <w:spacing w:after="0"/>
        <w:ind w:left="720"/>
      </w:pPr>
      <w:r w:rsidRPr="005C4EA9">
        <w:t>Date of submission to TGA:</w:t>
      </w:r>
      <w:r w:rsidR="002C018C" w:rsidRPr="005C4EA9">
        <w:t xml:space="preserve"> </w:t>
      </w:r>
      <w:r w:rsidRPr="005C4EA9">
        <w:t>31/10/2019</w:t>
      </w:r>
    </w:p>
    <w:p w14:paraId="014A57C0" w14:textId="0261606E" w:rsidR="00F218E9" w:rsidRPr="005C4EA9" w:rsidRDefault="00F218E9" w:rsidP="00F218E9">
      <w:pPr>
        <w:spacing w:after="0"/>
        <w:ind w:left="720"/>
      </w:pPr>
      <w:r w:rsidRPr="005C4EA9">
        <w:t>Estimated date by which TGA approval can be expected:</w:t>
      </w:r>
      <w:r w:rsidR="002C018C" w:rsidRPr="005C4EA9">
        <w:t xml:space="preserve"> </w:t>
      </w:r>
      <w:r w:rsidRPr="005C4EA9">
        <w:t>July 2020</w:t>
      </w:r>
    </w:p>
    <w:p w14:paraId="1C151175" w14:textId="2992A03D" w:rsidR="00F218E9" w:rsidRPr="005C4EA9" w:rsidRDefault="00F218E9" w:rsidP="00F218E9">
      <w:pPr>
        <w:spacing w:after="0"/>
        <w:ind w:left="720"/>
      </w:pPr>
      <w:r w:rsidRPr="005C4EA9">
        <w:t>TGA Application ID:</w:t>
      </w:r>
      <w:r w:rsidR="002C018C" w:rsidRPr="005C4EA9">
        <w:t xml:space="preserve"> </w:t>
      </w:r>
      <w:r w:rsidRPr="005C4EA9">
        <w:t>DV-2019-CA-17985-1</w:t>
      </w:r>
    </w:p>
    <w:p w14:paraId="0D5FA915" w14:textId="28BE306A" w:rsidR="00F218E9" w:rsidRPr="00F43BA9" w:rsidRDefault="00F218E9" w:rsidP="00F43BA9">
      <w:pPr>
        <w:spacing w:after="240"/>
        <w:ind w:left="720"/>
      </w:pPr>
      <w:r w:rsidRPr="005C4EA9">
        <w:t>TGA approved purpose(s):</w:t>
      </w:r>
      <w:r w:rsidR="002C018C" w:rsidRPr="005C4EA9">
        <w:t xml:space="preserve"> </w:t>
      </w:r>
      <w:r w:rsidRPr="005C4EA9">
        <w:t>The product is especially indicated in orthopaedic and traumatology as a preventive measure against bacterial adhesion, coloni</w:t>
      </w:r>
      <w:r w:rsidR="003A1182" w:rsidRPr="005C4EA9">
        <w:t>s</w:t>
      </w:r>
      <w:r w:rsidRPr="005C4EA9">
        <w:t xml:space="preserve">ation and biofilm formation (which is </w:t>
      </w:r>
      <w:r w:rsidR="003A1182" w:rsidRPr="005C4EA9">
        <w:t xml:space="preserve">a </w:t>
      </w:r>
      <w:r w:rsidRPr="005C4EA9">
        <w:t>cause of bacterial infections) on implant surface in the very early time window</w:t>
      </w:r>
      <w:r w:rsidR="00FF6C2A" w:rsidRPr="005C4EA9">
        <w:t xml:space="preserve"> after implantation.</w:t>
      </w:r>
    </w:p>
    <w:p w14:paraId="0E9A703B" w14:textId="544BA3E3" w:rsidR="00234576" w:rsidRPr="005C4EA9" w:rsidRDefault="00234576" w:rsidP="00B60AA0">
      <w:r w:rsidRPr="005C4EA9">
        <w:t>However, the actual proposed TGA indication is not clear.</w:t>
      </w:r>
      <w:r w:rsidR="003103A9" w:rsidRPr="005C4EA9">
        <w:t xml:space="preserve"> </w:t>
      </w:r>
      <w:r w:rsidRPr="005C4EA9">
        <w:t>The intended purpose for DAC as mentioned in the TGA</w:t>
      </w:r>
      <w:r w:rsidR="004527DB" w:rsidRPr="005C4EA9">
        <w:t xml:space="preserve"> website under the</w:t>
      </w:r>
      <w:r w:rsidRPr="005C4EA9">
        <w:t xml:space="preserve"> “Medical devices (including IVDs) designation notices”</w:t>
      </w:r>
      <w:r w:rsidR="004527DB" w:rsidRPr="005C4EA9">
        <w:t xml:space="preserve"> topic</w:t>
      </w:r>
      <w:r w:rsidRPr="005C4EA9">
        <w:t xml:space="preserve"> was as follow</w:t>
      </w:r>
      <w:r w:rsidR="003A1182" w:rsidRPr="005C4EA9">
        <w:t>s</w:t>
      </w:r>
      <w:r w:rsidRPr="005C4EA9">
        <w:t>: “Indicated in orthopaedy, traumatology and dentistry as a preventative measure against bacterial adhesion, coloni</w:t>
      </w:r>
      <w:r w:rsidR="003A1182" w:rsidRPr="005C4EA9">
        <w:t>s</w:t>
      </w:r>
      <w:r w:rsidRPr="005C4EA9">
        <w:t>ation and biofilm formation”</w:t>
      </w:r>
      <w:r w:rsidR="00ED489C" w:rsidRPr="005C4EA9">
        <w:t xml:space="preserve"> </w:t>
      </w:r>
      <w:r w:rsidR="00ED489C" w:rsidRPr="005C4EA9">
        <w:fldChar w:fldCharType="begin"/>
      </w:r>
      <w:r w:rsidR="00FF3113" w:rsidRPr="005C4EA9">
        <w:instrText xml:space="preserve"> ADDIN EN.CITE &lt;EndNote&gt;&lt;Cite&gt;&lt;Author&gt;The Therapeutic Goods Administration&lt;/Author&gt;&lt;RecNum&gt;26&lt;/RecNum&gt;&lt;DisplayText&gt;[30]&lt;/DisplayText&gt;&lt;record&gt;&lt;rec-number&gt;26&lt;/rec-number&gt;&lt;foreign-keys&gt;&lt;key app="EN" db-id="0x52t0fa5ezaf7e22eopzxaswfsaaaevpfzf" timestamp="1594266061"&gt;26&lt;/key&gt;&lt;/foreign-keys&gt;&lt;ref-type name="Web Page"&gt;12&lt;/ref-type&gt;&lt;contributors&gt;&lt;authors&gt;&lt;author&gt;The Therapeutic Goods Administration,&lt;/author&gt;&lt;/authors&gt;&lt;/contributors&gt;&lt;auth-address&gt;Department of Health&lt;/auth-address&gt;&lt;titles&gt;&lt;title&gt;Medical devices (including IVDs) designation notices&lt;/title&gt;&lt;/titles&gt;&lt;number&gt;27 June 2020&lt;/number&gt;&lt;dates&gt;&lt;/dates&gt;&lt;urls&gt;&lt;related-urls&gt;&lt;url&gt;https://www.tga.gov.au/ws-md-designation-notices-index&lt;/url&gt;&lt;/related-urls&gt;&lt;/urls&gt;&lt;/record&gt;&lt;/Cite&gt;&lt;/EndNote&gt;</w:instrText>
      </w:r>
      <w:r w:rsidR="00ED489C" w:rsidRPr="005C4EA9">
        <w:fldChar w:fldCharType="separate"/>
      </w:r>
      <w:r w:rsidR="00FF3113" w:rsidRPr="005C4EA9">
        <w:rPr>
          <w:noProof/>
        </w:rPr>
        <w:t>[30]</w:t>
      </w:r>
      <w:r w:rsidR="00ED489C" w:rsidRPr="005C4EA9">
        <w:fldChar w:fldCharType="end"/>
      </w:r>
      <w:r w:rsidRPr="005C4EA9">
        <w:t xml:space="preserve">. </w:t>
      </w:r>
      <w:r w:rsidR="00A50AFC" w:rsidRPr="005C4EA9">
        <w:t>The intended purpose mentioned o</w:t>
      </w:r>
      <w:r w:rsidRPr="005C4EA9">
        <w:t>n the TGA website and the</w:t>
      </w:r>
      <w:r w:rsidR="004527DB" w:rsidRPr="005C4EA9">
        <w:t xml:space="preserve"> TGA</w:t>
      </w:r>
      <w:r w:rsidRPr="005C4EA9">
        <w:t xml:space="preserve"> indication suggested by the </w:t>
      </w:r>
      <w:r w:rsidR="0038000B" w:rsidRPr="005C4EA9">
        <w:t>Application</w:t>
      </w:r>
      <w:r w:rsidRPr="005C4EA9">
        <w:t xml:space="preserve"> slightly differ</w:t>
      </w:r>
      <w:r w:rsidR="004527DB" w:rsidRPr="005C4EA9">
        <w:t xml:space="preserve">, given that dentistry is </w:t>
      </w:r>
      <w:r w:rsidR="003A1182" w:rsidRPr="005C4EA9">
        <w:t>specifi</w:t>
      </w:r>
      <w:r w:rsidR="004527DB" w:rsidRPr="005C4EA9">
        <w:t xml:space="preserve">ed </w:t>
      </w:r>
      <w:r w:rsidR="003A1182" w:rsidRPr="005C4EA9">
        <w:t>o</w:t>
      </w:r>
      <w:r w:rsidR="004527DB" w:rsidRPr="005C4EA9">
        <w:t>n the TGA website</w:t>
      </w:r>
      <w:r w:rsidR="003103A9" w:rsidRPr="005C4EA9">
        <w:t xml:space="preserve"> only</w:t>
      </w:r>
      <w:r w:rsidR="004527DB" w:rsidRPr="005C4EA9">
        <w:t xml:space="preserve">. The </w:t>
      </w:r>
      <w:r w:rsidR="00CA7897">
        <w:t>a</w:t>
      </w:r>
      <w:r w:rsidR="0038000B" w:rsidRPr="005C4EA9">
        <w:t>pplicant</w:t>
      </w:r>
      <w:r w:rsidR="004527DB" w:rsidRPr="005C4EA9">
        <w:t xml:space="preserve"> should clarify whether dentistry</w:t>
      </w:r>
      <w:r w:rsidR="00AC5418" w:rsidRPr="005C4EA9">
        <w:t xml:space="preserve"> is a part of the proposed TGA </w:t>
      </w:r>
      <w:r w:rsidR="00C02B9F" w:rsidRPr="005C4EA9">
        <w:t>indication</w:t>
      </w:r>
      <w:r w:rsidR="004527DB" w:rsidRPr="005C4EA9">
        <w:t>.</w:t>
      </w:r>
    </w:p>
    <w:p w14:paraId="54BC3AC4" w14:textId="60EC46FF" w:rsidR="00816123" w:rsidRDefault="00F831FF" w:rsidP="003F7C3F">
      <w:pPr>
        <w:rPr>
          <w:i/>
        </w:rPr>
      </w:pPr>
      <w:r w:rsidRPr="005C4EA9">
        <w:t xml:space="preserve">A DAC 5 </w:t>
      </w:r>
      <w:r w:rsidR="00E16849" w:rsidRPr="005C4EA9">
        <w:t xml:space="preserve">ml </w:t>
      </w:r>
      <w:r w:rsidRPr="005C4EA9">
        <w:t>kit is for the preparation of 5</w:t>
      </w:r>
      <w:r w:rsidR="008A2B44" w:rsidRPr="005C4EA9">
        <w:t xml:space="preserve"> </w:t>
      </w:r>
      <w:r w:rsidRPr="005C4EA9">
        <w:t>m</w:t>
      </w:r>
      <w:r w:rsidR="00BD4780" w:rsidRPr="005C4EA9">
        <w:t>l</w:t>
      </w:r>
      <w:r w:rsidRPr="005C4EA9">
        <w:t xml:space="preserve"> hydrogel DAC. It includes the following sterile components: a) a syringe containing 300</w:t>
      </w:r>
      <w:r w:rsidR="008A2B44" w:rsidRPr="005C4EA9">
        <w:t xml:space="preserve"> </w:t>
      </w:r>
      <w:r w:rsidRPr="005C4EA9">
        <w:t xml:space="preserve">mg of dry product, (b) a complete set of DAC parts (connector, backstop and spreader) and (c) an empty graduated 10 </w:t>
      </w:r>
      <w:r w:rsidR="0088083A" w:rsidRPr="005C4EA9">
        <w:t xml:space="preserve">ml </w:t>
      </w:r>
      <w:r w:rsidRPr="005C4EA9">
        <w:t>syringe.</w:t>
      </w:r>
      <w:r w:rsidR="00F70348" w:rsidRPr="005C4EA9">
        <w:t xml:space="preserve"> Kits to make other quantities of hydrogel DAC are also available: 2, </w:t>
      </w:r>
      <w:r w:rsidR="00FA0465" w:rsidRPr="005C4EA9">
        <w:t>5</w:t>
      </w:r>
      <w:r w:rsidR="00F70348" w:rsidRPr="005C4EA9">
        <w:t>, 10 or 15</w:t>
      </w:r>
      <w:r w:rsidR="008A2B44" w:rsidRPr="005C4EA9">
        <w:t xml:space="preserve"> </w:t>
      </w:r>
      <w:r w:rsidR="0088083A" w:rsidRPr="005C4EA9">
        <w:t xml:space="preserve">ml </w:t>
      </w:r>
      <w:r w:rsidR="00F70348" w:rsidRPr="005C4EA9">
        <w:t>for orthopaedic purposes; or 1 or 2</w:t>
      </w:r>
      <w:r w:rsidR="008A2B44" w:rsidRPr="005C4EA9">
        <w:t xml:space="preserve"> </w:t>
      </w:r>
      <w:r w:rsidR="0088083A" w:rsidRPr="005C4EA9">
        <w:t xml:space="preserve">ml </w:t>
      </w:r>
      <w:r w:rsidR="00F70348" w:rsidRPr="005C4EA9">
        <w:t xml:space="preserve">for dentistry purposes. The current </w:t>
      </w:r>
      <w:r w:rsidR="0038000B" w:rsidRPr="005C4EA9">
        <w:t>Application</w:t>
      </w:r>
      <w:r w:rsidR="00F70348" w:rsidRPr="005C4EA9">
        <w:t xml:space="preserve"> is for </w:t>
      </w:r>
      <w:r w:rsidR="000E7078" w:rsidRPr="005C4EA9">
        <w:t xml:space="preserve">the </w:t>
      </w:r>
      <w:r w:rsidR="00F70348" w:rsidRPr="005C4EA9">
        <w:t>5</w:t>
      </w:r>
      <w:r w:rsidR="008A2B44" w:rsidRPr="005C4EA9">
        <w:t xml:space="preserve"> </w:t>
      </w:r>
      <w:r w:rsidR="00BF024F" w:rsidRPr="005C4EA9">
        <w:t>m</w:t>
      </w:r>
      <w:r w:rsidR="00E16849" w:rsidRPr="005C4EA9">
        <w:t>l</w:t>
      </w:r>
      <w:r w:rsidR="00BF024F" w:rsidRPr="005C4EA9">
        <w:t xml:space="preserve"> </w:t>
      </w:r>
      <w:r w:rsidR="00F70348" w:rsidRPr="005C4EA9">
        <w:t>kit only.</w:t>
      </w:r>
      <w:r w:rsidR="0074587D" w:rsidRPr="005C4EA9">
        <w:t xml:space="preserve"> The </w:t>
      </w:r>
      <w:r w:rsidR="00CA7897">
        <w:t>a</w:t>
      </w:r>
      <w:r w:rsidR="0038000B" w:rsidRPr="005C4EA9">
        <w:t>pplicant</w:t>
      </w:r>
      <w:r w:rsidR="0074587D" w:rsidRPr="005C4EA9">
        <w:t xml:space="preserve"> stated that DAC would be</w:t>
      </w:r>
      <w:r w:rsidR="00F218E9" w:rsidRPr="005C4EA9">
        <w:t xml:space="preserve"> applied at the time of surgery</w:t>
      </w:r>
      <w:r w:rsidR="003A1182" w:rsidRPr="005C4EA9">
        <w:t>,</w:t>
      </w:r>
      <w:r w:rsidR="00F218E9" w:rsidRPr="005C4EA9">
        <w:t xml:space="preserve"> and</w:t>
      </w:r>
      <w:r w:rsidR="0074587D" w:rsidRPr="005C4EA9">
        <w:t xml:space="preserve"> </w:t>
      </w:r>
      <w:r w:rsidR="00F218E9" w:rsidRPr="005C4EA9">
        <w:t>an average patient is unlikely to receive it more than once</w:t>
      </w:r>
      <w:r w:rsidR="003103A9" w:rsidRPr="005C4EA9">
        <w:t xml:space="preserve"> (p19 of the Application)</w:t>
      </w:r>
      <w:r w:rsidR="00F218E9" w:rsidRPr="005C4EA9">
        <w:t>.</w:t>
      </w:r>
      <w:r w:rsidR="00816123">
        <w:t xml:space="preserve"> </w:t>
      </w:r>
      <w:r w:rsidR="007D0D6D" w:rsidRPr="007D0D6D">
        <w:rPr>
          <w:i/>
        </w:rPr>
        <w:t>PASC noted that DAC could be used more than once over time (e.g. for revisions) but considered it was appropriate to limit use to once per procedure.</w:t>
      </w:r>
      <w:r w:rsidR="007D0D6D">
        <w:t xml:space="preserve"> </w:t>
      </w:r>
      <w:r w:rsidR="00816123" w:rsidRPr="003F7C3F">
        <w:rPr>
          <w:i/>
        </w:rPr>
        <w:t>PASC noted advice from the applicant that the predominant use would be a single DAC 5 mL kit, but that megaprostheses (population 2) would typically require two kits. PASC advised that the costs for using two kits for megaprostheses should be included in the application.</w:t>
      </w:r>
      <w:r w:rsidR="00816123" w:rsidRPr="007D0D6D">
        <w:rPr>
          <w:i/>
        </w:rPr>
        <w:t xml:space="preserve"> PASC noted the applicant’s advice that the AOANJRR would be an informative source to estimate DAC utilisation for megaprostheses.</w:t>
      </w:r>
    </w:p>
    <w:p w14:paraId="4607CA73" w14:textId="6CB12B06" w:rsidR="0062614F" w:rsidRDefault="0062614F" w:rsidP="003F7C3F">
      <w:r>
        <w:rPr>
          <w:i/>
        </w:rPr>
        <w:t>The applicant estimated that one third of all patients would require a single DAC 5mL kit and two</w:t>
      </w:r>
      <w:r w:rsidR="008F7F10">
        <w:rPr>
          <w:i/>
        </w:rPr>
        <w:t xml:space="preserve"> thirds would require two kits.</w:t>
      </w:r>
    </w:p>
    <w:p w14:paraId="197B4EA9" w14:textId="4E21EF74" w:rsidR="00C05584" w:rsidRPr="005C4EA9" w:rsidRDefault="00B21B50" w:rsidP="00B60AA0">
      <w:r w:rsidRPr="005C4EA9">
        <w:t xml:space="preserve">During the preparation of the PICO, the </w:t>
      </w:r>
      <w:r w:rsidR="00CA7897">
        <w:t>a</w:t>
      </w:r>
      <w:r w:rsidR="0038000B" w:rsidRPr="005C4EA9">
        <w:t>pplicant</w:t>
      </w:r>
      <w:r w:rsidRPr="005C4EA9">
        <w:t xml:space="preserve"> </w:t>
      </w:r>
      <w:r w:rsidR="00AD08F2" w:rsidRPr="005C4EA9">
        <w:t xml:space="preserve">stated </w:t>
      </w:r>
      <w:r w:rsidRPr="005C4EA9">
        <w:t xml:space="preserve">that </w:t>
      </w:r>
      <w:r w:rsidR="00665D01" w:rsidRPr="005C4EA9">
        <w:t xml:space="preserve">the </w:t>
      </w:r>
      <w:r w:rsidRPr="005C4EA9">
        <w:t>DAC 5</w:t>
      </w:r>
      <w:r w:rsidR="00402651" w:rsidRPr="005C4EA9">
        <w:t> </w:t>
      </w:r>
      <w:r w:rsidRPr="005C4EA9">
        <w:t xml:space="preserve">ml kit has been approved in the European Union. However, no documentation or reference was </w:t>
      </w:r>
      <w:r w:rsidR="003103A9" w:rsidRPr="005C4EA9">
        <w:t>suggested</w:t>
      </w:r>
      <w:r w:rsidRPr="005C4EA9">
        <w:t xml:space="preserve"> in this regard.</w:t>
      </w:r>
    </w:p>
    <w:p w14:paraId="44E5D111" w14:textId="1F160AFC" w:rsidR="00573AC4" w:rsidRPr="001F5EA9" w:rsidRDefault="00C05584" w:rsidP="00D13F4E">
      <w:r w:rsidRPr="005C4EA9">
        <w:t>In addition to the information provided in the application form, guidelines relating to SSI prevention from World Health Organisation</w:t>
      </w:r>
      <w:r w:rsidR="000926D1" w:rsidRPr="005C4EA9">
        <w:t xml:space="preserve"> </w:t>
      </w:r>
      <w:r w:rsidR="000926D1" w:rsidRPr="005C4EA9">
        <w:fldChar w:fldCharType="begin"/>
      </w:r>
      <w:r w:rsidR="00EE30CD" w:rsidRPr="005C4EA9">
        <w:instrText xml:space="preserve"> ADDIN EN.CITE &lt;EndNote&gt;&lt;Cite&gt;&lt;Author&gt;Organization&lt;/Author&gt;&lt;Year&gt;2016&lt;/Year&gt;&lt;RecNum&gt;27&lt;/RecNum&gt;&lt;DisplayText&gt;[2]&lt;/DisplayText&gt;&lt;record&gt;&lt;rec-number&gt;27&lt;/rec-number&gt;&lt;foreign-keys&gt;&lt;key app="EN" db-id="0x52t0fa5ezaf7e22eopzxaswfsaaaevpfzf" timestamp="1594269894"&gt;27&lt;/key&gt;&lt;/foreign-keys&gt;&lt;ref-type name="Book"&gt;6&lt;/ref-type&gt;&lt;contributors&gt;&lt;authors&gt;&lt;author&gt;World Health Organization&lt;/author&gt;&lt;/authors&gt;&lt;/contributors&gt;&lt;titles&gt;&lt;title&gt;Global guidelines for the prevention of surgical site infection&lt;/title&gt;&lt;/titles&gt;&lt;dates&gt;&lt;year&gt;2016&lt;/year&gt;&lt;/dates&gt;&lt;publisher&gt;World Health Organization&lt;/publisher&gt;&lt;isbn&gt;9241549882&lt;/isbn&gt;&lt;urls&gt;&lt;/urls&gt;&lt;/record&gt;&lt;/Cite&gt;&lt;/EndNote&gt;</w:instrText>
      </w:r>
      <w:r w:rsidR="000926D1" w:rsidRPr="005C4EA9">
        <w:fldChar w:fldCharType="separate"/>
      </w:r>
      <w:r w:rsidR="00EE30CD" w:rsidRPr="005C4EA9">
        <w:rPr>
          <w:noProof/>
        </w:rPr>
        <w:t>[2]</w:t>
      </w:r>
      <w:r w:rsidR="000926D1" w:rsidRPr="005C4EA9">
        <w:fldChar w:fldCharType="end"/>
      </w:r>
      <w:r w:rsidRPr="005C4EA9">
        <w:t>, National Institute for Health and Care Excellence (NICE)</w:t>
      </w:r>
      <w:r w:rsidR="000926D1" w:rsidRPr="005C4EA9">
        <w:t xml:space="preserve"> </w:t>
      </w:r>
      <w:r w:rsidR="000926D1" w:rsidRPr="005C4EA9">
        <w:fldChar w:fldCharType="begin"/>
      </w:r>
      <w:r w:rsidR="00FF3113" w:rsidRPr="005C4EA9">
        <w:instrText xml:space="preserve"> ADDIN EN.CITE &lt;EndNote&gt;&lt;Cite&gt;&lt;Author&gt;National Institute for Health and Care Excellence&lt;/Author&gt;&lt;Year&gt;2019&lt;/Year&gt;&lt;RecNum&gt;29&lt;/RecNum&gt;&lt;DisplayText&gt;[31, 32]&lt;/DisplayText&gt;&lt;record&gt;&lt;rec-number&gt;29&lt;/rec-number&gt;&lt;foreign-keys&gt;&lt;key app="EN" db-id="0x52t0fa5ezaf7e22eopzxaswfsaaaevpfzf" timestamp="1594270191"&gt;29&lt;/key&gt;&lt;/foreign-keys&gt;&lt;ref-type name="Journal Article"&gt;17&lt;/ref-type&gt;&lt;contributors&gt;&lt;authors&gt;&lt;author&gt;National Institute for Health and Care Excellence,&lt;/author&gt;&lt;/authors&gt;&lt;/contributors&gt;&lt;titles&gt;&lt;title&gt;Surgical site infections: prevention and treatment&lt;/title&gt;&lt;/titles&gt;&lt;dates&gt;&lt;year&gt;2019&lt;/year&gt;&lt;/dates&gt;&lt;urls&gt;&lt;related-urls&gt;&lt;url&gt;www.nice.org.uk/guidance/ng125&lt;/url&gt;&lt;/related-urls&gt;&lt;/urls&gt;&lt;access-date&gt;20 June 2020&lt;/access-date&gt;&lt;/record&gt;&lt;/Cite&gt;&lt;Cite&gt;&lt;Author&gt;National Institute for Health and Care Excellence&lt;/Author&gt;&lt;Year&gt;2020&lt;/Year&gt;&lt;RecNum&gt;28&lt;/RecNum&gt;&lt;record&gt;&lt;rec-number&gt;28&lt;/rec-number&gt;&lt;foreign-keys&gt;&lt;key app="EN" db-id="0x52t0fa5ezaf7e22eopzxaswfsaaaevpfzf" timestamp="1594270058"&gt;28&lt;/key&gt;&lt;/foreign-keys&gt;&lt;ref-type name="Web Page"&gt;12&lt;/ref-type&gt;&lt;contributors&gt;&lt;authors&gt;&lt;author&gt;National Institute for Health and Care Excellence,&lt;/author&gt;&lt;/authors&gt;&lt;/contributors&gt;&lt;titles&gt;&lt;title&gt;Joint replacement (primary): hip, knee and shoulder NICE guideline [NG157]&lt;/title&gt;&lt;/titles&gt;&lt;number&gt;June 20 2020&lt;/number&gt;&lt;dates&gt;&lt;year&gt;2020&lt;/year&gt;&lt;/dates&gt;&lt;urls&gt;&lt;related-urls&gt;&lt;url&gt;https://www.nice.org.uk/guidance/ng157/documents/html-content-2&lt;/url&gt;&lt;/related-urls&gt;&lt;/urls&gt;&lt;/record&gt;&lt;/Cite&gt;&lt;/EndNote&gt;</w:instrText>
      </w:r>
      <w:r w:rsidR="000926D1" w:rsidRPr="005C4EA9">
        <w:fldChar w:fldCharType="separate"/>
      </w:r>
      <w:r w:rsidR="00FF3113" w:rsidRPr="005C4EA9">
        <w:rPr>
          <w:noProof/>
        </w:rPr>
        <w:t>[31, 32]</w:t>
      </w:r>
      <w:r w:rsidR="000926D1" w:rsidRPr="005C4EA9">
        <w:fldChar w:fldCharType="end"/>
      </w:r>
      <w:r>
        <w:rPr>
          <w:i/>
        </w:rPr>
        <w:t xml:space="preserve"> </w:t>
      </w:r>
      <w:r w:rsidRPr="005C4EA9">
        <w:t>and Asia Pacific Society of Infection Control (APSIC)</w:t>
      </w:r>
      <w:r w:rsidR="000926D1" w:rsidRPr="005C4EA9">
        <w:t xml:space="preserve"> </w:t>
      </w:r>
      <w:r w:rsidR="000926D1" w:rsidRPr="005C4EA9">
        <w:fldChar w:fldCharType="begin"/>
      </w:r>
      <w:r w:rsidR="00FF3113" w:rsidRPr="005C4EA9">
        <w:instrText xml:space="preserve"> ADDIN EN.CITE &lt;EndNote&gt;&lt;Cite&gt;&lt;Author&gt;Ling&lt;/Author&gt;&lt;Year&gt;2019&lt;/Year&gt;&lt;RecNum&gt;30&lt;/RecNum&gt;&lt;DisplayText&gt;[33]&lt;/DisplayText&gt;&lt;record&gt;&lt;rec-number&gt;30&lt;/rec-number&gt;&lt;foreign-keys&gt;&lt;key app="EN" db-id="0x52t0fa5ezaf7e22eopzxaswfsaaaevpfzf" timestamp="1594270310"&gt;30&lt;/key&gt;&lt;/foreign-keys&gt;&lt;ref-type name="Journal Article"&gt;17&lt;/ref-type&gt;&lt;contributors&gt;&lt;authors&gt;&lt;author&gt;Ling, Moi Lin&lt;/author&gt;&lt;author&gt;Apisarnthanarak, Anucha&lt;/author&gt;&lt;author&gt;Abbas, Azlina&lt;/author&gt;&lt;author&gt;Morikane, Keita&lt;/author&gt;&lt;author&gt;Lee, Kil Yeon&lt;/author&gt;&lt;author&gt;Warrier, Anup&lt;/author&gt;&lt;author&gt;Yamada, Koji&lt;/author&gt;&lt;/authors&gt;&lt;/contributors&gt;&lt;titles&gt;&lt;title&gt;APSIC guidelines for the prevention of surgical site infections&lt;/title&gt;&lt;secondary-title&gt;Antimicrobial Resistance &amp;amp; Infection Control&lt;/secondary-title&gt;&lt;/titles&gt;&lt;periodical&gt;&lt;full-title&gt;Antimicrobial Resistance &amp;amp; Infection Control&lt;/full-title&gt;&lt;/periodical&gt;&lt;pages&gt;1-8&lt;/pages&gt;&lt;volume&gt;8&lt;/volume&gt;&lt;number&gt;1&lt;/number&gt;&lt;dates&gt;&lt;year&gt;2019&lt;/year&gt;&lt;/dates&gt;&lt;isbn&gt;2047-2994&lt;/isbn&gt;&lt;urls&gt;&lt;/urls&gt;&lt;/record&gt;&lt;/Cite&gt;&lt;/EndNote&gt;</w:instrText>
      </w:r>
      <w:r w:rsidR="000926D1" w:rsidRPr="005C4EA9">
        <w:fldChar w:fldCharType="separate"/>
      </w:r>
      <w:r w:rsidR="00FF3113" w:rsidRPr="005C4EA9">
        <w:rPr>
          <w:noProof/>
        </w:rPr>
        <w:t>[33]</w:t>
      </w:r>
      <w:r w:rsidR="000926D1" w:rsidRPr="005C4EA9">
        <w:fldChar w:fldCharType="end"/>
      </w:r>
      <w:r w:rsidR="00C90037" w:rsidRPr="005C4EA9">
        <w:t>, as well as proceedings of international consensus</w:t>
      </w:r>
      <w:r w:rsidR="00352011" w:rsidRPr="005C4EA9">
        <w:t xml:space="preserve"> </w:t>
      </w:r>
      <w:r w:rsidR="00352011" w:rsidRPr="005C4EA9">
        <w:fldChar w:fldCharType="begin"/>
      </w:r>
      <w:r w:rsidR="00FF3113" w:rsidRPr="005C4EA9">
        <w:instrText xml:space="preserve"> ADDIN EN.CITE &lt;EndNote&gt;&lt;Cite&gt;&lt;Author&gt;Cats-Baril&lt;/Author&gt;&lt;Year&gt;2013&lt;/Year&gt;&lt;RecNum&gt;31&lt;/RecNum&gt;&lt;DisplayText&gt;[34, 35]&lt;/DisplayText&gt;&lt;record&gt;&lt;rec-number&gt;31&lt;/rec-number&gt;&lt;foreign-keys&gt;&lt;key app="EN" db-id="0x52t0fa5ezaf7e22eopzxaswfsaaaevpfzf" timestamp="1594270470"&gt;31&lt;/key&gt;&lt;/foreign-keys&gt;&lt;ref-type name="Journal Article"&gt;17&lt;/ref-type&gt;&lt;contributors&gt;&lt;authors&gt;&lt;author&gt;Cats-Baril, William&lt;/author&gt;&lt;author&gt;Gehrke, Thorsten&lt;/author&gt;&lt;author&gt;Huff, Katherine&lt;/author&gt;&lt;author&gt;Kendoff, Daniel&lt;/author&gt;&lt;author&gt;Maltenfort, Mitchell&lt;/author&gt;&lt;author&gt;Parvizi, Javad&lt;/author&gt;&lt;/authors&gt;&lt;/contributors&gt;&lt;titles&gt;&lt;title&gt;International consensus on periprosthetic joint infection: description of the consensus process&lt;/title&gt;&lt;secondary-title&gt;Clinical Orthopaedics and Related Research®&lt;/secondary-title&gt;&lt;/titles&gt;&lt;periodical&gt;&lt;full-title&gt;Clinical Orthopaedics and Related Research®&lt;/full-title&gt;&lt;/periodical&gt;&lt;pages&gt;4065-4075&lt;/pages&gt;&lt;volume&gt;471&lt;/volume&gt;&lt;number&gt;12&lt;/number&gt;&lt;dates&gt;&lt;year&gt;2013&lt;/year&gt;&lt;/dates&gt;&lt;isbn&gt;0009-921X&lt;/isbn&gt;&lt;urls&gt;&lt;/urls&gt;&lt;/record&gt;&lt;/Cite&gt;&lt;Cite&gt;&lt;Author&gt;Fillingham&lt;/Author&gt;&lt;Year&gt;2019&lt;/Year&gt;&lt;RecNum&gt;32&lt;/RecNum&gt;&lt;record&gt;&lt;rec-number&gt;32&lt;/rec-number&gt;&lt;foreign-keys&gt;&lt;key app="EN" db-id="0x52t0fa5ezaf7e22eopzxaswfsaaaevpfzf" timestamp="1594270541"&gt;32&lt;/key&gt;&lt;/foreign-keys&gt;&lt;ref-type name="Journal Article"&gt;17&lt;/ref-type&gt;&lt;contributors&gt;&lt;authors&gt;&lt;author&gt;Fillingham, Yale&lt;/author&gt;&lt;author&gt;Greenwald, A Seth&lt;/author&gt;&lt;author&gt;Greiner, Justin&lt;/author&gt;&lt;author&gt;Oshkukov, Sergei&lt;/author&gt;&lt;author&gt;Parsa, Ali&lt;/author&gt;&lt;author&gt;Porteous, Andrew&lt;/author&gt;&lt;author&gt;Squire, Matthew W&lt;/author&gt;&lt;/authors&gt;&lt;/contributors&gt;&lt;titles&gt;&lt;title&gt;Hip and knee section, prevention, local antimicrobials: proceedings of international consensus on orthopedic infections&lt;/title&gt;&lt;secondary-title&gt;The Journal of Arthroplasty&lt;/secondary-title&gt;&lt;/titles&gt;&lt;periodical&gt;&lt;full-title&gt;The Journal of arthroplasty&lt;/full-title&gt;&lt;/periodical&gt;&lt;pages&gt;S289-S292&lt;/pages&gt;&lt;volume&gt;34&lt;/volume&gt;&lt;number&gt;2&lt;/number&gt;&lt;dates&gt;&lt;year&gt;2019&lt;/year&gt;&lt;/dates&gt;&lt;isbn&gt;0883-5403&lt;/isbn&gt;&lt;urls&gt;&lt;/urls&gt;&lt;/record&gt;&lt;/Cite&gt;&lt;/EndNote&gt;</w:instrText>
      </w:r>
      <w:r w:rsidR="00352011" w:rsidRPr="005C4EA9">
        <w:fldChar w:fldCharType="separate"/>
      </w:r>
      <w:r w:rsidR="00FF3113" w:rsidRPr="005C4EA9">
        <w:rPr>
          <w:noProof/>
        </w:rPr>
        <w:t>[34, 35]</w:t>
      </w:r>
      <w:r w:rsidR="00352011" w:rsidRPr="005C4EA9">
        <w:fldChar w:fldCharType="end"/>
      </w:r>
      <w:r w:rsidR="00C90037" w:rsidRPr="005C4EA9">
        <w:t>,</w:t>
      </w:r>
      <w:r w:rsidR="004A44E5" w:rsidRPr="005C4EA9">
        <w:t xml:space="preserve"> </w:t>
      </w:r>
      <w:r w:rsidRPr="005C4EA9">
        <w:t xml:space="preserve">were reviewed for information relevant to this PICO. </w:t>
      </w:r>
      <w:r w:rsidR="000926D1" w:rsidRPr="005C4EA9">
        <w:t xml:space="preserve">The current guidelines </w:t>
      </w:r>
      <w:r w:rsidR="008B0BEC" w:rsidRPr="005C4EA9">
        <w:t>and consensus</w:t>
      </w:r>
      <w:r w:rsidR="00523538" w:rsidRPr="005C4EA9">
        <w:t xml:space="preserve"> reports</w:t>
      </w:r>
      <w:r w:rsidR="008B0BEC" w:rsidRPr="005C4EA9">
        <w:t xml:space="preserve"> deal mostly with antibiotic prophylaxis, wound irrigation and intracavity lavage, and antiseptics and antibiotics usage and not </w:t>
      </w:r>
      <w:r w:rsidR="00523538" w:rsidRPr="005C4EA9">
        <w:t>necessarily</w:t>
      </w:r>
      <w:r w:rsidR="008B0BEC" w:rsidRPr="005C4EA9">
        <w:t xml:space="preserve"> with</w:t>
      </w:r>
      <w:r w:rsidR="00523538" w:rsidRPr="005C4EA9">
        <w:t xml:space="preserve"> the application of</w:t>
      </w:r>
      <w:r w:rsidR="008B0BEC" w:rsidRPr="005C4EA9">
        <w:t xml:space="preserve"> antibacterial coatings</w:t>
      </w:r>
      <w:r w:rsidR="00FC4B8A" w:rsidRPr="005C4EA9">
        <w:t xml:space="preserve"> on the surface of implants</w:t>
      </w:r>
      <w:r w:rsidR="008B0BEC" w:rsidRPr="005C4EA9">
        <w:t>, such as DAC.</w:t>
      </w:r>
    </w:p>
    <w:p w14:paraId="3F9AC6D0" w14:textId="77777777" w:rsidR="002B3338" w:rsidRDefault="002B3338" w:rsidP="00FE60D6">
      <w:pPr>
        <w:pStyle w:val="Heading4"/>
      </w:pPr>
      <w:r>
        <w:t>Rationale</w:t>
      </w:r>
    </w:p>
    <w:p w14:paraId="1B6DE0F2" w14:textId="73B9988E" w:rsidR="00F1090B" w:rsidRDefault="009F100E" w:rsidP="00EA16C3">
      <w:pPr>
        <w:rPr>
          <w:i/>
        </w:rPr>
      </w:pPr>
      <w:r w:rsidRPr="005C4EA9">
        <w:t xml:space="preserve">The description of the proposed intervention as provided in the included peer-reviewed studies </w:t>
      </w:r>
      <w:r w:rsidR="004018E5" w:rsidRPr="005C4EA9">
        <w:t>noted that DAC hydrogel was prepared intra-operatively according to the manufacturer’s indications.</w:t>
      </w:r>
      <w:r w:rsidR="00E16849" w:rsidRPr="005C4EA9">
        <w:t xml:space="preserve"> </w:t>
      </w:r>
      <w:r w:rsidR="00EA16C3" w:rsidRPr="005C4EA9">
        <w:t>Additionally, there was no</w:t>
      </w:r>
      <w:r w:rsidR="003103A9" w:rsidRPr="005C4EA9">
        <w:t xml:space="preserve"> major</w:t>
      </w:r>
      <w:r w:rsidR="00EA16C3" w:rsidRPr="005C4EA9">
        <w:t xml:space="preserve"> difference</w:t>
      </w:r>
      <w:r w:rsidR="003103A9" w:rsidRPr="005C4EA9">
        <w:t xml:space="preserve"> across studies regarding the procedure of</w:t>
      </w:r>
      <w:r w:rsidR="00EA16C3" w:rsidRPr="005C4EA9">
        <w:t xml:space="preserve"> hydrogel </w:t>
      </w:r>
      <w:r w:rsidR="003103A9" w:rsidRPr="005C4EA9">
        <w:t>administration on implants prior to implantation</w:t>
      </w:r>
      <w:r w:rsidR="00EA16C3" w:rsidRPr="005C4EA9">
        <w:t xml:space="preserve">. </w:t>
      </w:r>
      <w:r w:rsidR="003A1182" w:rsidRPr="005C4EA9">
        <w:t>A common procedure was followed by directly spreading h</w:t>
      </w:r>
      <w:r w:rsidR="00EA16C3" w:rsidRPr="005C4EA9">
        <w:t>ydrogel onto the implant, which was then inserted into the body by the surgeons.</w:t>
      </w:r>
      <w:r w:rsidR="004018E5" w:rsidRPr="005C4EA9">
        <w:t xml:space="preserve"> </w:t>
      </w:r>
      <w:r w:rsidR="00505B38" w:rsidRPr="005C4EA9">
        <w:t>There was some variation to how DAC was used with surgery, noting in population 3, DAC was used in a 1-stage approach (1-stage exchange hip or knee procedure) in Capuano et al. (2018)</w:t>
      </w:r>
      <w:r w:rsidR="00BD4DEA" w:rsidRPr="005C4EA9">
        <w:t xml:space="preserve"> </w:t>
      </w:r>
      <w:r w:rsidR="00BD4DEA" w:rsidRPr="005C4EA9">
        <w:fldChar w:fldCharType="begin"/>
      </w:r>
      <w:r w:rsidR="00683B40" w:rsidRPr="005C4EA9">
        <w:instrText xml:space="preserve"> ADDIN EN.CITE &lt;EndNote&gt;&lt;Cite&gt;&lt;Author&gt;Capuano&lt;/Author&gt;&lt;Year&gt;2018&lt;/Year&gt;&lt;RecNum&gt;36&lt;/RecNum&gt;&lt;DisplayText&gt;[10]&lt;/DisplayText&gt;&lt;record&gt;&lt;rec-number&gt;36&lt;/rec-number&gt;&lt;foreign-keys&gt;&lt;key app="EN" db-id="0x52t0fa5ezaf7e22eopzxaswfsaaaevpfzf" timestamp="1594964417"&gt;36&lt;/key&gt;&lt;/foreign-keys&gt;&lt;ref-type name="Journal Article"&gt;17&lt;/ref-type&gt;&lt;contributors&gt;&lt;authors&gt;&lt;author&gt;Capuano, Nicola&lt;/author&gt;&lt;author&gt;Logoluso, Nicola&lt;/author&gt;&lt;author&gt;Gallazzi, Enrico&lt;/author&gt;&lt;author&gt;Drago, Lorenzo&lt;/author&gt;&lt;author&gt;Romanò, Carlo Luca&lt;/author&gt;&lt;/authors&gt;&lt;/contributors&gt;&lt;titles&gt;&lt;title&gt;One-stage exchange with antibacterial hydrogel coated implants provides similar results to two-stage revision, without the coating, for the treatment of peri-prosthetic infection&lt;/title&gt;&lt;secondary-title&gt;Knee Surgery, Sports Traumatology, Arthroscopy&lt;/secondary-title&gt;&lt;/titles&gt;&lt;periodical&gt;&lt;full-title&gt;Knee Surgery, Sports Traumatology, Arthroscopy&lt;/full-title&gt;&lt;/periodical&gt;&lt;pages&gt;3362-3367&lt;/pages&gt;&lt;volume&gt;26&lt;/volume&gt;&lt;number&gt;11&lt;/number&gt;&lt;dates&gt;&lt;year&gt;2018&lt;/year&gt;&lt;/dates&gt;&lt;isbn&gt;0942-2056&lt;/isbn&gt;&lt;urls&gt;&lt;/urls&gt;&lt;/record&gt;&lt;/Cite&gt;&lt;/EndNote&gt;</w:instrText>
      </w:r>
      <w:r w:rsidR="00BD4DEA" w:rsidRPr="005C4EA9">
        <w:fldChar w:fldCharType="separate"/>
      </w:r>
      <w:r w:rsidR="00683B40" w:rsidRPr="005C4EA9">
        <w:rPr>
          <w:noProof/>
        </w:rPr>
        <w:t>[10]</w:t>
      </w:r>
      <w:r w:rsidR="00BD4DEA" w:rsidRPr="005C4EA9">
        <w:fldChar w:fldCharType="end"/>
      </w:r>
      <w:r w:rsidR="00505B38" w:rsidRPr="005C4EA9">
        <w:t>, and DAC was used in a 2-stage approach (2-stage exchange hip procedure) in Zagra et al. (2018)</w:t>
      </w:r>
      <w:r w:rsidR="00A33E5D" w:rsidRPr="005C4EA9">
        <w:t xml:space="preserve"> </w:t>
      </w:r>
      <w:r w:rsidR="00A33E5D" w:rsidRPr="005C4EA9">
        <w:fldChar w:fldCharType="begin"/>
      </w:r>
      <w:r w:rsidR="00282F28" w:rsidRPr="005C4EA9">
        <w:instrText xml:space="preserve"> ADDIN EN.CITE &lt;EndNote&gt;&lt;Cite&gt;&lt;Author&gt;Zagra&lt;/Author&gt;&lt;Year&gt;2019&lt;/Year&gt;&lt;RecNum&gt;38&lt;/RecNum&gt;&lt;DisplayText&gt;[11]&lt;/DisplayText&gt;&lt;record&gt;&lt;rec-number&gt;38&lt;/rec-number&gt;&lt;foreign-keys&gt;&lt;key app="EN" db-id="0x52t0fa5ezaf7e22eopzxaswfsaaaevpfzf" timestamp="1594964999"&gt;38&lt;/key&gt;&lt;/foreign-keys&gt;&lt;ref-type name="Journal Article"&gt;17&lt;/ref-type&gt;&lt;contributors&gt;&lt;authors&gt;&lt;author&gt;Zagra, Luigi&lt;/author&gt;&lt;author&gt;Gallazzi, Enrico&lt;/author&gt;&lt;author&gt;Romanò, Delia&lt;/author&gt;&lt;author&gt;Scarponi, Sara&lt;/author&gt;&lt;author&gt;Romanò, Carlo&lt;/author&gt;&lt;/authors&gt;&lt;/contributors&gt;&lt;titles&gt;&lt;title&gt;Two-stage cementless hip revision for peri-prosthetic infection with an antibacterial hydrogel coating: results of a comparative series&lt;/title&gt;&lt;secondary-title&gt;International Orthopaedics&lt;/secondary-title&gt;&lt;/titles&gt;&lt;periodical&gt;&lt;full-title&gt;International Orthopaedics&lt;/full-title&gt;&lt;/periodical&gt;&lt;pages&gt;111-115&lt;/pages&gt;&lt;volume&gt;43&lt;/volume&gt;&lt;number&gt;1&lt;/number&gt;&lt;dates&gt;&lt;year&gt;2019&lt;/year&gt;&lt;/dates&gt;&lt;isbn&gt;0341-2695&lt;/isbn&gt;&lt;urls&gt;&lt;/urls&gt;&lt;/record&gt;&lt;/Cite&gt;&lt;/EndNote&gt;</w:instrText>
      </w:r>
      <w:r w:rsidR="00A33E5D" w:rsidRPr="005C4EA9">
        <w:fldChar w:fldCharType="separate"/>
      </w:r>
      <w:r w:rsidR="00282F28" w:rsidRPr="005C4EA9">
        <w:rPr>
          <w:noProof/>
        </w:rPr>
        <w:t>[11]</w:t>
      </w:r>
      <w:r w:rsidR="00A33E5D" w:rsidRPr="005C4EA9">
        <w:fldChar w:fldCharType="end"/>
      </w:r>
      <w:r w:rsidR="00505B38" w:rsidRPr="005C4EA9">
        <w:t>.</w:t>
      </w:r>
    </w:p>
    <w:p w14:paraId="3A194E76" w14:textId="5599F4E6" w:rsidR="00BF024F" w:rsidRDefault="00215FBC" w:rsidP="00EA16C3">
      <w:pPr>
        <w:rPr>
          <w:i/>
        </w:rPr>
      </w:pPr>
      <w:r w:rsidRPr="00121719">
        <w:rPr>
          <w:i/>
        </w:rPr>
        <w:t>PASC noted that the benefits of DAC could be different depending on the type of revision surgery (1 or 2-stage revision surgery). The applicant advised that one-stage revision can only be performed if causative organism for infection is identified, and no bone loss or sinus; the minority would have a two-stage revision surgery</w:t>
      </w:r>
      <w:r>
        <w:rPr>
          <w:i/>
        </w:rPr>
        <w:t>.</w:t>
      </w:r>
      <w:r w:rsidR="00EC45AA">
        <w:t xml:space="preserve"> </w:t>
      </w:r>
      <w:r w:rsidR="00EC45AA" w:rsidRPr="00EC45AA">
        <w:rPr>
          <w:i/>
        </w:rPr>
        <w:t>PASC</w:t>
      </w:r>
      <w:r>
        <w:rPr>
          <w:i/>
        </w:rPr>
        <w:t xml:space="preserve"> also</w:t>
      </w:r>
      <w:r w:rsidR="00EC45AA" w:rsidRPr="00EC45AA">
        <w:rPr>
          <w:i/>
        </w:rPr>
        <w:t xml:space="preserve"> noted DAC would be used for primary prevention of deep SSIs for all populations except population 3, which would be for secondary prevention.</w:t>
      </w:r>
    </w:p>
    <w:p w14:paraId="0E550FEC" w14:textId="1A2A2B2A" w:rsidR="00A07F29" w:rsidRPr="004B7BDF" w:rsidRDefault="001F5EA9" w:rsidP="00EA16C3">
      <w:pPr>
        <w:rPr>
          <w:i/>
        </w:rPr>
      </w:pPr>
      <w:r>
        <w:rPr>
          <w:i/>
        </w:rPr>
        <w:t>Subsequently, t</w:t>
      </w:r>
      <w:r w:rsidR="00A07F29">
        <w:rPr>
          <w:i/>
        </w:rPr>
        <w:t>he applicant advised that they do not have evidence to suggest two stage procedures are the minority and their clinical expert reported that he almost exclusively uses two stage procedures.</w:t>
      </w:r>
    </w:p>
    <w:p w14:paraId="2F96E29D" w14:textId="1CC0C336" w:rsidR="00853462" w:rsidRDefault="00BF024F" w:rsidP="00EA16C3">
      <w:pPr>
        <w:rPr>
          <w:i/>
        </w:rPr>
      </w:pPr>
      <w:r w:rsidRPr="005C4EA9">
        <w:t>T</w:t>
      </w:r>
      <w:r w:rsidR="004018E5" w:rsidRPr="005C4EA9">
        <w:t xml:space="preserve">here was </w:t>
      </w:r>
      <w:r w:rsidR="00505B38" w:rsidRPr="005C4EA9">
        <w:t xml:space="preserve">also </w:t>
      </w:r>
      <w:r w:rsidR="004018E5" w:rsidRPr="005C4EA9">
        <w:t xml:space="preserve">some variation </w:t>
      </w:r>
      <w:r w:rsidRPr="005C4EA9">
        <w:t>across the studies regarding</w:t>
      </w:r>
      <w:r w:rsidR="004018E5" w:rsidRPr="005C4EA9">
        <w:t xml:space="preserve"> the type of antibiotics </w:t>
      </w:r>
      <w:r w:rsidRPr="005C4EA9">
        <w:t xml:space="preserve">used with </w:t>
      </w:r>
      <w:r w:rsidR="004018E5" w:rsidRPr="005C4EA9">
        <w:t>DAC</w:t>
      </w:r>
      <w:r w:rsidR="00EA16C3" w:rsidRPr="005C4EA9">
        <w:t>. For example, in Romano et al. (2016) and Malizos et al. (2017),</w:t>
      </w:r>
      <w:r w:rsidR="00853462" w:rsidRPr="005C4EA9">
        <w:t xml:space="preserve"> the randomised studies,</w:t>
      </w:r>
      <w:r w:rsidR="00EA16C3" w:rsidRPr="005C4EA9">
        <w:t xml:space="preserve"> the surgeons could choose the antibiotic from among a list of antibacterials previously tested as being compatible with the hydrogel, including gentamicin, vancomycin, daptomycin, meropenem, rifampicin, and ciprofloxacin</w:t>
      </w:r>
      <w:r w:rsidR="0067309D" w:rsidRPr="005C4EA9">
        <w:t xml:space="preserve"> </w:t>
      </w:r>
      <w:r w:rsidR="0067309D" w:rsidRPr="005C4EA9">
        <w:fldChar w:fldCharType="begin">
          <w:fldData xml:space="preserve">PEVuZE5vdGU+PENpdGU+PEF1dGhvcj5NYWxpem9zPC9BdXRob3I+PFllYXI+MjAxNzwvWWVhcj48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</w:fldData>
        </w:fldChar>
      </w:r>
      <w:r w:rsidR="00FF3113" w:rsidRPr="005C4EA9">
        <w:instrText xml:space="preserve"> ADDIN EN.CITE </w:instrText>
      </w:r>
      <w:r w:rsidR="00FF3113" w:rsidRPr="005C4EA9">
        <w:fldChar w:fldCharType="begin">
          <w:fldData xml:space="preserve">PEVuZE5vdGU+PENpdGU+PEF1dGhvcj5NYWxpem9zPC9BdXRob3I+PFllYXI+MjAxNzwvWWVhcj48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</w:fldData>
        </w:fldChar>
      </w:r>
      <w:r w:rsidR="00FF3113" w:rsidRPr="005C4EA9">
        <w:instrText xml:space="preserve"> ADDIN EN.CITE.DATA </w:instrText>
      </w:r>
      <w:r w:rsidR="00FF3113" w:rsidRPr="005C4EA9">
        <w:fldChar w:fldCharType="end"/>
      </w:r>
      <w:r w:rsidR="0067309D" w:rsidRPr="005C4EA9">
        <w:fldChar w:fldCharType="separate"/>
      </w:r>
      <w:r w:rsidR="00FF3113" w:rsidRPr="005C4EA9">
        <w:rPr>
          <w:noProof/>
        </w:rPr>
        <w:t>[3, 8]</w:t>
      </w:r>
      <w:r w:rsidR="0067309D" w:rsidRPr="005C4EA9">
        <w:fldChar w:fldCharType="end"/>
      </w:r>
      <w:r w:rsidR="00EA16C3" w:rsidRPr="005C4EA9">
        <w:t>. In the case</w:t>
      </w:r>
      <w:r w:rsidR="003A1182" w:rsidRPr="005C4EA9">
        <w:t>-</w:t>
      </w:r>
      <w:r w:rsidR="00EA16C3" w:rsidRPr="005C4EA9">
        <w:t>control study by Capuano et al. (2018), DAC hydrogel was loaded with vancomycin 5% in 14 patients (63.3%) and with a combination of vancomycin 5% and meropenem 5% in 8 patients (27.4%)</w:t>
      </w:r>
      <w:r w:rsidR="00BD4DEA" w:rsidRPr="005C4EA9">
        <w:t xml:space="preserve"> </w:t>
      </w:r>
      <w:r w:rsidR="00BD4DEA" w:rsidRPr="005C4EA9">
        <w:fldChar w:fldCharType="begin"/>
      </w:r>
      <w:r w:rsidR="00683B40" w:rsidRPr="005C4EA9">
        <w:instrText xml:space="preserve"> ADDIN EN.CITE &lt;EndNote&gt;&lt;Cite&gt;&lt;Author&gt;Capuano&lt;/Author&gt;&lt;Year&gt;2018&lt;/Year&gt;&lt;RecNum&gt;36&lt;/RecNum&gt;&lt;DisplayText&gt;[10]&lt;/DisplayText&gt;&lt;record&gt;&lt;rec-number&gt;36&lt;/rec-number&gt;&lt;foreign-keys&gt;&lt;key app="EN" db-id="0x52t0fa5ezaf7e22eopzxaswfsaaaevpfzf" timestamp="1594964417"&gt;36&lt;/key&gt;&lt;/foreign-keys&gt;&lt;ref-type name="Journal Article"&gt;17&lt;/ref-type&gt;&lt;contributors&gt;&lt;authors&gt;&lt;author&gt;Capuano, Nicola&lt;/author&gt;&lt;author&gt;Logoluso, Nicola&lt;/author&gt;&lt;author&gt;Gallazzi, Enrico&lt;/author&gt;&lt;author&gt;Drago, Lorenzo&lt;/author&gt;&lt;author&gt;Romanò, Carlo Luca&lt;/author&gt;&lt;/authors&gt;&lt;/contributors&gt;&lt;titles&gt;&lt;title&gt;One-stage exchange with antibacterial hydrogel coated implants provides similar results to two-stage revision, without the coating, for the treatment of peri-prosthetic infection&lt;/title&gt;&lt;secondary-title&gt;Knee Surgery, Sports Traumatology, Arthroscopy&lt;/secondary-title&gt;&lt;/titles&gt;&lt;periodical&gt;&lt;full-title&gt;Knee Surgery, Sports Traumatology, Arthroscopy&lt;/full-title&gt;&lt;/periodical&gt;&lt;pages&gt;3362-3367&lt;/pages&gt;&lt;volume&gt;26&lt;/volume&gt;&lt;number&gt;11&lt;/number&gt;&lt;dates&gt;&lt;year&gt;2018&lt;/year&gt;&lt;/dates&gt;&lt;isbn&gt;0942-2056&lt;/isbn&gt;&lt;urls&gt;&lt;/urls&gt;&lt;/record&gt;&lt;/Cite&gt;&lt;/EndNote&gt;</w:instrText>
      </w:r>
      <w:r w:rsidR="00BD4DEA" w:rsidRPr="005C4EA9">
        <w:fldChar w:fldCharType="separate"/>
      </w:r>
      <w:r w:rsidR="00683B40" w:rsidRPr="005C4EA9">
        <w:rPr>
          <w:noProof/>
        </w:rPr>
        <w:t>[10]</w:t>
      </w:r>
      <w:r w:rsidR="00BD4DEA" w:rsidRPr="005C4EA9">
        <w:fldChar w:fldCharType="end"/>
      </w:r>
      <w:r w:rsidR="00EA16C3" w:rsidRPr="005C4EA9">
        <w:t xml:space="preserve">. </w:t>
      </w:r>
      <w:r w:rsidR="00C177EE" w:rsidRPr="005C4EA9">
        <w:t>Similarly</w:t>
      </w:r>
      <w:r w:rsidR="00EA16C3" w:rsidRPr="005C4EA9">
        <w:t xml:space="preserve">, </w:t>
      </w:r>
      <w:r w:rsidR="00853462" w:rsidRPr="005C4EA9">
        <w:t>Zagra et al. (2019)</w:t>
      </w:r>
      <w:r w:rsidR="00C177EE" w:rsidRPr="005C4EA9">
        <w:t xml:space="preserve"> included</w:t>
      </w:r>
      <w:r w:rsidR="00853462" w:rsidRPr="005C4EA9">
        <w:t xml:space="preserve"> vancomycin and meropenem </w:t>
      </w:r>
      <w:r w:rsidR="00C177EE" w:rsidRPr="005C4EA9">
        <w:t>as</w:t>
      </w:r>
      <w:r w:rsidR="00853462" w:rsidRPr="005C4EA9">
        <w:t xml:space="preserve"> the antibiotics of choice</w:t>
      </w:r>
      <w:r w:rsidR="003A1182" w:rsidRPr="005C4EA9">
        <w:t>,</w:t>
      </w:r>
      <w:r w:rsidR="00853462" w:rsidRPr="005C4EA9">
        <w:t xml:space="preserve"> although teicoplanin, ceftazidime and rifampicin were also used</w:t>
      </w:r>
      <w:r w:rsidR="00A33E5D" w:rsidRPr="005C4EA9">
        <w:t xml:space="preserve"> </w:t>
      </w:r>
      <w:r w:rsidR="00A33E5D" w:rsidRPr="005C4EA9">
        <w:fldChar w:fldCharType="begin"/>
      </w:r>
      <w:r w:rsidR="00282F28" w:rsidRPr="005C4EA9">
        <w:instrText xml:space="preserve"> ADDIN EN.CITE &lt;EndNote&gt;&lt;Cite&gt;&lt;Author&gt;Zagra&lt;/Author&gt;&lt;Year&gt;2019&lt;/Year&gt;&lt;RecNum&gt;38&lt;/RecNum&gt;&lt;DisplayText&gt;[11]&lt;/DisplayText&gt;&lt;record&gt;&lt;rec-number&gt;38&lt;/rec-number&gt;&lt;foreign-keys&gt;&lt;key app="EN" db-id="0x52t0fa5ezaf7e22eopzxaswfsaaaevpfzf" timestamp="1594964999"&gt;38&lt;/key&gt;&lt;/foreign-keys&gt;&lt;ref-type name="Journal Article"&gt;17&lt;/ref-type&gt;&lt;contributors&gt;&lt;authors&gt;&lt;author&gt;Zagra, Luigi&lt;/author&gt;&lt;author&gt;Gallazzi, Enrico&lt;/author&gt;&lt;author&gt;Romanò, Delia&lt;/author&gt;&lt;author&gt;Scarponi, Sara&lt;/author&gt;&lt;author&gt;Romanò, Carlo&lt;/author&gt;&lt;/authors&gt;&lt;/contributors&gt;&lt;titles&gt;&lt;title&gt;Two-stage cementless hip revision for peri-prosthetic infection with an antibacterial hydrogel coating: results of a comparative series&lt;/title&gt;&lt;secondary-title&gt;International Orthopaedics&lt;/secondary-title&gt;&lt;/titles&gt;&lt;periodical&gt;&lt;full-title&gt;International Orthopaedics&lt;/full-title&gt;&lt;/periodical&gt;&lt;pages&gt;111-115&lt;/pages&gt;&lt;volume&gt;43&lt;/volume&gt;&lt;number&gt;1&lt;/number&gt;&lt;dates&gt;&lt;year&gt;2019&lt;/year&gt;&lt;/dates&gt;&lt;isbn&gt;0341-2695&lt;/isbn&gt;&lt;urls&gt;&lt;/urls&gt;&lt;/record&gt;&lt;/Cite&gt;&lt;/EndNote&gt;</w:instrText>
      </w:r>
      <w:r w:rsidR="00A33E5D" w:rsidRPr="005C4EA9">
        <w:fldChar w:fldCharType="separate"/>
      </w:r>
      <w:r w:rsidR="00282F28" w:rsidRPr="005C4EA9">
        <w:rPr>
          <w:noProof/>
        </w:rPr>
        <w:t>[11]</w:t>
      </w:r>
      <w:r w:rsidR="00A33E5D" w:rsidRPr="005C4EA9">
        <w:fldChar w:fldCharType="end"/>
      </w:r>
      <w:r w:rsidR="00853462" w:rsidRPr="005C4EA9">
        <w:t xml:space="preserve">. </w:t>
      </w:r>
      <w:r w:rsidR="00C177EE" w:rsidRPr="005C4EA9">
        <w:t>In comparison</w:t>
      </w:r>
      <w:r w:rsidR="00853462" w:rsidRPr="005C4EA9">
        <w:t xml:space="preserve">, the </w:t>
      </w:r>
      <w:r w:rsidR="0038000B" w:rsidRPr="005C4EA9">
        <w:t>Application</w:t>
      </w:r>
      <w:r w:rsidR="00853462" w:rsidRPr="005C4EA9">
        <w:t xml:space="preserve"> noted that “… DAC powder may also be reconstituted with an aqueous solution of an appropriate antibiotic …”</w:t>
      </w:r>
      <w:r w:rsidR="00C11981" w:rsidRPr="005C4EA9">
        <w:t xml:space="preserve"> (p2 of the Application)</w:t>
      </w:r>
      <w:r w:rsidR="00853462" w:rsidRPr="005C4EA9">
        <w:t xml:space="preserve">. </w:t>
      </w:r>
      <w:r w:rsidR="00C177EE" w:rsidRPr="005C4EA9">
        <w:t xml:space="preserve">During the preparation of the PICO, the </w:t>
      </w:r>
      <w:r w:rsidR="00CA7897">
        <w:t>a</w:t>
      </w:r>
      <w:r w:rsidR="0038000B" w:rsidRPr="005C4EA9">
        <w:t>pplicant</w:t>
      </w:r>
      <w:r w:rsidR="00C177EE" w:rsidRPr="005C4EA9">
        <w:t xml:space="preserve"> noted that vancomycin, gentamicin and cefazolin</w:t>
      </w:r>
      <w:r w:rsidR="00AE5851" w:rsidRPr="005C4EA9">
        <w:rPr>
          <w:rStyle w:val="FootnoteReference"/>
        </w:rPr>
        <w:footnoteReference w:id="7"/>
      </w:r>
      <w:r w:rsidR="00C177EE" w:rsidRPr="005C4EA9">
        <w:t xml:space="preserve"> were among three of the most used antibiotics in the Australian context. </w:t>
      </w:r>
      <w:r w:rsidRPr="005C4EA9">
        <w:t>T</w:t>
      </w:r>
      <w:r w:rsidR="00C177EE" w:rsidRPr="005C4EA9">
        <w:t xml:space="preserve">he </w:t>
      </w:r>
      <w:r w:rsidR="00CA7897">
        <w:t>a</w:t>
      </w:r>
      <w:r w:rsidR="0038000B" w:rsidRPr="005C4EA9">
        <w:t>pplicant</w:t>
      </w:r>
      <w:r w:rsidR="00C177EE" w:rsidRPr="005C4EA9">
        <w:t xml:space="preserve"> should refine the list of antibiotics that would be more applicable in the Australian context, given that not all antibiotics used in studies above, including daptomycin and meropenem, are PBS-listed</w:t>
      </w:r>
      <w:r w:rsidR="00853462" w:rsidRPr="005C4EA9">
        <w:t xml:space="preserve">. </w:t>
      </w:r>
      <w:r w:rsidR="00A96059" w:rsidRPr="00EC45AA">
        <w:rPr>
          <w:i/>
        </w:rPr>
        <w:t xml:space="preserve">PASC </w:t>
      </w:r>
      <w:r w:rsidR="00AC13D1">
        <w:rPr>
          <w:i/>
        </w:rPr>
        <w:t xml:space="preserve">also </w:t>
      </w:r>
      <w:r w:rsidR="00A96059" w:rsidRPr="00EC45AA">
        <w:rPr>
          <w:i/>
        </w:rPr>
        <w:t>advised that the application should clarify which antibiotics are compatible with DAC.</w:t>
      </w:r>
    </w:p>
    <w:p w14:paraId="10A9F7D4" w14:textId="7DF0CBD8" w:rsidR="00EC106B" w:rsidRPr="005C4EA9" w:rsidRDefault="00EC106B" w:rsidP="00EA16C3">
      <w:r>
        <w:rPr>
          <w:i/>
        </w:rPr>
        <w:t>The applicant advised that vancomycin and gentamicin have been the most commonly used antibiotics in Australia to date. The applicant further noted that teicoplanin, mero</w:t>
      </w:r>
      <w:r w:rsidR="001405AA">
        <w:rPr>
          <w:i/>
        </w:rPr>
        <w:t>p</w:t>
      </w:r>
      <w:r>
        <w:rPr>
          <w:i/>
        </w:rPr>
        <w:t>enem and daptomycin are not applicable in the Australian setting.</w:t>
      </w:r>
    </w:p>
    <w:p w14:paraId="4455AF1E" w14:textId="113D9D73" w:rsidR="00896845" w:rsidRPr="00E364F7" w:rsidRDefault="00896845" w:rsidP="00B04990">
      <w:pPr>
        <w:pStyle w:val="Heading3"/>
      </w:pPr>
      <w:r w:rsidRPr="00E364F7">
        <w:t>Comparator</w:t>
      </w:r>
    </w:p>
    <w:p w14:paraId="0DB036F7" w14:textId="0840E893" w:rsidR="00580740" w:rsidRPr="00152F35" w:rsidRDefault="00994394" w:rsidP="00580740">
      <w:pPr>
        <w:rPr>
          <w:sz w:val="12"/>
          <w:szCs w:val="12"/>
        </w:rPr>
      </w:pPr>
      <w:r w:rsidRPr="005C4EA9">
        <w:t xml:space="preserve">The </w:t>
      </w:r>
      <w:r w:rsidR="00CA7897">
        <w:t>a</w:t>
      </w:r>
      <w:r w:rsidR="0038000B" w:rsidRPr="005C4EA9">
        <w:t>pplicant</w:t>
      </w:r>
      <w:r w:rsidRPr="005C4EA9">
        <w:t xml:space="preserve"> nominated</w:t>
      </w:r>
      <w:r w:rsidR="00A6257B" w:rsidRPr="005C4EA9">
        <w:t xml:space="preserve"> </w:t>
      </w:r>
      <w:r w:rsidR="00824B02" w:rsidRPr="005C4EA9">
        <w:t xml:space="preserve">standard surgery (i.e. </w:t>
      </w:r>
      <w:r w:rsidR="00DD77B0" w:rsidRPr="005C4EA9">
        <w:t xml:space="preserve">TJA </w:t>
      </w:r>
      <w:r w:rsidRPr="005C4EA9">
        <w:t>with</w:t>
      </w:r>
      <w:r w:rsidR="00824B02" w:rsidRPr="005C4EA9">
        <w:t>out</w:t>
      </w:r>
      <w:r w:rsidR="008A2B44" w:rsidRPr="005C4EA9">
        <w:t xml:space="preserve"> </w:t>
      </w:r>
      <w:r w:rsidRPr="005C4EA9">
        <w:t>DAC</w:t>
      </w:r>
      <w:r w:rsidR="00824B02" w:rsidRPr="005C4EA9">
        <w:t>)</w:t>
      </w:r>
      <w:r w:rsidR="00A6257B" w:rsidRPr="005C4EA9">
        <w:t>,</w:t>
      </w:r>
      <w:r w:rsidRPr="005C4EA9">
        <w:t xml:space="preserve"> as the comparator.</w:t>
      </w:r>
      <w:r w:rsidR="00264625" w:rsidRPr="005C4EA9">
        <w:t xml:space="preserve"> Thus, t</w:t>
      </w:r>
      <w:r w:rsidR="007A30EA" w:rsidRPr="005C4EA9">
        <w:t>he us</w:t>
      </w:r>
      <w:r w:rsidR="0059392C" w:rsidRPr="005C4EA9">
        <w:t>e of DAC would be in addition (or adjunct) to</w:t>
      </w:r>
      <w:r w:rsidR="007A30EA" w:rsidRPr="005C4EA9">
        <w:t xml:space="preserve"> standard surgery.</w:t>
      </w:r>
      <w:r w:rsidR="008A2B44" w:rsidRPr="005C4EA9">
        <w:t xml:space="preserve"> </w:t>
      </w:r>
      <w:r w:rsidR="00A21418" w:rsidRPr="005C4EA9">
        <w:t>It was noted that the choice of surgical intervention</w:t>
      </w:r>
      <w:r w:rsidR="00FA494B" w:rsidRPr="005C4EA9">
        <w:t xml:space="preserve"> (including perioperative management)</w:t>
      </w:r>
      <w:r w:rsidR="00A21418" w:rsidRPr="005C4EA9">
        <w:t xml:space="preserve"> will be </w:t>
      </w:r>
      <w:r w:rsidR="00FA494B" w:rsidRPr="005C4EA9">
        <w:t>individualised</w:t>
      </w:r>
      <w:r w:rsidR="00A21418" w:rsidRPr="005C4EA9">
        <w:t xml:space="preserve"> </w:t>
      </w:r>
      <w:r w:rsidR="00FA494B" w:rsidRPr="005C4EA9">
        <w:t>for each patient w</w:t>
      </w:r>
      <w:r w:rsidR="00907D8F" w:rsidRPr="005C4EA9">
        <w:t>ithin the proposed populations.</w:t>
      </w:r>
      <w:r w:rsidR="00580740">
        <w:t xml:space="preserve"> </w:t>
      </w:r>
      <w:r w:rsidR="00580740" w:rsidRPr="00B03F49">
        <w:rPr>
          <w:i/>
        </w:rPr>
        <w:t>PASC accepted the proposed comparator of surgery without DAC.</w:t>
      </w:r>
    </w:p>
    <w:p w14:paraId="14245281" w14:textId="77CBD469" w:rsidR="00D45C12" w:rsidRPr="005C4EA9" w:rsidRDefault="00D45C12" w:rsidP="0067669D">
      <w:r w:rsidRPr="005C4EA9">
        <w:t xml:space="preserve">The application provided a list of 19 surgical items that could be claimed for surgical procedures performed without DAC, within the nominated patient populations (see </w:t>
      </w:r>
      <w:r w:rsidRPr="005C4EA9">
        <w:fldChar w:fldCharType="begin"/>
      </w:r>
      <w:r w:rsidRPr="005C4EA9">
        <w:instrText xml:space="preserve"> REF _Ref45865307 \h </w:instrText>
      </w:r>
      <w:r w:rsidR="005C4EA9" w:rsidRPr="005C4EA9">
        <w:instrText xml:space="preserve"> \* MERGEFORMAT </w:instrText>
      </w:r>
      <w:r w:rsidRPr="005C4EA9">
        <w:fldChar w:fldCharType="separate"/>
      </w:r>
      <w:r w:rsidRPr="005C4EA9">
        <w:t xml:space="preserve">Table </w:t>
      </w:r>
      <w:r w:rsidRPr="005C4EA9">
        <w:rPr>
          <w:noProof/>
        </w:rPr>
        <w:t>1</w:t>
      </w:r>
      <w:r w:rsidRPr="005C4EA9">
        <w:fldChar w:fldCharType="end"/>
      </w:r>
      <w:r w:rsidRPr="005C4EA9">
        <w:t>).</w:t>
      </w:r>
    </w:p>
    <w:p w14:paraId="3630E63E" w14:textId="454A756F" w:rsidR="0067669D" w:rsidRPr="005C4EA9" w:rsidRDefault="00A6257B" w:rsidP="0067669D">
      <w:pPr>
        <w:rPr>
          <w:szCs w:val="20"/>
        </w:rPr>
      </w:pPr>
      <w:r w:rsidRPr="005C4EA9">
        <w:rPr>
          <w:szCs w:val="20"/>
        </w:rPr>
        <w:t>The</w:t>
      </w:r>
      <w:r w:rsidR="00CA7897">
        <w:rPr>
          <w:szCs w:val="20"/>
        </w:rPr>
        <w:t xml:space="preserve"> a</w:t>
      </w:r>
      <w:r w:rsidR="007A30EA" w:rsidRPr="005C4EA9">
        <w:rPr>
          <w:szCs w:val="20"/>
        </w:rPr>
        <w:t>pplicant considered that the</w:t>
      </w:r>
      <w:r w:rsidRPr="005C4EA9">
        <w:rPr>
          <w:szCs w:val="20"/>
        </w:rPr>
        <w:t xml:space="preserve"> use of DAC is likely to reduce periprosthetic </w:t>
      </w:r>
      <w:r w:rsidR="0090411C" w:rsidRPr="005C4EA9">
        <w:rPr>
          <w:szCs w:val="20"/>
        </w:rPr>
        <w:t xml:space="preserve">deep </w:t>
      </w:r>
      <w:r w:rsidRPr="005C4EA9">
        <w:rPr>
          <w:szCs w:val="20"/>
        </w:rPr>
        <w:t>joint SSIs</w:t>
      </w:r>
      <w:r w:rsidR="00665D01" w:rsidRPr="005C4EA9">
        <w:rPr>
          <w:szCs w:val="20"/>
        </w:rPr>
        <w:t>,</w:t>
      </w:r>
      <w:r w:rsidRPr="005C4EA9">
        <w:rPr>
          <w:szCs w:val="20"/>
        </w:rPr>
        <w:t xml:space="preserve"> which </w:t>
      </w:r>
      <w:r w:rsidR="00D55AE7" w:rsidRPr="005C4EA9">
        <w:rPr>
          <w:szCs w:val="20"/>
        </w:rPr>
        <w:t>would result in</w:t>
      </w:r>
      <w:r w:rsidRPr="005C4EA9">
        <w:rPr>
          <w:szCs w:val="20"/>
        </w:rPr>
        <w:t xml:space="preserve"> </w:t>
      </w:r>
      <w:r w:rsidR="00665D01" w:rsidRPr="005C4EA9">
        <w:rPr>
          <w:szCs w:val="20"/>
        </w:rPr>
        <w:t xml:space="preserve">a </w:t>
      </w:r>
      <w:r w:rsidRPr="005C4EA9">
        <w:rPr>
          <w:szCs w:val="20"/>
        </w:rPr>
        <w:t>reduce</w:t>
      </w:r>
      <w:r w:rsidR="00D55AE7" w:rsidRPr="005C4EA9">
        <w:rPr>
          <w:szCs w:val="20"/>
        </w:rPr>
        <w:t>d</w:t>
      </w:r>
      <w:r w:rsidRPr="005C4EA9">
        <w:rPr>
          <w:szCs w:val="20"/>
        </w:rPr>
        <w:t xml:space="preserve"> need for</w:t>
      </w:r>
      <w:r w:rsidR="006845BD" w:rsidRPr="005C4EA9">
        <w:rPr>
          <w:szCs w:val="20"/>
        </w:rPr>
        <w:t xml:space="preserve"> </w:t>
      </w:r>
      <w:r w:rsidR="00FE2575" w:rsidRPr="005C4EA9">
        <w:rPr>
          <w:szCs w:val="20"/>
        </w:rPr>
        <w:t>post-</w:t>
      </w:r>
      <w:r w:rsidR="001252BB" w:rsidRPr="005C4EA9">
        <w:rPr>
          <w:szCs w:val="20"/>
        </w:rPr>
        <w:t xml:space="preserve">infection </w:t>
      </w:r>
      <w:r w:rsidR="00FE2575" w:rsidRPr="005C4EA9">
        <w:rPr>
          <w:szCs w:val="20"/>
        </w:rPr>
        <w:t>management procedures</w:t>
      </w:r>
      <w:r w:rsidR="00E16849" w:rsidRPr="005C4EA9">
        <w:rPr>
          <w:szCs w:val="20"/>
        </w:rPr>
        <w:t>, including the treatment of acute and chronic infections</w:t>
      </w:r>
      <w:r w:rsidR="00D55AE7" w:rsidRPr="005C4EA9">
        <w:rPr>
          <w:szCs w:val="20"/>
        </w:rPr>
        <w:t>. This will have implications in the</w:t>
      </w:r>
      <w:r w:rsidRPr="005C4EA9">
        <w:rPr>
          <w:szCs w:val="20"/>
        </w:rPr>
        <w:t xml:space="preserve"> current management procedures and resources required to manage periprosthetic</w:t>
      </w:r>
      <w:r w:rsidR="0090411C" w:rsidRPr="005C4EA9">
        <w:rPr>
          <w:szCs w:val="20"/>
        </w:rPr>
        <w:t xml:space="preserve"> deep</w:t>
      </w:r>
      <w:r w:rsidRPr="005C4EA9">
        <w:rPr>
          <w:szCs w:val="20"/>
        </w:rPr>
        <w:t xml:space="preserve"> joint SSIs.</w:t>
      </w:r>
    </w:p>
    <w:p w14:paraId="77B0BD84" w14:textId="556738B4" w:rsidR="00896845" w:rsidRPr="005C4EA9" w:rsidRDefault="002B3338" w:rsidP="00FE60D6">
      <w:pPr>
        <w:pStyle w:val="Heading4"/>
        <w:rPr>
          <w:i w:val="0"/>
        </w:rPr>
      </w:pPr>
      <w:r w:rsidRPr="005C4EA9">
        <w:rPr>
          <w:i w:val="0"/>
        </w:rPr>
        <w:t>Rationale</w:t>
      </w:r>
    </w:p>
    <w:p w14:paraId="409E2778" w14:textId="03D21437" w:rsidR="008F325A" w:rsidRPr="005C4EA9" w:rsidRDefault="00BD4097" w:rsidP="00AB1AEE">
      <w:r w:rsidRPr="005C4EA9">
        <w:t>B</w:t>
      </w:r>
      <w:r w:rsidR="00AB1AEE" w:rsidRPr="005C4EA9">
        <w:t>oth randomised studies (Romano et al. (2016) and Malizos et al. (2017))</w:t>
      </w:r>
      <w:r w:rsidR="00FB6B11" w:rsidRPr="005C4EA9">
        <w:t xml:space="preserve"> as well as case control studies (Capuano et al. (2018) and Zagra et al. (2019))</w:t>
      </w:r>
      <w:r w:rsidR="00AB1AEE" w:rsidRPr="005C4EA9">
        <w:t xml:space="preserve"> included ‘surgery </w:t>
      </w:r>
      <w:r w:rsidR="002370BF" w:rsidRPr="005C4EA9">
        <w:t>without</w:t>
      </w:r>
      <w:r w:rsidR="00AB1AEE" w:rsidRPr="005C4EA9">
        <w:t xml:space="preserve"> DAC’ as the comparator</w:t>
      </w:r>
      <w:r w:rsidR="0067309D" w:rsidRPr="005C4EA9">
        <w:t xml:space="preserve"> </w:t>
      </w:r>
      <w:r w:rsidR="0067309D" w:rsidRPr="005C4EA9">
        <w:fldChar w:fldCharType="begin">
          <w:fldData xml:space="preserve">PEVuZE5vdGU+PENpdGU+PEF1dGhvcj5DYXB1YW5vPC9BdXRob3I+PFllYXI+MjAxODwvWWVhcj48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</w:fldData>
        </w:fldChar>
      </w:r>
      <w:r w:rsidR="00282F28" w:rsidRPr="005C4EA9">
        <w:instrText xml:space="preserve"> ADDIN EN.CITE </w:instrText>
      </w:r>
      <w:r w:rsidR="00282F28" w:rsidRPr="005C4EA9">
        <w:fldChar w:fldCharType="begin">
          <w:fldData xml:space="preserve">PEVuZE5vdGU+PENpdGU+PEF1dGhvcj5DYXB1YW5vPC9BdXRob3I+PFllYXI+MjAxODwvWWVhcj48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</w:fldData>
        </w:fldChar>
      </w:r>
      <w:r w:rsidR="00282F28" w:rsidRPr="005C4EA9">
        <w:instrText xml:space="preserve"> ADDIN EN.CITE.DATA </w:instrText>
      </w:r>
      <w:r w:rsidR="00282F28" w:rsidRPr="005C4EA9">
        <w:fldChar w:fldCharType="end"/>
      </w:r>
      <w:r w:rsidR="0067309D" w:rsidRPr="005C4EA9">
        <w:fldChar w:fldCharType="separate"/>
      </w:r>
      <w:r w:rsidR="00282F28" w:rsidRPr="005C4EA9">
        <w:rPr>
          <w:noProof/>
        </w:rPr>
        <w:t>[3, 8, 10, 11]</w:t>
      </w:r>
      <w:r w:rsidR="0067309D" w:rsidRPr="005C4EA9">
        <w:fldChar w:fldCharType="end"/>
      </w:r>
      <w:r w:rsidR="00FB6B11" w:rsidRPr="005C4EA9">
        <w:t>.</w:t>
      </w:r>
      <w:r w:rsidRPr="005C4EA9">
        <w:t xml:space="preserve"> Thus, the comparator considered in these studies </w:t>
      </w:r>
      <w:r w:rsidR="008F325A" w:rsidRPr="005C4EA9">
        <w:t>was</w:t>
      </w:r>
      <w:r w:rsidRPr="005C4EA9">
        <w:t xml:space="preserve"> consistent with the one </w:t>
      </w:r>
      <w:r w:rsidR="008F325A" w:rsidRPr="005C4EA9">
        <w:t xml:space="preserve">suggested </w:t>
      </w:r>
      <w:r w:rsidRPr="005C4EA9">
        <w:t>in the Application.</w:t>
      </w:r>
    </w:p>
    <w:p w14:paraId="1B29BFD7" w14:textId="16C350CA" w:rsidR="00AB1AEE" w:rsidRPr="005C4EA9" w:rsidRDefault="008F325A" w:rsidP="00AB1AEE">
      <w:r w:rsidRPr="005C4EA9">
        <w:t>T</w:t>
      </w:r>
      <w:r w:rsidR="00FB6B11" w:rsidRPr="005C4EA9">
        <w:t xml:space="preserve">he economic evaluation by Trentinaglia et al. (2018) compared </w:t>
      </w:r>
      <w:r w:rsidR="00665D01" w:rsidRPr="005C4EA9">
        <w:t xml:space="preserve">the </w:t>
      </w:r>
      <w:r w:rsidR="00FB6B11" w:rsidRPr="005C4EA9">
        <w:t>cost-effectiveness of three antibacterial technologies applied to joint arthroplasty: [(COPAL gentamicin(G) + clindamycin(C)], DAC, and a silver coating (Agluna)</w:t>
      </w:r>
      <w:r w:rsidR="00A33E5D" w:rsidRPr="005C4EA9">
        <w:t xml:space="preserve">] </w:t>
      </w:r>
      <w:r w:rsidR="00A33E5D" w:rsidRPr="005C4EA9">
        <w:fldChar w:fldCharType="begin"/>
      </w:r>
      <w:r w:rsidR="00FF3113" w:rsidRPr="005C4EA9">
        <w:instrText xml:space="preserve"> ADDIN EN.CITE &lt;EndNote&gt;&lt;Cite&gt;&lt;Author&gt;Trentinaglia&lt;/Author&gt;&lt;Year&gt;2018&lt;/Year&gt;&lt;RecNum&gt;20&lt;/RecNum&gt;&lt;DisplayText&gt;[36]&lt;/DisplayText&gt;&lt;record&gt;&lt;rec-number&gt;20&lt;/rec-number&gt;&lt;foreign-keys&gt;&lt;key app="EN" db-id="0x52t0fa5ezaf7e22eopzxaswfsaaaevpfzf" timestamp="1593577197"&gt;20&lt;/key&gt;&lt;/foreign-keys&gt;&lt;ref-type name="Journal Article"&gt;17&lt;/ref-type&gt;&lt;contributors&gt;&lt;authors&gt;&lt;author&gt;Trentinaglia, Maria Teresa&lt;/author&gt;&lt;author&gt;Van Der Straeten, Catherine&lt;/author&gt;&lt;author&gt;Morelli, Ilaria&lt;/author&gt;&lt;author&gt;Logoluso, Nicola&lt;/author&gt;&lt;author&gt;Drago, Lorenzo&lt;/author&gt;&lt;author&gt;Romanò, Carlo L&lt;/author&gt;&lt;/authors&gt;&lt;/contributors&gt;&lt;titles&gt;&lt;title&gt;Economic evaluation of antibacterial coatings on healthcare costs in first year following total joint arthroplasty&lt;/title&gt;&lt;secondary-title&gt;The Journal of arthroplasty&lt;/secondary-title&gt;&lt;/titles&gt;&lt;periodical&gt;&lt;full-title&gt;The Journal of arthroplasty&lt;/full-title&gt;&lt;/periodical&gt;&lt;pages&gt;1656-1662&lt;/pages&gt;&lt;volume&gt;33&lt;/volume&gt;&lt;number&gt;6&lt;/number&gt;&lt;dates&gt;&lt;year&gt;2018&lt;/year&gt;&lt;/dates&gt;&lt;isbn&gt;0883-5403&lt;/isbn&gt;&lt;urls&gt;&lt;/urls&gt;&lt;/record&gt;&lt;/Cite&gt;&lt;/EndNote&gt;</w:instrText>
      </w:r>
      <w:r w:rsidR="00A33E5D" w:rsidRPr="005C4EA9">
        <w:fldChar w:fldCharType="separate"/>
      </w:r>
      <w:r w:rsidR="00FF3113" w:rsidRPr="005C4EA9">
        <w:rPr>
          <w:noProof/>
        </w:rPr>
        <w:t>[36]</w:t>
      </w:r>
      <w:r w:rsidR="00A33E5D" w:rsidRPr="005C4EA9">
        <w:fldChar w:fldCharType="end"/>
      </w:r>
      <w:r w:rsidR="00FB6B11" w:rsidRPr="005C4EA9">
        <w:t xml:space="preserve">. </w:t>
      </w:r>
      <w:r w:rsidR="009D2DED" w:rsidRPr="005C4EA9">
        <w:t xml:space="preserve">Only COPAL G + C has been registered </w:t>
      </w:r>
      <w:r w:rsidR="005F51D8" w:rsidRPr="005C4EA9">
        <w:t>by</w:t>
      </w:r>
      <w:r w:rsidR="009D2DED" w:rsidRPr="005C4EA9">
        <w:t xml:space="preserve"> the TGA</w:t>
      </w:r>
      <w:r w:rsidR="005F51D8" w:rsidRPr="005C4EA9">
        <w:t xml:space="preserve">. </w:t>
      </w:r>
      <w:r w:rsidR="00FB6B11" w:rsidRPr="005C4EA9">
        <w:t xml:space="preserve">Agluna </w:t>
      </w:r>
      <w:r w:rsidR="005F51D8" w:rsidRPr="005C4EA9">
        <w:t xml:space="preserve">has </w:t>
      </w:r>
      <w:r w:rsidR="00FB6B11" w:rsidRPr="005C4EA9">
        <w:t>not</w:t>
      </w:r>
      <w:r w:rsidR="0063291B" w:rsidRPr="005C4EA9">
        <w:t xml:space="preserve"> yet</w:t>
      </w:r>
      <w:r w:rsidR="00FB6B11" w:rsidRPr="005C4EA9">
        <w:t xml:space="preserve"> been considered in the Australian context</w:t>
      </w:r>
      <w:r w:rsidR="005F51D8" w:rsidRPr="005C4EA9">
        <w:t xml:space="preserve"> as it is not yet TGA registered nor included on</w:t>
      </w:r>
      <w:r w:rsidR="00B96601" w:rsidRPr="005C4EA9">
        <w:t xml:space="preserve"> the</w:t>
      </w:r>
      <w:r w:rsidR="007A7951" w:rsidRPr="005C4EA9">
        <w:t xml:space="preserve"> Prostheses L</w:t>
      </w:r>
      <w:r w:rsidR="005F51D8" w:rsidRPr="005C4EA9">
        <w:t>ist</w:t>
      </w:r>
      <w:r w:rsidR="00FB6B11" w:rsidRPr="005C4EA9">
        <w:t>.</w:t>
      </w:r>
    </w:p>
    <w:p w14:paraId="47AC0490" w14:textId="603566AA" w:rsidR="00F31388" w:rsidRDefault="00896845" w:rsidP="001F5EA9">
      <w:pPr>
        <w:pStyle w:val="Heading3"/>
      </w:pPr>
      <w:r w:rsidRPr="00E364F7">
        <w:t>Outcomes</w:t>
      </w:r>
    </w:p>
    <w:p w14:paraId="42A3E7C9" w14:textId="585EB10A" w:rsidR="00344276" w:rsidRPr="005C4EA9" w:rsidRDefault="00344276" w:rsidP="00344276">
      <w:r w:rsidRPr="005C4EA9">
        <w:t xml:space="preserve">The </w:t>
      </w:r>
      <w:r w:rsidR="00CA7897">
        <w:t>a</w:t>
      </w:r>
      <w:r w:rsidR="0038000B" w:rsidRPr="005C4EA9">
        <w:t>pplicant</w:t>
      </w:r>
      <w:r w:rsidRPr="005C4EA9">
        <w:t xml:space="preserve"> nominated outcomes related to safety and clinical effectiveness only</w:t>
      </w:r>
      <w:r w:rsidR="00C22837" w:rsidRPr="005C4EA9">
        <w:t xml:space="preserve"> (p18 of the Application)</w:t>
      </w:r>
      <w:r w:rsidRPr="005C4EA9">
        <w:t xml:space="preserve">. However, the list of outcomes could be expanded to include a range of outcomes associated with </w:t>
      </w:r>
      <w:r w:rsidR="00C22837" w:rsidRPr="005C4EA9">
        <w:t xml:space="preserve">the use of DAC to prevent periprosthetic </w:t>
      </w:r>
      <w:r w:rsidR="0090411C" w:rsidRPr="005C4EA9">
        <w:t>deep</w:t>
      </w:r>
      <w:r w:rsidR="00C22837" w:rsidRPr="005C4EA9">
        <w:t xml:space="preserve"> </w:t>
      </w:r>
      <w:r w:rsidR="0090411C" w:rsidRPr="005C4EA9">
        <w:t>SSI</w:t>
      </w:r>
      <w:r w:rsidR="00907D8F" w:rsidRPr="005C4EA9">
        <w:t>.</w:t>
      </w:r>
      <w:r w:rsidR="00580740">
        <w:t xml:space="preserve"> </w:t>
      </w:r>
      <w:r w:rsidR="00580740" w:rsidRPr="00B03F49">
        <w:rPr>
          <w:i/>
        </w:rPr>
        <w:t>PASC accepted the proposed outcomes.</w:t>
      </w:r>
    </w:p>
    <w:p w14:paraId="100C1485" w14:textId="77777777" w:rsidR="002A66BD" w:rsidRPr="005C4EA9" w:rsidRDefault="002A66BD" w:rsidP="00FE60D6">
      <w:pPr>
        <w:pStyle w:val="Heading4"/>
        <w:rPr>
          <w:i w:val="0"/>
        </w:rPr>
      </w:pPr>
      <w:r w:rsidRPr="005C4EA9">
        <w:rPr>
          <w:i w:val="0"/>
        </w:rPr>
        <w:t>Patient relevant</w:t>
      </w:r>
    </w:p>
    <w:p w14:paraId="10948105" w14:textId="1694B7A4" w:rsidR="00344276" w:rsidRPr="005C4EA9" w:rsidRDefault="007832C8" w:rsidP="001252BB">
      <w:r w:rsidRPr="005C4EA9">
        <w:t>Safety outcomes</w:t>
      </w:r>
    </w:p>
    <w:p w14:paraId="55A9A4B6" w14:textId="0DAC64BB" w:rsidR="00344276" w:rsidRPr="005C4EA9" w:rsidRDefault="00344276" w:rsidP="00FE2575">
      <w:pPr>
        <w:rPr>
          <w:u w:val="dotted"/>
        </w:rPr>
      </w:pPr>
      <w:r w:rsidRPr="005C4EA9">
        <w:t xml:space="preserve">The </w:t>
      </w:r>
      <w:r w:rsidR="0038000B" w:rsidRPr="005C4EA9">
        <w:t>Applicat</w:t>
      </w:r>
      <w:r w:rsidR="00A17F0B" w:rsidRPr="005C4EA9">
        <w:t>ion</w:t>
      </w:r>
      <w:r w:rsidRPr="005C4EA9">
        <w:t xml:space="preserve"> </w:t>
      </w:r>
      <w:r w:rsidR="00A17F0B" w:rsidRPr="005C4EA9">
        <w:t xml:space="preserve">suggested </w:t>
      </w:r>
      <w:r w:rsidRPr="005C4EA9">
        <w:t>that the safety outcomes with DAC are due to the abolition of, or reduction in, the risk of SSI and the sequelae associated with the post-infection management procedures necessary</w:t>
      </w:r>
      <w:r w:rsidR="00877ED6" w:rsidRPr="005C4EA9">
        <w:t xml:space="preserve"> (p18 of the </w:t>
      </w:r>
      <w:r w:rsidR="003A1182" w:rsidRPr="005C4EA9">
        <w:t>A</w:t>
      </w:r>
      <w:r w:rsidR="00877ED6" w:rsidRPr="005C4EA9">
        <w:t>pplication)</w:t>
      </w:r>
      <w:r w:rsidRPr="005C4EA9">
        <w:t>.</w:t>
      </w:r>
      <w:r w:rsidR="00A17F0B" w:rsidRPr="005C4EA9">
        <w:t xml:space="preserve"> However, these are most appropriately classified as clinical effectiveness outcomes.</w:t>
      </w:r>
      <w:r w:rsidR="002C018C" w:rsidRPr="005C4EA9">
        <w:t xml:space="preserve"> </w:t>
      </w:r>
      <w:r w:rsidRPr="005C4EA9">
        <w:t xml:space="preserve">The </w:t>
      </w:r>
      <w:r w:rsidR="00CA7897">
        <w:t>a</w:t>
      </w:r>
      <w:r w:rsidR="0038000B" w:rsidRPr="005C4EA9">
        <w:t>pplicant</w:t>
      </w:r>
      <w:r w:rsidRPr="005C4EA9">
        <w:t xml:space="preserve"> did not list any particular safety outcomes.</w:t>
      </w:r>
      <w:r w:rsidR="00DD4E12" w:rsidRPr="005C4EA9">
        <w:t xml:space="preserve"> During the preparation of the PICO, the </w:t>
      </w:r>
      <w:r w:rsidR="00CA7897">
        <w:t>a</w:t>
      </w:r>
      <w:r w:rsidR="0038000B" w:rsidRPr="005C4EA9">
        <w:t>pplicant</w:t>
      </w:r>
      <w:r w:rsidR="00DD4E12" w:rsidRPr="005C4EA9">
        <w:t xml:space="preserve"> indicated that no apparent DAC-related safety outcomes were observed in practice</w:t>
      </w:r>
      <w:r w:rsidR="00877ED6" w:rsidRPr="005C4EA9">
        <w:t xml:space="preserve"> t</w:t>
      </w:r>
      <w:r w:rsidR="00A17F0B" w:rsidRPr="005C4EA9">
        <w:t>o</w:t>
      </w:r>
      <w:r w:rsidR="00877ED6" w:rsidRPr="005C4EA9">
        <w:t xml:space="preserve"> date</w:t>
      </w:r>
      <w:r w:rsidR="00DD4E12" w:rsidRPr="005C4EA9">
        <w:t>.</w:t>
      </w:r>
      <w:r w:rsidRPr="005C4EA9">
        <w:t xml:space="preserve"> </w:t>
      </w:r>
      <w:r w:rsidR="00877ED6" w:rsidRPr="005C4EA9">
        <w:t>However, t</w:t>
      </w:r>
      <w:r w:rsidRPr="005C4EA9">
        <w:t>he following safety outcomes could be</w:t>
      </w:r>
      <w:r w:rsidR="00A17F0B" w:rsidRPr="005C4EA9">
        <w:t xml:space="preserve"> considered</w:t>
      </w:r>
      <w:r w:rsidRPr="005C4EA9">
        <w:t>:</w:t>
      </w:r>
    </w:p>
    <w:p w14:paraId="2C265D7B" w14:textId="600A850F" w:rsidR="00344276" w:rsidRPr="005C4EA9" w:rsidRDefault="00344276" w:rsidP="00FE2575">
      <w:pPr>
        <w:pStyle w:val="ListParagraph"/>
        <w:numPr>
          <w:ilvl w:val="0"/>
          <w:numId w:val="17"/>
        </w:numPr>
      </w:pPr>
      <w:r w:rsidRPr="005C4EA9">
        <w:t>Adverse events</w:t>
      </w:r>
      <w:r w:rsidR="008A2B44" w:rsidRPr="005C4EA9">
        <w:t xml:space="preserve"> </w:t>
      </w:r>
      <w:r w:rsidRPr="005C4EA9">
        <w:t>attributed to DAC</w:t>
      </w:r>
    </w:p>
    <w:p w14:paraId="56DD0828" w14:textId="17D68A84" w:rsidR="00344276" w:rsidRPr="005C4EA9" w:rsidRDefault="00344276" w:rsidP="00FE2575">
      <w:pPr>
        <w:pStyle w:val="ListParagraph"/>
        <w:numPr>
          <w:ilvl w:val="0"/>
          <w:numId w:val="17"/>
        </w:numPr>
      </w:pPr>
      <w:r w:rsidRPr="005C4EA9">
        <w:t>Procedural complications</w:t>
      </w:r>
      <w:r w:rsidR="00A21483" w:rsidRPr="005C4EA9">
        <w:t xml:space="preserve"> related </w:t>
      </w:r>
      <w:r w:rsidR="003A1182" w:rsidRPr="005C4EA9">
        <w:t>to</w:t>
      </w:r>
      <w:r w:rsidR="001A6061" w:rsidRPr="005C4EA9">
        <w:t xml:space="preserve"> the</w:t>
      </w:r>
      <w:r w:rsidR="008A2B44" w:rsidRPr="005C4EA9">
        <w:t xml:space="preserve"> </w:t>
      </w:r>
      <w:r w:rsidR="001A6061" w:rsidRPr="005C4EA9">
        <w:t xml:space="preserve">application of </w:t>
      </w:r>
      <w:r w:rsidR="00A21483" w:rsidRPr="005C4EA9">
        <w:t xml:space="preserve">DAC hydrogel </w:t>
      </w:r>
      <w:r w:rsidR="001A6061" w:rsidRPr="005C4EA9">
        <w:t>during surgery</w:t>
      </w:r>
    </w:p>
    <w:p w14:paraId="37AFB61D" w14:textId="77777777" w:rsidR="006D0FC7" w:rsidRPr="005C4EA9" w:rsidRDefault="006A36B8" w:rsidP="00FE2575">
      <w:pPr>
        <w:pStyle w:val="ListParagraph"/>
        <w:numPr>
          <w:ilvl w:val="0"/>
          <w:numId w:val="19"/>
        </w:numPr>
      </w:pPr>
      <w:r w:rsidRPr="005C4EA9">
        <w:t>Post-operative complications</w:t>
      </w:r>
      <w:r w:rsidR="008A2B44" w:rsidRPr="005C4EA9">
        <w:t xml:space="preserve"> </w:t>
      </w:r>
      <w:r w:rsidRPr="005C4EA9">
        <w:t>(e.g. amputation)</w:t>
      </w:r>
    </w:p>
    <w:p w14:paraId="1A284BF0" w14:textId="1BB98854" w:rsidR="00E105EA" w:rsidRPr="005C4EA9" w:rsidRDefault="00E105EA" w:rsidP="00FE2575">
      <w:pPr>
        <w:pStyle w:val="ListParagraph"/>
        <w:numPr>
          <w:ilvl w:val="0"/>
          <w:numId w:val="19"/>
        </w:numPr>
      </w:pPr>
      <w:r w:rsidRPr="005C4EA9">
        <w:t>Incidence of SSI</w:t>
      </w:r>
    </w:p>
    <w:p w14:paraId="2376F2C9" w14:textId="1E4AB2A1" w:rsidR="00E105EA" w:rsidRPr="005C4EA9" w:rsidRDefault="00E105EA" w:rsidP="00FE2575">
      <w:pPr>
        <w:pStyle w:val="ListParagraph"/>
        <w:numPr>
          <w:ilvl w:val="0"/>
          <w:numId w:val="19"/>
        </w:numPr>
      </w:pPr>
      <w:r w:rsidRPr="005C4EA9">
        <w:t>Recurrence of SSI</w:t>
      </w:r>
    </w:p>
    <w:p w14:paraId="2C669341" w14:textId="77777777" w:rsidR="00E105EA" w:rsidRPr="005C4EA9" w:rsidRDefault="00E105EA" w:rsidP="00FE2575">
      <w:pPr>
        <w:pStyle w:val="ListParagraph"/>
        <w:numPr>
          <w:ilvl w:val="0"/>
          <w:numId w:val="19"/>
        </w:numPr>
      </w:pPr>
      <w:r w:rsidRPr="005C4EA9">
        <w:t>Incidence of mortality due to SSI and all causes</w:t>
      </w:r>
    </w:p>
    <w:p w14:paraId="5722A232" w14:textId="77777777" w:rsidR="00E105EA" w:rsidRPr="005C4EA9" w:rsidRDefault="00E105EA" w:rsidP="00FE2575">
      <w:pPr>
        <w:pStyle w:val="ListParagraph"/>
        <w:numPr>
          <w:ilvl w:val="0"/>
          <w:numId w:val="19"/>
        </w:numPr>
      </w:pPr>
      <w:r w:rsidRPr="005C4EA9">
        <w:t>Incidence of bacteraemia, septicaemia and septic shock</w:t>
      </w:r>
    </w:p>
    <w:p w14:paraId="46C161F7" w14:textId="2E713D1B" w:rsidR="00E105EA" w:rsidRPr="005C4EA9" w:rsidRDefault="00E105EA" w:rsidP="00FE2575">
      <w:pPr>
        <w:pStyle w:val="ListParagraph"/>
        <w:numPr>
          <w:ilvl w:val="0"/>
          <w:numId w:val="19"/>
        </w:numPr>
      </w:pPr>
      <w:r w:rsidRPr="005C4EA9">
        <w:t>Incidence of early and late post</w:t>
      </w:r>
      <w:r w:rsidR="007A7951" w:rsidRPr="005C4EA9">
        <w:t>-o</w:t>
      </w:r>
      <w:r w:rsidRPr="005C4EA9">
        <w:t>perative infection-related morbidity</w:t>
      </w:r>
    </w:p>
    <w:p w14:paraId="4B589457" w14:textId="5B4EAE64" w:rsidR="00E105EA" w:rsidRPr="005C4EA9" w:rsidRDefault="000965EC" w:rsidP="00FE2575">
      <w:pPr>
        <w:pStyle w:val="ListParagraph"/>
        <w:numPr>
          <w:ilvl w:val="0"/>
          <w:numId w:val="19"/>
        </w:numPr>
      </w:pPr>
      <w:r w:rsidRPr="005C4EA9">
        <w:t>Wound healing</w:t>
      </w:r>
      <w:r w:rsidRPr="005C4EA9">
        <w:rPr>
          <w:rStyle w:val="FootnoteReference"/>
        </w:rPr>
        <w:footnoteReference w:id="8"/>
      </w:r>
      <w:r w:rsidRPr="005C4EA9">
        <w:t>; Clinical scores</w:t>
      </w:r>
      <w:r w:rsidRPr="005C4EA9">
        <w:rPr>
          <w:rStyle w:val="FootnoteReference"/>
        </w:rPr>
        <w:footnoteReference w:id="9"/>
      </w:r>
    </w:p>
    <w:p w14:paraId="32A2C6BF" w14:textId="77777777" w:rsidR="00E105EA" w:rsidRPr="005C4EA9" w:rsidRDefault="00E105EA" w:rsidP="00FE2575">
      <w:pPr>
        <w:pStyle w:val="ListParagraph"/>
        <w:numPr>
          <w:ilvl w:val="0"/>
          <w:numId w:val="19"/>
        </w:numPr>
      </w:pPr>
      <w:r w:rsidRPr="005C4EA9">
        <w:t>Implant revision or permanent removal</w:t>
      </w:r>
    </w:p>
    <w:p w14:paraId="3A4037FF" w14:textId="1BC4B28F" w:rsidR="007A7951" w:rsidRPr="005C4EA9" w:rsidRDefault="00E105EA" w:rsidP="007A7951">
      <w:pPr>
        <w:pStyle w:val="ListParagraph"/>
        <w:numPr>
          <w:ilvl w:val="0"/>
          <w:numId w:val="19"/>
        </w:numPr>
      </w:pPr>
      <w:r w:rsidRPr="005C4EA9">
        <w:t>Long-term antibiotic administration (potentially requires a central line)</w:t>
      </w:r>
      <w:r w:rsidR="008F7F10">
        <w:t>.</w:t>
      </w:r>
    </w:p>
    <w:p w14:paraId="25501897" w14:textId="016C79CD" w:rsidR="00215FBC" w:rsidRDefault="00215FBC" w:rsidP="00FE2575">
      <w:r w:rsidRPr="006423E3">
        <w:rPr>
          <w:i/>
        </w:rPr>
        <w:t>PASC agreed with the applicant who did not consider that the incidence of drug resistance or multidrug-resistance should be an outcome in the application, because this is often the result of prolonged use, whereas DAC provides a high, short-lived minimum inhibitory concentration.</w:t>
      </w:r>
    </w:p>
    <w:p w14:paraId="1F1DCF9F" w14:textId="39FC7638" w:rsidR="00A21483" w:rsidRPr="005C4EA9" w:rsidRDefault="00A21483" w:rsidP="00FE2575">
      <w:r w:rsidRPr="005C4EA9">
        <w:t xml:space="preserve">In addition to </w:t>
      </w:r>
      <w:r w:rsidR="00A371F4" w:rsidRPr="005C4EA9">
        <w:t xml:space="preserve">clinical </w:t>
      </w:r>
      <w:r w:rsidRPr="005C4EA9">
        <w:t>outcomes, the following imaging</w:t>
      </w:r>
      <w:r w:rsidR="008A2B44" w:rsidRPr="005C4EA9">
        <w:t xml:space="preserve"> </w:t>
      </w:r>
      <w:r w:rsidRPr="005C4EA9">
        <w:t>outcome</w:t>
      </w:r>
      <w:r w:rsidR="00BC35D8" w:rsidRPr="005C4EA9">
        <w:t>s assessed on radiographic examination</w:t>
      </w:r>
      <w:r w:rsidR="00520CEC" w:rsidRPr="005C4EA9">
        <w:t xml:space="preserve"> in pivotal RCT by (Romano et al. </w:t>
      </w:r>
      <w:r w:rsidR="00FF3113" w:rsidRPr="005C4EA9">
        <w:t>(</w:t>
      </w:r>
      <w:r w:rsidR="00520CEC" w:rsidRPr="005C4EA9">
        <w:t>2016)</w:t>
      </w:r>
      <w:r w:rsidR="00FF3113" w:rsidRPr="005C4EA9">
        <w:t>)</w:t>
      </w:r>
      <w:r w:rsidRPr="005C4EA9">
        <w:t xml:space="preserve"> could </w:t>
      </w:r>
      <w:r w:rsidR="00520CEC" w:rsidRPr="005C4EA9">
        <w:t xml:space="preserve">also </w:t>
      </w:r>
      <w:r w:rsidRPr="005C4EA9">
        <w:t>be required to understand the full benefit of the intervention</w:t>
      </w:r>
      <w:r w:rsidR="00237031" w:rsidRPr="005C4EA9">
        <w:t xml:space="preserve"> </w:t>
      </w:r>
      <w:r w:rsidR="00237031" w:rsidRPr="005C4EA9">
        <w:fldChar w:fldCharType="begin"/>
      </w:r>
      <w:r w:rsidR="00EE30CD" w:rsidRPr="005C4EA9">
        <w:instrText xml:space="preserve"> ADDIN EN.CITE &lt;EndNote&gt;&lt;Cite&gt;&lt;Author&gt;Romanò&lt;/Author&gt;&lt;Year&gt;2016&lt;/Year&gt;&lt;RecNum&gt;34&lt;/RecNum&gt;&lt;DisplayText&gt;[3]&lt;/DisplayText&gt;&lt;record&gt;&lt;rec-number&gt;34&lt;/rec-number&gt;&lt;foreign-keys&gt;&lt;key app="EN" db-id="0x52t0fa5ezaf7e22eopzxaswfsaaaevpfzf" timestamp="1594962473"&gt;34&lt;/key&gt;&lt;/foreign-keys&gt;&lt;ref-type name="Journal Article"&gt;17&lt;/ref-type&gt;&lt;contributors&gt;&lt;authors&gt;&lt;author&gt;Romanò, Carlo Luca&lt;/author&gt;&lt;author&gt;Malizos, Kostantinos&lt;/author&gt;&lt;author&gt;Capuano, Nicola&lt;/author&gt;&lt;author&gt;Mezzoprete, Riccardo&lt;/author&gt;&lt;author&gt;D&amp;apos;Arienzo, Michele&lt;/author&gt;&lt;author&gt;Van Der Straeten, Catherine&lt;/author&gt;&lt;author&gt;Scarponi, Sara&lt;/author&gt;&lt;author&gt;Drago, Lorenzo&lt;/author&gt;&lt;/authors&gt;&lt;/contributors&gt;&lt;titles&gt;&lt;title&gt;Does an antibiotic-loaded hydrogel coating reduce early post-surgical infection after joint arthroplasty?&lt;/title&gt;&lt;secondary-title&gt;Journal of bone and joint infection&lt;/secondary-title&gt;&lt;/titles&gt;&lt;periodical&gt;&lt;full-title&gt;Journal of bone and joint infection&lt;/full-title&gt;&lt;/periodical&gt;&lt;pages&gt;34&lt;/pages&gt;&lt;volume&gt;1&lt;/volume&gt;&lt;dates&gt;&lt;year&gt;2016&lt;/year&gt;&lt;/dates&gt;&lt;urls&gt;&lt;/urls&gt;&lt;/record&gt;&lt;/Cite&gt;&lt;/EndNote&gt;</w:instrText>
      </w:r>
      <w:r w:rsidR="00237031" w:rsidRPr="005C4EA9">
        <w:fldChar w:fldCharType="separate"/>
      </w:r>
      <w:r w:rsidR="00EE30CD" w:rsidRPr="005C4EA9">
        <w:rPr>
          <w:noProof/>
        </w:rPr>
        <w:t>[3]</w:t>
      </w:r>
      <w:r w:rsidR="00237031" w:rsidRPr="005C4EA9">
        <w:fldChar w:fldCharType="end"/>
      </w:r>
      <w:r w:rsidR="00A30D89" w:rsidRPr="005C4EA9">
        <w:t>:</w:t>
      </w:r>
    </w:p>
    <w:p w14:paraId="44D38803" w14:textId="06033F50" w:rsidR="00344276" w:rsidRPr="005C4EA9" w:rsidRDefault="00344276" w:rsidP="00F835F6">
      <w:pPr>
        <w:pStyle w:val="ListParagraph"/>
        <w:numPr>
          <w:ilvl w:val="0"/>
          <w:numId w:val="20"/>
        </w:numPr>
      </w:pPr>
      <w:r w:rsidRPr="005C4EA9">
        <w:t>Osteolysis</w:t>
      </w:r>
      <w:r w:rsidR="00261182" w:rsidRPr="005C4EA9">
        <w:rPr>
          <w:rStyle w:val="FootnoteReference"/>
        </w:rPr>
        <w:footnoteReference w:id="10"/>
      </w:r>
      <w:r w:rsidRPr="005C4EA9">
        <w:t xml:space="preserve"> or progressive (&gt;2mm) radiolucent lines around the implant</w:t>
      </w:r>
      <w:r w:rsidR="00F835F6" w:rsidRPr="005C4EA9">
        <w:t xml:space="preserve"> (as a rule of thumb, periprosthetic lucencies &gt;2 mm and/or progressive lucencies signal abnormality) </w:t>
      </w:r>
      <w:r w:rsidR="00F835F6" w:rsidRPr="005C4EA9">
        <w:fldChar w:fldCharType="begin"/>
      </w:r>
      <w:r w:rsidR="00FF3113" w:rsidRPr="005C4EA9">
        <w:instrText xml:space="preserve"> ADDIN EN.CITE &lt;EndNote&gt;&lt;Cite&gt;&lt;Author&gt;Vanrusselt&lt;/Author&gt;&lt;Year&gt;2015&lt;/Year&gt;&lt;RecNum&gt;35&lt;/RecNum&gt;&lt;DisplayText&gt;[37]&lt;/DisplayText&gt;&lt;record&gt;&lt;rec-number&gt;35&lt;/rec-number&gt;&lt;foreign-keys&gt;&lt;key app="EN" db-id="0x52t0fa5ezaf7e22eopzxaswfsaaaevpfzf" timestamp="1594963503"&gt;35&lt;/key&gt;&lt;/foreign-keys&gt;&lt;ref-type name="Journal Article"&gt;17&lt;/ref-type&gt;&lt;contributors&gt;&lt;authors&gt;&lt;author&gt;Vanrusselt, Jan&lt;/author&gt;&lt;author&gt;Vansevenant, Milan&lt;/author&gt;&lt;author&gt;Vanderschueren, Geert&lt;/author&gt;&lt;author&gt;Vanhoenacker, Filip&lt;/author&gt;&lt;/authors&gt;&lt;/contributors&gt;&lt;titles&gt;&lt;title&gt;Postoperative radiograph of the hip arthroplasty: what the radiologist should know&lt;/title&gt;&lt;secondary-title&gt;Insights into imaging&lt;/secondary-title&gt;&lt;/titles&gt;&lt;periodical&gt;&lt;full-title&gt;Insights into imaging&lt;/full-title&gt;&lt;/periodical&gt;&lt;pages&gt;591-600&lt;/pages&gt;&lt;volume&gt;6&lt;/volume&gt;&lt;number&gt;6&lt;/number&gt;&lt;dates&gt;&lt;year&gt;2015&lt;/year&gt;&lt;/dates&gt;&lt;isbn&gt;1869-4101&lt;/isbn&gt;&lt;urls&gt;&lt;/urls&gt;&lt;/record&gt;&lt;/Cite&gt;&lt;/EndNote&gt;</w:instrText>
      </w:r>
      <w:r w:rsidR="00F835F6" w:rsidRPr="005C4EA9">
        <w:fldChar w:fldCharType="separate"/>
      </w:r>
      <w:r w:rsidR="00FF3113" w:rsidRPr="005C4EA9">
        <w:rPr>
          <w:noProof/>
        </w:rPr>
        <w:t>[37]</w:t>
      </w:r>
      <w:r w:rsidR="00F835F6" w:rsidRPr="005C4EA9">
        <w:fldChar w:fldCharType="end"/>
      </w:r>
    </w:p>
    <w:p w14:paraId="0215A4F9" w14:textId="67F978F0" w:rsidR="00344276" w:rsidRPr="005C4EA9" w:rsidRDefault="00344276" w:rsidP="00FE2575">
      <w:pPr>
        <w:pStyle w:val="ListParagraph"/>
        <w:numPr>
          <w:ilvl w:val="0"/>
          <w:numId w:val="20"/>
        </w:numPr>
      </w:pPr>
      <w:r w:rsidRPr="005C4EA9">
        <w:t>Implant loosening or subsidence</w:t>
      </w:r>
      <w:r w:rsidR="008F7F10">
        <w:t>.</w:t>
      </w:r>
    </w:p>
    <w:p w14:paraId="1B426CF6" w14:textId="09FE8B6F" w:rsidR="00520CEC" w:rsidRPr="005C4EA9" w:rsidRDefault="00520CEC" w:rsidP="00237031">
      <w:r w:rsidRPr="005C4EA9">
        <w:t>However, noting the potential limitations associated with whether imaging outcomes are valid surrogate outcomes for assessing patient-relevant outcomes.</w:t>
      </w:r>
      <w:r w:rsidR="007E3743">
        <w:t xml:space="preserve"> </w:t>
      </w:r>
      <w:r w:rsidR="007E3743" w:rsidRPr="007E3743">
        <w:rPr>
          <w:i/>
        </w:rPr>
        <w:t>PASC noted that although imaging may identify potential infection during the acute period, over time similar radiographic changes can also been seen due to aseptic loosening.</w:t>
      </w:r>
    </w:p>
    <w:p w14:paraId="56014219" w14:textId="77777777" w:rsidR="003E0382" w:rsidRPr="005C4EA9" w:rsidRDefault="002A66BD" w:rsidP="00FE60D6">
      <w:pPr>
        <w:pStyle w:val="Heading4"/>
        <w:rPr>
          <w:i w:val="0"/>
        </w:rPr>
      </w:pPr>
      <w:r w:rsidRPr="005C4EA9">
        <w:rPr>
          <w:i w:val="0"/>
        </w:rPr>
        <w:t>Health</w:t>
      </w:r>
      <w:r w:rsidR="00752491" w:rsidRPr="005C4EA9">
        <w:rPr>
          <w:i w:val="0"/>
        </w:rPr>
        <w:t>care</w:t>
      </w:r>
      <w:r w:rsidRPr="005C4EA9">
        <w:rPr>
          <w:i w:val="0"/>
        </w:rPr>
        <w:t xml:space="preserve"> system</w:t>
      </w:r>
    </w:p>
    <w:p w14:paraId="70F06CBF" w14:textId="13AD4A63" w:rsidR="004972FF" w:rsidRPr="005C4EA9" w:rsidRDefault="004972FF" w:rsidP="00FE2575">
      <w:r w:rsidRPr="005C4EA9">
        <w:t xml:space="preserve">Healthcare system-related outcomes have not explicitly been discussed in the </w:t>
      </w:r>
      <w:r w:rsidR="0038000B" w:rsidRPr="005C4EA9">
        <w:t>Application</w:t>
      </w:r>
      <w:r w:rsidRPr="005C4EA9">
        <w:t>. However, the introduction of a new intervention will certainly have an impact on the Australian healthcare system and should, therefore, be investigated.</w:t>
      </w:r>
      <w:r w:rsidR="00D05A14" w:rsidRPr="005C4EA9">
        <w:t xml:space="preserve"> </w:t>
      </w:r>
      <w:r w:rsidRPr="005C4EA9">
        <w:t>T</w:t>
      </w:r>
      <w:r w:rsidR="0073730D" w:rsidRPr="005C4EA9">
        <w:t>hus, t</w:t>
      </w:r>
      <w:r w:rsidRPr="005C4EA9">
        <w:t xml:space="preserve">he following financial outcomes should be included: </w:t>
      </w:r>
      <w:r w:rsidR="0073730D" w:rsidRPr="005C4EA9">
        <w:t>c</w:t>
      </w:r>
      <w:r w:rsidRPr="005C4EA9">
        <w:t>ost of treatmen</w:t>
      </w:r>
      <w:r w:rsidR="0073730D" w:rsidRPr="005C4EA9">
        <w:t xml:space="preserve">t, </w:t>
      </w:r>
      <w:r w:rsidRPr="005C4EA9">
        <w:t>cost of treating adverse events</w:t>
      </w:r>
      <w:r w:rsidR="0073730D" w:rsidRPr="005C4EA9">
        <w:t>, costs of revision surgery and extended antibiotic courses</w:t>
      </w:r>
      <w:r w:rsidRPr="005C4EA9">
        <w:t>.</w:t>
      </w:r>
      <w:r w:rsidR="00E05244" w:rsidRPr="005C4EA9">
        <w:t xml:space="preserve"> Additionally, total cost of MBS due to hospital treatment of complications of infections and total cost of Australian Government budget should also be incorporated.</w:t>
      </w:r>
    </w:p>
    <w:p w14:paraId="18A982FB" w14:textId="5456F7C3" w:rsidR="002B3338" w:rsidRPr="005C4EA9" w:rsidRDefault="002B3338" w:rsidP="00FE60D6">
      <w:pPr>
        <w:pStyle w:val="Heading4"/>
        <w:rPr>
          <w:i w:val="0"/>
        </w:rPr>
      </w:pPr>
      <w:r w:rsidRPr="005C4EA9">
        <w:rPr>
          <w:i w:val="0"/>
        </w:rPr>
        <w:t>Rationale</w:t>
      </w:r>
    </w:p>
    <w:p w14:paraId="7D9AB98B" w14:textId="5C70BE44" w:rsidR="005675DF" w:rsidRPr="005C4EA9" w:rsidRDefault="005675DF" w:rsidP="00FE2575">
      <w:r w:rsidRPr="005C4EA9">
        <w:t>Health-related quality of life should be included as an outcome but ha</w:t>
      </w:r>
      <w:r w:rsidR="007B760C" w:rsidRPr="005C4EA9">
        <w:t>s</w:t>
      </w:r>
      <w:r w:rsidRPr="005C4EA9">
        <w:t xml:space="preserve"> not explicitly been discussed in the </w:t>
      </w:r>
      <w:r w:rsidR="0038000B" w:rsidRPr="005C4EA9">
        <w:t>Application</w:t>
      </w:r>
      <w:r w:rsidRPr="005C4EA9">
        <w:t xml:space="preserve">. Quality of life measures </w:t>
      </w:r>
      <w:r w:rsidR="00E05244" w:rsidRPr="005C4EA9">
        <w:t>could include</w:t>
      </w:r>
      <w:r w:rsidR="00581184" w:rsidRPr="005C4EA9">
        <w:t xml:space="preserve"> standardised tools such as</w:t>
      </w:r>
      <w:r w:rsidR="00E05244" w:rsidRPr="005C4EA9">
        <w:t xml:space="preserve"> EuroQoL-</w:t>
      </w:r>
      <w:r w:rsidRPr="005C4EA9">
        <w:t>5 dimension (EQ-5D) o</w:t>
      </w:r>
      <w:r w:rsidR="007B760C" w:rsidRPr="005C4EA9">
        <w:t>r</w:t>
      </w:r>
      <w:r w:rsidRPr="005C4EA9">
        <w:t xml:space="preserve"> </w:t>
      </w:r>
      <w:r w:rsidR="003A1182" w:rsidRPr="005C4EA9">
        <w:t>Short F</w:t>
      </w:r>
      <w:r w:rsidR="00907D8F" w:rsidRPr="005C4EA9">
        <w:t>orm-36 (SF-36).</w:t>
      </w:r>
    </w:p>
    <w:p w14:paraId="5CC600AA" w14:textId="36A37DAB" w:rsidR="005675DF" w:rsidRPr="005C4EA9" w:rsidRDefault="005675DF" w:rsidP="00FE2575">
      <w:r w:rsidRPr="005C4EA9">
        <w:t xml:space="preserve">The inclusion of health-related quality of life outcomes </w:t>
      </w:r>
      <w:r w:rsidR="007B760C" w:rsidRPr="005C4EA9">
        <w:t>w</w:t>
      </w:r>
      <w:r w:rsidRPr="005C4EA9">
        <w:t>ould aid in conducting cost-effectiveness analyses of DAC.</w:t>
      </w:r>
      <w:r w:rsidR="00D05A14" w:rsidRPr="005C4EA9">
        <w:t xml:space="preserve"> Among the studies provided by the Applicant, Malizos et al. (2017) and Capuano et al. (2018) measured health-related quality of life using the SF-12 questionnaire</w:t>
      </w:r>
      <w:r w:rsidR="00BD4DEA" w:rsidRPr="005C4EA9">
        <w:t xml:space="preserve"> </w:t>
      </w:r>
      <w:r w:rsidR="00BD4DEA" w:rsidRPr="005C4EA9">
        <w:fldChar w:fldCharType="begin">
          <w:fldData xml:space="preserve">PEVuZE5vdGU+PENpdGU+PEF1dGhvcj5DYXB1YW5vPC9BdXRob3I+PFllYXI+MjAxODwvWWVhcj48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</w:fldData>
        </w:fldChar>
      </w:r>
      <w:r w:rsidR="00683B40" w:rsidRPr="005C4EA9">
        <w:instrText xml:space="preserve"> ADDIN EN.CITE </w:instrText>
      </w:r>
      <w:r w:rsidR="00683B40" w:rsidRPr="005C4EA9">
        <w:fldChar w:fldCharType="begin">
          <w:fldData xml:space="preserve">PEVuZE5vdGU+PENpdGU+PEF1dGhvcj5DYXB1YW5vPC9BdXRob3I+PFllYXI+MjAxODwvWWVhcj48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</w:fldData>
        </w:fldChar>
      </w:r>
      <w:r w:rsidR="00683B40" w:rsidRPr="005C4EA9">
        <w:instrText xml:space="preserve"> ADDIN EN.CITE.DATA </w:instrText>
      </w:r>
      <w:r w:rsidR="00683B40" w:rsidRPr="005C4EA9">
        <w:fldChar w:fldCharType="end"/>
      </w:r>
      <w:r w:rsidR="00BD4DEA" w:rsidRPr="005C4EA9">
        <w:fldChar w:fldCharType="separate"/>
      </w:r>
      <w:r w:rsidR="00683B40" w:rsidRPr="005C4EA9">
        <w:rPr>
          <w:noProof/>
        </w:rPr>
        <w:t>[8, 10]</w:t>
      </w:r>
      <w:r w:rsidR="00BD4DEA" w:rsidRPr="005C4EA9">
        <w:fldChar w:fldCharType="end"/>
      </w:r>
      <w:r w:rsidR="00D05A14" w:rsidRPr="005C4EA9">
        <w:t>.</w:t>
      </w:r>
      <w:r w:rsidR="00FC0819" w:rsidRPr="005C4EA9">
        <w:t xml:space="preserve"> SF-12 can be mapped to EQ-5D, which can be used to provide estimations of quality‐adjusted life years (QALY) gained </w:t>
      </w:r>
      <w:r w:rsidR="0061165D" w:rsidRPr="005C4EA9">
        <w:fldChar w:fldCharType="begin"/>
      </w:r>
      <w:r w:rsidR="00FF3113" w:rsidRPr="005C4EA9">
        <w:instrText xml:space="preserve"> ADDIN EN.CITE &lt;EndNote&gt;&lt;Cite&gt;&lt;Author&gt;Le&lt;/Author&gt;&lt;Year&gt;2014&lt;/Year&gt;&lt;RecNum&gt;22&lt;/RecNum&gt;&lt;DisplayText&gt;[38]&lt;/DisplayText&gt;&lt;record&gt;&lt;rec-number&gt;22&lt;/rec-number&gt;&lt;foreign-keys&gt;&lt;key app="EN" db-id="0x52t0fa5ezaf7e22eopzxaswfsaaaevpfzf" timestamp="1594259317"&gt;22&lt;/key&gt;&lt;/foreign-keys&gt;&lt;ref-type name="Journal Article"&gt;17&lt;/ref-type&gt;&lt;contributors&gt;&lt;authors&gt;&lt;author&gt;Le, Quang A&lt;/author&gt;&lt;/authors&gt;&lt;/contributors&gt;&lt;titles&gt;&lt;title&gt;Probabilistic mapping of the health status measure SF-12 onto the health utility measure EQ-5D using the US-population-based scoring models&lt;/title&gt;&lt;secondary-title&gt;Quality of Life Research&lt;/secondary-title&gt;&lt;/titles&gt;&lt;periodical&gt;&lt;full-title&gt;Quality of Life Research&lt;/full-title&gt;&lt;/periodical&gt;&lt;pages&gt;459-466&lt;/pages&gt;&lt;volume&gt;23&lt;/volume&gt;&lt;number&gt;2&lt;/number&gt;&lt;dates&gt;&lt;year&gt;2014&lt;/year&gt;&lt;/dates&gt;&lt;isbn&gt;0962-9343&lt;/isbn&gt;&lt;urls&gt;&lt;/urls&gt;&lt;/record&gt;&lt;/Cite&gt;&lt;/EndNote&gt;</w:instrText>
      </w:r>
      <w:r w:rsidR="0061165D" w:rsidRPr="005C4EA9">
        <w:fldChar w:fldCharType="separate"/>
      </w:r>
      <w:r w:rsidR="00FF3113" w:rsidRPr="005C4EA9">
        <w:rPr>
          <w:noProof/>
        </w:rPr>
        <w:t>[38]</w:t>
      </w:r>
      <w:r w:rsidR="0061165D" w:rsidRPr="005C4EA9">
        <w:fldChar w:fldCharType="end"/>
      </w:r>
      <w:r w:rsidR="00FC0819" w:rsidRPr="005C4EA9">
        <w:t>.</w:t>
      </w:r>
      <w:r w:rsidRPr="005C4EA9">
        <w:t xml:space="preserve"> Cost-effectiveness could be expressed in terms of the following: Cost per life-year gained, cost per </w:t>
      </w:r>
      <w:r w:rsidR="0061165D" w:rsidRPr="005C4EA9">
        <w:t xml:space="preserve">QALY </w:t>
      </w:r>
      <w:r w:rsidRPr="005C4EA9">
        <w:t>gained, incremental cost-effectiveness ratio (ICER).</w:t>
      </w:r>
    </w:p>
    <w:p w14:paraId="3527DAD9" w14:textId="00A1DAFB" w:rsidR="001D1434" w:rsidRDefault="001D1434" w:rsidP="001D1434">
      <w:pPr>
        <w:pStyle w:val="Heading2"/>
        <w:spacing w:line="240" w:lineRule="auto"/>
        <w:jc w:val="both"/>
        <w:rPr>
          <w:i w:val="0"/>
          <w:color w:val="548DD4"/>
        </w:rPr>
      </w:pPr>
      <w:bookmarkStart w:id="5" w:name="_Hlk43212805"/>
      <w:r w:rsidRPr="005C4EA9">
        <w:rPr>
          <w:i w:val="0"/>
          <w:color w:val="548DD4"/>
        </w:rPr>
        <w:t>Current and proposed clinical management algorithms</w:t>
      </w:r>
    </w:p>
    <w:p w14:paraId="5C5A8402" w14:textId="0F7D1F3E" w:rsidR="007E3743" w:rsidRPr="007E3743" w:rsidRDefault="007E3743" w:rsidP="007E3743">
      <w:pPr>
        <w:rPr>
          <w:i/>
        </w:rPr>
      </w:pPr>
      <w:r w:rsidRPr="007E3743">
        <w:rPr>
          <w:i/>
        </w:rPr>
        <w:t>PASC advise</w:t>
      </w:r>
      <w:r w:rsidR="00477E37">
        <w:rPr>
          <w:i/>
        </w:rPr>
        <w:t>d that further clinical input was</w:t>
      </w:r>
      <w:r w:rsidRPr="007E3743">
        <w:rPr>
          <w:i/>
        </w:rPr>
        <w:t xml:space="preserve"> required to refine the clinical management algorithms. PASC noted this would be performed by the Department and verified with the applicant and assessment group post PASC.</w:t>
      </w:r>
      <w:r w:rsidR="009A6309">
        <w:rPr>
          <w:i/>
        </w:rPr>
        <w:t xml:space="preserve"> Figure 1 and 2  below were updated post-PASC accordingly.</w:t>
      </w:r>
    </w:p>
    <w:bookmarkEnd w:id="5"/>
    <w:p w14:paraId="7828EA27" w14:textId="079E06F9" w:rsidR="00D43FB8" w:rsidRPr="005C4EA9" w:rsidRDefault="00F26217" w:rsidP="00FF5FCC">
      <w:r>
        <w:t>Post-</w:t>
      </w:r>
      <w:r w:rsidR="00313C72">
        <w:t>PASC, the applicant provided current</w:t>
      </w:r>
      <w:r w:rsidR="007401FC">
        <w:t xml:space="preserve"> (without DAC)</w:t>
      </w:r>
      <w:r w:rsidR="00313C72">
        <w:t xml:space="preserve"> and proposed</w:t>
      </w:r>
      <w:r w:rsidR="007401FC">
        <w:t xml:space="preserve"> (with DAC)</w:t>
      </w:r>
      <w:r w:rsidR="00313C72">
        <w:t xml:space="preserve"> management algorithms for each proposed population. For population</w:t>
      </w:r>
      <w:r w:rsidR="00AD082F">
        <w:t xml:space="preserve"> </w:t>
      </w:r>
      <w:r w:rsidR="00313C72">
        <w:t xml:space="preserve">1 (Figure 1) and population 2 (Figure 2) the management </w:t>
      </w:r>
      <w:r w:rsidR="00AD082F">
        <w:t>pathways</w:t>
      </w:r>
      <w:r w:rsidR="00313C72">
        <w:t xml:space="preserve"> </w:t>
      </w:r>
      <w:r w:rsidR="007401FC">
        <w:t>are</w:t>
      </w:r>
      <w:r w:rsidR="00313C72">
        <w:t xml:space="preserve"> the same; for population 3 (Figure 3) the management </w:t>
      </w:r>
      <w:r w:rsidR="00AD082F">
        <w:t>pathways</w:t>
      </w:r>
      <w:r w:rsidR="00313C72">
        <w:t xml:space="preserve"> </w:t>
      </w:r>
      <w:r w:rsidR="007401FC">
        <w:t>are</w:t>
      </w:r>
      <w:r w:rsidR="00313C72">
        <w:t xml:space="preserve"> largely the same as for populations</w:t>
      </w:r>
      <w:r w:rsidR="00AD082F">
        <w:t xml:space="preserve"> </w:t>
      </w:r>
      <w:r w:rsidR="00313C72">
        <w:t>1-2, with the exception that no infection would not be an option following surgery with</w:t>
      </w:r>
      <w:r w:rsidR="007401FC">
        <w:t>out</w:t>
      </w:r>
      <w:r w:rsidR="00313C72">
        <w:t>/with DAC</w:t>
      </w:r>
      <w:r w:rsidR="007401FC">
        <w:t xml:space="preserve">, </w:t>
      </w:r>
      <w:r w:rsidR="00313C72">
        <w:t xml:space="preserve">given the population was those with </w:t>
      </w:r>
      <w:r w:rsidR="00AD082F">
        <w:t xml:space="preserve">pre-existing </w:t>
      </w:r>
      <w:r w:rsidR="00313C72">
        <w:t>infection</w:t>
      </w:r>
      <w:r w:rsidR="00AD082F">
        <w:t>; and for Population 4 (Figure 4) the management pathways were more unique.</w:t>
      </w:r>
    </w:p>
    <w:p w14:paraId="30E0A6FB" w14:textId="424464A4" w:rsidR="00F26217" w:rsidRDefault="00D43FB8" w:rsidP="00FF5FCC">
      <w:r>
        <w:t xml:space="preserve">The Application noted that the current clinical management of joint infection is prophylaxis through the use of systemic antibiotics (p15 of the Application). </w:t>
      </w:r>
      <w:r w:rsidR="00AD082F">
        <w:t>For each population, t</w:t>
      </w:r>
      <w:r>
        <w:t>he flowchart begins with patients undergo</w:t>
      </w:r>
      <w:r w:rsidR="0058795A">
        <w:t>ing</w:t>
      </w:r>
      <w:r>
        <w:t xml:space="preserve"> </w:t>
      </w:r>
      <w:r w:rsidR="0058795A">
        <w:t>surgery without or with DAC (green box or yellow box)</w:t>
      </w:r>
      <w:r w:rsidR="00F26217">
        <w:t xml:space="preserve">. </w:t>
      </w:r>
      <w:r w:rsidR="00B30885">
        <w:t xml:space="preserve">Following surgery without or </w:t>
      </w:r>
      <w:r w:rsidR="0058795A">
        <w:t xml:space="preserve">with DAC, </w:t>
      </w:r>
      <w:r>
        <w:t>post-surgery deep SSI may occur which could be either acute or chronic</w:t>
      </w:r>
      <w:r w:rsidR="0058795A">
        <w:t>, or no infecti</w:t>
      </w:r>
      <w:r w:rsidR="00F26217">
        <w:t>on could be present (not an option for population 3 with pre-existing infection).</w:t>
      </w:r>
      <w:r w:rsidR="00650EF4">
        <w:t xml:space="preserve"> </w:t>
      </w:r>
      <w:r w:rsidR="007E3743" w:rsidRPr="007E3743">
        <w:rPr>
          <w:i/>
        </w:rPr>
        <w:t>PASC noted the applicant’s comment</w:t>
      </w:r>
      <w:r w:rsidR="00F26217">
        <w:rPr>
          <w:i/>
        </w:rPr>
        <w:t xml:space="preserve"> on the draft pre-PASC PICO</w:t>
      </w:r>
      <w:r w:rsidR="007E3743" w:rsidRPr="007E3743">
        <w:rPr>
          <w:i/>
        </w:rPr>
        <w:t xml:space="preserve"> that in the algorithm for patients without pre-existing infection, that ‘no infection’ should be included as an outcome after surgery.</w:t>
      </w:r>
    </w:p>
    <w:p w14:paraId="1BF9A6C2" w14:textId="31F407A0" w:rsidR="00067558" w:rsidRDefault="00F26217" w:rsidP="00FF5FCC">
      <w:r>
        <w:t>For populations 1-3, a</w:t>
      </w:r>
      <w:r w:rsidR="00D43FB8">
        <w:t>cute infection</w:t>
      </w:r>
      <w:r w:rsidR="00D43FB8" w:rsidRPr="00904B5D">
        <w:t xml:space="preserve"> can be bacteraemi</w:t>
      </w:r>
      <w:r w:rsidR="00D43FB8">
        <w:t>a, septicaemia or septic shock. Acute infection can be treated using a debridement and systemic antibiotics with implant retention of fixed components and replacement of exchangeable components (DAIR). DAIR patients receive post-operative antibiotics “for a number of days” (p17 of the Application). Unsuccessful DAIR patients (i.e. persistent post-op infection) or chronic infections could be treated</w:t>
      </w:r>
      <w:r w:rsidR="00B30885">
        <w:t xml:space="preserve"> with </w:t>
      </w:r>
      <w:r w:rsidR="00B30885" w:rsidRPr="00646A8C">
        <w:t>antibiotic suppression</w:t>
      </w:r>
      <w:r w:rsidR="00646A8C">
        <w:t xml:space="preserve"> therapy (e.g. if unsuitable to undergo a revision surgery due to high surgical risk)</w:t>
      </w:r>
      <w:r w:rsidR="00B30885">
        <w:t xml:space="preserve"> or</w:t>
      </w:r>
      <w:r w:rsidR="00D43FB8">
        <w:t xml:space="preserve"> with either a two-stage</w:t>
      </w:r>
      <w:r w:rsidR="00B30885">
        <w:t xml:space="preserve"> or one-stage revision (without or with DAC)</w:t>
      </w:r>
      <w:r w:rsidR="00D43FB8">
        <w:t>.</w:t>
      </w:r>
    </w:p>
    <w:p w14:paraId="38D49129" w14:textId="7AF248EE" w:rsidR="007401FC" w:rsidRDefault="00067558" w:rsidP="00067558">
      <w:r>
        <w:t xml:space="preserve">As per the algorithms, </w:t>
      </w:r>
      <w:r w:rsidRPr="0058795A">
        <w:t xml:space="preserve">DAC </w:t>
      </w:r>
      <w:r>
        <w:t>can</w:t>
      </w:r>
      <w:r w:rsidRPr="0058795A">
        <w:t xml:space="preserve"> be used more than once over time (e.g. for revisions</w:t>
      </w:r>
      <w:r w:rsidR="007401FC">
        <w:t xml:space="preserve"> after failure of surgery with DAC</w:t>
      </w:r>
      <w:r>
        <w:t xml:space="preserve">). </w:t>
      </w:r>
      <w:r w:rsidR="007401FC">
        <w:t>A two-stage revision involves the removal of all infected tissue, washouts utilising antibacterial agents, followed by the reimplantation of an antibiotic-loaded cement spacer device. These procedures are accompanied by six weeks of systemic antibiotics (i.e. post-operative management) until infection markers are acceptable to re-enter the joint and implant a new medical device (p17 of the Application).</w:t>
      </w:r>
      <w:r w:rsidR="00650EF4">
        <w:t xml:space="preserve"> </w:t>
      </w:r>
      <w:r w:rsidR="007401FC">
        <w:t xml:space="preserve">If two-stage revision fails this could lead to further 2-stage revision; if further 2-stage revision fails this could lead to additional surgery, including amputation. </w:t>
      </w:r>
      <w:r>
        <w:t>A one-stage revision involves the removal of all components, debridement, pulse lavage and antibacterial washes with systemic antibiotic loading before implantation. Given that the process could lead to the removal of the infected devices, the use of new devices will be required. If one-stage revision fails, this could lead to two-stage revision.</w:t>
      </w:r>
    </w:p>
    <w:p w14:paraId="377ADAA7" w14:textId="70BF4DEA" w:rsidR="00067558" w:rsidRPr="005C4EA9" w:rsidRDefault="007401FC" w:rsidP="00067558">
      <w:r>
        <w:t xml:space="preserve">The treatment algorithms also incorporates health outcomes including </w:t>
      </w:r>
      <w:r w:rsidRPr="005C4EA9">
        <w:t>possible morbidity and death at different stages of treatment.</w:t>
      </w:r>
    </w:p>
    <w:p w14:paraId="57A5CB7E" w14:textId="346CB0D3" w:rsidR="00B30885" w:rsidRDefault="00067558" w:rsidP="00FF5FCC">
      <w:r w:rsidRPr="005C4EA9">
        <w:t xml:space="preserve">The definitions of “failure” after one-stage and two-stage revisions are not clear. The </w:t>
      </w:r>
      <w:r w:rsidR="00CA7897">
        <w:t>a</w:t>
      </w:r>
      <w:r w:rsidRPr="005C4EA9">
        <w:t>pplicant should also refine the list and dosing of systemic antibiotics used to treat deep SSIs in the Australian context.</w:t>
      </w:r>
    </w:p>
    <w:p w14:paraId="1C2DBA4A" w14:textId="3A77630D" w:rsidR="009E3496" w:rsidRDefault="00B30885" w:rsidP="00FF5FCC">
      <w:r>
        <w:t xml:space="preserve">For population 4, </w:t>
      </w:r>
      <w:r w:rsidR="00067558">
        <w:t>if the fracture is healed the metal work is removed and antibiotics are given; if the fracture does not heal antibiotic suppression</w:t>
      </w:r>
      <w:r w:rsidR="00646A8C">
        <w:t xml:space="preserve"> therapy</w:t>
      </w:r>
      <w:r w:rsidR="00067558">
        <w:t xml:space="preserve"> might be required which if successful will result in the removal of the metal work and antibiotics are given; if antibiotic suppression</w:t>
      </w:r>
      <w:r w:rsidR="00646A8C">
        <w:t xml:space="preserve"> therapy</w:t>
      </w:r>
      <w:r w:rsidR="00067558">
        <w:t xml:space="preserve"> is unsuccessful than a 2-stage procedure might be done involving debridement removal of metal, possible external fixation, possible antibiotics spacer and intravenous antibiotics.</w:t>
      </w:r>
      <w:r w:rsidR="00650EF4">
        <w:t xml:space="preserve"> </w:t>
      </w:r>
      <w:r w:rsidR="00067558">
        <w:t>If the infection is successfully treated following 2-stage procedure, the fracture may heal resulting in no further treatment or may not heal and result in repeat ORIF and bone graft with or without DAC. Amputation is performed if there is unsuccessful treatment or recurrent infection</w:t>
      </w:r>
      <w:r w:rsidR="00DE0CF0">
        <w:t xml:space="preserve"> following 2-stage procedure</w:t>
      </w:r>
      <w:r w:rsidR="00067558">
        <w:t>.</w:t>
      </w:r>
    </w:p>
    <w:p w14:paraId="10B85053" w14:textId="77777777" w:rsidR="009E3496" w:rsidRPr="005C4EA9" w:rsidRDefault="009E3496" w:rsidP="009E3496">
      <w:r w:rsidRPr="005C4EA9">
        <w:t>Proportions related to acute and chronic infections will need to be quantified for the economic evaluation, given that chronic infections could lead to additional costs and deterioration in patient health-related quality of life. Similarly, proportions of patients moving from one-stage revision to further one-stage revision or two-stage revision and from two-stage to further surgery, including amputations need to be estimated for the economic analysis.</w:t>
      </w:r>
    </w:p>
    <w:p w14:paraId="09EE37C1" w14:textId="77777777" w:rsidR="009E3496" w:rsidRPr="005C4EA9" w:rsidRDefault="009E3496" w:rsidP="009E3496">
      <w:r w:rsidRPr="005C4EA9">
        <w:t>For the full assessment, potential downstream services that are currently required during the management of both acute and chronic deep SSIs should be considered, as they could be associated with high costs.</w:t>
      </w:r>
    </w:p>
    <w:p w14:paraId="77FCCB11" w14:textId="77777777" w:rsidR="009E3496" w:rsidRDefault="009E3496" w:rsidP="00FF5FCC">
      <w:r>
        <w:t>The Application stated that the use of DAC “will abolish, or very least reduce, the need for current management procedures and resources required to manage surgical site infection” (p17 of the Application). Thus, the only difference between the current and the proposed clinical management algorithm would be surgery with DAC (green or yellow boxes) in the algorithms. The Application claimed that the proportion of patients with deep SSIs after surgery with DAC will be very low, given the ability of DAC to prevent infections. It also indicated that patients would receive post-operative treatment of infections using systemic antibiotics (usual care) if patients develop deep SSI.</w:t>
      </w:r>
    </w:p>
    <w:p w14:paraId="4F0895FB" w14:textId="513B1F39" w:rsidR="00477E37" w:rsidRDefault="009E3496" w:rsidP="00FF5FCC">
      <w:r w:rsidRPr="005C4EA9">
        <w:t>The Application indicated that an average patient would receive DAC only once. However, in conditions where the use of DAC has failed to prevent infection in the first attempt, it is not clear whether the procedure involving DAC will be implemented during the reimplantation of prostheses.</w:t>
      </w:r>
      <w:r>
        <w:t xml:space="preserve"> </w:t>
      </w:r>
      <w:r>
        <w:rPr>
          <w:i/>
        </w:rPr>
        <w:t>The applicant estimated that one third of all patients would require a single DAC 5mL kit and two thirds would require two kits.</w:t>
      </w:r>
    </w:p>
    <w:p w14:paraId="6429C165" w14:textId="2CCDC7F3" w:rsidR="00477E37" w:rsidRDefault="00477E37" w:rsidP="00477E37"/>
    <w:p w14:paraId="3E72785A" w14:textId="77777777" w:rsidR="00477E37" w:rsidRDefault="00477E37">
      <w:pPr>
        <w:sectPr w:rsidR="00477E37" w:rsidSect="00C56066">
          <w:headerReference w:type="even" r:id="rId9"/>
          <w:footerReference w:type="default" r:id="rId10"/>
          <w:pgSz w:w="11906" w:h="16838"/>
          <w:pgMar w:top="1440" w:right="1440" w:bottom="1276" w:left="1440" w:header="708" w:footer="708" w:gutter="0"/>
          <w:cols w:space="708"/>
          <w:docGrid w:linePitch="360"/>
        </w:sectPr>
      </w:pPr>
    </w:p>
    <w:p w14:paraId="79F62272" w14:textId="2033AD6B" w:rsidR="00CC5A26" w:rsidRDefault="00B05729" w:rsidP="00477E37">
      <w:pPr>
        <w:pStyle w:val="Caption"/>
        <w:ind w:left="0" w:firstLine="0"/>
      </w:pPr>
      <w:r>
        <w:rPr>
          <w:noProof/>
          <w:lang w:val="en-AU" w:eastAsia="en-AU"/>
        </w:rPr>
        <w:drawing>
          <wp:inline distT="0" distB="0" distL="0" distR="0" wp14:anchorId="7C894165" wp14:editId="464375C8">
            <wp:extent cx="7096125" cy="5041690"/>
            <wp:effectExtent l="0" t="0" r="0" b="6985"/>
            <wp:docPr id="5" name="Picture 5" title="Figure 1: Current and proposed clinical management pathway of primary prevention of periprosthetic deep surgical site infection: Popul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131136" cy="5066565"/>
                    </a:xfrm>
                    <a:prstGeom prst="rect">
                      <a:avLst/>
                    </a:prstGeom>
                  </pic:spPr>
                </pic:pic>
              </a:graphicData>
            </a:graphic>
          </wp:inline>
        </w:drawing>
      </w:r>
    </w:p>
    <w:p w14:paraId="71952C06" w14:textId="4E392C42" w:rsidR="00FF3B53" w:rsidRDefault="00562B57" w:rsidP="00477E37">
      <w:pPr>
        <w:pStyle w:val="Caption"/>
        <w:ind w:left="0" w:firstLine="0"/>
      </w:pPr>
      <w:r>
        <w:t xml:space="preserve">Figure </w:t>
      </w:r>
      <w:r>
        <w:fldChar w:fldCharType="begin"/>
      </w:r>
      <w:r>
        <w:instrText xml:space="preserve"> SEQ Figure \* ARABIC </w:instrText>
      </w:r>
      <w:r>
        <w:fldChar w:fldCharType="separate"/>
      </w:r>
      <w:r>
        <w:rPr>
          <w:noProof/>
        </w:rPr>
        <w:t>1</w:t>
      </w:r>
      <w:r>
        <w:fldChar w:fldCharType="end"/>
      </w:r>
      <w:r>
        <w:t xml:space="preserve">: </w:t>
      </w:r>
      <w:r w:rsidRPr="00BC1512">
        <w:t>Current</w:t>
      </w:r>
      <w:r>
        <w:t xml:space="preserve"> and proposed</w:t>
      </w:r>
      <w:r w:rsidRPr="00BC1512">
        <w:t xml:space="preserve"> clinical management pathway of</w:t>
      </w:r>
      <w:r>
        <w:t xml:space="preserve"> primary prevention of</w:t>
      </w:r>
      <w:r w:rsidRPr="00BC1512">
        <w:t xml:space="preserve"> periprosthetic deep surgical site infection</w:t>
      </w:r>
      <w:r>
        <w:t>: Population 1</w:t>
      </w:r>
    </w:p>
    <w:p w14:paraId="13F53301" w14:textId="7D67FF19" w:rsidR="00FF3B53" w:rsidRDefault="00FF3B53" w:rsidP="00FF3B53">
      <w:pPr>
        <w:keepLines/>
        <w:spacing w:after="0" w:line="240" w:lineRule="auto"/>
        <w:rPr>
          <w:sz w:val="20"/>
          <w:szCs w:val="20"/>
        </w:rPr>
      </w:pPr>
      <w:r w:rsidRPr="00F31DE3">
        <w:rPr>
          <w:sz w:val="20"/>
          <w:szCs w:val="20"/>
        </w:rPr>
        <w:t xml:space="preserve">Source: </w:t>
      </w:r>
      <w:r>
        <w:rPr>
          <w:sz w:val="20"/>
          <w:szCs w:val="20"/>
        </w:rPr>
        <w:t>P</w:t>
      </w:r>
      <w:r w:rsidRPr="00773A0A">
        <w:rPr>
          <w:sz w:val="20"/>
          <w:szCs w:val="20"/>
        </w:rPr>
        <w:t>repared</w:t>
      </w:r>
      <w:r w:rsidR="00562B57">
        <w:rPr>
          <w:sz w:val="20"/>
          <w:szCs w:val="20"/>
        </w:rPr>
        <w:t xml:space="preserve"> by the applicant Post PASC</w:t>
      </w:r>
      <w:r w:rsidRPr="00773A0A">
        <w:rPr>
          <w:sz w:val="20"/>
          <w:szCs w:val="20"/>
        </w:rPr>
        <w:t xml:space="preserve"> </w:t>
      </w:r>
      <w:r w:rsidR="00562B57" w:rsidRPr="00773A0A">
        <w:rPr>
          <w:sz w:val="20"/>
          <w:szCs w:val="20"/>
        </w:rPr>
        <w:t xml:space="preserve">in </w:t>
      </w:r>
      <w:r w:rsidR="00562B57">
        <w:rPr>
          <w:sz w:val="20"/>
          <w:szCs w:val="20"/>
        </w:rPr>
        <w:t>response to draft Pre-PASC PICO algorithms drafted by Department in consultation with AG</w:t>
      </w:r>
      <w:r>
        <w:rPr>
          <w:sz w:val="20"/>
          <w:szCs w:val="20"/>
        </w:rPr>
        <w:t xml:space="preserve">. </w:t>
      </w:r>
      <w:r w:rsidR="00562B57">
        <w:rPr>
          <w:sz w:val="20"/>
          <w:szCs w:val="20"/>
        </w:rPr>
        <w:t xml:space="preserve">It </w:t>
      </w:r>
      <w:r>
        <w:rPr>
          <w:sz w:val="20"/>
          <w:szCs w:val="20"/>
        </w:rPr>
        <w:t xml:space="preserve">incorporates </w:t>
      </w:r>
      <w:r w:rsidRPr="00BC79FE">
        <w:rPr>
          <w:sz w:val="20"/>
          <w:szCs w:val="20"/>
        </w:rPr>
        <w:t>the description provided in the Application (p17 of the Application)</w:t>
      </w:r>
    </w:p>
    <w:p w14:paraId="40B26E07" w14:textId="40B0D509" w:rsidR="00FF3B53" w:rsidRDefault="00FF3B53" w:rsidP="00FF3B53">
      <w:pPr>
        <w:keepLines/>
        <w:spacing w:after="0" w:line="240" w:lineRule="auto"/>
        <w:rPr>
          <w:sz w:val="20"/>
          <w:szCs w:val="20"/>
        </w:rPr>
      </w:pPr>
      <w:r>
        <w:rPr>
          <w:sz w:val="20"/>
          <w:szCs w:val="20"/>
        </w:rPr>
        <w:t>Acronyms: DAC: Defensive Antibacterial Coating; DAIR: D</w:t>
      </w:r>
      <w:r w:rsidRPr="00FF5FCC">
        <w:rPr>
          <w:sz w:val="20"/>
          <w:szCs w:val="20"/>
        </w:rPr>
        <w:t xml:space="preserve">ebridement and </w:t>
      </w:r>
      <w:r>
        <w:rPr>
          <w:sz w:val="20"/>
          <w:szCs w:val="20"/>
        </w:rPr>
        <w:t>I</w:t>
      </w:r>
      <w:r w:rsidRPr="00FF5FCC">
        <w:rPr>
          <w:sz w:val="20"/>
          <w:szCs w:val="20"/>
        </w:rPr>
        <w:t xml:space="preserve">mplant </w:t>
      </w:r>
      <w:r>
        <w:rPr>
          <w:sz w:val="20"/>
          <w:szCs w:val="20"/>
        </w:rPr>
        <w:t>R</w:t>
      </w:r>
      <w:r w:rsidRPr="00FF5FCC">
        <w:rPr>
          <w:sz w:val="20"/>
          <w:szCs w:val="20"/>
        </w:rPr>
        <w:t>etention</w:t>
      </w:r>
      <w:r>
        <w:rPr>
          <w:sz w:val="20"/>
          <w:szCs w:val="20"/>
        </w:rPr>
        <w:t>; SSI: Surgical Site Infection</w:t>
      </w:r>
    </w:p>
    <w:p w14:paraId="5F6B79EF" w14:textId="4A4E7A2E" w:rsidR="00562B57" w:rsidRDefault="00562B57" w:rsidP="00562B57">
      <w:pPr>
        <w:pStyle w:val="Caption"/>
        <w:ind w:left="0" w:firstLine="0"/>
      </w:pPr>
      <w:r>
        <w:rPr>
          <w:noProof/>
          <w:lang w:val="en-AU" w:eastAsia="en-AU"/>
        </w:rPr>
        <w:lastRenderedPageBreak/>
        <w:drawing>
          <wp:inline distT="0" distB="0" distL="0" distR="0" wp14:anchorId="3FB20E27" wp14:editId="40C410AB">
            <wp:extent cx="6896100" cy="4971978"/>
            <wp:effectExtent l="0" t="0" r="0" b="635"/>
            <wp:docPr id="6" name="Picture 6" title="Figure 2: Current and proposed clinical management pathway of primary prevention of periprosthetic deep surgical site infection: Popul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922586" cy="4991074"/>
                    </a:xfrm>
                    <a:prstGeom prst="rect">
                      <a:avLst/>
                    </a:prstGeom>
                  </pic:spPr>
                </pic:pic>
              </a:graphicData>
            </a:graphic>
          </wp:inline>
        </w:drawing>
      </w:r>
    </w:p>
    <w:p w14:paraId="791BAA5A" w14:textId="37C9DB42" w:rsidR="00562B57" w:rsidRDefault="00562B57" w:rsidP="00477E37">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w:t>
      </w:r>
      <w:r w:rsidRPr="00BC1512">
        <w:t>Current</w:t>
      </w:r>
      <w:r>
        <w:t xml:space="preserve"> and proposed</w:t>
      </w:r>
      <w:r w:rsidRPr="00BC1512">
        <w:t xml:space="preserve"> clinical management pathway of</w:t>
      </w:r>
      <w:r>
        <w:t xml:space="preserve"> primary prevention of</w:t>
      </w:r>
      <w:r w:rsidRPr="00BC1512">
        <w:t xml:space="preserve"> periprosthetic deep surgical site infection</w:t>
      </w:r>
      <w:r>
        <w:t>: Population 2</w:t>
      </w:r>
    </w:p>
    <w:p w14:paraId="35633070" w14:textId="4A6D360A" w:rsidR="00562B57" w:rsidRDefault="00562B57" w:rsidP="00562B57">
      <w:pPr>
        <w:keepLines/>
        <w:spacing w:after="0" w:line="240" w:lineRule="auto"/>
        <w:rPr>
          <w:sz w:val="20"/>
          <w:szCs w:val="20"/>
        </w:rPr>
      </w:pPr>
      <w:r w:rsidRPr="00F31DE3">
        <w:rPr>
          <w:sz w:val="20"/>
          <w:szCs w:val="20"/>
        </w:rPr>
        <w:t xml:space="preserve">Source: </w:t>
      </w:r>
      <w:r>
        <w:rPr>
          <w:sz w:val="20"/>
          <w:szCs w:val="20"/>
        </w:rPr>
        <w:t>P</w:t>
      </w:r>
      <w:r w:rsidRPr="00773A0A">
        <w:rPr>
          <w:sz w:val="20"/>
          <w:szCs w:val="20"/>
        </w:rPr>
        <w:t>repared</w:t>
      </w:r>
      <w:r>
        <w:rPr>
          <w:sz w:val="20"/>
          <w:szCs w:val="20"/>
        </w:rPr>
        <w:t xml:space="preserve"> by the applicant Post PASC</w:t>
      </w:r>
      <w:r w:rsidRPr="00773A0A">
        <w:rPr>
          <w:sz w:val="20"/>
          <w:szCs w:val="20"/>
        </w:rPr>
        <w:t xml:space="preserve"> in </w:t>
      </w:r>
      <w:r>
        <w:rPr>
          <w:sz w:val="20"/>
          <w:szCs w:val="20"/>
        </w:rPr>
        <w:t>response to draft Pre-PASC PICO algorithms drafted by Department in consultation with AG.</w:t>
      </w:r>
      <w:r w:rsidR="00650EF4">
        <w:rPr>
          <w:sz w:val="20"/>
          <w:szCs w:val="20"/>
        </w:rPr>
        <w:t xml:space="preserve"> </w:t>
      </w:r>
      <w:r>
        <w:rPr>
          <w:sz w:val="20"/>
          <w:szCs w:val="20"/>
        </w:rPr>
        <w:t xml:space="preserve">It incorporates </w:t>
      </w:r>
      <w:r w:rsidRPr="00BC79FE">
        <w:rPr>
          <w:sz w:val="20"/>
          <w:szCs w:val="20"/>
        </w:rPr>
        <w:t>the description provided in the Application (p17 of the Application)</w:t>
      </w:r>
    </w:p>
    <w:p w14:paraId="39460856" w14:textId="77777777" w:rsidR="00562B57" w:rsidRDefault="00562B57" w:rsidP="00562B57">
      <w:pPr>
        <w:keepLines/>
        <w:spacing w:after="0" w:line="240" w:lineRule="auto"/>
        <w:rPr>
          <w:sz w:val="20"/>
          <w:szCs w:val="20"/>
        </w:rPr>
      </w:pPr>
      <w:r>
        <w:rPr>
          <w:sz w:val="20"/>
          <w:szCs w:val="20"/>
        </w:rPr>
        <w:t>Acronyms: DAC: Defensive Antibacterial Coating; DAIR: D</w:t>
      </w:r>
      <w:r w:rsidRPr="00FF5FCC">
        <w:rPr>
          <w:sz w:val="20"/>
          <w:szCs w:val="20"/>
        </w:rPr>
        <w:t xml:space="preserve">ebridement and </w:t>
      </w:r>
      <w:r>
        <w:rPr>
          <w:sz w:val="20"/>
          <w:szCs w:val="20"/>
        </w:rPr>
        <w:t>I</w:t>
      </w:r>
      <w:r w:rsidRPr="00FF5FCC">
        <w:rPr>
          <w:sz w:val="20"/>
          <w:szCs w:val="20"/>
        </w:rPr>
        <w:t xml:space="preserve">mplant </w:t>
      </w:r>
      <w:r>
        <w:rPr>
          <w:sz w:val="20"/>
          <w:szCs w:val="20"/>
        </w:rPr>
        <w:t>R</w:t>
      </w:r>
      <w:r w:rsidRPr="00FF5FCC">
        <w:rPr>
          <w:sz w:val="20"/>
          <w:szCs w:val="20"/>
        </w:rPr>
        <w:t>etention</w:t>
      </w:r>
      <w:r>
        <w:rPr>
          <w:sz w:val="20"/>
          <w:szCs w:val="20"/>
        </w:rPr>
        <w:t>; SSI: Surgical Site Infection</w:t>
      </w:r>
    </w:p>
    <w:p w14:paraId="1C104FE8" w14:textId="77777777" w:rsidR="00562B57" w:rsidRDefault="00562B57" w:rsidP="00477E37">
      <w:pPr>
        <w:keepNext/>
        <w:keepLines/>
        <w:spacing w:after="0" w:line="240" w:lineRule="auto"/>
      </w:pPr>
      <w:r>
        <w:rPr>
          <w:noProof/>
          <w:lang w:eastAsia="en-AU"/>
        </w:rPr>
        <w:lastRenderedPageBreak/>
        <w:drawing>
          <wp:inline distT="0" distB="0" distL="0" distR="0" wp14:anchorId="3B23C784" wp14:editId="68E0F7A6">
            <wp:extent cx="7162800" cy="5067521"/>
            <wp:effectExtent l="0" t="0" r="0" b="0"/>
            <wp:docPr id="7" name="Picture 7" title="Figure 3 Current and proposed clinical management pathway of primary prevention of periprosthetic deep surgical site infection: Popula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182975" cy="5081795"/>
                    </a:xfrm>
                    <a:prstGeom prst="rect">
                      <a:avLst/>
                    </a:prstGeom>
                  </pic:spPr>
                </pic:pic>
              </a:graphicData>
            </a:graphic>
          </wp:inline>
        </w:drawing>
      </w:r>
    </w:p>
    <w:p w14:paraId="2C9EB70A" w14:textId="1DF8089C" w:rsidR="00562B57" w:rsidRDefault="00562B57" w:rsidP="00562B57">
      <w:pPr>
        <w:pStyle w:val="Caption"/>
      </w:pPr>
      <w:r>
        <w:t xml:space="preserve">Figure </w:t>
      </w:r>
      <w:r>
        <w:fldChar w:fldCharType="begin"/>
      </w:r>
      <w:r>
        <w:instrText xml:space="preserve"> SEQ Figure \* ARABIC </w:instrText>
      </w:r>
      <w:r>
        <w:fldChar w:fldCharType="separate"/>
      </w:r>
      <w:r>
        <w:rPr>
          <w:noProof/>
        </w:rPr>
        <w:t>3</w:t>
      </w:r>
      <w:r>
        <w:fldChar w:fldCharType="end"/>
      </w:r>
      <w:r>
        <w:t xml:space="preserve"> </w:t>
      </w:r>
      <w:r w:rsidRPr="00BC1512">
        <w:t>Current</w:t>
      </w:r>
      <w:r>
        <w:t xml:space="preserve"> and proposed</w:t>
      </w:r>
      <w:r w:rsidRPr="00BC1512">
        <w:t xml:space="preserve"> clinical management pathway of</w:t>
      </w:r>
      <w:r>
        <w:t xml:space="preserve"> primary prevention of</w:t>
      </w:r>
      <w:r w:rsidRPr="00BC1512">
        <w:t xml:space="preserve"> periprosthetic deep surgical site infection</w:t>
      </w:r>
      <w:r>
        <w:t>: Population 3</w:t>
      </w:r>
    </w:p>
    <w:p w14:paraId="5FE0CF13" w14:textId="77F9F937" w:rsidR="00562B57" w:rsidRDefault="00562B57" w:rsidP="00562B57">
      <w:pPr>
        <w:keepLines/>
        <w:spacing w:after="0" w:line="240" w:lineRule="auto"/>
        <w:rPr>
          <w:sz w:val="20"/>
          <w:szCs w:val="20"/>
        </w:rPr>
      </w:pPr>
      <w:r w:rsidRPr="00F31DE3">
        <w:rPr>
          <w:sz w:val="20"/>
          <w:szCs w:val="20"/>
        </w:rPr>
        <w:t xml:space="preserve">Source: </w:t>
      </w:r>
      <w:r>
        <w:rPr>
          <w:sz w:val="20"/>
          <w:szCs w:val="20"/>
        </w:rPr>
        <w:t>P</w:t>
      </w:r>
      <w:r w:rsidRPr="00773A0A">
        <w:rPr>
          <w:sz w:val="20"/>
          <w:szCs w:val="20"/>
        </w:rPr>
        <w:t>repared</w:t>
      </w:r>
      <w:r>
        <w:rPr>
          <w:sz w:val="20"/>
          <w:szCs w:val="20"/>
        </w:rPr>
        <w:t xml:space="preserve"> by the applicant Post PASC</w:t>
      </w:r>
      <w:r w:rsidRPr="00773A0A">
        <w:rPr>
          <w:sz w:val="20"/>
          <w:szCs w:val="20"/>
        </w:rPr>
        <w:t xml:space="preserve"> in in </w:t>
      </w:r>
      <w:r>
        <w:rPr>
          <w:sz w:val="20"/>
          <w:szCs w:val="20"/>
        </w:rPr>
        <w:t xml:space="preserve">response to draft Pre-PASC PICO algorithms drafted by Department in consultation with AG. It incorporates </w:t>
      </w:r>
      <w:r w:rsidRPr="00BC79FE">
        <w:rPr>
          <w:sz w:val="20"/>
          <w:szCs w:val="20"/>
        </w:rPr>
        <w:t>the description provided in the Application (p17 of the Application)</w:t>
      </w:r>
    </w:p>
    <w:p w14:paraId="4E7500F1" w14:textId="77777777" w:rsidR="00562B57" w:rsidRDefault="00562B57" w:rsidP="00562B57">
      <w:pPr>
        <w:keepLines/>
        <w:spacing w:after="0" w:line="240" w:lineRule="auto"/>
        <w:rPr>
          <w:sz w:val="20"/>
          <w:szCs w:val="20"/>
        </w:rPr>
      </w:pPr>
      <w:r>
        <w:rPr>
          <w:sz w:val="20"/>
          <w:szCs w:val="20"/>
        </w:rPr>
        <w:t>Acronyms: DAC: Defensive Antibacterial Coating; DAIR: D</w:t>
      </w:r>
      <w:r w:rsidRPr="00FF5FCC">
        <w:rPr>
          <w:sz w:val="20"/>
          <w:szCs w:val="20"/>
        </w:rPr>
        <w:t xml:space="preserve">ebridement and </w:t>
      </w:r>
      <w:r>
        <w:rPr>
          <w:sz w:val="20"/>
          <w:szCs w:val="20"/>
        </w:rPr>
        <w:t>I</w:t>
      </w:r>
      <w:r w:rsidRPr="00FF5FCC">
        <w:rPr>
          <w:sz w:val="20"/>
          <w:szCs w:val="20"/>
        </w:rPr>
        <w:t xml:space="preserve">mplant </w:t>
      </w:r>
      <w:r>
        <w:rPr>
          <w:sz w:val="20"/>
          <w:szCs w:val="20"/>
        </w:rPr>
        <w:t>R</w:t>
      </w:r>
      <w:r w:rsidRPr="00FF5FCC">
        <w:rPr>
          <w:sz w:val="20"/>
          <w:szCs w:val="20"/>
        </w:rPr>
        <w:t>etention</w:t>
      </w:r>
      <w:r>
        <w:rPr>
          <w:sz w:val="20"/>
          <w:szCs w:val="20"/>
        </w:rPr>
        <w:t>; SSI: Surgical Site Infection</w:t>
      </w:r>
    </w:p>
    <w:p w14:paraId="1890E424" w14:textId="74B09CDA" w:rsidR="00562B57" w:rsidRDefault="00B05729" w:rsidP="00562B57">
      <w:pPr>
        <w:pStyle w:val="Caption"/>
      </w:pPr>
      <w:r>
        <w:rPr>
          <w:noProof/>
          <w:lang w:val="en-AU" w:eastAsia="en-AU"/>
        </w:rPr>
        <w:lastRenderedPageBreak/>
        <w:drawing>
          <wp:inline distT="0" distB="0" distL="0" distR="0" wp14:anchorId="059E5C88" wp14:editId="2CAB0E98">
            <wp:extent cx="7553325" cy="5131054"/>
            <wp:effectExtent l="0" t="0" r="0" b="0"/>
            <wp:docPr id="10" name="Picture 10" title="Figure 4: Current and proposed clinical management pathway of primary prevention of periprosthetic deep surgical site infection: Popula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583806" cy="5151760"/>
                    </a:xfrm>
                    <a:prstGeom prst="rect">
                      <a:avLst/>
                    </a:prstGeom>
                  </pic:spPr>
                </pic:pic>
              </a:graphicData>
            </a:graphic>
          </wp:inline>
        </w:drawing>
      </w:r>
    </w:p>
    <w:p w14:paraId="7381DDA6" w14:textId="2C21A34E" w:rsidR="00562B57" w:rsidRDefault="00562B57" w:rsidP="00562B57">
      <w:pPr>
        <w:pStyle w:val="Caption"/>
      </w:pPr>
      <w:r>
        <w:t xml:space="preserve">Figure </w:t>
      </w:r>
      <w:r>
        <w:fldChar w:fldCharType="begin"/>
      </w:r>
      <w:r>
        <w:instrText xml:space="preserve"> SEQ Figure \* ARABIC </w:instrText>
      </w:r>
      <w:r>
        <w:fldChar w:fldCharType="separate"/>
      </w:r>
      <w:r>
        <w:rPr>
          <w:noProof/>
        </w:rPr>
        <w:t>4</w:t>
      </w:r>
      <w:r>
        <w:fldChar w:fldCharType="end"/>
      </w:r>
      <w:r>
        <w:t xml:space="preserve">: </w:t>
      </w:r>
      <w:r w:rsidRPr="00BC1512">
        <w:t>Current</w:t>
      </w:r>
      <w:r>
        <w:t xml:space="preserve"> and proposed</w:t>
      </w:r>
      <w:r w:rsidRPr="00BC1512">
        <w:t xml:space="preserve"> clinical management pathway of</w:t>
      </w:r>
      <w:r>
        <w:t xml:space="preserve"> primary prevention of</w:t>
      </w:r>
      <w:r w:rsidRPr="00BC1512">
        <w:t xml:space="preserve"> periprosthetic deep surgical site infection</w:t>
      </w:r>
      <w:r>
        <w:t>: Population 4</w:t>
      </w:r>
    </w:p>
    <w:p w14:paraId="58213019" w14:textId="1030B51C" w:rsidR="00562B57" w:rsidRDefault="00562B57" w:rsidP="00562B57">
      <w:pPr>
        <w:keepLines/>
        <w:spacing w:after="0" w:line="240" w:lineRule="auto"/>
        <w:rPr>
          <w:sz w:val="20"/>
          <w:szCs w:val="20"/>
        </w:rPr>
      </w:pPr>
      <w:r w:rsidRPr="00F31DE3">
        <w:rPr>
          <w:sz w:val="20"/>
          <w:szCs w:val="20"/>
        </w:rPr>
        <w:t xml:space="preserve">Source: </w:t>
      </w:r>
      <w:r>
        <w:rPr>
          <w:sz w:val="20"/>
          <w:szCs w:val="20"/>
        </w:rPr>
        <w:t>P</w:t>
      </w:r>
      <w:r w:rsidRPr="00773A0A">
        <w:rPr>
          <w:sz w:val="20"/>
          <w:szCs w:val="20"/>
        </w:rPr>
        <w:t>repared</w:t>
      </w:r>
      <w:r>
        <w:rPr>
          <w:sz w:val="20"/>
          <w:szCs w:val="20"/>
        </w:rPr>
        <w:t xml:space="preserve"> by the applicant Post-PASC</w:t>
      </w:r>
      <w:r w:rsidRPr="00773A0A">
        <w:rPr>
          <w:sz w:val="20"/>
          <w:szCs w:val="20"/>
        </w:rPr>
        <w:t xml:space="preserve"> in </w:t>
      </w:r>
      <w:r>
        <w:rPr>
          <w:sz w:val="20"/>
          <w:szCs w:val="20"/>
        </w:rPr>
        <w:t>response to draft Pre-PASC PICO algorithms drafted by Department in consultation with AG.</w:t>
      </w:r>
    </w:p>
    <w:p w14:paraId="5AE9A33E" w14:textId="5D0BF3D8" w:rsidR="00562B57" w:rsidRDefault="00562B57" w:rsidP="00562B57">
      <w:pPr>
        <w:keepLines/>
        <w:spacing w:after="0" w:line="240" w:lineRule="auto"/>
        <w:rPr>
          <w:sz w:val="20"/>
          <w:szCs w:val="20"/>
        </w:rPr>
      </w:pPr>
      <w:r>
        <w:rPr>
          <w:sz w:val="20"/>
          <w:szCs w:val="20"/>
        </w:rPr>
        <w:t>Acronyms: DAC: Defensive Antibacterial Coating; DAIR: D</w:t>
      </w:r>
      <w:r w:rsidRPr="00FF5FCC">
        <w:rPr>
          <w:sz w:val="20"/>
          <w:szCs w:val="20"/>
        </w:rPr>
        <w:t xml:space="preserve">ebridement and </w:t>
      </w:r>
      <w:r>
        <w:rPr>
          <w:sz w:val="20"/>
          <w:szCs w:val="20"/>
        </w:rPr>
        <w:t>I</w:t>
      </w:r>
      <w:r w:rsidRPr="00FF5FCC">
        <w:rPr>
          <w:sz w:val="20"/>
          <w:szCs w:val="20"/>
        </w:rPr>
        <w:t xml:space="preserve">mplant </w:t>
      </w:r>
      <w:r>
        <w:rPr>
          <w:sz w:val="20"/>
          <w:szCs w:val="20"/>
        </w:rPr>
        <w:t>R</w:t>
      </w:r>
      <w:r w:rsidRPr="00FF5FCC">
        <w:rPr>
          <w:sz w:val="20"/>
          <w:szCs w:val="20"/>
        </w:rPr>
        <w:t>etention</w:t>
      </w:r>
      <w:r>
        <w:rPr>
          <w:sz w:val="20"/>
          <w:szCs w:val="20"/>
        </w:rPr>
        <w:t>; SSI: Surgical Site Infection</w:t>
      </w:r>
    </w:p>
    <w:p w14:paraId="303EDEEE" w14:textId="11BD1DB9" w:rsidR="00FF3B53" w:rsidRDefault="00FF3B53" w:rsidP="00095D6F">
      <w:pPr>
        <w:keepLines/>
        <w:spacing w:after="0" w:line="240" w:lineRule="auto"/>
        <w:rPr>
          <w:sz w:val="20"/>
          <w:szCs w:val="20"/>
        </w:rPr>
        <w:sectPr w:rsidR="00FF3B53" w:rsidSect="00477E37">
          <w:pgSz w:w="16838" w:h="11906" w:orient="landscape"/>
          <w:pgMar w:top="1440" w:right="1440" w:bottom="1440" w:left="1440" w:header="708" w:footer="708" w:gutter="0"/>
          <w:cols w:space="708"/>
          <w:docGrid w:linePitch="360"/>
        </w:sectPr>
      </w:pPr>
    </w:p>
    <w:p w14:paraId="45D13183" w14:textId="5891A301" w:rsidR="00F31388" w:rsidRDefault="003E0382" w:rsidP="00477E37">
      <w:pPr>
        <w:pStyle w:val="Heading2"/>
        <w:spacing w:line="240" w:lineRule="auto"/>
        <w:jc w:val="both"/>
        <w:rPr>
          <w:u w:color="FF0000"/>
        </w:rPr>
      </w:pPr>
      <w:r>
        <w:rPr>
          <w:color w:val="548DD4"/>
        </w:rPr>
        <w:lastRenderedPageBreak/>
        <w:t xml:space="preserve">Proposed </w:t>
      </w:r>
      <w:r w:rsidR="002B226C">
        <w:rPr>
          <w:color w:val="548DD4"/>
        </w:rPr>
        <w:t xml:space="preserve">economic </w:t>
      </w:r>
      <w:r w:rsidR="009E5295">
        <w:rPr>
          <w:color w:val="548DD4"/>
        </w:rPr>
        <w:t>evaluation</w:t>
      </w:r>
    </w:p>
    <w:p w14:paraId="64F75CFF" w14:textId="44A1C416" w:rsidR="00926CD3" w:rsidRDefault="000F68A2" w:rsidP="00BF05F0">
      <w:pPr>
        <w:rPr>
          <w:u w:color="FF0000"/>
        </w:rPr>
      </w:pPr>
      <w:r>
        <w:rPr>
          <w:u w:color="FF0000"/>
        </w:rPr>
        <w:t xml:space="preserve">During the </w:t>
      </w:r>
      <w:r w:rsidR="00D917F2">
        <w:rPr>
          <w:u w:color="FF0000"/>
        </w:rPr>
        <w:t>preparation of the PICO</w:t>
      </w:r>
      <w:r>
        <w:rPr>
          <w:u w:color="FF0000"/>
        </w:rPr>
        <w:t xml:space="preserve">, the </w:t>
      </w:r>
      <w:r w:rsidR="00CA7897">
        <w:rPr>
          <w:u w:color="FF0000"/>
        </w:rPr>
        <w:t>a</w:t>
      </w:r>
      <w:r w:rsidR="0038000B">
        <w:rPr>
          <w:u w:color="FF0000"/>
        </w:rPr>
        <w:t>pplicant</w:t>
      </w:r>
      <w:r>
        <w:rPr>
          <w:u w:color="FF0000"/>
        </w:rPr>
        <w:t xml:space="preserve"> indicated that</w:t>
      </w:r>
      <w:r w:rsidR="00926CD3">
        <w:rPr>
          <w:u w:color="FF0000"/>
        </w:rPr>
        <w:t xml:space="preserve"> the use of</w:t>
      </w:r>
      <w:r>
        <w:rPr>
          <w:u w:color="FF0000"/>
        </w:rPr>
        <w:t xml:space="preserve"> DAC</w:t>
      </w:r>
      <w:r w:rsidR="00926CD3">
        <w:rPr>
          <w:u w:color="FF0000"/>
        </w:rPr>
        <w:t xml:space="preserve"> to reduce periprosthetic deep SSI</w:t>
      </w:r>
      <w:r>
        <w:rPr>
          <w:u w:color="FF0000"/>
        </w:rPr>
        <w:t xml:space="preserve"> </w:t>
      </w:r>
      <w:r w:rsidR="00926CD3">
        <w:rPr>
          <w:u w:color="FF0000"/>
        </w:rPr>
        <w:t xml:space="preserve">is likely to be superior </w:t>
      </w:r>
      <w:r w:rsidR="007E61AB">
        <w:rPr>
          <w:u w:color="FF0000"/>
        </w:rPr>
        <w:t xml:space="preserve">compared with </w:t>
      </w:r>
      <w:r w:rsidR="00926CD3">
        <w:rPr>
          <w:u w:color="FF0000"/>
        </w:rPr>
        <w:t>the current standard of care</w:t>
      </w:r>
      <w:r w:rsidR="005A0CCC">
        <w:rPr>
          <w:u w:color="FF0000"/>
        </w:rPr>
        <w:t xml:space="preserve">, i.e. </w:t>
      </w:r>
      <w:r w:rsidR="007E61AB">
        <w:rPr>
          <w:u w:color="FF0000"/>
        </w:rPr>
        <w:t xml:space="preserve">standard </w:t>
      </w:r>
      <w:r w:rsidR="006752BE">
        <w:rPr>
          <w:u w:color="FF0000"/>
        </w:rPr>
        <w:t xml:space="preserve">surgery </w:t>
      </w:r>
      <w:r w:rsidR="007E61AB">
        <w:rPr>
          <w:u w:color="FF0000"/>
        </w:rPr>
        <w:t>without</w:t>
      </w:r>
      <w:r w:rsidR="005A0CCC">
        <w:rPr>
          <w:u w:color="FF0000"/>
        </w:rPr>
        <w:t xml:space="preserve"> DAC</w:t>
      </w:r>
      <w:r w:rsidR="00926CD3">
        <w:rPr>
          <w:u w:color="FF0000"/>
        </w:rPr>
        <w:t xml:space="preserve">. </w:t>
      </w:r>
      <w:r w:rsidR="00D917F2">
        <w:rPr>
          <w:u w:color="FF0000"/>
        </w:rPr>
        <w:t xml:space="preserve">Studies included by the </w:t>
      </w:r>
      <w:r w:rsidR="00CA7897">
        <w:rPr>
          <w:u w:color="FF0000"/>
        </w:rPr>
        <w:t>a</w:t>
      </w:r>
      <w:r w:rsidR="0038000B">
        <w:rPr>
          <w:u w:color="FF0000"/>
        </w:rPr>
        <w:t>pplicant</w:t>
      </w:r>
      <w:r w:rsidR="00D917F2">
        <w:rPr>
          <w:u w:color="FF0000"/>
        </w:rPr>
        <w:t xml:space="preserve"> to substantiate their clinical claims </w:t>
      </w:r>
      <w:r w:rsidR="007C14E9">
        <w:rPr>
          <w:u w:color="FF0000"/>
        </w:rPr>
        <w:t xml:space="preserve">are summarised in </w:t>
      </w:r>
      <w:r w:rsidR="005A0CCC">
        <w:rPr>
          <w:u w:color="FF0000"/>
        </w:rPr>
        <w:t xml:space="preserve">Table </w:t>
      </w:r>
      <w:r w:rsidR="00FF3D3D">
        <w:rPr>
          <w:u w:color="FF0000"/>
        </w:rPr>
        <w:t>3</w:t>
      </w:r>
      <w:r w:rsidR="007C14E9">
        <w:rPr>
          <w:u w:color="FF0000"/>
        </w:rPr>
        <w:t>, which will be as</w:t>
      </w:r>
      <w:r w:rsidR="00907D8F">
        <w:rPr>
          <w:u w:color="FF0000"/>
        </w:rPr>
        <w:t>sessed in the assessment phase.</w:t>
      </w:r>
    </w:p>
    <w:p w14:paraId="7F2D7C90" w14:textId="3ED58739" w:rsidR="005A3081" w:rsidRDefault="005A3081" w:rsidP="005A3081">
      <w:pPr>
        <w:pStyle w:val="Caption"/>
      </w:pPr>
      <w:r>
        <w:t xml:space="preserve">Table </w:t>
      </w:r>
      <w:r w:rsidR="003E577A">
        <w:fldChar w:fldCharType="begin"/>
      </w:r>
      <w:r w:rsidR="003E577A">
        <w:instrText xml:space="preserve"> SEQ Table \* ARABIC </w:instrText>
      </w:r>
      <w:r w:rsidR="003E577A">
        <w:fldChar w:fldCharType="separate"/>
      </w:r>
      <w:r w:rsidR="003E577A">
        <w:rPr>
          <w:noProof/>
        </w:rPr>
        <w:t>3</w:t>
      </w:r>
      <w:r w:rsidR="003E577A">
        <w:fldChar w:fldCharType="end"/>
      </w:r>
      <w:r>
        <w:t>: Summary of current clinical evidence for periprosthetic joint infection with DAC</w:t>
      </w:r>
    </w:p>
    <w:tbl>
      <w:tblPr>
        <w:tblStyle w:val="TableGrid"/>
        <w:tblpPr w:leftFromText="180" w:rightFromText="180" w:vertAnchor="text" w:tblpY="1"/>
        <w:tblOverlap w:val="never"/>
        <w:tblW w:w="5051" w:type="pct"/>
        <w:tblLook w:val="04A0" w:firstRow="1" w:lastRow="0" w:firstColumn="1" w:lastColumn="0" w:noHBand="0" w:noVBand="1"/>
        <w:tblCaption w:val="Summary of Evidence - Published"/>
      </w:tblPr>
      <w:tblGrid>
        <w:gridCol w:w="447"/>
        <w:gridCol w:w="2670"/>
        <w:gridCol w:w="2129"/>
        <w:gridCol w:w="3862"/>
      </w:tblGrid>
      <w:tr w:rsidR="005A3081" w:rsidRPr="00560D95" w14:paraId="28454948" w14:textId="77777777" w:rsidTr="005A3081">
        <w:trPr>
          <w:cantSplit/>
          <w:trHeight w:val="219"/>
          <w:tblHeader/>
        </w:trPr>
        <w:tc>
          <w:tcPr>
            <w:tcW w:w="245" w:type="pct"/>
          </w:tcPr>
          <w:p w14:paraId="0F10AB9C" w14:textId="77777777" w:rsidR="005A3081" w:rsidRPr="00560D95" w:rsidRDefault="005A3081" w:rsidP="005A3081">
            <w:pPr>
              <w:pStyle w:val="TableHEADER"/>
              <w:spacing w:before="0" w:after="0"/>
              <w:rPr>
                <w:rFonts w:asciiTheme="minorHAnsi" w:hAnsiTheme="minorHAnsi"/>
              </w:rPr>
            </w:pPr>
          </w:p>
        </w:tc>
        <w:tc>
          <w:tcPr>
            <w:tcW w:w="1466" w:type="pct"/>
          </w:tcPr>
          <w:p w14:paraId="0D942690" w14:textId="77777777" w:rsidR="005A3081" w:rsidRPr="00560D95" w:rsidRDefault="005A3081" w:rsidP="005A3081">
            <w:pPr>
              <w:pStyle w:val="TableHEADER"/>
              <w:spacing w:before="0" w:after="0"/>
              <w:rPr>
                <w:rFonts w:asciiTheme="minorHAnsi" w:hAnsiTheme="minorHAnsi"/>
              </w:rPr>
            </w:pPr>
            <w:r w:rsidRPr="00560D95">
              <w:rPr>
                <w:rFonts w:asciiTheme="minorHAnsi" w:hAnsiTheme="minorHAnsi"/>
              </w:rPr>
              <w:t>Study type</w:t>
            </w:r>
          </w:p>
        </w:tc>
        <w:tc>
          <w:tcPr>
            <w:tcW w:w="1169" w:type="pct"/>
          </w:tcPr>
          <w:p w14:paraId="07982035" w14:textId="77777777" w:rsidR="005A3081" w:rsidRPr="00560D95" w:rsidRDefault="005A3081" w:rsidP="005A3081">
            <w:pPr>
              <w:pStyle w:val="TableHEADER"/>
              <w:spacing w:before="0" w:after="0"/>
              <w:rPr>
                <w:rFonts w:asciiTheme="minorHAnsi" w:hAnsiTheme="minorHAnsi"/>
              </w:rPr>
            </w:pPr>
            <w:r w:rsidRPr="00560D95">
              <w:rPr>
                <w:rFonts w:asciiTheme="minorHAnsi" w:hAnsiTheme="minorHAnsi"/>
              </w:rPr>
              <w:t>Study identifier</w:t>
            </w:r>
          </w:p>
        </w:tc>
        <w:tc>
          <w:tcPr>
            <w:tcW w:w="2120" w:type="pct"/>
          </w:tcPr>
          <w:p w14:paraId="72184613" w14:textId="77777777" w:rsidR="005A3081" w:rsidRPr="00560D95" w:rsidRDefault="005A3081" w:rsidP="005A3081">
            <w:pPr>
              <w:pStyle w:val="TableHEADER"/>
              <w:spacing w:before="0" w:after="0"/>
              <w:rPr>
                <w:rFonts w:asciiTheme="minorHAnsi" w:hAnsiTheme="minorHAnsi"/>
              </w:rPr>
            </w:pPr>
            <w:r>
              <w:rPr>
                <w:rFonts w:asciiTheme="minorHAnsi" w:hAnsiTheme="minorHAnsi"/>
              </w:rPr>
              <w:t>Key outcomes results</w:t>
            </w:r>
          </w:p>
        </w:tc>
      </w:tr>
      <w:tr w:rsidR="005A3081" w:rsidRPr="00560D95" w14:paraId="6F793EA5" w14:textId="77777777" w:rsidTr="005A3081">
        <w:trPr>
          <w:cantSplit/>
          <w:trHeight w:val="1564"/>
        </w:trPr>
        <w:tc>
          <w:tcPr>
            <w:tcW w:w="245" w:type="pct"/>
          </w:tcPr>
          <w:p w14:paraId="051904BC" w14:textId="77777777" w:rsidR="005A3081" w:rsidRPr="00560D95" w:rsidRDefault="005A3081" w:rsidP="005A3081">
            <w:pPr>
              <w:rPr>
                <w:rFonts w:asciiTheme="minorHAnsi" w:hAnsiTheme="minorHAnsi"/>
                <w:sz w:val="20"/>
                <w:szCs w:val="20"/>
              </w:rPr>
            </w:pPr>
            <w:r w:rsidRPr="00560D95">
              <w:rPr>
                <w:rFonts w:asciiTheme="minorHAnsi" w:hAnsiTheme="minorHAnsi"/>
                <w:sz w:val="20"/>
                <w:szCs w:val="20"/>
              </w:rPr>
              <w:t>1.</w:t>
            </w:r>
          </w:p>
        </w:tc>
        <w:tc>
          <w:tcPr>
            <w:tcW w:w="1466" w:type="pct"/>
          </w:tcPr>
          <w:p w14:paraId="2BD74EE7" w14:textId="77777777" w:rsidR="005A3081" w:rsidRPr="00560D95" w:rsidRDefault="005A3081" w:rsidP="005A3081">
            <w:pPr>
              <w:rPr>
                <w:rFonts w:asciiTheme="minorHAnsi" w:hAnsiTheme="minorHAnsi"/>
                <w:b/>
                <w:sz w:val="20"/>
                <w:szCs w:val="20"/>
              </w:rPr>
            </w:pPr>
            <w:r w:rsidRPr="00560D95">
              <w:rPr>
                <w:rFonts w:asciiTheme="minorHAnsi" w:hAnsiTheme="minorHAnsi" w:cstheme="minorHAnsi"/>
                <w:sz w:val="20"/>
                <w:szCs w:val="20"/>
              </w:rPr>
              <w:t>Prospective, multicentre, randomised control trial</w:t>
            </w:r>
            <w:r>
              <w:rPr>
                <w:rFonts w:asciiTheme="minorHAnsi" w:hAnsiTheme="minorHAnsi" w:cstheme="minorHAnsi"/>
                <w:sz w:val="20"/>
                <w:szCs w:val="20"/>
              </w:rPr>
              <w:t>, N=380</w:t>
            </w:r>
          </w:p>
        </w:tc>
        <w:tc>
          <w:tcPr>
            <w:tcW w:w="1169" w:type="pct"/>
          </w:tcPr>
          <w:p w14:paraId="7DFACD01" w14:textId="77777777" w:rsidR="005A3081" w:rsidRPr="00560D95" w:rsidRDefault="005A3081" w:rsidP="005A3081">
            <w:pPr>
              <w:widowControl w:val="0"/>
              <w:autoSpaceDE w:val="0"/>
              <w:autoSpaceDN w:val="0"/>
              <w:adjustRightInd w:val="0"/>
              <w:rPr>
                <w:rFonts w:asciiTheme="minorHAnsi" w:hAnsiTheme="minorHAnsi" w:cstheme="minorHAnsi"/>
                <w:sz w:val="20"/>
                <w:szCs w:val="20"/>
              </w:rPr>
            </w:pPr>
            <w:r w:rsidRPr="00560D95">
              <w:rPr>
                <w:rFonts w:asciiTheme="minorHAnsi" w:hAnsiTheme="minorHAnsi" w:cstheme="minorHAnsi"/>
                <w:sz w:val="20"/>
                <w:szCs w:val="20"/>
              </w:rPr>
              <w:t>Romano et al. (2016)</w:t>
            </w:r>
          </w:p>
          <w:p w14:paraId="19979E72" w14:textId="77777777" w:rsidR="005A3081" w:rsidRPr="00560D95" w:rsidRDefault="005A3081" w:rsidP="005A3081">
            <w:pPr>
              <w:rPr>
                <w:rFonts w:asciiTheme="minorHAnsi" w:hAnsiTheme="minorHAnsi"/>
                <w:b/>
                <w:sz w:val="20"/>
                <w:szCs w:val="20"/>
              </w:rPr>
            </w:pPr>
          </w:p>
        </w:tc>
        <w:tc>
          <w:tcPr>
            <w:tcW w:w="2120" w:type="pct"/>
          </w:tcPr>
          <w:p w14:paraId="68A63149" w14:textId="05C23368" w:rsidR="005A3081" w:rsidRPr="00926CD3" w:rsidRDefault="005A3081" w:rsidP="005A3081">
            <w:pPr>
              <w:pStyle w:val="ListParagraph"/>
              <w:numPr>
                <w:ilvl w:val="0"/>
                <w:numId w:val="18"/>
              </w:numPr>
              <w:ind w:left="38" w:hanging="142"/>
              <w:rPr>
                <w:rFonts w:asciiTheme="minorHAnsi" w:hAnsiTheme="minorHAnsi"/>
                <w:bCs/>
                <w:sz w:val="20"/>
                <w:szCs w:val="20"/>
              </w:rPr>
            </w:pPr>
            <w:r>
              <w:rPr>
                <w:rFonts w:asciiTheme="minorHAnsi" w:hAnsiTheme="minorHAnsi"/>
                <w:bCs/>
                <w:sz w:val="20"/>
                <w:szCs w:val="20"/>
              </w:rPr>
              <w:t xml:space="preserve">Patients in the DAC group had </w:t>
            </w:r>
            <w:r w:rsidR="007E61AB">
              <w:rPr>
                <w:rFonts w:asciiTheme="minorHAnsi" w:hAnsiTheme="minorHAnsi"/>
                <w:bCs/>
                <w:sz w:val="20"/>
                <w:szCs w:val="20"/>
              </w:rPr>
              <w:t xml:space="preserve">1 </w:t>
            </w:r>
            <w:r>
              <w:rPr>
                <w:rFonts w:asciiTheme="minorHAnsi" w:hAnsiTheme="minorHAnsi"/>
                <w:bCs/>
                <w:sz w:val="20"/>
                <w:szCs w:val="20"/>
              </w:rPr>
              <w:t xml:space="preserve">early SSI compared with 11 in the control group </w:t>
            </w:r>
          </w:p>
          <w:p w14:paraId="4ABDAE5C" w14:textId="77777777" w:rsidR="005A3081" w:rsidRDefault="005A3081" w:rsidP="005A3081">
            <w:pPr>
              <w:rPr>
                <w:rFonts w:asciiTheme="minorHAnsi" w:hAnsiTheme="minorHAnsi"/>
                <w:bCs/>
                <w:sz w:val="20"/>
                <w:szCs w:val="20"/>
              </w:rPr>
            </w:pPr>
            <w:r w:rsidRPr="00926CD3">
              <w:rPr>
                <w:rFonts w:asciiTheme="minorHAnsi" w:hAnsiTheme="minorHAnsi"/>
                <w:bCs/>
                <w:sz w:val="20"/>
                <w:szCs w:val="20"/>
              </w:rPr>
              <w:t>(</w:t>
            </w:r>
            <w:r>
              <w:rPr>
                <w:rFonts w:asciiTheme="minorHAnsi" w:hAnsiTheme="minorHAnsi"/>
                <w:bCs/>
                <w:sz w:val="20"/>
                <w:szCs w:val="20"/>
              </w:rPr>
              <w:t xml:space="preserve">0.6% vs. </w:t>
            </w:r>
            <w:r w:rsidRPr="00926CD3">
              <w:rPr>
                <w:rFonts w:asciiTheme="minorHAnsi" w:hAnsiTheme="minorHAnsi"/>
                <w:bCs/>
                <w:sz w:val="20"/>
                <w:szCs w:val="20"/>
              </w:rPr>
              <w:t>6%; p=0.003)</w:t>
            </w:r>
          </w:p>
          <w:p w14:paraId="69D6EE63" w14:textId="77777777" w:rsidR="005A3081" w:rsidRDefault="005A3081" w:rsidP="005A3081">
            <w:pPr>
              <w:pStyle w:val="ListParagraph"/>
              <w:numPr>
                <w:ilvl w:val="0"/>
                <w:numId w:val="18"/>
              </w:numPr>
              <w:ind w:left="38" w:hanging="142"/>
              <w:rPr>
                <w:rFonts w:asciiTheme="minorHAnsi" w:hAnsiTheme="minorHAnsi"/>
                <w:bCs/>
                <w:sz w:val="20"/>
                <w:szCs w:val="20"/>
              </w:rPr>
            </w:pPr>
            <w:r>
              <w:rPr>
                <w:rFonts w:asciiTheme="minorHAnsi" w:hAnsiTheme="minorHAnsi"/>
                <w:bCs/>
                <w:sz w:val="20"/>
                <w:szCs w:val="20"/>
              </w:rPr>
              <w:t>No local or systemic side effects related to DAC hydrogel coating</w:t>
            </w:r>
          </w:p>
          <w:p w14:paraId="75844C8A" w14:textId="77777777" w:rsidR="005A3081" w:rsidRPr="00926CD3" w:rsidRDefault="005A3081" w:rsidP="005A3081">
            <w:pPr>
              <w:pStyle w:val="ListParagraph"/>
              <w:numPr>
                <w:ilvl w:val="0"/>
                <w:numId w:val="18"/>
              </w:numPr>
              <w:ind w:left="38" w:hanging="142"/>
              <w:rPr>
                <w:rFonts w:asciiTheme="minorHAnsi" w:hAnsiTheme="minorHAnsi"/>
                <w:bCs/>
                <w:sz w:val="20"/>
                <w:szCs w:val="20"/>
              </w:rPr>
            </w:pPr>
            <w:r>
              <w:rPr>
                <w:rFonts w:asciiTheme="minorHAnsi" w:hAnsiTheme="minorHAnsi"/>
                <w:bCs/>
                <w:sz w:val="20"/>
                <w:szCs w:val="20"/>
              </w:rPr>
              <w:t>No detectable interference with implant osteointegration noted</w:t>
            </w:r>
          </w:p>
        </w:tc>
      </w:tr>
      <w:tr w:rsidR="005A3081" w:rsidRPr="00560D95" w14:paraId="5207DD68" w14:textId="77777777" w:rsidTr="005A3081">
        <w:trPr>
          <w:cantSplit/>
          <w:trHeight w:val="1564"/>
        </w:trPr>
        <w:tc>
          <w:tcPr>
            <w:tcW w:w="245" w:type="pct"/>
          </w:tcPr>
          <w:p w14:paraId="19652B2B" w14:textId="77777777" w:rsidR="005A3081" w:rsidRPr="00560D95" w:rsidRDefault="005A3081" w:rsidP="005A3081">
            <w:pPr>
              <w:rPr>
                <w:rFonts w:asciiTheme="minorHAnsi" w:hAnsiTheme="minorHAnsi"/>
                <w:sz w:val="20"/>
                <w:szCs w:val="20"/>
              </w:rPr>
            </w:pPr>
            <w:r w:rsidRPr="00560D95">
              <w:rPr>
                <w:rFonts w:asciiTheme="minorHAnsi" w:hAnsiTheme="minorHAnsi"/>
                <w:sz w:val="20"/>
                <w:szCs w:val="20"/>
              </w:rPr>
              <w:t>2.</w:t>
            </w:r>
          </w:p>
        </w:tc>
        <w:tc>
          <w:tcPr>
            <w:tcW w:w="1466" w:type="pct"/>
          </w:tcPr>
          <w:p w14:paraId="5935C166" w14:textId="77777777" w:rsidR="005A3081" w:rsidRPr="00560D95" w:rsidRDefault="005A3081" w:rsidP="005A3081">
            <w:pPr>
              <w:rPr>
                <w:rFonts w:asciiTheme="minorHAnsi" w:hAnsiTheme="minorHAnsi"/>
                <w:b/>
                <w:sz w:val="20"/>
                <w:szCs w:val="20"/>
              </w:rPr>
            </w:pPr>
            <w:r w:rsidRPr="00560D95">
              <w:rPr>
                <w:rFonts w:asciiTheme="minorHAnsi" w:hAnsiTheme="minorHAnsi" w:cstheme="minorHAnsi"/>
                <w:sz w:val="20"/>
                <w:szCs w:val="20"/>
              </w:rPr>
              <w:t>Prospective, multicentre, randomised control trial</w:t>
            </w:r>
            <w:r>
              <w:rPr>
                <w:rFonts w:asciiTheme="minorHAnsi" w:hAnsiTheme="minorHAnsi" w:cstheme="minorHAnsi"/>
                <w:sz w:val="20"/>
                <w:szCs w:val="20"/>
              </w:rPr>
              <w:t>, N=253</w:t>
            </w:r>
          </w:p>
        </w:tc>
        <w:tc>
          <w:tcPr>
            <w:tcW w:w="1169" w:type="pct"/>
          </w:tcPr>
          <w:p w14:paraId="7E494968" w14:textId="77777777" w:rsidR="005A3081" w:rsidRPr="00560D95" w:rsidRDefault="005A3081" w:rsidP="005A3081">
            <w:pPr>
              <w:rPr>
                <w:rFonts w:asciiTheme="minorHAnsi" w:hAnsiTheme="minorHAnsi"/>
                <w:b/>
                <w:sz w:val="20"/>
                <w:szCs w:val="20"/>
              </w:rPr>
            </w:pPr>
            <w:r w:rsidRPr="00560D95">
              <w:rPr>
                <w:rFonts w:asciiTheme="minorHAnsi" w:hAnsiTheme="minorHAnsi" w:cstheme="minorHAnsi"/>
                <w:sz w:val="20"/>
                <w:szCs w:val="20"/>
              </w:rPr>
              <w:t>Malizos et al. (2017)</w:t>
            </w:r>
          </w:p>
        </w:tc>
        <w:tc>
          <w:tcPr>
            <w:tcW w:w="2120" w:type="pct"/>
          </w:tcPr>
          <w:p w14:paraId="5C921570" w14:textId="1A067DA2" w:rsidR="005A3081" w:rsidRPr="006A08C2" w:rsidRDefault="005A3081" w:rsidP="005A3081">
            <w:pPr>
              <w:pStyle w:val="ListParagraph"/>
              <w:numPr>
                <w:ilvl w:val="0"/>
                <w:numId w:val="18"/>
              </w:numPr>
              <w:ind w:left="38" w:hanging="142"/>
              <w:rPr>
                <w:rFonts w:asciiTheme="minorHAnsi" w:hAnsiTheme="minorHAnsi"/>
                <w:b/>
                <w:sz w:val="20"/>
                <w:szCs w:val="20"/>
              </w:rPr>
            </w:pPr>
            <w:r>
              <w:rPr>
                <w:rFonts w:asciiTheme="minorHAnsi" w:hAnsiTheme="minorHAnsi"/>
                <w:sz w:val="20"/>
                <w:szCs w:val="20"/>
              </w:rPr>
              <w:t xml:space="preserve">Patients in the DAC group had </w:t>
            </w:r>
            <w:r w:rsidR="007E61AB">
              <w:rPr>
                <w:rFonts w:asciiTheme="minorHAnsi" w:hAnsiTheme="minorHAnsi"/>
                <w:sz w:val="20"/>
                <w:szCs w:val="20"/>
              </w:rPr>
              <w:t xml:space="preserve">0 </w:t>
            </w:r>
            <w:r>
              <w:rPr>
                <w:rFonts w:asciiTheme="minorHAnsi" w:hAnsiTheme="minorHAnsi"/>
                <w:sz w:val="20"/>
                <w:szCs w:val="20"/>
              </w:rPr>
              <w:t xml:space="preserve">SSIs compared with </w:t>
            </w:r>
            <w:r w:rsidR="007E61AB">
              <w:rPr>
                <w:rFonts w:asciiTheme="minorHAnsi" w:hAnsiTheme="minorHAnsi"/>
                <w:sz w:val="20"/>
                <w:szCs w:val="20"/>
              </w:rPr>
              <w:t xml:space="preserve">6 </w:t>
            </w:r>
            <w:r>
              <w:rPr>
                <w:rFonts w:asciiTheme="minorHAnsi" w:hAnsiTheme="minorHAnsi"/>
                <w:sz w:val="20"/>
                <w:szCs w:val="20"/>
              </w:rPr>
              <w:t>in the control group (0% vs. 4.6%, p&lt;0.03)</w:t>
            </w:r>
          </w:p>
          <w:p w14:paraId="6B4D50DD" w14:textId="77777777" w:rsidR="005A3081" w:rsidRDefault="005A3081" w:rsidP="005A3081">
            <w:pPr>
              <w:pStyle w:val="ListParagraph"/>
              <w:numPr>
                <w:ilvl w:val="0"/>
                <w:numId w:val="18"/>
              </w:numPr>
              <w:ind w:left="38" w:hanging="142"/>
              <w:rPr>
                <w:rFonts w:asciiTheme="minorHAnsi" w:hAnsiTheme="minorHAnsi"/>
                <w:bCs/>
                <w:sz w:val="20"/>
                <w:szCs w:val="20"/>
              </w:rPr>
            </w:pPr>
            <w:r>
              <w:rPr>
                <w:rFonts w:asciiTheme="minorHAnsi" w:hAnsiTheme="minorHAnsi"/>
                <w:bCs/>
                <w:sz w:val="20"/>
                <w:szCs w:val="20"/>
              </w:rPr>
              <w:t>No local or systemic side effects related to DAC hydrogel coating</w:t>
            </w:r>
          </w:p>
          <w:p w14:paraId="10240CB3" w14:textId="77777777" w:rsidR="005A3081" w:rsidRPr="006A08C2" w:rsidRDefault="005A3081" w:rsidP="005A3081">
            <w:pPr>
              <w:pStyle w:val="ListParagraph"/>
              <w:numPr>
                <w:ilvl w:val="0"/>
                <w:numId w:val="18"/>
              </w:numPr>
              <w:ind w:left="38" w:hanging="142"/>
              <w:rPr>
                <w:rFonts w:asciiTheme="minorHAnsi" w:hAnsiTheme="minorHAnsi"/>
                <w:bCs/>
                <w:sz w:val="20"/>
                <w:szCs w:val="20"/>
              </w:rPr>
            </w:pPr>
            <w:r>
              <w:rPr>
                <w:rFonts w:asciiTheme="minorHAnsi" w:hAnsiTheme="minorHAnsi"/>
                <w:bCs/>
                <w:sz w:val="20"/>
                <w:szCs w:val="20"/>
              </w:rPr>
              <w:t>No detectable interference with bone healing noted</w:t>
            </w:r>
          </w:p>
        </w:tc>
      </w:tr>
      <w:tr w:rsidR="005A3081" w:rsidRPr="00560D95" w14:paraId="12839CDF" w14:textId="77777777" w:rsidTr="005A3081">
        <w:trPr>
          <w:cantSplit/>
          <w:trHeight w:val="886"/>
        </w:trPr>
        <w:tc>
          <w:tcPr>
            <w:tcW w:w="245" w:type="pct"/>
          </w:tcPr>
          <w:p w14:paraId="12C5C955" w14:textId="77777777" w:rsidR="005A3081" w:rsidRPr="00560D95" w:rsidRDefault="005A3081" w:rsidP="005A3081">
            <w:pPr>
              <w:rPr>
                <w:rFonts w:asciiTheme="minorHAnsi" w:hAnsiTheme="minorHAnsi"/>
                <w:sz w:val="20"/>
                <w:szCs w:val="20"/>
              </w:rPr>
            </w:pPr>
            <w:r w:rsidRPr="00560D95">
              <w:rPr>
                <w:rFonts w:asciiTheme="minorHAnsi" w:hAnsiTheme="minorHAnsi"/>
                <w:sz w:val="20"/>
                <w:szCs w:val="20"/>
              </w:rPr>
              <w:t>3.</w:t>
            </w:r>
          </w:p>
        </w:tc>
        <w:tc>
          <w:tcPr>
            <w:tcW w:w="1466" w:type="pct"/>
          </w:tcPr>
          <w:p w14:paraId="48C98098" w14:textId="77777777" w:rsidR="005A3081" w:rsidRPr="00560D95" w:rsidRDefault="005A3081" w:rsidP="005A3081">
            <w:pPr>
              <w:pStyle w:val="NormalWeb"/>
              <w:spacing w:before="0" w:beforeAutospacing="0" w:after="0" w:afterAutospacing="0"/>
              <w:rPr>
                <w:rFonts w:asciiTheme="minorHAnsi" w:hAnsiTheme="minorHAnsi" w:cstheme="minorHAnsi"/>
                <w:color w:val="131413"/>
                <w:sz w:val="20"/>
                <w:szCs w:val="20"/>
              </w:rPr>
            </w:pPr>
            <w:r>
              <w:rPr>
                <w:rFonts w:asciiTheme="minorHAnsi" w:hAnsiTheme="minorHAnsi" w:cstheme="minorHAnsi"/>
                <w:color w:val="131413"/>
                <w:sz w:val="20"/>
                <w:szCs w:val="20"/>
              </w:rPr>
              <w:t>Case-control study, (N=22 retrospective matched cases and controls)</w:t>
            </w:r>
          </w:p>
        </w:tc>
        <w:tc>
          <w:tcPr>
            <w:tcW w:w="1169" w:type="pct"/>
          </w:tcPr>
          <w:p w14:paraId="75572254" w14:textId="77777777" w:rsidR="005A3081" w:rsidRPr="00560D95" w:rsidRDefault="005A3081" w:rsidP="005A3081">
            <w:pPr>
              <w:rPr>
                <w:rFonts w:asciiTheme="minorHAnsi" w:hAnsiTheme="minorHAnsi"/>
                <w:b/>
                <w:sz w:val="20"/>
                <w:szCs w:val="20"/>
              </w:rPr>
            </w:pPr>
            <w:r w:rsidRPr="00560D95">
              <w:rPr>
                <w:rFonts w:asciiTheme="minorHAnsi" w:hAnsiTheme="minorHAnsi" w:cstheme="minorHAnsi"/>
                <w:sz w:val="20"/>
                <w:szCs w:val="20"/>
              </w:rPr>
              <w:t>Capuano et al. (2018)</w:t>
            </w:r>
          </w:p>
        </w:tc>
        <w:tc>
          <w:tcPr>
            <w:tcW w:w="2120" w:type="pct"/>
          </w:tcPr>
          <w:p w14:paraId="2ACCEBED" w14:textId="77777777" w:rsidR="005A3081" w:rsidRPr="006A08C2" w:rsidRDefault="005A3081" w:rsidP="005A3081">
            <w:pPr>
              <w:pStyle w:val="ListParagraph"/>
              <w:numPr>
                <w:ilvl w:val="0"/>
                <w:numId w:val="18"/>
              </w:numPr>
              <w:ind w:left="38" w:hanging="142"/>
              <w:rPr>
                <w:rFonts w:asciiTheme="minorHAnsi" w:hAnsiTheme="minorHAnsi" w:cstheme="minorHAnsi"/>
                <w:color w:val="131413"/>
                <w:sz w:val="20"/>
                <w:szCs w:val="20"/>
              </w:rPr>
            </w:pPr>
            <w:r>
              <w:rPr>
                <w:rFonts w:asciiTheme="minorHAnsi" w:hAnsiTheme="minorHAnsi" w:cstheme="minorHAnsi"/>
                <w:color w:val="131413"/>
                <w:sz w:val="20"/>
                <w:szCs w:val="20"/>
              </w:rPr>
              <w:t>Patients in the DAC group had two infection recurrence (9.1%) compared with three in the control group (13.6%) [two-stage results]</w:t>
            </w:r>
          </w:p>
        </w:tc>
      </w:tr>
      <w:tr w:rsidR="005A3081" w:rsidRPr="00560D95" w14:paraId="26323994" w14:textId="77777777" w:rsidTr="005A3081">
        <w:trPr>
          <w:cantSplit/>
          <w:trHeight w:val="304"/>
        </w:trPr>
        <w:tc>
          <w:tcPr>
            <w:tcW w:w="245" w:type="pct"/>
          </w:tcPr>
          <w:p w14:paraId="5E25CC36" w14:textId="77777777" w:rsidR="005A3081" w:rsidRPr="00560D95" w:rsidRDefault="005A3081" w:rsidP="005A3081">
            <w:pPr>
              <w:rPr>
                <w:rFonts w:asciiTheme="minorHAnsi" w:hAnsiTheme="minorHAnsi"/>
                <w:sz w:val="20"/>
                <w:szCs w:val="20"/>
              </w:rPr>
            </w:pPr>
            <w:r w:rsidRPr="00560D95">
              <w:rPr>
                <w:rFonts w:asciiTheme="minorHAnsi" w:hAnsiTheme="minorHAnsi"/>
                <w:sz w:val="20"/>
                <w:szCs w:val="20"/>
              </w:rPr>
              <w:t>4.</w:t>
            </w:r>
          </w:p>
        </w:tc>
        <w:tc>
          <w:tcPr>
            <w:tcW w:w="1466" w:type="pct"/>
          </w:tcPr>
          <w:p w14:paraId="6B180C1B" w14:textId="77777777" w:rsidR="005A3081" w:rsidRPr="00560D95" w:rsidRDefault="005A3081" w:rsidP="005A3081">
            <w:pPr>
              <w:rPr>
                <w:rFonts w:asciiTheme="minorHAnsi" w:hAnsiTheme="minorHAnsi"/>
                <w:b/>
                <w:sz w:val="20"/>
                <w:szCs w:val="20"/>
              </w:rPr>
            </w:pPr>
            <w:r>
              <w:rPr>
                <w:rFonts w:asciiTheme="minorHAnsi" w:hAnsiTheme="minorHAnsi" w:cstheme="minorHAnsi"/>
                <w:color w:val="131413"/>
                <w:sz w:val="20"/>
                <w:szCs w:val="20"/>
              </w:rPr>
              <w:t>Case-control study (N=27 retrospective matched cases and controls)</w:t>
            </w:r>
          </w:p>
        </w:tc>
        <w:tc>
          <w:tcPr>
            <w:tcW w:w="1169" w:type="pct"/>
          </w:tcPr>
          <w:p w14:paraId="14955582" w14:textId="77777777" w:rsidR="005A3081" w:rsidRPr="00560D95" w:rsidRDefault="005A3081" w:rsidP="005A3081">
            <w:pPr>
              <w:rPr>
                <w:rFonts w:asciiTheme="minorHAnsi" w:hAnsiTheme="minorHAnsi"/>
                <w:b/>
                <w:sz w:val="20"/>
                <w:szCs w:val="20"/>
              </w:rPr>
            </w:pPr>
            <w:r w:rsidRPr="00560D95">
              <w:rPr>
                <w:rFonts w:asciiTheme="minorHAnsi" w:hAnsiTheme="minorHAnsi" w:cstheme="minorHAnsi"/>
                <w:sz w:val="20"/>
                <w:szCs w:val="20"/>
              </w:rPr>
              <w:t>Zagra et al. (2019)</w:t>
            </w:r>
          </w:p>
        </w:tc>
        <w:tc>
          <w:tcPr>
            <w:tcW w:w="2120" w:type="pct"/>
          </w:tcPr>
          <w:p w14:paraId="3FFE0CB5" w14:textId="24D5DC74" w:rsidR="005A3081" w:rsidRDefault="005A3081" w:rsidP="005A3081">
            <w:pPr>
              <w:pStyle w:val="ListParagraph"/>
              <w:numPr>
                <w:ilvl w:val="0"/>
                <w:numId w:val="18"/>
              </w:numPr>
              <w:ind w:left="38" w:hanging="142"/>
              <w:rPr>
                <w:rFonts w:asciiTheme="minorHAnsi" w:hAnsiTheme="minorHAnsi" w:cstheme="minorHAnsi"/>
                <w:color w:val="131413"/>
                <w:sz w:val="20"/>
                <w:szCs w:val="20"/>
              </w:rPr>
            </w:pPr>
            <w:r>
              <w:rPr>
                <w:rFonts w:asciiTheme="minorHAnsi" w:hAnsiTheme="minorHAnsi" w:cstheme="minorHAnsi"/>
                <w:color w:val="131413"/>
                <w:sz w:val="20"/>
                <w:szCs w:val="20"/>
              </w:rPr>
              <w:t>Patients in the DAC group did not result in infection, implant loosening, A</w:t>
            </w:r>
            <w:r w:rsidR="009B30D2">
              <w:rPr>
                <w:rFonts w:asciiTheme="minorHAnsi" w:hAnsiTheme="minorHAnsi" w:cstheme="minorHAnsi"/>
                <w:color w:val="131413"/>
                <w:sz w:val="20"/>
                <w:szCs w:val="20"/>
              </w:rPr>
              <w:t>E</w:t>
            </w:r>
            <w:r>
              <w:rPr>
                <w:rFonts w:asciiTheme="minorHAnsi" w:hAnsiTheme="minorHAnsi" w:cstheme="minorHAnsi"/>
                <w:color w:val="131413"/>
                <w:sz w:val="20"/>
                <w:szCs w:val="20"/>
              </w:rPr>
              <w:t>s</w:t>
            </w:r>
          </w:p>
          <w:p w14:paraId="103A433D" w14:textId="77777777" w:rsidR="005A3081" w:rsidRPr="006A08C2" w:rsidRDefault="005A3081" w:rsidP="005A3081">
            <w:pPr>
              <w:pStyle w:val="ListParagraph"/>
              <w:numPr>
                <w:ilvl w:val="0"/>
                <w:numId w:val="18"/>
              </w:numPr>
              <w:ind w:left="38" w:hanging="142"/>
              <w:rPr>
                <w:rFonts w:asciiTheme="minorHAnsi" w:hAnsiTheme="minorHAnsi" w:cstheme="minorHAnsi"/>
                <w:color w:val="131413"/>
                <w:sz w:val="20"/>
                <w:szCs w:val="20"/>
              </w:rPr>
            </w:pPr>
            <w:r>
              <w:rPr>
                <w:rFonts w:asciiTheme="minorHAnsi" w:hAnsiTheme="minorHAnsi" w:cstheme="minorHAnsi"/>
                <w:color w:val="131413"/>
                <w:sz w:val="20"/>
                <w:szCs w:val="20"/>
              </w:rPr>
              <w:t>Four cases of infection recurrence in the control group</w:t>
            </w:r>
          </w:p>
        </w:tc>
      </w:tr>
      <w:tr w:rsidR="005A3081" w:rsidRPr="00560D95" w14:paraId="006EECEC" w14:textId="77777777" w:rsidTr="005A3081">
        <w:trPr>
          <w:cantSplit/>
          <w:trHeight w:val="896"/>
        </w:trPr>
        <w:tc>
          <w:tcPr>
            <w:tcW w:w="245" w:type="pct"/>
          </w:tcPr>
          <w:p w14:paraId="6FD7A201" w14:textId="77777777" w:rsidR="005A3081" w:rsidRPr="00560D95" w:rsidRDefault="005A3081" w:rsidP="005A3081">
            <w:pPr>
              <w:rPr>
                <w:rFonts w:asciiTheme="minorHAnsi" w:hAnsiTheme="minorHAnsi"/>
                <w:sz w:val="20"/>
                <w:szCs w:val="20"/>
              </w:rPr>
            </w:pPr>
            <w:r w:rsidRPr="00560D95">
              <w:rPr>
                <w:rFonts w:asciiTheme="minorHAnsi" w:hAnsiTheme="minorHAnsi"/>
                <w:sz w:val="20"/>
                <w:szCs w:val="20"/>
              </w:rPr>
              <w:t>5.</w:t>
            </w:r>
          </w:p>
        </w:tc>
        <w:tc>
          <w:tcPr>
            <w:tcW w:w="1466" w:type="pct"/>
          </w:tcPr>
          <w:p w14:paraId="3E6EE5E4" w14:textId="77777777" w:rsidR="005A3081" w:rsidRPr="00560D95" w:rsidRDefault="005A3081" w:rsidP="005A3081">
            <w:pPr>
              <w:rPr>
                <w:rFonts w:asciiTheme="minorHAnsi" w:hAnsiTheme="minorHAnsi"/>
                <w:b/>
                <w:sz w:val="20"/>
                <w:szCs w:val="20"/>
              </w:rPr>
            </w:pPr>
            <w:r w:rsidRPr="00560D95">
              <w:rPr>
                <w:rFonts w:asciiTheme="minorHAnsi" w:hAnsiTheme="minorHAnsi"/>
                <w:sz w:val="20"/>
                <w:szCs w:val="20"/>
              </w:rPr>
              <w:t>Consecutive Case Series</w:t>
            </w:r>
            <w:r>
              <w:rPr>
                <w:rFonts w:asciiTheme="minorHAnsi" w:hAnsiTheme="minorHAnsi"/>
                <w:sz w:val="20"/>
                <w:szCs w:val="20"/>
              </w:rPr>
              <w:t xml:space="preserve"> (N was not clear)</w:t>
            </w:r>
          </w:p>
        </w:tc>
        <w:tc>
          <w:tcPr>
            <w:tcW w:w="1169" w:type="pct"/>
          </w:tcPr>
          <w:p w14:paraId="3F763A77" w14:textId="77777777" w:rsidR="005A3081" w:rsidRPr="00560D95" w:rsidRDefault="005A3081" w:rsidP="005A3081">
            <w:pPr>
              <w:rPr>
                <w:rFonts w:asciiTheme="minorHAnsi" w:hAnsiTheme="minorHAnsi"/>
                <w:b/>
                <w:sz w:val="20"/>
                <w:szCs w:val="20"/>
              </w:rPr>
            </w:pPr>
            <w:r w:rsidRPr="00560D95">
              <w:rPr>
                <w:rFonts w:asciiTheme="minorHAnsi" w:hAnsiTheme="minorHAnsi"/>
                <w:sz w:val="20"/>
                <w:szCs w:val="20"/>
              </w:rPr>
              <w:t>Zoccali et al. (2019)</w:t>
            </w:r>
          </w:p>
        </w:tc>
        <w:tc>
          <w:tcPr>
            <w:tcW w:w="2120" w:type="pct"/>
          </w:tcPr>
          <w:p w14:paraId="35ADAA84" w14:textId="77777777" w:rsidR="005A3081" w:rsidRDefault="005A3081" w:rsidP="005A3081">
            <w:pPr>
              <w:pStyle w:val="ListParagraph"/>
              <w:numPr>
                <w:ilvl w:val="0"/>
                <w:numId w:val="18"/>
              </w:numPr>
              <w:ind w:left="38" w:hanging="142"/>
              <w:rPr>
                <w:rFonts w:asciiTheme="minorHAnsi" w:hAnsiTheme="minorHAnsi" w:cstheme="minorHAnsi"/>
                <w:color w:val="131413"/>
                <w:sz w:val="20"/>
                <w:szCs w:val="20"/>
              </w:rPr>
            </w:pPr>
            <w:r w:rsidRPr="006A08C2">
              <w:rPr>
                <w:rFonts w:asciiTheme="minorHAnsi" w:hAnsiTheme="minorHAnsi" w:cstheme="minorHAnsi"/>
                <w:color w:val="131413"/>
                <w:sz w:val="20"/>
                <w:szCs w:val="20"/>
              </w:rPr>
              <w:t>No deep or organ space infections</w:t>
            </w:r>
            <w:r>
              <w:rPr>
                <w:rFonts w:asciiTheme="minorHAnsi" w:hAnsiTheme="minorHAnsi" w:cstheme="minorHAnsi"/>
                <w:color w:val="131413"/>
                <w:sz w:val="20"/>
                <w:szCs w:val="20"/>
              </w:rPr>
              <w:t xml:space="preserve"> </w:t>
            </w:r>
            <w:r w:rsidRPr="006A08C2">
              <w:rPr>
                <w:rFonts w:asciiTheme="minorHAnsi" w:hAnsiTheme="minorHAnsi" w:cstheme="minorHAnsi"/>
                <w:color w:val="131413"/>
                <w:sz w:val="20"/>
                <w:szCs w:val="20"/>
              </w:rPr>
              <w:t>were seen in the post-operative follow-up</w:t>
            </w:r>
            <w:r>
              <w:rPr>
                <w:rFonts w:asciiTheme="minorHAnsi" w:hAnsiTheme="minorHAnsi" w:cstheme="minorHAnsi"/>
                <w:color w:val="131413"/>
                <w:sz w:val="20"/>
                <w:szCs w:val="20"/>
              </w:rPr>
              <w:t xml:space="preserve"> following the use of DAC</w:t>
            </w:r>
          </w:p>
          <w:p w14:paraId="62736823" w14:textId="77777777" w:rsidR="005A3081" w:rsidRPr="006A08C2" w:rsidRDefault="005A3081" w:rsidP="005A3081">
            <w:pPr>
              <w:pStyle w:val="ListParagraph"/>
              <w:numPr>
                <w:ilvl w:val="0"/>
                <w:numId w:val="18"/>
              </w:numPr>
              <w:ind w:left="38" w:hanging="142"/>
              <w:rPr>
                <w:rFonts w:asciiTheme="minorHAnsi" w:hAnsiTheme="minorHAnsi" w:cstheme="minorHAnsi"/>
                <w:color w:val="131413"/>
                <w:sz w:val="20"/>
                <w:szCs w:val="20"/>
              </w:rPr>
            </w:pPr>
            <w:r w:rsidRPr="006A08C2">
              <w:rPr>
                <w:rFonts w:asciiTheme="minorHAnsi" w:hAnsiTheme="minorHAnsi" w:cstheme="minorHAnsi"/>
                <w:color w:val="131413"/>
                <w:sz w:val="20"/>
                <w:szCs w:val="20"/>
              </w:rPr>
              <w:t>No intraoperative complications related to the use of</w:t>
            </w:r>
            <w:r>
              <w:rPr>
                <w:rFonts w:asciiTheme="minorHAnsi" w:hAnsiTheme="minorHAnsi" w:cstheme="minorHAnsi"/>
                <w:color w:val="131413"/>
                <w:sz w:val="20"/>
                <w:szCs w:val="20"/>
              </w:rPr>
              <w:t xml:space="preserve"> DAC</w:t>
            </w:r>
          </w:p>
        </w:tc>
      </w:tr>
    </w:tbl>
    <w:p w14:paraId="027C1882" w14:textId="3A81A289" w:rsidR="005A3081" w:rsidRDefault="005A3081" w:rsidP="005A3081">
      <w:pPr>
        <w:spacing w:after="0" w:line="240" w:lineRule="auto"/>
        <w:rPr>
          <w:sz w:val="20"/>
          <w:szCs w:val="20"/>
          <w:u w:color="FF0000"/>
        </w:rPr>
      </w:pPr>
      <w:r w:rsidRPr="005A3081">
        <w:rPr>
          <w:sz w:val="20"/>
          <w:szCs w:val="20"/>
          <w:u w:color="FF0000"/>
        </w:rPr>
        <w:t>Source</w:t>
      </w:r>
      <w:r>
        <w:rPr>
          <w:sz w:val="20"/>
          <w:szCs w:val="20"/>
          <w:u w:color="FF0000"/>
        </w:rPr>
        <w:t xml:space="preserve">: Compiled during the </w:t>
      </w:r>
      <w:r w:rsidR="003A1182">
        <w:rPr>
          <w:sz w:val="20"/>
          <w:szCs w:val="20"/>
          <w:u w:color="FF0000"/>
        </w:rPr>
        <w:t>preparation</w:t>
      </w:r>
      <w:r>
        <w:rPr>
          <w:sz w:val="20"/>
          <w:szCs w:val="20"/>
          <w:u w:color="FF0000"/>
        </w:rPr>
        <w:t xml:space="preserve"> of the PICO</w:t>
      </w:r>
      <w:r w:rsidR="003A1182">
        <w:rPr>
          <w:sz w:val="20"/>
          <w:szCs w:val="20"/>
          <w:u w:color="FF0000"/>
        </w:rPr>
        <w:t xml:space="preserve"> based on studies suggested by the </w:t>
      </w:r>
      <w:r w:rsidR="0038000B">
        <w:rPr>
          <w:sz w:val="20"/>
          <w:szCs w:val="20"/>
          <w:u w:color="FF0000"/>
        </w:rPr>
        <w:t>Application</w:t>
      </w:r>
      <w:r>
        <w:rPr>
          <w:sz w:val="20"/>
          <w:szCs w:val="20"/>
          <w:u w:color="FF0000"/>
        </w:rPr>
        <w:t>.</w:t>
      </w:r>
    </w:p>
    <w:p w14:paraId="3A83C3EB" w14:textId="4A3818C1" w:rsidR="005A3081" w:rsidRPr="005A3081" w:rsidRDefault="005A3081" w:rsidP="005A3081">
      <w:pPr>
        <w:rPr>
          <w:sz w:val="20"/>
          <w:szCs w:val="20"/>
          <w:u w:color="FF0000"/>
        </w:rPr>
      </w:pPr>
      <w:r>
        <w:rPr>
          <w:sz w:val="20"/>
          <w:szCs w:val="20"/>
          <w:u w:color="FF0000"/>
        </w:rPr>
        <w:t>Acronyms: A</w:t>
      </w:r>
      <w:r w:rsidR="009B30D2">
        <w:rPr>
          <w:sz w:val="20"/>
          <w:szCs w:val="20"/>
          <w:u w:color="FF0000"/>
        </w:rPr>
        <w:t>E</w:t>
      </w:r>
      <w:r>
        <w:rPr>
          <w:sz w:val="20"/>
          <w:szCs w:val="20"/>
          <w:u w:color="FF0000"/>
        </w:rPr>
        <w:t xml:space="preserve">: Adverse Event; </w:t>
      </w:r>
      <w:r w:rsidRPr="005A3081">
        <w:rPr>
          <w:sz w:val="20"/>
          <w:szCs w:val="20"/>
          <w:u w:color="FF0000"/>
        </w:rPr>
        <w:t>DAC: Defensive Antibacterial Coating</w:t>
      </w:r>
      <w:r>
        <w:rPr>
          <w:sz w:val="20"/>
          <w:szCs w:val="20"/>
          <w:u w:color="FF0000"/>
        </w:rPr>
        <w:t>; SSI: Surgical Site Infection</w:t>
      </w:r>
    </w:p>
    <w:p w14:paraId="5A941B04" w14:textId="4F87D816" w:rsidR="00F20ADF" w:rsidRPr="005C4EA9" w:rsidRDefault="003860F1" w:rsidP="003860F1">
      <w:pPr>
        <w:rPr>
          <w:u w:color="FF0000"/>
        </w:rPr>
      </w:pPr>
      <w:r w:rsidRPr="005C4EA9">
        <w:rPr>
          <w:u w:color="FF0000"/>
        </w:rPr>
        <w:t xml:space="preserve">No economic evaluations assessing the use of DAC to reduce periprosthetic deep SSI reduction versus standard practice were provided in the Application. </w:t>
      </w:r>
      <w:r w:rsidR="00C7211C" w:rsidRPr="005C4EA9">
        <w:rPr>
          <w:u w:color="FF0000"/>
        </w:rPr>
        <w:t xml:space="preserve">A </w:t>
      </w:r>
      <w:r w:rsidRPr="005C4EA9">
        <w:rPr>
          <w:u w:color="FF0000"/>
        </w:rPr>
        <w:t>study</w:t>
      </w:r>
      <w:r w:rsidR="00C7211C" w:rsidRPr="005C4EA9">
        <w:rPr>
          <w:u w:color="FF0000"/>
        </w:rPr>
        <w:t xml:space="preserve"> by Trentinaglia et al</w:t>
      </w:r>
      <w:r w:rsidR="003104C0" w:rsidRPr="005C4EA9">
        <w:rPr>
          <w:u w:color="FF0000"/>
        </w:rPr>
        <w:t>.</w:t>
      </w:r>
      <w:r w:rsidR="00C7211C" w:rsidRPr="005C4EA9">
        <w:rPr>
          <w:u w:color="FF0000"/>
        </w:rPr>
        <w:t xml:space="preserve"> (2018)</w:t>
      </w:r>
      <w:r w:rsidRPr="005C4EA9">
        <w:rPr>
          <w:u w:color="FF0000"/>
        </w:rPr>
        <w:t xml:space="preserve"> evaluated the potential overall annual healthcare cost savings of 3 different antibacterial technologies applied to joint arthroplasty</w:t>
      </w:r>
      <w:r w:rsidR="00A521D7" w:rsidRPr="005C4EA9">
        <w:rPr>
          <w:u w:color="FF0000"/>
        </w:rPr>
        <w:t xml:space="preserve"> in the European healthcare context</w:t>
      </w:r>
      <w:r w:rsidRPr="005C4EA9">
        <w:rPr>
          <w:u w:color="FF0000"/>
        </w:rPr>
        <w:t xml:space="preserve">: a dual-antibiotic-loaded bone cement </w:t>
      </w:r>
      <w:r w:rsidR="00536AAD" w:rsidRPr="005C4EA9">
        <w:rPr>
          <w:u w:color="FF0000"/>
        </w:rPr>
        <w:t>[</w:t>
      </w:r>
      <w:r w:rsidR="00FB6B11" w:rsidRPr="005C4EA9">
        <w:rPr>
          <w:u w:color="FF0000"/>
        </w:rPr>
        <w:t>COPAL G+C, DAC</w:t>
      </w:r>
      <w:r w:rsidRPr="005C4EA9">
        <w:rPr>
          <w:u w:color="FF0000"/>
        </w:rPr>
        <w:t xml:space="preserve">, and </w:t>
      </w:r>
      <w:r w:rsidR="006752BE" w:rsidRPr="005C4EA9">
        <w:rPr>
          <w:u w:color="FF0000"/>
        </w:rPr>
        <w:t>Agluna</w:t>
      </w:r>
      <w:r w:rsidR="00FB6B11" w:rsidRPr="005C4EA9">
        <w:rPr>
          <w:u w:color="FF0000"/>
        </w:rPr>
        <w:t>]</w:t>
      </w:r>
      <w:r w:rsidR="00A521D7" w:rsidRPr="005C4EA9">
        <w:rPr>
          <w:u w:color="FF0000"/>
        </w:rPr>
        <w:t xml:space="preserve"> </w:t>
      </w:r>
      <w:r w:rsidR="00A521D7" w:rsidRPr="005C4EA9">
        <w:rPr>
          <w:u w:color="FF0000"/>
        </w:rPr>
        <w:fldChar w:fldCharType="begin"/>
      </w:r>
      <w:r w:rsidR="00FF3113" w:rsidRPr="005C4EA9">
        <w:rPr>
          <w:u w:color="FF0000"/>
        </w:rPr>
        <w:instrText xml:space="preserve"> ADDIN EN.CITE &lt;EndNote&gt;&lt;Cite&gt;&lt;Author&gt;Trentinaglia&lt;/Author&gt;&lt;Year&gt;2018&lt;/Year&gt;&lt;RecNum&gt;20&lt;/RecNum&gt;&lt;DisplayText&gt;[36]&lt;/DisplayText&gt;&lt;record&gt;&lt;rec-number&gt;20&lt;/rec-number&gt;&lt;foreign-keys&gt;&lt;key app="EN" db-id="0x52t0fa5ezaf7e22eopzxaswfsaaaevpfzf" timestamp="1593577197"&gt;20&lt;/key&gt;&lt;/foreign-keys&gt;&lt;ref-type name="Journal Article"&gt;17&lt;/ref-type&gt;&lt;contributors&gt;&lt;authors&gt;&lt;author&gt;Trentinaglia, Maria Teresa&lt;/author&gt;&lt;author&gt;Van Der Straeten, Catherine&lt;/author&gt;&lt;author&gt;Morelli, Ilaria&lt;/author&gt;&lt;author&gt;Logoluso, Nicola&lt;/author&gt;&lt;author&gt;Drago, Lorenzo&lt;/author&gt;&lt;author&gt;Romanò, Carlo L&lt;/author&gt;&lt;/authors&gt;&lt;/contributors&gt;&lt;titles&gt;&lt;title&gt;Economic evaluation of antibacterial coatings on healthcare costs in first year following total joint arthroplasty&lt;/title&gt;&lt;secondary-title&gt;The Journal of arthroplasty&lt;/secondary-title&gt;&lt;/titles&gt;&lt;periodical&gt;&lt;full-title&gt;The Journal of arthroplasty&lt;/full-title&gt;&lt;/periodical&gt;&lt;pages&gt;1656-1662&lt;/pages&gt;&lt;volume&gt;33&lt;/volume&gt;&lt;number&gt;6&lt;/number&gt;&lt;dates&gt;&lt;year&gt;2018&lt;/year&gt;&lt;/dates&gt;&lt;isbn&gt;0883-5403&lt;/isbn&gt;&lt;urls&gt;&lt;/urls&gt;&lt;/record&gt;&lt;/Cite&gt;&lt;/EndNote&gt;</w:instrText>
      </w:r>
      <w:r w:rsidR="00A521D7" w:rsidRPr="005C4EA9">
        <w:rPr>
          <w:u w:color="FF0000"/>
        </w:rPr>
        <w:fldChar w:fldCharType="separate"/>
      </w:r>
      <w:r w:rsidR="00FF3113" w:rsidRPr="005C4EA9">
        <w:rPr>
          <w:noProof/>
          <w:u w:color="FF0000"/>
        </w:rPr>
        <w:t>[36]</w:t>
      </w:r>
      <w:r w:rsidR="00A521D7" w:rsidRPr="005C4EA9">
        <w:rPr>
          <w:u w:color="FF0000"/>
        </w:rPr>
        <w:fldChar w:fldCharType="end"/>
      </w:r>
      <w:r w:rsidRPr="005C4EA9">
        <w:rPr>
          <w:u w:color="FF0000"/>
        </w:rPr>
        <w:t>.</w:t>
      </w:r>
      <w:r w:rsidR="00D924B4" w:rsidRPr="005C4EA9">
        <w:rPr>
          <w:u w:color="FF0000"/>
        </w:rPr>
        <w:t xml:space="preserve"> When considering a relatively high-risk population of patients with 5% expected post</w:t>
      </w:r>
      <w:r w:rsidR="007A7951" w:rsidRPr="005C4EA9">
        <w:rPr>
          <w:u w:color="FF0000"/>
        </w:rPr>
        <w:t>-</w:t>
      </w:r>
      <w:r w:rsidR="00D924B4" w:rsidRPr="005C4EA9">
        <w:rPr>
          <w:u w:color="FF0000"/>
        </w:rPr>
        <w:t>surgical infection rate, COPAL G + C and DAC hydrogel would</w:t>
      </w:r>
      <w:r w:rsidR="00536AAD" w:rsidRPr="005C4EA9">
        <w:rPr>
          <w:u w:color="FF0000"/>
        </w:rPr>
        <w:t xml:space="preserve"> provide annual direct cost savings of approximately </w:t>
      </w:r>
      <w:r w:rsidR="00536AAD" w:rsidRPr="005C4EA9">
        <w:rPr>
          <w:rFonts w:cs="Calibri"/>
          <w:u w:color="FF0000"/>
        </w:rPr>
        <w:t>€</w:t>
      </w:r>
      <w:r w:rsidR="00536AAD" w:rsidRPr="005C4EA9">
        <w:rPr>
          <w:u w:color="FF0000"/>
        </w:rPr>
        <w:t xml:space="preserve">48,800,000 and </w:t>
      </w:r>
      <w:r w:rsidR="00536AAD" w:rsidRPr="005C4EA9">
        <w:rPr>
          <w:rFonts w:cs="Calibri"/>
          <w:u w:color="FF0000"/>
        </w:rPr>
        <w:t>€</w:t>
      </w:r>
      <w:r w:rsidR="00536AAD" w:rsidRPr="005C4EA9">
        <w:rPr>
          <w:u w:color="FF0000"/>
        </w:rPr>
        <w:t xml:space="preserve">43,200,000, while the use of silver coating would lead to an economic loss of </w:t>
      </w:r>
      <w:r w:rsidR="00536AAD" w:rsidRPr="005C4EA9">
        <w:rPr>
          <w:rFonts w:cs="Calibri"/>
          <w:u w:color="FF0000"/>
        </w:rPr>
        <w:t>€</w:t>
      </w:r>
      <w:r w:rsidR="00536AAD" w:rsidRPr="005C4EA9">
        <w:rPr>
          <w:u w:color="FF0000"/>
        </w:rPr>
        <w:t>136,000,000</w:t>
      </w:r>
      <w:r w:rsidR="00907D8F" w:rsidRPr="005C4EA9">
        <w:rPr>
          <w:u w:color="FF0000"/>
        </w:rPr>
        <w:t>.</w:t>
      </w:r>
    </w:p>
    <w:p w14:paraId="0FA0EEB5" w14:textId="05D28BA6" w:rsidR="003860F1" w:rsidRPr="005C4EA9" w:rsidRDefault="00536AAD" w:rsidP="003860F1">
      <w:pPr>
        <w:rPr>
          <w:u w:color="FF0000"/>
        </w:rPr>
      </w:pPr>
      <w:r w:rsidRPr="005C4EA9">
        <w:rPr>
          <w:u w:color="FF0000"/>
        </w:rPr>
        <w:t>While the cost results</w:t>
      </w:r>
      <w:r w:rsidR="00F20ADF" w:rsidRPr="005C4EA9">
        <w:rPr>
          <w:u w:color="FF0000"/>
        </w:rPr>
        <w:t xml:space="preserve"> in Trentinaglia et al. (2018)</w:t>
      </w:r>
      <w:r w:rsidRPr="005C4EA9">
        <w:rPr>
          <w:u w:color="FF0000"/>
        </w:rPr>
        <w:t xml:space="preserve"> </w:t>
      </w:r>
      <w:r w:rsidR="005A3081" w:rsidRPr="005C4EA9">
        <w:rPr>
          <w:u w:color="FF0000"/>
        </w:rPr>
        <w:t>tend</w:t>
      </w:r>
      <w:r w:rsidRPr="005C4EA9">
        <w:rPr>
          <w:u w:color="FF0000"/>
        </w:rPr>
        <w:t xml:space="preserve"> to show that the use of </w:t>
      </w:r>
      <w:r w:rsidR="005A3081" w:rsidRPr="005C4EA9">
        <w:rPr>
          <w:u w:color="FF0000"/>
        </w:rPr>
        <w:t xml:space="preserve">antibacterial coatings, including DAC, </w:t>
      </w:r>
      <w:r w:rsidR="005D5192" w:rsidRPr="005C4EA9">
        <w:rPr>
          <w:u w:color="FF0000"/>
        </w:rPr>
        <w:t>might</w:t>
      </w:r>
      <w:r w:rsidR="005A3081" w:rsidRPr="005C4EA9">
        <w:rPr>
          <w:u w:color="FF0000"/>
        </w:rPr>
        <w:t xml:space="preserve"> be cost</w:t>
      </w:r>
      <w:r w:rsidR="003A1182" w:rsidRPr="005C4EA9">
        <w:rPr>
          <w:u w:color="FF0000"/>
        </w:rPr>
        <w:t>-</w:t>
      </w:r>
      <w:r w:rsidR="005A3081" w:rsidRPr="005C4EA9">
        <w:rPr>
          <w:u w:color="FF0000"/>
        </w:rPr>
        <w:t>saving, the results do not reflect the actual cost-effectiveness of those interventions</w:t>
      </w:r>
      <w:r w:rsidR="000E4C8C" w:rsidRPr="005C4EA9">
        <w:rPr>
          <w:u w:color="FF0000"/>
        </w:rPr>
        <w:t xml:space="preserve">, due to the incremental health outcomes have not been </w:t>
      </w:r>
      <w:r w:rsidR="005D5192" w:rsidRPr="005C4EA9">
        <w:rPr>
          <w:u w:color="FF0000"/>
        </w:rPr>
        <w:t>captured together with the incremental costs</w:t>
      </w:r>
      <w:r w:rsidR="005A3081" w:rsidRPr="005C4EA9">
        <w:rPr>
          <w:u w:color="FF0000"/>
        </w:rPr>
        <w:t>.</w:t>
      </w:r>
      <w:r w:rsidR="00F20ADF" w:rsidRPr="005C4EA9">
        <w:rPr>
          <w:u w:color="FF0000"/>
        </w:rPr>
        <w:t xml:space="preserve"> More </w:t>
      </w:r>
      <w:r w:rsidR="000E4C8C" w:rsidRPr="005C4EA9">
        <w:rPr>
          <w:u w:color="FF0000"/>
        </w:rPr>
        <w:t xml:space="preserve">robust </w:t>
      </w:r>
      <w:r w:rsidR="00F20ADF" w:rsidRPr="005C4EA9">
        <w:rPr>
          <w:u w:color="FF0000"/>
        </w:rPr>
        <w:t xml:space="preserve">economic outcomes, such as those expressed in terms of incremental cost per QALY gained </w:t>
      </w:r>
      <w:r w:rsidR="00452C50" w:rsidRPr="005C4EA9">
        <w:rPr>
          <w:u w:color="FF0000"/>
        </w:rPr>
        <w:t>may be required</w:t>
      </w:r>
      <w:r w:rsidR="00F20ADF" w:rsidRPr="005C4EA9">
        <w:rPr>
          <w:u w:color="FF0000"/>
        </w:rPr>
        <w:t xml:space="preserve"> to conclude that</w:t>
      </w:r>
      <w:r w:rsidR="000E4C8C" w:rsidRPr="005C4EA9">
        <w:rPr>
          <w:u w:color="FF0000"/>
        </w:rPr>
        <w:t xml:space="preserve"> surgery with</w:t>
      </w:r>
      <w:r w:rsidR="00F20ADF" w:rsidRPr="005C4EA9">
        <w:rPr>
          <w:u w:color="FF0000"/>
        </w:rPr>
        <w:t xml:space="preserve"> DAC is </w:t>
      </w:r>
      <w:r w:rsidR="000E4C8C" w:rsidRPr="005C4EA9">
        <w:rPr>
          <w:u w:color="FF0000"/>
        </w:rPr>
        <w:t xml:space="preserve">considered </w:t>
      </w:r>
      <w:r w:rsidR="00F20ADF" w:rsidRPr="005C4EA9">
        <w:rPr>
          <w:u w:color="FF0000"/>
        </w:rPr>
        <w:t xml:space="preserve">cost-effective compared </w:t>
      </w:r>
      <w:r w:rsidR="000E4C8C" w:rsidRPr="005C4EA9">
        <w:rPr>
          <w:u w:color="FF0000"/>
        </w:rPr>
        <w:t>with</w:t>
      </w:r>
      <w:r w:rsidR="00F20ADF" w:rsidRPr="005C4EA9">
        <w:rPr>
          <w:u w:color="FF0000"/>
        </w:rPr>
        <w:t xml:space="preserve"> </w:t>
      </w:r>
      <w:r w:rsidR="007E61AB" w:rsidRPr="005C4EA9">
        <w:rPr>
          <w:u w:color="FF0000"/>
        </w:rPr>
        <w:t xml:space="preserve">standard </w:t>
      </w:r>
      <w:r w:rsidR="002B291E" w:rsidRPr="005C4EA9">
        <w:rPr>
          <w:u w:color="FF0000"/>
        </w:rPr>
        <w:t xml:space="preserve">surgery </w:t>
      </w:r>
      <w:r w:rsidR="007E61AB" w:rsidRPr="005C4EA9">
        <w:rPr>
          <w:u w:color="FF0000"/>
        </w:rPr>
        <w:t>(</w:t>
      </w:r>
      <w:r w:rsidR="002B291E" w:rsidRPr="005C4EA9">
        <w:rPr>
          <w:u w:color="FF0000"/>
        </w:rPr>
        <w:t>with</w:t>
      </w:r>
      <w:r w:rsidR="007E61AB" w:rsidRPr="005C4EA9">
        <w:rPr>
          <w:u w:color="FF0000"/>
        </w:rPr>
        <w:t>out</w:t>
      </w:r>
      <w:r w:rsidR="002B291E" w:rsidRPr="005C4EA9">
        <w:rPr>
          <w:u w:color="FF0000"/>
        </w:rPr>
        <w:t xml:space="preserve"> DAC</w:t>
      </w:r>
      <w:r w:rsidR="007E61AB" w:rsidRPr="005C4EA9">
        <w:rPr>
          <w:u w:color="FF0000"/>
        </w:rPr>
        <w:t>)</w:t>
      </w:r>
      <w:r w:rsidR="00F20ADF" w:rsidRPr="005C4EA9">
        <w:rPr>
          <w:u w:color="FF0000"/>
        </w:rPr>
        <w:t>.</w:t>
      </w:r>
    </w:p>
    <w:p w14:paraId="629A8F73" w14:textId="11177074" w:rsidR="009C726E" w:rsidRDefault="00F20ADF" w:rsidP="00E637E9">
      <w:pPr>
        <w:rPr>
          <w:u w:color="FF0000"/>
        </w:rPr>
      </w:pPr>
      <w:r w:rsidRPr="005C4EA9">
        <w:rPr>
          <w:u w:color="FF0000"/>
        </w:rPr>
        <w:lastRenderedPageBreak/>
        <w:t xml:space="preserve">Since the </w:t>
      </w:r>
      <w:r w:rsidR="00CA7897">
        <w:rPr>
          <w:u w:color="FF0000"/>
        </w:rPr>
        <w:t>a</w:t>
      </w:r>
      <w:r w:rsidR="0038000B" w:rsidRPr="005C4EA9">
        <w:rPr>
          <w:u w:color="FF0000"/>
        </w:rPr>
        <w:t>pplicant</w:t>
      </w:r>
      <w:r w:rsidRPr="005C4EA9">
        <w:rPr>
          <w:u w:color="FF0000"/>
        </w:rPr>
        <w:t xml:space="preserve"> indicated that the comparative clinical claim is likely to </w:t>
      </w:r>
      <w:r w:rsidR="00391C81" w:rsidRPr="005C4EA9">
        <w:rPr>
          <w:u w:color="FF0000"/>
        </w:rPr>
        <w:t xml:space="preserve">be </w:t>
      </w:r>
      <w:r w:rsidRPr="005C4EA9">
        <w:rPr>
          <w:u w:color="FF0000"/>
        </w:rPr>
        <w:t>superior effectiveness for functional outcome</w:t>
      </w:r>
      <w:r w:rsidR="00665D01" w:rsidRPr="005C4EA9">
        <w:rPr>
          <w:u w:color="FF0000"/>
        </w:rPr>
        <w:t>s</w:t>
      </w:r>
      <w:r w:rsidRPr="005C4EA9">
        <w:rPr>
          <w:u w:color="FF0000"/>
        </w:rPr>
        <w:t>, cost-effectiveness or cost-utility analysis would be appropriate.</w:t>
      </w:r>
    </w:p>
    <w:p w14:paraId="4264F2D1" w14:textId="01701BDE" w:rsidR="002370BF" w:rsidRPr="005C4EA9" w:rsidRDefault="00934C31" w:rsidP="00E637E9">
      <w:pPr>
        <w:rPr>
          <w:u w:color="FF0000"/>
        </w:rPr>
      </w:pPr>
      <w:r w:rsidRPr="00934C31">
        <w:rPr>
          <w:i/>
          <w:u w:color="FF0000"/>
        </w:rPr>
        <w:t>PASC confirmed that a cost-effectiveness or cost-utility analysis would be appropriate.</w:t>
      </w:r>
    </w:p>
    <w:p w14:paraId="10762FD5" w14:textId="478580C1" w:rsidR="00842B88" w:rsidRPr="00842B88" w:rsidRDefault="00C50899" w:rsidP="00842B88">
      <w:pPr>
        <w:pStyle w:val="Heading2"/>
        <w:spacing w:line="240" w:lineRule="auto"/>
        <w:jc w:val="both"/>
        <w:rPr>
          <w:color w:val="548DD4"/>
        </w:rPr>
      </w:pPr>
      <w:r>
        <w:rPr>
          <w:color w:val="548DD4"/>
        </w:rPr>
        <w:t>Proposed item descriptor</w:t>
      </w:r>
    </w:p>
    <w:p w14:paraId="43C35A4E" w14:textId="161FE536" w:rsidR="00842B88" w:rsidRDefault="00C50899" w:rsidP="008772C3">
      <w:r>
        <w:t xml:space="preserve">The Application is for a listing of DAC 5ml kit on </w:t>
      </w:r>
      <w:r w:rsidR="00C7211C">
        <w:t>the Prostheses List</w:t>
      </w:r>
      <w:r w:rsidR="00852A1E">
        <w:t>,</w:t>
      </w:r>
      <w:r>
        <w:t xml:space="preserve"> to be used in conjunction with existing MBS items.</w:t>
      </w:r>
      <w:r w:rsidR="00C064FE">
        <w:t xml:space="preserve"> Public funding is not sought for DAC.</w:t>
      </w:r>
      <w:r>
        <w:t xml:space="preserve"> As such, no new MBS items w</w:t>
      </w:r>
      <w:r w:rsidR="003A1182">
        <w:t>ere</w:t>
      </w:r>
      <w:r>
        <w:t xml:space="preserve"> </w:t>
      </w:r>
      <w:r w:rsidR="00C064FE">
        <w:t>proposed</w:t>
      </w:r>
      <w:r>
        <w:t>.</w:t>
      </w:r>
      <w:r w:rsidR="00934C31">
        <w:t xml:space="preserve"> </w:t>
      </w:r>
      <w:r w:rsidR="00934C31" w:rsidRPr="00934C31">
        <w:rPr>
          <w:i/>
        </w:rPr>
        <w:t>PASC confirmed that no new MBS item is proposed.</w:t>
      </w:r>
    </w:p>
    <w:p w14:paraId="4A07C47B" w14:textId="20E31B4C" w:rsidR="00842B88" w:rsidRDefault="00842B88" w:rsidP="004C5057">
      <w:pPr>
        <w:pStyle w:val="Heading2"/>
        <w:spacing w:line="240" w:lineRule="auto"/>
        <w:jc w:val="both"/>
        <w:rPr>
          <w:color w:val="548DD4"/>
        </w:rPr>
      </w:pPr>
      <w:r w:rsidRPr="004C5057">
        <w:rPr>
          <w:color w:val="548DD4"/>
        </w:rPr>
        <w:t>Consultation feedback</w:t>
      </w:r>
    </w:p>
    <w:p w14:paraId="3834963C" w14:textId="77777777" w:rsidR="00934C31" w:rsidRPr="00934C31" w:rsidRDefault="00934C31" w:rsidP="00934C31">
      <w:pPr>
        <w:rPr>
          <w:i/>
        </w:rPr>
      </w:pPr>
      <w:r w:rsidRPr="00934C31">
        <w:rPr>
          <w:i/>
        </w:rPr>
        <w:t>PASC noted the supportive consultation feedback received from one specialist society and one patient advocacy group:</w:t>
      </w:r>
    </w:p>
    <w:p w14:paraId="547443F4" w14:textId="77777777" w:rsidR="00934C31" w:rsidRPr="00934C31" w:rsidRDefault="00934C31" w:rsidP="00934C31">
      <w:pPr>
        <w:rPr>
          <w:i/>
        </w:rPr>
      </w:pPr>
      <w:r w:rsidRPr="00934C31">
        <w:rPr>
          <w:i/>
        </w:rPr>
        <w:t>1.</w:t>
      </w:r>
      <w:r w:rsidRPr="00934C31">
        <w:rPr>
          <w:i/>
        </w:rPr>
        <w:tab/>
        <w:t>The Specialist Society highlighted the burden of infection in patients receiving megaprostheses in immunosuppressed populations, noting infection rates have been stable over time despite modern improvements. This feedback also considered lower infection rates could thereby reduce overall health costs.</w:t>
      </w:r>
    </w:p>
    <w:p w14:paraId="439AF153" w14:textId="256297BF" w:rsidR="00934C31" w:rsidRDefault="00934C31" w:rsidP="00934C31">
      <w:pPr>
        <w:rPr>
          <w:i/>
        </w:rPr>
      </w:pPr>
      <w:r w:rsidRPr="00934C31">
        <w:rPr>
          <w:i/>
        </w:rPr>
        <w:t>2.</w:t>
      </w:r>
      <w:r w:rsidRPr="00934C31">
        <w:rPr>
          <w:i/>
        </w:rPr>
        <w:tab/>
        <w:t>The patient advocacy group highlighted the high consumer distress associated with joint replacement procedures. This feedback also considered the potential benefits was a reduced risk of infection (such as deep SSIs) for patients having major joint replacement surgery which would be particularly relevant for those with other comorbidities. This feedback also highlighted the potential disadvantage was the high cost of the product.</w:t>
      </w:r>
    </w:p>
    <w:p w14:paraId="134C3ED1" w14:textId="332DE552" w:rsidR="00D163A9" w:rsidRPr="00934C31" w:rsidRDefault="00D163A9" w:rsidP="00934C31">
      <w:pPr>
        <w:rPr>
          <w:i/>
        </w:rPr>
      </w:pPr>
      <w:r>
        <w:rPr>
          <w:i/>
        </w:rPr>
        <w:t>The applicant welcomed the consultation feedback.</w:t>
      </w:r>
    </w:p>
    <w:p w14:paraId="1E5CB441" w14:textId="46E33D4C" w:rsidR="00842B88" w:rsidRDefault="00842B88" w:rsidP="004C5057">
      <w:pPr>
        <w:pStyle w:val="Heading2"/>
        <w:spacing w:line="240" w:lineRule="auto"/>
        <w:jc w:val="both"/>
        <w:rPr>
          <w:color w:val="548DD4"/>
        </w:rPr>
      </w:pPr>
      <w:r w:rsidRPr="004C5057">
        <w:rPr>
          <w:color w:val="548DD4"/>
        </w:rPr>
        <w:t>Next steps</w:t>
      </w:r>
    </w:p>
    <w:p w14:paraId="204B2483" w14:textId="77777777" w:rsidR="00934C31" w:rsidRPr="00934C31" w:rsidRDefault="00934C31" w:rsidP="00934C31">
      <w:pPr>
        <w:rPr>
          <w:i/>
        </w:rPr>
      </w:pPr>
      <w:r w:rsidRPr="00934C31">
        <w:rPr>
          <w:i/>
        </w:rPr>
        <w:t>PASC advised that, upon ratification of the post-PASC PICO, the application can proceed to the Evaluation Sub-Committee (ESC) stage of the MSAC process.</w:t>
      </w:r>
    </w:p>
    <w:p w14:paraId="39E49157" w14:textId="71664F77" w:rsidR="009C4601" w:rsidRPr="00E36EB4" w:rsidRDefault="00934C31" w:rsidP="00477E37">
      <w:pPr>
        <w:rPr>
          <w:rFonts w:cs="Calibri"/>
        </w:rPr>
      </w:pPr>
      <w:r w:rsidRPr="00934C31">
        <w:rPr>
          <w:i/>
        </w:rPr>
        <w:t>PASC noted the applicant has elected to progress its application as a DCAR (Department-contracted assessment report).</w:t>
      </w:r>
    </w:p>
    <w:p w14:paraId="1C18760E" w14:textId="47784599" w:rsidR="00D43FB8" w:rsidRDefault="00D43FB8">
      <w:r>
        <w:br w:type="page"/>
      </w:r>
    </w:p>
    <w:p w14:paraId="4A95E28D" w14:textId="13936914" w:rsidR="009F3949" w:rsidRPr="000F68A2" w:rsidRDefault="000F68A2" w:rsidP="008772C3">
      <w:pPr>
        <w:rPr>
          <w:b/>
        </w:rPr>
      </w:pPr>
      <w:r w:rsidRPr="000F68A2">
        <w:rPr>
          <w:b/>
        </w:rPr>
        <w:lastRenderedPageBreak/>
        <w:t>References</w:t>
      </w:r>
    </w:p>
    <w:p w14:paraId="196FFFAF" w14:textId="77777777" w:rsidR="006B10D6" w:rsidRPr="002370BF" w:rsidRDefault="009F3949" w:rsidP="006B10D6">
      <w:pPr>
        <w:pStyle w:val="EndNoteBibliography"/>
        <w:spacing w:after="0"/>
        <w:ind w:left="720" w:hanging="720"/>
      </w:pPr>
      <w:r w:rsidRPr="00503615">
        <w:fldChar w:fldCharType="begin"/>
      </w:r>
      <w:r w:rsidRPr="00503615">
        <w:instrText xml:space="preserve"> ADDIN EN.REFLIST </w:instrText>
      </w:r>
      <w:r w:rsidRPr="00503615">
        <w:fldChar w:fldCharType="separate"/>
      </w:r>
      <w:r w:rsidR="006B10D6" w:rsidRPr="006B10D6">
        <w:t>1.</w:t>
      </w:r>
      <w:r w:rsidR="006B10D6" w:rsidRPr="006B10D6">
        <w:tab/>
      </w:r>
      <w:r w:rsidR="006B10D6" w:rsidRPr="002370BF">
        <w:t xml:space="preserve">Wilson, A., et al., A scoring method (ASEPSIS) for postoperative wound infections for use in clinical trials of antibiotic prophylaxis. The Lancet, 1986. </w:t>
      </w:r>
      <w:r w:rsidR="006B10D6" w:rsidRPr="002370BF">
        <w:rPr>
          <w:b/>
        </w:rPr>
        <w:t>327</w:t>
      </w:r>
      <w:r w:rsidR="006B10D6" w:rsidRPr="002370BF">
        <w:t>(8476): p. 311-312.</w:t>
      </w:r>
    </w:p>
    <w:p w14:paraId="3AF199B6" w14:textId="77777777" w:rsidR="006B10D6" w:rsidRPr="002370BF" w:rsidRDefault="006B10D6" w:rsidP="006B10D6">
      <w:pPr>
        <w:pStyle w:val="EndNoteBibliography"/>
        <w:spacing w:after="0"/>
        <w:ind w:left="720" w:hanging="720"/>
      </w:pPr>
      <w:r w:rsidRPr="002370BF">
        <w:t>2.</w:t>
      </w:r>
      <w:r w:rsidRPr="002370BF">
        <w:tab/>
        <w:t>Organization, W.H., Global guidelines for the prevention of surgical site infection. 2016: World Health Organization.</w:t>
      </w:r>
    </w:p>
    <w:p w14:paraId="3852E034" w14:textId="77777777" w:rsidR="006B10D6" w:rsidRPr="002370BF" w:rsidRDefault="006B10D6" w:rsidP="006B10D6">
      <w:pPr>
        <w:pStyle w:val="EndNoteBibliography"/>
        <w:spacing w:after="0"/>
        <w:ind w:left="720" w:hanging="720"/>
      </w:pPr>
      <w:r w:rsidRPr="002370BF">
        <w:t>3.</w:t>
      </w:r>
      <w:r w:rsidRPr="002370BF">
        <w:tab/>
        <w:t xml:space="preserve">Romanò, C.L., et al., Does an antibiotic-loaded hydrogel coating reduce early post-surgical infection after joint arthroplasty? Journal of bone and joint infection, 2016. </w:t>
      </w:r>
      <w:r w:rsidRPr="002370BF">
        <w:rPr>
          <w:b/>
        </w:rPr>
        <w:t>1</w:t>
      </w:r>
      <w:r w:rsidRPr="002370BF">
        <w:t>: p. 34.</w:t>
      </w:r>
    </w:p>
    <w:p w14:paraId="753994FF" w14:textId="1848E063" w:rsidR="006B10D6" w:rsidRPr="002370BF" w:rsidRDefault="006B10D6" w:rsidP="00EF2F1F">
      <w:pPr>
        <w:pStyle w:val="EndNote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ind w:left="720" w:hanging="720"/>
      </w:pPr>
      <w:r w:rsidRPr="002370BF">
        <w:t>4.</w:t>
      </w:r>
      <w:r w:rsidRPr="002370BF">
        <w:tab/>
        <w:t xml:space="preserve">Kapadia, B.H., et al., Periprosthetic joint infection. The Lancet, 2016. </w:t>
      </w:r>
      <w:r w:rsidRPr="002370BF">
        <w:rPr>
          <w:b/>
        </w:rPr>
        <w:t>387</w:t>
      </w:r>
      <w:r w:rsidRPr="002370BF">
        <w:t>(10016): p. 386-394.</w:t>
      </w:r>
      <w:r w:rsidR="00EF2F1F">
        <w:tab/>
      </w:r>
    </w:p>
    <w:p w14:paraId="0DC96CED" w14:textId="77777777" w:rsidR="006B10D6" w:rsidRPr="002370BF" w:rsidRDefault="006B10D6" w:rsidP="006B10D6">
      <w:pPr>
        <w:pStyle w:val="EndNoteBibliography"/>
        <w:spacing w:after="0"/>
        <w:ind w:left="720" w:hanging="720"/>
      </w:pPr>
      <w:r w:rsidRPr="002370BF">
        <w:t>5.</w:t>
      </w:r>
      <w:r w:rsidRPr="002370BF">
        <w:tab/>
        <w:t xml:space="preserve">Costerton, J.W., P.S. Stewart, and E.P. Greenberg, Bacterial biofilms: a common cause of persistent infections. Science, 1999. </w:t>
      </w:r>
      <w:r w:rsidRPr="002370BF">
        <w:rPr>
          <w:b/>
        </w:rPr>
        <w:t>284</w:t>
      </w:r>
      <w:r w:rsidRPr="002370BF">
        <w:t>(5418): p. 1318-1322.</w:t>
      </w:r>
    </w:p>
    <w:p w14:paraId="5DEFDCB8" w14:textId="77777777" w:rsidR="006B10D6" w:rsidRPr="002370BF" w:rsidRDefault="006B10D6" w:rsidP="006B10D6">
      <w:pPr>
        <w:pStyle w:val="EndNoteBibliography"/>
        <w:spacing w:after="0"/>
        <w:ind w:left="720" w:hanging="720"/>
      </w:pPr>
      <w:r w:rsidRPr="002370BF">
        <w:t>6.</w:t>
      </w:r>
      <w:r w:rsidRPr="002370BF">
        <w:tab/>
        <w:t xml:space="preserve">Zimmerli, W., A. Trampuz, and P.E. Ochsner, Prosthetic-joint infections. New England Journal of Medicine, 2004. </w:t>
      </w:r>
      <w:r w:rsidRPr="002370BF">
        <w:rPr>
          <w:b/>
        </w:rPr>
        <w:t>351</w:t>
      </w:r>
      <w:r w:rsidRPr="002370BF">
        <w:t>(16): p. 1645-1654.</w:t>
      </w:r>
    </w:p>
    <w:p w14:paraId="46A5B059" w14:textId="77777777" w:rsidR="006B10D6" w:rsidRPr="002370BF" w:rsidRDefault="006B10D6" w:rsidP="006B10D6">
      <w:pPr>
        <w:pStyle w:val="EndNoteBibliography"/>
        <w:spacing w:after="0"/>
        <w:ind w:left="720" w:hanging="720"/>
      </w:pPr>
      <w:r w:rsidRPr="002370BF">
        <w:t>7.</w:t>
      </w:r>
      <w:r w:rsidRPr="002370BF">
        <w:tab/>
        <w:t xml:space="preserve">McPherson, E.J., et al., Periprosthetic total hip infection: outcomes using a staging system. Clinical Orthopaedics and Related Research®, 2002. </w:t>
      </w:r>
      <w:r w:rsidRPr="002370BF">
        <w:rPr>
          <w:b/>
        </w:rPr>
        <w:t>403</w:t>
      </w:r>
      <w:r w:rsidRPr="002370BF">
        <w:t>: p. 8-15.</w:t>
      </w:r>
    </w:p>
    <w:p w14:paraId="44119393" w14:textId="2C240494" w:rsidR="006B10D6" w:rsidRDefault="006B10D6" w:rsidP="006B10D6">
      <w:pPr>
        <w:pStyle w:val="EndNoteBibliography"/>
        <w:spacing w:after="0"/>
        <w:ind w:left="720" w:hanging="720"/>
      </w:pPr>
      <w:r w:rsidRPr="002370BF">
        <w:t>8.</w:t>
      </w:r>
      <w:r w:rsidRPr="002370BF">
        <w:tab/>
        <w:t xml:space="preserve">Malizos, K., et al., Fast-resorbable antibiotic-loaded hydrogel coating to reduce post-surgical infection after internal osteosynthesis: a multicenter randomized controlled trial. Journal of Orthopaedics and Traumatology, 2017. </w:t>
      </w:r>
      <w:r w:rsidRPr="002370BF">
        <w:rPr>
          <w:b/>
        </w:rPr>
        <w:t>18</w:t>
      </w:r>
      <w:r w:rsidRPr="002370BF">
        <w:t>(2): p. 159-169.</w:t>
      </w:r>
    </w:p>
    <w:p w14:paraId="7CD05BE8" w14:textId="7731321E" w:rsidR="00EF2F1F" w:rsidRPr="00EF2F1F" w:rsidRDefault="00EF2F1F" w:rsidP="00EF2F1F">
      <w:pPr>
        <w:autoSpaceDE w:val="0"/>
        <w:autoSpaceDN w:val="0"/>
        <w:adjustRightInd w:val="0"/>
        <w:spacing w:after="0" w:line="240" w:lineRule="auto"/>
        <w:ind w:left="720" w:hanging="720"/>
        <w:rPr>
          <w:rFonts w:cs="Calibri"/>
          <w:noProof/>
          <w:lang w:val="en-US"/>
        </w:rPr>
      </w:pPr>
      <w:r>
        <w:t xml:space="preserve">9. </w:t>
      </w:r>
      <w:r>
        <w:tab/>
        <w:t xml:space="preserve">Kunutsor, SK., et al., </w:t>
      </w:r>
      <w:r>
        <w:rPr>
          <w:rFonts w:cs="Calibri"/>
          <w:noProof/>
          <w:lang w:val="en-US"/>
        </w:rPr>
        <w:t xml:space="preserve">Patient-Related </w:t>
      </w:r>
      <w:r w:rsidRPr="00EF2F1F">
        <w:rPr>
          <w:rFonts w:cs="Calibri"/>
          <w:noProof/>
          <w:lang w:val="en-US"/>
        </w:rPr>
        <w:t>Risk Factors for Perip</w:t>
      </w:r>
      <w:r>
        <w:rPr>
          <w:rFonts w:cs="Calibri"/>
          <w:noProof/>
          <w:lang w:val="en-US"/>
        </w:rPr>
        <w:t xml:space="preserve">rosthetic Joint Infection after Total Joint </w:t>
      </w:r>
      <w:r w:rsidRPr="00EF2F1F">
        <w:rPr>
          <w:rFonts w:cs="Calibri"/>
          <w:noProof/>
          <w:lang w:val="en-US"/>
        </w:rPr>
        <w:t>Arthro</w:t>
      </w:r>
      <w:r>
        <w:rPr>
          <w:rFonts w:cs="Calibri"/>
          <w:noProof/>
          <w:lang w:val="en-US"/>
        </w:rPr>
        <w:t xml:space="preserve">plasty: A Systematic Review and </w:t>
      </w:r>
      <w:r>
        <w:t>M</w:t>
      </w:r>
      <w:r w:rsidRPr="00EF2F1F">
        <w:rPr>
          <w:rFonts w:cs="Calibri"/>
        </w:rPr>
        <w:t>eta-Analysis.</w:t>
      </w:r>
      <w:r>
        <w:rPr>
          <w:rFonts w:cs="Calibri"/>
        </w:rPr>
        <w:t xml:space="preserve"> PLoS ONE, 2016.</w:t>
      </w:r>
      <w:r w:rsidRPr="00EF2F1F">
        <w:rPr>
          <w:rFonts w:cs="Calibri"/>
          <w:b/>
        </w:rPr>
        <w:t xml:space="preserve"> 11</w:t>
      </w:r>
      <w:r>
        <w:rPr>
          <w:rFonts w:cs="Calibri"/>
        </w:rPr>
        <w:t>(3): p 11-14</w:t>
      </w:r>
    </w:p>
    <w:p w14:paraId="3E5E2E78" w14:textId="77EBB70A" w:rsidR="006B10D6" w:rsidRPr="002370BF" w:rsidRDefault="00EF2F1F" w:rsidP="006B10D6">
      <w:pPr>
        <w:pStyle w:val="EndNoteBibliography"/>
        <w:spacing w:after="0"/>
        <w:ind w:left="720" w:hanging="720"/>
      </w:pPr>
      <w:r>
        <w:t>10</w:t>
      </w:r>
      <w:r w:rsidR="006B10D6" w:rsidRPr="002370BF">
        <w:t>.</w:t>
      </w:r>
      <w:r w:rsidR="006B10D6" w:rsidRPr="002370BF">
        <w:tab/>
        <w:t xml:space="preserve">Parvizi, J. and T. Gehrke, Definition of periprosthetic joint infection. The Journal of arthroplasty, 2014. </w:t>
      </w:r>
      <w:r w:rsidR="006B10D6" w:rsidRPr="002370BF">
        <w:rPr>
          <w:b/>
        </w:rPr>
        <w:t>29</w:t>
      </w:r>
      <w:r w:rsidR="006B10D6" w:rsidRPr="002370BF">
        <w:t>(7): p. 1331.</w:t>
      </w:r>
    </w:p>
    <w:p w14:paraId="73816516" w14:textId="0BA34F0C" w:rsidR="006B10D6" w:rsidRPr="002370BF" w:rsidRDefault="00EF2F1F" w:rsidP="006B10D6">
      <w:pPr>
        <w:pStyle w:val="EndNoteBibliography"/>
        <w:spacing w:after="0"/>
        <w:ind w:left="720" w:hanging="720"/>
      </w:pPr>
      <w:r>
        <w:t>11</w:t>
      </w:r>
      <w:r w:rsidR="006B10D6" w:rsidRPr="002370BF">
        <w:t>.</w:t>
      </w:r>
      <w:r w:rsidR="006B10D6" w:rsidRPr="002370BF">
        <w:tab/>
        <w:t xml:space="preserve">Capuano, N., et al., One-stage exchange with antibacterial hydrogel coated implants provides similar results to two-stage revision, without the coating, for the treatment of peri-prosthetic infection. Knee Surgery, Sports Traumatology, Arthroscopy, 2018. </w:t>
      </w:r>
      <w:r w:rsidR="006B10D6" w:rsidRPr="002370BF">
        <w:rPr>
          <w:b/>
        </w:rPr>
        <w:t>26</w:t>
      </w:r>
      <w:r w:rsidR="006B10D6" w:rsidRPr="002370BF">
        <w:t>(11): p. 3362-3367.</w:t>
      </w:r>
    </w:p>
    <w:p w14:paraId="757A3D62" w14:textId="50CAAE7A" w:rsidR="006B10D6" w:rsidRPr="002370BF" w:rsidRDefault="00EF2F1F" w:rsidP="006B10D6">
      <w:pPr>
        <w:pStyle w:val="EndNoteBibliography"/>
        <w:spacing w:after="0"/>
        <w:ind w:left="720" w:hanging="720"/>
      </w:pPr>
      <w:r>
        <w:t>12</w:t>
      </w:r>
      <w:r w:rsidR="006B10D6" w:rsidRPr="002370BF">
        <w:t>.</w:t>
      </w:r>
      <w:r w:rsidR="006B10D6" w:rsidRPr="002370BF">
        <w:tab/>
        <w:t xml:space="preserve">Zagra, L., et al., Two-stage cementless hip revision for peri-prosthetic infection with an antibacterial hydrogel coating: results of a comparative series. International Orthopaedics, 2019. </w:t>
      </w:r>
      <w:r w:rsidR="006B10D6" w:rsidRPr="002370BF">
        <w:rPr>
          <w:b/>
        </w:rPr>
        <w:t>43</w:t>
      </w:r>
      <w:r w:rsidR="006B10D6" w:rsidRPr="002370BF">
        <w:t>(1): p. 111-115.</w:t>
      </w:r>
    </w:p>
    <w:p w14:paraId="30CEAE9F" w14:textId="7E534C8D" w:rsidR="006B10D6" w:rsidRPr="002370BF" w:rsidRDefault="00EF2F1F" w:rsidP="006B10D6">
      <w:pPr>
        <w:pStyle w:val="EndNoteBibliography"/>
        <w:spacing w:after="0"/>
        <w:ind w:left="720" w:hanging="720"/>
      </w:pPr>
      <w:r>
        <w:t>13</w:t>
      </w:r>
      <w:r w:rsidR="006B10D6" w:rsidRPr="002370BF">
        <w:t>.</w:t>
      </w:r>
      <w:r w:rsidR="006B10D6" w:rsidRPr="002370BF">
        <w:tab/>
        <w:t xml:space="preserve">Poultsides, L.A., et al., In-hospital surgical site infections after primary hip and knee arthroplasty—incidence and risk factors. The Journal of arthroplasty, 2013. </w:t>
      </w:r>
      <w:r w:rsidR="006B10D6" w:rsidRPr="002370BF">
        <w:rPr>
          <w:b/>
        </w:rPr>
        <w:t>28</w:t>
      </w:r>
      <w:r w:rsidR="006B10D6" w:rsidRPr="002370BF">
        <w:t>(3): p. 385-389.</w:t>
      </w:r>
    </w:p>
    <w:p w14:paraId="17CA0FE6" w14:textId="0D0ACC8F" w:rsidR="006B10D6" w:rsidRPr="002370BF" w:rsidRDefault="00EF2F1F" w:rsidP="006B10D6">
      <w:pPr>
        <w:pStyle w:val="EndNoteBibliography"/>
        <w:spacing w:after="0"/>
        <w:ind w:left="720" w:hanging="720"/>
      </w:pPr>
      <w:r>
        <w:t>14</w:t>
      </w:r>
      <w:r w:rsidR="006B10D6" w:rsidRPr="002370BF">
        <w:t>.</w:t>
      </w:r>
      <w:r w:rsidR="006B10D6" w:rsidRPr="002370BF">
        <w:tab/>
        <w:t xml:space="preserve">Adeyemi, A. and P. Trueman, Economic burden of surgical site infections within the episode of care following joint replacement. Journal of Orthopaedic Surgery and Research, 2019. </w:t>
      </w:r>
      <w:r w:rsidR="006B10D6" w:rsidRPr="002370BF">
        <w:rPr>
          <w:b/>
        </w:rPr>
        <w:t>14</w:t>
      </w:r>
      <w:r w:rsidR="006B10D6" w:rsidRPr="002370BF">
        <w:t>(1): p. 196.</w:t>
      </w:r>
    </w:p>
    <w:p w14:paraId="07A76672" w14:textId="0AD51396" w:rsidR="006B10D6" w:rsidRPr="002370BF" w:rsidRDefault="00EF2F1F" w:rsidP="006B10D6">
      <w:pPr>
        <w:pStyle w:val="EndNoteBibliography"/>
        <w:spacing w:after="0"/>
        <w:ind w:left="720" w:hanging="720"/>
      </w:pPr>
      <w:r>
        <w:t>15</w:t>
      </w:r>
      <w:r w:rsidR="006B10D6" w:rsidRPr="002370BF">
        <w:t>.</w:t>
      </w:r>
      <w:r w:rsidR="006B10D6" w:rsidRPr="002370BF">
        <w:tab/>
        <w:t xml:space="preserve">Lum, Z.C., et al., Mortality during total knee periprosthetic joint infection. The Journal of Arthroplasty, 2018. </w:t>
      </w:r>
      <w:r w:rsidR="006B10D6" w:rsidRPr="002370BF">
        <w:rPr>
          <w:b/>
        </w:rPr>
        <w:t>33</w:t>
      </w:r>
      <w:r w:rsidR="006B10D6" w:rsidRPr="002370BF">
        <w:t>(12): p. 3783-3788.</w:t>
      </w:r>
    </w:p>
    <w:p w14:paraId="60557709" w14:textId="28A1A6CB" w:rsidR="006B10D6" w:rsidRPr="002370BF" w:rsidRDefault="00EF2F1F" w:rsidP="006B10D6">
      <w:pPr>
        <w:pStyle w:val="EndNoteBibliography"/>
        <w:spacing w:after="0"/>
        <w:ind w:left="720" w:hanging="720"/>
      </w:pPr>
      <w:r>
        <w:t>16</w:t>
      </w:r>
      <w:r w:rsidR="006B10D6" w:rsidRPr="002370BF">
        <w:t>.</w:t>
      </w:r>
      <w:r w:rsidR="006B10D6" w:rsidRPr="002370BF">
        <w:tab/>
        <w:t xml:space="preserve">Cahill, J.L., et al., Quality of life after infection in total joint replacement. Journal of orthopaedic surgery, 2008. </w:t>
      </w:r>
      <w:r w:rsidR="006B10D6" w:rsidRPr="002370BF">
        <w:rPr>
          <w:b/>
        </w:rPr>
        <w:t>16</w:t>
      </w:r>
      <w:r w:rsidR="006B10D6" w:rsidRPr="002370BF">
        <w:t>(1): p. 58-65.</w:t>
      </w:r>
    </w:p>
    <w:p w14:paraId="1258FBF9" w14:textId="18865671" w:rsidR="006B10D6" w:rsidRPr="002370BF" w:rsidRDefault="00EF2F1F" w:rsidP="006B10D6">
      <w:pPr>
        <w:pStyle w:val="EndNoteBibliography"/>
        <w:spacing w:after="0"/>
        <w:ind w:left="720" w:hanging="720"/>
      </w:pPr>
      <w:r>
        <w:t>17</w:t>
      </w:r>
      <w:r w:rsidR="006B10D6" w:rsidRPr="002370BF">
        <w:t>.</w:t>
      </w:r>
      <w:r w:rsidR="006B10D6" w:rsidRPr="002370BF">
        <w:tab/>
        <w:t xml:space="preserve">Sigmund, I.K., et al., Efficacy of different revision procedures for infected megaprostheses in musculoskeletal tumour surgery of the lower limb. PloS one, 2018. </w:t>
      </w:r>
      <w:r w:rsidR="006B10D6" w:rsidRPr="002370BF">
        <w:rPr>
          <w:b/>
        </w:rPr>
        <w:t>13</w:t>
      </w:r>
      <w:r w:rsidR="006B10D6" w:rsidRPr="002370BF">
        <w:t>(7): p. e0200304.</w:t>
      </w:r>
    </w:p>
    <w:p w14:paraId="4EA1CDDF" w14:textId="743CD67C" w:rsidR="006B10D6" w:rsidRPr="002370BF" w:rsidRDefault="00EF2F1F" w:rsidP="006B10D6">
      <w:pPr>
        <w:pStyle w:val="EndNoteBibliography"/>
        <w:spacing w:after="0"/>
        <w:ind w:left="720" w:hanging="720"/>
      </w:pPr>
      <w:r>
        <w:lastRenderedPageBreak/>
        <w:t>18</w:t>
      </w:r>
      <w:r w:rsidR="006B10D6" w:rsidRPr="002370BF">
        <w:t>.</w:t>
      </w:r>
      <w:r w:rsidR="006B10D6" w:rsidRPr="002370BF">
        <w:tab/>
        <w:t xml:space="preserve">Peel, T., et al., Factors influencing the cost of prosthetic joint infection treatment. Journal of Hospital Infection, 2013. </w:t>
      </w:r>
      <w:r w:rsidR="006B10D6" w:rsidRPr="002370BF">
        <w:rPr>
          <w:b/>
        </w:rPr>
        <w:t>85</w:t>
      </w:r>
      <w:r w:rsidR="006B10D6" w:rsidRPr="002370BF">
        <w:t>(3): p. 213-219.</w:t>
      </w:r>
    </w:p>
    <w:p w14:paraId="4D793324" w14:textId="463810ED" w:rsidR="006B10D6" w:rsidRPr="002370BF" w:rsidRDefault="00EF2F1F" w:rsidP="006B10D6">
      <w:pPr>
        <w:pStyle w:val="EndNoteBibliography"/>
        <w:spacing w:after="0"/>
        <w:ind w:left="720" w:hanging="720"/>
      </w:pPr>
      <w:r>
        <w:t>19</w:t>
      </w:r>
      <w:r w:rsidR="006B10D6" w:rsidRPr="002370BF">
        <w:t>.</w:t>
      </w:r>
      <w:r w:rsidR="006B10D6" w:rsidRPr="002370BF">
        <w:tab/>
        <w:t xml:space="preserve">Kurtz, S., et al., Projections of primary and revision hip and knee arthroplasty in the United States from 2005 to 2030. Jbjs, 2007. </w:t>
      </w:r>
      <w:r w:rsidR="006B10D6" w:rsidRPr="002370BF">
        <w:rPr>
          <w:b/>
        </w:rPr>
        <w:t>89</w:t>
      </w:r>
      <w:r w:rsidR="006B10D6" w:rsidRPr="002370BF">
        <w:t>(4): p. 780-785.</w:t>
      </w:r>
    </w:p>
    <w:p w14:paraId="04587D14" w14:textId="10C1E0AC" w:rsidR="006B10D6" w:rsidRPr="002370BF" w:rsidRDefault="00EF2F1F" w:rsidP="006B10D6">
      <w:pPr>
        <w:pStyle w:val="EndNoteBibliography"/>
        <w:spacing w:after="0"/>
        <w:ind w:left="720" w:hanging="720"/>
      </w:pPr>
      <w:r>
        <w:t>20</w:t>
      </w:r>
      <w:r w:rsidR="006B10D6" w:rsidRPr="002370BF">
        <w:t>.</w:t>
      </w:r>
      <w:r w:rsidR="006B10D6" w:rsidRPr="002370BF">
        <w:tab/>
        <w:t xml:space="preserve">Kurtz, S.M., et al., Economic burden of periprosthetic joint infection in the United States. The Journal of arthroplasty, 2012. </w:t>
      </w:r>
      <w:r w:rsidR="006B10D6" w:rsidRPr="002370BF">
        <w:rPr>
          <w:b/>
        </w:rPr>
        <w:t>27</w:t>
      </w:r>
      <w:r w:rsidR="006B10D6" w:rsidRPr="002370BF">
        <w:t>(8): p. 61-65. e1.</w:t>
      </w:r>
    </w:p>
    <w:p w14:paraId="1DCEE336" w14:textId="0E319A13" w:rsidR="006B10D6" w:rsidRPr="002370BF" w:rsidRDefault="00EF2F1F" w:rsidP="006B10D6">
      <w:pPr>
        <w:pStyle w:val="EndNoteBibliography"/>
        <w:spacing w:after="0"/>
        <w:ind w:left="720" w:hanging="720"/>
      </w:pPr>
      <w:r>
        <w:t>21</w:t>
      </w:r>
      <w:r w:rsidR="006B10D6" w:rsidRPr="002370BF">
        <w:t>.</w:t>
      </w:r>
      <w:r w:rsidR="006B10D6" w:rsidRPr="002370BF">
        <w:tab/>
        <w:t>Australian Orthopaedic Association National Joint Replacement Registry (AOANJRR), Hip, Knee &amp; Shoulder Arthroplasty: 2019 Annual Report. 2019: Adelaide: AOA.</w:t>
      </w:r>
    </w:p>
    <w:p w14:paraId="31523D76" w14:textId="129BC50D" w:rsidR="006B10D6" w:rsidRPr="002370BF" w:rsidRDefault="00EF2F1F" w:rsidP="006B10D6">
      <w:pPr>
        <w:pStyle w:val="EndNoteBibliography"/>
        <w:spacing w:after="0"/>
        <w:ind w:left="720" w:hanging="720"/>
      </w:pPr>
      <w:r>
        <w:t>22</w:t>
      </w:r>
      <w:r w:rsidR="006B10D6" w:rsidRPr="002370BF">
        <w:t>.</w:t>
      </w:r>
      <w:r w:rsidR="006B10D6" w:rsidRPr="002370BF">
        <w:tab/>
        <w:t xml:space="preserve">Marang-Van de Mheen, P.J., et al., Variation in Prosthetic Joint Infection and treatment strategies during 4.5 years of follow-up after primary joint arthroplasty using administrative data of 41397 patients across Australian, European and United States hospitals. BMC musculoskeletal disorders, 2017. </w:t>
      </w:r>
      <w:r w:rsidR="006B10D6" w:rsidRPr="002370BF">
        <w:rPr>
          <w:b/>
        </w:rPr>
        <w:t>18</w:t>
      </w:r>
      <w:r w:rsidR="006B10D6" w:rsidRPr="002370BF">
        <w:t>(1): p. 207.</w:t>
      </w:r>
    </w:p>
    <w:p w14:paraId="026B6A9A" w14:textId="3A077D9F" w:rsidR="006B10D6" w:rsidRPr="002370BF" w:rsidRDefault="00EF2F1F" w:rsidP="006B10D6">
      <w:pPr>
        <w:pStyle w:val="EndNoteBibliography"/>
        <w:spacing w:after="0"/>
        <w:ind w:left="720" w:hanging="720"/>
      </w:pPr>
      <w:r>
        <w:t>23</w:t>
      </w:r>
      <w:r w:rsidR="006B10D6" w:rsidRPr="002370BF">
        <w:t>.</w:t>
      </w:r>
      <w:r w:rsidR="006B10D6" w:rsidRPr="002370BF">
        <w:tab/>
        <w:t xml:space="preserve">Urquhart, D.M., et al., Incidence and risk factors for deep surgical site infection after primary total hip arthroplasty: a systematic review. The Journal of arthroplasty, 2010. </w:t>
      </w:r>
      <w:r w:rsidR="006B10D6" w:rsidRPr="002370BF">
        <w:rPr>
          <w:b/>
        </w:rPr>
        <w:t>25</w:t>
      </w:r>
      <w:r w:rsidR="006B10D6" w:rsidRPr="002370BF">
        <w:t>(8): p. 1216-1222. e3.</w:t>
      </w:r>
    </w:p>
    <w:p w14:paraId="725BE628" w14:textId="135A33E4" w:rsidR="006B10D6" w:rsidRPr="002370BF" w:rsidRDefault="00EF2F1F" w:rsidP="006B10D6">
      <w:pPr>
        <w:pStyle w:val="EndNoteBibliography"/>
        <w:spacing w:after="0"/>
        <w:ind w:left="720" w:hanging="720"/>
      </w:pPr>
      <w:r>
        <w:t>24</w:t>
      </w:r>
      <w:r w:rsidR="006B10D6" w:rsidRPr="002370BF">
        <w:t>.</w:t>
      </w:r>
      <w:r w:rsidR="006B10D6" w:rsidRPr="002370BF">
        <w:tab/>
        <w:t>Medicare Australia Statistics. Requested Medicare items processed from July 2016 to June 2019. 2020</w:t>
      </w:r>
      <w:r w:rsidR="008A2B44" w:rsidRPr="002370BF">
        <w:t xml:space="preserve"> </w:t>
      </w:r>
      <w:r w:rsidR="006B10D6" w:rsidRPr="002370BF">
        <w:t xml:space="preserve">[cited 2020 June 1]; Available from: </w:t>
      </w:r>
      <w:hyperlink r:id="rId15" w:history="1">
        <w:r w:rsidR="006B10D6" w:rsidRPr="002370BF">
          <w:rPr>
            <w:rStyle w:val="Hyperlink"/>
            <w:rFonts w:cs="Calibri"/>
          </w:rPr>
          <w:t>http://medicarestatistics.humanservices.gov.au/statistics/do.jsp?_PROGRAM=%2Fstatistics%2Fmbs_item_standard_report&amp;DRILL=ag&amp;group=49318%2C+49319%2C+49324%2C+49327%2C+49330%2C+49333%2C+49336%2C+49346%2C+49509%2C+49512%2C+49517%2C+49518%2C+49527%2C+49530%2C+49533%2C+50215%2C+50218%2C+50224%2C+50227&amp;VAR=services&amp;STAT=count&amp;RPT_FMT=by+time+period+and+state&amp;PTYPE=finyear&amp;START_DT=201607&amp;END_DT=201906</w:t>
        </w:r>
      </w:hyperlink>
      <w:r w:rsidR="006B10D6" w:rsidRPr="002370BF">
        <w:t>.</w:t>
      </w:r>
    </w:p>
    <w:p w14:paraId="099B8C31" w14:textId="22F59868" w:rsidR="006B10D6" w:rsidRPr="002370BF" w:rsidRDefault="00EF2F1F" w:rsidP="006B10D6">
      <w:pPr>
        <w:pStyle w:val="EndNoteBibliography"/>
        <w:spacing w:after="0"/>
        <w:ind w:left="720" w:hanging="720"/>
      </w:pPr>
      <w:r>
        <w:t>25</w:t>
      </w:r>
      <w:r w:rsidR="006B10D6" w:rsidRPr="002370BF">
        <w:t>.</w:t>
      </w:r>
      <w:r w:rsidR="006B10D6" w:rsidRPr="002370BF">
        <w:tab/>
        <w:t>Zoccali, C., et al., Antibacterial hydrogel coating in the prevention of periprosthetic joint infection after bone reconstruction with megaprosthesis: a consecutive case series. 2019.</w:t>
      </w:r>
    </w:p>
    <w:p w14:paraId="4324C1F2" w14:textId="4F741A9B" w:rsidR="006B10D6" w:rsidRPr="002370BF" w:rsidRDefault="00EF2F1F" w:rsidP="006B10D6">
      <w:pPr>
        <w:pStyle w:val="EndNoteBibliography"/>
        <w:spacing w:after="0"/>
        <w:ind w:left="720" w:hanging="720"/>
      </w:pPr>
      <w:r>
        <w:t>26</w:t>
      </w:r>
      <w:r w:rsidR="006B10D6" w:rsidRPr="002370BF">
        <w:t>.</w:t>
      </w:r>
      <w:r w:rsidR="006B10D6" w:rsidRPr="002370BF">
        <w:tab/>
        <w:t xml:space="preserve">Novagenit. What is DAC. 22 June 2020; Available from: </w:t>
      </w:r>
      <w:hyperlink r:id="rId16" w:history="1">
        <w:r w:rsidR="006B10D6" w:rsidRPr="002370BF">
          <w:rPr>
            <w:rStyle w:val="Hyperlink"/>
            <w:rFonts w:cs="Calibri"/>
          </w:rPr>
          <w:t>http://www.dac-coating.com/dac/what-is-dac/</w:t>
        </w:r>
      </w:hyperlink>
      <w:r w:rsidR="006B10D6" w:rsidRPr="002370BF">
        <w:t>.</w:t>
      </w:r>
    </w:p>
    <w:p w14:paraId="64B23BBE" w14:textId="511B2267" w:rsidR="006B10D6" w:rsidRPr="002370BF" w:rsidRDefault="00EF2F1F" w:rsidP="006B10D6">
      <w:pPr>
        <w:pStyle w:val="EndNoteBibliography"/>
        <w:spacing w:after="0"/>
        <w:ind w:left="720" w:hanging="720"/>
      </w:pPr>
      <w:r>
        <w:t>27</w:t>
      </w:r>
      <w:r w:rsidR="006B10D6" w:rsidRPr="002370BF">
        <w:t>.</w:t>
      </w:r>
      <w:r w:rsidR="006B10D6" w:rsidRPr="002370BF">
        <w:tab/>
        <w:t xml:space="preserve">Novagenit. Technical Data Sheet. 18 June 2020; Available from: </w:t>
      </w:r>
      <w:hyperlink r:id="rId17" w:history="1">
        <w:r w:rsidR="006B10D6" w:rsidRPr="002370BF">
          <w:rPr>
            <w:rStyle w:val="Hyperlink"/>
            <w:rFonts w:cs="Calibri"/>
          </w:rPr>
          <w:t>http://www.novagenit.com/page_contents/media/pdf/ST-NG002_KIT_DAC_DACXXNNNY_EN_rev05.pdf</w:t>
        </w:r>
      </w:hyperlink>
      <w:r w:rsidR="006B10D6" w:rsidRPr="002370BF">
        <w:t>.</w:t>
      </w:r>
    </w:p>
    <w:p w14:paraId="4AEC72A1" w14:textId="5D538E71" w:rsidR="006B10D6" w:rsidRPr="002370BF" w:rsidRDefault="00EF2F1F" w:rsidP="006B10D6">
      <w:pPr>
        <w:pStyle w:val="EndNoteBibliography"/>
        <w:spacing w:after="0"/>
        <w:ind w:left="720" w:hanging="720"/>
      </w:pPr>
      <w:r>
        <w:t>28</w:t>
      </w:r>
      <w:r w:rsidR="006B10D6" w:rsidRPr="002370BF">
        <w:t>.</w:t>
      </w:r>
      <w:r w:rsidR="006B10D6" w:rsidRPr="002370BF">
        <w:tab/>
        <w:t xml:space="preserve">Davidson, D.J., D. Spratt, and A.D. Liddle, Implant materials and prosthetic joint infection: the battle with the biofilm. EFORT open reviews, 2019. </w:t>
      </w:r>
      <w:r w:rsidR="006B10D6" w:rsidRPr="002370BF">
        <w:rPr>
          <w:b/>
        </w:rPr>
        <w:t>4</w:t>
      </w:r>
      <w:r w:rsidR="006B10D6" w:rsidRPr="002370BF">
        <w:t>(11): p. 633-639.</w:t>
      </w:r>
    </w:p>
    <w:p w14:paraId="5337EA9D" w14:textId="382A1856" w:rsidR="006B10D6" w:rsidRPr="002370BF" w:rsidRDefault="00EF2F1F" w:rsidP="006B10D6">
      <w:pPr>
        <w:pStyle w:val="EndNoteBibliography"/>
        <w:spacing w:after="0"/>
        <w:ind w:left="720" w:hanging="720"/>
      </w:pPr>
      <w:r>
        <w:t>29</w:t>
      </w:r>
      <w:r w:rsidR="006B10D6" w:rsidRPr="002370BF">
        <w:t>.</w:t>
      </w:r>
      <w:r w:rsidR="006B10D6" w:rsidRPr="002370BF">
        <w:tab/>
        <w:t xml:space="preserve">Novagenit. DAC barrier effect. 28 June 2020; Available from: </w:t>
      </w:r>
      <w:hyperlink r:id="rId18" w:history="1">
        <w:r w:rsidR="006B10D6" w:rsidRPr="002370BF">
          <w:rPr>
            <w:rStyle w:val="Hyperlink"/>
            <w:rFonts w:cs="Calibri"/>
          </w:rPr>
          <w:t>http://www.dac-coating.com/dac/dac-barrier-effect/</w:t>
        </w:r>
      </w:hyperlink>
      <w:r w:rsidR="006B10D6" w:rsidRPr="002370BF">
        <w:t>.</w:t>
      </w:r>
    </w:p>
    <w:p w14:paraId="212F3C0F" w14:textId="62C0855C" w:rsidR="006B10D6" w:rsidRPr="002370BF" w:rsidRDefault="00EF2F1F" w:rsidP="006B10D6">
      <w:pPr>
        <w:pStyle w:val="EndNoteBibliography"/>
        <w:spacing w:after="0"/>
        <w:ind w:left="720" w:hanging="720"/>
      </w:pPr>
      <w:r>
        <w:t>30</w:t>
      </w:r>
      <w:r w:rsidR="006B10D6" w:rsidRPr="002370BF">
        <w:t>.</w:t>
      </w:r>
      <w:r w:rsidR="006B10D6" w:rsidRPr="002370BF">
        <w:tab/>
        <w:t xml:space="preserve">Drago, L., et al., Does implant coating with antibacterial-loaded hydrogel reduce bacterial colonization and biofilm formation in vitro? Clinical Orthopaedics and Related Research®, 2014. </w:t>
      </w:r>
      <w:r w:rsidR="006B10D6" w:rsidRPr="002370BF">
        <w:rPr>
          <w:b/>
        </w:rPr>
        <w:t>472</w:t>
      </w:r>
      <w:r w:rsidR="006B10D6" w:rsidRPr="002370BF">
        <w:t>(11): p. 3311-3323.</w:t>
      </w:r>
    </w:p>
    <w:p w14:paraId="5C78B2E7" w14:textId="3EA1A001" w:rsidR="006B10D6" w:rsidRPr="002370BF" w:rsidRDefault="00EF2F1F" w:rsidP="006B10D6">
      <w:pPr>
        <w:pStyle w:val="EndNoteBibliography"/>
        <w:spacing w:after="0"/>
        <w:ind w:left="720" w:hanging="720"/>
      </w:pPr>
      <w:r>
        <w:t>31</w:t>
      </w:r>
      <w:r w:rsidR="006B10D6" w:rsidRPr="002370BF">
        <w:t>.</w:t>
      </w:r>
      <w:r w:rsidR="006B10D6" w:rsidRPr="002370BF">
        <w:tab/>
        <w:t>The Therapeutic Goods Administration. Medical devices (including IVDs) designation notices.</w:t>
      </w:r>
      <w:r w:rsidR="008A2B44" w:rsidRPr="002370BF">
        <w:t xml:space="preserve"> </w:t>
      </w:r>
      <w:r w:rsidR="006B10D6" w:rsidRPr="002370BF">
        <w:t xml:space="preserve">27 June 2020]; Available from: </w:t>
      </w:r>
      <w:hyperlink r:id="rId19" w:history="1">
        <w:r w:rsidR="006B10D6" w:rsidRPr="002370BF">
          <w:rPr>
            <w:rStyle w:val="Hyperlink"/>
            <w:rFonts w:cs="Calibri"/>
          </w:rPr>
          <w:t>https://www.tga.gov.au/ws-md-designation-notices-index</w:t>
        </w:r>
      </w:hyperlink>
      <w:r w:rsidR="006B10D6" w:rsidRPr="002370BF">
        <w:t>.</w:t>
      </w:r>
    </w:p>
    <w:p w14:paraId="26BA61CA" w14:textId="331B1A6D" w:rsidR="006B10D6" w:rsidRPr="002370BF" w:rsidRDefault="00EF2F1F" w:rsidP="006B10D6">
      <w:pPr>
        <w:pStyle w:val="EndNoteBibliography"/>
        <w:spacing w:after="0"/>
        <w:ind w:left="720" w:hanging="720"/>
      </w:pPr>
      <w:r>
        <w:t>32</w:t>
      </w:r>
      <w:r w:rsidR="006B10D6" w:rsidRPr="002370BF">
        <w:t>.</w:t>
      </w:r>
      <w:r w:rsidR="006B10D6" w:rsidRPr="002370BF">
        <w:tab/>
        <w:t>National Institute for Health and Care Excellence, Surgical site infections: prevention and treatment. 2019.</w:t>
      </w:r>
    </w:p>
    <w:p w14:paraId="574F6D8C" w14:textId="5C68B978" w:rsidR="006B10D6" w:rsidRPr="002370BF" w:rsidRDefault="00EF2F1F" w:rsidP="006B10D6">
      <w:pPr>
        <w:pStyle w:val="EndNoteBibliography"/>
        <w:spacing w:after="0"/>
        <w:ind w:left="720" w:hanging="720"/>
      </w:pPr>
      <w:r>
        <w:lastRenderedPageBreak/>
        <w:t>33</w:t>
      </w:r>
      <w:r w:rsidR="006B10D6" w:rsidRPr="002370BF">
        <w:t>.</w:t>
      </w:r>
      <w:r w:rsidR="006B10D6" w:rsidRPr="002370BF">
        <w:tab/>
        <w:t>National Institute for Health and Care Excellence. Joint replacement (primary): hip, knee and shoulder NICE guideline [NG157]. 2020</w:t>
      </w:r>
      <w:r w:rsidR="008A2B44" w:rsidRPr="002370BF">
        <w:t xml:space="preserve"> </w:t>
      </w:r>
      <w:r w:rsidR="006B10D6" w:rsidRPr="002370BF">
        <w:t xml:space="preserve">June 20 2020]; Available from: </w:t>
      </w:r>
      <w:hyperlink r:id="rId20" w:history="1">
        <w:r w:rsidR="006B10D6" w:rsidRPr="002370BF">
          <w:rPr>
            <w:rStyle w:val="Hyperlink"/>
            <w:rFonts w:cs="Calibri"/>
          </w:rPr>
          <w:t>https://www.nice.org.uk/guidance/ng157/documents/html-content-2</w:t>
        </w:r>
      </w:hyperlink>
      <w:r w:rsidR="006B10D6" w:rsidRPr="002370BF">
        <w:t>.</w:t>
      </w:r>
    </w:p>
    <w:p w14:paraId="013AACA2" w14:textId="6751C775" w:rsidR="006B10D6" w:rsidRPr="002370BF" w:rsidRDefault="00EF2F1F" w:rsidP="006B10D6">
      <w:pPr>
        <w:pStyle w:val="EndNoteBibliography"/>
        <w:spacing w:after="0"/>
        <w:ind w:left="720" w:hanging="720"/>
      </w:pPr>
      <w:r>
        <w:t>34</w:t>
      </w:r>
      <w:r w:rsidR="006B10D6" w:rsidRPr="002370BF">
        <w:t>.</w:t>
      </w:r>
      <w:r w:rsidR="006B10D6" w:rsidRPr="002370BF">
        <w:tab/>
        <w:t xml:space="preserve">Ling, M.L., et al., APSIC guidelines for the prevention of surgical site infections. Antimicrobial Resistance &amp; Infection Control, 2019. </w:t>
      </w:r>
      <w:r w:rsidR="006B10D6" w:rsidRPr="002370BF">
        <w:rPr>
          <w:b/>
        </w:rPr>
        <w:t>8</w:t>
      </w:r>
      <w:r w:rsidR="006B10D6" w:rsidRPr="002370BF">
        <w:t>(1): p. 1-8.</w:t>
      </w:r>
    </w:p>
    <w:p w14:paraId="44E9FB02" w14:textId="2726898B" w:rsidR="006B10D6" w:rsidRPr="002370BF" w:rsidRDefault="00EF2F1F" w:rsidP="006B10D6">
      <w:pPr>
        <w:pStyle w:val="EndNoteBibliography"/>
        <w:spacing w:after="0"/>
        <w:ind w:left="720" w:hanging="720"/>
      </w:pPr>
      <w:r>
        <w:t>35</w:t>
      </w:r>
      <w:r w:rsidR="006B10D6" w:rsidRPr="002370BF">
        <w:t>.</w:t>
      </w:r>
      <w:r w:rsidR="006B10D6" w:rsidRPr="002370BF">
        <w:tab/>
        <w:t xml:space="preserve">Cats-Baril, W., et al., International consensus on periprosthetic joint infection: description of the consensus process. Clinical Orthopaedics and Related Research®, 2013. </w:t>
      </w:r>
      <w:r w:rsidR="006B10D6" w:rsidRPr="002370BF">
        <w:rPr>
          <w:b/>
        </w:rPr>
        <w:t>471</w:t>
      </w:r>
      <w:r w:rsidR="006B10D6" w:rsidRPr="002370BF">
        <w:t>(12): p. 4065-4075.</w:t>
      </w:r>
    </w:p>
    <w:p w14:paraId="077682F7" w14:textId="575E631B" w:rsidR="006B10D6" w:rsidRPr="002370BF" w:rsidRDefault="00EF2F1F" w:rsidP="006B10D6">
      <w:pPr>
        <w:pStyle w:val="EndNoteBibliography"/>
        <w:spacing w:after="0"/>
        <w:ind w:left="720" w:hanging="720"/>
      </w:pPr>
      <w:r>
        <w:t>36</w:t>
      </w:r>
      <w:r w:rsidR="006B10D6" w:rsidRPr="002370BF">
        <w:t>.</w:t>
      </w:r>
      <w:r w:rsidR="006B10D6" w:rsidRPr="002370BF">
        <w:tab/>
        <w:t xml:space="preserve">Fillingham, Y., et al., Hip and knee section, prevention, local antimicrobials: proceedings of international consensus on orthopedic infections. The Journal of Arthroplasty, 2019. </w:t>
      </w:r>
      <w:r w:rsidR="006B10D6" w:rsidRPr="002370BF">
        <w:rPr>
          <w:b/>
        </w:rPr>
        <w:t>34</w:t>
      </w:r>
      <w:r w:rsidR="006B10D6" w:rsidRPr="002370BF">
        <w:t>(2): p. S289-S292.</w:t>
      </w:r>
    </w:p>
    <w:p w14:paraId="649A5896" w14:textId="30E7F696" w:rsidR="006B10D6" w:rsidRPr="002370BF" w:rsidRDefault="00EF2F1F" w:rsidP="006B10D6">
      <w:pPr>
        <w:pStyle w:val="EndNoteBibliography"/>
        <w:spacing w:after="0"/>
        <w:ind w:left="720" w:hanging="720"/>
      </w:pPr>
      <w:r>
        <w:t>37</w:t>
      </w:r>
      <w:r w:rsidR="006B10D6" w:rsidRPr="002370BF">
        <w:t>.</w:t>
      </w:r>
      <w:r w:rsidR="006B10D6" w:rsidRPr="002370BF">
        <w:tab/>
        <w:t xml:space="preserve">Trentinaglia, M.T., et al., Economic evaluation of antibacterial coatings on healthcare costs in first year following total joint arthroplasty. The Journal of arthroplasty, 2018. </w:t>
      </w:r>
      <w:r w:rsidR="006B10D6" w:rsidRPr="002370BF">
        <w:rPr>
          <w:b/>
        </w:rPr>
        <w:t>33</w:t>
      </w:r>
      <w:r w:rsidR="006B10D6" w:rsidRPr="002370BF">
        <w:t>(6): p. 1656-1662.</w:t>
      </w:r>
    </w:p>
    <w:p w14:paraId="5048AB20" w14:textId="14CD76E8" w:rsidR="006B10D6" w:rsidRPr="002370BF" w:rsidRDefault="00EF2F1F" w:rsidP="006B10D6">
      <w:pPr>
        <w:pStyle w:val="EndNoteBibliography"/>
        <w:spacing w:after="0"/>
        <w:ind w:left="720" w:hanging="720"/>
      </w:pPr>
      <w:r>
        <w:t>38</w:t>
      </w:r>
      <w:r w:rsidR="006B10D6" w:rsidRPr="002370BF">
        <w:t>.</w:t>
      </w:r>
      <w:r w:rsidR="006B10D6" w:rsidRPr="002370BF">
        <w:tab/>
        <w:t xml:space="preserve">Vanrusselt, J., et al., Postoperative radiograph of the hip arthroplasty: what the radiologist should know. Insights into imaging, 2015. </w:t>
      </w:r>
      <w:r w:rsidR="006B10D6" w:rsidRPr="002370BF">
        <w:rPr>
          <w:b/>
        </w:rPr>
        <w:t>6</w:t>
      </w:r>
      <w:r w:rsidR="006B10D6" w:rsidRPr="002370BF">
        <w:t>(6): p. 591-600.</w:t>
      </w:r>
    </w:p>
    <w:p w14:paraId="426A41C2" w14:textId="455E5205" w:rsidR="006B10D6" w:rsidRPr="002370BF" w:rsidRDefault="00EF2F1F" w:rsidP="006B10D6">
      <w:pPr>
        <w:pStyle w:val="EndNoteBibliography"/>
        <w:ind w:left="720" w:hanging="720"/>
      </w:pPr>
      <w:r>
        <w:t>39</w:t>
      </w:r>
      <w:r w:rsidR="006B10D6" w:rsidRPr="002370BF">
        <w:t>.</w:t>
      </w:r>
      <w:r w:rsidR="006B10D6" w:rsidRPr="002370BF">
        <w:tab/>
        <w:t xml:space="preserve">Le, Q.A., Probabilistic mapping of the health status measure SF-12 onto the health utility measure EQ-5D using the US-population-based scoring models. Quality of Life Research, 2014. </w:t>
      </w:r>
      <w:r w:rsidR="006B10D6" w:rsidRPr="002370BF">
        <w:rPr>
          <w:b/>
        </w:rPr>
        <w:t>23</w:t>
      </w:r>
      <w:r w:rsidR="006B10D6" w:rsidRPr="002370BF">
        <w:t>(2): p. 459-466.</w:t>
      </w:r>
    </w:p>
    <w:p w14:paraId="44751664" w14:textId="52A94288" w:rsidR="00304500" w:rsidRDefault="009F3949" w:rsidP="00091E3C">
      <w:pPr>
        <w:pStyle w:val="EndNoteBibliography"/>
        <w:ind w:left="720" w:hanging="720"/>
      </w:pPr>
      <w:r w:rsidRPr="00503615">
        <w:fldChar w:fldCharType="end"/>
      </w:r>
    </w:p>
    <w:p w14:paraId="4E07305A" w14:textId="4769BB6B" w:rsidR="003E577A" w:rsidRDefault="003E577A">
      <w:pPr>
        <w:sectPr w:rsidR="003E577A">
          <w:pgSz w:w="11906" w:h="16838"/>
          <w:pgMar w:top="1440" w:right="1440" w:bottom="1440" w:left="1440" w:header="708" w:footer="708" w:gutter="0"/>
          <w:cols w:space="708"/>
          <w:docGrid w:linePitch="360"/>
        </w:sectPr>
      </w:pPr>
    </w:p>
    <w:p w14:paraId="673444C7" w14:textId="40E4A4C2" w:rsidR="008772C3" w:rsidRPr="00304500" w:rsidRDefault="00304500" w:rsidP="00304500">
      <w:pPr>
        <w:rPr>
          <w:b/>
        </w:rPr>
      </w:pPr>
      <w:r w:rsidRPr="00304500">
        <w:rPr>
          <w:b/>
        </w:rPr>
        <w:lastRenderedPageBreak/>
        <w:t>Appendix</w:t>
      </w:r>
    </w:p>
    <w:p w14:paraId="74FD465E" w14:textId="0AFFE902" w:rsidR="003E577A" w:rsidRDefault="003E577A" w:rsidP="003E577A">
      <w:pPr>
        <w:pStyle w:val="Caption"/>
      </w:pPr>
      <w:r>
        <w:t xml:space="preserve">Table </w:t>
      </w:r>
      <w:r w:rsidR="00C9776A">
        <w:t>4:</w:t>
      </w:r>
      <w:r>
        <w:t xml:space="preserve"> </w:t>
      </w:r>
      <w:r w:rsidRPr="00077A76">
        <w:t>Staging System for Prosthetic Joint Infection</w:t>
      </w:r>
    </w:p>
    <w:tbl>
      <w:tblPr>
        <w:tblStyle w:val="TableGrid"/>
        <w:tblW w:w="5000" w:type="pct"/>
        <w:tblLook w:val="04A0" w:firstRow="1" w:lastRow="0" w:firstColumn="1" w:lastColumn="0" w:noHBand="0" w:noVBand="1"/>
        <w:tblCaption w:val="Table 4: Staging System for Prosthetic Joint Infection"/>
      </w:tblPr>
      <w:tblGrid>
        <w:gridCol w:w="2259"/>
        <w:gridCol w:w="938"/>
        <w:gridCol w:w="5819"/>
      </w:tblGrid>
      <w:tr w:rsidR="00304500" w:rsidRPr="003B5983" w14:paraId="01C5BA86" w14:textId="77777777" w:rsidTr="004C04E6">
        <w:trPr>
          <w:tblHeader/>
        </w:trPr>
        <w:tc>
          <w:tcPr>
            <w:tcW w:w="1253" w:type="pct"/>
          </w:tcPr>
          <w:p w14:paraId="682F7DF0" w14:textId="6B1C644A" w:rsidR="00304500" w:rsidRPr="003B5983" w:rsidRDefault="00304500" w:rsidP="00304500">
            <w:pPr>
              <w:pStyle w:val="EndNoteBibliography"/>
              <w:rPr>
                <w:b/>
                <w:sz w:val="20"/>
                <w:szCs w:val="20"/>
              </w:rPr>
            </w:pPr>
            <w:r w:rsidRPr="003B5983">
              <w:rPr>
                <w:b/>
                <w:sz w:val="20"/>
                <w:szCs w:val="20"/>
              </w:rPr>
              <w:t>Category</w:t>
            </w:r>
          </w:p>
        </w:tc>
        <w:tc>
          <w:tcPr>
            <w:tcW w:w="520" w:type="pct"/>
          </w:tcPr>
          <w:p w14:paraId="00FF49B1" w14:textId="054FB984" w:rsidR="00304500" w:rsidRPr="003B5983" w:rsidRDefault="00304500" w:rsidP="00304500">
            <w:pPr>
              <w:pStyle w:val="EndNoteBibliography"/>
              <w:jc w:val="center"/>
              <w:rPr>
                <w:b/>
                <w:sz w:val="20"/>
                <w:szCs w:val="20"/>
              </w:rPr>
            </w:pPr>
            <w:r w:rsidRPr="003B5983">
              <w:rPr>
                <w:b/>
                <w:sz w:val="20"/>
                <w:szCs w:val="20"/>
              </w:rPr>
              <w:t>Grading</w:t>
            </w:r>
          </w:p>
        </w:tc>
        <w:tc>
          <w:tcPr>
            <w:tcW w:w="3227" w:type="pct"/>
          </w:tcPr>
          <w:p w14:paraId="5CBAB52F" w14:textId="238A0F42" w:rsidR="00304500" w:rsidRPr="003B5983" w:rsidRDefault="00304500" w:rsidP="00304500">
            <w:pPr>
              <w:pStyle w:val="EndNoteBibliography"/>
              <w:jc w:val="center"/>
              <w:rPr>
                <w:b/>
                <w:sz w:val="20"/>
                <w:szCs w:val="20"/>
              </w:rPr>
            </w:pPr>
            <w:r w:rsidRPr="003B5983">
              <w:rPr>
                <w:b/>
                <w:sz w:val="20"/>
                <w:szCs w:val="20"/>
              </w:rPr>
              <w:t>Description</w:t>
            </w:r>
          </w:p>
        </w:tc>
      </w:tr>
      <w:tr w:rsidR="00F43F40" w:rsidRPr="003B5983" w14:paraId="5587AA9B" w14:textId="77777777" w:rsidTr="00F43F40">
        <w:tc>
          <w:tcPr>
            <w:tcW w:w="1253" w:type="pct"/>
            <w:vMerge w:val="restart"/>
            <w:vAlign w:val="center"/>
          </w:tcPr>
          <w:p w14:paraId="19915B95" w14:textId="65C9484D" w:rsidR="00F43F40" w:rsidRPr="003B5983" w:rsidRDefault="00F43F40" w:rsidP="00F43F40">
            <w:pPr>
              <w:pStyle w:val="EndNoteBibliography"/>
              <w:rPr>
                <w:sz w:val="20"/>
                <w:szCs w:val="20"/>
              </w:rPr>
            </w:pPr>
            <w:r w:rsidRPr="003B5983">
              <w:rPr>
                <w:sz w:val="20"/>
                <w:szCs w:val="20"/>
              </w:rPr>
              <w:t>Infection type</w:t>
            </w:r>
          </w:p>
        </w:tc>
        <w:tc>
          <w:tcPr>
            <w:tcW w:w="520" w:type="pct"/>
          </w:tcPr>
          <w:p w14:paraId="78731FBF" w14:textId="36E2D74B" w:rsidR="00F43F40" w:rsidRPr="003B5983" w:rsidRDefault="00F43F40" w:rsidP="001057F3">
            <w:pPr>
              <w:pStyle w:val="EndNoteBibliography"/>
              <w:jc w:val="center"/>
              <w:rPr>
                <w:sz w:val="20"/>
                <w:szCs w:val="20"/>
              </w:rPr>
            </w:pPr>
            <w:r w:rsidRPr="003B5983">
              <w:rPr>
                <w:sz w:val="20"/>
                <w:szCs w:val="20"/>
              </w:rPr>
              <w:t>I</w:t>
            </w:r>
          </w:p>
        </w:tc>
        <w:tc>
          <w:tcPr>
            <w:tcW w:w="3227" w:type="pct"/>
          </w:tcPr>
          <w:p w14:paraId="7395D134" w14:textId="0D8FA752" w:rsidR="00F43F40" w:rsidRPr="003B5983" w:rsidRDefault="00F43F40" w:rsidP="00091E3C">
            <w:pPr>
              <w:pStyle w:val="EndNoteBibliography"/>
              <w:rPr>
                <w:sz w:val="20"/>
                <w:szCs w:val="20"/>
              </w:rPr>
            </w:pPr>
            <w:r w:rsidRPr="003B5983">
              <w:rPr>
                <w:sz w:val="20"/>
                <w:szCs w:val="20"/>
              </w:rPr>
              <w:t>Early post</w:t>
            </w:r>
            <w:r w:rsidR="009E0B69">
              <w:rPr>
                <w:sz w:val="20"/>
                <w:szCs w:val="20"/>
              </w:rPr>
              <w:t>-</w:t>
            </w:r>
            <w:r w:rsidRPr="003B5983">
              <w:rPr>
                <w:sz w:val="20"/>
                <w:szCs w:val="20"/>
              </w:rPr>
              <w:t>operative infection (&lt;4 weeks post</w:t>
            </w:r>
            <w:r w:rsidR="009E0B69">
              <w:rPr>
                <w:sz w:val="20"/>
                <w:szCs w:val="20"/>
              </w:rPr>
              <w:t>-</w:t>
            </w:r>
            <w:r w:rsidRPr="003B5983">
              <w:rPr>
                <w:sz w:val="20"/>
                <w:szCs w:val="20"/>
              </w:rPr>
              <w:t>operative)</w:t>
            </w:r>
          </w:p>
        </w:tc>
      </w:tr>
      <w:tr w:rsidR="00F43F40" w:rsidRPr="003B5983" w14:paraId="38682427" w14:textId="77777777" w:rsidTr="00EE180E">
        <w:tc>
          <w:tcPr>
            <w:tcW w:w="1253" w:type="pct"/>
            <w:vMerge/>
          </w:tcPr>
          <w:p w14:paraId="50A8D9BE" w14:textId="7A42CE75" w:rsidR="00F43F40" w:rsidRPr="003B5983" w:rsidRDefault="00F43F40" w:rsidP="00091E3C">
            <w:pPr>
              <w:pStyle w:val="EndNoteBibliography"/>
              <w:rPr>
                <w:sz w:val="20"/>
                <w:szCs w:val="20"/>
              </w:rPr>
            </w:pPr>
          </w:p>
        </w:tc>
        <w:tc>
          <w:tcPr>
            <w:tcW w:w="520" w:type="pct"/>
          </w:tcPr>
          <w:p w14:paraId="78B63B44" w14:textId="4EC5E413" w:rsidR="00F43F40" w:rsidRPr="003B5983" w:rsidRDefault="00F43F40" w:rsidP="001057F3">
            <w:pPr>
              <w:pStyle w:val="EndNoteBibliography"/>
              <w:jc w:val="center"/>
              <w:rPr>
                <w:sz w:val="20"/>
                <w:szCs w:val="20"/>
              </w:rPr>
            </w:pPr>
            <w:r w:rsidRPr="003B5983">
              <w:rPr>
                <w:sz w:val="20"/>
                <w:szCs w:val="20"/>
              </w:rPr>
              <w:t>II</w:t>
            </w:r>
          </w:p>
        </w:tc>
        <w:tc>
          <w:tcPr>
            <w:tcW w:w="3227" w:type="pct"/>
          </w:tcPr>
          <w:p w14:paraId="020C9977" w14:textId="6F418F67" w:rsidR="00F43F40" w:rsidRPr="003B5983" w:rsidRDefault="00F43F40" w:rsidP="00091E3C">
            <w:pPr>
              <w:pStyle w:val="EndNoteBibliography"/>
              <w:rPr>
                <w:sz w:val="20"/>
                <w:szCs w:val="20"/>
              </w:rPr>
            </w:pPr>
            <w:r w:rsidRPr="003B5983">
              <w:rPr>
                <w:sz w:val="20"/>
                <w:szCs w:val="20"/>
              </w:rPr>
              <w:t>Hematogenous infection (&lt;4 duration)</w:t>
            </w:r>
          </w:p>
        </w:tc>
      </w:tr>
      <w:tr w:rsidR="00F43F40" w:rsidRPr="003B5983" w14:paraId="12E1B8A3" w14:textId="77777777" w:rsidTr="00EE180E">
        <w:tc>
          <w:tcPr>
            <w:tcW w:w="1253" w:type="pct"/>
            <w:vMerge/>
          </w:tcPr>
          <w:p w14:paraId="0E3FAF4F" w14:textId="77777777" w:rsidR="00F43F40" w:rsidRPr="003B5983" w:rsidRDefault="00F43F40" w:rsidP="00091E3C">
            <w:pPr>
              <w:pStyle w:val="EndNoteBibliography"/>
              <w:rPr>
                <w:sz w:val="20"/>
                <w:szCs w:val="20"/>
              </w:rPr>
            </w:pPr>
          </w:p>
        </w:tc>
        <w:tc>
          <w:tcPr>
            <w:tcW w:w="520" w:type="pct"/>
          </w:tcPr>
          <w:p w14:paraId="3C352A96" w14:textId="4BE0CC26" w:rsidR="00F43F40" w:rsidRPr="003B5983" w:rsidRDefault="00F43F40" w:rsidP="001057F3">
            <w:pPr>
              <w:pStyle w:val="EndNoteBibliography"/>
              <w:jc w:val="center"/>
              <w:rPr>
                <w:sz w:val="20"/>
                <w:szCs w:val="20"/>
              </w:rPr>
            </w:pPr>
            <w:r w:rsidRPr="003B5983">
              <w:rPr>
                <w:sz w:val="20"/>
                <w:szCs w:val="20"/>
              </w:rPr>
              <w:t>III</w:t>
            </w:r>
          </w:p>
        </w:tc>
        <w:tc>
          <w:tcPr>
            <w:tcW w:w="3227" w:type="pct"/>
          </w:tcPr>
          <w:p w14:paraId="5EAFA1DE" w14:textId="4E43EB32" w:rsidR="00F43F40" w:rsidRPr="003B5983" w:rsidRDefault="00F43F40" w:rsidP="00091E3C">
            <w:pPr>
              <w:pStyle w:val="EndNoteBibliography"/>
              <w:rPr>
                <w:sz w:val="20"/>
                <w:szCs w:val="20"/>
              </w:rPr>
            </w:pPr>
            <w:r w:rsidRPr="003B5983">
              <w:rPr>
                <w:sz w:val="20"/>
                <w:szCs w:val="20"/>
              </w:rPr>
              <w:t>Late chronic infection (&gt;4 weeks duration)</w:t>
            </w:r>
          </w:p>
        </w:tc>
      </w:tr>
      <w:tr w:rsidR="00F43F40" w:rsidRPr="003B5983" w14:paraId="48A08D07" w14:textId="77777777" w:rsidTr="00F43F40">
        <w:tc>
          <w:tcPr>
            <w:tcW w:w="1253" w:type="pct"/>
            <w:vMerge w:val="restart"/>
            <w:vAlign w:val="center"/>
          </w:tcPr>
          <w:p w14:paraId="787509C5" w14:textId="1D185A2E" w:rsidR="00F43F40" w:rsidRPr="003B5983" w:rsidRDefault="00F43F40" w:rsidP="00F43F40">
            <w:pPr>
              <w:pStyle w:val="EndNoteBibliography"/>
              <w:rPr>
                <w:sz w:val="20"/>
                <w:szCs w:val="20"/>
              </w:rPr>
            </w:pPr>
            <w:r w:rsidRPr="003B5983">
              <w:rPr>
                <w:sz w:val="20"/>
                <w:szCs w:val="20"/>
              </w:rPr>
              <w:t>Systemic host grade (medical and immune status)</w:t>
            </w:r>
          </w:p>
        </w:tc>
        <w:tc>
          <w:tcPr>
            <w:tcW w:w="520" w:type="pct"/>
          </w:tcPr>
          <w:p w14:paraId="3D04D27D" w14:textId="1438F83D" w:rsidR="00F43F40" w:rsidRPr="003B5983" w:rsidRDefault="00F43F40" w:rsidP="001057F3">
            <w:pPr>
              <w:pStyle w:val="EndNoteBibliography"/>
              <w:jc w:val="center"/>
              <w:rPr>
                <w:sz w:val="20"/>
                <w:szCs w:val="20"/>
              </w:rPr>
            </w:pPr>
            <w:r w:rsidRPr="003B5983">
              <w:rPr>
                <w:sz w:val="20"/>
                <w:szCs w:val="20"/>
              </w:rPr>
              <w:t>A</w:t>
            </w:r>
          </w:p>
        </w:tc>
        <w:tc>
          <w:tcPr>
            <w:tcW w:w="3227" w:type="pct"/>
          </w:tcPr>
          <w:p w14:paraId="7D0BCC10" w14:textId="7CBBCD9A" w:rsidR="00F43F40" w:rsidRPr="003B5983" w:rsidRDefault="00F43F40" w:rsidP="00304500">
            <w:pPr>
              <w:pStyle w:val="EndNoteBibliography"/>
              <w:rPr>
                <w:sz w:val="20"/>
                <w:szCs w:val="20"/>
              </w:rPr>
            </w:pPr>
            <w:r w:rsidRPr="003B5983">
              <w:rPr>
                <w:sz w:val="20"/>
                <w:szCs w:val="20"/>
              </w:rPr>
              <w:t>Uncompromised (no compromising factors)</w:t>
            </w:r>
          </w:p>
        </w:tc>
      </w:tr>
      <w:tr w:rsidR="00F43F40" w:rsidRPr="003B5983" w14:paraId="77225B9C" w14:textId="77777777" w:rsidTr="00EE180E">
        <w:tc>
          <w:tcPr>
            <w:tcW w:w="1253" w:type="pct"/>
            <w:vMerge/>
          </w:tcPr>
          <w:p w14:paraId="524F3243" w14:textId="77777777" w:rsidR="00F43F40" w:rsidRPr="003B5983" w:rsidRDefault="00F43F40" w:rsidP="00EE180E">
            <w:pPr>
              <w:pStyle w:val="EndNoteBibliography"/>
              <w:rPr>
                <w:sz w:val="20"/>
                <w:szCs w:val="20"/>
              </w:rPr>
            </w:pPr>
          </w:p>
        </w:tc>
        <w:tc>
          <w:tcPr>
            <w:tcW w:w="520" w:type="pct"/>
          </w:tcPr>
          <w:p w14:paraId="434823AF" w14:textId="6D747825" w:rsidR="00F43F40" w:rsidRPr="003B5983" w:rsidRDefault="00F43F40" w:rsidP="001057F3">
            <w:pPr>
              <w:pStyle w:val="EndNoteBibliography"/>
              <w:jc w:val="center"/>
              <w:rPr>
                <w:sz w:val="20"/>
                <w:szCs w:val="20"/>
              </w:rPr>
            </w:pPr>
            <w:r w:rsidRPr="003B5983">
              <w:rPr>
                <w:sz w:val="20"/>
                <w:szCs w:val="20"/>
              </w:rPr>
              <w:t>B</w:t>
            </w:r>
          </w:p>
        </w:tc>
        <w:tc>
          <w:tcPr>
            <w:tcW w:w="3227" w:type="pct"/>
          </w:tcPr>
          <w:p w14:paraId="418DC744" w14:textId="78B825C7" w:rsidR="00F43F40" w:rsidRPr="003B5983" w:rsidRDefault="00F43F40" w:rsidP="00EE180E">
            <w:pPr>
              <w:pStyle w:val="EndNoteBibliography"/>
              <w:rPr>
                <w:sz w:val="20"/>
                <w:szCs w:val="20"/>
              </w:rPr>
            </w:pPr>
            <w:r w:rsidRPr="003B5983">
              <w:rPr>
                <w:sz w:val="20"/>
                <w:szCs w:val="20"/>
              </w:rPr>
              <w:t>Compromised (1-2 compromising factors)</w:t>
            </w:r>
          </w:p>
        </w:tc>
      </w:tr>
      <w:tr w:rsidR="00F43F40" w:rsidRPr="003B5983" w14:paraId="39D480D4" w14:textId="77777777" w:rsidTr="00EE180E">
        <w:tc>
          <w:tcPr>
            <w:tcW w:w="1253" w:type="pct"/>
            <w:vMerge/>
          </w:tcPr>
          <w:p w14:paraId="7C215CB0" w14:textId="77777777" w:rsidR="00F43F40" w:rsidRPr="003B5983" w:rsidRDefault="00F43F40" w:rsidP="00EE180E">
            <w:pPr>
              <w:pStyle w:val="EndNoteBibliography"/>
              <w:rPr>
                <w:sz w:val="20"/>
                <w:szCs w:val="20"/>
              </w:rPr>
            </w:pPr>
          </w:p>
        </w:tc>
        <w:tc>
          <w:tcPr>
            <w:tcW w:w="520" w:type="pct"/>
          </w:tcPr>
          <w:p w14:paraId="26EDD73B" w14:textId="7DD3FBA8" w:rsidR="00F43F40" w:rsidRPr="003B5983" w:rsidRDefault="00F43F40" w:rsidP="001057F3">
            <w:pPr>
              <w:pStyle w:val="EndNoteBibliography"/>
              <w:jc w:val="center"/>
              <w:rPr>
                <w:sz w:val="20"/>
                <w:szCs w:val="20"/>
              </w:rPr>
            </w:pPr>
            <w:r w:rsidRPr="003B5983">
              <w:rPr>
                <w:sz w:val="20"/>
                <w:szCs w:val="20"/>
              </w:rPr>
              <w:t>C</w:t>
            </w:r>
          </w:p>
        </w:tc>
        <w:tc>
          <w:tcPr>
            <w:tcW w:w="3227" w:type="pct"/>
          </w:tcPr>
          <w:p w14:paraId="269B2E94" w14:textId="77777777" w:rsidR="00F43F40" w:rsidRPr="003B5983" w:rsidRDefault="00F43F40" w:rsidP="00EE180E">
            <w:pPr>
              <w:pStyle w:val="EndNoteBibliography"/>
              <w:rPr>
                <w:sz w:val="20"/>
                <w:szCs w:val="20"/>
              </w:rPr>
            </w:pPr>
            <w:r w:rsidRPr="003B5983">
              <w:rPr>
                <w:sz w:val="20"/>
                <w:szCs w:val="20"/>
              </w:rPr>
              <w:t>Significant compromise (&gt;2 compromising factors) or one of te following:</w:t>
            </w:r>
          </w:p>
          <w:p w14:paraId="2F293CFE" w14:textId="77777777" w:rsidR="00F43F40" w:rsidRPr="003B5983" w:rsidRDefault="00F43F40" w:rsidP="00EE180E">
            <w:pPr>
              <w:pStyle w:val="EndNoteBibliography"/>
              <w:ind w:left="720"/>
              <w:rPr>
                <w:sz w:val="20"/>
                <w:szCs w:val="20"/>
              </w:rPr>
            </w:pPr>
            <w:r w:rsidRPr="003B5983">
              <w:rPr>
                <w:sz w:val="20"/>
                <w:szCs w:val="20"/>
              </w:rPr>
              <w:t>Absolute neutrophil count &lt;1000</w:t>
            </w:r>
          </w:p>
          <w:p w14:paraId="13FDBB59" w14:textId="77777777" w:rsidR="00F43F40" w:rsidRPr="003B5983" w:rsidRDefault="00F43F40" w:rsidP="00EE180E">
            <w:pPr>
              <w:pStyle w:val="EndNoteBibliography"/>
              <w:ind w:left="720"/>
              <w:rPr>
                <w:sz w:val="20"/>
                <w:szCs w:val="20"/>
              </w:rPr>
            </w:pPr>
            <w:r w:rsidRPr="003B5983">
              <w:rPr>
                <w:sz w:val="20"/>
                <w:szCs w:val="20"/>
              </w:rPr>
              <w:t>CD4 cell count &lt;100</w:t>
            </w:r>
          </w:p>
          <w:p w14:paraId="41DCCDE2" w14:textId="77777777" w:rsidR="00F43F40" w:rsidRPr="003B5983" w:rsidRDefault="00F43F40" w:rsidP="00EE180E">
            <w:pPr>
              <w:pStyle w:val="EndNoteBibliography"/>
              <w:ind w:left="720"/>
              <w:rPr>
                <w:sz w:val="20"/>
                <w:szCs w:val="20"/>
              </w:rPr>
            </w:pPr>
            <w:r w:rsidRPr="003B5983">
              <w:rPr>
                <w:sz w:val="20"/>
                <w:szCs w:val="20"/>
              </w:rPr>
              <w:t>Intravenous drug abuse</w:t>
            </w:r>
          </w:p>
          <w:p w14:paraId="6C21E31E" w14:textId="77777777" w:rsidR="00F43F40" w:rsidRPr="003B5983" w:rsidRDefault="00F43F40" w:rsidP="00EE180E">
            <w:pPr>
              <w:pStyle w:val="EndNoteBibliography"/>
              <w:ind w:left="720"/>
              <w:rPr>
                <w:sz w:val="20"/>
                <w:szCs w:val="20"/>
              </w:rPr>
            </w:pPr>
            <w:r w:rsidRPr="003B5983">
              <w:rPr>
                <w:sz w:val="20"/>
                <w:szCs w:val="20"/>
              </w:rPr>
              <w:t>Chronic active infection other site</w:t>
            </w:r>
          </w:p>
          <w:p w14:paraId="0D66BFB0" w14:textId="1D4D7849" w:rsidR="00F43F40" w:rsidRPr="003B5983" w:rsidRDefault="00F43F40" w:rsidP="00EE180E">
            <w:pPr>
              <w:pStyle w:val="EndNoteBibliography"/>
              <w:ind w:left="720"/>
              <w:rPr>
                <w:sz w:val="20"/>
                <w:szCs w:val="20"/>
              </w:rPr>
            </w:pPr>
            <w:r w:rsidRPr="003B5983">
              <w:rPr>
                <w:sz w:val="20"/>
                <w:szCs w:val="20"/>
              </w:rPr>
              <w:t>Dysplasia or neoplasm of immune system</w:t>
            </w:r>
          </w:p>
        </w:tc>
      </w:tr>
      <w:tr w:rsidR="00F43F40" w:rsidRPr="003B5983" w14:paraId="5E029187" w14:textId="77777777" w:rsidTr="00F43F40">
        <w:tc>
          <w:tcPr>
            <w:tcW w:w="1253" w:type="pct"/>
            <w:vMerge w:val="restart"/>
            <w:vAlign w:val="center"/>
          </w:tcPr>
          <w:p w14:paraId="285F2035" w14:textId="1D428D82" w:rsidR="00F43F40" w:rsidRPr="003B5983" w:rsidRDefault="00F43F40" w:rsidP="00F43F40">
            <w:pPr>
              <w:pStyle w:val="EndNoteBibliography"/>
              <w:rPr>
                <w:sz w:val="20"/>
                <w:szCs w:val="20"/>
              </w:rPr>
            </w:pPr>
            <w:r w:rsidRPr="003B5983">
              <w:rPr>
                <w:sz w:val="20"/>
                <w:szCs w:val="20"/>
              </w:rPr>
              <w:t>Local extremity grade</w:t>
            </w:r>
          </w:p>
        </w:tc>
        <w:tc>
          <w:tcPr>
            <w:tcW w:w="520" w:type="pct"/>
          </w:tcPr>
          <w:p w14:paraId="646346E7" w14:textId="5FD77B6E" w:rsidR="00F43F40" w:rsidRPr="003B5983" w:rsidRDefault="00F43F40" w:rsidP="001057F3">
            <w:pPr>
              <w:pStyle w:val="EndNoteBibliography"/>
              <w:jc w:val="center"/>
              <w:rPr>
                <w:sz w:val="20"/>
                <w:szCs w:val="20"/>
              </w:rPr>
            </w:pPr>
            <w:r w:rsidRPr="003B5983">
              <w:rPr>
                <w:sz w:val="20"/>
                <w:szCs w:val="20"/>
              </w:rPr>
              <w:t>1</w:t>
            </w:r>
          </w:p>
        </w:tc>
        <w:tc>
          <w:tcPr>
            <w:tcW w:w="3227" w:type="pct"/>
          </w:tcPr>
          <w:p w14:paraId="4FA3E7DB" w14:textId="7AA652B0" w:rsidR="00F43F40" w:rsidRPr="003B5983" w:rsidRDefault="00F43F40" w:rsidP="00EE180E">
            <w:pPr>
              <w:pStyle w:val="EndNoteBibliography"/>
              <w:rPr>
                <w:sz w:val="20"/>
                <w:szCs w:val="20"/>
              </w:rPr>
            </w:pPr>
            <w:r w:rsidRPr="003B5983">
              <w:rPr>
                <w:sz w:val="20"/>
                <w:szCs w:val="20"/>
              </w:rPr>
              <w:t>Uncompromised (no compromising factors)</w:t>
            </w:r>
          </w:p>
        </w:tc>
      </w:tr>
      <w:tr w:rsidR="00F43F40" w:rsidRPr="003B5983" w14:paraId="2337D18D" w14:textId="77777777" w:rsidTr="00EE180E">
        <w:tc>
          <w:tcPr>
            <w:tcW w:w="1253" w:type="pct"/>
            <w:vMerge/>
          </w:tcPr>
          <w:p w14:paraId="60844C22" w14:textId="77777777" w:rsidR="00F43F40" w:rsidRPr="003B5983" w:rsidRDefault="00F43F40" w:rsidP="00EE180E">
            <w:pPr>
              <w:pStyle w:val="EndNoteBibliography"/>
              <w:rPr>
                <w:sz w:val="20"/>
                <w:szCs w:val="20"/>
              </w:rPr>
            </w:pPr>
          </w:p>
        </w:tc>
        <w:tc>
          <w:tcPr>
            <w:tcW w:w="520" w:type="pct"/>
          </w:tcPr>
          <w:p w14:paraId="4E698D5E" w14:textId="5EE10340" w:rsidR="00F43F40" w:rsidRPr="003B5983" w:rsidRDefault="00F43F40" w:rsidP="001057F3">
            <w:pPr>
              <w:pStyle w:val="EndNoteBibliography"/>
              <w:jc w:val="center"/>
              <w:rPr>
                <w:sz w:val="20"/>
                <w:szCs w:val="20"/>
              </w:rPr>
            </w:pPr>
            <w:r w:rsidRPr="003B5983">
              <w:rPr>
                <w:sz w:val="20"/>
                <w:szCs w:val="20"/>
              </w:rPr>
              <w:t>2</w:t>
            </w:r>
          </w:p>
        </w:tc>
        <w:tc>
          <w:tcPr>
            <w:tcW w:w="3227" w:type="pct"/>
          </w:tcPr>
          <w:p w14:paraId="426120E5" w14:textId="59BF2B6A" w:rsidR="00F43F40" w:rsidRPr="003B5983" w:rsidRDefault="00F43F40" w:rsidP="00EE180E">
            <w:pPr>
              <w:pStyle w:val="EndNoteBibliography"/>
              <w:rPr>
                <w:sz w:val="20"/>
                <w:szCs w:val="20"/>
              </w:rPr>
            </w:pPr>
            <w:r w:rsidRPr="003B5983">
              <w:rPr>
                <w:sz w:val="20"/>
                <w:szCs w:val="20"/>
              </w:rPr>
              <w:t>Compromised (1-2 compromising factors)</w:t>
            </w:r>
          </w:p>
        </w:tc>
      </w:tr>
      <w:tr w:rsidR="00F43F40" w:rsidRPr="003B5983" w14:paraId="2CA6C67A" w14:textId="77777777" w:rsidTr="00EE180E">
        <w:tc>
          <w:tcPr>
            <w:tcW w:w="1253" w:type="pct"/>
            <w:vMerge/>
          </w:tcPr>
          <w:p w14:paraId="66F2534D" w14:textId="77777777" w:rsidR="00F43F40" w:rsidRPr="003B5983" w:rsidRDefault="00F43F40" w:rsidP="00EE180E">
            <w:pPr>
              <w:pStyle w:val="EndNoteBibliography"/>
              <w:rPr>
                <w:sz w:val="20"/>
                <w:szCs w:val="20"/>
              </w:rPr>
            </w:pPr>
          </w:p>
        </w:tc>
        <w:tc>
          <w:tcPr>
            <w:tcW w:w="520" w:type="pct"/>
          </w:tcPr>
          <w:p w14:paraId="7972A363" w14:textId="4634BD70" w:rsidR="00F43F40" w:rsidRPr="003B5983" w:rsidRDefault="00F43F40" w:rsidP="001057F3">
            <w:pPr>
              <w:pStyle w:val="EndNoteBibliography"/>
              <w:jc w:val="center"/>
              <w:rPr>
                <w:sz w:val="20"/>
                <w:szCs w:val="20"/>
              </w:rPr>
            </w:pPr>
            <w:r w:rsidRPr="003B5983">
              <w:rPr>
                <w:sz w:val="20"/>
                <w:szCs w:val="20"/>
              </w:rPr>
              <w:t>3</w:t>
            </w:r>
          </w:p>
        </w:tc>
        <w:tc>
          <w:tcPr>
            <w:tcW w:w="3227" w:type="pct"/>
          </w:tcPr>
          <w:p w14:paraId="3DF2F4D1" w14:textId="0932D662" w:rsidR="00F43F40" w:rsidRPr="003B5983" w:rsidRDefault="00F43F40" w:rsidP="00EE180E">
            <w:pPr>
              <w:pStyle w:val="EndNoteBibliography"/>
              <w:rPr>
                <w:sz w:val="20"/>
                <w:szCs w:val="20"/>
              </w:rPr>
            </w:pPr>
            <w:r w:rsidRPr="003B5983">
              <w:rPr>
                <w:sz w:val="20"/>
                <w:szCs w:val="20"/>
              </w:rPr>
              <w:t>Significant compromise (&gt;2 compromising factors)</w:t>
            </w:r>
          </w:p>
        </w:tc>
      </w:tr>
    </w:tbl>
    <w:p w14:paraId="6AFDBB5F" w14:textId="036EF887" w:rsidR="00304500" w:rsidRPr="00F43BA9" w:rsidRDefault="009F0137" w:rsidP="00F43BA9">
      <w:pPr>
        <w:pStyle w:val="EndNoteBibliography"/>
        <w:ind w:left="720" w:hanging="720"/>
        <w:rPr>
          <w:sz w:val="20"/>
          <w:szCs w:val="20"/>
        </w:rPr>
      </w:pPr>
      <w:r w:rsidRPr="003B5983">
        <w:rPr>
          <w:sz w:val="20"/>
          <w:szCs w:val="20"/>
        </w:rPr>
        <w:t xml:space="preserve">Source: </w:t>
      </w:r>
      <w:r w:rsidR="00F43F40">
        <w:rPr>
          <w:sz w:val="20"/>
          <w:szCs w:val="20"/>
        </w:rPr>
        <w:t xml:space="preserve">Based on Table 1 from </w:t>
      </w:r>
      <w:r w:rsidRPr="003B5983">
        <w:rPr>
          <w:sz w:val="20"/>
          <w:szCs w:val="20"/>
        </w:rPr>
        <w:t xml:space="preserve">McPherson et al. (2002) </w:t>
      </w:r>
      <w:r w:rsidRPr="003B5983">
        <w:rPr>
          <w:sz w:val="20"/>
          <w:szCs w:val="20"/>
        </w:rPr>
        <w:fldChar w:fldCharType="begin"/>
      </w:r>
      <w:r w:rsidR="00FF3113">
        <w:rPr>
          <w:sz w:val="20"/>
          <w:szCs w:val="20"/>
        </w:rPr>
        <w:instrText xml:space="preserve"> ADDIN EN.CITE &lt;EndNote&gt;&lt;Cite&gt;&lt;Author&gt;McPherson&lt;/Author&gt;&lt;Year&gt;2002&lt;/Year&gt;&lt;RecNum&gt;40&lt;/RecNum&gt;&lt;DisplayText&gt;[7]&lt;/DisplayText&gt;&lt;record&gt;&lt;rec-number&gt;40&lt;/rec-number&gt;&lt;foreign-keys&gt;&lt;key app="EN" db-id="0x52t0fa5ezaf7e22eopzxaswfsaaaevpfzf" timestamp="1594966968"&gt;40&lt;/key&gt;&lt;/foreign-keys&gt;&lt;ref-type name="Journal Article"&gt;17&lt;/ref-type&gt;&lt;contributors&gt;&lt;authors&gt;&lt;author&gt;McPherson, Edward J&lt;/author&gt;&lt;author&gt;Woodson, Chris&lt;/author&gt;&lt;author&gt;Holtom, Paul&lt;/author&gt;&lt;author&gt;Roidis, Nikolaos&lt;/author&gt;&lt;author&gt;Shufelt, Chrissandra&lt;/author&gt;&lt;author&gt;Patzakis, Michael&lt;/author&gt;&lt;/authors&gt;&lt;/contributors&gt;&lt;titles&gt;&lt;title&gt;Periprosthetic total hip infection: outcomes using a staging system&lt;/title&gt;&lt;secondary-title&gt;Clinical Orthopaedics and Related Research®&lt;/secondary-title&gt;&lt;/titles&gt;&lt;periodical&gt;&lt;full-title&gt;Clinical Orthopaedics and Related Research®&lt;/full-title&gt;&lt;/periodical&gt;&lt;pages&gt;8-15&lt;/pages&gt;&lt;volume&gt;403&lt;/volume&gt;&lt;dates&gt;&lt;year&gt;2002&lt;/year&gt;&lt;/dates&gt;&lt;isbn&gt;0009-921X&lt;/isbn&gt;&lt;urls&gt;&lt;/urls&gt;&lt;/record&gt;&lt;/Cite&gt;&lt;/EndNote&gt;</w:instrText>
      </w:r>
      <w:r w:rsidRPr="003B5983">
        <w:rPr>
          <w:sz w:val="20"/>
          <w:szCs w:val="20"/>
        </w:rPr>
        <w:fldChar w:fldCharType="separate"/>
      </w:r>
      <w:r w:rsidR="00FF3113">
        <w:rPr>
          <w:sz w:val="20"/>
          <w:szCs w:val="20"/>
        </w:rPr>
        <w:t>[7]</w:t>
      </w:r>
      <w:r w:rsidRPr="003B5983">
        <w:rPr>
          <w:sz w:val="20"/>
          <w:szCs w:val="20"/>
        </w:rPr>
        <w:fldChar w:fldCharType="end"/>
      </w:r>
    </w:p>
    <w:sectPr w:rsidR="00304500" w:rsidRPr="00F43BA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36CCB4" w16cid:durableId="23396902"/>
  <w16cid:commentId w16cid:paraId="26EBBEEE" w16cid:durableId="23396BC5"/>
  <w16cid:commentId w16cid:paraId="4CF71723" w16cid:durableId="23396932"/>
  <w16cid:commentId w16cid:paraId="5DFF94B3" w16cid:durableId="2339695B"/>
  <w16cid:commentId w16cid:paraId="3DE11572" w16cid:durableId="23396A03"/>
  <w16cid:commentId w16cid:paraId="269E1743" w16cid:durableId="23396B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8D066" w14:textId="77777777" w:rsidR="006A1391" w:rsidRDefault="006A1391" w:rsidP="003D699E">
      <w:pPr>
        <w:spacing w:after="0" w:line="240" w:lineRule="auto"/>
      </w:pPr>
      <w:r>
        <w:separator/>
      </w:r>
    </w:p>
  </w:endnote>
  <w:endnote w:type="continuationSeparator" w:id="0">
    <w:p w14:paraId="7B865482" w14:textId="77777777" w:rsidR="006A1391" w:rsidRDefault="006A1391"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50F9CC9B" w14:textId="4722B7C5" w:rsidR="006A1391" w:rsidRPr="00422BAA" w:rsidRDefault="006A1391" w:rsidP="00422BAA">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C56066" w:rsidRPr="00C56066">
          <w:rPr>
            <w:b/>
            <w:bCs/>
            <w:noProof/>
            <w:sz w:val="18"/>
            <w:szCs w:val="18"/>
          </w:rPr>
          <w:t>28</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RATIFIED PICO – OCTOBER 2020</w:t>
        </w:r>
      </w:p>
      <w:p w14:paraId="641109AB" w14:textId="03D8ACCF" w:rsidR="006A1391" w:rsidRDefault="006A1391" w:rsidP="006A6C0E">
        <w:pPr>
          <w:pStyle w:val="Footer"/>
          <w:pBdr>
            <w:top w:val="single" w:sz="4" w:space="1" w:color="D9D9D9" w:themeColor="background1" w:themeShade="D9"/>
          </w:pBdr>
          <w:jc w:val="center"/>
        </w:pPr>
        <w:r>
          <w:rPr>
            <w:color w:val="808080" w:themeColor="background1" w:themeShade="80"/>
            <w:spacing w:val="60"/>
            <w:sz w:val="18"/>
            <w:szCs w:val="18"/>
          </w:rPr>
          <w:t>APPLICATION 1629: DAC</w:t>
        </w:r>
        <w:r w:rsidRPr="001B2604">
          <w:rPr>
            <w:color w:val="808080" w:themeColor="background1" w:themeShade="80"/>
            <w:spacing w:val="60"/>
            <w:sz w:val="18"/>
            <w:szCs w:val="18"/>
          </w:rPr>
          <w:t>®</w:t>
        </w:r>
        <w:r>
          <w:rPr>
            <w:color w:val="808080" w:themeColor="background1" w:themeShade="80"/>
            <w:spacing w:val="60"/>
            <w:sz w:val="18"/>
            <w:szCs w:val="18"/>
          </w:rPr>
          <w:t xml:space="preserve"> 5ml Kit (N001699)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4923F" w14:textId="77777777" w:rsidR="006A1391" w:rsidRDefault="006A1391" w:rsidP="003D699E">
      <w:pPr>
        <w:spacing w:after="0" w:line="240" w:lineRule="auto"/>
      </w:pPr>
      <w:r>
        <w:separator/>
      </w:r>
    </w:p>
  </w:footnote>
  <w:footnote w:type="continuationSeparator" w:id="0">
    <w:p w14:paraId="1235F70E" w14:textId="77777777" w:rsidR="006A1391" w:rsidRDefault="006A1391" w:rsidP="003D699E">
      <w:pPr>
        <w:spacing w:after="0" w:line="240" w:lineRule="auto"/>
      </w:pPr>
      <w:r>
        <w:continuationSeparator/>
      </w:r>
    </w:p>
  </w:footnote>
  <w:footnote w:id="1">
    <w:p w14:paraId="6FBAD512" w14:textId="72CF141D" w:rsidR="006A1391" w:rsidRPr="005272D7" w:rsidRDefault="006A1391">
      <w:pPr>
        <w:pStyle w:val="FootnoteText"/>
      </w:pPr>
      <w:r>
        <w:rPr>
          <w:rStyle w:val="FootnoteReference"/>
        </w:rPr>
        <w:footnoteRef/>
      </w:r>
      <w:r>
        <w:t xml:space="preserve"> </w:t>
      </w:r>
      <w:r w:rsidRPr="006B10D6">
        <w:rPr>
          <w:rFonts w:ascii="Arial Narrow" w:hAnsi="Arial Narrow"/>
          <w:sz w:val="18"/>
          <w:szCs w:val="18"/>
        </w:rPr>
        <w:t xml:space="preserve">In addition to major and minor </w:t>
      </w:r>
      <w:r>
        <w:rPr>
          <w:rFonts w:ascii="Arial Narrow" w:hAnsi="Arial Narrow"/>
          <w:sz w:val="18"/>
          <w:szCs w:val="18"/>
        </w:rPr>
        <w:t>MSIS criteria</w:t>
      </w:r>
      <w:r w:rsidRPr="006B10D6">
        <w:rPr>
          <w:rFonts w:ascii="Arial Narrow" w:hAnsi="Arial Narrow"/>
          <w:sz w:val="18"/>
          <w:szCs w:val="18"/>
        </w:rPr>
        <w:t xml:space="preserve">, periprosthetic joint infection could be present without meeting those criteria, specifically in relation to less virulent organisms, such as </w:t>
      </w:r>
      <w:r w:rsidRPr="006B10D6">
        <w:rPr>
          <w:rFonts w:ascii="Arial Narrow" w:hAnsi="Arial Narrow"/>
          <w:i/>
          <w:sz w:val="18"/>
          <w:szCs w:val="18"/>
        </w:rPr>
        <w:t xml:space="preserve">Propionibacterium acnes. </w:t>
      </w:r>
      <w:r w:rsidRPr="006B10D6">
        <w:rPr>
          <w:rFonts w:ascii="Arial Narrow" w:hAnsi="Arial Narrow"/>
          <w:sz w:val="18"/>
          <w:szCs w:val="18"/>
        </w:rPr>
        <w:t>In such instances, clinicians may have to use their own judgement and clinical acumen in concluding the diagnosis of the infection.</w:t>
      </w:r>
    </w:p>
  </w:footnote>
  <w:footnote w:id="2">
    <w:p w14:paraId="525CC431" w14:textId="4547E8AE" w:rsidR="006A1391" w:rsidRDefault="006A1391">
      <w:pPr>
        <w:pStyle w:val="FootnoteText"/>
      </w:pPr>
      <w:r>
        <w:rPr>
          <w:rStyle w:val="FootnoteReference"/>
        </w:rPr>
        <w:footnoteRef/>
      </w:r>
      <w:r>
        <w:t xml:space="preserve"> </w:t>
      </w:r>
      <w:hyperlink r:id="rId1" w:history="1">
        <w:r w:rsidRPr="006B10D6">
          <w:rPr>
            <w:rStyle w:val="Hyperlink"/>
            <w:rFonts w:ascii="Arial Narrow" w:hAnsi="Arial Narrow"/>
            <w:sz w:val="18"/>
            <w:szCs w:val="18"/>
          </w:rPr>
          <w:t>https://clinicaltrials.gov/ct2/show/study/NCT04251377</w:t>
        </w:r>
      </w:hyperlink>
    </w:p>
  </w:footnote>
  <w:footnote w:id="3">
    <w:p w14:paraId="0C779CF8" w14:textId="0F3FE6F6" w:rsidR="006A1391" w:rsidRPr="004D274A" w:rsidRDefault="006A1391">
      <w:pPr>
        <w:pStyle w:val="FootnoteText"/>
      </w:pPr>
      <w:r>
        <w:rPr>
          <w:rStyle w:val="FootnoteReference"/>
        </w:rPr>
        <w:footnoteRef/>
      </w:r>
      <w:r>
        <w:t xml:space="preserve"> </w:t>
      </w:r>
      <w:r w:rsidRPr="00C7290E">
        <w:rPr>
          <w:rFonts w:ascii="Arial Narrow" w:hAnsi="Arial Narrow"/>
          <w:color w:val="000000"/>
          <w:sz w:val="18"/>
          <w:szCs w:val="18"/>
          <w:shd w:val="clear" w:color="auto" w:fill="FFFFFF"/>
        </w:rPr>
        <w:t xml:space="preserve">The definition of prosthetic joint infection was based on the Centers for Disease Control and Prevention/National Healthcare Safety Network definition of </w:t>
      </w:r>
      <w:r w:rsidRPr="00297783">
        <w:rPr>
          <w:rFonts w:ascii="Arial Narrow" w:hAnsi="Arial Narrow"/>
          <w:color w:val="000000"/>
          <w:sz w:val="18"/>
          <w:szCs w:val="18"/>
          <w:shd w:val="clear" w:color="auto" w:fill="FFFFFF"/>
        </w:rPr>
        <w:t>deep and organ/space SSI</w:t>
      </w:r>
      <w:r w:rsidRPr="00C7290E">
        <w:rPr>
          <w:rFonts w:ascii="Arial Narrow" w:hAnsi="Arial Narrow"/>
          <w:color w:val="000000"/>
          <w:sz w:val="18"/>
          <w:szCs w:val="18"/>
          <w:shd w:val="clear" w:color="auto" w:fill="FFFFFF"/>
        </w:rPr>
        <w:t xml:space="preserve">. The focus of this MSAC </w:t>
      </w:r>
      <w:r>
        <w:rPr>
          <w:rFonts w:ascii="Arial Narrow" w:hAnsi="Arial Narrow"/>
          <w:color w:val="000000"/>
          <w:sz w:val="18"/>
          <w:szCs w:val="18"/>
          <w:shd w:val="clear" w:color="auto" w:fill="FFFFFF"/>
        </w:rPr>
        <w:t>A</w:t>
      </w:r>
      <w:r w:rsidRPr="00C7290E">
        <w:rPr>
          <w:rFonts w:ascii="Arial Narrow" w:hAnsi="Arial Narrow"/>
          <w:color w:val="000000"/>
          <w:sz w:val="18"/>
          <w:szCs w:val="18"/>
          <w:shd w:val="clear" w:color="auto" w:fill="FFFFFF"/>
        </w:rPr>
        <w:t>pplication is deep SSI only.</w:t>
      </w:r>
    </w:p>
  </w:footnote>
  <w:footnote w:id="4">
    <w:p w14:paraId="16F5A5EB" w14:textId="7B0C2A75" w:rsidR="006A1391" w:rsidRDefault="006A1391">
      <w:pPr>
        <w:pStyle w:val="FootnoteText"/>
      </w:pPr>
      <w:r>
        <w:rPr>
          <w:rStyle w:val="FootnoteReference"/>
        </w:rPr>
        <w:footnoteRef/>
      </w:r>
      <w:r>
        <w:t xml:space="preserve"> </w:t>
      </w:r>
      <w:r w:rsidRPr="00297783">
        <w:rPr>
          <w:rFonts w:ascii="Arial Narrow" w:hAnsi="Arial Narrow"/>
          <w:color w:val="000000"/>
          <w:sz w:val="18"/>
          <w:szCs w:val="18"/>
          <w:shd w:val="clear" w:color="auto" w:fill="FFFFFF"/>
        </w:rPr>
        <w:t>i.e., inclusive of superficial, deep and organ/space SSIs</w:t>
      </w:r>
      <w:r>
        <w:rPr>
          <w:rFonts w:ascii="Arial Narrow" w:hAnsi="Arial Narrow"/>
          <w:color w:val="000000"/>
          <w:sz w:val="18"/>
          <w:szCs w:val="18"/>
          <w:shd w:val="clear" w:color="auto" w:fill="FFFFFF"/>
        </w:rPr>
        <w:t>.</w:t>
      </w:r>
    </w:p>
  </w:footnote>
  <w:footnote w:id="5">
    <w:p w14:paraId="3D599FCE" w14:textId="4594033B" w:rsidR="006A1391" w:rsidRPr="00066A1F" w:rsidRDefault="006A1391" w:rsidP="00066A1F">
      <w:pPr>
        <w:pStyle w:val="ListParagraph"/>
        <w:numPr>
          <w:ilvl w:val="0"/>
          <w:numId w:val="24"/>
        </w:numPr>
        <w:rPr>
          <w:rFonts w:ascii="Arial Narrow" w:hAnsi="Arial Narrow"/>
          <w:sz w:val="18"/>
          <w:szCs w:val="18"/>
        </w:rPr>
      </w:pPr>
      <w:r>
        <w:rPr>
          <w:rStyle w:val="FootnoteReference"/>
        </w:rPr>
        <w:footnoteRef/>
      </w:r>
      <w:r>
        <w:t xml:space="preserve"> </w:t>
      </w:r>
      <w:r>
        <w:rPr>
          <w:rFonts w:ascii="Arial Narrow" w:hAnsi="Arial Narrow"/>
          <w:color w:val="000000"/>
          <w:sz w:val="18"/>
          <w:szCs w:val="18"/>
          <w:shd w:val="clear" w:color="auto" w:fill="FFFFFF"/>
        </w:rPr>
        <w:t>The a</w:t>
      </w:r>
      <w:r w:rsidRPr="00631352">
        <w:rPr>
          <w:rFonts w:ascii="Arial Narrow" w:hAnsi="Arial Narrow"/>
          <w:color w:val="000000"/>
          <w:sz w:val="18"/>
          <w:szCs w:val="18"/>
          <w:shd w:val="clear" w:color="auto" w:fill="FFFFFF"/>
        </w:rPr>
        <w:t xml:space="preserve">pplicant nominated 4 surgical populations </w:t>
      </w:r>
      <w:r w:rsidRPr="00631352">
        <w:rPr>
          <w:rFonts w:ascii="Arial Narrow" w:hAnsi="Arial Narrow"/>
          <w:i/>
          <w:color w:val="000000"/>
          <w:sz w:val="18"/>
          <w:szCs w:val="18"/>
          <w:shd w:val="clear" w:color="auto" w:fill="FFFFFF"/>
        </w:rPr>
        <w:t>(which were amended during preparation of the PICO)</w:t>
      </w:r>
      <w:r w:rsidRPr="00631352">
        <w:rPr>
          <w:rFonts w:ascii="Arial Narrow" w:hAnsi="Arial Narrow"/>
          <w:color w:val="000000"/>
          <w:sz w:val="18"/>
          <w:szCs w:val="18"/>
          <w:shd w:val="clear" w:color="auto" w:fill="FFFFFF"/>
        </w:rPr>
        <w:t xml:space="preserve"> for the prevention (primary, secondary) of deep periprosthetic SSI, categorised by the type and indication of the surg</w:t>
      </w:r>
      <w:r>
        <w:rPr>
          <w:rFonts w:ascii="Arial Narrow" w:hAnsi="Arial Narrow"/>
          <w:color w:val="000000"/>
          <w:sz w:val="18"/>
          <w:szCs w:val="18"/>
          <w:shd w:val="clear" w:color="auto" w:fill="FFFFFF"/>
        </w:rPr>
        <w:t xml:space="preserve">ical arthroplasty procedure(s): </w:t>
      </w:r>
      <w:r w:rsidRPr="00066A1F">
        <w:rPr>
          <w:rFonts w:ascii="Arial Narrow" w:hAnsi="Arial Narrow"/>
          <w:sz w:val="18"/>
          <w:szCs w:val="18"/>
        </w:rPr>
        <w:t xml:space="preserve">Patients undergoing an </w:t>
      </w:r>
      <w:r w:rsidRPr="00066A1F">
        <w:rPr>
          <w:rFonts w:ascii="Arial Narrow" w:hAnsi="Arial Narrow"/>
          <w:i/>
          <w:sz w:val="18"/>
          <w:szCs w:val="18"/>
        </w:rPr>
        <w:t>elective</w:t>
      </w:r>
      <w:r w:rsidRPr="00066A1F">
        <w:rPr>
          <w:rFonts w:ascii="Arial Narrow" w:hAnsi="Arial Narrow"/>
          <w:sz w:val="18"/>
          <w:szCs w:val="18"/>
        </w:rPr>
        <w:t xml:space="preserve"> primary joint implant at increased risk of infection due to the presence of comorbidities</w:t>
      </w:r>
    </w:p>
    <w:p w14:paraId="325476BB" w14:textId="77777777" w:rsidR="006A1391" w:rsidRPr="00066A1F" w:rsidRDefault="006A1391" w:rsidP="00066A1F">
      <w:pPr>
        <w:pStyle w:val="ListParagraph"/>
        <w:numPr>
          <w:ilvl w:val="0"/>
          <w:numId w:val="24"/>
        </w:numPr>
        <w:rPr>
          <w:rFonts w:ascii="Arial Narrow" w:hAnsi="Arial Narrow"/>
          <w:sz w:val="18"/>
          <w:szCs w:val="18"/>
        </w:rPr>
      </w:pPr>
      <w:r w:rsidRPr="00066A1F">
        <w:rPr>
          <w:rFonts w:ascii="Arial Narrow" w:hAnsi="Arial Narrow"/>
          <w:sz w:val="18"/>
          <w:szCs w:val="18"/>
        </w:rPr>
        <w:t xml:space="preserve">Patients undergoing </w:t>
      </w:r>
      <w:r w:rsidRPr="00066A1F">
        <w:rPr>
          <w:rFonts w:ascii="Arial Narrow" w:hAnsi="Arial Narrow"/>
          <w:i/>
          <w:sz w:val="18"/>
          <w:szCs w:val="18"/>
        </w:rPr>
        <w:t>elective</w:t>
      </w:r>
      <w:r w:rsidRPr="00066A1F">
        <w:rPr>
          <w:rFonts w:ascii="Arial Narrow" w:hAnsi="Arial Narrow"/>
          <w:sz w:val="18"/>
          <w:szCs w:val="18"/>
        </w:rPr>
        <w:t xml:space="preserve"> megaprosthesis implantation or </w:t>
      </w:r>
      <w:r w:rsidRPr="00066A1F">
        <w:rPr>
          <w:rFonts w:ascii="Arial Narrow" w:hAnsi="Arial Narrow"/>
          <w:i/>
          <w:sz w:val="18"/>
          <w:szCs w:val="18"/>
        </w:rPr>
        <w:t>elective</w:t>
      </w:r>
      <w:r w:rsidRPr="00066A1F">
        <w:rPr>
          <w:rFonts w:ascii="Arial Narrow" w:hAnsi="Arial Narrow"/>
          <w:sz w:val="18"/>
          <w:szCs w:val="18"/>
        </w:rPr>
        <w:t xml:space="preserve"> major revision of joint implants for indications other than periprosthetic infection, including total joint revision, tumour removal and reconstruction</w:t>
      </w:r>
    </w:p>
    <w:p w14:paraId="6D5BB60D" w14:textId="77777777" w:rsidR="006A1391" w:rsidRPr="00066A1F" w:rsidRDefault="006A1391" w:rsidP="00066A1F">
      <w:pPr>
        <w:pStyle w:val="ListParagraph"/>
        <w:numPr>
          <w:ilvl w:val="0"/>
          <w:numId w:val="24"/>
        </w:numPr>
        <w:rPr>
          <w:rFonts w:ascii="Arial Narrow" w:hAnsi="Arial Narrow"/>
          <w:sz w:val="18"/>
          <w:szCs w:val="18"/>
        </w:rPr>
      </w:pPr>
      <w:r w:rsidRPr="00066A1F">
        <w:rPr>
          <w:rFonts w:ascii="Arial Narrow" w:hAnsi="Arial Narrow"/>
          <w:sz w:val="18"/>
          <w:szCs w:val="18"/>
        </w:rPr>
        <w:t xml:space="preserve">Patients undergoing </w:t>
      </w:r>
      <w:r w:rsidRPr="00066A1F">
        <w:rPr>
          <w:rFonts w:ascii="Arial Narrow" w:hAnsi="Arial Narrow"/>
          <w:i/>
          <w:sz w:val="18"/>
          <w:szCs w:val="18"/>
        </w:rPr>
        <w:t>non-elective</w:t>
      </w:r>
      <w:r w:rsidRPr="00066A1F">
        <w:rPr>
          <w:rFonts w:ascii="Arial Narrow" w:hAnsi="Arial Narrow"/>
          <w:sz w:val="18"/>
          <w:szCs w:val="18"/>
        </w:rPr>
        <w:t xml:space="preserve"> surgery for periprosthetic infection with implant replacement</w:t>
      </w:r>
    </w:p>
    <w:p w14:paraId="726413EB" w14:textId="77777777" w:rsidR="006A1391" w:rsidRPr="00066A1F" w:rsidRDefault="006A1391" w:rsidP="00066A1F">
      <w:pPr>
        <w:pStyle w:val="ListParagraph"/>
        <w:numPr>
          <w:ilvl w:val="0"/>
          <w:numId w:val="24"/>
        </w:numPr>
        <w:rPr>
          <w:rFonts w:ascii="Arial Narrow" w:hAnsi="Arial Narrow"/>
          <w:sz w:val="18"/>
          <w:szCs w:val="18"/>
        </w:rPr>
      </w:pPr>
      <w:r w:rsidRPr="00066A1F">
        <w:rPr>
          <w:rFonts w:ascii="Arial Narrow" w:hAnsi="Arial Narrow"/>
          <w:sz w:val="18"/>
          <w:szCs w:val="18"/>
        </w:rPr>
        <w:t xml:space="preserve">a) Patients undergoing open reduction and internal fixation </w:t>
      </w:r>
      <w:r w:rsidRPr="00066A1F">
        <w:rPr>
          <w:rFonts w:ascii="Arial Narrow" w:hAnsi="Arial Narrow"/>
          <w:i/>
          <w:sz w:val="18"/>
          <w:szCs w:val="18"/>
        </w:rPr>
        <w:t>(elective)</w:t>
      </w:r>
    </w:p>
    <w:p w14:paraId="5F76B58F" w14:textId="7C69E74B" w:rsidR="006A1391" w:rsidRPr="00066A1F" w:rsidRDefault="006A1391" w:rsidP="00066A1F">
      <w:pPr>
        <w:pStyle w:val="ListParagraph"/>
        <w:numPr>
          <w:ilvl w:val="0"/>
          <w:numId w:val="25"/>
        </w:numPr>
      </w:pPr>
      <w:r w:rsidRPr="00066A1F">
        <w:rPr>
          <w:rFonts w:ascii="Arial Narrow" w:hAnsi="Arial Narrow"/>
          <w:sz w:val="18"/>
          <w:szCs w:val="18"/>
        </w:rPr>
        <w:t xml:space="preserve">b) Patients undergoing open reduction and internal fixation </w:t>
      </w:r>
      <w:r w:rsidRPr="00066A1F">
        <w:rPr>
          <w:rFonts w:ascii="Arial Narrow" w:hAnsi="Arial Narrow"/>
          <w:i/>
          <w:sz w:val="18"/>
          <w:szCs w:val="18"/>
        </w:rPr>
        <w:t>(non-elective).</w:t>
      </w:r>
    </w:p>
  </w:footnote>
  <w:footnote w:id="6">
    <w:p w14:paraId="142AE158" w14:textId="220B89A0" w:rsidR="006A1391" w:rsidRDefault="006A1391">
      <w:pPr>
        <w:pStyle w:val="FootnoteText"/>
      </w:pPr>
      <w:r>
        <w:rPr>
          <w:rStyle w:val="FootnoteReference"/>
        </w:rPr>
        <w:footnoteRef/>
      </w:r>
      <w:r>
        <w:t xml:space="preserve"> </w:t>
      </w:r>
      <w:r w:rsidRPr="00687E9D">
        <w:rPr>
          <w:rFonts w:ascii="Arial Narrow" w:hAnsi="Arial Narrow"/>
          <w:sz w:val="18"/>
          <w:szCs w:val="18"/>
        </w:rPr>
        <w:t>including hip prosthesis dislocation, knee stiffness,</w:t>
      </w:r>
      <w:r>
        <w:rPr>
          <w:rFonts w:ascii="Arial Narrow" w:hAnsi="Arial Narrow"/>
          <w:sz w:val="18"/>
          <w:szCs w:val="18"/>
        </w:rPr>
        <w:t xml:space="preserve"> and</w:t>
      </w:r>
      <w:r w:rsidRPr="00687E9D">
        <w:rPr>
          <w:rFonts w:ascii="Arial Narrow" w:hAnsi="Arial Narrow"/>
          <w:sz w:val="18"/>
          <w:szCs w:val="18"/>
        </w:rPr>
        <w:t xml:space="preserve"> deep vein thrombosis after knee replacement in the control group</w:t>
      </w:r>
      <w:r>
        <w:rPr>
          <w:rFonts w:ascii="Arial Narrow" w:hAnsi="Arial Narrow"/>
          <w:sz w:val="18"/>
          <w:szCs w:val="18"/>
        </w:rPr>
        <w:t>;</w:t>
      </w:r>
      <w:r w:rsidRPr="00687E9D">
        <w:rPr>
          <w:rFonts w:ascii="Arial Narrow" w:hAnsi="Arial Narrow"/>
          <w:sz w:val="18"/>
          <w:szCs w:val="18"/>
        </w:rPr>
        <w:t xml:space="preserve"> and hip revision prosthesis dislocation, deep vein thrombosis after hip revision surgery and stiff knee after revision in the treatment group</w:t>
      </w:r>
    </w:p>
  </w:footnote>
  <w:footnote w:id="7">
    <w:p w14:paraId="1ED52ECA" w14:textId="2C5482C4" w:rsidR="006A1391" w:rsidRDefault="006A1391">
      <w:pPr>
        <w:pStyle w:val="FootnoteText"/>
      </w:pPr>
      <w:r>
        <w:rPr>
          <w:rStyle w:val="FootnoteReference"/>
        </w:rPr>
        <w:footnoteRef/>
      </w:r>
      <w:r>
        <w:t xml:space="preserve"> </w:t>
      </w:r>
      <w:r w:rsidRPr="005F51D8">
        <w:rPr>
          <w:rFonts w:ascii="Arial Narrow" w:hAnsi="Arial Narrow"/>
          <w:sz w:val="18"/>
          <w:szCs w:val="18"/>
        </w:rPr>
        <w:t xml:space="preserve">Cefazolin was the most often used antibiotic for short-term prophylaxis. In both groups combined systemic short-term prophylaxis was administered in approximately half of patients in Romano et al. </w:t>
      </w:r>
      <w:r>
        <w:rPr>
          <w:rFonts w:ascii="Arial Narrow" w:hAnsi="Arial Narrow"/>
          <w:sz w:val="18"/>
          <w:szCs w:val="18"/>
        </w:rPr>
        <w:t>(</w:t>
      </w:r>
      <w:r w:rsidRPr="005F51D8">
        <w:rPr>
          <w:rFonts w:ascii="Arial Narrow" w:hAnsi="Arial Narrow"/>
          <w:sz w:val="18"/>
          <w:szCs w:val="18"/>
        </w:rPr>
        <w:t>2016</w:t>
      </w:r>
      <w:r>
        <w:rPr>
          <w:rFonts w:ascii="Arial Narrow" w:hAnsi="Arial Narrow"/>
          <w:sz w:val="18"/>
          <w:szCs w:val="18"/>
        </w:rPr>
        <w:t>)</w:t>
      </w:r>
      <w:r w:rsidRPr="005F51D8">
        <w:rPr>
          <w:rFonts w:ascii="Arial Narrow" w:hAnsi="Arial Narrow"/>
          <w:sz w:val="18"/>
          <w:szCs w:val="18"/>
        </w:rPr>
        <w:t>.</w:t>
      </w:r>
    </w:p>
  </w:footnote>
  <w:footnote w:id="8">
    <w:p w14:paraId="5156DA52" w14:textId="39693C0A" w:rsidR="006A1391" w:rsidRPr="0055549F" w:rsidRDefault="006A1391" w:rsidP="000965EC">
      <w:pPr>
        <w:spacing w:after="0" w:line="240" w:lineRule="auto"/>
        <w:rPr>
          <w:rFonts w:ascii="Arial Narrow" w:hAnsi="Arial Narrow"/>
          <w:sz w:val="18"/>
          <w:szCs w:val="18"/>
        </w:rPr>
      </w:pPr>
      <w:r>
        <w:rPr>
          <w:rStyle w:val="FootnoteReference"/>
        </w:rPr>
        <w:footnoteRef/>
      </w:r>
      <w:r>
        <w:t xml:space="preserve"> </w:t>
      </w:r>
      <w:r>
        <w:rPr>
          <w:rFonts w:ascii="Arial Narrow" w:hAnsi="Arial Narrow"/>
          <w:sz w:val="18"/>
          <w:szCs w:val="18"/>
        </w:rPr>
        <w:t>As detailed in Malizos et al. (2017), w</w:t>
      </w:r>
      <w:r w:rsidRPr="0055549F">
        <w:rPr>
          <w:rFonts w:ascii="Arial Narrow" w:hAnsi="Arial Narrow"/>
          <w:sz w:val="18"/>
          <w:szCs w:val="18"/>
        </w:rPr>
        <w:t xml:space="preserve">ound healing </w:t>
      </w:r>
      <w:r>
        <w:rPr>
          <w:rFonts w:ascii="Arial Narrow" w:hAnsi="Arial Narrow"/>
          <w:sz w:val="18"/>
          <w:szCs w:val="18"/>
        </w:rPr>
        <w:t>could be</w:t>
      </w:r>
      <w:r w:rsidRPr="0055549F">
        <w:rPr>
          <w:rFonts w:ascii="Arial Narrow" w:hAnsi="Arial Narrow"/>
          <w:sz w:val="18"/>
          <w:szCs w:val="18"/>
        </w:rPr>
        <w:t xml:space="preserve"> assessed at 7</w:t>
      </w:r>
      <w:r>
        <w:rPr>
          <w:rFonts w:ascii="Arial Narrow" w:hAnsi="Arial Narrow"/>
          <w:sz w:val="18"/>
          <w:szCs w:val="18"/>
        </w:rPr>
        <w:t xml:space="preserve"> </w:t>
      </w:r>
      <w:r w:rsidRPr="0055549F">
        <w:rPr>
          <w:rFonts w:ascii="Arial Narrow" w:hAnsi="Arial Narrow"/>
          <w:sz w:val="18"/>
          <w:szCs w:val="18"/>
        </w:rPr>
        <w:t>and 14 days using the ASEPSIS score, described by Wilson</w:t>
      </w:r>
    </w:p>
    <w:p w14:paraId="7A5B6FCF" w14:textId="665453E7" w:rsidR="006A1391" w:rsidRDefault="006A1391" w:rsidP="009F4898">
      <w:pPr>
        <w:spacing w:after="0" w:line="240" w:lineRule="auto"/>
      </w:pPr>
      <w:r>
        <w:rPr>
          <w:rFonts w:ascii="Arial Narrow" w:hAnsi="Arial Narrow"/>
          <w:sz w:val="18"/>
          <w:szCs w:val="18"/>
        </w:rPr>
        <w:t>et al (1986). The d</w:t>
      </w:r>
      <w:r w:rsidRPr="0055549F">
        <w:rPr>
          <w:rFonts w:ascii="Arial Narrow" w:hAnsi="Arial Narrow"/>
          <w:sz w:val="18"/>
          <w:szCs w:val="18"/>
        </w:rPr>
        <w:t xml:space="preserve">elayed wound </w:t>
      </w:r>
      <w:r>
        <w:rPr>
          <w:rFonts w:ascii="Arial Narrow" w:hAnsi="Arial Narrow"/>
          <w:sz w:val="18"/>
          <w:szCs w:val="18"/>
        </w:rPr>
        <w:t xml:space="preserve">could be assessed based on whether there is </w:t>
      </w:r>
      <w:r w:rsidRPr="0055549F">
        <w:rPr>
          <w:rFonts w:ascii="Arial Narrow" w:hAnsi="Arial Narrow"/>
          <w:sz w:val="18"/>
          <w:szCs w:val="18"/>
        </w:rPr>
        <w:t>incomplete healing of the wound after 4 weeks from surgery,</w:t>
      </w:r>
      <w:r>
        <w:rPr>
          <w:rFonts w:ascii="Arial Narrow" w:hAnsi="Arial Narrow"/>
          <w:sz w:val="18"/>
          <w:szCs w:val="18"/>
        </w:rPr>
        <w:t xml:space="preserve"> </w:t>
      </w:r>
      <w:r w:rsidRPr="0055549F">
        <w:rPr>
          <w:rFonts w:ascii="Arial Narrow" w:hAnsi="Arial Narrow"/>
          <w:sz w:val="18"/>
          <w:szCs w:val="18"/>
        </w:rPr>
        <w:t xml:space="preserve">including the </w:t>
      </w:r>
      <w:r>
        <w:rPr>
          <w:rFonts w:ascii="Arial Narrow" w:hAnsi="Arial Narrow"/>
          <w:sz w:val="18"/>
          <w:szCs w:val="18"/>
        </w:rPr>
        <w:t>p</w:t>
      </w:r>
      <w:r w:rsidRPr="0055549F">
        <w:rPr>
          <w:rFonts w:ascii="Arial Narrow" w:hAnsi="Arial Narrow"/>
          <w:sz w:val="18"/>
          <w:szCs w:val="18"/>
        </w:rPr>
        <w:t>resence of wound dehiscence, necrosis</w:t>
      </w:r>
      <w:r>
        <w:rPr>
          <w:rFonts w:ascii="Arial Narrow" w:hAnsi="Arial Narrow"/>
          <w:sz w:val="18"/>
          <w:szCs w:val="18"/>
        </w:rPr>
        <w:t xml:space="preserve"> </w:t>
      </w:r>
      <w:r w:rsidRPr="0055549F">
        <w:rPr>
          <w:rFonts w:ascii="Arial Narrow" w:hAnsi="Arial Narrow"/>
          <w:sz w:val="18"/>
          <w:szCs w:val="18"/>
        </w:rPr>
        <w:t>or serum leakage</w:t>
      </w:r>
      <w:r>
        <w:rPr>
          <w:rFonts w:ascii="Arial Narrow" w:hAnsi="Arial Narrow"/>
          <w:sz w:val="18"/>
          <w:szCs w:val="18"/>
        </w:rPr>
        <w:t xml:space="preserve">. The presence of these conditions </w:t>
      </w:r>
      <w:r w:rsidRPr="0055549F">
        <w:rPr>
          <w:rFonts w:ascii="Arial Narrow" w:hAnsi="Arial Narrow"/>
          <w:sz w:val="18"/>
          <w:szCs w:val="18"/>
        </w:rPr>
        <w:t xml:space="preserve">may need further medication but </w:t>
      </w:r>
      <w:r>
        <w:rPr>
          <w:rFonts w:ascii="Arial Narrow" w:hAnsi="Arial Narrow"/>
          <w:sz w:val="18"/>
          <w:szCs w:val="18"/>
        </w:rPr>
        <w:t xml:space="preserve">may </w:t>
      </w:r>
      <w:r w:rsidRPr="0055549F">
        <w:rPr>
          <w:rFonts w:ascii="Arial Narrow" w:hAnsi="Arial Narrow"/>
          <w:sz w:val="18"/>
          <w:szCs w:val="18"/>
        </w:rPr>
        <w:t>not require any additional surgical treatment.</w:t>
      </w:r>
    </w:p>
  </w:footnote>
  <w:footnote w:id="9">
    <w:p w14:paraId="67A78D05" w14:textId="54161792" w:rsidR="006A1391" w:rsidRDefault="006A1391">
      <w:pPr>
        <w:pStyle w:val="FootnoteText"/>
      </w:pPr>
      <w:r>
        <w:rPr>
          <w:rStyle w:val="FootnoteReference"/>
        </w:rPr>
        <w:footnoteRef/>
      </w:r>
      <w:r>
        <w:t xml:space="preserve"> </w:t>
      </w:r>
      <w:r w:rsidRPr="0082241C">
        <w:rPr>
          <w:rFonts w:ascii="Arial Narrow" w:hAnsi="Arial Narrow"/>
          <w:sz w:val="18"/>
          <w:szCs w:val="18"/>
        </w:rPr>
        <w:t>Clinical</w:t>
      </w:r>
      <w:r>
        <w:rPr>
          <w:rFonts w:ascii="Arial Narrow" w:hAnsi="Arial Narrow"/>
          <w:sz w:val="18"/>
          <w:szCs w:val="18"/>
        </w:rPr>
        <w:t xml:space="preserve"> scores could be obtained using several outcome measures, including </w:t>
      </w:r>
      <w:r w:rsidRPr="002129D0">
        <w:rPr>
          <w:rFonts w:ascii="Arial Narrow" w:hAnsi="Arial Narrow"/>
          <w:sz w:val="18"/>
          <w:szCs w:val="18"/>
        </w:rPr>
        <w:t>Charnley Hip Score, Oxford Hip and</w:t>
      </w:r>
      <w:r>
        <w:rPr>
          <w:rFonts w:ascii="Arial Narrow" w:hAnsi="Arial Narrow"/>
          <w:sz w:val="18"/>
          <w:szCs w:val="18"/>
        </w:rPr>
        <w:t xml:space="preserve"> K</w:t>
      </w:r>
      <w:r w:rsidRPr="002129D0">
        <w:rPr>
          <w:rFonts w:ascii="Arial Narrow" w:hAnsi="Arial Narrow"/>
          <w:sz w:val="18"/>
          <w:szCs w:val="18"/>
        </w:rPr>
        <w:t>nee Scores, Harris Hip Score, Hospital</w:t>
      </w:r>
      <w:r>
        <w:rPr>
          <w:rFonts w:ascii="Arial Narrow" w:hAnsi="Arial Narrow"/>
          <w:sz w:val="18"/>
          <w:szCs w:val="18"/>
        </w:rPr>
        <w:t xml:space="preserve"> </w:t>
      </w:r>
      <w:r w:rsidRPr="002129D0">
        <w:rPr>
          <w:rFonts w:ascii="Arial Narrow" w:hAnsi="Arial Narrow"/>
          <w:sz w:val="18"/>
          <w:szCs w:val="18"/>
        </w:rPr>
        <w:t xml:space="preserve">for Special Surgery Knee Score, </w:t>
      </w:r>
      <w:r>
        <w:rPr>
          <w:rFonts w:ascii="Arial Narrow" w:hAnsi="Arial Narrow"/>
          <w:sz w:val="18"/>
          <w:szCs w:val="18"/>
        </w:rPr>
        <w:t>K</w:t>
      </w:r>
      <w:r w:rsidRPr="002129D0">
        <w:rPr>
          <w:rFonts w:ascii="Arial Narrow" w:hAnsi="Arial Narrow"/>
          <w:sz w:val="18"/>
          <w:szCs w:val="18"/>
        </w:rPr>
        <w:t>nee Society Score</w:t>
      </w:r>
      <w:r>
        <w:rPr>
          <w:rFonts w:ascii="Arial Narrow" w:hAnsi="Arial Narrow"/>
          <w:sz w:val="18"/>
          <w:szCs w:val="18"/>
        </w:rPr>
        <w:t xml:space="preserve">, </w:t>
      </w:r>
      <w:r w:rsidRPr="00132D17">
        <w:rPr>
          <w:rFonts w:ascii="Arial Narrow" w:hAnsi="Arial Narrow"/>
          <w:sz w:val="18"/>
          <w:szCs w:val="18"/>
        </w:rPr>
        <w:t>Oxford shoulder scores</w:t>
      </w:r>
      <w:r>
        <w:rPr>
          <w:rFonts w:ascii="Arial Narrow" w:hAnsi="Arial Narrow"/>
          <w:sz w:val="18"/>
          <w:szCs w:val="18"/>
        </w:rPr>
        <w:t xml:space="preserve">, </w:t>
      </w:r>
      <w:r w:rsidRPr="00132D17">
        <w:rPr>
          <w:rFonts w:ascii="Arial Narrow" w:hAnsi="Arial Narrow"/>
          <w:sz w:val="18"/>
          <w:szCs w:val="18"/>
        </w:rPr>
        <w:t>Disabilities of the Arm Shoulder and Hand questionnaire</w:t>
      </w:r>
      <w:r w:rsidRPr="002129D0" w:rsidDel="002129D0">
        <w:rPr>
          <w:rFonts w:ascii="Arial Narrow" w:hAnsi="Arial Narrow"/>
          <w:sz w:val="18"/>
          <w:szCs w:val="18"/>
        </w:rPr>
        <w:t xml:space="preserve"> </w:t>
      </w:r>
      <w:r>
        <w:rPr>
          <w:rFonts w:ascii="Arial Narrow" w:hAnsi="Arial Narrow"/>
          <w:sz w:val="18"/>
          <w:szCs w:val="18"/>
        </w:rPr>
        <w:t>as appropriate.</w:t>
      </w:r>
    </w:p>
  </w:footnote>
  <w:footnote w:id="10">
    <w:p w14:paraId="430F8C24" w14:textId="150CA1BF" w:rsidR="006A1391" w:rsidRDefault="006A1391">
      <w:pPr>
        <w:pStyle w:val="FootnoteText"/>
      </w:pPr>
      <w:r>
        <w:rPr>
          <w:rStyle w:val="FootnoteReference"/>
        </w:rPr>
        <w:footnoteRef/>
      </w:r>
      <w:r>
        <w:t xml:space="preserve"> </w:t>
      </w:r>
      <w:r w:rsidRPr="00261182">
        <w:rPr>
          <w:rFonts w:ascii="Arial Narrow" w:hAnsi="Arial Narrow"/>
          <w:sz w:val="18"/>
          <w:szCs w:val="18"/>
        </w:rPr>
        <w:t xml:space="preserve">Osteolysis or ‘aseptic loosening’ is a biological process caused by phagocytosis of particulate debris. As a result, the implant is separated from the bone. This separation is </w:t>
      </w:r>
      <w:r>
        <w:rPr>
          <w:rFonts w:ascii="Arial Narrow" w:hAnsi="Arial Narrow"/>
          <w:sz w:val="18"/>
          <w:szCs w:val="18"/>
        </w:rPr>
        <w:t>evident</w:t>
      </w:r>
      <w:r w:rsidRPr="00261182">
        <w:rPr>
          <w:rFonts w:ascii="Arial Narrow" w:hAnsi="Arial Narrow"/>
          <w:sz w:val="18"/>
          <w:szCs w:val="18"/>
        </w:rPr>
        <w:t xml:space="preserve"> as a periprosthetic zone of radiolucency around the bone-cement or bone-prosthesis interface.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853E8" w14:textId="523890D4" w:rsidR="006A1391" w:rsidRDefault="006A1391">
    <w:pPr>
      <w:pStyle w:val="Header"/>
    </w:pPr>
    <w:r>
      <w:rPr>
        <w:noProof/>
        <w:lang w:eastAsia="en-AU"/>
      </w:rPr>
      <mc:AlternateContent>
        <mc:Choice Requires="wps">
          <w:drawing>
            <wp:anchor distT="0" distB="0" distL="114300" distR="114300" simplePos="0" relativeHeight="251657728" behindDoc="1" locked="0" layoutInCell="0" allowOverlap="1" wp14:anchorId="1F0703E9" wp14:editId="7E064957">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CB6D51" w14:textId="77777777" w:rsidR="006A1391" w:rsidRDefault="006A1391" w:rsidP="00E035B4">
                          <w:pPr>
                            <w:jc w:val="center"/>
                            <w:rPr>
                              <w:sz w:val="24"/>
                              <w:szCs w:val="24"/>
                            </w:rP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0703E9"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30CB6D51" w14:textId="77777777" w:rsidR="006A1391" w:rsidRDefault="006A1391" w:rsidP="00E035B4">
                    <w:pPr>
                      <w:jc w:val="center"/>
                      <w:rPr>
                        <w:sz w:val="24"/>
                        <w:szCs w:val="24"/>
                      </w:rP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7B8"/>
    <w:multiLevelType w:val="hybridMultilevel"/>
    <w:tmpl w:val="BFAA6AF6"/>
    <w:lvl w:ilvl="0" w:tplc="CAE07ECC">
      <w:start w:val="1"/>
      <w:numFmt w:val="decimal"/>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32503"/>
    <w:multiLevelType w:val="hybridMultilevel"/>
    <w:tmpl w:val="76F06256"/>
    <w:lvl w:ilvl="0" w:tplc="FE2C8848">
      <w:start w:val="1"/>
      <w:numFmt w:val="decimal"/>
      <w:lvlText w:val="%1."/>
      <w:lvlJc w:val="left"/>
      <w:pPr>
        <w:ind w:left="720" w:hanging="360"/>
      </w:pPr>
      <w:rPr>
        <w:b/>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580CF7"/>
    <w:multiLevelType w:val="hybridMultilevel"/>
    <w:tmpl w:val="402E6FC8"/>
    <w:lvl w:ilvl="0" w:tplc="EF367D18">
      <w:start w:val="4"/>
      <w:numFmt w:val="decimal"/>
      <w:lvlText w:val="%1."/>
      <w:lvlJc w:val="left"/>
      <w:pPr>
        <w:ind w:left="720" w:hanging="360"/>
      </w:pPr>
      <w:rPr>
        <w:rFonts w:ascii="Arial Narrow" w:hAnsi="Arial Narrow"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E9C3846"/>
    <w:multiLevelType w:val="hybridMultilevel"/>
    <w:tmpl w:val="490A7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D52680"/>
    <w:multiLevelType w:val="hybridMultilevel"/>
    <w:tmpl w:val="7E1C644E"/>
    <w:lvl w:ilvl="0" w:tplc="CAE07ECC">
      <w:start w:val="1"/>
      <w:numFmt w:val="decimal"/>
      <w:lvlText w:val="%1."/>
      <w:lvlJc w:val="left"/>
      <w:pPr>
        <w:ind w:left="720" w:hanging="360"/>
      </w:pPr>
      <w:rPr>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CF5566"/>
    <w:multiLevelType w:val="hybridMultilevel"/>
    <w:tmpl w:val="8F44B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952B99"/>
    <w:multiLevelType w:val="hybridMultilevel"/>
    <w:tmpl w:val="1CE60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4719FF"/>
    <w:multiLevelType w:val="hybridMultilevel"/>
    <w:tmpl w:val="07CA0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A63229"/>
    <w:multiLevelType w:val="hybridMultilevel"/>
    <w:tmpl w:val="744E5BC0"/>
    <w:lvl w:ilvl="0" w:tplc="3718ECFA">
      <w:start w:val="1"/>
      <w:numFmt w:val="decimal"/>
      <w:lvlText w:val="%1."/>
      <w:lvlJc w:val="left"/>
      <w:pPr>
        <w:ind w:left="360" w:hanging="360"/>
      </w:pPr>
      <w:rPr>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32411375"/>
    <w:multiLevelType w:val="hybridMultilevel"/>
    <w:tmpl w:val="5DE20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5D0A83"/>
    <w:multiLevelType w:val="hybridMultilevel"/>
    <w:tmpl w:val="C49AF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F33976"/>
    <w:multiLevelType w:val="hybridMultilevel"/>
    <w:tmpl w:val="DFAA1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D7341E"/>
    <w:multiLevelType w:val="hybridMultilevel"/>
    <w:tmpl w:val="2C74B378"/>
    <w:lvl w:ilvl="0" w:tplc="CA187DA8">
      <w:start w:val="1"/>
      <w:numFmt w:val="decimal"/>
      <w:lvlText w:val="%1."/>
      <w:lvlJc w:val="left"/>
      <w:pPr>
        <w:ind w:left="720" w:hanging="67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17"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4A0B5AEC"/>
    <w:multiLevelType w:val="hybridMultilevel"/>
    <w:tmpl w:val="ABF6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2793CE9"/>
    <w:multiLevelType w:val="hybridMultilevel"/>
    <w:tmpl w:val="6804DA0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663EE8"/>
    <w:multiLevelType w:val="hybridMultilevel"/>
    <w:tmpl w:val="12A48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F4496F"/>
    <w:multiLevelType w:val="hybridMultilevel"/>
    <w:tmpl w:val="B93251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AD6D5D"/>
    <w:multiLevelType w:val="hybridMultilevel"/>
    <w:tmpl w:val="2F8688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F840535"/>
    <w:multiLevelType w:val="hybridMultilevel"/>
    <w:tmpl w:val="6804DA0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3E170B"/>
    <w:multiLevelType w:val="hybridMultilevel"/>
    <w:tmpl w:val="71EC029C"/>
    <w:lvl w:ilvl="0" w:tplc="9080EDD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3170FF"/>
    <w:multiLevelType w:val="hybridMultilevel"/>
    <w:tmpl w:val="A046439C"/>
    <w:lvl w:ilvl="0" w:tplc="4C56ED7A">
      <w:start w:val="1"/>
      <w:numFmt w:val="decimal"/>
      <w:lvlText w:val="%1."/>
      <w:lvlJc w:val="left"/>
      <w:pPr>
        <w:ind w:left="72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D4177D"/>
    <w:multiLevelType w:val="hybridMultilevel"/>
    <w:tmpl w:val="1F86B892"/>
    <w:lvl w:ilvl="0" w:tplc="2D9E8EB6">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601F79"/>
    <w:multiLevelType w:val="hybridMultilevel"/>
    <w:tmpl w:val="332EFAE4"/>
    <w:lvl w:ilvl="0" w:tplc="AEE03902">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7C9D7257"/>
    <w:multiLevelType w:val="hybridMultilevel"/>
    <w:tmpl w:val="6804DA0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493831"/>
    <w:multiLevelType w:val="hybridMultilevel"/>
    <w:tmpl w:val="C17A1728"/>
    <w:lvl w:ilvl="0" w:tplc="A19AF882">
      <w:start w:val="1"/>
      <w:numFmt w:val="decimal"/>
      <w:lvlText w:val="%1."/>
      <w:lvlJc w:val="left"/>
      <w:pPr>
        <w:ind w:left="720" w:hanging="360"/>
      </w:pPr>
      <w:rPr>
        <w:rFonts w:hint="default"/>
        <w:b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C20CFB"/>
    <w:multiLevelType w:val="hybridMultilevel"/>
    <w:tmpl w:val="74902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0"/>
  </w:num>
  <w:num w:numId="4">
    <w:abstractNumId w:val="27"/>
  </w:num>
  <w:num w:numId="5">
    <w:abstractNumId w:val="31"/>
  </w:num>
  <w:num w:numId="6">
    <w:abstractNumId w:val="17"/>
  </w:num>
  <w:num w:numId="7">
    <w:abstractNumId w:val="5"/>
  </w:num>
  <w:num w:numId="8">
    <w:abstractNumId w:val="3"/>
  </w:num>
  <w:num w:numId="9">
    <w:abstractNumId w:val="19"/>
  </w:num>
  <w:num w:numId="10">
    <w:abstractNumId w:val="15"/>
  </w:num>
  <w:num w:numId="11">
    <w:abstractNumId w:val="33"/>
  </w:num>
  <w:num w:numId="12">
    <w:abstractNumId w:val="13"/>
  </w:num>
  <w:num w:numId="13">
    <w:abstractNumId w:val="16"/>
  </w:num>
  <w:num w:numId="14">
    <w:abstractNumId w:val="24"/>
  </w:num>
  <w:num w:numId="15">
    <w:abstractNumId w:val="6"/>
  </w:num>
  <w:num w:numId="16">
    <w:abstractNumId w:val="22"/>
  </w:num>
  <w:num w:numId="17">
    <w:abstractNumId w:val="9"/>
  </w:num>
  <w:num w:numId="18">
    <w:abstractNumId w:val="8"/>
  </w:num>
  <w:num w:numId="19">
    <w:abstractNumId w:val="11"/>
  </w:num>
  <w:num w:numId="20">
    <w:abstractNumId w:val="34"/>
  </w:num>
  <w:num w:numId="21">
    <w:abstractNumId w:val="14"/>
  </w:num>
  <w:num w:numId="22">
    <w:abstractNumId w:val="32"/>
  </w:num>
  <w:num w:numId="23">
    <w:abstractNumId w:val="26"/>
  </w:num>
  <w:num w:numId="24">
    <w:abstractNumId w:val="25"/>
  </w:num>
  <w:num w:numId="25">
    <w:abstractNumId w:val="4"/>
  </w:num>
  <w:num w:numId="26">
    <w:abstractNumId w:val="20"/>
  </w:num>
  <w:num w:numId="27">
    <w:abstractNumId w:val="23"/>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0"/>
  </w:num>
  <w:num w:numId="32">
    <w:abstractNumId w:val="1"/>
  </w:num>
  <w:num w:numId="33">
    <w:abstractNumId w:val="29"/>
  </w:num>
  <w:num w:numId="34">
    <w:abstractNumId w:val="7"/>
  </w:num>
  <w:num w:numId="35">
    <w:abstractNumId w:val="28"/>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zNTQ0MDU2MDQ2NbZU0lEKTi0uzszPAykwMq0FAD8wulYt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x52t0fa5ezaf7e22eopzxaswfsaaaevpfzf&quot;&gt;Endnote_MSAC1629&lt;record-ids&gt;&lt;item&gt;1&lt;/item&gt;&lt;item&gt;2&lt;/item&gt;&lt;item&gt;3&lt;/item&gt;&lt;item&gt;4&lt;/item&gt;&lt;item&gt;5&lt;/item&gt;&lt;item&gt;6&lt;/item&gt;&lt;item&gt;7&lt;/item&gt;&lt;item&gt;9&lt;/item&gt;&lt;item&gt;10&lt;/item&gt;&lt;item&gt;12&lt;/item&gt;&lt;item&gt;13&lt;/item&gt;&lt;item&gt;14&lt;/item&gt;&lt;item&gt;15&lt;/item&gt;&lt;item&gt;16&lt;/item&gt;&lt;item&gt;17&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3&lt;/item&gt;&lt;/record-ids&gt;&lt;/item&gt;&lt;/Libraries&gt;"/>
  </w:docVars>
  <w:rsids>
    <w:rsidRoot w:val="0044715D"/>
    <w:rsid w:val="00000604"/>
    <w:rsid w:val="00001282"/>
    <w:rsid w:val="000016BB"/>
    <w:rsid w:val="00002118"/>
    <w:rsid w:val="000029BF"/>
    <w:rsid w:val="000037EE"/>
    <w:rsid w:val="00004548"/>
    <w:rsid w:val="00004C52"/>
    <w:rsid w:val="00006F14"/>
    <w:rsid w:val="000071A8"/>
    <w:rsid w:val="00007CDB"/>
    <w:rsid w:val="00012640"/>
    <w:rsid w:val="00013852"/>
    <w:rsid w:val="00013D27"/>
    <w:rsid w:val="00014375"/>
    <w:rsid w:val="00022BDA"/>
    <w:rsid w:val="000233D5"/>
    <w:rsid w:val="00024A45"/>
    <w:rsid w:val="00025C9C"/>
    <w:rsid w:val="00026203"/>
    <w:rsid w:val="0003068E"/>
    <w:rsid w:val="00030950"/>
    <w:rsid w:val="00032F32"/>
    <w:rsid w:val="00033519"/>
    <w:rsid w:val="000348DA"/>
    <w:rsid w:val="00040AB5"/>
    <w:rsid w:val="00040DE3"/>
    <w:rsid w:val="00042092"/>
    <w:rsid w:val="0004312B"/>
    <w:rsid w:val="00047F24"/>
    <w:rsid w:val="00053C6E"/>
    <w:rsid w:val="00054E19"/>
    <w:rsid w:val="0005501F"/>
    <w:rsid w:val="0005732A"/>
    <w:rsid w:val="00057693"/>
    <w:rsid w:val="00063AC8"/>
    <w:rsid w:val="00066A1F"/>
    <w:rsid w:val="00067558"/>
    <w:rsid w:val="00075D23"/>
    <w:rsid w:val="00076E6B"/>
    <w:rsid w:val="00081C28"/>
    <w:rsid w:val="00090CD6"/>
    <w:rsid w:val="00091E3C"/>
    <w:rsid w:val="000926D1"/>
    <w:rsid w:val="000940E0"/>
    <w:rsid w:val="00095D6F"/>
    <w:rsid w:val="000965EC"/>
    <w:rsid w:val="00097840"/>
    <w:rsid w:val="000A0935"/>
    <w:rsid w:val="000A0FBA"/>
    <w:rsid w:val="000A135C"/>
    <w:rsid w:val="000A2491"/>
    <w:rsid w:val="000A6EA3"/>
    <w:rsid w:val="000B519A"/>
    <w:rsid w:val="000B6CE6"/>
    <w:rsid w:val="000B7718"/>
    <w:rsid w:val="000C25F9"/>
    <w:rsid w:val="000C39A2"/>
    <w:rsid w:val="000C57BA"/>
    <w:rsid w:val="000D1581"/>
    <w:rsid w:val="000D50A6"/>
    <w:rsid w:val="000D6389"/>
    <w:rsid w:val="000D7752"/>
    <w:rsid w:val="000E1CFB"/>
    <w:rsid w:val="000E210E"/>
    <w:rsid w:val="000E35F2"/>
    <w:rsid w:val="000E4C8C"/>
    <w:rsid w:val="000E7078"/>
    <w:rsid w:val="000E7E5C"/>
    <w:rsid w:val="000F0D29"/>
    <w:rsid w:val="000F2836"/>
    <w:rsid w:val="000F2A0B"/>
    <w:rsid w:val="000F2AFB"/>
    <w:rsid w:val="000F3637"/>
    <w:rsid w:val="000F5513"/>
    <w:rsid w:val="000F68A2"/>
    <w:rsid w:val="001015A8"/>
    <w:rsid w:val="001057F3"/>
    <w:rsid w:val="001058CA"/>
    <w:rsid w:val="00111D52"/>
    <w:rsid w:val="00115C3C"/>
    <w:rsid w:val="00121719"/>
    <w:rsid w:val="0012231C"/>
    <w:rsid w:val="00122701"/>
    <w:rsid w:val="001252BB"/>
    <w:rsid w:val="00125E40"/>
    <w:rsid w:val="00126955"/>
    <w:rsid w:val="0013086E"/>
    <w:rsid w:val="00132D17"/>
    <w:rsid w:val="00133092"/>
    <w:rsid w:val="00133DAD"/>
    <w:rsid w:val="001352F9"/>
    <w:rsid w:val="001405AA"/>
    <w:rsid w:val="00144C57"/>
    <w:rsid w:val="001455EC"/>
    <w:rsid w:val="00145A05"/>
    <w:rsid w:val="00147945"/>
    <w:rsid w:val="00150E5C"/>
    <w:rsid w:val="00152F35"/>
    <w:rsid w:val="0015585F"/>
    <w:rsid w:val="00160C35"/>
    <w:rsid w:val="00162F26"/>
    <w:rsid w:val="00163632"/>
    <w:rsid w:val="00164194"/>
    <w:rsid w:val="00164978"/>
    <w:rsid w:val="001658DF"/>
    <w:rsid w:val="00173333"/>
    <w:rsid w:val="00176F29"/>
    <w:rsid w:val="001803F4"/>
    <w:rsid w:val="00184C9E"/>
    <w:rsid w:val="00185363"/>
    <w:rsid w:val="00185A78"/>
    <w:rsid w:val="001874A7"/>
    <w:rsid w:val="0019143D"/>
    <w:rsid w:val="00191E53"/>
    <w:rsid w:val="00195C3D"/>
    <w:rsid w:val="001967E4"/>
    <w:rsid w:val="00197879"/>
    <w:rsid w:val="001A117D"/>
    <w:rsid w:val="001A445F"/>
    <w:rsid w:val="001A6061"/>
    <w:rsid w:val="001A7A3D"/>
    <w:rsid w:val="001B2604"/>
    <w:rsid w:val="001C0CB7"/>
    <w:rsid w:val="001C729A"/>
    <w:rsid w:val="001C77F8"/>
    <w:rsid w:val="001D1434"/>
    <w:rsid w:val="001D2489"/>
    <w:rsid w:val="001D53F2"/>
    <w:rsid w:val="001E7DFB"/>
    <w:rsid w:val="001F1B43"/>
    <w:rsid w:val="001F2A5C"/>
    <w:rsid w:val="001F5EA9"/>
    <w:rsid w:val="00200062"/>
    <w:rsid w:val="00205A3B"/>
    <w:rsid w:val="002061F7"/>
    <w:rsid w:val="0020799A"/>
    <w:rsid w:val="00207B65"/>
    <w:rsid w:val="002129D0"/>
    <w:rsid w:val="00215FBC"/>
    <w:rsid w:val="00222CA4"/>
    <w:rsid w:val="00222D7A"/>
    <w:rsid w:val="00224F37"/>
    <w:rsid w:val="00225726"/>
    <w:rsid w:val="002276EC"/>
    <w:rsid w:val="00227B7D"/>
    <w:rsid w:val="00234576"/>
    <w:rsid w:val="00237031"/>
    <w:rsid w:val="002370BF"/>
    <w:rsid w:val="00242475"/>
    <w:rsid w:val="00242B7E"/>
    <w:rsid w:val="00244400"/>
    <w:rsid w:val="002448F7"/>
    <w:rsid w:val="00247743"/>
    <w:rsid w:val="00252C1F"/>
    <w:rsid w:val="00260E70"/>
    <w:rsid w:val="00261182"/>
    <w:rsid w:val="00264625"/>
    <w:rsid w:val="00265D2E"/>
    <w:rsid w:val="0027592A"/>
    <w:rsid w:val="00276CAC"/>
    <w:rsid w:val="002777DE"/>
    <w:rsid w:val="00282B7B"/>
    <w:rsid w:val="00282F28"/>
    <w:rsid w:val="002842FB"/>
    <w:rsid w:val="00292DE9"/>
    <w:rsid w:val="00295D97"/>
    <w:rsid w:val="0029681A"/>
    <w:rsid w:val="00297783"/>
    <w:rsid w:val="002A03CE"/>
    <w:rsid w:val="002A39AF"/>
    <w:rsid w:val="002A4909"/>
    <w:rsid w:val="002A559E"/>
    <w:rsid w:val="002A66BD"/>
    <w:rsid w:val="002A6716"/>
    <w:rsid w:val="002A6B02"/>
    <w:rsid w:val="002B226C"/>
    <w:rsid w:val="002B23A0"/>
    <w:rsid w:val="002B291E"/>
    <w:rsid w:val="002B3338"/>
    <w:rsid w:val="002B394F"/>
    <w:rsid w:val="002B5B63"/>
    <w:rsid w:val="002C018C"/>
    <w:rsid w:val="002C02B9"/>
    <w:rsid w:val="002C05B8"/>
    <w:rsid w:val="002C4485"/>
    <w:rsid w:val="002C5777"/>
    <w:rsid w:val="002C6F04"/>
    <w:rsid w:val="002D0FF5"/>
    <w:rsid w:val="002D4E13"/>
    <w:rsid w:val="002F001F"/>
    <w:rsid w:val="002F0955"/>
    <w:rsid w:val="002F0D24"/>
    <w:rsid w:val="002F28FA"/>
    <w:rsid w:val="002F3F9D"/>
    <w:rsid w:val="002F7B6E"/>
    <w:rsid w:val="0030164C"/>
    <w:rsid w:val="00302F9F"/>
    <w:rsid w:val="00303C94"/>
    <w:rsid w:val="00304500"/>
    <w:rsid w:val="003057B0"/>
    <w:rsid w:val="00306F11"/>
    <w:rsid w:val="003103A9"/>
    <w:rsid w:val="003104C0"/>
    <w:rsid w:val="003126FB"/>
    <w:rsid w:val="00313C72"/>
    <w:rsid w:val="003140A9"/>
    <w:rsid w:val="0031609C"/>
    <w:rsid w:val="003169FA"/>
    <w:rsid w:val="00316C53"/>
    <w:rsid w:val="00316CF7"/>
    <w:rsid w:val="0032115D"/>
    <w:rsid w:val="00321A54"/>
    <w:rsid w:val="003264E6"/>
    <w:rsid w:val="003266C5"/>
    <w:rsid w:val="003279FF"/>
    <w:rsid w:val="00330D1A"/>
    <w:rsid w:val="00331A63"/>
    <w:rsid w:val="003352AE"/>
    <w:rsid w:val="0033618C"/>
    <w:rsid w:val="00344276"/>
    <w:rsid w:val="00351586"/>
    <w:rsid w:val="00352011"/>
    <w:rsid w:val="003533D6"/>
    <w:rsid w:val="003543E2"/>
    <w:rsid w:val="00354559"/>
    <w:rsid w:val="0035671E"/>
    <w:rsid w:val="0035673B"/>
    <w:rsid w:val="00360421"/>
    <w:rsid w:val="0036125A"/>
    <w:rsid w:val="00362776"/>
    <w:rsid w:val="003631DB"/>
    <w:rsid w:val="003708BB"/>
    <w:rsid w:val="003752DB"/>
    <w:rsid w:val="00375398"/>
    <w:rsid w:val="0038000B"/>
    <w:rsid w:val="00380C32"/>
    <w:rsid w:val="00382875"/>
    <w:rsid w:val="00385258"/>
    <w:rsid w:val="003860F1"/>
    <w:rsid w:val="003914B7"/>
    <w:rsid w:val="00391C81"/>
    <w:rsid w:val="003A1182"/>
    <w:rsid w:val="003A6F08"/>
    <w:rsid w:val="003B3CB4"/>
    <w:rsid w:val="003B3FE7"/>
    <w:rsid w:val="003B4C9E"/>
    <w:rsid w:val="003B5983"/>
    <w:rsid w:val="003B76D6"/>
    <w:rsid w:val="003B7E87"/>
    <w:rsid w:val="003C6416"/>
    <w:rsid w:val="003D298E"/>
    <w:rsid w:val="003D3713"/>
    <w:rsid w:val="003D45E4"/>
    <w:rsid w:val="003D48E2"/>
    <w:rsid w:val="003D5CA4"/>
    <w:rsid w:val="003D699E"/>
    <w:rsid w:val="003E0382"/>
    <w:rsid w:val="003E275C"/>
    <w:rsid w:val="003E577A"/>
    <w:rsid w:val="003E7129"/>
    <w:rsid w:val="003F0066"/>
    <w:rsid w:val="003F7C3F"/>
    <w:rsid w:val="004018E5"/>
    <w:rsid w:val="00402651"/>
    <w:rsid w:val="00411146"/>
    <w:rsid w:val="00411511"/>
    <w:rsid w:val="004117FC"/>
    <w:rsid w:val="0042178E"/>
    <w:rsid w:val="00422BAA"/>
    <w:rsid w:val="00423DD8"/>
    <w:rsid w:val="0042483F"/>
    <w:rsid w:val="00426A8E"/>
    <w:rsid w:val="004279DE"/>
    <w:rsid w:val="004305B5"/>
    <w:rsid w:val="004323B5"/>
    <w:rsid w:val="00440228"/>
    <w:rsid w:val="00440A18"/>
    <w:rsid w:val="00440B37"/>
    <w:rsid w:val="0044177F"/>
    <w:rsid w:val="00444ADA"/>
    <w:rsid w:val="0044715D"/>
    <w:rsid w:val="00451CF1"/>
    <w:rsid w:val="004527DB"/>
    <w:rsid w:val="00452C50"/>
    <w:rsid w:val="004546B5"/>
    <w:rsid w:val="004559EF"/>
    <w:rsid w:val="004628F4"/>
    <w:rsid w:val="004639C1"/>
    <w:rsid w:val="00464EAB"/>
    <w:rsid w:val="0046593A"/>
    <w:rsid w:val="00466D2D"/>
    <w:rsid w:val="00466E1B"/>
    <w:rsid w:val="00472479"/>
    <w:rsid w:val="00472E3C"/>
    <w:rsid w:val="0047513E"/>
    <w:rsid w:val="00477E37"/>
    <w:rsid w:val="004839BB"/>
    <w:rsid w:val="00484EEB"/>
    <w:rsid w:val="004879C5"/>
    <w:rsid w:val="00490088"/>
    <w:rsid w:val="004900C9"/>
    <w:rsid w:val="00492527"/>
    <w:rsid w:val="00496168"/>
    <w:rsid w:val="004966CF"/>
    <w:rsid w:val="004972FF"/>
    <w:rsid w:val="004A152B"/>
    <w:rsid w:val="004A187C"/>
    <w:rsid w:val="004A37F6"/>
    <w:rsid w:val="004A40AD"/>
    <w:rsid w:val="004A44E5"/>
    <w:rsid w:val="004A5703"/>
    <w:rsid w:val="004B113C"/>
    <w:rsid w:val="004B3480"/>
    <w:rsid w:val="004B66D8"/>
    <w:rsid w:val="004B7BDF"/>
    <w:rsid w:val="004C04E6"/>
    <w:rsid w:val="004C1FA9"/>
    <w:rsid w:val="004C5057"/>
    <w:rsid w:val="004D1D41"/>
    <w:rsid w:val="004D274A"/>
    <w:rsid w:val="004D2D51"/>
    <w:rsid w:val="004D2EDA"/>
    <w:rsid w:val="004D3A99"/>
    <w:rsid w:val="004D721E"/>
    <w:rsid w:val="004D7690"/>
    <w:rsid w:val="004E046F"/>
    <w:rsid w:val="004E2601"/>
    <w:rsid w:val="004E4ED6"/>
    <w:rsid w:val="004E772B"/>
    <w:rsid w:val="004F770C"/>
    <w:rsid w:val="00500219"/>
    <w:rsid w:val="0050120E"/>
    <w:rsid w:val="00503615"/>
    <w:rsid w:val="00505B38"/>
    <w:rsid w:val="0050655E"/>
    <w:rsid w:val="00507704"/>
    <w:rsid w:val="0051218E"/>
    <w:rsid w:val="005121BA"/>
    <w:rsid w:val="005140D4"/>
    <w:rsid w:val="00515CDC"/>
    <w:rsid w:val="00517A7E"/>
    <w:rsid w:val="00520CEC"/>
    <w:rsid w:val="00521E43"/>
    <w:rsid w:val="00523538"/>
    <w:rsid w:val="00525839"/>
    <w:rsid w:val="005272D7"/>
    <w:rsid w:val="00534E03"/>
    <w:rsid w:val="00536AAD"/>
    <w:rsid w:val="005433B5"/>
    <w:rsid w:val="00543A25"/>
    <w:rsid w:val="00545644"/>
    <w:rsid w:val="00546BE3"/>
    <w:rsid w:val="00550038"/>
    <w:rsid w:val="005514E6"/>
    <w:rsid w:val="00551D46"/>
    <w:rsid w:val="00552852"/>
    <w:rsid w:val="00552ED1"/>
    <w:rsid w:val="00553202"/>
    <w:rsid w:val="00553D21"/>
    <w:rsid w:val="0055549F"/>
    <w:rsid w:val="00560109"/>
    <w:rsid w:val="00560D95"/>
    <w:rsid w:val="00562B57"/>
    <w:rsid w:val="005640CC"/>
    <w:rsid w:val="0056495D"/>
    <w:rsid w:val="005652D8"/>
    <w:rsid w:val="005672FE"/>
    <w:rsid w:val="005675DF"/>
    <w:rsid w:val="00567E57"/>
    <w:rsid w:val="00573AC4"/>
    <w:rsid w:val="0057610F"/>
    <w:rsid w:val="00576AD2"/>
    <w:rsid w:val="00577375"/>
    <w:rsid w:val="00577923"/>
    <w:rsid w:val="00580740"/>
    <w:rsid w:val="00581184"/>
    <w:rsid w:val="00584D1E"/>
    <w:rsid w:val="0058795A"/>
    <w:rsid w:val="00592A28"/>
    <w:rsid w:val="00592A4A"/>
    <w:rsid w:val="0059392C"/>
    <w:rsid w:val="005A0475"/>
    <w:rsid w:val="005A0716"/>
    <w:rsid w:val="005A0AC8"/>
    <w:rsid w:val="005A0CCC"/>
    <w:rsid w:val="005A3081"/>
    <w:rsid w:val="005A64C0"/>
    <w:rsid w:val="005B0363"/>
    <w:rsid w:val="005B3D40"/>
    <w:rsid w:val="005B3EBC"/>
    <w:rsid w:val="005B4BFB"/>
    <w:rsid w:val="005B6E1D"/>
    <w:rsid w:val="005B6F01"/>
    <w:rsid w:val="005B7148"/>
    <w:rsid w:val="005C4CC6"/>
    <w:rsid w:val="005C4D5C"/>
    <w:rsid w:val="005C4EA9"/>
    <w:rsid w:val="005C54C3"/>
    <w:rsid w:val="005C59FC"/>
    <w:rsid w:val="005C7839"/>
    <w:rsid w:val="005C7B58"/>
    <w:rsid w:val="005D3037"/>
    <w:rsid w:val="005D5192"/>
    <w:rsid w:val="005D5973"/>
    <w:rsid w:val="005E25B4"/>
    <w:rsid w:val="005E31A9"/>
    <w:rsid w:val="005E5292"/>
    <w:rsid w:val="005E5FFE"/>
    <w:rsid w:val="005F2577"/>
    <w:rsid w:val="005F4D2F"/>
    <w:rsid w:val="005F51D8"/>
    <w:rsid w:val="005F5830"/>
    <w:rsid w:val="005F6F70"/>
    <w:rsid w:val="005F7F11"/>
    <w:rsid w:val="00600F0F"/>
    <w:rsid w:val="0060203E"/>
    <w:rsid w:val="00603488"/>
    <w:rsid w:val="006065ED"/>
    <w:rsid w:val="0061165D"/>
    <w:rsid w:val="006118D3"/>
    <w:rsid w:val="00612743"/>
    <w:rsid w:val="00614102"/>
    <w:rsid w:val="00614B8E"/>
    <w:rsid w:val="00616EAC"/>
    <w:rsid w:val="00617551"/>
    <w:rsid w:val="0062614F"/>
    <w:rsid w:val="00627B5C"/>
    <w:rsid w:val="00630B66"/>
    <w:rsid w:val="00631352"/>
    <w:rsid w:val="006319FC"/>
    <w:rsid w:val="0063291B"/>
    <w:rsid w:val="00632D21"/>
    <w:rsid w:val="00633C92"/>
    <w:rsid w:val="00634834"/>
    <w:rsid w:val="006423E3"/>
    <w:rsid w:val="006435E1"/>
    <w:rsid w:val="006441BE"/>
    <w:rsid w:val="00644920"/>
    <w:rsid w:val="00646203"/>
    <w:rsid w:val="00646A8C"/>
    <w:rsid w:val="00650EF4"/>
    <w:rsid w:val="006527B8"/>
    <w:rsid w:val="00655327"/>
    <w:rsid w:val="00655EE3"/>
    <w:rsid w:val="00663157"/>
    <w:rsid w:val="006635ED"/>
    <w:rsid w:val="006645DB"/>
    <w:rsid w:val="00664FB2"/>
    <w:rsid w:val="0066591E"/>
    <w:rsid w:val="006659AF"/>
    <w:rsid w:val="00665AE3"/>
    <w:rsid w:val="00665D01"/>
    <w:rsid w:val="0067012E"/>
    <w:rsid w:val="006717FB"/>
    <w:rsid w:val="0067302C"/>
    <w:rsid w:val="0067309D"/>
    <w:rsid w:val="00673A3E"/>
    <w:rsid w:val="00674A91"/>
    <w:rsid w:val="00674C83"/>
    <w:rsid w:val="006752BE"/>
    <w:rsid w:val="0067669D"/>
    <w:rsid w:val="006821B7"/>
    <w:rsid w:val="00682D91"/>
    <w:rsid w:val="00683B40"/>
    <w:rsid w:val="00683CDB"/>
    <w:rsid w:val="006845BD"/>
    <w:rsid w:val="00685DF1"/>
    <w:rsid w:val="00686756"/>
    <w:rsid w:val="00687E9D"/>
    <w:rsid w:val="00691D21"/>
    <w:rsid w:val="00694CBE"/>
    <w:rsid w:val="0069528B"/>
    <w:rsid w:val="0069683D"/>
    <w:rsid w:val="006A06FA"/>
    <w:rsid w:val="006A0725"/>
    <w:rsid w:val="006A08C2"/>
    <w:rsid w:val="006A1391"/>
    <w:rsid w:val="006A368F"/>
    <w:rsid w:val="006A36B8"/>
    <w:rsid w:val="006A6C0E"/>
    <w:rsid w:val="006A6E81"/>
    <w:rsid w:val="006A7169"/>
    <w:rsid w:val="006B10D6"/>
    <w:rsid w:val="006B242B"/>
    <w:rsid w:val="006B4EB1"/>
    <w:rsid w:val="006B6204"/>
    <w:rsid w:val="006C2577"/>
    <w:rsid w:val="006C40C9"/>
    <w:rsid w:val="006C79B2"/>
    <w:rsid w:val="006D0FC7"/>
    <w:rsid w:val="006D1643"/>
    <w:rsid w:val="006D2067"/>
    <w:rsid w:val="006D3990"/>
    <w:rsid w:val="006E11B0"/>
    <w:rsid w:val="006E45EE"/>
    <w:rsid w:val="006E4B30"/>
    <w:rsid w:val="006F19B8"/>
    <w:rsid w:val="006F38D1"/>
    <w:rsid w:val="006F77FD"/>
    <w:rsid w:val="00700A17"/>
    <w:rsid w:val="00701B16"/>
    <w:rsid w:val="00716365"/>
    <w:rsid w:val="00717106"/>
    <w:rsid w:val="00720844"/>
    <w:rsid w:val="00720CB3"/>
    <w:rsid w:val="00724069"/>
    <w:rsid w:val="00730101"/>
    <w:rsid w:val="00734197"/>
    <w:rsid w:val="00734F81"/>
    <w:rsid w:val="0073730D"/>
    <w:rsid w:val="0073757B"/>
    <w:rsid w:val="007401FC"/>
    <w:rsid w:val="00741D9D"/>
    <w:rsid w:val="00743C9E"/>
    <w:rsid w:val="0074587D"/>
    <w:rsid w:val="00745DED"/>
    <w:rsid w:val="00751006"/>
    <w:rsid w:val="00752491"/>
    <w:rsid w:val="007532B9"/>
    <w:rsid w:val="007536B3"/>
    <w:rsid w:val="00754BC0"/>
    <w:rsid w:val="00757BE7"/>
    <w:rsid w:val="0076099A"/>
    <w:rsid w:val="0076451B"/>
    <w:rsid w:val="007656D8"/>
    <w:rsid w:val="007713FD"/>
    <w:rsid w:val="00771F7C"/>
    <w:rsid w:val="00773A0A"/>
    <w:rsid w:val="00775F33"/>
    <w:rsid w:val="007776A0"/>
    <w:rsid w:val="0077789C"/>
    <w:rsid w:val="007832C8"/>
    <w:rsid w:val="00785CDD"/>
    <w:rsid w:val="00792367"/>
    <w:rsid w:val="00792E5A"/>
    <w:rsid w:val="0079455A"/>
    <w:rsid w:val="00794FCE"/>
    <w:rsid w:val="00795892"/>
    <w:rsid w:val="00797256"/>
    <w:rsid w:val="007A1499"/>
    <w:rsid w:val="007A30EA"/>
    <w:rsid w:val="007A3D67"/>
    <w:rsid w:val="007A77E8"/>
    <w:rsid w:val="007A7951"/>
    <w:rsid w:val="007B01A0"/>
    <w:rsid w:val="007B416B"/>
    <w:rsid w:val="007B760C"/>
    <w:rsid w:val="007C14E9"/>
    <w:rsid w:val="007C2674"/>
    <w:rsid w:val="007C3F94"/>
    <w:rsid w:val="007C56C0"/>
    <w:rsid w:val="007C74FC"/>
    <w:rsid w:val="007C7C27"/>
    <w:rsid w:val="007D04BA"/>
    <w:rsid w:val="007D0D6D"/>
    <w:rsid w:val="007D7CD2"/>
    <w:rsid w:val="007E10FC"/>
    <w:rsid w:val="007E1624"/>
    <w:rsid w:val="007E1CD4"/>
    <w:rsid w:val="007E3743"/>
    <w:rsid w:val="007E52B5"/>
    <w:rsid w:val="007E5CD9"/>
    <w:rsid w:val="007E61AB"/>
    <w:rsid w:val="007E690B"/>
    <w:rsid w:val="007E7142"/>
    <w:rsid w:val="007E7E23"/>
    <w:rsid w:val="007F1E6E"/>
    <w:rsid w:val="007F4E20"/>
    <w:rsid w:val="00801418"/>
    <w:rsid w:val="0080251F"/>
    <w:rsid w:val="00805357"/>
    <w:rsid w:val="00805C45"/>
    <w:rsid w:val="008068CC"/>
    <w:rsid w:val="008070A3"/>
    <w:rsid w:val="00807985"/>
    <w:rsid w:val="00813F32"/>
    <w:rsid w:val="00816123"/>
    <w:rsid w:val="008203A8"/>
    <w:rsid w:val="0082241C"/>
    <w:rsid w:val="00824B02"/>
    <w:rsid w:val="00831CA9"/>
    <w:rsid w:val="0084189E"/>
    <w:rsid w:val="008425D2"/>
    <w:rsid w:val="00842B88"/>
    <w:rsid w:val="00844627"/>
    <w:rsid w:val="00846532"/>
    <w:rsid w:val="008526AF"/>
    <w:rsid w:val="00852A1E"/>
    <w:rsid w:val="00853462"/>
    <w:rsid w:val="00853847"/>
    <w:rsid w:val="008564A3"/>
    <w:rsid w:val="008565B0"/>
    <w:rsid w:val="00856F6D"/>
    <w:rsid w:val="00857197"/>
    <w:rsid w:val="00857E06"/>
    <w:rsid w:val="008607D4"/>
    <w:rsid w:val="00865C91"/>
    <w:rsid w:val="0086682A"/>
    <w:rsid w:val="00870120"/>
    <w:rsid w:val="00870245"/>
    <w:rsid w:val="008706D6"/>
    <w:rsid w:val="00870E04"/>
    <w:rsid w:val="008746E7"/>
    <w:rsid w:val="00874A5A"/>
    <w:rsid w:val="00874BA7"/>
    <w:rsid w:val="00874C21"/>
    <w:rsid w:val="008757BF"/>
    <w:rsid w:val="008772C3"/>
    <w:rsid w:val="00877ED6"/>
    <w:rsid w:val="0088083A"/>
    <w:rsid w:val="00883A2A"/>
    <w:rsid w:val="00886A1F"/>
    <w:rsid w:val="00887B11"/>
    <w:rsid w:val="008917E7"/>
    <w:rsid w:val="00893C24"/>
    <w:rsid w:val="00894B1E"/>
    <w:rsid w:val="00895BCC"/>
    <w:rsid w:val="00896845"/>
    <w:rsid w:val="008A27F0"/>
    <w:rsid w:val="008A2B44"/>
    <w:rsid w:val="008A5225"/>
    <w:rsid w:val="008A7EF4"/>
    <w:rsid w:val="008B0BEC"/>
    <w:rsid w:val="008B234D"/>
    <w:rsid w:val="008B3F59"/>
    <w:rsid w:val="008B41F9"/>
    <w:rsid w:val="008C02D4"/>
    <w:rsid w:val="008C2CF8"/>
    <w:rsid w:val="008C3E5E"/>
    <w:rsid w:val="008D77BB"/>
    <w:rsid w:val="008E4399"/>
    <w:rsid w:val="008E4582"/>
    <w:rsid w:val="008E66E3"/>
    <w:rsid w:val="008E6766"/>
    <w:rsid w:val="008F1821"/>
    <w:rsid w:val="008F325A"/>
    <w:rsid w:val="008F3E0D"/>
    <w:rsid w:val="008F7F10"/>
    <w:rsid w:val="00900169"/>
    <w:rsid w:val="009007E1"/>
    <w:rsid w:val="0090411C"/>
    <w:rsid w:val="00904B5D"/>
    <w:rsid w:val="00907D8F"/>
    <w:rsid w:val="00915AAE"/>
    <w:rsid w:val="00922D67"/>
    <w:rsid w:val="00924F3C"/>
    <w:rsid w:val="0092511B"/>
    <w:rsid w:val="00925C4D"/>
    <w:rsid w:val="00926CD3"/>
    <w:rsid w:val="00934C31"/>
    <w:rsid w:val="00935DE4"/>
    <w:rsid w:val="0093736D"/>
    <w:rsid w:val="00941147"/>
    <w:rsid w:val="00941333"/>
    <w:rsid w:val="00941F64"/>
    <w:rsid w:val="009433F1"/>
    <w:rsid w:val="00943F31"/>
    <w:rsid w:val="00946223"/>
    <w:rsid w:val="00951B88"/>
    <w:rsid w:val="00953E11"/>
    <w:rsid w:val="00953ED7"/>
    <w:rsid w:val="0095446D"/>
    <w:rsid w:val="00954BAB"/>
    <w:rsid w:val="009571B3"/>
    <w:rsid w:val="00966C70"/>
    <w:rsid w:val="00970EB4"/>
    <w:rsid w:val="00971C62"/>
    <w:rsid w:val="00973012"/>
    <w:rsid w:val="00974D6D"/>
    <w:rsid w:val="0097667E"/>
    <w:rsid w:val="009805A2"/>
    <w:rsid w:val="00980E23"/>
    <w:rsid w:val="0098200B"/>
    <w:rsid w:val="00984816"/>
    <w:rsid w:val="00985DBB"/>
    <w:rsid w:val="0098758F"/>
    <w:rsid w:val="00992FCC"/>
    <w:rsid w:val="00994394"/>
    <w:rsid w:val="00997069"/>
    <w:rsid w:val="00997968"/>
    <w:rsid w:val="00997D2F"/>
    <w:rsid w:val="009A07E9"/>
    <w:rsid w:val="009A2F77"/>
    <w:rsid w:val="009A33BD"/>
    <w:rsid w:val="009A4F46"/>
    <w:rsid w:val="009A5E43"/>
    <w:rsid w:val="009A6309"/>
    <w:rsid w:val="009B30D2"/>
    <w:rsid w:val="009B520B"/>
    <w:rsid w:val="009C118D"/>
    <w:rsid w:val="009C36F5"/>
    <w:rsid w:val="009C4601"/>
    <w:rsid w:val="009C68AE"/>
    <w:rsid w:val="009C726E"/>
    <w:rsid w:val="009C7525"/>
    <w:rsid w:val="009D2DED"/>
    <w:rsid w:val="009D4EA3"/>
    <w:rsid w:val="009D6442"/>
    <w:rsid w:val="009D6757"/>
    <w:rsid w:val="009E0B69"/>
    <w:rsid w:val="009E17FA"/>
    <w:rsid w:val="009E3496"/>
    <w:rsid w:val="009E48C1"/>
    <w:rsid w:val="009E5295"/>
    <w:rsid w:val="009F0137"/>
    <w:rsid w:val="009F100E"/>
    <w:rsid w:val="009F1E07"/>
    <w:rsid w:val="009F3949"/>
    <w:rsid w:val="009F3F77"/>
    <w:rsid w:val="009F4898"/>
    <w:rsid w:val="009F4BAD"/>
    <w:rsid w:val="00A07F29"/>
    <w:rsid w:val="00A106A3"/>
    <w:rsid w:val="00A14E99"/>
    <w:rsid w:val="00A1679D"/>
    <w:rsid w:val="00A17F0B"/>
    <w:rsid w:val="00A21418"/>
    <w:rsid w:val="00A21483"/>
    <w:rsid w:val="00A30D89"/>
    <w:rsid w:val="00A31345"/>
    <w:rsid w:val="00A32468"/>
    <w:rsid w:val="00A32BAD"/>
    <w:rsid w:val="00A33E5D"/>
    <w:rsid w:val="00A341B9"/>
    <w:rsid w:val="00A371F4"/>
    <w:rsid w:val="00A40B5D"/>
    <w:rsid w:val="00A41BB5"/>
    <w:rsid w:val="00A42401"/>
    <w:rsid w:val="00A43D43"/>
    <w:rsid w:val="00A452D7"/>
    <w:rsid w:val="00A46E79"/>
    <w:rsid w:val="00A50AFC"/>
    <w:rsid w:val="00A51F50"/>
    <w:rsid w:val="00A521D7"/>
    <w:rsid w:val="00A52E0F"/>
    <w:rsid w:val="00A551E7"/>
    <w:rsid w:val="00A55C0F"/>
    <w:rsid w:val="00A600AC"/>
    <w:rsid w:val="00A601AC"/>
    <w:rsid w:val="00A61EA0"/>
    <w:rsid w:val="00A62555"/>
    <w:rsid w:val="00A6257B"/>
    <w:rsid w:val="00A66610"/>
    <w:rsid w:val="00A67544"/>
    <w:rsid w:val="00A67D91"/>
    <w:rsid w:val="00A71492"/>
    <w:rsid w:val="00A74718"/>
    <w:rsid w:val="00A75697"/>
    <w:rsid w:val="00A76757"/>
    <w:rsid w:val="00A77F43"/>
    <w:rsid w:val="00A802CA"/>
    <w:rsid w:val="00A8452D"/>
    <w:rsid w:val="00A84A56"/>
    <w:rsid w:val="00A90D20"/>
    <w:rsid w:val="00A94000"/>
    <w:rsid w:val="00A96059"/>
    <w:rsid w:val="00AA026A"/>
    <w:rsid w:val="00AA1316"/>
    <w:rsid w:val="00AA166F"/>
    <w:rsid w:val="00AA53A5"/>
    <w:rsid w:val="00AA73CE"/>
    <w:rsid w:val="00AB13CE"/>
    <w:rsid w:val="00AB1417"/>
    <w:rsid w:val="00AB1AEE"/>
    <w:rsid w:val="00AB1F47"/>
    <w:rsid w:val="00AB7382"/>
    <w:rsid w:val="00AB7461"/>
    <w:rsid w:val="00AC13D1"/>
    <w:rsid w:val="00AC2303"/>
    <w:rsid w:val="00AC2DD9"/>
    <w:rsid w:val="00AC4669"/>
    <w:rsid w:val="00AC5385"/>
    <w:rsid w:val="00AC5418"/>
    <w:rsid w:val="00AD0430"/>
    <w:rsid w:val="00AD082F"/>
    <w:rsid w:val="00AD08F2"/>
    <w:rsid w:val="00AD0F45"/>
    <w:rsid w:val="00AD3A95"/>
    <w:rsid w:val="00AD75D7"/>
    <w:rsid w:val="00AE3832"/>
    <w:rsid w:val="00AE3DA0"/>
    <w:rsid w:val="00AE5851"/>
    <w:rsid w:val="00AF2545"/>
    <w:rsid w:val="00AF3399"/>
    <w:rsid w:val="00AF46D1"/>
    <w:rsid w:val="00AF49F1"/>
    <w:rsid w:val="00AF522A"/>
    <w:rsid w:val="00AF72C0"/>
    <w:rsid w:val="00B004B3"/>
    <w:rsid w:val="00B01DA6"/>
    <w:rsid w:val="00B03F49"/>
    <w:rsid w:val="00B04990"/>
    <w:rsid w:val="00B04B80"/>
    <w:rsid w:val="00B05729"/>
    <w:rsid w:val="00B07067"/>
    <w:rsid w:val="00B12232"/>
    <w:rsid w:val="00B13BEA"/>
    <w:rsid w:val="00B1503B"/>
    <w:rsid w:val="00B15789"/>
    <w:rsid w:val="00B20345"/>
    <w:rsid w:val="00B21144"/>
    <w:rsid w:val="00B21B50"/>
    <w:rsid w:val="00B246AC"/>
    <w:rsid w:val="00B24DAB"/>
    <w:rsid w:val="00B25614"/>
    <w:rsid w:val="00B2573E"/>
    <w:rsid w:val="00B25D85"/>
    <w:rsid w:val="00B30275"/>
    <w:rsid w:val="00B30885"/>
    <w:rsid w:val="00B31B3C"/>
    <w:rsid w:val="00B33103"/>
    <w:rsid w:val="00B35B36"/>
    <w:rsid w:val="00B432ED"/>
    <w:rsid w:val="00B45971"/>
    <w:rsid w:val="00B46A0A"/>
    <w:rsid w:val="00B50E65"/>
    <w:rsid w:val="00B557C2"/>
    <w:rsid w:val="00B60335"/>
    <w:rsid w:val="00B60405"/>
    <w:rsid w:val="00B60AA0"/>
    <w:rsid w:val="00B61B26"/>
    <w:rsid w:val="00B623BD"/>
    <w:rsid w:val="00B72DE5"/>
    <w:rsid w:val="00B73704"/>
    <w:rsid w:val="00B74B4D"/>
    <w:rsid w:val="00B7610D"/>
    <w:rsid w:val="00B8234C"/>
    <w:rsid w:val="00B83898"/>
    <w:rsid w:val="00B83C0D"/>
    <w:rsid w:val="00B85D39"/>
    <w:rsid w:val="00B86AD0"/>
    <w:rsid w:val="00B90D2B"/>
    <w:rsid w:val="00B91D61"/>
    <w:rsid w:val="00B93016"/>
    <w:rsid w:val="00B93647"/>
    <w:rsid w:val="00B9458E"/>
    <w:rsid w:val="00B94EB3"/>
    <w:rsid w:val="00B954C5"/>
    <w:rsid w:val="00B96601"/>
    <w:rsid w:val="00B97903"/>
    <w:rsid w:val="00BA4826"/>
    <w:rsid w:val="00BA63AA"/>
    <w:rsid w:val="00BB3269"/>
    <w:rsid w:val="00BC3059"/>
    <w:rsid w:val="00BC35A1"/>
    <w:rsid w:val="00BC35D8"/>
    <w:rsid w:val="00BC38BE"/>
    <w:rsid w:val="00BC6AE2"/>
    <w:rsid w:val="00BC79FE"/>
    <w:rsid w:val="00BD1B61"/>
    <w:rsid w:val="00BD4097"/>
    <w:rsid w:val="00BD4780"/>
    <w:rsid w:val="00BD4DEA"/>
    <w:rsid w:val="00BD5702"/>
    <w:rsid w:val="00BD6040"/>
    <w:rsid w:val="00BE0093"/>
    <w:rsid w:val="00BE2992"/>
    <w:rsid w:val="00BE3871"/>
    <w:rsid w:val="00BE5C53"/>
    <w:rsid w:val="00BF024F"/>
    <w:rsid w:val="00BF033E"/>
    <w:rsid w:val="00BF05F0"/>
    <w:rsid w:val="00BF514D"/>
    <w:rsid w:val="00BF5B13"/>
    <w:rsid w:val="00C02B9F"/>
    <w:rsid w:val="00C05584"/>
    <w:rsid w:val="00C0594C"/>
    <w:rsid w:val="00C064FE"/>
    <w:rsid w:val="00C06592"/>
    <w:rsid w:val="00C07633"/>
    <w:rsid w:val="00C11863"/>
    <w:rsid w:val="00C11981"/>
    <w:rsid w:val="00C177EE"/>
    <w:rsid w:val="00C21ACC"/>
    <w:rsid w:val="00C22837"/>
    <w:rsid w:val="00C22DE4"/>
    <w:rsid w:val="00C34321"/>
    <w:rsid w:val="00C35CF8"/>
    <w:rsid w:val="00C35D74"/>
    <w:rsid w:val="00C4134B"/>
    <w:rsid w:val="00C47C6F"/>
    <w:rsid w:val="00C504CD"/>
    <w:rsid w:val="00C50899"/>
    <w:rsid w:val="00C56066"/>
    <w:rsid w:val="00C573CF"/>
    <w:rsid w:val="00C60510"/>
    <w:rsid w:val="00C61965"/>
    <w:rsid w:val="00C63A94"/>
    <w:rsid w:val="00C653F7"/>
    <w:rsid w:val="00C7211C"/>
    <w:rsid w:val="00C7220A"/>
    <w:rsid w:val="00C7290E"/>
    <w:rsid w:val="00C7323F"/>
    <w:rsid w:val="00C75448"/>
    <w:rsid w:val="00C84CEC"/>
    <w:rsid w:val="00C852E8"/>
    <w:rsid w:val="00C8655A"/>
    <w:rsid w:val="00C90037"/>
    <w:rsid w:val="00C90F3B"/>
    <w:rsid w:val="00C90FC7"/>
    <w:rsid w:val="00C941FE"/>
    <w:rsid w:val="00C9630A"/>
    <w:rsid w:val="00C9776A"/>
    <w:rsid w:val="00CA1BA2"/>
    <w:rsid w:val="00CA2CAF"/>
    <w:rsid w:val="00CA2D61"/>
    <w:rsid w:val="00CA7897"/>
    <w:rsid w:val="00CA7A90"/>
    <w:rsid w:val="00CA7D1E"/>
    <w:rsid w:val="00CB156E"/>
    <w:rsid w:val="00CB28A7"/>
    <w:rsid w:val="00CB3841"/>
    <w:rsid w:val="00CB453B"/>
    <w:rsid w:val="00CB5399"/>
    <w:rsid w:val="00CB7A57"/>
    <w:rsid w:val="00CC5A26"/>
    <w:rsid w:val="00CC5EAC"/>
    <w:rsid w:val="00CC60B0"/>
    <w:rsid w:val="00CD1A20"/>
    <w:rsid w:val="00CD43B9"/>
    <w:rsid w:val="00CD6F42"/>
    <w:rsid w:val="00CE0507"/>
    <w:rsid w:val="00CE3A49"/>
    <w:rsid w:val="00CE66D0"/>
    <w:rsid w:val="00CE7DBF"/>
    <w:rsid w:val="00D053A0"/>
    <w:rsid w:val="00D05A14"/>
    <w:rsid w:val="00D07B73"/>
    <w:rsid w:val="00D13F4E"/>
    <w:rsid w:val="00D163A9"/>
    <w:rsid w:val="00D26848"/>
    <w:rsid w:val="00D276BD"/>
    <w:rsid w:val="00D27CF6"/>
    <w:rsid w:val="00D30A16"/>
    <w:rsid w:val="00D31A28"/>
    <w:rsid w:val="00D33503"/>
    <w:rsid w:val="00D33523"/>
    <w:rsid w:val="00D43FB8"/>
    <w:rsid w:val="00D44EAE"/>
    <w:rsid w:val="00D45C12"/>
    <w:rsid w:val="00D46C89"/>
    <w:rsid w:val="00D52C8A"/>
    <w:rsid w:val="00D55AE7"/>
    <w:rsid w:val="00D56D3B"/>
    <w:rsid w:val="00D64244"/>
    <w:rsid w:val="00D64A29"/>
    <w:rsid w:val="00D6511D"/>
    <w:rsid w:val="00D6799F"/>
    <w:rsid w:val="00D70DD6"/>
    <w:rsid w:val="00D71D1F"/>
    <w:rsid w:val="00D824D4"/>
    <w:rsid w:val="00D83B83"/>
    <w:rsid w:val="00D917F2"/>
    <w:rsid w:val="00D91DF0"/>
    <w:rsid w:val="00D924B4"/>
    <w:rsid w:val="00D939A4"/>
    <w:rsid w:val="00D97D05"/>
    <w:rsid w:val="00DA00FB"/>
    <w:rsid w:val="00DA0CC2"/>
    <w:rsid w:val="00DA2D78"/>
    <w:rsid w:val="00DA4423"/>
    <w:rsid w:val="00DA5B6D"/>
    <w:rsid w:val="00DA72F0"/>
    <w:rsid w:val="00DB0C79"/>
    <w:rsid w:val="00DB2F85"/>
    <w:rsid w:val="00DB3CD9"/>
    <w:rsid w:val="00DB4B10"/>
    <w:rsid w:val="00DB6E02"/>
    <w:rsid w:val="00DB7675"/>
    <w:rsid w:val="00DC0376"/>
    <w:rsid w:val="00DC155C"/>
    <w:rsid w:val="00DC373B"/>
    <w:rsid w:val="00DC5A58"/>
    <w:rsid w:val="00DC7A84"/>
    <w:rsid w:val="00DD09B1"/>
    <w:rsid w:val="00DD1ECB"/>
    <w:rsid w:val="00DD3D52"/>
    <w:rsid w:val="00DD456A"/>
    <w:rsid w:val="00DD4E12"/>
    <w:rsid w:val="00DD6F79"/>
    <w:rsid w:val="00DD77B0"/>
    <w:rsid w:val="00DE04F4"/>
    <w:rsid w:val="00DE0CF0"/>
    <w:rsid w:val="00DE3BD0"/>
    <w:rsid w:val="00DE3D6C"/>
    <w:rsid w:val="00DE58AD"/>
    <w:rsid w:val="00DE7839"/>
    <w:rsid w:val="00DF210F"/>
    <w:rsid w:val="00DF3B46"/>
    <w:rsid w:val="00DF3DC0"/>
    <w:rsid w:val="00DF6B9A"/>
    <w:rsid w:val="00E0266D"/>
    <w:rsid w:val="00E035B4"/>
    <w:rsid w:val="00E05244"/>
    <w:rsid w:val="00E06733"/>
    <w:rsid w:val="00E07AE1"/>
    <w:rsid w:val="00E105EA"/>
    <w:rsid w:val="00E16849"/>
    <w:rsid w:val="00E25684"/>
    <w:rsid w:val="00E326A4"/>
    <w:rsid w:val="00E32C95"/>
    <w:rsid w:val="00E343E5"/>
    <w:rsid w:val="00E364F7"/>
    <w:rsid w:val="00E36EB4"/>
    <w:rsid w:val="00E370E1"/>
    <w:rsid w:val="00E37C62"/>
    <w:rsid w:val="00E40E69"/>
    <w:rsid w:val="00E46B27"/>
    <w:rsid w:val="00E46C0B"/>
    <w:rsid w:val="00E52043"/>
    <w:rsid w:val="00E54D4A"/>
    <w:rsid w:val="00E60AE4"/>
    <w:rsid w:val="00E60E13"/>
    <w:rsid w:val="00E60F37"/>
    <w:rsid w:val="00E61AAE"/>
    <w:rsid w:val="00E63330"/>
    <w:rsid w:val="00E637E9"/>
    <w:rsid w:val="00E63BEB"/>
    <w:rsid w:val="00E67F85"/>
    <w:rsid w:val="00E7171A"/>
    <w:rsid w:val="00E730CE"/>
    <w:rsid w:val="00E76E7E"/>
    <w:rsid w:val="00E77A12"/>
    <w:rsid w:val="00E77F5A"/>
    <w:rsid w:val="00E83EA4"/>
    <w:rsid w:val="00E968F6"/>
    <w:rsid w:val="00EA0970"/>
    <w:rsid w:val="00EA16C3"/>
    <w:rsid w:val="00EA498A"/>
    <w:rsid w:val="00EA686A"/>
    <w:rsid w:val="00EB0459"/>
    <w:rsid w:val="00EB29DF"/>
    <w:rsid w:val="00EB2C97"/>
    <w:rsid w:val="00EB7935"/>
    <w:rsid w:val="00EC106B"/>
    <w:rsid w:val="00EC45AA"/>
    <w:rsid w:val="00EC68F6"/>
    <w:rsid w:val="00ED3603"/>
    <w:rsid w:val="00ED489C"/>
    <w:rsid w:val="00ED5F89"/>
    <w:rsid w:val="00EE180E"/>
    <w:rsid w:val="00EE30CD"/>
    <w:rsid w:val="00EE4652"/>
    <w:rsid w:val="00EE7A1F"/>
    <w:rsid w:val="00EF24EE"/>
    <w:rsid w:val="00EF2F1F"/>
    <w:rsid w:val="00EF6479"/>
    <w:rsid w:val="00EF69B2"/>
    <w:rsid w:val="00F01719"/>
    <w:rsid w:val="00F0186F"/>
    <w:rsid w:val="00F1090B"/>
    <w:rsid w:val="00F12E59"/>
    <w:rsid w:val="00F16634"/>
    <w:rsid w:val="00F20ADF"/>
    <w:rsid w:val="00F214B9"/>
    <w:rsid w:val="00F218E9"/>
    <w:rsid w:val="00F22B43"/>
    <w:rsid w:val="00F26028"/>
    <w:rsid w:val="00F26217"/>
    <w:rsid w:val="00F2701C"/>
    <w:rsid w:val="00F30549"/>
    <w:rsid w:val="00F31388"/>
    <w:rsid w:val="00F31DE3"/>
    <w:rsid w:val="00F334D7"/>
    <w:rsid w:val="00F4172A"/>
    <w:rsid w:val="00F43108"/>
    <w:rsid w:val="00F43BA9"/>
    <w:rsid w:val="00F43F40"/>
    <w:rsid w:val="00F44B0E"/>
    <w:rsid w:val="00F4622B"/>
    <w:rsid w:val="00F504A4"/>
    <w:rsid w:val="00F53E5F"/>
    <w:rsid w:val="00F5426E"/>
    <w:rsid w:val="00F5440B"/>
    <w:rsid w:val="00F55393"/>
    <w:rsid w:val="00F57330"/>
    <w:rsid w:val="00F6063D"/>
    <w:rsid w:val="00F62B7C"/>
    <w:rsid w:val="00F64E40"/>
    <w:rsid w:val="00F66C65"/>
    <w:rsid w:val="00F70348"/>
    <w:rsid w:val="00F831FF"/>
    <w:rsid w:val="00F835F6"/>
    <w:rsid w:val="00F8368D"/>
    <w:rsid w:val="00F87557"/>
    <w:rsid w:val="00FA0465"/>
    <w:rsid w:val="00FA0C49"/>
    <w:rsid w:val="00FA1DFA"/>
    <w:rsid w:val="00FA494B"/>
    <w:rsid w:val="00FA522E"/>
    <w:rsid w:val="00FA5A8B"/>
    <w:rsid w:val="00FB3F5A"/>
    <w:rsid w:val="00FB6B11"/>
    <w:rsid w:val="00FC0819"/>
    <w:rsid w:val="00FC16EF"/>
    <w:rsid w:val="00FC32D1"/>
    <w:rsid w:val="00FC3F20"/>
    <w:rsid w:val="00FC4B8A"/>
    <w:rsid w:val="00FC5D80"/>
    <w:rsid w:val="00FC6AA7"/>
    <w:rsid w:val="00FC752E"/>
    <w:rsid w:val="00FD4EED"/>
    <w:rsid w:val="00FD6CC8"/>
    <w:rsid w:val="00FD73DC"/>
    <w:rsid w:val="00FE2575"/>
    <w:rsid w:val="00FE515D"/>
    <w:rsid w:val="00FE60D6"/>
    <w:rsid w:val="00FF141E"/>
    <w:rsid w:val="00FF19E0"/>
    <w:rsid w:val="00FF3113"/>
    <w:rsid w:val="00FF3B53"/>
    <w:rsid w:val="00FF3D3D"/>
    <w:rsid w:val="00FF5347"/>
    <w:rsid w:val="00FF5FCC"/>
    <w:rsid w:val="00FF6C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2E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0D6"/>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B04990"/>
    <w:pPr>
      <w:keepNext/>
      <w:keepLines/>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FE60D6"/>
    <w:pPr>
      <w:keepNext/>
      <w:keepLines/>
      <w:outlineLvl w:val="3"/>
    </w:pPr>
    <w:rPr>
      <w:rFonts w:eastAsiaTheme="majorEastAsia" w:cstheme="majorBidi"/>
      <w: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FootnoteText">
    <w:name w:val="footnote text"/>
    <w:basedOn w:val="Normal"/>
    <w:link w:val="FootnoteTextChar"/>
    <w:uiPriority w:val="99"/>
    <w:unhideWhenUsed/>
    <w:qFormat/>
    <w:rsid w:val="00D276BD"/>
    <w:pPr>
      <w:spacing w:after="0" w:line="240" w:lineRule="auto"/>
    </w:pPr>
    <w:rPr>
      <w:sz w:val="20"/>
      <w:szCs w:val="20"/>
    </w:rPr>
  </w:style>
  <w:style w:type="character" w:customStyle="1" w:styleId="FootnoteTextChar">
    <w:name w:val="Footnote Text Char"/>
    <w:basedOn w:val="DefaultParagraphFont"/>
    <w:link w:val="FootnoteText"/>
    <w:uiPriority w:val="99"/>
    <w:rsid w:val="00D276B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C59FC"/>
    <w:rPr>
      <w:vertAlign w:val="superscript"/>
    </w:rPr>
  </w:style>
  <w:style w:type="character" w:customStyle="1" w:styleId="UnresolvedMention1">
    <w:name w:val="Unresolved Mention1"/>
    <w:basedOn w:val="DefaultParagraphFont"/>
    <w:uiPriority w:val="99"/>
    <w:semiHidden/>
    <w:unhideWhenUsed/>
    <w:rsid w:val="00865C91"/>
    <w:rPr>
      <w:color w:val="605E5C"/>
      <w:shd w:val="clear" w:color="auto" w:fill="E1DFDD"/>
    </w:rPr>
  </w:style>
  <w:style w:type="character" w:customStyle="1" w:styleId="Heading3Char">
    <w:name w:val="Heading 3 Char"/>
    <w:basedOn w:val="DefaultParagraphFont"/>
    <w:link w:val="Heading3"/>
    <w:uiPriority w:val="9"/>
    <w:rsid w:val="00B04990"/>
    <w:rPr>
      <w:rFonts w:ascii="Calibri" w:eastAsiaTheme="majorEastAsia" w:hAnsi="Calibri" w:cstheme="majorBidi"/>
      <w:b/>
      <w:color w:val="000000" w:themeColor="text1"/>
      <w:sz w:val="22"/>
      <w:szCs w:val="24"/>
    </w:rPr>
  </w:style>
  <w:style w:type="character" w:customStyle="1" w:styleId="Heading4Char">
    <w:name w:val="Heading 4 Char"/>
    <w:basedOn w:val="DefaultParagraphFont"/>
    <w:link w:val="Heading4"/>
    <w:uiPriority w:val="9"/>
    <w:rsid w:val="00FE60D6"/>
    <w:rPr>
      <w:rFonts w:ascii="Calibri" w:eastAsiaTheme="majorEastAsia" w:hAnsi="Calibri" w:cstheme="majorBidi"/>
      <w:i/>
      <w:iCs/>
      <w:color w:val="000000" w:themeColor="text1"/>
      <w:sz w:val="22"/>
      <w:u w:val="single"/>
    </w:rPr>
  </w:style>
  <w:style w:type="paragraph" w:styleId="Title">
    <w:name w:val="Title"/>
    <w:basedOn w:val="Normal"/>
    <w:next w:val="Normal"/>
    <w:link w:val="TitleChar"/>
    <w:uiPriority w:val="10"/>
    <w:qFormat/>
    <w:rsid w:val="006A06FA"/>
    <w:pPr>
      <w:spacing w:before="3360" w:after="360" w:line="240" w:lineRule="auto"/>
      <w:jc w:val="center"/>
    </w:pPr>
    <w:rPr>
      <w:rFonts w:ascii="Arial" w:eastAsiaTheme="minorHAnsi" w:hAnsi="Arial" w:cs="Arial"/>
      <w:b/>
      <w:sz w:val="52"/>
      <w:szCs w:val="52"/>
    </w:rPr>
  </w:style>
  <w:style w:type="character" w:customStyle="1" w:styleId="TitleChar">
    <w:name w:val="Title Char"/>
    <w:basedOn w:val="DefaultParagraphFont"/>
    <w:link w:val="Title"/>
    <w:uiPriority w:val="10"/>
    <w:rsid w:val="006A06FA"/>
    <w:rPr>
      <w:rFonts w:ascii="Arial" w:hAnsi="Arial" w:cs="Arial"/>
      <w:b/>
      <w:sz w:val="52"/>
      <w:szCs w:val="52"/>
    </w:rPr>
  </w:style>
  <w:style w:type="paragraph" w:customStyle="1" w:styleId="EndNoteBibliographyTitle">
    <w:name w:val="EndNote Bibliography Title"/>
    <w:basedOn w:val="Normal"/>
    <w:link w:val="EndNoteBibliographyTitleChar"/>
    <w:rsid w:val="009F3949"/>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9F3949"/>
    <w:rPr>
      <w:rFonts w:ascii="Calibri" w:eastAsia="Calibri" w:hAnsi="Calibri" w:cs="Calibri"/>
      <w:noProof/>
      <w:sz w:val="22"/>
      <w:lang w:val="en-US"/>
    </w:rPr>
  </w:style>
  <w:style w:type="paragraph" w:customStyle="1" w:styleId="EndNoteBibliography">
    <w:name w:val="EndNote Bibliography"/>
    <w:basedOn w:val="Normal"/>
    <w:link w:val="EndNoteBibliographyChar"/>
    <w:rsid w:val="009F3949"/>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9F3949"/>
    <w:rPr>
      <w:rFonts w:ascii="Calibri" w:eastAsia="Calibri" w:hAnsi="Calibri" w:cs="Calibri"/>
      <w:noProof/>
      <w:sz w:val="22"/>
      <w:lang w:val="en-US"/>
    </w:rPr>
  </w:style>
  <w:style w:type="paragraph" w:customStyle="1" w:styleId="TableHEADER">
    <w:name w:val="Table HEADER"/>
    <w:basedOn w:val="Normal"/>
    <w:qFormat/>
    <w:rsid w:val="006659AF"/>
    <w:pPr>
      <w:spacing w:before="120" w:after="120" w:line="240" w:lineRule="auto"/>
      <w:ind w:right="82"/>
    </w:pPr>
    <w:rPr>
      <w:rFonts w:eastAsiaTheme="minorHAnsi" w:cs="Tahoma"/>
      <w:b/>
      <w:sz w:val="20"/>
      <w:szCs w:val="20"/>
      <w:lang w:eastAsia="en-AU"/>
    </w:rPr>
  </w:style>
  <w:style w:type="paragraph" w:styleId="NormalWeb">
    <w:name w:val="Normal (Web)"/>
    <w:basedOn w:val="Normal"/>
    <w:uiPriority w:val="99"/>
    <w:unhideWhenUsed/>
    <w:rsid w:val="006659AF"/>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highlight">
    <w:name w:val="highlight"/>
    <w:basedOn w:val="DefaultParagraphFont"/>
    <w:rsid w:val="00560D95"/>
  </w:style>
  <w:style w:type="character" w:styleId="Strong">
    <w:name w:val="Strong"/>
    <w:basedOn w:val="DefaultParagraphFont"/>
    <w:uiPriority w:val="22"/>
    <w:qFormat/>
    <w:rsid w:val="00560D95"/>
    <w:rPr>
      <w:b/>
      <w:bCs/>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B50E65"/>
    <w:rPr>
      <w:rFonts w:ascii="Calibri" w:eastAsia="Calibri" w:hAnsi="Calibri" w:cs="Times New Roman"/>
      <w:sz w:val="22"/>
    </w:rPr>
  </w:style>
  <w:style w:type="paragraph" w:styleId="Revision">
    <w:name w:val="Revision"/>
    <w:hidden/>
    <w:uiPriority w:val="99"/>
    <w:semiHidden/>
    <w:rsid w:val="00150E5C"/>
    <w:pPr>
      <w:spacing w:after="0" w:line="240" w:lineRule="auto"/>
    </w:pPr>
    <w:rPr>
      <w:rFonts w:ascii="Calibri" w:eastAsia="Calibri" w:hAnsi="Calibri" w:cs="Times New Roman"/>
      <w:sz w:val="22"/>
    </w:rPr>
  </w:style>
  <w:style w:type="paragraph" w:styleId="NoSpacing">
    <w:name w:val="No Spacing"/>
    <w:uiPriority w:val="1"/>
    <w:qFormat/>
    <w:rsid w:val="00DA4423"/>
    <w:pPr>
      <w:spacing w:after="0" w:line="240" w:lineRule="auto"/>
    </w:pPr>
    <w:rPr>
      <w:rFonts w:ascii="Calibri" w:eastAsia="Calibri" w:hAnsi="Calibri" w:cs="Times New Roman"/>
      <w:sz w:val="22"/>
    </w:rPr>
  </w:style>
  <w:style w:type="character" w:customStyle="1" w:styleId="UnresolvedMention2">
    <w:name w:val="Unresolved Mention2"/>
    <w:basedOn w:val="DefaultParagraphFont"/>
    <w:uiPriority w:val="99"/>
    <w:semiHidden/>
    <w:unhideWhenUsed/>
    <w:rsid w:val="00E77A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902">
      <w:bodyDiv w:val="1"/>
      <w:marLeft w:val="0"/>
      <w:marRight w:val="0"/>
      <w:marTop w:val="0"/>
      <w:marBottom w:val="0"/>
      <w:divBdr>
        <w:top w:val="none" w:sz="0" w:space="0" w:color="auto"/>
        <w:left w:val="none" w:sz="0" w:space="0" w:color="auto"/>
        <w:bottom w:val="none" w:sz="0" w:space="0" w:color="auto"/>
        <w:right w:val="none" w:sz="0" w:space="0" w:color="auto"/>
      </w:divBdr>
      <w:divsChild>
        <w:div w:id="1068261416">
          <w:marLeft w:val="0"/>
          <w:marRight w:val="0"/>
          <w:marTop w:val="0"/>
          <w:marBottom w:val="0"/>
          <w:divBdr>
            <w:top w:val="single" w:sz="24" w:space="8" w:color="339999"/>
            <w:left w:val="single" w:sz="24" w:space="8" w:color="339999"/>
            <w:bottom w:val="single" w:sz="24" w:space="8" w:color="339999"/>
            <w:right w:val="single" w:sz="24" w:space="8" w:color="339999"/>
          </w:divBdr>
          <w:divsChild>
            <w:div w:id="1367559508">
              <w:marLeft w:val="0"/>
              <w:marRight w:val="0"/>
              <w:marTop w:val="0"/>
              <w:marBottom w:val="0"/>
              <w:divBdr>
                <w:top w:val="none" w:sz="0" w:space="0" w:color="auto"/>
                <w:left w:val="none" w:sz="0" w:space="0" w:color="auto"/>
                <w:bottom w:val="none" w:sz="0" w:space="0" w:color="auto"/>
                <w:right w:val="none" w:sz="0" w:space="0" w:color="auto"/>
              </w:divBdr>
            </w:div>
            <w:div w:id="2045669126">
              <w:marLeft w:val="0"/>
              <w:marRight w:val="0"/>
              <w:marTop w:val="0"/>
              <w:marBottom w:val="0"/>
              <w:divBdr>
                <w:top w:val="none" w:sz="0" w:space="0" w:color="auto"/>
                <w:left w:val="none" w:sz="0" w:space="0" w:color="auto"/>
                <w:bottom w:val="none" w:sz="0" w:space="0" w:color="auto"/>
                <w:right w:val="none" w:sz="0" w:space="0" w:color="auto"/>
              </w:divBdr>
              <w:divsChild>
                <w:div w:id="1208297861">
                  <w:marLeft w:val="439"/>
                  <w:marRight w:val="0"/>
                  <w:marTop w:val="0"/>
                  <w:marBottom w:val="0"/>
                  <w:divBdr>
                    <w:top w:val="none" w:sz="0" w:space="0" w:color="auto"/>
                    <w:left w:val="none" w:sz="0" w:space="0" w:color="auto"/>
                    <w:bottom w:val="none" w:sz="0" w:space="0" w:color="auto"/>
                    <w:right w:val="none" w:sz="0" w:space="0" w:color="auto"/>
                  </w:divBdr>
                  <w:divsChild>
                    <w:div w:id="5060760">
                      <w:marLeft w:val="0"/>
                      <w:marRight w:val="0"/>
                      <w:marTop w:val="0"/>
                      <w:marBottom w:val="0"/>
                      <w:divBdr>
                        <w:top w:val="none" w:sz="0" w:space="0" w:color="auto"/>
                        <w:left w:val="none" w:sz="0" w:space="0" w:color="auto"/>
                        <w:bottom w:val="none" w:sz="0" w:space="0" w:color="auto"/>
                        <w:right w:val="none" w:sz="0" w:space="0" w:color="auto"/>
                      </w:divBdr>
                      <w:divsChild>
                        <w:div w:id="1536121268">
                          <w:marLeft w:val="0"/>
                          <w:marRight w:val="0"/>
                          <w:marTop w:val="0"/>
                          <w:marBottom w:val="0"/>
                          <w:divBdr>
                            <w:top w:val="none" w:sz="0" w:space="0" w:color="auto"/>
                            <w:left w:val="none" w:sz="0" w:space="0" w:color="auto"/>
                            <w:bottom w:val="none" w:sz="0" w:space="0" w:color="auto"/>
                            <w:right w:val="none" w:sz="0" w:space="0" w:color="auto"/>
                          </w:divBdr>
                        </w:div>
                        <w:div w:id="1784376921">
                          <w:marLeft w:val="176"/>
                          <w:marRight w:val="0"/>
                          <w:marTop w:val="0"/>
                          <w:marBottom w:val="0"/>
                          <w:divBdr>
                            <w:top w:val="none" w:sz="0" w:space="0" w:color="auto"/>
                            <w:left w:val="none" w:sz="0" w:space="0" w:color="auto"/>
                            <w:bottom w:val="none" w:sz="0" w:space="0" w:color="auto"/>
                            <w:right w:val="none" w:sz="0" w:space="0" w:color="auto"/>
                          </w:divBdr>
                        </w:div>
                      </w:divsChild>
                    </w:div>
                    <w:div w:id="443229482">
                      <w:marLeft w:val="0"/>
                      <w:marRight w:val="0"/>
                      <w:marTop w:val="0"/>
                      <w:marBottom w:val="0"/>
                      <w:divBdr>
                        <w:top w:val="none" w:sz="0" w:space="0" w:color="auto"/>
                        <w:left w:val="none" w:sz="0" w:space="0" w:color="auto"/>
                        <w:bottom w:val="none" w:sz="0" w:space="0" w:color="auto"/>
                        <w:right w:val="none" w:sz="0" w:space="0" w:color="auto"/>
                      </w:divBdr>
                      <w:divsChild>
                        <w:div w:id="757677393">
                          <w:marLeft w:val="0"/>
                          <w:marRight w:val="0"/>
                          <w:marTop w:val="0"/>
                          <w:marBottom w:val="0"/>
                          <w:divBdr>
                            <w:top w:val="none" w:sz="0" w:space="0" w:color="auto"/>
                            <w:left w:val="none" w:sz="0" w:space="0" w:color="auto"/>
                            <w:bottom w:val="none" w:sz="0" w:space="0" w:color="auto"/>
                            <w:right w:val="none" w:sz="0" w:space="0" w:color="auto"/>
                          </w:divBdr>
                        </w:div>
                        <w:div w:id="1805847313">
                          <w:marLeft w:val="176"/>
                          <w:marRight w:val="0"/>
                          <w:marTop w:val="0"/>
                          <w:marBottom w:val="0"/>
                          <w:divBdr>
                            <w:top w:val="none" w:sz="0" w:space="0" w:color="auto"/>
                            <w:left w:val="none" w:sz="0" w:space="0" w:color="auto"/>
                            <w:bottom w:val="none" w:sz="0" w:space="0" w:color="auto"/>
                            <w:right w:val="none" w:sz="0" w:space="0" w:color="auto"/>
                          </w:divBdr>
                        </w:div>
                      </w:divsChild>
                    </w:div>
                    <w:div w:id="600721194">
                      <w:marLeft w:val="0"/>
                      <w:marRight w:val="0"/>
                      <w:marTop w:val="0"/>
                      <w:marBottom w:val="0"/>
                      <w:divBdr>
                        <w:top w:val="none" w:sz="0" w:space="0" w:color="auto"/>
                        <w:left w:val="none" w:sz="0" w:space="0" w:color="auto"/>
                        <w:bottom w:val="none" w:sz="0" w:space="0" w:color="auto"/>
                        <w:right w:val="none" w:sz="0" w:space="0" w:color="auto"/>
                      </w:divBdr>
                      <w:divsChild>
                        <w:div w:id="210726635">
                          <w:marLeft w:val="0"/>
                          <w:marRight w:val="0"/>
                          <w:marTop w:val="0"/>
                          <w:marBottom w:val="0"/>
                          <w:divBdr>
                            <w:top w:val="none" w:sz="0" w:space="0" w:color="auto"/>
                            <w:left w:val="none" w:sz="0" w:space="0" w:color="auto"/>
                            <w:bottom w:val="none" w:sz="0" w:space="0" w:color="auto"/>
                            <w:right w:val="none" w:sz="0" w:space="0" w:color="auto"/>
                          </w:divBdr>
                        </w:div>
                        <w:div w:id="1160265967">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 w:id="20033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1847">
      <w:bodyDiv w:val="1"/>
      <w:marLeft w:val="0"/>
      <w:marRight w:val="0"/>
      <w:marTop w:val="0"/>
      <w:marBottom w:val="0"/>
      <w:divBdr>
        <w:top w:val="none" w:sz="0" w:space="0" w:color="auto"/>
        <w:left w:val="none" w:sz="0" w:space="0" w:color="auto"/>
        <w:bottom w:val="none" w:sz="0" w:space="0" w:color="auto"/>
        <w:right w:val="none" w:sz="0" w:space="0" w:color="auto"/>
      </w:divBdr>
    </w:div>
    <w:div w:id="111752387">
      <w:bodyDiv w:val="1"/>
      <w:marLeft w:val="0"/>
      <w:marRight w:val="0"/>
      <w:marTop w:val="0"/>
      <w:marBottom w:val="0"/>
      <w:divBdr>
        <w:top w:val="none" w:sz="0" w:space="0" w:color="auto"/>
        <w:left w:val="none" w:sz="0" w:space="0" w:color="auto"/>
        <w:bottom w:val="none" w:sz="0" w:space="0" w:color="auto"/>
        <w:right w:val="none" w:sz="0" w:space="0" w:color="auto"/>
      </w:divBdr>
      <w:divsChild>
        <w:div w:id="493765116">
          <w:marLeft w:val="0"/>
          <w:marRight w:val="0"/>
          <w:marTop w:val="0"/>
          <w:marBottom w:val="0"/>
          <w:divBdr>
            <w:top w:val="single" w:sz="24" w:space="8" w:color="339999"/>
            <w:left w:val="single" w:sz="24" w:space="8" w:color="339999"/>
            <w:bottom w:val="single" w:sz="24" w:space="8" w:color="339999"/>
            <w:right w:val="single" w:sz="24" w:space="8" w:color="339999"/>
          </w:divBdr>
          <w:divsChild>
            <w:div w:id="663165457">
              <w:marLeft w:val="0"/>
              <w:marRight w:val="0"/>
              <w:marTop w:val="0"/>
              <w:marBottom w:val="0"/>
              <w:divBdr>
                <w:top w:val="none" w:sz="0" w:space="0" w:color="auto"/>
                <w:left w:val="none" w:sz="0" w:space="0" w:color="auto"/>
                <w:bottom w:val="none" w:sz="0" w:space="0" w:color="auto"/>
                <w:right w:val="none" w:sz="0" w:space="0" w:color="auto"/>
              </w:divBdr>
            </w:div>
            <w:div w:id="1155101321">
              <w:marLeft w:val="0"/>
              <w:marRight w:val="0"/>
              <w:marTop w:val="0"/>
              <w:marBottom w:val="0"/>
              <w:divBdr>
                <w:top w:val="none" w:sz="0" w:space="0" w:color="auto"/>
                <w:left w:val="none" w:sz="0" w:space="0" w:color="auto"/>
                <w:bottom w:val="none" w:sz="0" w:space="0" w:color="auto"/>
                <w:right w:val="none" w:sz="0" w:space="0" w:color="auto"/>
              </w:divBdr>
              <w:divsChild>
                <w:div w:id="1415787465">
                  <w:marLeft w:val="439"/>
                  <w:marRight w:val="0"/>
                  <w:marTop w:val="0"/>
                  <w:marBottom w:val="0"/>
                  <w:divBdr>
                    <w:top w:val="none" w:sz="0" w:space="0" w:color="auto"/>
                    <w:left w:val="none" w:sz="0" w:space="0" w:color="auto"/>
                    <w:bottom w:val="none" w:sz="0" w:space="0" w:color="auto"/>
                    <w:right w:val="none" w:sz="0" w:space="0" w:color="auto"/>
                  </w:divBdr>
                  <w:divsChild>
                    <w:div w:id="979574058">
                      <w:marLeft w:val="0"/>
                      <w:marRight w:val="0"/>
                      <w:marTop w:val="0"/>
                      <w:marBottom w:val="0"/>
                      <w:divBdr>
                        <w:top w:val="none" w:sz="0" w:space="0" w:color="auto"/>
                        <w:left w:val="none" w:sz="0" w:space="0" w:color="auto"/>
                        <w:bottom w:val="none" w:sz="0" w:space="0" w:color="auto"/>
                        <w:right w:val="none" w:sz="0" w:space="0" w:color="auto"/>
                      </w:divBdr>
                      <w:divsChild>
                        <w:div w:id="513956419">
                          <w:marLeft w:val="0"/>
                          <w:marRight w:val="0"/>
                          <w:marTop w:val="0"/>
                          <w:marBottom w:val="0"/>
                          <w:divBdr>
                            <w:top w:val="none" w:sz="0" w:space="0" w:color="auto"/>
                            <w:left w:val="none" w:sz="0" w:space="0" w:color="auto"/>
                            <w:bottom w:val="none" w:sz="0" w:space="0" w:color="auto"/>
                            <w:right w:val="none" w:sz="0" w:space="0" w:color="auto"/>
                          </w:divBdr>
                        </w:div>
                        <w:div w:id="1769740304">
                          <w:marLeft w:val="176"/>
                          <w:marRight w:val="0"/>
                          <w:marTop w:val="0"/>
                          <w:marBottom w:val="0"/>
                          <w:divBdr>
                            <w:top w:val="none" w:sz="0" w:space="0" w:color="auto"/>
                            <w:left w:val="none" w:sz="0" w:space="0" w:color="auto"/>
                            <w:bottom w:val="none" w:sz="0" w:space="0" w:color="auto"/>
                            <w:right w:val="none" w:sz="0" w:space="0" w:color="auto"/>
                          </w:divBdr>
                        </w:div>
                      </w:divsChild>
                    </w:div>
                    <w:div w:id="2000957854">
                      <w:marLeft w:val="0"/>
                      <w:marRight w:val="0"/>
                      <w:marTop w:val="0"/>
                      <w:marBottom w:val="0"/>
                      <w:divBdr>
                        <w:top w:val="none" w:sz="0" w:space="0" w:color="auto"/>
                        <w:left w:val="none" w:sz="0" w:space="0" w:color="auto"/>
                        <w:bottom w:val="none" w:sz="0" w:space="0" w:color="auto"/>
                        <w:right w:val="none" w:sz="0" w:space="0" w:color="auto"/>
                      </w:divBdr>
                      <w:divsChild>
                        <w:div w:id="956645077">
                          <w:marLeft w:val="0"/>
                          <w:marRight w:val="0"/>
                          <w:marTop w:val="0"/>
                          <w:marBottom w:val="0"/>
                          <w:divBdr>
                            <w:top w:val="none" w:sz="0" w:space="0" w:color="auto"/>
                            <w:left w:val="none" w:sz="0" w:space="0" w:color="auto"/>
                            <w:bottom w:val="none" w:sz="0" w:space="0" w:color="auto"/>
                            <w:right w:val="none" w:sz="0" w:space="0" w:color="auto"/>
                          </w:divBdr>
                        </w:div>
                        <w:div w:id="2034912167">
                          <w:marLeft w:val="176"/>
                          <w:marRight w:val="0"/>
                          <w:marTop w:val="0"/>
                          <w:marBottom w:val="0"/>
                          <w:divBdr>
                            <w:top w:val="none" w:sz="0" w:space="0" w:color="auto"/>
                            <w:left w:val="none" w:sz="0" w:space="0" w:color="auto"/>
                            <w:bottom w:val="none" w:sz="0" w:space="0" w:color="auto"/>
                            <w:right w:val="none" w:sz="0" w:space="0" w:color="auto"/>
                          </w:divBdr>
                        </w:div>
                      </w:divsChild>
                    </w:div>
                    <w:div w:id="2088384300">
                      <w:marLeft w:val="0"/>
                      <w:marRight w:val="0"/>
                      <w:marTop w:val="0"/>
                      <w:marBottom w:val="0"/>
                      <w:divBdr>
                        <w:top w:val="none" w:sz="0" w:space="0" w:color="auto"/>
                        <w:left w:val="none" w:sz="0" w:space="0" w:color="auto"/>
                        <w:bottom w:val="none" w:sz="0" w:space="0" w:color="auto"/>
                        <w:right w:val="none" w:sz="0" w:space="0" w:color="auto"/>
                      </w:divBdr>
                      <w:divsChild>
                        <w:div w:id="690499120">
                          <w:marLeft w:val="0"/>
                          <w:marRight w:val="0"/>
                          <w:marTop w:val="0"/>
                          <w:marBottom w:val="0"/>
                          <w:divBdr>
                            <w:top w:val="none" w:sz="0" w:space="0" w:color="auto"/>
                            <w:left w:val="none" w:sz="0" w:space="0" w:color="auto"/>
                            <w:bottom w:val="none" w:sz="0" w:space="0" w:color="auto"/>
                            <w:right w:val="none" w:sz="0" w:space="0" w:color="auto"/>
                          </w:divBdr>
                        </w:div>
                        <w:div w:id="1855604884">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 w:id="19297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5943">
      <w:bodyDiv w:val="1"/>
      <w:marLeft w:val="0"/>
      <w:marRight w:val="0"/>
      <w:marTop w:val="0"/>
      <w:marBottom w:val="0"/>
      <w:divBdr>
        <w:top w:val="none" w:sz="0" w:space="0" w:color="auto"/>
        <w:left w:val="none" w:sz="0" w:space="0" w:color="auto"/>
        <w:bottom w:val="none" w:sz="0" w:space="0" w:color="auto"/>
        <w:right w:val="none" w:sz="0" w:space="0" w:color="auto"/>
      </w:divBdr>
    </w:div>
    <w:div w:id="172182749">
      <w:bodyDiv w:val="1"/>
      <w:marLeft w:val="0"/>
      <w:marRight w:val="0"/>
      <w:marTop w:val="0"/>
      <w:marBottom w:val="0"/>
      <w:divBdr>
        <w:top w:val="none" w:sz="0" w:space="0" w:color="auto"/>
        <w:left w:val="none" w:sz="0" w:space="0" w:color="auto"/>
        <w:bottom w:val="none" w:sz="0" w:space="0" w:color="auto"/>
        <w:right w:val="none" w:sz="0" w:space="0" w:color="auto"/>
      </w:divBdr>
      <w:divsChild>
        <w:div w:id="598685600">
          <w:marLeft w:val="0"/>
          <w:marRight w:val="0"/>
          <w:marTop w:val="0"/>
          <w:marBottom w:val="0"/>
          <w:divBdr>
            <w:top w:val="single" w:sz="24" w:space="8" w:color="339999"/>
            <w:left w:val="single" w:sz="24" w:space="8" w:color="339999"/>
            <w:bottom w:val="single" w:sz="24" w:space="8" w:color="339999"/>
            <w:right w:val="single" w:sz="24" w:space="8" w:color="339999"/>
          </w:divBdr>
          <w:divsChild>
            <w:div w:id="1789737512">
              <w:marLeft w:val="0"/>
              <w:marRight w:val="0"/>
              <w:marTop w:val="0"/>
              <w:marBottom w:val="0"/>
              <w:divBdr>
                <w:top w:val="none" w:sz="0" w:space="0" w:color="auto"/>
                <w:left w:val="none" w:sz="0" w:space="0" w:color="auto"/>
                <w:bottom w:val="none" w:sz="0" w:space="0" w:color="auto"/>
                <w:right w:val="none" w:sz="0" w:space="0" w:color="auto"/>
              </w:divBdr>
            </w:div>
            <w:div w:id="2106068589">
              <w:marLeft w:val="0"/>
              <w:marRight w:val="0"/>
              <w:marTop w:val="0"/>
              <w:marBottom w:val="0"/>
              <w:divBdr>
                <w:top w:val="none" w:sz="0" w:space="0" w:color="auto"/>
                <w:left w:val="none" w:sz="0" w:space="0" w:color="auto"/>
                <w:bottom w:val="none" w:sz="0" w:space="0" w:color="auto"/>
                <w:right w:val="none" w:sz="0" w:space="0" w:color="auto"/>
              </w:divBdr>
              <w:divsChild>
                <w:div w:id="857936290">
                  <w:marLeft w:val="439"/>
                  <w:marRight w:val="0"/>
                  <w:marTop w:val="0"/>
                  <w:marBottom w:val="0"/>
                  <w:divBdr>
                    <w:top w:val="none" w:sz="0" w:space="0" w:color="auto"/>
                    <w:left w:val="none" w:sz="0" w:space="0" w:color="auto"/>
                    <w:bottom w:val="none" w:sz="0" w:space="0" w:color="auto"/>
                    <w:right w:val="none" w:sz="0" w:space="0" w:color="auto"/>
                  </w:divBdr>
                  <w:divsChild>
                    <w:div w:id="1440906690">
                      <w:marLeft w:val="0"/>
                      <w:marRight w:val="0"/>
                      <w:marTop w:val="0"/>
                      <w:marBottom w:val="0"/>
                      <w:divBdr>
                        <w:top w:val="none" w:sz="0" w:space="0" w:color="auto"/>
                        <w:left w:val="none" w:sz="0" w:space="0" w:color="auto"/>
                        <w:bottom w:val="none" w:sz="0" w:space="0" w:color="auto"/>
                        <w:right w:val="none" w:sz="0" w:space="0" w:color="auto"/>
                      </w:divBdr>
                      <w:divsChild>
                        <w:div w:id="247034937">
                          <w:marLeft w:val="176"/>
                          <w:marRight w:val="0"/>
                          <w:marTop w:val="0"/>
                          <w:marBottom w:val="0"/>
                          <w:divBdr>
                            <w:top w:val="none" w:sz="0" w:space="0" w:color="auto"/>
                            <w:left w:val="none" w:sz="0" w:space="0" w:color="auto"/>
                            <w:bottom w:val="none" w:sz="0" w:space="0" w:color="auto"/>
                            <w:right w:val="none" w:sz="0" w:space="0" w:color="auto"/>
                          </w:divBdr>
                        </w:div>
                        <w:div w:id="1107190171">
                          <w:marLeft w:val="0"/>
                          <w:marRight w:val="0"/>
                          <w:marTop w:val="0"/>
                          <w:marBottom w:val="0"/>
                          <w:divBdr>
                            <w:top w:val="none" w:sz="0" w:space="0" w:color="auto"/>
                            <w:left w:val="none" w:sz="0" w:space="0" w:color="auto"/>
                            <w:bottom w:val="none" w:sz="0" w:space="0" w:color="auto"/>
                            <w:right w:val="none" w:sz="0" w:space="0" w:color="auto"/>
                          </w:divBdr>
                        </w:div>
                      </w:divsChild>
                    </w:div>
                    <w:div w:id="1461725752">
                      <w:marLeft w:val="0"/>
                      <w:marRight w:val="0"/>
                      <w:marTop w:val="0"/>
                      <w:marBottom w:val="0"/>
                      <w:divBdr>
                        <w:top w:val="none" w:sz="0" w:space="0" w:color="auto"/>
                        <w:left w:val="none" w:sz="0" w:space="0" w:color="auto"/>
                        <w:bottom w:val="none" w:sz="0" w:space="0" w:color="auto"/>
                        <w:right w:val="none" w:sz="0" w:space="0" w:color="auto"/>
                      </w:divBdr>
                      <w:divsChild>
                        <w:div w:id="1289316822">
                          <w:marLeft w:val="0"/>
                          <w:marRight w:val="0"/>
                          <w:marTop w:val="0"/>
                          <w:marBottom w:val="0"/>
                          <w:divBdr>
                            <w:top w:val="none" w:sz="0" w:space="0" w:color="auto"/>
                            <w:left w:val="none" w:sz="0" w:space="0" w:color="auto"/>
                            <w:bottom w:val="none" w:sz="0" w:space="0" w:color="auto"/>
                            <w:right w:val="none" w:sz="0" w:space="0" w:color="auto"/>
                          </w:divBdr>
                        </w:div>
                        <w:div w:id="1902518120">
                          <w:marLeft w:val="176"/>
                          <w:marRight w:val="0"/>
                          <w:marTop w:val="0"/>
                          <w:marBottom w:val="0"/>
                          <w:divBdr>
                            <w:top w:val="none" w:sz="0" w:space="0" w:color="auto"/>
                            <w:left w:val="none" w:sz="0" w:space="0" w:color="auto"/>
                            <w:bottom w:val="none" w:sz="0" w:space="0" w:color="auto"/>
                            <w:right w:val="none" w:sz="0" w:space="0" w:color="auto"/>
                          </w:divBdr>
                        </w:div>
                      </w:divsChild>
                    </w:div>
                    <w:div w:id="1997493790">
                      <w:marLeft w:val="0"/>
                      <w:marRight w:val="0"/>
                      <w:marTop w:val="0"/>
                      <w:marBottom w:val="0"/>
                      <w:divBdr>
                        <w:top w:val="none" w:sz="0" w:space="0" w:color="auto"/>
                        <w:left w:val="none" w:sz="0" w:space="0" w:color="auto"/>
                        <w:bottom w:val="none" w:sz="0" w:space="0" w:color="auto"/>
                        <w:right w:val="none" w:sz="0" w:space="0" w:color="auto"/>
                      </w:divBdr>
                      <w:divsChild>
                        <w:div w:id="713697417">
                          <w:marLeft w:val="0"/>
                          <w:marRight w:val="0"/>
                          <w:marTop w:val="0"/>
                          <w:marBottom w:val="0"/>
                          <w:divBdr>
                            <w:top w:val="none" w:sz="0" w:space="0" w:color="auto"/>
                            <w:left w:val="none" w:sz="0" w:space="0" w:color="auto"/>
                            <w:bottom w:val="none" w:sz="0" w:space="0" w:color="auto"/>
                            <w:right w:val="none" w:sz="0" w:space="0" w:color="auto"/>
                          </w:divBdr>
                        </w:div>
                        <w:div w:id="810950067">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 w:id="10453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9602">
      <w:bodyDiv w:val="1"/>
      <w:marLeft w:val="0"/>
      <w:marRight w:val="0"/>
      <w:marTop w:val="0"/>
      <w:marBottom w:val="0"/>
      <w:divBdr>
        <w:top w:val="none" w:sz="0" w:space="0" w:color="auto"/>
        <w:left w:val="none" w:sz="0" w:space="0" w:color="auto"/>
        <w:bottom w:val="none" w:sz="0" w:space="0" w:color="auto"/>
        <w:right w:val="none" w:sz="0" w:space="0" w:color="auto"/>
      </w:divBdr>
    </w:div>
    <w:div w:id="215358447">
      <w:bodyDiv w:val="1"/>
      <w:marLeft w:val="0"/>
      <w:marRight w:val="0"/>
      <w:marTop w:val="0"/>
      <w:marBottom w:val="0"/>
      <w:divBdr>
        <w:top w:val="none" w:sz="0" w:space="0" w:color="auto"/>
        <w:left w:val="none" w:sz="0" w:space="0" w:color="auto"/>
        <w:bottom w:val="none" w:sz="0" w:space="0" w:color="auto"/>
        <w:right w:val="none" w:sz="0" w:space="0" w:color="auto"/>
      </w:divBdr>
      <w:divsChild>
        <w:div w:id="1874613377">
          <w:marLeft w:val="0"/>
          <w:marRight w:val="0"/>
          <w:marTop w:val="0"/>
          <w:marBottom w:val="0"/>
          <w:divBdr>
            <w:top w:val="single" w:sz="24" w:space="8" w:color="339999"/>
            <w:left w:val="single" w:sz="24" w:space="8" w:color="339999"/>
            <w:bottom w:val="single" w:sz="24" w:space="8" w:color="339999"/>
            <w:right w:val="single" w:sz="24" w:space="8" w:color="339999"/>
          </w:divBdr>
          <w:divsChild>
            <w:div w:id="440613248">
              <w:marLeft w:val="0"/>
              <w:marRight w:val="0"/>
              <w:marTop w:val="0"/>
              <w:marBottom w:val="0"/>
              <w:divBdr>
                <w:top w:val="none" w:sz="0" w:space="0" w:color="auto"/>
                <w:left w:val="none" w:sz="0" w:space="0" w:color="auto"/>
                <w:bottom w:val="none" w:sz="0" w:space="0" w:color="auto"/>
                <w:right w:val="none" w:sz="0" w:space="0" w:color="auto"/>
              </w:divBdr>
              <w:divsChild>
                <w:div w:id="492064888">
                  <w:marLeft w:val="439"/>
                  <w:marRight w:val="0"/>
                  <w:marTop w:val="0"/>
                  <w:marBottom w:val="0"/>
                  <w:divBdr>
                    <w:top w:val="none" w:sz="0" w:space="0" w:color="auto"/>
                    <w:left w:val="none" w:sz="0" w:space="0" w:color="auto"/>
                    <w:bottom w:val="none" w:sz="0" w:space="0" w:color="auto"/>
                    <w:right w:val="none" w:sz="0" w:space="0" w:color="auto"/>
                  </w:divBdr>
                  <w:divsChild>
                    <w:div w:id="582646002">
                      <w:marLeft w:val="0"/>
                      <w:marRight w:val="0"/>
                      <w:marTop w:val="0"/>
                      <w:marBottom w:val="0"/>
                      <w:divBdr>
                        <w:top w:val="none" w:sz="0" w:space="0" w:color="auto"/>
                        <w:left w:val="none" w:sz="0" w:space="0" w:color="auto"/>
                        <w:bottom w:val="none" w:sz="0" w:space="0" w:color="auto"/>
                        <w:right w:val="none" w:sz="0" w:space="0" w:color="auto"/>
                      </w:divBdr>
                      <w:divsChild>
                        <w:div w:id="122234148">
                          <w:marLeft w:val="0"/>
                          <w:marRight w:val="0"/>
                          <w:marTop w:val="0"/>
                          <w:marBottom w:val="0"/>
                          <w:divBdr>
                            <w:top w:val="none" w:sz="0" w:space="0" w:color="auto"/>
                            <w:left w:val="none" w:sz="0" w:space="0" w:color="auto"/>
                            <w:bottom w:val="none" w:sz="0" w:space="0" w:color="auto"/>
                            <w:right w:val="none" w:sz="0" w:space="0" w:color="auto"/>
                          </w:divBdr>
                        </w:div>
                        <w:div w:id="1733889996">
                          <w:marLeft w:val="176"/>
                          <w:marRight w:val="0"/>
                          <w:marTop w:val="0"/>
                          <w:marBottom w:val="0"/>
                          <w:divBdr>
                            <w:top w:val="none" w:sz="0" w:space="0" w:color="auto"/>
                            <w:left w:val="none" w:sz="0" w:space="0" w:color="auto"/>
                            <w:bottom w:val="none" w:sz="0" w:space="0" w:color="auto"/>
                            <w:right w:val="none" w:sz="0" w:space="0" w:color="auto"/>
                          </w:divBdr>
                        </w:div>
                      </w:divsChild>
                    </w:div>
                    <w:div w:id="990328570">
                      <w:marLeft w:val="0"/>
                      <w:marRight w:val="0"/>
                      <w:marTop w:val="0"/>
                      <w:marBottom w:val="0"/>
                      <w:divBdr>
                        <w:top w:val="none" w:sz="0" w:space="0" w:color="auto"/>
                        <w:left w:val="none" w:sz="0" w:space="0" w:color="auto"/>
                        <w:bottom w:val="none" w:sz="0" w:space="0" w:color="auto"/>
                        <w:right w:val="none" w:sz="0" w:space="0" w:color="auto"/>
                      </w:divBdr>
                      <w:divsChild>
                        <w:div w:id="62606606">
                          <w:marLeft w:val="176"/>
                          <w:marRight w:val="0"/>
                          <w:marTop w:val="0"/>
                          <w:marBottom w:val="0"/>
                          <w:divBdr>
                            <w:top w:val="none" w:sz="0" w:space="0" w:color="auto"/>
                            <w:left w:val="none" w:sz="0" w:space="0" w:color="auto"/>
                            <w:bottom w:val="none" w:sz="0" w:space="0" w:color="auto"/>
                            <w:right w:val="none" w:sz="0" w:space="0" w:color="auto"/>
                          </w:divBdr>
                        </w:div>
                        <w:div w:id="1269771017">
                          <w:marLeft w:val="0"/>
                          <w:marRight w:val="0"/>
                          <w:marTop w:val="0"/>
                          <w:marBottom w:val="0"/>
                          <w:divBdr>
                            <w:top w:val="none" w:sz="0" w:space="0" w:color="auto"/>
                            <w:left w:val="none" w:sz="0" w:space="0" w:color="auto"/>
                            <w:bottom w:val="none" w:sz="0" w:space="0" w:color="auto"/>
                            <w:right w:val="none" w:sz="0" w:space="0" w:color="auto"/>
                          </w:divBdr>
                        </w:div>
                      </w:divsChild>
                    </w:div>
                    <w:div w:id="1598824949">
                      <w:marLeft w:val="0"/>
                      <w:marRight w:val="0"/>
                      <w:marTop w:val="0"/>
                      <w:marBottom w:val="0"/>
                      <w:divBdr>
                        <w:top w:val="none" w:sz="0" w:space="0" w:color="auto"/>
                        <w:left w:val="none" w:sz="0" w:space="0" w:color="auto"/>
                        <w:bottom w:val="none" w:sz="0" w:space="0" w:color="auto"/>
                        <w:right w:val="none" w:sz="0" w:space="0" w:color="auto"/>
                      </w:divBdr>
                      <w:divsChild>
                        <w:div w:id="250429160">
                          <w:marLeft w:val="0"/>
                          <w:marRight w:val="0"/>
                          <w:marTop w:val="0"/>
                          <w:marBottom w:val="0"/>
                          <w:divBdr>
                            <w:top w:val="none" w:sz="0" w:space="0" w:color="auto"/>
                            <w:left w:val="none" w:sz="0" w:space="0" w:color="auto"/>
                            <w:bottom w:val="none" w:sz="0" w:space="0" w:color="auto"/>
                            <w:right w:val="none" w:sz="0" w:space="0" w:color="auto"/>
                          </w:divBdr>
                        </w:div>
                        <w:div w:id="1888949492">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 w:id="1072964784">
                  <w:marLeft w:val="0"/>
                  <w:marRight w:val="0"/>
                  <w:marTop w:val="0"/>
                  <w:marBottom w:val="0"/>
                  <w:divBdr>
                    <w:top w:val="none" w:sz="0" w:space="0" w:color="auto"/>
                    <w:left w:val="none" w:sz="0" w:space="0" w:color="auto"/>
                    <w:bottom w:val="none" w:sz="0" w:space="0" w:color="auto"/>
                    <w:right w:val="none" w:sz="0" w:space="0" w:color="auto"/>
                  </w:divBdr>
                </w:div>
              </w:divsChild>
            </w:div>
            <w:div w:id="21124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73520">
      <w:bodyDiv w:val="1"/>
      <w:marLeft w:val="0"/>
      <w:marRight w:val="0"/>
      <w:marTop w:val="0"/>
      <w:marBottom w:val="0"/>
      <w:divBdr>
        <w:top w:val="none" w:sz="0" w:space="0" w:color="auto"/>
        <w:left w:val="none" w:sz="0" w:space="0" w:color="auto"/>
        <w:bottom w:val="none" w:sz="0" w:space="0" w:color="auto"/>
        <w:right w:val="none" w:sz="0" w:space="0" w:color="auto"/>
      </w:divBdr>
      <w:divsChild>
        <w:div w:id="592712062">
          <w:marLeft w:val="0"/>
          <w:marRight w:val="0"/>
          <w:marTop w:val="0"/>
          <w:marBottom w:val="0"/>
          <w:divBdr>
            <w:top w:val="single" w:sz="24" w:space="8" w:color="339999"/>
            <w:left w:val="single" w:sz="24" w:space="8" w:color="339999"/>
            <w:bottom w:val="single" w:sz="24" w:space="8" w:color="339999"/>
            <w:right w:val="single" w:sz="24" w:space="8" w:color="339999"/>
          </w:divBdr>
          <w:divsChild>
            <w:div w:id="532814063">
              <w:marLeft w:val="0"/>
              <w:marRight w:val="0"/>
              <w:marTop w:val="0"/>
              <w:marBottom w:val="0"/>
              <w:divBdr>
                <w:top w:val="none" w:sz="0" w:space="0" w:color="auto"/>
                <w:left w:val="none" w:sz="0" w:space="0" w:color="auto"/>
                <w:bottom w:val="none" w:sz="0" w:space="0" w:color="auto"/>
                <w:right w:val="none" w:sz="0" w:space="0" w:color="auto"/>
              </w:divBdr>
            </w:div>
            <w:div w:id="1867134263">
              <w:marLeft w:val="0"/>
              <w:marRight w:val="0"/>
              <w:marTop w:val="0"/>
              <w:marBottom w:val="0"/>
              <w:divBdr>
                <w:top w:val="none" w:sz="0" w:space="0" w:color="auto"/>
                <w:left w:val="none" w:sz="0" w:space="0" w:color="auto"/>
                <w:bottom w:val="none" w:sz="0" w:space="0" w:color="auto"/>
                <w:right w:val="none" w:sz="0" w:space="0" w:color="auto"/>
              </w:divBdr>
              <w:divsChild>
                <w:div w:id="39866029">
                  <w:marLeft w:val="439"/>
                  <w:marRight w:val="0"/>
                  <w:marTop w:val="0"/>
                  <w:marBottom w:val="0"/>
                  <w:divBdr>
                    <w:top w:val="none" w:sz="0" w:space="0" w:color="auto"/>
                    <w:left w:val="none" w:sz="0" w:space="0" w:color="auto"/>
                    <w:bottom w:val="none" w:sz="0" w:space="0" w:color="auto"/>
                    <w:right w:val="none" w:sz="0" w:space="0" w:color="auto"/>
                  </w:divBdr>
                  <w:divsChild>
                    <w:div w:id="1354962109">
                      <w:marLeft w:val="0"/>
                      <w:marRight w:val="0"/>
                      <w:marTop w:val="0"/>
                      <w:marBottom w:val="0"/>
                      <w:divBdr>
                        <w:top w:val="none" w:sz="0" w:space="0" w:color="auto"/>
                        <w:left w:val="none" w:sz="0" w:space="0" w:color="auto"/>
                        <w:bottom w:val="none" w:sz="0" w:space="0" w:color="auto"/>
                        <w:right w:val="none" w:sz="0" w:space="0" w:color="auto"/>
                      </w:divBdr>
                      <w:divsChild>
                        <w:div w:id="82067519">
                          <w:marLeft w:val="176"/>
                          <w:marRight w:val="0"/>
                          <w:marTop w:val="0"/>
                          <w:marBottom w:val="0"/>
                          <w:divBdr>
                            <w:top w:val="none" w:sz="0" w:space="0" w:color="auto"/>
                            <w:left w:val="none" w:sz="0" w:space="0" w:color="auto"/>
                            <w:bottom w:val="none" w:sz="0" w:space="0" w:color="auto"/>
                            <w:right w:val="none" w:sz="0" w:space="0" w:color="auto"/>
                          </w:divBdr>
                        </w:div>
                        <w:div w:id="1068114436">
                          <w:marLeft w:val="0"/>
                          <w:marRight w:val="0"/>
                          <w:marTop w:val="0"/>
                          <w:marBottom w:val="0"/>
                          <w:divBdr>
                            <w:top w:val="none" w:sz="0" w:space="0" w:color="auto"/>
                            <w:left w:val="none" w:sz="0" w:space="0" w:color="auto"/>
                            <w:bottom w:val="none" w:sz="0" w:space="0" w:color="auto"/>
                            <w:right w:val="none" w:sz="0" w:space="0" w:color="auto"/>
                          </w:divBdr>
                        </w:div>
                      </w:divsChild>
                    </w:div>
                    <w:div w:id="1600525764">
                      <w:marLeft w:val="0"/>
                      <w:marRight w:val="0"/>
                      <w:marTop w:val="0"/>
                      <w:marBottom w:val="0"/>
                      <w:divBdr>
                        <w:top w:val="none" w:sz="0" w:space="0" w:color="auto"/>
                        <w:left w:val="none" w:sz="0" w:space="0" w:color="auto"/>
                        <w:bottom w:val="none" w:sz="0" w:space="0" w:color="auto"/>
                        <w:right w:val="none" w:sz="0" w:space="0" w:color="auto"/>
                      </w:divBdr>
                      <w:divsChild>
                        <w:div w:id="1019626730">
                          <w:marLeft w:val="0"/>
                          <w:marRight w:val="0"/>
                          <w:marTop w:val="0"/>
                          <w:marBottom w:val="0"/>
                          <w:divBdr>
                            <w:top w:val="none" w:sz="0" w:space="0" w:color="auto"/>
                            <w:left w:val="none" w:sz="0" w:space="0" w:color="auto"/>
                            <w:bottom w:val="none" w:sz="0" w:space="0" w:color="auto"/>
                            <w:right w:val="none" w:sz="0" w:space="0" w:color="auto"/>
                          </w:divBdr>
                        </w:div>
                        <w:div w:id="1779831992">
                          <w:marLeft w:val="176"/>
                          <w:marRight w:val="0"/>
                          <w:marTop w:val="0"/>
                          <w:marBottom w:val="0"/>
                          <w:divBdr>
                            <w:top w:val="none" w:sz="0" w:space="0" w:color="auto"/>
                            <w:left w:val="none" w:sz="0" w:space="0" w:color="auto"/>
                            <w:bottom w:val="none" w:sz="0" w:space="0" w:color="auto"/>
                            <w:right w:val="none" w:sz="0" w:space="0" w:color="auto"/>
                          </w:divBdr>
                        </w:div>
                      </w:divsChild>
                    </w:div>
                    <w:div w:id="2032607713">
                      <w:marLeft w:val="0"/>
                      <w:marRight w:val="0"/>
                      <w:marTop w:val="0"/>
                      <w:marBottom w:val="0"/>
                      <w:divBdr>
                        <w:top w:val="none" w:sz="0" w:space="0" w:color="auto"/>
                        <w:left w:val="none" w:sz="0" w:space="0" w:color="auto"/>
                        <w:bottom w:val="none" w:sz="0" w:space="0" w:color="auto"/>
                        <w:right w:val="none" w:sz="0" w:space="0" w:color="auto"/>
                      </w:divBdr>
                      <w:divsChild>
                        <w:div w:id="3022349">
                          <w:marLeft w:val="176"/>
                          <w:marRight w:val="0"/>
                          <w:marTop w:val="0"/>
                          <w:marBottom w:val="0"/>
                          <w:divBdr>
                            <w:top w:val="none" w:sz="0" w:space="0" w:color="auto"/>
                            <w:left w:val="none" w:sz="0" w:space="0" w:color="auto"/>
                            <w:bottom w:val="none" w:sz="0" w:space="0" w:color="auto"/>
                            <w:right w:val="none" w:sz="0" w:space="0" w:color="auto"/>
                          </w:divBdr>
                        </w:div>
                        <w:div w:id="6319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4888">
      <w:bodyDiv w:val="1"/>
      <w:marLeft w:val="0"/>
      <w:marRight w:val="0"/>
      <w:marTop w:val="0"/>
      <w:marBottom w:val="0"/>
      <w:divBdr>
        <w:top w:val="none" w:sz="0" w:space="0" w:color="auto"/>
        <w:left w:val="none" w:sz="0" w:space="0" w:color="auto"/>
        <w:bottom w:val="none" w:sz="0" w:space="0" w:color="auto"/>
        <w:right w:val="none" w:sz="0" w:space="0" w:color="auto"/>
      </w:divBdr>
      <w:divsChild>
        <w:div w:id="1029180364">
          <w:marLeft w:val="0"/>
          <w:marRight w:val="0"/>
          <w:marTop w:val="0"/>
          <w:marBottom w:val="0"/>
          <w:divBdr>
            <w:top w:val="single" w:sz="24" w:space="8" w:color="339999"/>
            <w:left w:val="single" w:sz="24" w:space="8" w:color="339999"/>
            <w:bottom w:val="single" w:sz="24" w:space="8" w:color="339999"/>
            <w:right w:val="single" w:sz="24" w:space="8" w:color="339999"/>
          </w:divBdr>
          <w:divsChild>
            <w:div w:id="498885686">
              <w:marLeft w:val="0"/>
              <w:marRight w:val="0"/>
              <w:marTop w:val="0"/>
              <w:marBottom w:val="0"/>
              <w:divBdr>
                <w:top w:val="none" w:sz="0" w:space="0" w:color="auto"/>
                <w:left w:val="none" w:sz="0" w:space="0" w:color="auto"/>
                <w:bottom w:val="none" w:sz="0" w:space="0" w:color="auto"/>
                <w:right w:val="none" w:sz="0" w:space="0" w:color="auto"/>
              </w:divBdr>
              <w:divsChild>
                <w:div w:id="92022938">
                  <w:marLeft w:val="0"/>
                  <w:marRight w:val="0"/>
                  <w:marTop w:val="0"/>
                  <w:marBottom w:val="0"/>
                  <w:divBdr>
                    <w:top w:val="none" w:sz="0" w:space="0" w:color="auto"/>
                    <w:left w:val="none" w:sz="0" w:space="0" w:color="auto"/>
                    <w:bottom w:val="none" w:sz="0" w:space="0" w:color="auto"/>
                    <w:right w:val="none" w:sz="0" w:space="0" w:color="auto"/>
                  </w:divBdr>
                </w:div>
                <w:div w:id="1521508263">
                  <w:marLeft w:val="439"/>
                  <w:marRight w:val="0"/>
                  <w:marTop w:val="0"/>
                  <w:marBottom w:val="0"/>
                  <w:divBdr>
                    <w:top w:val="none" w:sz="0" w:space="0" w:color="auto"/>
                    <w:left w:val="none" w:sz="0" w:space="0" w:color="auto"/>
                    <w:bottom w:val="none" w:sz="0" w:space="0" w:color="auto"/>
                    <w:right w:val="none" w:sz="0" w:space="0" w:color="auto"/>
                  </w:divBdr>
                  <w:divsChild>
                    <w:div w:id="91584805">
                      <w:marLeft w:val="0"/>
                      <w:marRight w:val="0"/>
                      <w:marTop w:val="0"/>
                      <w:marBottom w:val="0"/>
                      <w:divBdr>
                        <w:top w:val="none" w:sz="0" w:space="0" w:color="auto"/>
                        <w:left w:val="none" w:sz="0" w:space="0" w:color="auto"/>
                        <w:bottom w:val="none" w:sz="0" w:space="0" w:color="auto"/>
                        <w:right w:val="none" w:sz="0" w:space="0" w:color="auto"/>
                      </w:divBdr>
                      <w:divsChild>
                        <w:div w:id="986982166">
                          <w:marLeft w:val="176"/>
                          <w:marRight w:val="0"/>
                          <w:marTop w:val="0"/>
                          <w:marBottom w:val="0"/>
                          <w:divBdr>
                            <w:top w:val="none" w:sz="0" w:space="0" w:color="auto"/>
                            <w:left w:val="none" w:sz="0" w:space="0" w:color="auto"/>
                            <w:bottom w:val="none" w:sz="0" w:space="0" w:color="auto"/>
                            <w:right w:val="none" w:sz="0" w:space="0" w:color="auto"/>
                          </w:divBdr>
                        </w:div>
                        <w:div w:id="1105006641">
                          <w:marLeft w:val="0"/>
                          <w:marRight w:val="0"/>
                          <w:marTop w:val="0"/>
                          <w:marBottom w:val="0"/>
                          <w:divBdr>
                            <w:top w:val="none" w:sz="0" w:space="0" w:color="auto"/>
                            <w:left w:val="none" w:sz="0" w:space="0" w:color="auto"/>
                            <w:bottom w:val="none" w:sz="0" w:space="0" w:color="auto"/>
                            <w:right w:val="none" w:sz="0" w:space="0" w:color="auto"/>
                          </w:divBdr>
                        </w:div>
                      </w:divsChild>
                    </w:div>
                    <w:div w:id="724066355">
                      <w:marLeft w:val="0"/>
                      <w:marRight w:val="0"/>
                      <w:marTop w:val="0"/>
                      <w:marBottom w:val="0"/>
                      <w:divBdr>
                        <w:top w:val="none" w:sz="0" w:space="0" w:color="auto"/>
                        <w:left w:val="none" w:sz="0" w:space="0" w:color="auto"/>
                        <w:bottom w:val="none" w:sz="0" w:space="0" w:color="auto"/>
                        <w:right w:val="none" w:sz="0" w:space="0" w:color="auto"/>
                      </w:divBdr>
                      <w:divsChild>
                        <w:div w:id="352920846">
                          <w:marLeft w:val="176"/>
                          <w:marRight w:val="0"/>
                          <w:marTop w:val="0"/>
                          <w:marBottom w:val="0"/>
                          <w:divBdr>
                            <w:top w:val="none" w:sz="0" w:space="0" w:color="auto"/>
                            <w:left w:val="none" w:sz="0" w:space="0" w:color="auto"/>
                            <w:bottom w:val="none" w:sz="0" w:space="0" w:color="auto"/>
                            <w:right w:val="none" w:sz="0" w:space="0" w:color="auto"/>
                          </w:divBdr>
                        </w:div>
                        <w:div w:id="823668640">
                          <w:marLeft w:val="0"/>
                          <w:marRight w:val="0"/>
                          <w:marTop w:val="0"/>
                          <w:marBottom w:val="0"/>
                          <w:divBdr>
                            <w:top w:val="none" w:sz="0" w:space="0" w:color="auto"/>
                            <w:left w:val="none" w:sz="0" w:space="0" w:color="auto"/>
                            <w:bottom w:val="none" w:sz="0" w:space="0" w:color="auto"/>
                            <w:right w:val="none" w:sz="0" w:space="0" w:color="auto"/>
                          </w:divBdr>
                        </w:div>
                      </w:divsChild>
                    </w:div>
                    <w:div w:id="1778791660">
                      <w:marLeft w:val="0"/>
                      <w:marRight w:val="0"/>
                      <w:marTop w:val="0"/>
                      <w:marBottom w:val="0"/>
                      <w:divBdr>
                        <w:top w:val="none" w:sz="0" w:space="0" w:color="auto"/>
                        <w:left w:val="none" w:sz="0" w:space="0" w:color="auto"/>
                        <w:bottom w:val="none" w:sz="0" w:space="0" w:color="auto"/>
                        <w:right w:val="none" w:sz="0" w:space="0" w:color="auto"/>
                      </w:divBdr>
                      <w:divsChild>
                        <w:div w:id="978074490">
                          <w:marLeft w:val="0"/>
                          <w:marRight w:val="0"/>
                          <w:marTop w:val="0"/>
                          <w:marBottom w:val="0"/>
                          <w:divBdr>
                            <w:top w:val="none" w:sz="0" w:space="0" w:color="auto"/>
                            <w:left w:val="none" w:sz="0" w:space="0" w:color="auto"/>
                            <w:bottom w:val="none" w:sz="0" w:space="0" w:color="auto"/>
                            <w:right w:val="none" w:sz="0" w:space="0" w:color="auto"/>
                          </w:divBdr>
                        </w:div>
                        <w:div w:id="1545095089">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686324741">
      <w:bodyDiv w:val="1"/>
      <w:marLeft w:val="0"/>
      <w:marRight w:val="0"/>
      <w:marTop w:val="0"/>
      <w:marBottom w:val="0"/>
      <w:divBdr>
        <w:top w:val="none" w:sz="0" w:space="0" w:color="auto"/>
        <w:left w:val="none" w:sz="0" w:space="0" w:color="auto"/>
        <w:bottom w:val="none" w:sz="0" w:space="0" w:color="auto"/>
        <w:right w:val="none" w:sz="0" w:space="0" w:color="auto"/>
      </w:divBdr>
    </w:div>
    <w:div w:id="775641998">
      <w:bodyDiv w:val="1"/>
      <w:marLeft w:val="0"/>
      <w:marRight w:val="0"/>
      <w:marTop w:val="0"/>
      <w:marBottom w:val="0"/>
      <w:divBdr>
        <w:top w:val="none" w:sz="0" w:space="0" w:color="auto"/>
        <w:left w:val="none" w:sz="0" w:space="0" w:color="auto"/>
        <w:bottom w:val="none" w:sz="0" w:space="0" w:color="auto"/>
        <w:right w:val="none" w:sz="0" w:space="0" w:color="auto"/>
      </w:divBdr>
    </w:div>
    <w:div w:id="798648896">
      <w:bodyDiv w:val="1"/>
      <w:marLeft w:val="0"/>
      <w:marRight w:val="0"/>
      <w:marTop w:val="0"/>
      <w:marBottom w:val="0"/>
      <w:divBdr>
        <w:top w:val="none" w:sz="0" w:space="0" w:color="auto"/>
        <w:left w:val="none" w:sz="0" w:space="0" w:color="auto"/>
        <w:bottom w:val="none" w:sz="0" w:space="0" w:color="auto"/>
        <w:right w:val="none" w:sz="0" w:space="0" w:color="auto"/>
      </w:divBdr>
    </w:div>
    <w:div w:id="844049329">
      <w:bodyDiv w:val="1"/>
      <w:marLeft w:val="0"/>
      <w:marRight w:val="0"/>
      <w:marTop w:val="0"/>
      <w:marBottom w:val="0"/>
      <w:divBdr>
        <w:top w:val="none" w:sz="0" w:space="0" w:color="auto"/>
        <w:left w:val="none" w:sz="0" w:space="0" w:color="auto"/>
        <w:bottom w:val="none" w:sz="0" w:space="0" w:color="auto"/>
        <w:right w:val="none" w:sz="0" w:space="0" w:color="auto"/>
      </w:divBdr>
    </w:div>
    <w:div w:id="847672259">
      <w:bodyDiv w:val="1"/>
      <w:marLeft w:val="0"/>
      <w:marRight w:val="0"/>
      <w:marTop w:val="0"/>
      <w:marBottom w:val="0"/>
      <w:divBdr>
        <w:top w:val="none" w:sz="0" w:space="0" w:color="auto"/>
        <w:left w:val="none" w:sz="0" w:space="0" w:color="auto"/>
        <w:bottom w:val="none" w:sz="0" w:space="0" w:color="auto"/>
        <w:right w:val="none" w:sz="0" w:space="0" w:color="auto"/>
      </w:divBdr>
      <w:divsChild>
        <w:div w:id="2129623990">
          <w:marLeft w:val="0"/>
          <w:marRight w:val="0"/>
          <w:marTop w:val="0"/>
          <w:marBottom w:val="0"/>
          <w:divBdr>
            <w:top w:val="single" w:sz="24" w:space="8" w:color="339999"/>
            <w:left w:val="single" w:sz="24" w:space="8" w:color="339999"/>
            <w:bottom w:val="single" w:sz="24" w:space="8" w:color="339999"/>
            <w:right w:val="single" w:sz="24" w:space="8" w:color="339999"/>
          </w:divBdr>
          <w:divsChild>
            <w:div w:id="1955332690">
              <w:marLeft w:val="0"/>
              <w:marRight w:val="0"/>
              <w:marTop w:val="0"/>
              <w:marBottom w:val="0"/>
              <w:divBdr>
                <w:top w:val="none" w:sz="0" w:space="0" w:color="auto"/>
                <w:left w:val="none" w:sz="0" w:space="0" w:color="auto"/>
                <w:bottom w:val="none" w:sz="0" w:space="0" w:color="auto"/>
                <w:right w:val="none" w:sz="0" w:space="0" w:color="auto"/>
              </w:divBdr>
              <w:divsChild>
                <w:div w:id="161704298">
                  <w:marLeft w:val="0"/>
                  <w:marRight w:val="0"/>
                  <w:marTop w:val="0"/>
                  <w:marBottom w:val="0"/>
                  <w:divBdr>
                    <w:top w:val="none" w:sz="0" w:space="0" w:color="auto"/>
                    <w:left w:val="none" w:sz="0" w:space="0" w:color="auto"/>
                    <w:bottom w:val="none" w:sz="0" w:space="0" w:color="auto"/>
                    <w:right w:val="none" w:sz="0" w:space="0" w:color="auto"/>
                  </w:divBdr>
                </w:div>
                <w:div w:id="2095783514">
                  <w:marLeft w:val="439"/>
                  <w:marRight w:val="0"/>
                  <w:marTop w:val="0"/>
                  <w:marBottom w:val="0"/>
                  <w:divBdr>
                    <w:top w:val="none" w:sz="0" w:space="0" w:color="auto"/>
                    <w:left w:val="none" w:sz="0" w:space="0" w:color="auto"/>
                    <w:bottom w:val="none" w:sz="0" w:space="0" w:color="auto"/>
                    <w:right w:val="none" w:sz="0" w:space="0" w:color="auto"/>
                  </w:divBdr>
                  <w:divsChild>
                    <w:div w:id="385297651">
                      <w:marLeft w:val="0"/>
                      <w:marRight w:val="0"/>
                      <w:marTop w:val="0"/>
                      <w:marBottom w:val="0"/>
                      <w:divBdr>
                        <w:top w:val="none" w:sz="0" w:space="0" w:color="auto"/>
                        <w:left w:val="none" w:sz="0" w:space="0" w:color="auto"/>
                        <w:bottom w:val="none" w:sz="0" w:space="0" w:color="auto"/>
                        <w:right w:val="none" w:sz="0" w:space="0" w:color="auto"/>
                      </w:divBdr>
                      <w:divsChild>
                        <w:div w:id="542062736">
                          <w:marLeft w:val="176"/>
                          <w:marRight w:val="0"/>
                          <w:marTop w:val="0"/>
                          <w:marBottom w:val="0"/>
                          <w:divBdr>
                            <w:top w:val="none" w:sz="0" w:space="0" w:color="auto"/>
                            <w:left w:val="none" w:sz="0" w:space="0" w:color="auto"/>
                            <w:bottom w:val="none" w:sz="0" w:space="0" w:color="auto"/>
                            <w:right w:val="none" w:sz="0" w:space="0" w:color="auto"/>
                          </w:divBdr>
                        </w:div>
                        <w:div w:id="1407066502">
                          <w:marLeft w:val="0"/>
                          <w:marRight w:val="0"/>
                          <w:marTop w:val="0"/>
                          <w:marBottom w:val="0"/>
                          <w:divBdr>
                            <w:top w:val="none" w:sz="0" w:space="0" w:color="auto"/>
                            <w:left w:val="none" w:sz="0" w:space="0" w:color="auto"/>
                            <w:bottom w:val="none" w:sz="0" w:space="0" w:color="auto"/>
                            <w:right w:val="none" w:sz="0" w:space="0" w:color="auto"/>
                          </w:divBdr>
                        </w:div>
                      </w:divsChild>
                    </w:div>
                    <w:div w:id="891577126">
                      <w:marLeft w:val="0"/>
                      <w:marRight w:val="0"/>
                      <w:marTop w:val="0"/>
                      <w:marBottom w:val="0"/>
                      <w:divBdr>
                        <w:top w:val="none" w:sz="0" w:space="0" w:color="auto"/>
                        <w:left w:val="none" w:sz="0" w:space="0" w:color="auto"/>
                        <w:bottom w:val="none" w:sz="0" w:space="0" w:color="auto"/>
                        <w:right w:val="none" w:sz="0" w:space="0" w:color="auto"/>
                      </w:divBdr>
                      <w:divsChild>
                        <w:div w:id="396365433">
                          <w:marLeft w:val="176"/>
                          <w:marRight w:val="0"/>
                          <w:marTop w:val="0"/>
                          <w:marBottom w:val="0"/>
                          <w:divBdr>
                            <w:top w:val="none" w:sz="0" w:space="0" w:color="auto"/>
                            <w:left w:val="none" w:sz="0" w:space="0" w:color="auto"/>
                            <w:bottom w:val="none" w:sz="0" w:space="0" w:color="auto"/>
                            <w:right w:val="none" w:sz="0" w:space="0" w:color="auto"/>
                          </w:divBdr>
                        </w:div>
                        <w:div w:id="1057971581">
                          <w:marLeft w:val="0"/>
                          <w:marRight w:val="0"/>
                          <w:marTop w:val="0"/>
                          <w:marBottom w:val="0"/>
                          <w:divBdr>
                            <w:top w:val="none" w:sz="0" w:space="0" w:color="auto"/>
                            <w:left w:val="none" w:sz="0" w:space="0" w:color="auto"/>
                            <w:bottom w:val="none" w:sz="0" w:space="0" w:color="auto"/>
                            <w:right w:val="none" w:sz="0" w:space="0" w:color="auto"/>
                          </w:divBdr>
                        </w:div>
                      </w:divsChild>
                    </w:div>
                    <w:div w:id="1427996369">
                      <w:marLeft w:val="0"/>
                      <w:marRight w:val="0"/>
                      <w:marTop w:val="0"/>
                      <w:marBottom w:val="0"/>
                      <w:divBdr>
                        <w:top w:val="none" w:sz="0" w:space="0" w:color="auto"/>
                        <w:left w:val="none" w:sz="0" w:space="0" w:color="auto"/>
                        <w:bottom w:val="none" w:sz="0" w:space="0" w:color="auto"/>
                        <w:right w:val="none" w:sz="0" w:space="0" w:color="auto"/>
                      </w:divBdr>
                      <w:divsChild>
                        <w:div w:id="367220494">
                          <w:marLeft w:val="176"/>
                          <w:marRight w:val="0"/>
                          <w:marTop w:val="0"/>
                          <w:marBottom w:val="0"/>
                          <w:divBdr>
                            <w:top w:val="none" w:sz="0" w:space="0" w:color="auto"/>
                            <w:left w:val="none" w:sz="0" w:space="0" w:color="auto"/>
                            <w:bottom w:val="none" w:sz="0" w:space="0" w:color="auto"/>
                            <w:right w:val="none" w:sz="0" w:space="0" w:color="auto"/>
                          </w:divBdr>
                        </w:div>
                        <w:div w:id="9148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8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0824">
      <w:bodyDiv w:val="1"/>
      <w:marLeft w:val="0"/>
      <w:marRight w:val="0"/>
      <w:marTop w:val="0"/>
      <w:marBottom w:val="0"/>
      <w:divBdr>
        <w:top w:val="none" w:sz="0" w:space="0" w:color="auto"/>
        <w:left w:val="none" w:sz="0" w:space="0" w:color="auto"/>
        <w:bottom w:val="none" w:sz="0" w:space="0" w:color="auto"/>
        <w:right w:val="none" w:sz="0" w:space="0" w:color="auto"/>
      </w:divBdr>
    </w:div>
    <w:div w:id="943614466">
      <w:bodyDiv w:val="1"/>
      <w:marLeft w:val="0"/>
      <w:marRight w:val="0"/>
      <w:marTop w:val="0"/>
      <w:marBottom w:val="0"/>
      <w:divBdr>
        <w:top w:val="none" w:sz="0" w:space="0" w:color="auto"/>
        <w:left w:val="none" w:sz="0" w:space="0" w:color="auto"/>
        <w:bottom w:val="none" w:sz="0" w:space="0" w:color="auto"/>
        <w:right w:val="none" w:sz="0" w:space="0" w:color="auto"/>
      </w:divBdr>
      <w:divsChild>
        <w:div w:id="867377849">
          <w:marLeft w:val="0"/>
          <w:marRight w:val="0"/>
          <w:marTop w:val="0"/>
          <w:marBottom w:val="0"/>
          <w:divBdr>
            <w:top w:val="single" w:sz="24" w:space="8" w:color="339999"/>
            <w:left w:val="single" w:sz="24" w:space="8" w:color="339999"/>
            <w:bottom w:val="single" w:sz="24" w:space="8" w:color="339999"/>
            <w:right w:val="single" w:sz="24" w:space="8" w:color="339999"/>
          </w:divBdr>
          <w:divsChild>
            <w:div w:id="134760444">
              <w:marLeft w:val="0"/>
              <w:marRight w:val="0"/>
              <w:marTop w:val="0"/>
              <w:marBottom w:val="0"/>
              <w:divBdr>
                <w:top w:val="none" w:sz="0" w:space="0" w:color="auto"/>
                <w:left w:val="none" w:sz="0" w:space="0" w:color="auto"/>
                <w:bottom w:val="none" w:sz="0" w:space="0" w:color="auto"/>
                <w:right w:val="none" w:sz="0" w:space="0" w:color="auto"/>
              </w:divBdr>
            </w:div>
            <w:div w:id="330257868">
              <w:marLeft w:val="0"/>
              <w:marRight w:val="0"/>
              <w:marTop w:val="0"/>
              <w:marBottom w:val="0"/>
              <w:divBdr>
                <w:top w:val="none" w:sz="0" w:space="0" w:color="auto"/>
                <w:left w:val="none" w:sz="0" w:space="0" w:color="auto"/>
                <w:bottom w:val="none" w:sz="0" w:space="0" w:color="auto"/>
                <w:right w:val="none" w:sz="0" w:space="0" w:color="auto"/>
              </w:divBdr>
              <w:divsChild>
                <w:div w:id="171263135">
                  <w:marLeft w:val="439"/>
                  <w:marRight w:val="0"/>
                  <w:marTop w:val="0"/>
                  <w:marBottom w:val="0"/>
                  <w:divBdr>
                    <w:top w:val="none" w:sz="0" w:space="0" w:color="auto"/>
                    <w:left w:val="none" w:sz="0" w:space="0" w:color="auto"/>
                    <w:bottom w:val="none" w:sz="0" w:space="0" w:color="auto"/>
                    <w:right w:val="none" w:sz="0" w:space="0" w:color="auto"/>
                  </w:divBdr>
                  <w:divsChild>
                    <w:div w:id="898246474">
                      <w:marLeft w:val="0"/>
                      <w:marRight w:val="0"/>
                      <w:marTop w:val="0"/>
                      <w:marBottom w:val="0"/>
                      <w:divBdr>
                        <w:top w:val="none" w:sz="0" w:space="0" w:color="auto"/>
                        <w:left w:val="none" w:sz="0" w:space="0" w:color="auto"/>
                        <w:bottom w:val="none" w:sz="0" w:space="0" w:color="auto"/>
                        <w:right w:val="none" w:sz="0" w:space="0" w:color="auto"/>
                      </w:divBdr>
                      <w:divsChild>
                        <w:div w:id="618729412">
                          <w:marLeft w:val="0"/>
                          <w:marRight w:val="0"/>
                          <w:marTop w:val="0"/>
                          <w:marBottom w:val="0"/>
                          <w:divBdr>
                            <w:top w:val="none" w:sz="0" w:space="0" w:color="auto"/>
                            <w:left w:val="none" w:sz="0" w:space="0" w:color="auto"/>
                            <w:bottom w:val="none" w:sz="0" w:space="0" w:color="auto"/>
                            <w:right w:val="none" w:sz="0" w:space="0" w:color="auto"/>
                          </w:divBdr>
                        </w:div>
                        <w:div w:id="1845706284">
                          <w:marLeft w:val="176"/>
                          <w:marRight w:val="0"/>
                          <w:marTop w:val="0"/>
                          <w:marBottom w:val="0"/>
                          <w:divBdr>
                            <w:top w:val="none" w:sz="0" w:space="0" w:color="auto"/>
                            <w:left w:val="none" w:sz="0" w:space="0" w:color="auto"/>
                            <w:bottom w:val="none" w:sz="0" w:space="0" w:color="auto"/>
                            <w:right w:val="none" w:sz="0" w:space="0" w:color="auto"/>
                          </w:divBdr>
                        </w:div>
                      </w:divsChild>
                    </w:div>
                    <w:div w:id="1776637384">
                      <w:marLeft w:val="0"/>
                      <w:marRight w:val="0"/>
                      <w:marTop w:val="0"/>
                      <w:marBottom w:val="0"/>
                      <w:divBdr>
                        <w:top w:val="none" w:sz="0" w:space="0" w:color="auto"/>
                        <w:left w:val="none" w:sz="0" w:space="0" w:color="auto"/>
                        <w:bottom w:val="none" w:sz="0" w:space="0" w:color="auto"/>
                        <w:right w:val="none" w:sz="0" w:space="0" w:color="auto"/>
                      </w:divBdr>
                      <w:divsChild>
                        <w:div w:id="424810927">
                          <w:marLeft w:val="176"/>
                          <w:marRight w:val="0"/>
                          <w:marTop w:val="0"/>
                          <w:marBottom w:val="0"/>
                          <w:divBdr>
                            <w:top w:val="none" w:sz="0" w:space="0" w:color="auto"/>
                            <w:left w:val="none" w:sz="0" w:space="0" w:color="auto"/>
                            <w:bottom w:val="none" w:sz="0" w:space="0" w:color="auto"/>
                            <w:right w:val="none" w:sz="0" w:space="0" w:color="auto"/>
                          </w:divBdr>
                        </w:div>
                        <w:div w:id="1281914535">
                          <w:marLeft w:val="0"/>
                          <w:marRight w:val="0"/>
                          <w:marTop w:val="0"/>
                          <w:marBottom w:val="0"/>
                          <w:divBdr>
                            <w:top w:val="none" w:sz="0" w:space="0" w:color="auto"/>
                            <w:left w:val="none" w:sz="0" w:space="0" w:color="auto"/>
                            <w:bottom w:val="none" w:sz="0" w:space="0" w:color="auto"/>
                            <w:right w:val="none" w:sz="0" w:space="0" w:color="auto"/>
                          </w:divBdr>
                        </w:div>
                      </w:divsChild>
                    </w:div>
                    <w:div w:id="2036343174">
                      <w:marLeft w:val="0"/>
                      <w:marRight w:val="0"/>
                      <w:marTop w:val="0"/>
                      <w:marBottom w:val="0"/>
                      <w:divBdr>
                        <w:top w:val="none" w:sz="0" w:space="0" w:color="auto"/>
                        <w:left w:val="none" w:sz="0" w:space="0" w:color="auto"/>
                        <w:bottom w:val="none" w:sz="0" w:space="0" w:color="auto"/>
                        <w:right w:val="none" w:sz="0" w:space="0" w:color="auto"/>
                      </w:divBdr>
                      <w:divsChild>
                        <w:div w:id="886065263">
                          <w:marLeft w:val="176"/>
                          <w:marRight w:val="0"/>
                          <w:marTop w:val="0"/>
                          <w:marBottom w:val="0"/>
                          <w:divBdr>
                            <w:top w:val="none" w:sz="0" w:space="0" w:color="auto"/>
                            <w:left w:val="none" w:sz="0" w:space="0" w:color="auto"/>
                            <w:bottom w:val="none" w:sz="0" w:space="0" w:color="auto"/>
                            <w:right w:val="none" w:sz="0" w:space="0" w:color="auto"/>
                          </w:divBdr>
                        </w:div>
                        <w:div w:id="15430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0643">
      <w:bodyDiv w:val="1"/>
      <w:marLeft w:val="0"/>
      <w:marRight w:val="0"/>
      <w:marTop w:val="0"/>
      <w:marBottom w:val="0"/>
      <w:divBdr>
        <w:top w:val="none" w:sz="0" w:space="0" w:color="auto"/>
        <w:left w:val="none" w:sz="0" w:space="0" w:color="auto"/>
        <w:bottom w:val="none" w:sz="0" w:space="0" w:color="auto"/>
        <w:right w:val="none" w:sz="0" w:space="0" w:color="auto"/>
      </w:divBdr>
      <w:divsChild>
        <w:div w:id="834878693">
          <w:marLeft w:val="0"/>
          <w:marRight w:val="0"/>
          <w:marTop w:val="0"/>
          <w:marBottom w:val="0"/>
          <w:divBdr>
            <w:top w:val="single" w:sz="24" w:space="8" w:color="339999"/>
            <w:left w:val="single" w:sz="24" w:space="8" w:color="339999"/>
            <w:bottom w:val="single" w:sz="24" w:space="8" w:color="339999"/>
            <w:right w:val="single" w:sz="24" w:space="8" w:color="339999"/>
          </w:divBdr>
          <w:divsChild>
            <w:div w:id="1266767866">
              <w:marLeft w:val="0"/>
              <w:marRight w:val="0"/>
              <w:marTop w:val="0"/>
              <w:marBottom w:val="0"/>
              <w:divBdr>
                <w:top w:val="none" w:sz="0" w:space="0" w:color="auto"/>
                <w:left w:val="none" w:sz="0" w:space="0" w:color="auto"/>
                <w:bottom w:val="none" w:sz="0" w:space="0" w:color="auto"/>
                <w:right w:val="none" w:sz="0" w:space="0" w:color="auto"/>
              </w:divBdr>
            </w:div>
            <w:div w:id="1396397674">
              <w:marLeft w:val="0"/>
              <w:marRight w:val="0"/>
              <w:marTop w:val="0"/>
              <w:marBottom w:val="0"/>
              <w:divBdr>
                <w:top w:val="none" w:sz="0" w:space="0" w:color="auto"/>
                <w:left w:val="none" w:sz="0" w:space="0" w:color="auto"/>
                <w:bottom w:val="none" w:sz="0" w:space="0" w:color="auto"/>
                <w:right w:val="none" w:sz="0" w:space="0" w:color="auto"/>
              </w:divBdr>
              <w:divsChild>
                <w:div w:id="1330519024">
                  <w:marLeft w:val="439"/>
                  <w:marRight w:val="0"/>
                  <w:marTop w:val="0"/>
                  <w:marBottom w:val="0"/>
                  <w:divBdr>
                    <w:top w:val="none" w:sz="0" w:space="0" w:color="auto"/>
                    <w:left w:val="none" w:sz="0" w:space="0" w:color="auto"/>
                    <w:bottom w:val="none" w:sz="0" w:space="0" w:color="auto"/>
                    <w:right w:val="none" w:sz="0" w:space="0" w:color="auto"/>
                  </w:divBdr>
                  <w:divsChild>
                    <w:div w:id="190190516">
                      <w:marLeft w:val="0"/>
                      <w:marRight w:val="0"/>
                      <w:marTop w:val="0"/>
                      <w:marBottom w:val="0"/>
                      <w:divBdr>
                        <w:top w:val="none" w:sz="0" w:space="0" w:color="auto"/>
                        <w:left w:val="none" w:sz="0" w:space="0" w:color="auto"/>
                        <w:bottom w:val="none" w:sz="0" w:space="0" w:color="auto"/>
                        <w:right w:val="none" w:sz="0" w:space="0" w:color="auto"/>
                      </w:divBdr>
                      <w:divsChild>
                        <w:div w:id="726224798">
                          <w:marLeft w:val="0"/>
                          <w:marRight w:val="0"/>
                          <w:marTop w:val="0"/>
                          <w:marBottom w:val="0"/>
                          <w:divBdr>
                            <w:top w:val="none" w:sz="0" w:space="0" w:color="auto"/>
                            <w:left w:val="none" w:sz="0" w:space="0" w:color="auto"/>
                            <w:bottom w:val="none" w:sz="0" w:space="0" w:color="auto"/>
                            <w:right w:val="none" w:sz="0" w:space="0" w:color="auto"/>
                          </w:divBdr>
                        </w:div>
                        <w:div w:id="1968389638">
                          <w:marLeft w:val="176"/>
                          <w:marRight w:val="0"/>
                          <w:marTop w:val="0"/>
                          <w:marBottom w:val="0"/>
                          <w:divBdr>
                            <w:top w:val="none" w:sz="0" w:space="0" w:color="auto"/>
                            <w:left w:val="none" w:sz="0" w:space="0" w:color="auto"/>
                            <w:bottom w:val="none" w:sz="0" w:space="0" w:color="auto"/>
                            <w:right w:val="none" w:sz="0" w:space="0" w:color="auto"/>
                          </w:divBdr>
                        </w:div>
                      </w:divsChild>
                    </w:div>
                    <w:div w:id="1136534042">
                      <w:marLeft w:val="0"/>
                      <w:marRight w:val="0"/>
                      <w:marTop w:val="0"/>
                      <w:marBottom w:val="0"/>
                      <w:divBdr>
                        <w:top w:val="none" w:sz="0" w:space="0" w:color="auto"/>
                        <w:left w:val="none" w:sz="0" w:space="0" w:color="auto"/>
                        <w:bottom w:val="none" w:sz="0" w:space="0" w:color="auto"/>
                        <w:right w:val="none" w:sz="0" w:space="0" w:color="auto"/>
                      </w:divBdr>
                      <w:divsChild>
                        <w:div w:id="552423755">
                          <w:marLeft w:val="176"/>
                          <w:marRight w:val="0"/>
                          <w:marTop w:val="0"/>
                          <w:marBottom w:val="0"/>
                          <w:divBdr>
                            <w:top w:val="none" w:sz="0" w:space="0" w:color="auto"/>
                            <w:left w:val="none" w:sz="0" w:space="0" w:color="auto"/>
                            <w:bottom w:val="none" w:sz="0" w:space="0" w:color="auto"/>
                            <w:right w:val="none" w:sz="0" w:space="0" w:color="auto"/>
                          </w:divBdr>
                        </w:div>
                        <w:div w:id="1117945365">
                          <w:marLeft w:val="0"/>
                          <w:marRight w:val="0"/>
                          <w:marTop w:val="0"/>
                          <w:marBottom w:val="0"/>
                          <w:divBdr>
                            <w:top w:val="none" w:sz="0" w:space="0" w:color="auto"/>
                            <w:left w:val="none" w:sz="0" w:space="0" w:color="auto"/>
                            <w:bottom w:val="none" w:sz="0" w:space="0" w:color="auto"/>
                            <w:right w:val="none" w:sz="0" w:space="0" w:color="auto"/>
                          </w:divBdr>
                        </w:div>
                      </w:divsChild>
                    </w:div>
                    <w:div w:id="1287928100">
                      <w:marLeft w:val="0"/>
                      <w:marRight w:val="0"/>
                      <w:marTop w:val="0"/>
                      <w:marBottom w:val="0"/>
                      <w:divBdr>
                        <w:top w:val="none" w:sz="0" w:space="0" w:color="auto"/>
                        <w:left w:val="none" w:sz="0" w:space="0" w:color="auto"/>
                        <w:bottom w:val="none" w:sz="0" w:space="0" w:color="auto"/>
                        <w:right w:val="none" w:sz="0" w:space="0" w:color="auto"/>
                      </w:divBdr>
                      <w:divsChild>
                        <w:div w:id="689844386">
                          <w:marLeft w:val="176"/>
                          <w:marRight w:val="0"/>
                          <w:marTop w:val="0"/>
                          <w:marBottom w:val="0"/>
                          <w:divBdr>
                            <w:top w:val="none" w:sz="0" w:space="0" w:color="auto"/>
                            <w:left w:val="none" w:sz="0" w:space="0" w:color="auto"/>
                            <w:bottom w:val="none" w:sz="0" w:space="0" w:color="auto"/>
                            <w:right w:val="none" w:sz="0" w:space="0" w:color="auto"/>
                          </w:divBdr>
                        </w:div>
                        <w:div w:id="1802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04310">
      <w:bodyDiv w:val="1"/>
      <w:marLeft w:val="0"/>
      <w:marRight w:val="0"/>
      <w:marTop w:val="0"/>
      <w:marBottom w:val="0"/>
      <w:divBdr>
        <w:top w:val="none" w:sz="0" w:space="0" w:color="auto"/>
        <w:left w:val="none" w:sz="0" w:space="0" w:color="auto"/>
        <w:bottom w:val="none" w:sz="0" w:space="0" w:color="auto"/>
        <w:right w:val="none" w:sz="0" w:space="0" w:color="auto"/>
      </w:divBdr>
    </w:div>
    <w:div w:id="1060641524">
      <w:bodyDiv w:val="1"/>
      <w:marLeft w:val="0"/>
      <w:marRight w:val="0"/>
      <w:marTop w:val="0"/>
      <w:marBottom w:val="0"/>
      <w:divBdr>
        <w:top w:val="none" w:sz="0" w:space="0" w:color="auto"/>
        <w:left w:val="none" w:sz="0" w:space="0" w:color="auto"/>
        <w:bottom w:val="none" w:sz="0" w:space="0" w:color="auto"/>
        <w:right w:val="none" w:sz="0" w:space="0" w:color="auto"/>
      </w:divBdr>
      <w:divsChild>
        <w:div w:id="1540360598">
          <w:marLeft w:val="0"/>
          <w:marRight w:val="0"/>
          <w:marTop w:val="0"/>
          <w:marBottom w:val="0"/>
          <w:divBdr>
            <w:top w:val="single" w:sz="24" w:space="8" w:color="339999"/>
            <w:left w:val="single" w:sz="24" w:space="8" w:color="339999"/>
            <w:bottom w:val="single" w:sz="24" w:space="8" w:color="339999"/>
            <w:right w:val="single" w:sz="24" w:space="8" w:color="339999"/>
          </w:divBdr>
          <w:divsChild>
            <w:div w:id="883178443">
              <w:marLeft w:val="0"/>
              <w:marRight w:val="0"/>
              <w:marTop w:val="0"/>
              <w:marBottom w:val="0"/>
              <w:divBdr>
                <w:top w:val="none" w:sz="0" w:space="0" w:color="auto"/>
                <w:left w:val="none" w:sz="0" w:space="0" w:color="auto"/>
                <w:bottom w:val="none" w:sz="0" w:space="0" w:color="auto"/>
                <w:right w:val="none" w:sz="0" w:space="0" w:color="auto"/>
              </w:divBdr>
              <w:divsChild>
                <w:div w:id="281230038">
                  <w:marLeft w:val="439"/>
                  <w:marRight w:val="0"/>
                  <w:marTop w:val="0"/>
                  <w:marBottom w:val="0"/>
                  <w:divBdr>
                    <w:top w:val="none" w:sz="0" w:space="0" w:color="auto"/>
                    <w:left w:val="none" w:sz="0" w:space="0" w:color="auto"/>
                    <w:bottom w:val="none" w:sz="0" w:space="0" w:color="auto"/>
                    <w:right w:val="none" w:sz="0" w:space="0" w:color="auto"/>
                  </w:divBdr>
                  <w:divsChild>
                    <w:div w:id="26880501">
                      <w:marLeft w:val="0"/>
                      <w:marRight w:val="0"/>
                      <w:marTop w:val="0"/>
                      <w:marBottom w:val="0"/>
                      <w:divBdr>
                        <w:top w:val="none" w:sz="0" w:space="0" w:color="auto"/>
                        <w:left w:val="none" w:sz="0" w:space="0" w:color="auto"/>
                        <w:bottom w:val="none" w:sz="0" w:space="0" w:color="auto"/>
                        <w:right w:val="none" w:sz="0" w:space="0" w:color="auto"/>
                      </w:divBdr>
                      <w:divsChild>
                        <w:div w:id="1779904822">
                          <w:marLeft w:val="0"/>
                          <w:marRight w:val="0"/>
                          <w:marTop w:val="0"/>
                          <w:marBottom w:val="0"/>
                          <w:divBdr>
                            <w:top w:val="none" w:sz="0" w:space="0" w:color="auto"/>
                            <w:left w:val="none" w:sz="0" w:space="0" w:color="auto"/>
                            <w:bottom w:val="none" w:sz="0" w:space="0" w:color="auto"/>
                            <w:right w:val="none" w:sz="0" w:space="0" w:color="auto"/>
                          </w:divBdr>
                        </w:div>
                        <w:div w:id="2049407208">
                          <w:marLeft w:val="176"/>
                          <w:marRight w:val="0"/>
                          <w:marTop w:val="0"/>
                          <w:marBottom w:val="0"/>
                          <w:divBdr>
                            <w:top w:val="none" w:sz="0" w:space="0" w:color="auto"/>
                            <w:left w:val="none" w:sz="0" w:space="0" w:color="auto"/>
                            <w:bottom w:val="none" w:sz="0" w:space="0" w:color="auto"/>
                            <w:right w:val="none" w:sz="0" w:space="0" w:color="auto"/>
                          </w:divBdr>
                        </w:div>
                      </w:divsChild>
                    </w:div>
                    <w:div w:id="237985319">
                      <w:marLeft w:val="0"/>
                      <w:marRight w:val="0"/>
                      <w:marTop w:val="0"/>
                      <w:marBottom w:val="0"/>
                      <w:divBdr>
                        <w:top w:val="none" w:sz="0" w:space="0" w:color="auto"/>
                        <w:left w:val="none" w:sz="0" w:space="0" w:color="auto"/>
                        <w:bottom w:val="none" w:sz="0" w:space="0" w:color="auto"/>
                        <w:right w:val="none" w:sz="0" w:space="0" w:color="auto"/>
                      </w:divBdr>
                      <w:divsChild>
                        <w:div w:id="866716026">
                          <w:marLeft w:val="176"/>
                          <w:marRight w:val="0"/>
                          <w:marTop w:val="0"/>
                          <w:marBottom w:val="0"/>
                          <w:divBdr>
                            <w:top w:val="none" w:sz="0" w:space="0" w:color="auto"/>
                            <w:left w:val="none" w:sz="0" w:space="0" w:color="auto"/>
                            <w:bottom w:val="none" w:sz="0" w:space="0" w:color="auto"/>
                            <w:right w:val="none" w:sz="0" w:space="0" w:color="auto"/>
                          </w:divBdr>
                        </w:div>
                        <w:div w:id="1003124325">
                          <w:marLeft w:val="0"/>
                          <w:marRight w:val="0"/>
                          <w:marTop w:val="0"/>
                          <w:marBottom w:val="0"/>
                          <w:divBdr>
                            <w:top w:val="none" w:sz="0" w:space="0" w:color="auto"/>
                            <w:left w:val="none" w:sz="0" w:space="0" w:color="auto"/>
                            <w:bottom w:val="none" w:sz="0" w:space="0" w:color="auto"/>
                            <w:right w:val="none" w:sz="0" w:space="0" w:color="auto"/>
                          </w:divBdr>
                        </w:div>
                      </w:divsChild>
                    </w:div>
                    <w:div w:id="904410031">
                      <w:marLeft w:val="0"/>
                      <w:marRight w:val="0"/>
                      <w:marTop w:val="0"/>
                      <w:marBottom w:val="0"/>
                      <w:divBdr>
                        <w:top w:val="none" w:sz="0" w:space="0" w:color="auto"/>
                        <w:left w:val="none" w:sz="0" w:space="0" w:color="auto"/>
                        <w:bottom w:val="none" w:sz="0" w:space="0" w:color="auto"/>
                        <w:right w:val="none" w:sz="0" w:space="0" w:color="auto"/>
                      </w:divBdr>
                      <w:divsChild>
                        <w:div w:id="1171414846">
                          <w:marLeft w:val="0"/>
                          <w:marRight w:val="0"/>
                          <w:marTop w:val="0"/>
                          <w:marBottom w:val="0"/>
                          <w:divBdr>
                            <w:top w:val="none" w:sz="0" w:space="0" w:color="auto"/>
                            <w:left w:val="none" w:sz="0" w:space="0" w:color="auto"/>
                            <w:bottom w:val="none" w:sz="0" w:space="0" w:color="auto"/>
                            <w:right w:val="none" w:sz="0" w:space="0" w:color="auto"/>
                          </w:divBdr>
                        </w:div>
                        <w:div w:id="1771928853">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 w:id="624241779">
                  <w:marLeft w:val="0"/>
                  <w:marRight w:val="0"/>
                  <w:marTop w:val="0"/>
                  <w:marBottom w:val="0"/>
                  <w:divBdr>
                    <w:top w:val="none" w:sz="0" w:space="0" w:color="auto"/>
                    <w:left w:val="none" w:sz="0" w:space="0" w:color="auto"/>
                    <w:bottom w:val="none" w:sz="0" w:space="0" w:color="auto"/>
                    <w:right w:val="none" w:sz="0" w:space="0" w:color="auto"/>
                  </w:divBdr>
                </w:div>
              </w:divsChild>
            </w:div>
            <w:div w:id="1813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4453">
      <w:bodyDiv w:val="1"/>
      <w:marLeft w:val="0"/>
      <w:marRight w:val="0"/>
      <w:marTop w:val="0"/>
      <w:marBottom w:val="0"/>
      <w:divBdr>
        <w:top w:val="none" w:sz="0" w:space="0" w:color="auto"/>
        <w:left w:val="none" w:sz="0" w:space="0" w:color="auto"/>
        <w:bottom w:val="none" w:sz="0" w:space="0" w:color="auto"/>
        <w:right w:val="none" w:sz="0" w:space="0" w:color="auto"/>
      </w:divBdr>
    </w:div>
    <w:div w:id="119461253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340230093">
      <w:bodyDiv w:val="1"/>
      <w:marLeft w:val="0"/>
      <w:marRight w:val="0"/>
      <w:marTop w:val="0"/>
      <w:marBottom w:val="0"/>
      <w:divBdr>
        <w:top w:val="none" w:sz="0" w:space="0" w:color="auto"/>
        <w:left w:val="none" w:sz="0" w:space="0" w:color="auto"/>
        <w:bottom w:val="none" w:sz="0" w:space="0" w:color="auto"/>
        <w:right w:val="none" w:sz="0" w:space="0" w:color="auto"/>
      </w:divBdr>
      <w:divsChild>
        <w:div w:id="24603434">
          <w:marLeft w:val="0"/>
          <w:marRight w:val="0"/>
          <w:marTop w:val="0"/>
          <w:marBottom w:val="0"/>
          <w:divBdr>
            <w:top w:val="single" w:sz="24" w:space="8" w:color="339999"/>
            <w:left w:val="single" w:sz="24" w:space="8" w:color="339999"/>
            <w:bottom w:val="single" w:sz="24" w:space="8" w:color="339999"/>
            <w:right w:val="single" w:sz="24" w:space="8" w:color="339999"/>
          </w:divBdr>
          <w:divsChild>
            <w:div w:id="967322022">
              <w:marLeft w:val="0"/>
              <w:marRight w:val="0"/>
              <w:marTop w:val="0"/>
              <w:marBottom w:val="0"/>
              <w:divBdr>
                <w:top w:val="none" w:sz="0" w:space="0" w:color="auto"/>
                <w:left w:val="none" w:sz="0" w:space="0" w:color="auto"/>
                <w:bottom w:val="none" w:sz="0" w:space="0" w:color="auto"/>
                <w:right w:val="none" w:sz="0" w:space="0" w:color="auto"/>
              </w:divBdr>
              <w:divsChild>
                <w:div w:id="447627734">
                  <w:marLeft w:val="0"/>
                  <w:marRight w:val="0"/>
                  <w:marTop w:val="0"/>
                  <w:marBottom w:val="0"/>
                  <w:divBdr>
                    <w:top w:val="none" w:sz="0" w:space="0" w:color="auto"/>
                    <w:left w:val="none" w:sz="0" w:space="0" w:color="auto"/>
                    <w:bottom w:val="none" w:sz="0" w:space="0" w:color="auto"/>
                    <w:right w:val="none" w:sz="0" w:space="0" w:color="auto"/>
                  </w:divBdr>
                </w:div>
                <w:div w:id="1362128458">
                  <w:marLeft w:val="439"/>
                  <w:marRight w:val="0"/>
                  <w:marTop w:val="0"/>
                  <w:marBottom w:val="0"/>
                  <w:divBdr>
                    <w:top w:val="none" w:sz="0" w:space="0" w:color="auto"/>
                    <w:left w:val="none" w:sz="0" w:space="0" w:color="auto"/>
                    <w:bottom w:val="none" w:sz="0" w:space="0" w:color="auto"/>
                    <w:right w:val="none" w:sz="0" w:space="0" w:color="auto"/>
                  </w:divBdr>
                  <w:divsChild>
                    <w:div w:id="158230654">
                      <w:marLeft w:val="0"/>
                      <w:marRight w:val="0"/>
                      <w:marTop w:val="0"/>
                      <w:marBottom w:val="0"/>
                      <w:divBdr>
                        <w:top w:val="none" w:sz="0" w:space="0" w:color="auto"/>
                        <w:left w:val="none" w:sz="0" w:space="0" w:color="auto"/>
                        <w:bottom w:val="none" w:sz="0" w:space="0" w:color="auto"/>
                        <w:right w:val="none" w:sz="0" w:space="0" w:color="auto"/>
                      </w:divBdr>
                      <w:divsChild>
                        <w:div w:id="1088887980">
                          <w:marLeft w:val="176"/>
                          <w:marRight w:val="0"/>
                          <w:marTop w:val="0"/>
                          <w:marBottom w:val="0"/>
                          <w:divBdr>
                            <w:top w:val="none" w:sz="0" w:space="0" w:color="auto"/>
                            <w:left w:val="none" w:sz="0" w:space="0" w:color="auto"/>
                            <w:bottom w:val="none" w:sz="0" w:space="0" w:color="auto"/>
                            <w:right w:val="none" w:sz="0" w:space="0" w:color="auto"/>
                          </w:divBdr>
                        </w:div>
                        <w:div w:id="2046052102">
                          <w:marLeft w:val="0"/>
                          <w:marRight w:val="0"/>
                          <w:marTop w:val="0"/>
                          <w:marBottom w:val="0"/>
                          <w:divBdr>
                            <w:top w:val="none" w:sz="0" w:space="0" w:color="auto"/>
                            <w:left w:val="none" w:sz="0" w:space="0" w:color="auto"/>
                            <w:bottom w:val="none" w:sz="0" w:space="0" w:color="auto"/>
                            <w:right w:val="none" w:sz="0" w:space="0" w:color="auto"/>
                          </w:divBdr>
                        </w:div>
                      </w:divsChild>
                    </w:div>
                    <w:div w:id="661156737">
                      <w:marLeft w:val="0"/>
                      <w:marRight w:val="0"/>
                      <w:marTop w:val="0"/>
                      <w:marBottom w:val="0"/>
                      <w:divBdr>
                        <w:top w:val="none" w:sz="0" w:space="0" w:color="auto"/>
                        <w:left w:val="none" w:sz="0" w:space="0" w:color="auto"/>
                        <w:bottom w:val="none" w:sz="0" w:space="0" w:color="auto"/>
                        <w:right w:val="none" w:sz="0" w:space="0" w:color="auto"/>
                      </w:divBdr>
                      <w:divsChild>
                        <w:div w:id="1012418671">
                          <w:marLeft w:val="0"/>
                          <w:marRight w:val="0"/>
                          <w:marTop w:val="0"/>
                          <w:marBottom w:val="0"/>
                          <w:divBdr>
                            <w:top w:val="none" w:sz="0" w:space="0" w:color="auto"/>
                            <w:left w:val="none" w:sz="0" w:space="0" w:color="auto"/>
                            <w:bottom w:val="none" w:sz="0" w:space="0" w:color="auto"/>
                            <w:right w:val="none" w:sz="0" w:space="0" w:color="auto"/>
                          </w:divBdr>
                        </w:div>
                        <w:div w:id="1453981754">
                          <w:marLeft w:val="176"/>
                          <w:marRight w:val="0"/>
                          <w:marTop w:val="0"/>
                          <w:marBottom w:val="0"/>
                          <w:divBdr>
                            <w:top w:val="none" w:sz="0" w:space="0" w:color="auto"/>
                            <w:left w:val="none" w:sz="0" w:space="0" w:color="auto"/>
                            <w:bottom w:val="none" w:sz="0" w:space="0" w:color="auto"/>
                            <w:right w:val="none" w:sz="0" w:space="0" w:color="auto"/>
                          </w:divBdr>
                        </w:div>
                      </w:divsChild>
                    </w:div>
                    <w:div w:id="1271010105">
                      <w:marLeft w:val="0"/>
                      <w:marRight w:val="0"/>
                      <w:marTop w:val="0"/>
                      <w:marBottom w:val="0"/>
                      <w:divBdr>
                        <w:top w:val="none" w:sz="0" w:space="0" w:color="auto"/>
                        <w:left w:val="none" w:sz="0" w:space="0" w:color="auto"/>
                        <w:bottom w:val="none" w:sz="0" w:space="0" w:color="auto"/>
                        <w:right w:val="none" w:sz="0" w:space="0" w:color="auto"/>
                      </w:divBdr>
                      <w:divsChild>
                        <w:div w:id="378478870">
                          <w:marLeft w:val="176"/>
                          <w:marRight w:val="0"/>
                          <w:marTop w:val="0"/>
                          <w:marBottom w:val="0"/>
                          <w:divBdr>
                            <w:top w:val="none" w:sz="0" w:space="0" w:color="auto"/>
                            <w:left w:val="none" w:sz="0" w:space="0" w:color="auto"/>
                            <w:bottom w:val="none" w:sz="0" w:space="0" w:color="auto"/>
                            <w:right w:val="none" w:sz="0" w:space="0" w:color="auto"/>
                          </w:divBdr>
                        </w:div>
                        <w:div w:id="11161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50907">
      <w:bodyDiv w:val="1"/>
      <w:marLeft w:val="0"/>
      <w:marRight w:val="0"/>
      <w:marTop w:val="0"/>
      <w:marBottom w:val="0"/>
      <w:divBdr>
        <w:top w:val="none" w:sz="0" w:space="0" w:color="auto"/>
        <w:left w:val="none" w:sz="0" w:space="0" w:color="auto"/>
        <w:bottom w:val="none" w:sz="0" w:space="0" w:color="auto"/>
        <w:right w:val="none" w:sz="0" w:space="0" w:color="auto"/>
      </w:divBdr>
      <w:divsChild>
        <w:div w:id="1859005852">
          <w:marLeft w:val="0"/>
          <w:marRight w:val="0"/>
          <w:marTop w:val="0"/>
          <w:marBottom w:val="0"/>
          <w:divBdr>
            <w:top w:val="single" w:sz="24" w:space="8" w:color="339999"/>
            <w:left w:val="single" w:sz="24" w:space="8" w:color="339999"/>
            <w:bottom w:val="single" w:sz="24" w:space="8" w:color="339999"/>
            <w:right w:val="single" w:sz="24" w:space="8" w:color="339999"/>
          </w:divBdr>
          <w:divsChild>
            <w:div w:id="60180290">
              <w:marLeft w:val="0"/>
              <w:marRight w:val="0"/>
              <w:marTop w:val="0"/>
              <w:marBottom w:val="0"/>
              <w:divBdr>
                <w:top w:val="none" w:sz="0" w:space="0" w:color="auto"/>
                <w:left w:val="none" w:sz="0" w:space="0" w:color="auto"/>
                <w:bottom w:val="none" w:sz="0" w:space="0" w:color="auto"/>
                <w:right w:val="none" w:sz="0" w:space="0" w:color="auto"/>
              </w:divBdr>
              <w:divsChild>
                <w:div w:id="379330279">
                  <w:marLeft w:val="439"/>
                  <w:marRight w:val="0"/>
                  <w:marTop w:val="0"/>
                  <w:marBottom w:val="0"/>
                  <w:divBdr>
                    <w:top w:val="none" w:sz="0" w:space="0" w:color="auto"/>
                    <w:left w:val="none" w:sz="0" w:space="0" w:color="auto"/>
                    <w:bottom w:val="none" w:sz="0" w:space="0" w:color="auto"/>
                    <w:right w:val="none" w:sz="0" w:space="0" w:color="auto"/>
                  </w:divBdr>
                  <w:divsChild>
                    <w:div w:id="382872149">
                      <w:marLeft w:val="0"/>
                      <w:marRight w:val="0"/>
                      <w:marTop w:val="0"/>
                      <w:marBottom w:val="0"/>
                      <w:divBdr>
                        <w:top w:val="none" w:sz="0" w:space="0" w:color="auto"/>
                        <w:left w:val="none" w:sz="0" w:space="0" w:color="auto"/>
                        <w:bottom w:val="none" w:sz="0" w:space="0" w:color="auto"/>
                        <w:right w:val="none" w:sz="0" w:space="0" w:color="auto"/>
                      </w:divBdr>
                      <w:divsChild>
                        <w:div w:id="945575985">
                          <w:marLeft w:val="0"/>
                          <w:marRight w:val="0"/>
                          <w:marTop w:val="0"/>
                          <w:marBottom w:val="0"/>
                          <w:divBdr>
                            <w:top w:val="none" w:sz="0" w:space="0" w:color="auto"/>
                            <w:left w:val="none" w:sz="0" w:space="0" w:color="auto"/>
                            <w:bottom w:val="none" w:sz="0" w:space="0" w:color="auto"/>
                            <w:right w:val="none" w:sz="0" w:space="0" w:color="auto"/>
                          </w:divBdr>
                        </w:div>
                        <w:div w:id="2080395127">
                          <w:marLeft w:val="176"/>
                          <w:marRight w:val="0"/>
                          <w:marTop w:val="0"/>
                          <w:marBottom w:val="0"/>
                          <w:divBdr>
                            <w:top w:val="none" w:sz="0" w:space="0" w:color="auto"/>
                            <w:left w:val="none" w:sz="0" w:space="0" w:color="auto"/>
                            <w:bottom w:val="none" w:sz="0" w:space="0" w:color="auto"/>
                            <w:right w:val="none" w:sz="0" w:space="0" w:color="auto"/>
                          </w:divBdr>
                        </w:div>
                      </w:divsChild>
                    </w:div>
                    <w:div w:id="881747279">
                      <w:marLeft w:val="0"/>
                      <w:marRight w:val="0"/>
                      <w:marTop w:val="0"/>
                      <w:marBottom w:val="0"/>
                      <w:divBdr>
                        <w:top w:val="none" w:sz="0" w:space="0" w:color="auto"/>
                        <w:left w:val="none" w:sz="0" w:space="0" w:color="auto"/>
                        <w:bottom w:val="none" w:sz="0" w:space="0" w:color="auto"/>
                        <w:right w:val="none" w:sz="0" w:space="0" w:color="auto"/>
                      </w:divBdr>
                      <w:divsChild>
                        <w:div w:id="1400860">
                          <w:marLeft w:val="176"/>
                          <w:marRight w:val="0"/>
                          <w:marTop w:val="0"/>
                          <w:marBottom w:val="0"/>
                          <w:divBdr>
                            <w:top w:val="none" w:sz="0" w:space="0" w:color="auto"/>
                            <w:left w:val="none" w:sz="0" w:space="0" w:color="auto"/>
                            <w:bottom w:val="none" w:sz="0" w:space="0" w:color="auto"/>
                            <w:right w:val="none" w:sz="0" w:space="0" w:color="auto"/>
                          </w:divBdr>
                        </w:div>
                        <w:div w:id="63265248">
                          <w:marLeft w:val="0"/>
                          <w:marRight w:val="0"/>
                          <w:marTop w:val="0"/>
                          <w:marBottom w:val="0"/>
                          <w:divBdr>
                            <w:top w:val="none" w:sz="0" w:space="0" w:color="auto"/>
                            <w:left w:val="none" w:sz="0" w:space="0" w:color="auto"/>
                            <w:bottom w:val="none" w:sz="0" w:space="0" w:color="auto"/>
                            <w:right w:val="none" w:sz="0" w:space="0" w:color="auto"/>
                          </w:divBdr>
                        </w:div>
                      </w:divsChild>
                    </w:div>
                    <w:div w:id="1727610128">
                      <w:marLeft w:val="0"/>
                      <w:marRight w:val="0"/>
                      <w:marTop w:val="0"/>
                      <w:marBottom w:val="0"/>
                      <w:divBdr>
                        <w:top w:val="none" w:sz="0" w:space="0" w:color="auto"/>
                        <w:left w:val="none" w:sz="0" w:space="0" w:color="auto"/>
                        <w:bottom w:val="none" w:sz="0" w:space="0" w:color="auto"/>
                        <w:right w:val="none" w:sz="0" w:space="0" w:color="auto"/>
                      </w:divBdr>
                      <w:divsChild>
                        <w:div w:id="744641921">
                          <w:marLeft w:val="176"/>
                          <w:marRight w:val="0"/>
                          <w:marTop w:val="0"/>
                          <w:marBottom w:val="0"/>
                          <w:divBdr>
                            <w:top w:val="none" w:sz="0" w:space="0" w:color="auto"/>
                            <w:left w:val="none" w:sz="0" w:space="0" w:color="auto"/>
                            <w:bottom w:val="none" w:sz="0" w:space="0" w:color="auto"/>
                            <w:right w:val="none" w:sz="0" w:space="0" w:color="auto"/>
                          </w:divBdr>
                        </w:div>
                        <w:div w:id="9645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6988">
                  <w:marLeft w:val="0"/>
                  <w:marRight w:val="0"/>
                  <w:marTop w:val="0"/>
                  <w:marBottom w:val="0"/>
                  <w:divBdr>
                    <w:top w:val="none" w:sz="0" w:space="0" w:color="auto"/>
                    <w:left w:val="none" w:sz="0" w:space="0" w:color="auto"/>
                    <w:bottom w:val="none" w:sz="0" w:space="0" w:color="auto"/>
                    <w:right w:val="none" w:sz="0" w:space="0" w:color="auto"/>
                  </w:divBdr>
                </w:div>
              </w:divsChild>
            </w:div>
            <w:div w:id="10090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41177">
      <w:bodyDiv w:val="1"/>
      <w:marLeft w:val="0"/>
      <w:marRight w:val="0"/>
      <w:marTop w:val="0"/>
      <w:marBottom w:val="0"/>
      <w:divBdr>
        <w:top w:val="none" w:sz="0" w:space="0" w:color="auto"/>
        <w:left w:val="none" w:sz="0" w:space="0" w:color="auto"/>
        <w:bottom w:val="none" w:sz="0" w:space="0" w:color="auto"/>
        <w:right w:val="none" w:sz="0" w:space="0" w:color="auto"/>
      </w:divBdr>
    </w:div>
    <w:div w:id="1476340225">
      <w:bodyDiv w:val="1"/>
      <w:marLeft w:val="0"/>
      <w:marRight w:val="0"/>
      <w:marTop w:val="0"/>
      <w:marBottom w:val="0"/>
      <w:divBdr>
        <w:top w:val="none" w:sz="0" w:space="0" w:color="auto"/>
        <w:left w:val="none" w:sz="0" w:space="0" w:color="auto"/>
        <w:bottom w:val="none" w:sz="0" w:space="0" w:color="auto"/>
        <w:right w:val="none" w:sz="0" w:space="0" w:color="auto"/>
      </w:divBdr>
      <w:divsChild>
        <w:div w:id="1990861575">
          <w:marLeft w:val="0"/>
          <w:marRight w:val="0"/>
          <w:marTop w:val="0"/>
          <w:marBottom w:val="0"/>
          <w:divBdr>
            <w:top w:val="single" w:sz="24" w:space="8" w:color="339999"/>
            <w:left w:val="single" w:sz="24" w:space="8" w:color="339999"/>
            <w:bottom w:val="single" w:sz="24" w:space="8" w:color="339999"/>
            <w:right w:val="single" w:sz="24" w:space="8" w:color="339999"/>
          </w:divBdr>
          <w:divsChild>
            <w:div w:id="1093361677">
              <w:marLeft w:val="0"/>
              <w:marRight w:val="0"/>
              <w:marTop w:val="0"/>
              <w:marBottom w:val="0"/>
              <w:divBdr>
                <w:top w:val="none" w:sz="0" w:space="0" w:color="auto"/>
                <w:left w:val="none" w:sz="0" w:space="0" w:color="auto"/>
                <w:bottom w:val="none" w:sz="0" w:space="0" w:color="auto"/>
                <w:right w:val="none" w:sz="0" w:space="0" w:color="auto"/>
              </w:divBdr>
            </w:div>
            <w:div w:id="1796168976">
              <w:marLeft w:val="0"/>
              <w:marRight w:val="0"/>
              <w:marTop w:val="0"/>
              <w:marBottom w:val="0"/>
              <w:divBdr>
                <w:top w:val="none" w:sz="0" w:space="0" w:color="auto"/>
                <w:left w:val="none" w:sz="0" w:space="0" w:color="auto"/>
                <w:bottom w:val="none" w:sz="0" w:space="0" w:color="auto"/>
                <w:right w:val="none" w:sz="0" w:space="0" w:color="auto"/>
              </w:divBdr>
              <w:divsChild>
                <w:div w:id="607929185">
                  <w:marLeft w:val="439"/>
                  <w:marRight w:val="0"/>
                  <w:marTop w:val="0"/>
                  <w:marBottom w:val="0"/>
                  <w:divBdr>
                    <w:top w:val="none" w:sz="0" w:space="0" w:color="auto"/>
                    <w:left w:val="none" w:sz="0" w:space="0" w:color="auto"/>
                    <w:bottom w:val="none" w:sz="0" w:space="0" w:color="auto"/>
                    <w:right w:val="none" w:sz="0" w:space="0" w:color="auto"/>
                  </w:divBdr>
                  <w:divsChild>
                    <w:div w:id="1203790733">
                      <w:marLeft w:val="0"/>
                      <w:marRight w:val="0"/>
                      <w:marTop w:val="0"/>
                      <w:marBottom w:val="0"/>
                      <w:divBdr>
                        <w:top w:val="none" w:sz="0" w:space="0" w:color="auto"/>
                        <w:left w:val="none" w:sz="0" w:space="0" w:color="auto"/>
                        <w:bottom w:val="none" w:sz="0" w:space="0" w:color="auto"/>
                        <w:right w:val="none" w:sz="0" w:space="0" w:color="auto"/>
                      </w:divBdr>
                      <w:divsChild>
                        <w:div w:id="207299945">
                          <w:marLeft w:val="176"/>
                          <w:marRight w:val="0"/>
                          <w:marTop w:val="0"/>
                          <w:marBottom w:val="0"/>
                          <w:divBdr>
                            <w:top w:val="none" w:sz="0" w:space="0" w:color="auto"/>
                            <w:left w:val="none" w:sz="0" w:space="0" w:color="auto"/>
                            <w:bottom w:val="none" w:sz="0" w:space="0" w:color="auto"/>
                            <w:right w:val="none" w:sz="0" w:space="0" w:color="auto"/>
                          </w:divBdr>
                        </w:div>
                        <w:div w:id="1869104370">
                          <w:marLeft w:val="0"/>
                          <w:marRight w:val="0"/>
                          <w:marTop w:val="0"/>
                          <w:marBottom w:val="0"/>
                          <w:divBdr>
                            <w:top w:val="none" w:sz="0" w:space="0" w:color="auto"/>
                            <w:left w:val="none" w:sz="0" w:space="0" w:color="auto"/>
                            <w:bottom w:val="none" w:sz="0" w:space="0" w:color="auto"/>
                            <w:right w:val="none" w:sz="0" w:space="0" w:color="auto"/>
                          </w:divBdr>
                        </w:div>
                      </w:divsChild>
                    </w:div>
                    <w:div w:id="2097631412">
                      <w:marLeft w:val="0"/>
                      <w:marRight w:val="0"/>
                      <w:marTop w:val="0"/>
                      <w:marBottom w:val="0"/>
                      <w:divBdr>
                        <w:top w:val="none" w:sz="0" w:space="0" w:color="auto"/>
                        <w:left w:val="none" w:sz="0" w:space="0" w:color="auto"/>
                        <w:bottom w:val="none" w:sz="0" w:space="0" w:color="auto"/>
                        <w:right w:val="none" w:sz="0" w:space="0" w:color="auto"/>
                      </w:divBdr>
                      <w:divsChild>
                        <w:div w:id="147795814">
                          <w:marLeft w:val="176"/>
                          <w:marRight w:val="0"/>
                          <w:marTop w:val="0"/>
                          <w:marBottom w:val="0"/>
                          <w:divBdr>
                            <w:top w:val="none" w:sz="0" w:space="0" w:color="auto"/>
                            <w:left w:val="none" w:sz="0" w:space="0" w:color="auto"/>
                            <w:bottom w:val="none" w:sz="0" w:space="0" w:color="auto"/>
                            <w:right w:val="none" w:sz="0" w:space="0" w:color="auto"/>
                          </w:divBdr>
                        </w:div>
                        <w:div w:id="936210493">
                          <w:marLeft w:val="0"/>
                          <w:marRight w:val="0"/>
                          <w:marTop w:val="0"/>
                          <w:marBottom w:val="0"/>
                          <w:divBdr>
                            <w:top w:val="none" w:sz="0" w:space="0" w:color="auto"/>
                            <w:left w:val="none" w:sz="0" w:space="0" w:color="auto"/>
                            <w:bottom w:val="none" w:sz="0" w:space="0" w:color="auto"/>
                            <w:right w:val="none" w:sz="0" w:space="0" w:color="auto"/>
                          </w:divBdr>
                        </w:div>
                      </w:divsChild>
                    </w:div>
                    <w:div w:id="2136898181">
                      <w:marLeft w:val="0"/>
                      <w:marRight w:val="0"/>
                      <w:marTop w:val="0"/>
                      <w:marBottom w:val="0"/>
                      <w:divBdr>
                        <w:top w:val="none" w:sz="0" w:space="0" w:color="auto"/>
                        <w:left w:val="none" w:sz="0" w:space="0" w:color="auto"/>
                        <w:bottom w:val="none" w:sz="0" w:space="0" w:color="auto"/>
                        <w:right w:val="none" w:sz="0" w:space="0" w:color="auto"/>
                      </w:divBdr>
                      <w:divsChild>
                        <w:div w:id="654408439">
                          <w:marLeft w:val="176"/>
                          <w:marRight w:val="0"/>
                          <w:marTop w:val="0"/>
                          <w:marBottom w:val="0"/>
                          <w:divBdr>
                            <w:top w:val="none" w:sz="0" w:space="0" w:color="auto"/>
                            <w:left w:val="none" w:sz="0" w:space="0" w:color="auto"/>
                            <w:bottom w:val="none" w:sz="0" w:space="0" w:color="auto"/>
                            <w:right w:val="none" w:sz="0" w:space="0" w:color="auto"/>
                          </w:divBdr>
                        </w:div>
                        <w:div w:id="20707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46298">
      <w:bodyDiv w:val="1"/>
      <w:marLeft w:val="0"/>
      <w:marRight w:val="0"/>
      <w:marTop w:val="0"/>
      <w:marBottom w:val="0"/>
      <w:divBdr>
        <w:top w:val="none" w:sz="0" w:space="0" w:color="auto"/>
        <w:left w:val="none" w:sz="0" w:space="0" w:color="auto"/>
        <w:bottom w:val="none" w:sz="0" w:space="0" w:color="auto"/>
        <w:right w:val="none" w:sz="0" w:space="0" w:color="auto"/>
      </w:divBdr>
      <w:divsChild>
        <w:div w:id="2109618863">
          <w:marLeft w:val="0"/>
          <w:marRight w:val="0"/>
          <w:marTop w:val="0"/>
          <w:marBottom w:val="0"/>
          <w:divBdr>
            <w:top w:val="single" w:sz="24" w:space="8" w:color="339999"/>
            <w:left w:val="single" w:sz="24" w:space="8" w:color="339999"/>
            <w:bottom w:val="single" w:sz="24" w:space="8" w:color="339999"/>
            <w:right w:val="single" w:sz="24" w:space="8" w:color="339999"/>
          </w:divBdr>
          <w:divsChild>
            <w:div w:id="211892935">
              <w:marLeft w:val="0"/>
              <w:marRight w:val="0"/>
              <w:marTop w:val="0"/>
              <w:marBottom w:val="0"/>
              <w:divBdr>
                <w:top w:val="none" w:sz="0" w:space="0" w:color="auto"/>
                <w:left w:val="none" w:sz="0" w:space="0" w:color="auto"/>
                <w:bottom w:val="none" w:sz="0" w:space="0" w:color="auto"/>
                <w:right w:val="none" w:sz="0" w:space="0" w:color="auto"/>
              </w:divBdr>
            </w:div>
            <w:div w:id="452482131">
              <w:marLeft w:val="0"/>
              <w:marRight w:val="0"/>
              <w:marTop w:val="0"/>
              <w:marBottom w:val="0"/>
              <w:divBdr>
                <w:top w:val="none" w:sz="0" w:space="0" w:color="auto"/>
                <w:left w:val="none" w:sz="0" w:space="0" w:color="auto"/>
                <w:bottom w:val="none" w:sz="0" w:space="0" w:color="auto"/>
                <w:right w:val="none" w:sz="0" w:space="0" w:color="auto"/>
              </w:divBdr>
              <w:divsChild>
                <w:div w:id="375007048">
                  <w:marLeft w:val="439"/>
                  <w:marRight w:val="0"/>
                  <w:marTop w:val="0"/>
                  <w:marBottom w:val="0"/>
                  <w:divBdr>
                    <w:top w:val="none" w:sz="0" w:space="0" w:color="auto"/>
                    <w:left w:val="none" w:sz="0" w:space="0" w:color="auto"/>
                    <w:bottom w:val="none" w:sz="0" w:space="0" w:color="auto"/>
                    <w:right w:val="none" w:sz="0" w:space="0" w:color="auto"/>
                  </w:divBdr>
                  <w:divsChild>
                    <w:div w:id="1300921344">
                      <w:marLeft w:val="0"/>
                      <w:marRight w:val="0"/>
                      <w:marTop w:val="0"/>
                      <w:marBottom w:val="0"/>
                      <w:divBdr>
                        <w:top w:val="none" w:sz="0" w:space="0" w:color="auto"/>
                        <w:left w:val="none" w:sz="0" w:space="0" w:color="auto"/>
                        <w:bottom w:val="none" w:sz="0" w:space="0" w:color="auto"/>
                        <w:right w:val="none" w:sz="0" w:space="0" w:color="auto"/>
                      </w:divBdr>
                      <w:divsChild>
                        <w:div w:id="720792062">
                          <w:marLeft w:val="0"/>
                          <w:marRight w:val="0"/>
                          <w:marTop w:val="0"/>
                          <w:marBottom w:val="0"/>
                          <w:divBdr>
                            <w:top w:val="none" w:sz="0" w:space="0" w:color="auto"/>
                            <w:left w:val="none" w:sz="0" w:space="0" w:color="auto"/>
                            <w:bottom w:val="none" w:sz="0" w:space="0" w:color="auto"/>
                            <w:right w:val="none" w:sz="0" w:space="0" w:color="auto"/>
                          </w:divBdr>
                        </w:div>
                        <w:div w:id="1497914927">
                          <w:marLeft w:val="176"/>
                          <w:marRight w:val="0"/>
                          <w:marTop w:val="0"/>
                          <w:marBottom w:val="0"/>
                          <w:divBdr>
                            <w:top w:val="none" w:sz="0" w:space="0" w:color="auto"/>
                            <w:left w:val="none" w:sz="0" w:space="0" w:color="auto"/>
                            <w:bottom w:val="none" w:sz="0" w:space="0" w:color="auto"/>
                            <w:right w:val="none" w:sz="0" w:space="0" w:color="auto"/>
                          </w:divBdr>
                        </w:div>
                      </w:divsChild>
                    </w:div>
                    <w:div w:id="1924483363">
                      <w:marLeft w:val="0"/>
                      <w:marRight w:val="0"/>
                      <w:marTop w:val="0"/>
                      <w:marBottom w:val="0"/>
                      <w:divBdr>
                        <w:top w:val="none" w:sz="0" w:space="0" w:color="auto"/>
                        <w:left w:val="none" w:sz="0" w:space="0" w:color="auto"/>
                        <w:bottom w:val="none" w:sz="0" w:space="0" w:color="auto"/>
                        <w:right w:val="none" w:sz="0" w:space="0" w:color="auto"/>
                      </w:divBdr>
                      <w:divsChild>
                        <w:div w:id="250817158">
                          <w:marLeft w:val="176"/>
                          <w:marRight w:val="0"/>
                          <w:marTop w:val="0"/>
                          <w:marBottom w:val="0"/>
                          <w:divBdr>
                            <w:top w:val="none" w:sz="0" w:space="0" w:color="auto"/>
                            <w:left w:val="none" w:sz="0" w:space="0" w:color="auto"/>
                            <w:bottom w:val="none" w:sz="0" w:space="0" w:color="auto"/>
                            <w:right w:val="none" w:sz="0" w:space="0" w:color="auto"/>
                          </w:divBdr>
                        </w:div>
                        <w:div w:id="1106463593">
                          <w:marLeft w:val="0"/>
                          <w:marRight w:val="0"/>
                          <w:marTop w:val="0"/>
                          <w:marBottom w:val="0"/>
                          <w:divBdr>
                            <w:top w:val="none" w:sz="0" w:space="0" w:color="auto"/>
                            <w:left w:val="none" w:sz="0" w:space="0" w:color="auto"/>
                            <w:bottom w:val="none" w:sz="0" w:space="0" w:color="auto"/>
                            <w:right w:val="none" w:sz="0" w:space="0" w:color="auto"/>
                          </w:divBdr>
                        </w:div>
                      </w:divsChild>
                    </w:div>
                    <w:div w:id="2127698513">
                      <w:marLeft w:val="0"/>
                      <w:marRight w:val="0"/>
                      <w:marTop w:val="0"/>
                      <w:marBottom w:val="0"/>
                      <w:divBdr>
                        <w:top w:val="none" w:sz="0" w:space="0" w:color="auto"/>
                        <w:left w:val="none" w:sz="0" w:space="0" w:color="auto"/>
                        <w:bottom w:val="none" w:sz="0" w:space="0" w:color="auto"/>
                        <w:right w:val="none" w:sz="0" w:space="0" w:color="auto"/>
                      </w:divBdr>
                      <w:divsChild>
                        <w:div w:id="1238443808">
                          <w:marLeft w:val="176"/>
                          <w:marRight w:val="0"/>
                          <w:marTop w:val="0"/>
                          <w:marBottom w:val="0"/>
                          <w:divBdr>
                            <w:top w:val="none" w:sz="0" w:space="0" w:color="auto"/>
                            <w:left w:val="none" w:sz="0" w:space="0" w:color="auto"/>
                            <w:bottom w:val="none" w:sz="0" w:space="0" w:color="auto"/>
                            <w:right w:val="none" w:sz="0" w:space="0" w:color="auto"/>
                          </w:divBdr>
                        </w:div>
                        <w:div w:id="13353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87354">
      <w:bodyDiv w:val="1"/>
      <w:marLeft w:val="0"/>
      <w:marRight w:val="0"/>
      <w:marTop w:val="0"/>
      <w:marBottom w:val="0"/>
      <w:divBdr>
        <w:top w:val="none" w:sz="0" w:space="0" w:color="auto"/>
        <w:left w:val="none" w:sz="0" w:space="0" w:color="auto"/>
        <w:bottom w:val="none" w:sz="0" w:space="0" w:color="auto"/>
        <w:right w:val="none" w:sz="0" w:space="0" w:color="auto"/>
      </w:divBdr>
      <w:divsChild>
        <w:div w:id="1799060955">
          <w:marLeft w:val="0"/>
          <w:marRight w:val="0"/>
          <w:marTop w:val="0"/>
          <w:marBottom w:val="0"/>
          <w:divBdr>
            <w:top w:val="single" w:sz="24" w:space="8" w:color="339999"/>
            <w:left w:val="single" w:sz="24" w:space="8" w:color="339999"/>
            <w:bottom w:val="single" w:sz="24" w:space="8" w:color="339999"/>
            <w:right w:val="single" w:sz="24" w:space="8" w:color="339999"/>
          </w:divBdr>
          <w:divsChild>
            <w:div w:id="1282880959">
              <w:marLeft w:val="0"/>
              <w:marRight w:val="0"/>
              <w:marTop w:val="0"/>
              <w:marBottom w:val="0"/>
              <w:divBdr>
                <w:top w:val="none" w:sz="0" w:space="0" w:color="auto"/>
                <w:left w:val="none" w:sz="0" w:space="0" w:color="auto"/>
                <w:bottom w:val="none" w:sz="0" w:space="0" w:color="auto"/>
                <w:right w:val="none" w:sz="0" w:space="0" w:color="auto"/>
              </w:divBdr>
              <w:divsChild>
                <w:div w:id="1529874467">
                  <w:marLeft w:val="0"/>
                  <w:marRight w:val="0"/>
                  <w:marTop w:val="0"/>
                  <w:marBottom w:val="0"/>
                  <w:divBdr>
                    <w:top w:val="none" w:sz="0" w:space="0" w:color="auto"/>
                    <w:left w:val="none" w:sz="0" w:space="0" w:color="auto"/>
                    <w:bottom w:val="none" w:sz="0" w:space="0" w:color="auto"/>
                    <w:right w:val="none" w:sz="0" w:space="0" w:color="auto"/>
                  </w:divBdr>
                </w:div>
                <w:div w:id="1946034814">
                  <w:marLeft w:val="439"/>
                  <w:marRight w:val="0"/>
                  <w:marTop w:val="0"/>
                  <w:marBottom w:val="0"/>
                  <w:divBdr>
                    <w:top w:val="none" w:sz="0" w:space="0" w:color="auto"/>
                    <w:left w:val="none" w:sz="0" w:space="0" w:color="auto"/>
                    <w:bottom w:val="none" w:sz="0" w:space="0" w:color="auto"/>
                    <w:right w:val="none" w:sz="0" w:space="0" w:color="auto"/>
                  </w:divBdr>
                  <w:divsChild>
                    <w:div w:id="188376261">
                      <w:marLeft w:val="0"/>
                      <w:marRight w:val="0"/>
                      <w:marTop w:val="0"/>
                      <w:marBottom w:val="0"/>
                      <w:divBdr>
                        <w:top w:val="none" w:sz="0" w:space="0" w:color="auto"/>
                        <w:left w:val="none" w:sz="0" w:space="0" w:color="auto"/>
                        <w:bottom w:val="none" w:sz="0" w:space="0" w:color="auto"/>
                        <w:right w:val="none" w:sz="0" w:space="0" w:color="auto"/>
                      </w:divBdr>
                      <w:divsChild>
                        <w:div w:id="984817385">
                          <w:marLeft w:val="0"/>
                          <w:marRight w:val="0"/>
                          <w:marTop w:val="0"/>
                          <w:marBottom w:val="0"/>
                          <w:divBdr>
                            <w:top w:val="none" w:sz="0" w:space="0" w:color="auto"/>
                            <w:left w:val="none" w:sz="0" w:space="0" w:color="auto"/>
                            <w:bottom w:val="none" w:sz="0" w:space="0" w:color="auto"/>
                            <w:right w:val="none" w:sz="0" w:space="0" w:color="auto"/>
                          </w:divBdr>
                        </w:div>
                        <w:div w:id="1746492269">
                          <w:marLeft w:val="176"/>
                          <w:marRight w:val="0"/>
                          <w:marTop w:val="0"/>
                          <w:marBottom w:val="0"/>
                          <w:divBdr>
                            <w:top w:val="none" w:sz="0" w:space="0" w:color="auto"/>
                            <w:left w:val="none" w:sz="0" w:space="0" w:color="auto"/>
                            <w:bottom w:val="none" w:sz="0" w:space="0" w:color="auto"/>
                            <w:right w:val="none" w:sz="0" w:space="0" w:color="auto"/>
                          </w:divBdr>
                        </w:div>
                      </w:divsChild>
                    </w:div>
                    <w:div w:id="1012681938">
                      <w:marLeft w:val="0"/>
                      <w:marRight w:val="0"/>
                      <w:marTop w:val="0"/>
                      <w:marBottom w:val="0"/>
                      <w:divBdr>
                        <w:top w:val="none" w:sz="0" w:space="0" w:color="auto"/>
                        <w:left w:val="none" w:sz="0" w:space="0" w:color="auto"/>
                        <w:bottom w:val="none" w:sz="0" w:space="0" w:color="auto"/>
                        <w:right w:val="none" w:sz="0" w:space="0" w:color="auto"/>
                      </w:divBdr>
                      <w:divsChild>
                        <w:div w:id="1637024551">
                          <w:marLeft w:val="0"/>
                          <w:marRight w:val="0"/>
                          <w:marTop w:val="0"/>
                          <w:marBottom w:val="0"/>
                          <w:divBdr>
                            <w:top w:val="none" w:sz="0" w:space="0" w:color="auto"/>
                            <w:left w:val="none" w:sz="0" w:space="0" w:color="auto"/>
                            <w:bottom w:val="none" w:sz="0" w:space="0" w:color="auto"/>
                            <w:right w:val="none" w:sz="0" w:space="0" w:color="auto"/>
                          </w:divBdr>
                        </w:div>
                        <w:div w:id="1709835116">
                          <w:marLeft w:val="176"/>
                          <w:marRight w:val="0"/>
                          <w:marTop w:val="0"/>
                          <w:marBottom w:val="0"/>
                          <w:divBdr>
                            <w:top w:val="none" w:sz="0" w:space="0" w:color="auto"/>
                            <w:left w:val="none" w:sz="0" w:space="0" w:color="auto"/>
                            <w:bottom w:val="none" w:sz="0" w:space="0" w:color="auto"/>
                            <w:right w:val="none" w:sz="0" w:space="0" w:color="auto"/>
                          </w:divBdr>
                        </w:div>
                      </w:divsChild>
                    </w:div>
                    <w:div w:id="1924488731">
                      <w:marLeft w:val="0"/>
                      <w:marRight w:val="0"/>
                      <w:marTop w:val="0"/>
                      <w:marBottom w:val="0"/>
                      <w:divBdr>
                        <w:top w:val="none" w:sz="0" w:space="0" w:color="auto"/>
                        <w:left w:val="none" w:sz="0" w:space="0" w:color="auto"/>
                        <w:bottom w:val="none" w:sz="0" w:space="0" w:color="auto"/>
                        <w:right w:val="none" w:sz="0" w:space="0" w:color="auto"/>
                      </w:divBdr>
                      <w:divsChild>
                        <w:div w:id="338580489">
                          <w:marLeft w:val="176"/>
                          <w:marRight w:val="0"/>
                          <w:marTop w:val="0"/>
                          <w:marBottom w:val="0"/>
                          <w:divBdr>
                            <w:top w:val="none" w:sz="0" w:space="0" w:color="auto"/>
                            <w:left w:val="none" w:sz="0" w:space="0" w:color="auto"/>
                            <w:bottom w:val="none" w:sz="0" w:space="0" w:color="auto"/>
                            <w:right w:val="none" w:sz="0" w:space="0" w:color="auto"/>
                          </w:divBdr>
                        </w:div>
                        <w:div w:id="8531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5171">
      <w:bodyDiv w:val="1"/>
      <w:marLeft w:val="0"/>
      <w:marRight w:val="0"/>
      <w:marTop w:val="0"/>
      <w:marBottom w:val="0"/>
      <w:divBdr>
        <w:top w:val="none" w:sz="0" w:space="0" w:color="auto"/>
        <w:left w:val="none" w:sz="0" w:space="0" w:color="auto"/>
        <w:bottom w:val="none" w:sz="0" w:space="0" w:color="auto"/>
        <w:right w:val="none" w:sz="0" w:space="0" w:color="auto"/>
      </w:divBdr>
    </w:div>
    <w:div w:id="1851792922">
      <w:bodyDiv w:val="1"/>
      <w:marLeft w:val="0"/>
      <w:marRight w:val="0"/>
      <w:marTop w:val="0"/>
      <w:marBottom w:val="0"/>
      <w:divBdr>
        <w:top w:val="none" w:sz="0" w:space="0" w:color="auto"/>
        <w:left w:val="none" w:sz="0" w:space="0" w:color="auto"/>
        <w:bottom w:val="none" w:sz="0" w:space="0" w:color="auto"/>
        <w:right w:val="none" w:sz="0" w:space="0" w:color="auto"/>
      </w:divBdr>
    </w:div>
    <w:div w:id="1872452801">
      <w:bodyDiv w:val="1"/>
      <w:marLeft w:val="0"/>
      <w:marRight w:val="0"/>
      <w:marTop w:val="0"/>
      <w:marBottom w:val="0"/>
      <w:divBdr>
        <w:top w:val="none" w:sz="0" w:space="0" w:color="auto"/>
        <w:left w:val="none" w:sz="0" w:space="0" w:color="auto"/>
        <w:bottom w:val="none" w:sz="0" w:space="0" w:color="auto"/>
        <w:right w:val="none" w:sz="0" w:space="0" w:color="auto"/>
      </w:divBdr>
    </w:div>
    <w:div w:id="1902716385">
      <w:bodyDiv w:val="1"/>
      <w:marLeft w:val="0"/>
      <w:marRight w:val="0"/>
      <w:marTop w:val="0"/>
      <w:marBottom w:val="0"/>
      <w:divBdr>
        <w:top w:val="none" w:sz="0" w:space="0" w:color="auto"/>
        <w:left w:val="none" w:sz="0" w:space="0" w:color="auto"/>
        <w:bottom w:val="none" w:sz="0" w:space="0" w:color="auto"/>
        <w:right w:val="none" w:sz="0" w:space="0" w:color="auto"/>
      </w:divBdr>
      <w:divsChild>
        <w:div w:id="1075518439">
          <w:marLeft w:val="0"/>
          <w:marRight w:val="0"/>
          <w:marTop w:val="0"/>
          <w:marBottom w:val="0"/>
          <w:divBdr>
            <w:top w:val="single" w:sz="24" w:space="8" w:color="339999"/>
            <w:left w:val="single" w:sz="24" w:space="8" w:color="339999"/>
            <w:bottom w:val="single" w:sz="24" w:space="8" w:color="339999"/>
            <w:right w:val="single" w:sz="24" w:space="8" w:color="339999"/>
          </w:divBdr>
          <w:divsChild>
            <w:div w:id="285890570">
              <w:marLeft w:val="0"/>
              <w:marRight w:val="0"/>
              <w:marTop w:val="0"/>
              <w:marBottom w:val="0"/>
              <w:divBdr>
                <w:top w:val="none" w:sz="0" w:space="0" w:color="auto"/>
                <w:left w:val="none" w:sz="0" w:space="0" w:color="auto"/>
                <w:bottom w:val="none" w:sz="0" w:space="0" w:color="auto"/>
                <w:right w:val="none" w:sz="0" w:space="0" w:color="auto"/>
              </w:divBdr>
              <w:divsChild>
                <w:div w:id="713702745">
                  <w:marLeft w:val="439"/>
                  <w:marRight w:val="0"/>
                  <w:marTop w:val="0"/>
                  <w:marBottom w:val="0"/>
                  <w:divBdr>
                    <w:top w:val="none" w:sz="0" w:space="0" w:color="auto"/>
                    <w:left w:val="none" w:sz="0" w:space="0" w:color="auto"/>
                    <w:bottom w:val="none" w:sz="0" w:space="0" w:color="auto"/>
                    <w:right w:val="none" w:sz="0" w:space="0" w:color="auto"/>
                  </w:divBdr>
                  <w:divsChild>
                    <w:div w:id="235406191">
                      <w:marLeft w:val="0"/>
                      <w:marRight w:val="0"/>
                      <w:marTop w:val="0"/>
                      <w:marBottom w:val="0"/>
                      <w:divBdr>
                        <w:top w:val="none" w:sz="0" w:space="0" w:color="auto"/>
                        <w:left w:val="none" w:sz="0" w:space="0" w:color="auto"/>
                        <w:bottom w:val="none" w:sz="0" w:space="0" w:color="auto"/>
                        <w:right w:val="none" w:sz="0" w:space="0" w:color="auto"/>
                      </w:divBdr>
                      <w:divsChild>
                        <w:div w:id="269582115">
                          <w:marLeft w:val="176"/>
                          <w:marRight w:val="0"/>
                          <w:marTop w:val="0"/>
                          <w:marBottom w:val="0"/>
                          <w:divBdr>
                            <w:top w:val="none" w:sz="0" w:space="0" w:color="auto"/>
                            <w:left w:val="none" w:sz="0" w:space="0" w:color="auto"/>
                            <w:bottom w:val="none" w:sz="0" w:space="0" w:color="auto"/>
                            <w:right w:val="none" w:sz="0" w:space="0" w:color="auto"/>
                          </w:divBdr>
                        </w:div>
                        <w:div w:id="1941326603">
                          <w:marLeft w:val="0"/>
                          <w:marRight w:val="0"/>
                          <w:marTop w:val="0"/>
                          <w:marBottom w:val="0"/>
                          <w:divBdr>
                            <w:top w:val="none" w:sz="0" w:space="0" w:color="auto"/>
                            <w:left w:val="none" w:sz="0" w:space="0" w:color="auto"/>
                            <w:bottom w:val="none" w:sz="0" w:space="0" w:color="auto"/>
                            <w:right w:val="none" w:sz="0" w:space="0" w:color="auto"/>
                          </w:divBdr>
                        </w:div>
                      </w:divsChild>
                    </w:div>
                    <w:div w:id="346297103">
                      <w:marLeft w:val="0"/>
                      <w:marRight w:val="0"/>
                      <w:marTop w:val="0"/>
                      <w:marBottom w:val="0"/>
                      <w:divBdr>
                        <w:top w:val="none" w:sz="0" w:space="0" w:color="auto"/>
                        <w:left w:val="none" w:sz="0" w:space="0" w:color="auto"/>
                        <w:bottom w:val="none" w:sz="0" w:space="0" w:color="auto"/>
                        <w:right w:val="none" w:sz="0" w:space="0" w:color="auto"/>
                      </w:divBdr>
                      <w:divsChild>
                        <w:div w:id="430976998">
                          <w:marLeft w:val="176"/>
                          <w:marRight w:val="0"/>
                          <w:marTop w:val="0"/>
                          <w:marBottom w:val="0"/>
                          <w:divBdr>
                            <w:top w:val="none" w:sz="0" w:space="0" w:color="auto"/>
                            <w:left w:val="none" w:sz="0" w:space="0" w:color="auto"/>
                            <w:bottom w:val="none" w:sz="0" w:space="0" w:color="auto"/>
                            <w:right w:val="none" w:sz="0" w:space="0" w:color="auto"/>
                          </w:divBdr>
                        </w:div>
                        <w:div w:id="1729188613">
                          <w:marLeft w:val="0"/>
                          <w:marRight w:val="0"/>
                          <w:marTop w:val="0"/>
                          <w:marBottom w:val="0"/>
                          <w:divBdr>
                            <w:top w:val="none" w:sz="0" w:space="0" w:color="auto"/>
                            <w:left w:val="none" w:sz="0" w:space="0" w:color="auto"/>
                            <w:bottom w:val="none" w:sz="0" w:space="0" w:color="auto"/>
                            <w:right w:val="none" w:sz="0" w:space="0" w:color="auto"/>
                          </w:divBdr>
                        </w:div>
                      </w:divsChild>
                    </w:div>
                    <w:div w:id="1950234343">
                      <w:marLeft w:val="0"/>
                      <w:marRight w:val="0"/>
                      <w:marTop w:val="0"/>
                      <w:marBottom w:val="0"/>
                      <w:divBdr>
                        <w:top w:val="none" w:sz="0" w:space="0" w:color="auto"/>
                        <w:left w:val="none" w:sz="0" w:space="0" w:color="auto"/>
                        <w:bottom w:val="none" w:sz="0" w:space="0" w:color="auto"/>
                        <w:right w:val="none" w:sz="0" w:space="0" w:color="auto"/>
                      </w:divBdr>
                      <w:divsChild>
                        <w:div w:id="1096707656">
                          <w:marLeft w:val="176"/>
                          <w:marRight w:val="0"/>
                          <w:marTop w:val="0"/>
                          <w:marBottom w:val="0"/>
                          <w:divBdr>
                            <w:top w:val="none" w:sz="0" w:space="0" w:color="auto"/>
                            <w:left w:val="none" w:sz="0" w:space="0" w:color="auto"/>
                            <w:bottom w:val="none" w:sz="0" w:space="0" w:color="auto"/>
                            <w:right w:val="none" w:sz="0" w:space="0" w:color="auto"/>
                          </w:divBdr>
                        </w:div>
                        <w:div w:id="11244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4882">
                  <w:marLeft w:val="0"/>
                  <w:marRight w:val="0"/>
                  <w:marTop w:val="0"/>
                  <w:marBottom w:val="0"/>
                  <w:divBdr>
                    <w:top w:val="none" w:sz="0" w:space="0" w:color="auto"/>
                    <w:left w:val="none" w:sz="0" w:space="0" w:color="auto"/>
                    <w:bottom w:val="none" w:sz="0" w:space="0" w:color="auto"/>
                    <w:right w:val="none" w:sz="0" w:space="0" w:color="auto"/>
                  </w:divBdr>
                </w:div>
              </w:divsChild>
            </w:div>
            <w:div w:id="5215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4698">
      <w:bodyDiv w:val="1"/>
      <w:marLeft w:val="0"/>
      <w:marRight w:val="0"/>
      <w:marTop w:val="0"/>
      <w:marBottom w:val="0"/>
      <w:divBdr>
        <w:top w:val="none" w:sz="0" w:space="0" w:color="auto"/>
        <w:left w:val="none" w:sz="0" w:space="0" w:color="auto"/>
        <w:bottom w:val="none" w:sz="0" w:space="0" w:color="auto"/>
        <w:right w:val="none" w:sz="0" w:space="0" w:color="auto"/>
      </w:divBdr>
      <w:divsChild>
        <w:div w:id="1218249161">
          <w:marLeft w:val="0"/>
          <w:marRight w:val="0"/>
          <w:marTop w:val="0"/>
          <w:marBottom w:val="0"/>
          <w:divBdr>
            <w:top w:val="single" w:sz="24" w:space="8" w:color="339999"/>
            <w:left w:val="single" w:sz="24" w:space="8" w:color="339999"/>
            <w:bottom w:val="single" w:sz="24" w:space="8" w:color="339999"/>
            <w:right w:val="single" w:sz="24" w:space="8" w:color="339999"/>
          </w:divBdr>
          <w:divsChild>
            <w:div w:id="1723750239">
              <w:marLeft w:val="0"/>
              <w:marRight w:val="0"/>
              <w:marTop w:val="0"/>
              <w:marBottom w:val="0"/>
              <w:divBdr>
                <w:top w:val="none" w:sz="0" w:space="0" w:color="auto"/>
                <w:left w:val="none" w:sz="0" w:space="0" w:color="auto"/>
                <w:bottom w:val="none" w:sz="0" w:space="0" w:color="auto"/>
                <w:right w:val="none" w:sz="0" w:space="0" w:color="auto"/>
              </w:divBdr>
              <w:divsChild>
                <w:div w:id="210463380">
                  <w:marLeft w:val="439"/>
                  <w:marRight w:val="0"/>
                  <w:marTop w:val="0"/>
                  <w:marBottom w:val="0"/>
                  <w:divBdr>
                    <w:top w:val="none" w:sz="0" w:space="0" w:color="auto"/>
                    <w:left w:val="none" w:sz="0" w:space="0" w:color="auto"/>
                    <w:bottom w:val="none" w:sz="0" w:space="0" w:color="auto"/>
                    <w:right w:val="none" w:sz="0" w:space="0" w:color="auto"/>
                  </w:divBdr>
                  <w:divsChild>
                    <w:div w:id="174731331">
                      <w:marLeft w:val="0"/>
                      <w:marRight w:val="0"/>
                      <w:marTop w:val="0"/>
                      <w:marBottom w:val="0"/>
                      <w:divBdr>
                        <w:top w:val="none" w:sz="0" w:space="0" w:color="auto"/>
                        <w:left w:val="none" w:sz="0" w:space="0" w:color="auto"/>
                        <w:bottom w:val="none" w:sz="0" w:space="0" w:color="auto"/>
                        <w:right w:val="none" w:sz="0" w:space="0" w:color="auto"/>
                      </w:divBdr>
                      <w:divsChild>
                        <w:div w:id="527524831">
                          <w:marLeft w:val="176"/>
                          <w:marRight w:val="0"/>
                          <w:marTop w:val="0"/>
                          <w:marBottom w:val="0"/>
                          <w:divBdr>
                            <w:top w:val="none" w:sz="0" w:space="0" w:color="auto"/>
                            <w:left w:val="none" w:sz="0" w:space="0" w:color="auto"/>
                            <w:bottom w:val="none" w:sz="0" w:space="0" w:color="auto"/>
                            <w:right w:val="none" w:sz="0" w:space="0" w:color="auto"/>
                          </w:divBdr>
                        </w:div>
                        <w:div w:id="1597865380">
                          <w:marLeft w:val="0"/>
                          <w:marRight w:val="0"/>
                          <w:marTop w:val="0"/>
                          <w:marBottom w:val="0"/>
                          <w:divBdr>
                            <w:top w:val="none" w:sz="0" w:space="0" w:color="auto"/>
                            <w:left w:val="none" w:sz="0" w:space="0" w:color="auto"/>
                            <w:bottom w:val="none" w:sz="0" w:space="0" w:color="auto"/>
                            <w:right w:val="none" w:sz="0" w:space="0" w:color="auto"/>
                          </w:divBdr>
                        </w:div>
                      </w:divsChild>
                    </w:div>
                    <w:div w:id="876354540">
                      <w:marLeft w:val="0"/>
                      <w:marRight w:val="0"/>
                      <w:marTop w:val="0"/>
                      <w:marBottom w:val="0"/>
                      <w:divBdr>
                        <w:top w:val="none" w:sz="0" w:space="0" w:color="auto"/>
                        <w:left w:val="none" w:sz="0" w:space="0" w:color="auto"/>
                        <w:bottom w:val="none" w:sz="0" w:space="0" w:color="auto"/>
                        <w:right w:val="none" w:sz="0" w:space="0" w:color="auto"/>
                      </w:divBdr>
                      <w:divsChild>
                        <w:div w:id="541867021">
                          <w:marLeft w:val="0"/>
                          <w:marRight w:val="0"/>
                          <w:marTop w:val="0"/>
                          <w:marBottom w:val="0"/>
                          <w:divBdr>
                            <w:top w:val="none" w:sz="0" w:space="0" w:color="auto"/>
                            <w:left w:val="none" w:sz="0" w:space="0" w:color="auto"/>
                            <w:bottom w:val="none" w:sz="0" w:space="0" w:color="auto"/>
                            <w:right w:val="none" w:sz="0" w:space="0" w:color="auto"/>
                          </w:divBdr>
                        </w:div>
                        <w:div w:id="1465346360">
                          <w:marLeft w:val="176"/>
                          <w:marRight w:val="0"/>
                          <w:marTop w:val="0"/>
                          <w:marBottom w:val="0"/>
                          <w:divBdr>
                            <w:top w:val="none" w:sz="0" w:space="0" w:color="auto"/>
                            <w:left w:val="none" w:sz="0" w:space="0" w:color="auto"/>
                            <w:bottom w:val="none" w:sz="0" w:space="0" w:color="auto"/>
                            <w:right w:val="none" w:sz="0" w:space="0" w:color="auto"/>
                          </w:divBdr>
                        </w:div>
                      </w:divsChild>
                    </w:div>
                    <w:div w:id="1337655747">
                      <w:marLeft w:val="0"/>
                      <w:marRight w:val="0"/>
                      <w:marTop w:val="0"/>
                      <w:marBottom w:val="0"/>
                      <w:divBdr>
                        <w:top w:val="none" w:sz="0" w:space="0" w:color="auto"/>
                        <w:left w:val="none" w:sz="0" w:space="0" w:color="auto"/>
                        <w:bottom w:val="none" w:sz="0" w:space="0" w:color="auto"/>
                        <w:right w:val="none" w:sz="0" w:space="0" w:color="auto"/>
                      </w:divBdr>
                      <w:divsChild>
                        <w:div w:id="836767424">
                          <w:marLeft w:val="0"/>
                          <w:marRight w:val="0"/>
                          <w:marTop w:val="0"/>
                          <w:marBottom w:val="0"/>
                          <w:divBdr>
                            <w:top w:val="none" w:sz="0" w:space="0" w:color="auto"/>
                            <w:left w:val="none" w:sz="0" w:space="0" w:color="auto"/>
                            <w:bottom w:val="none" w:sz="0" w:space="0" w:color="auto"/>
                            <w:right w:val="none" w:sz="0" w:space="0" w:color="auto"/>
                          </w:divBdr>
                        </w:div>
                        <w:div w:id="1759013150">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 w:id="1030499317">
                  <w:marLeft w:val="0"/>
                  <w:marRight w:val="0"/>
                  <w:marTop w:val="0"/>
                  <w:marBottom w:val="0"/>
                  <w:divBdr>
                    <w:top w:val="none" w:sz="0" w:space="0" w:color="auto"/>
                    <w:left w:val="none" w:sz="0" w:space="0" w:color="auto"/>
                    <w:bottom w:val="none" w:sz="0" w:space="0" w:color="auto"/>
                    <w:right w:val="none" w:sz="0" w:space="0" w:color="auto"/>
                  </w:divBdr>
                </w:div>
              </w:divsChild>
            </w:div>
            <w:div w:id="20603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205">
      <w:bodyDiv w:val="1"/>
      <w:marLeft w:val="0"/>
      <w:marRight w:val="0"/>
      <w:marTop w:val="0"/>
      <w:marBottom w:val="0"/>
      <w:divBdr>
        <w:top w:val="none" w:sz="0" w:space="0" w:color="auto"/>
        <w:left w:val="none" w:sz="0" w:space="0" w:color="auto"/>
        <w:bottom w:val="none" w:sz="0" w:space="0" w:color="auto"/>
        <w:right w:val="none" w:sz="0" w:space="0" w:color="auto"/>
      </w:divBdr>
      <w:divsChild>
        <w:div w:id="592472048">
          <w:marLeft w:val="0"/>
          <w:marRight w:val="0"/>
          <w:marTop w:val="0"/>
          <w:marBottom w:val="0"/>
          <w:divBdr>
            <w:top w:val="single" w:sz="24" w:space="8" w:color="339999"/>
            <w:left w:val="single" w:sz="24" w:space="8" w:color="339999"/>
            <w:bottom w:val="single" w:sz="24" w:space="8" w:color="339999"/>
            <w:right w:val="single" w:sz="24" w:space="8" w:color="339999"/>
          </w:divBdr>
          <w:divsChild>
            <w:div w:id="182284660">
              <w:marLeft w:val="0"/>
              <w:marRight w:val="0"/>
              <w:marTop w:val="0"/>
              <w:marBottom w:val="0"/>
              <w:divBdr>
                <w:top w:val="none" w:sz="0" w:space="0" w:color="auto"/>
                <w:left w:val="none" w:sz="0" w:space="0" w:color="auto"/>
                <w:bottom w:val="none" w:sz="0" w:space="0" w:color="auto"/>
                <w:right w:val="none" w:sz="0" w:space="0" w:color="auto"/>
              </w:divBdr>
            </w:div>
            <w:div w:id="1041055134">
              <w:marLeft w:val="0"/>
              <w:marRight w:val="0"/>
              <w:marTop w:val="0"/>
              <w:marBottom w:val="0"/>
              <w:divBdr>
                <w:top w:val="none" w:sz="0" w:space="0" w:color="auto"/>
                <w:left w:val="none" w:sz="0" w:space="0" w:color="auto"/>
                <w:bottom w:val="none" w:sz="0" w:space="0" w:color="auto"/>
                <w:right w:val="none" w:sz="0" w:space="0" w:color="auto"/>
              </w:divBdr>
              <w:divsChild>
                <w:div w:id="1022051691">
                  <w:marLeft w:val="439"/>
                  <w:marRight w:val="0"/>
                  <w:marTop w:val="0"/>
                  <w:marBottom w:val="0"/>
                  <w:divBdr>
                    <w:top w:val="none" w:sz="0" w:space="0" w:color="auto"/>
                    <w:left w:val="none" w:sz="0" w:space="0" w:color="auto"/>
                    <w:bottom w:val="none" w:sz="0" w:space="0" w:color="auto"/>
                    <w:right w:val="none" w:sz="0" w:space="0" w:color="auto"/>
                  </w:divBdr>
                  <w:divsChild>
                    <w:div w:id="588275965">
                      <w:marLeft w:val="0"/>
                      <w:marRight w:val="0"/>
                      <w:marTop w:val="0"/>
                      <w:marBottom w:val="0"/>
                      <w:divBdr>
                        <w:top w:val="none" w:sz="0" w:space="0" w:color="auto"/>
                        <w:left w:val="none" w:sz="0" w:space="0" w:color="auto"/>
                        <w:bottom w:val="none" w:sz="0" w:space="0" w:color="auto"/>
                        <w:right w:val="none" w:sz="0" w:space="0" w:color="auto"/>
                      </w:divBdr>
                      <w:divsChild>
                        <w:div w:id="398589">
                          <w:marLeft w:val="0"/>
                          <w:marRight w:val="0"/>
                          <w:marTop w:val="0"/>
                          <w:marBottom w:val="0"/>
                          <w:divBdr>
                            <w:top w:val="none" w:sz="0" w:space="0" w:color="auto"/>
                            <w:left w:val="none" w:sz="0" w:space="0" w:color="auto"/>
                            <w:bottom w:val="none" w:sz="0" w:space="0" w:color="auto"/>
                            <w:right w:val="none" w:sz="0" w:space="0" w:color="auto"/>
                          </w:divBdr>
                        </w:div>
                        <w:div w:id="820926077">
                          <w:marLeft w:val="176"/>
                          <w:marRight w:val="0"/>
                          <w:marTop w:val="0"/>
                          <w:marBottom w:val="0"/>
                          <w:divBdr>
                            <w:top w:val="none" w:sz="0" w:space="0" w:color="auto"/>
                            <w:left w:val="none" w:sz="0" w:space="0" w:color="auto"/>
                            <w:bottom w:val="none" w:sz="0" w:space="0" w:color="auto"/>
                            <w:right w:val="none" w:sz="0" w:space="0" w:color="auto"/>
                          </w:divBdr>
                        </w:div>
                      </w:divsChild>
                    </w:div>
                    <w:div w:id="793982803">
                      <w:marLeft w:val="0"/>
                      <w:marRight w:val="0"/>
                      <w:marTop w:val="0"/>
                      <w:marBottom w:val="0"/>
                      <w:divBdr>
                        <w:top w:val="none" w:sz="0" w:space="0" w:color="auto"/>
                        <w:left w:val="none" w:sz="0" w:space="0" w:color="auto"/>
                        <w:bottom w:val="none" w:sz="0" w:space="0" w:color="auto"/>
                        <w:right w:val="none" w:sz="0" w:space="0" w:color="auto"/>
                      </w:divBdr>
                      <w:divsChild>
                        <w:div w:id="1190683918">
                          <w:marLeft w:val="0"/>
                          <w:marRight w:val="0"/>
                          <w:marTop w:val="0"/>
                          <w:marBottom w:val="0"/>
                          <w:divBdr>
                            <w:top w:val="none" w:sz="0" w:space="0" w:color="auto"/>
                            <w:left w:val="none" w:sz="0" w:space="0" w:color="auto"/>
                            <w:bottom w:val="none" w:sz="0" w:space="0" w:color="auto"/>
                            <w:right w:val="none" w:sz="0" w:space="0" w:color="auto"/>
                          </w:divBdr>
                        </w:div>
                        <w:div w:id="1564869874">
                          <w:marLeft w:val="176"/>
                          <w:marRight w:val="0"/>
                          <w:marTop w:val="0"/>
                          <w:marBottom w:val="0"/>
                          <w:divBdr>
                            <w:top w:val="none" w:sz="0" w:space="0" w:color="auto"/>
                            <w:left w:val="none" w:sz="0" w:space="0" w:color="auto"/>
                            <w:bottom w:val="none" w:sz="0" w:space="0" w:color="auto"/>
                            <w:right w:val="none" w:sz="0" w:space="0" w:color="auto"/>
                          </w:divBdr>
                        </w:div>
                      </w:divsChild>
                    </w:div>
                    <w:div w:id="2132966790">
                      <w:marLeft w:val="0"/>
                      <w:marRight w:val="0"/>
                      <w:marTop w:val="0"/>
                      <w:marBottom w:val="0"/>
                      <w:divBdr>
                        <w:top w:val="none" w:sz="0" w:space="0" w:color="auto"/>
                        <w:left w:val="none" w:sz="0" w:space="0" w:color="auto"/>
                        <w:bottom w:val="none" w:sz="0" w:space="0" w:color="auto"/>
                        <w:right w:val="none" w:sz="0" w:space="0" w:color="auto"/>
                      </w:divBdr>
                      <w:divsChild>
                        <w:div w:id="219026470">
                          <w:marLeft w:val="176"/>
                          <w:marRight w:val="0"/>
                          <w:marTop w:val="0"/>
                          <w:marBottom w:val="0"/>
                          <w:divBdr>
                            <w:top w:val="none" w:sz="0" w:space="0" w:color="auto"/>
                            <w:left w:val="none" w:sz="0" w:space="0" w:color="auto"/>
                            <w:bottom w:val="none" w:sz="0" w:space="0" w:color="auto"/>
                            <w:right w:val="none" w:sz="0" w:space="0" w:color="auto"/>
                          </w:divBdr>
                        </w:div>
                        <w:div w:id="16887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23052">
      <w:bodyDiv w:val="1"/>
      <w:marLeft w:val="0"/>
      <w:marRight w:val="0"/>
      <w:marTop w:val="0"/>
      <w:marBottom w:val="0"/>
      <w:divBdr>
        <w:top w:val="none" w:sz="0" w:space="0" w:color="auto"/>
        <w:left w:val="none" w:sz="0" w:space="0" w:color="auto"/>
        <w:bottom w:val="none" w:sz="0" w:space="0" w:color="auto"/>
        <w:right w:val="none" w:sz="0" w:space="0" w:color="auto"/>
      </w:divBdr>
      <w:divsChild>
        <w:div w:id="91050531">
          <w:marLeft w:val="0"/>
          <w:marRight w:val="0"/>
          <w:marTop w:val="150"/>
          <w:marBottom w:val="150"/>
          <w:divBdr>
            <w:top w:val="none" w:sz="0" w:space="0" w:color="339999"/>
            <w:left w:val="none" w:sz="0" w:space="0" w:color="339999"/>
            <w:bottom w:val="none" w:sz="0" w:space="0" w:color="339999"/>
            <w:right w:val="none" w:sz="0" w:space="0" w:color="339999"/>
          </w:divBdr>
          <w:divsChild>
            <w:div w:id="17893477">
              <w:marLeft w:val="0"/>
              <w:marRight w:val="0"/>
              <w:marTop w:val="0"/>
              <w:marBottom w:val="0"/>
              <w:divBdr>
                <w:top w:val="single" w:sz="24" w:space="8" w:color="339999"/>
                <w:left w:val="single" w:sz="24" w:space="8" w:color="339999"/>
                <w:bottom w:val="single" w:sz="24" w:space="8" w:color="339999"/>
                <w:right w:val="single" w:sz="24" w:space="8" w:color="339999"/>
              </w:divBdr>
              <w:divsChild>
                <w:div w:id="1187674984">
                  <w:marLeft w:val="0"/>
                  <w:marRight w:val="0"/>
                  <w:marTop w:val="0"/>
                  <w:marBottom w:val="0"/>
                  <w:divBdr>
                    <w:top w:val="none" w:sz="0" w:space="0" w:color="auto"/>
                    <w:left w:val="none" w:sz="0" w:space="0" w:color="auto"/>
                    <w:bottom w:val="none" w:sz="0" w:space="0" w:color="auto"/>
                    <w:right w:val="none" w:sz="0" w:space="0" w:color="auto"/>
                  </w:divBdr>
                </w:div>
                <w:div w:id="1752576387">
                  <w:marLeft w:val="0"/>
                  <w:marRight w:val="0"/>
                  <w:marTop w:val="0"/>
                  <w:marBottom w:val="0"/>
                  <w:divBdr>
                    <w:top w:val="none" w:sz="0" w:space="0" w:color="auto"/>
                    <w:left w:val="none" w:sz="0" w:space="0" w:color="auto"/>
                    <w:bottom w:val="none" w:sz="0" w:space="0" w:color="auto"/>
                    <w:right w:val="none" w:sz="0" w:space="0" w:color="auto"/>
                  </w:divBdr>
                  <w:divsChild>
                    <w:div w:id="1634603048">
                      <w:marLeft w:val="0"/>
                      <w:marRight w:val="0"/>
                      <w:marTop w:val="0"/>
                      <w:marBottom w:val="0"/>
                      <w:divBdr>
                        <w:top w:val="none" w:sz="0" w:space="0" w:color="auto"/>
                        <w:left w:val="none" w:sz="0" w:space="0" w:color="auto"/>
                        <w:bottom w:val="none" w:sz="0" w:space="0" w:color="auto"/>
                        <w:right w:val="none" w:sz="0" w:space="0" w:color="auto"/>
                      </w:divBdr>
                    </w:div>
                    <w:div w:id="2140101588">
                      <w:marLeft w:val="439"/>
                      <w:marRight w:val="0"/>
                      <w:marTop w:val="0"/>
                      <w:marBottom w:val="0"/>
                      <w:divBdr>
                        <w:top w:val="none" w:sz="0" w:space="0" w:color="auto"/>
                        <w:left w:val="none" w:sz="0" w:space="0" w:color="auto"/>
                        <w:bottom w:val="none" w:sz="0" w:space="0" w:color="auto"/>
                        <w:right w:val="none" w:sz="0" w:space="0" w:color="auto"/>
                      </w:divBdr>
                      <w:divsChild>
                        <w:div w:id="468910194">
                          <w:marLeft w:val="0"/>
                          <w:marRight w:val="0"/>
                          <w:marTop w:val="0"/>
                          <w:marBottom w:val="0"/>
                          <w:divBdr>
                            <w:top w:val="none" w:sz="0" w:space="0" w:color="auto"/>
                            <w:left w:val="none" w:sz="0" w:space="0" w:color="auto"/>
                            <w:bottom w:val="none" w:sz="0" w:space="0" w:color="auto"/>
                            <w:right w:val="none" w:sz="0" w:space="0" w:color="auto"/>
                          </w:divBdr>
                          <w:divsChild>
                            <w:div w:id="436829160">
                              <w:marLeft w:val="176"/>
                              <w:marRight w:val="0"/>
                              <w:marTop w:val="0"/>
                              <w:marBottom w:val="0"/>
                              <w:divBdr>
                                <w:top w:val="none" w:sz="0" w:space="0" w:color="auto"/>
                                <w:left w:val="none" w:sz="0" w:space="0" w:color="auto"/>
                                <w:bottom w:val="none" w:sz="0" w:space="0" w:color="auto"/>
                                <w:right w:val="none" w:sz="0" w:space="0" w:color="auto"/>
                              </w:divBdr>
                            </w:div>
                            <w:div w:id="1492940445">
                              <w:marLeft w:val="0"/>
                              <w:marRight w:val="0"/>
                              <w:marTop w:val="0"/>
                              <w:marBottom w:val="0"/>
                              <w:divBdr>
                                <w:top w:val="none" w:sz="0" w:space="0" w:color="auto"/>
                                <w:left w:val="none" w:sz="0" w:space="0" w:color="auto"/>
                                <w:bottom w:val="none" w:sz="0" w:space="0" w:color="auto"/>
                                <w:right w:val="none" w:sz="0" w:space="0" w:color="auto"/>
                              </w:divBdr>
                            </w:div>
                          </w:divsChild>
                        </w:div>
                        <w:div w:id="532883112">
                          <w:marLeft w:val="0"/>
                          <w:marRight w:val="0"/>
                          <w:marTop w:val="0"/>
                          <w:marBottom w:val="0"/>
                          <w:divBdr>
                            <w:top w:val="none" w:sz="0" w:space="0" w:color="auto"/>
                            <w:left w:val="none" w:sz="0" w:space="0" w:color="auto"/>
                            <w:bottom w:val="none" w:sz="0" w:space="0" w:color="auto"/>
                            <w:right w:val="none" w:sz="0" w:space="0" w:color="auto"/>
                          </w:divBdr>
                          <w:divsChild>
                            <w:div w:id="448818586">
                              <w:marLeft w:val="0"/>
                              <w:marRight w:val="0"/>
                              <w:marTop w:val="0"/>
                              <w:marBottom w:val="0"/>
                              <w:divBdr>
                                <w:top w:val="none" w:sz="0" w:space="0" w:color="auto"/>
                                <w:left w:val="none" w:sz="0" w:space="0" w:color="auto"/>
                                <w:bottom w:val="none" w:sz="0" w:space="0" w:color="auto"/>
                                <w:right w:val="none" w:sz="0" w:space="0" w:color="auto"/>
                              </w:divBdr>
                            </w:div>
                            <w:div w:id="1426654703">
                              <w:marLeft w:val="176"/>
                              <w:marRight w:val="0"/>
                              <w:marTop w:val="0"/>
                              <w:marBottom w:val="0"/>
                              <w:divBdr>
                                <w:top w:val="none" w:sz="0" w:space="0" w:color="auto"/>
                                <w:left w:val="none" w:sz="0" w:space="0" w:color="auto"/>
                                <w:bottom w:val="none" w:sz="0" w:space="0" w:color="auto"/>
                                <w:right w:val="none" w:sz="0" w:space="0" w:color="auto"/>
                              </w:divBdr>
                            </w:div>
                          </w:divsChild>
                        </w:div>
                        <w:div w:id="1496610304">
                          <w:marLeft w:val="0"/>
                          <w:marRight w:val="0"/>
                          <w:marTop w:val="0"/>
                          <w:marBottom w:val="0"/>
                          <w:divBdr>
                            <w:top w:val="none" w:sz="0" w:space="0" w:color="auto"/>
                            <w:left w:val="none" w:sz="0" w:space="0" w:color="auto"/>
                            <w:bottom w:val="none" w:sz="0" w:space="0" w:color="auto"/>
                            <w:right w:val="none" w:sz="0" w:space="0" w:color="auto"/>
                          </w:divBdr>
                          <w:divsChild>
                            <w:div w:id="287861680">
                              <w:marLeft w:val="0"/>
                              <w:marRight w:val="0"/>
                              <w:marTop w:val="0"/>
                              <w:marBottom w:val="0"/>
                              <w:divBdr>
                                <w:top w:val="none" w:sz="0" w:space="0" w:color="auto"/>
                                <w:left w:val="none" w:sz="0" w:space="0" w:color="auto"/>
                                <w:bottom w:val="none" w:sz="0" w:space="0" w:color="auto"/>
                                <w:right w:val="none" w:sz="0" w:space="0" w:color="auto"/>
                              </w:divBdr>
                            </w:div>
                            <w:div w:id="1701852683">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920715">
          <w:marLeft w:val="0"/>
          <w:marRight w:val="0"/>
          <w:marTop w:val="150"/>
          <w:marBottom w:val="150"/>
          <w:divBdr>
            <w:top w:val="none" w:sz="0" w:space="0" w:color="339999"/>
            <w:left w:val="none" w:sz="0" w:space="0" w:color="339999"/>
            <w:bottom w:val="none" w:sz="0" w:space="0" w:color="339999"/>
            <w:right w:val="none" w:sz="0" w:space="0" w:color="339999"/>
          </w:divBdr>
          <w:divsChild>
            <w:div w:id="1160929404">
              <w:marLeft w:val="0"/>
              <w:marRight w:val="0"/>
              <w:marTop w:val="0"/>
              <w:marBottom w:val="0"/>
              <w:divBdr>
                <w:top w:val="single" w:sz="24" w:space="8" w:color="339999"/>
                <w:left w:val="single" w:sz="24" w:space="8" w:color="339999"/>
                <w:bottom w:val="single" w:sz="24" w:space="8" w:color="339999"/>
                <w:right w:val="single" w:sz="24" w:space="8" w:color="339999"/>
              </w:divBdr>
              <w:divsChild>
                <w:div w:id="1005211075">
                  <w:marLeft w:val="0"/>
                  <w:marRight w:val="0"/>
                  <w:marTop w:val="0"/>
                  <w:marBottom w:val="0"/>
                  <w:divBdr>
                    <w:top w:val="none" w:sz="0" w:space="0" w:color="auto"/>
                    <w:left w:val="none" w:sz="0" w:space="0" w:color="auto"/>
                    <w:bottom w:val="none" w:sz="0" w:space="0" w:color="auto"/>
                    <w:right w:val="none" w:sz="0" w:space="0" w:color="auto"/>
                  </w:divBdr>
                </w:div>
                <w:div w:id="1646396094">
                  <w:marLeft w:val="0"/>
                  <w:marRight w:val="0"/>
                  <w:marTop w:val="0"/>
                  <w:marBottom w:val="0"/>
                  <w:divBdr>
                    <w:top w:val="none" w:sz="0" w:space="0" w:color="auto"/>
                    <w:left w:val="none" w:sz="0" w:space="0" w:color="auto"/>
                    <w:bottom w:val="none" w:sz="0" w:space="0" w:color="auto"/>
                    <w:right w:val="none" w:sz="0" w:space="0" w:color="auto"/>
                  </w:divBdr>
                  <w:divsChild>
                    <w:div w:id="1381200196">
                      <w:marLeft w:val="439"/>
                      <w:marRight w:val="0"/>
                      <w:marTop w:val="0"/>
                      <w:marBottom w:val="0"/>
                      <w:divBdr>
                        <w:top w:val="none" w:sz="0" w:space="0" w:color="auto"/>
                        <w:left w:val="none" w:sz="0" w:space="0" w:color="auto"/>
                        <w:bottom w:val="none" w:sz="0" w:space="0" w:color="auto"/>
                        <w:right w:val="none" w:sz="0" w:space="0" w:color="auto"/>
                      </w:divBdr>
                      <w:divsChild>
                        <w:div w:id="294608297">
                          <w:marLeft w:val="0"/>
                          <w:marRight w:val="0"/>
                          <w:marTop w:val="0"/>
                          <w:marBottom w:val="0"/>
                          <w:divBdr>
                            <w:top w:val="none" w:sz="0" w:space="0" w:color="auto"/>
                            <w:left w:val="none" w:sz="0" w:space="0" w:color="auto"/>
                            <w:bottom w:val="none" w:sz="0" w:space="0" w:color="auto"/>
                            <w:right w:val="none" w:sz="0" w:space="0" w:color="auto"/>
                          </w:divBdr>
                          <w:divsChild>
                            <w:div w:id="1095976074">
                              <w:marLeft w:val="0"/>
                              <w:marRight w:val="0"/>
                              <w:marTop w:val="0"/>
                              <w:marBottom w:val="0"/>
                              <w:divBdr>
                                <w:top w:val="none" w:sz="0" w:space="0" w:color="auto"/>
                                <w:left w:val="none" w:sz="0" w:space="0" w:color="auto"/>
                                <w:bottom w:val="none" w:sz="0" w:space="0" w:color="auto"/>
                                <w:right w:val="none" w:sz="0" w:space="0" w:color="auto"/>
                              </w:divBdr>
                            </w:div>
                            <w:div w:id="2060933343">
                              <w:marLeft w:val="176"/>
                              <w:marRight w:val="0"/>
                              <w:marTop w:val="0"/>
                              <w:marBottom w:val="0"/>
                              <w:divBdr>
                                <w:top w:val="none" w:sz="0" w:space="0" w:color="auto"/>
                                <w:left w:val="none" w:sz="0" w:space="0" w:color="auto"/>
                                <w:bottom w:val="none" w:sz="0" w:space="0" w:color="auto"/>
                                <w:right w:val="none" w:sz="0" w:space="0" w:color="auto"/>
                              </w:divBdr>
                            </w:div>
                          </w:divsChild>
                        </w:div>
                        <w:div w:id="601500967">
                          <w:marLeft w:val="0"/>
                          <w:marRight w:val="0"/>
                          <w:marTop w:val="0"/>
                          <w:marBottom w:val="0"/>
                          <w:divBdr>
                            <w:top w:val="none" w:sz="0" w:space="0" w:color="auto"/>
                            <w:left w:val="none" w:sz="0" w:space="0" w:color="auto"/>
                            <w:bottom w:val="none" w:sz="0" w:space="0" w:color="auto"/>
                            <w:right w:val="none" w:sz="0" w:space="0" w:color="auto"/>
                          </w:divBdr>
                          <w:divsChild>
                            <w:div w:id="1339387291">
                              <w:marLeft w:val="0"/>
                              <w:marRight w:val="0"/>
                              <w:marTop w:val="0"/>
                              <w:marBottom w:val="0"/>
                              <w:divBdr>
                                <w:top w:val="none" w:sz="0" w:space="0" w:color="auto"/>
                                <w:left w:val="none" w:sz="0" w:space="0" w:color="auto"/>
                                <w:bottom w:val="none" w:sz="0" w:space="0" w:color="auto"/>
                                <w:right w:val="none" w:sz="0" w:space="0" w:color="auto"/>
                              </w:divBdr>
                            </w:div>
                            <w:div w:id="1772121407">
                              <w:marLeft w:val="176"/>
                              <w:marRight w:val="0"/>
                              <w:marTop w:val="0"/>
                              <w:marBottom w:val="0"/>
                              <w:divBdr>
                                <w:top w:val="none" w:sz="0" w:space="0" w:color="auto"/>
                                <w:left w:val="none" w:sz="0" w:space="0" w:color="auto"/>
                                <w:bottom w:val="none" w:sz="0" w:space="0" w:color="auto"/>
                                <w:right w:val="none" w:sz="0" w:space="0" w:color="auto"/>
                              </w:divBdr>
                            </w:div>
                          </w:divsChild>
                        </w:div>
                        <w:div w:id="1636400549">
                          <w:marLeft w:val="0"/>
                          <w:marRight w:val="0"/>
                          <w:marTop w:val="0"/>
                          <w:marBottom w:val="0"/>
                          <w:divBdr>
                            <w:top w:val="none" w:sz="0" w:space="0" w:color="auto"/>
                            <w:left w:val="none" w:sz="0" w:space="0" w:color="auto"/>
                            <w:bottom w:val="none" w:sz="0" w:space="0" w:color="auto"/>
                            <w:right w:val="none" w:sz="0" w:space="0" w:color="auto"/>
                          </w:divBdr>
                          <w:divsChild>
                            <w:div w:id="448402703">
                              <w:marLeft w:val="176"/>
                              <w:marRight w:val="0"/>
                              <w:marTop w:val="0"/>
                              <w:marBottom w:val="0"/>
                              <w:divBdr>
                                <w:top w:val="none" w:sz="0" w:space="0" w:color="auto"/>
                                <w:left w:val="none" w:sz="0" w:space="0" w:color="auto"/>
                                <w:bottom w:val="none" w:sz="0" w:space="0" w:color="auto"/>
                                <w:right w:val="none" w:sz="0" w:space="0" w:color="auto"/>
                              </w:divBdr>
                            </w:div>
                            <w:div w:id="5106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916">
          <w:marLeft w:val="0"/>
          <w:marRight w:val="0"/>
          <w:marTop w:val="150"/>
          <w:marBottom w:val="150"/>
          <w:divBdr>
            <w:top w:val="none" w:sz="0" w:space="0" w:color="339999"/>
            <w:left w:val="none" w:sz="0" w:space="0" w:color="339999"/>
            <w:bottom w:val="none" w:sz="0" w:space="0" w:color="339999"/>
            <w:right w:val="none" w:sz="0" w:space="0" w:color="339999"/>
          </w:divBdr>
          <w:divsChild>
            <w:div w:id="1360354438">
              <w:marLeft w:val="0"/>
              <w:marRight w:val="0"/>
              <w:marTop w:val="0"/>
              <w:marBottom w:val="0"/>
              <w:divBdr>
                <w:top w:val="single" w:sz="24" w:space="8" w:color="339999"/>
                <w:left w:val="single" w:sz="24" w:space="8" w:color="339999"/>
                <w:bottom w:val="single" w:sz="24" w:space="8" w:color="339999"/>
                <w:right w:val="single" w:sz="24" w:space="8" w:color="339999"/>
              </w:divBdr>
              <w:divsChild>
                <w:div w:id="552738105">
                  <w:marLeft w:val="0"/>
                  <w:marRight w:val="0"/>
                  <w:marTop w:val="0"/>
                  <w:marBottom w:val="0"/>
                  <w:divBdr>
                    <w:top w:val="none" w:sz="0" w:space="0" w:color="auto"/>
                    <w:left w:val="none" w:sz="0" w:space="0" w:color="auto"/>
                    <w:bottom w:val="none" w:sz="0" w:space="0" w:color="auto"/>
                    <w:right w:val="none" w:sz="0" w:space="0" w:color="auto"/>
                  </w:divBdr>
                  <w:divsChild>
                    <w:div w:id="62653781">
                      <w:marLeft w:val="439"/>
                      <w:marRight w:val="0"/>
                      <w:marTop w:val="0"/>
                      <w:marBottom w:val="0"/>
                      <w:divBdr>
                        <w:top w:val="none" w:sz="0" w:space="0" w:color="auto"/>
                        <w:left w:val="none" w:sz="0" w:space="0" w:color="auto"/>
                        <w:bottom w:val="none" w:sz="0" w:space="0" w:color="auto"/>
                        <w:right w:val="none" w:sz="0" w:space="0" w:color="auto"/>
                      </w:divBdr>
                      <w:divsChild>
                        <w:div w:id="16153782">
                          <w:marLeft w:val="0"/>
                          <w:marRight w:val="0"/>
                          <w:marTop w:val="0"/>
                          <w:marBottom w:val="0"/>
                          <w:divBdr>
                            <w:top w:val="none" w:sz="0" w:space="0" w:color="auto"/>
                            <w:left w:val="none" w:sz="0" w:space="0" w:color="auto"/>
                            <w:bottom w:val="none" w:sz="0" w:space="0" w:color="auto"/>
                            <w:right w:val="none" w:sz="0" w:space="0" w:color="auto"/>
                          </w:divBdr>
                          <w:divsChild>
                            <w:div w:id="140778177">
                              <w:marLeft w:val="176"/>
                              <w:marRight w:val="0"/>
                              <w:marTop w:val="0"/>
                              <w:marBottom w:val="0"/>
                              <w:divBdr>
                                <w:top w:val="none" w:sz="0" w:space="0" w:color="auto"/>
                                <w:left w:val="none" w:sz="0" w:space="0" w:color="auto"/>
                                <w:bottom w:val="none" w:sz="0" w:space="0" w:color="auto"/>
                                <w:right w:val="none" w:sz="0" w:space="0" w:color="auto"/>
                              </w:divBdr>
                            </w:div>
                            <w:div w:id="1802266668">
                              <w:marLeft w:val="0"/>
                              <w:marRight w:val="0"/>
                              <w:marTop w:val="0"/>
                              <w:marBottom w:val="0"/>
                              <w:divBdr>
                                <w:top w:val="none" w:sz="0" w:space="0" w:color="auto"/>
                                <w:left w:val="none" w:sz="0" w:space="0" w:color="auto"/>
                                <w:bottom w:val="none" w:sz="0" w:space="0" w:color="auto"/>
                                <w:right w:val="none" w:sz="0" w:space="0" w:color="auto"/>
                              </w:divBdr>
                            </w:div>
                          </w:divsChild>
                        </w:div>
                        <w:div w:id="162205887">
                          <w:marLeft w:val="0"/>
                          <w:marRight w:val="0"/>
                          <w:marTop w:val="0"/>
                          <w:marBottom w:val="0"/>
                          <w:divBdr>
                            <w:top w:val="none" w:sz="0" w:space="0" w:color="auto"/>
                            <w:left w:val="none" w:sz="0" w:space="0" w:color="auto"/>
                            <w:bottom w:val="none" w:sz="0" w:space="0" w:color="auto"/>
                            <w:right w:val="none" w:sz="0" w:space="0" w:color="auto"/>
                          </w:divBdr>
                          <w:divsChild>
                            <w:div w:id="1782873444">
                              <w:marLeft w:val="176"/>
                              <w:marRight w:val="0"/>
                              <w:marTop w:val="0"/>
                              <w:marBottom w:val="0"/>
                              <w:divBdr>
                                <w:top w:val="none" w:sz="0" w:space="0" w:color="auto"/>
                                <w:left w:val="none" w:sz="0" w:space="0" w:color="auto"/>
                                <w:bottom w:val="none" w:sz="0" w:space="0" w:color="auto"/>
                                <w:right w:val="none" w:sz="0" w:space="0" w:color="auto"/>
                              </w:divBdr>
                            </w:div>
                            <w:div w:id="1884974380">
                              <w:marLeft w:val="0"/>
                              <w:marRight w:val="0"/>
                              <w:marTop w:val="0"/>
                              <w:marBottom w:val="0"/>
                              <w:divBdr>
                                <w:top w:val="none" w:sz="0" w:space="0" w:color="auto"/>
                                <w:left w:val="none" w:sz="0" w:space="0" w:color="auto"/>
                                <w:bottom w:val="none" w:sz="0" w:space="0" w:color="auto"/>
                                <w:right w:val="none" w:sz="0" w:space="0" w:color="auto"/>
                              </w:divBdr>
                            </w:div>
                          </w:divsChild>
                        </w:div>
                        <w:div w:id="2015065055">
                          <w:marLeft w:val="0"/>
                          <w:marRight w:val="0"/>
                          <w:marTop w:val="0"/>
                          <w:marBottom w:val="0"/>
                          <w:divBdr>
                            <w:top w:val="none" w:sz="0" w:space="0" w:color="auto"/>
                            <w:left w:val="none" w:sz="0" w:space="0" w:color="auto"/>
                            <w:bottom w:val="none" w:sz="0" w:space="0" w:color="auto"/>
                            <w:right w:val="none" w:sz="0" w:space="0" w:color="auto"/>
                          </w:divBdr>
                          <w:divsChild>
                            <w:div w:id="1395740687">
                              <w:marLeft w:val="0"/>
                              <w:marRight w:val="0"/>
                              <w:marTop w:val="0"/>
                              <w:marBottom w:val="0"/>
                              <w:divBdr>
                                <w:top w:val="none" w:sz="0" w:space="0" w:color="auto"/>
                                <w:left w:val="none" w:sz="0" w:space="0" w:color="auto"/>
                                <w:bottom w:val="none" w:sz="0" w:space="0" w:color="auto"/>
                                <w:right w:val="none" w:sz="0" w:space="0" w:color="auto"/>
                              </w:divBdr>
                            </w:div>
                            <w:div w:id="2005160789">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 w:id="172846543">
                      <w:marLeft w:val="0"/>
                      <w:marRight w:val="0"/>
                      <w:marTop w:val="0"/>
                      <w:marBottom w:val="0"/>
                      <w:divBdr>
                        <w:top w:val="none" w:sz="0" w:space="0" w:color="auto"/>
                        <w:left w:val="none" w:sz="0" w:space="0" w:color="auto"/>
                        <w:bottom w:val="none" w:sz="0" w:space="0" w:color="auto"/>
                        <w:right w:val="none" w:sz="0" w:space="0" w:color="auto"/>
                      </w:divBdr>
                    </w:div>
                  </w:divsChild>
                </w:div>
                <w:div w:id="112519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58828">
          <w:marLeft w:val="0"/>
          <w:marRight w:val="0"/>
          <w:marTop w:val="150"/>
          <w:marBottom w:val="150"/>
          <w:divBdr>
            <w:top w:val="none" w:sz="0" w:space="0" w:color="339999"/>
            <w:left w:val="none" w:sz="0" w:space="0" w:color="339999"/>
            <w:bottom w:val="none" w:sz="0" w:space="0" w:color="339999"/>
            <w:right w:val="none" w:sz="0" w:space="0" w:color="339999"/>
          </w:divBdr>
          <w:divsChild>
            <w:div w:id="1903321820">
              <w:marLeft w:val="0"/>
              <w:marRight w:val="0"/>
              <w:marTop w:val="0"/>
              <w:marBottom w:val="0"/>
              <w:divBdr>
                <w:top w:val="single" w:sz="24" w:space="8" w:color="339999"/>
                <w:left w:val="single" w:sz="24" w:space="8" w:color="339999"/>
                <w:bottom w:val="single" w:sz="24" w:space="8" w:color="339999"/>
                <w:right w:val="single" w:sz="24" w:space="8" w:color="339999"/>
              </w:divBdr>
              <w:divsChild>
                <w:div w:id="1048381475">
                  <w:marLeft w:val="0"/>
                  <w:marRight w:val="0"/>
                  <w:marTop w:val="0"/>
                  <w:marBottom w:val="0"/>
                  <w:divBdr>
                    <w:top w:val="none" w:sz="0" w:space="0" w:color="auto"/>
                    <w:left w:val="none" w:sz="0" w:space="0" w:color="auto"/>
                    <w:bottom w:val="none" w:sz="0" w:space="0" w:color="auto"/>
                    <w:right w:val="none" w:sz="0" w:space="0" w:color="auto"/>
                  </w:divBdr>
                  <w:divsChild>
                    <w:div w:id="491720633">
                      <w:marLeft w:val="439"/>
                      <w:marRight w:val="0"/>
                      <w:marTop w:val="0"/>
                      <w:marBottom w:val="0"/>
                      <w:divBdr>
                        <w:top w:val="none" w:sz="0" w:space="0" w:color="auto"/>
                        <w:left w:val="none" w:sz="0" w:space="0" w:color="auto"/>
                        <w:bottom w:val="none" w:sz="0" w:space="0" w:color="auto"/>
                        <w:right w:val="none" w:sz="0" w:space="0" w:color="auto"/>
                      </w:divBdr>
                      <w:divsChild>
                        <w:div w:id="96602137">
                          <w:marLeft w:val="0"/>
                          <w:marRight w:val="0"/>
                          <w:marTop w:val="0"/>
                          <w:marBottom w:val="0"/>
                          <w:divBdr>
                            <w:top w:val="none" w:sz="0" w:space="0" w:color="auto"/>
                            <w:left w:val="none" w:sz="0" w:space="0" w:color="auto"/>
                            <w:bottom w:val="none" w:sz="0" w:space="0" w:color="auto"/>
                            <w:right w:val="none" w:sz="0" w:space="0" w:color="auto"/>
                          </w:divBdr>
                          <w:divsChild>
                            <w:div w:id="1677540169">
                              <w:marLeft w:val="176"/>
                              <w:marRight w:val="0"/>
                              <w:marTop w:val="0"/>
                              <w:marBottom w:val="0"/>
                              <w:divBdr>
                                <w:top w:val="none" w:sz="0" w:space="0" w:color="auto"/>
                                <w:left w:val="none" w:sz="0" w:space="0" w:color="auto"/>
                                <w:bottom w:val="none" w:sz="0" w:space="0" w:color="auto"/>
                                <w:right w:val="none" w:sz="0" w:space="0" w:color="auto"/>
                              </w:divBdr>
                            </w:div>
                            <w:div w:id="1700737333">
                              <w:marLeft w:val="0"/>
                              <w:marRight w:val="0"/>
                              <w:marTop w:val="0"/>
                              <w:marBottom w:val="0"/>
                              <w:divBdr>
                                <w:top w:val="none" w:sz="0" w:space="0" w:color="auto"/>
                                <w:left w:val="none" w:sz="0" w:space="0" w:color="auto"/>
                                <w:bottom w:val="none" w:sz="0" w:space="0" w:color="auto"/>
                                <w:right w:val="none" w:sz="0" w:space="0" w:color="auto"/>
                              </w:divBdr>
                            </w:div>
                          </w:divsChild>
                        </w:div>
                        <w:div w:id="703478348">
                          <w:marLeft w:val="0"/>
                          <w:marRight w:val="0"/>
                          <w:marTop w:val="0"/>
                          <w:marBottom w:val="0"/>
                          <w:divBdr>
                            <w:top w:val="none" w:sz="0" w:space="0" w:color="auto"/>
                            <w:left w:val="none" w:sz="0" w:space="0" w:color="auto"/>
                            <w:bottom w:val="none" w:sz="0" w:space="0" w:color="auto"/>
                            <w:right w:val="none" w:sz="0" w:space="0" w:color="auto"/>
                          </w:divBdr>
                          <w:divsChild>
                            <w:div w:id="985090506">
                              <w:marLeft w:val="0"/>
                              <w:marRight w:val="0"/>
                              <w:marTop w:val="0"/>
                              <w:marBottom w:val="0"/>
                              <w:divBdr>
                                <w:top w:val="none" w:sz="0" w:space="0" w:color="auto"/>
                                <w:left w:val="none" w:sz="0" w:space="0" w:color="auto"/>
                                <w:bottom w:val="none" w:sz="0" w:space="0" w:color="auto"/>
                                <w:right w:val="none" w:sz="0" w:space="0" w:color="auto"/>
                              </w:divBdr>
                            </w:div>
                            <w:div w:id="1529173820">
                              <w:marLeft w:val="176"/>
                              <w:marRight w:val="0"/>
                              <w:marTop w:val="0"/>
                              <w:marBottom w:val="0"/>
                              <w:divBdr>
                                <w:top w:val="none" w:sz="0" w:space="0" w:color="auto"/>
                                <w:left w:val="none" w:sz="0" w:space="0" w:color="auto"/>
                                <w:bottom w:val="none" w:sz="0" w:space="0" w:color="auto"/>
                                <w:right w:val="none" w:sz="0" w:space="0" w:color="auto"/>
                              </w:divBdr>
                            </w:div>
                          </w:divsChild>
                        </w:div>
                        <w:div w:id="1793551867">
                          <w:marLeft w:val="0"/>
                          <w:marRight w:val="0"/>
                          <w:marTop w:val="0"/>
                          <w:marBottom w:val="0"/>
                          <w:divBdr>
                            <w:top w:val="none" w:sz="0" w:space="0" w:color="auto"/>
                            <w:left w:val="none" w:sz="0" w:space="0" w:color="auto"/>
                            <w:bottom w:val="none" w:sz="0" w:space="0" w:color="auto"/>
                            <w:right w:val="none" w:sz="0" w:space="0" w:color="auto"/>
                          </w:divBdr>
                          <w:divsChild>
                            <w:div w:id="338702619">
                              <w:marLeft w:val="176"/>
                              <w:marRight w:val="0"/>
                              <w:marTop w:val="0"/>
                              <w:marBottom w:val="0"/>
                              <w:divBdr>
                                <w:top w:val="none" w:sz="0" w:space="0" w:color="auto"/>
                                <w:left w:val="none" w:sz="0" w:space="0" w:color="auto"/>
                                <w:bottom w:val="none" w:sz="0" w:space="0" w:color="auto"/>
                                <w:right w:val="none" w:sz="0" w:space="0" w:color="auto"/>
                              </w:divBdr>
                            </w:div>
                            <w:div w:id="3775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1444">
                      <w:marLeft w:val="0"/>
                      <w:marRight w:val="0"/>
                      <w:marTop w:val="0"/>
                      <w:marBottom w:val="0"/>
                      <w:divBdr>
                        <w:top w:val="none" w:sz="0" w:space="0" w:color="auto"/>
                        <w:left w:val="none" w:sz="0" w:space="0" w:color="auto"/>
                        <w:bottom w:val="none" w:sz="0" w:space="0" w:color="auto"/>
                        <w:right w:val="none" w:sz="0" w:space="0" w:color="auto"/>
                      </w:divBdr>
                    </w:div>
                  </w:divsChild>
                </w:div>
                <w:div w:id="17324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42246">
          <w:marLeft w:val="0"/>
          <w:marRight w:val="0"/>
          <w:marTop w:val="150"/>
          <w:marBottom w:val="150"/>
          <w:divBdr>
            <w:top w:val="none" w:sz="0" w:space="0" w:color="339999"/>
            <w:left w:val="none" w:sz="0" w:space="0" w:color="339999"/>
            <w:bottom w:val="none" w:sz="0" w:space="0" w:color="339999"/>
            <w:right w:val="none" w:sz="0" w:space="0" w:color="339999"/>
          </w:divBdr>
          <w:divsChild>
            <w:div w:id="613289005">
              <w:marLeft w:val="0"/>
              <w:marRight w:val="0"/>
              <w:marTop w:val="0"/>
              <w:marBottom w:val="0"/>
              <w:divBdr>
                <w:top w:val="single" w:sz="24" w:space="8" w:color="339999"/>
                <w:left w:val="single" w:sz="24" w:space="8" w:color="339999"/>
                <w:bottom w:val="single" w:sz="24" w:space="8" w:color="339999"/>
                <w:right w:val="single" w:sz="24" w:space="8" w:color="339999"/>
              </w:divBdr>
              <w:divsChild>
                <w:div w:id="167915678">
                  <w:marLeft w:val="0"/>
                  <w:marRight w:val="0"/>
                  <w:marTop w:val="0"/>
                  <w:marBottom w:val="0"/>
                  <w:divBdr>
                    <w:top w:val="none" w:sz="0" w:space="0" w:color="auto"/>
                    <w:left w:val="none" w:sz="0" w:space="0" w:color="auto"/>
                    <w:bottom w:val="none" w:sz="0" w:space="0" w:color="auto"/>
                    <w:right w:val="none" w:sz="0" w:space="0" w:color="auto"/>
                  </w:divBdr>
                </w:div>
                <w:div w:id="1918051659">
                  <w:marLeft w:val="0"/>
                  <w:marRight w:val="0"/>
                  <w:marTop w:val="0"/>
                  <w:marBottom w:val="0"/>
                  <w:divBdr>
                    <w:top w:val="none" w:sz="0" w:space="0" w:color="auto"/>
                    <w:left w:val="none" w:sz="0" w:space="0" w:color="auto"/>
                    <w:bottom w:val="none" w:sz="0" w:space="0" w:color="auto"/>
                    <w:right w:val="none" w:sz="0" w:space="0" w:color="auto"/>
                  </w:divBdr>
                  <w:divsChild>
                    <w:div w:id="1048842494">
                      <w:marLeft w:val="439"/>
                      <w:marRight w:val="0"/>
                      <w:marTop w:val="0"/>
                      <w:marBottom w:val="0"/>
                      <w:divBdr>
                        <w:top w:val="none" w:sz="0" w:space="0" w:color="auto"/>
                        <w:left w:val="none" w:sz="0" w:space="0" w:color="auto"/>
                        <w:bottom w:val="none" w:sz="0" w:space="0" w:color="auto"/>
                        <w:right w:val="none" w:sz="0" w:space="0" w:color="auto"/>
                      </w:divBdr>
                      <w:divsChild>
                        <w:div w:id="589243199">
                          <w:marLeft w:val="0"/>
                          <w:marRight w:val="0"/>
                          <w:marTop w:val="0"/>
                          <w:marBottom w:val="0"/>
                          <w:divBdr>
                            <w:top w:val="none" w:sz="0" w:space="0" w:color="auto"/>
                            <w:left w:val="none" w:sz="0" w:space="0" w:color="auto"/>
                            <w:bottom w:val="none" w:sz="0" w:space="0" w:color="auto"/>
                            <w:right w:val="none" w:sz="0" w:space="0" w:color="auto"/>
                          </w:divBdr>
                          <w:divsChild>
                            <w:div w:id="254636094">
                              <w:marLeft w:val="176"/>
                              <w:marRight w:val="0"/>
                              <w:marTop w:val="0"/>
                              <w:marBottom w:val="0"/>
                              <w:divBdr>
                                <w:top w:val="none" w:sz="0" w:space="0" w:color="auto"/>
                                <w:left w:val="none" w:sz="0" w:space="0" w:color="auto"/>
                                <w:bottom w:val="none" w:sz="0" w:space="0" w:color="auto"/>
                                <w:right w:val="none" w:sz="0" w:space="0" w:color="auto"/>
                              </w:divBdr>
                            </w:div>
                            <w:div w:id="1319462052">
                              <w:marLeft w:val="0"/>
                              <w:marRight w:val="0"/>
                              <w:marTop w:val="0"/>
                              <w:marBottom w:val="0"/>
                              <w:divBdr>
                                <w:top w:val="none" w:sz="0" w:space="0" w:color="auto"/>
                                <w:left w:val="none" w:sz="0" w:space="0" w:color="auto"/>
                                <w:bottom w:val="none" w:sz="0" w:space="0" w:color="auto"/>
                                <w:right w:val="none" w:sz="0" w:space="0" w:color="auto"/>
                              </w:divBdr>
                            </w:div>
                          </w:divsChild>
                        </w:div>
                        <w:div w:id="646595928">
                          <w:marLeft w:val="0"/>
                          <w:marRight w:val="0"/>
                          <w:marTop w:val="0"/>
                          <w:marBottom w:val="0"/>
                          <w:divBdr>
                            <w:top w:val="none" w:sz="0" w:space="0" w:color="auto"/>
                            <w:left w:val="none" w:sz="0" w:space="0" w:color="auto"/>
                            <w:bottom w:val="none" w:sz="0" w:space="0" w:color="auto"/>
                            <w:right w:val="none" w:sz="0" w:space="0" w:color="auto"/>
                          </w:divBdr>
                          <w:divsChild>
                            <w:div w:id="695885609">
                              <w:marLeft w:val="0"/>
                              <w:marRight w:val="0"/>
                              <w:marTop w:val="0"/>
                              <w:marBottom w:val="0"/>
                              <w:divBdr>
                                <w:top w:val="none" w:sz="0" w:space="0" w:color="auto"/>
                                <w:left w:val="none" w:sz="0" w:space="0" w:color="auto"/>
                                <w:bottom w:val="none" w:sz="0" w:space="0" w:color="auto"/>
                                <w:right w:val="none" w:sz="0" w:space="0" w:color="auto"/>
                              </w:divBdr>
                            </w:div>
                            <w:div w:id="1458643458">
                              <w:marLeft w:val="176"/>
                              <w:marRight w:val="0"/>
                              <w:marTop w:val="0"/>
                              <w:marBottom w:val="0"/>
                              <w:divBdr>
                                <w:top w:val="none" w:sz="0" w:space="0" w:color="auto"/>
                                <w:left w:val="none" w:sz="0" w:space="0" w:color="auto"/>
                                <w:bottom w:val="none" w:sz="0" w:space="0" w:color="auto"/>
                                <w:right w:val="none" w:sz="0" w:space="0" w:color="auto"/>
                              </w:divBdr>
                            </w:div>
                          </w:divsChild>
                        </w:div>
                        <w:div w:id="1665814825">
                          <w:marLeft w:val="0"/>
                          <w:marRight w:val="0"/>
                          <w:marTop w:val="0"/>
                          <w:marBottom w:val="0"/>
                          <w:divBdr>
                            <w:top w:val="none" w:sz="0" w:space="0" w:color="auto"/>
                            <w:left w:val="none" w:sz="0" w:space="0" w:color="auto"/>
                            <w:bottom w:val="none" w:sz="0" w:space="0" w:color="auto"/>
                            <w:right w:val="none" w:sz="0" w:space="0" w:color="auto"/>
                          </w:divBdr>
                          <w:divsChild>
                            <w:div w:id="991833904">
                              <w:marLeft w:val="176"/>
                              <w:marRight w:val="0"/>
                              <w:marTop w:val="0"/>
                              <w:marBottom w:val="0"/>
                              <w:divBdr>
                                <w:top w:val="none" w:sz="0" w:space="0" w:color="auto"/>
                                <w:left w:val="none" w:sz="0" w:space="0" w:color="auto"/>
                                <w:bottom w:val="none" w:sz="0" w:space="0" w:color="auto"/>
                                <w:right w:val="none" w:sz="0" w:space="0" w:color="auto"/>
                              </w:divBdr>
                            </w:div>
                            <w:div w:id="11620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8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1847">
          <w:marLeft w:val="0"/>
          <w:marRight w:val="0"/>
          <w:marTop w:val="150"/>
          <w:marBottom w:val="150"/>
          <w:divBdr>
            <w:top w:val="none" w:sz="0" w:space="0" w:color="339999"/>
            <w:left w:val="none" w:sz="0" w:space="0" w:color="339999"/>
            <w:bottom w:val="none" w:sz="0" w:space="0" w:color="339999"/>
            <w:right w:val="none" w:sz="0" w:space="0" w:color="339999"/>
          </w:divBdr>
          <w:divsChild>
            <w:div w:id="454837031">
              <w:marLeft w:val="0"/>
              <w:marRight w:val="0"/>
              <w:marTop w:val="0"/>
              <w:marBottom w:val="0"/>
              <w:divBdr>
                <w:top w:val="single" w:sz="24" w:space="8" w:color="339999"/>
                <w:left w:val="single" w:sz="24" w:space="8" w:color="339999"/>
                <w:bottom w:val="single" w:sz="24" w:space="8" w:color="339999"/>
                <w:right w:val="single" w:sz="24" w:space="8" w:color="339999"/>
              </w:divBdr>
              <w:divsChild>
                <w:div w:id="691304520">
                  <w:marLeft w:val="0"/>
                  <w:marRight w:val="0"/>
                  <w:marTop w:val="0"/>
                  <w:marBottom w:val="0"/>
                  <w:divBdr>
                    <w:top w:val="none" w:sz="0" w:space="0" w:color="auto"/>
                    <w:left w:val="none" w:sz="0" w:space="0" w:color="auto"/>
                    <w:bottom w:val="none" w:sz="0" w:space="0" w:color="auto"/>
                    <w:right w:val="none" w:sz="0" w:space="0" w:color="auto"/>
                  </w:divBdr>
                </w:div>
                <w:div w:id="1174690947">
                  <w:marLeft w:val="0"/>
                  <w:marRight w:val="0"/>
                  <w:marTop w:val="0"/>
                  <w:marBottom w:val="0"/>
                  <w:divBdr>
                    <w:top w:val="none" w:sz="0" w:space="0" w:color="auto"/>
                    <w:left w:val="none" w:sz="0" w:space="0" w:color="auto"/>
                    <w:bottom w:val="none" w:sz="0" w:space="0" w:color="auto"/>
                    <w:right w:val="none" w:sz="0" w:space="0" w:color="auto"/>
                  </w:divBdr>
                  <w:divsChild>
                    <w:div w:id="271397183">
                      <w:marLeft w:val="0"/>
                      <w:marRight w:val="0"/>
                      <w:marTop w:val="0"/>
                      <w:marBottom w:val="0"/>
                      <w:divBdr>
                        <w:top w:val="none" w:sz="0" w:space="0" w:color="auto"/>
                        <w:left w:val="none" w:sz="0" w:space="0" w:color="auto"/>
                        <w:bottom w:val="none" w:sz="0" w:space="0" w:color="auto"/>
                        <w:right w:val="none" w:sz="0" w:space="0" w:color="auto"/>
                      </w:divBdr>
                    </w:div>
                    <w:div w:id="2130314359">
                      <w:marLeft w:val="439"/>
                      <w:marRight w:val="0"/>
                      <w:marTop w:val="0"/>
                      <w:marBottom w:val="0"/>
                      <w:divBdr>
                        <w:top w:val="none" w:sz="0" w:space="0" w:color="auto"/>
                        <w:left w:val="none" w:sz="0" w:space="0" w:color="auto"/>
                        <w:bottom w:val="none" w:sz="0" w:space="0" w:color="auto"/>
                        <w:right w:val="none" w:sz="0" w:space="0" w:color="auto"/>
                      </w:divBdr>
                      <w:divsChild>
                        <w:div w:id="1036656349">
                          <w:marLeft w:val="0"/>
                          <w:marRight w:val="0"/>
                          <w:marTop w:val="0"/>
                          <w:marBottom w:val="0"/>
                          <w:divBdr>
                            <w:top w:val="none" w:sz="0" w:space="0" w:color="auto"/>
                            <w:left w:val="none" w:sz="0" w:space="0" w:color="auto"/>
                            <w:bottom w:val="none" w:sz="0" w:space="0" w:color="auto"/>
                            <w:right w:val="none" w:sz="0" w:space="0" w:color="auto"/>
                          </w:divBdr>
                          <w:divsChild>
                            <w:div w:id="248200649">
                              <w:marLeft w:val="0"/>
                              <w:marRight w:val="0"/>
                              <w:marTop w:val="0"/>
                              <w:marBottom w:val="0"/>
                              <w:divBdr>
                                <w:top w:val="none" w:sz="0" w:space="0" w:color="auto"/>
                                <w:left w:val="none" w:sz="0" w:space="0" w:color="auto"/>
                                <w:bottom w:val="none" w:sz="0" w:space="0" w:color="auto"/>
                                <w:right w:val="none" w:sz="0" w:space="0" w:color="auto"/>
                              </w:divBdr>
                            </w:div>
                            <w:div w:id="1419400613">
                              <w:marLeft w:val="176"/>
                              <w:marRight w:val="0"/>
                              <w:marTop w:val="0"/>
                              <w:marBottom w:val="0"/>
                              <w:divBdr>
                                <w:top w:val="none" w:sz="0" w:space="0" w:color="auto"/>
                                <w:left w:val="none" w:sz="0" w:space="0" w:color="auto"/>
                                <w:bottom w:val="none" w:sz="0" w:space="0" w:color="auto"/>
                                <w:right w:val="none" w:sz="0" w:space="0" w:color="auto"/>
                              </w:divBdr>
                            </w:div>
                          </w:divsChild>
                        </w:div>
                        <w:div w:id="1265696878">
                          <w:marLeft w:val="0"/>
                          <w:marRight w:val="0"/>
                          <w:marTop w:val="0"/>
                          <w:marBottom w:val="0"/>
                          <w:divBdr>
                            <w:top w:val="none" w:sz="0" w:space="0" w:color="auto"/>
                            <w:left w:val="none" w:sz="0" w:space="0" w:color="auto"/>
                            <w:bottom w:val="none" w:sz="0" w:space="0" w:color="auto"/>
                            <w:right w:val="none" w:sz="0" w:space="0" w:color="auto"/>
                          </w:divBdr>
                          <w:divsChild>
                            <w:div w:id="950283205">
                              <w:marLeft w:val="176"/>
                              <w:marRight w:val="0"/>
                              <w:marTop w:val="0"/>
                              <w:marBottom w:val="0"/>
                              <w:divBdr>
                                <w:top w:val="none" w:sz="0" w:space="0" w:color="auto"/>
                                <w:left w:val="none" w:sz="0" w:space="0" w:color="auto"/>
                                <w:bottom w:val="none" w:sz="0" w:space="0" w:color="auto"/>
                                <w:right w:val="none" w:sz="0" w:space="0" w:color="auto"/>
                              </w:divBdr>
                            </w:div>
                            <w:div w:id="1143884950">
                              <w:marLeft w:val="0"/>
                              <w:marRight w:val="0"/>
                              <w:marTop w:val="0"/>
                              <w:marBottom w:val="0"/>
                              <w:divBdr>
                                <w:top w:val="none" w:sz="0" w:space="0" w:color="auto"/>
                                <w:left w:val="none" w:sz="0" w:space="0" w:color="auto"/>
                                <w:bottom w:val="none" w:sz="0" w:space="0" w:color="auto"/>
                                <w:right w:val="none" w:sz="0" w:space="0" w:color="auto"/>
                              </w:divBdr>
                            </w:div>
                          </w:divsChild>
                        </w:div>
                        <w:div w:id="2056418462">
                          <w:marLeft w:val="0"/>
                          <w:marRight w:val="0"/>
                          <w:marTop w:val="0"/>
                          <w:marBottom w:val="0"/>
                          <w:divBdr>
                            <w:top w:val="none" w:sz="0" w:space="0" w:color="auto"/>
                            <w:left w:val="none" w:sz="0" w:space="0" w:color="auto"/>
                            <w:bottom w:val="none" w:sz="0" w:space="0" w:color="auto"/>
                            <w:right w:val="none" w:sz="0" w:space="0" w:color="auto"/>
                          </w:divBdr>
                          <w:divsChild>
                            <w:div w:id="243951159">
                              <w:marLeft w:val="0"/>
                              <w:marRight w:val="0"/>
                              <w:marTop w:val="0"/>
                              <w:marBottom w:val="0"/>
                              <w:divBdr>
                                <w:top w:val="none" w:sz="0" w:space="0" w:color="auto"/>
                                <w:left w:val="none" w:sz="0" w:space="0" w:color="auto"/>
                                <w:bottom w:val="none" w:sz="0" w:space="0" w:color="auto"/>
                                <w:right w:val="none" w:sz="0" w:space="0" w:color="auto"/>
                              </w:divBdr>
                            </w:div>
                            <w:div w:id="1616792214">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424976">
          <w:marLeft w:val="0"/>
          <w:marRight w:val="0"/>
          <w:marTop w:val="150"/>
          <w:marBottom w:val="150"/>
          <w:divBdr>
            <w:top w:val="none" w:sz="0" w:space="0" w:color="339999"/>
            <w:left w:val="none" w:sz="0" w:space="0" w:color="339999"/>
            <w:bottom w:val="none" w:sz="0" w:space="0" w:color="339999"/>
            <w:right w:val="none" w:sz="0" w:space="0" w:color="339999"/>
          </w:divBdr>
          <w:divsChild>
            <w:div w:id="149638081">
              <w:marLeft w:val="0"/>
              <w:marRight w:val="0"/>
              <w:marTop w:val="0"/>
              <w:marBottom w:val="0"/>
              <w:divBdr>
                <w:top w:val="single" w:sz="24" w:space="8" w:color="339999"/>
                <w:left w:val="single" w:sz="24" w:space="8" w:color="339999"/>
                <w:bottom w:val="single" w:sz="24" w:space="8" w:color="339999"/>
                <w:right w:val="single" w:sz="24" w:space="8" w:color="339999"/>
              </w:divBdr>
              <w:divsChild>
                <w:div w:id="330527409">
                  <w:marLeft w:val="0"/>
                  <w:marRight w:val="0"/>
                  <w:marTop w:val="0"/>
                  <w:marBottom w:val="0"/>
                  <w:divBdr>
                    <w:top w:val="none" w:sz="0" w:space="0" w:color="auto"/>
                    <w:left w:val="none" w:sz="0" w:space="0" w:color="auto"/>
                    <w:bottom w:val="none" w:sz="0" w:space="0" w:color="auto"/>
                    <w:right w:val="none" w:sz="0" w:space="0" w:color="auto"/>
                  </w:divBdr>
                </w:div>
                <w:div w:id="2080858259">
                  <w:marLeft w:val="0"/>
                  <w:marRight w:val="0"/>
                  <w:marTop w:val="0"/>
                  <w:marBottom w:val="0"/>
                  <w:divBdr>
                    <w:top w:val="none" w:sz="0" w:space="0" w:color="auto"/>
                    <w:left w:val="none" w:sz="0" w:space="0" w:color="auto"/>
                    <w:bottom w:val="none" w:sz="0" w:space="0" w:color="auto"/>
                    <w:right w:val="none" w:sz="0" w:space="0" w:color="auto"/>
                  </w:divBdr>
                  <w:divsChild>
                    <w:div w:id="325789605">
                      <w:marLeft w:val="439"/>
                      <w:marRight w:val="0"/>
                      <w:marTop w:val="0"/>
                      <w:marBottom w:val="0"/>
                      <w:divBdr>
                        <w:top w:val="none" w:sz="0" w:space="0" w:color="auto"/>
                        <w:left w:val="none" w:sz="0" w:space="0" w:color="auto"/>
                        <w:bottom w:val="none" w:sz="0" w:space="0" w:color="auto"/>
                        <w:right w:val="none" w:sz="0" w:space="0" w:color="auto"/>
                      </w:divBdr>
                      <w:divsChild>
                        <w:div w:id="30618034">
                          <w:marLeft w:val="0"/>
                          <w:marRight w:val="0"/>
                          <w:marTop w:val="0"/>
                          <w:marBottom w:val="0"/>
                          <w:divBdr>
                            <w:top w:val="none" w:sz="0" w:space="0" w:color="auto"/>
                            <w:left w:val="none" w:sz="0" w:space="0" w:color="auto"/>
                            <w:bottom w:val="none" w:sz="0" w:space="0" w:color="auto"/>
                            <w:right w:val="none" w:sz="0" w:space="0" w:color="auto"/>
                          </w:divBdr>
                          <w:divsChild>
                            <w:div w:id="76942427">
                              <w:marLeft w:val="176"/>
                              <w:marRight w:val="0"/>
                              <w:marTop w:val="0"/>
                              <w:marBottom w:val="0"/>
                              <w:divBdr>
                                <w:top w:val="none" w:sz="0" w:space="0" w:color="auto"/>
                                <w:left w:val="none" w:sz="0" w:space="0" w:color="auto"/>
                                <w:bottom w:val="none" w:sz="0" w:space="0" w:color="auto"/>
                                <w:right w:val="none" w:sz="0" w:space="0" w:color="auto"/>
                              </w:divBdr>
                            </w:div>
                            <w:div w:id="364642975">
                              <w:marLeft w:val="0"/>
                              <w:marRight w:val="0"/>
                              <w:marTop w:val="0"/>
                              <w:marBottom w:val="0"/>
                              <w:divBdr>
                                <w:top w:val="none" w:sz="0" w:space="0" w:color="auto"/>
                                <w:left w:val="none" w:sz="0" w:space="0" w:color="auto"/>
                                <w:bottom w:val="none" w:sz="0" w:space="0" w:color="auto"/>
                                <w:right w:val="none" w:sz="0" w:space="0" w:color="auto"/>
                              </w:divBdr>
                            </w:div>
                          </w:divsChild>
                        </w:div>
                        <w:div w:id="75828072">
                          <w:marLeft w:val="0"/>
                          <w:marRight w:val="0"/>
                          <w:marTop w:val="0"/>
                          <w:marBottom w:val="0"/>
                          <w:divBdr>
                            <w:top w:val="none" w:sz="0" w:space="0" w:color="auto"/>
                            <w:left w:val="none" w:sz="0" w:space="0" w:color="auto"/>
                            <w:bottom w:val="none" w:sz="0" w:space="0" w:color="auto"/>
                            <w:right w:val="none" w:sz="0" w:space="0" w:color="auto"/>
                          </w:divBdr>
                          <w:divsChild>
                            <w:div w:id="415905781">
                              <w:marLeft w:val="0"/>
                              <w:marRight w:val="0"/>
                              <w:marTop w:val="0"/>
                              <w:marBottom w:val="0"/>
                              <w:divBdr>
                                <w:top w:val="none" w:sz="0" w:space="0" w:color="auto"/>
                                <w:left w:val="none" w:sz="0" w:space="0" w:color="auto"/>
                                <w:bottom w:val="none" w:sz="0" w:space="0" w:color="auto"/>
                                <w:right w:val="none" w:sz="0" w:space="0" w:color="auto"/>
                              </w:divBdr>
                            </w:div>
                            <w:div w:id="1297375726">
                              <w:marLeft w:val="176"/>
                              <w:marRight w:val="0"/>
                              <w:marTop w:val="0"/>
                              <w:marBottom w:val="0"/>
                              <w:divBdr>
                                <w:top w:val="none" w:sz="0" w:space="0" w:color="auto"/>
                                <w:left w:val="none" w:sz="0" w:space="0" w:color="auto"/>
                                <w:bottom w:val="none" w:sz="0" w:space="0" w:color="auto"/>
                                <w:right w:val="none" w:sz="0" w:space="0" w:color="auto"/>
                              </w:divBdr>
                            </w:div>
                          </w:divsChild>
                        </w:div>
                        <w:div w:id="770056001">
                          <w:marLeft w:val="0"/>
                          <w:marRight w:val="0"/>
                          <w:marTop w:val="0"/>
                          <w:marBottom w:val="0"/>
                          <w:divBdr>
                            <w:top w:val="none" w:sz="0" w:space="0" w:color="auto"/>
                            <w:left w:val="none" w:sz="0" w:space="0" w:color="auto"/>
                            <w:bottom w:val="none" w:sz="0" w:space="0" w:color="auto"/>
                            <w:right w:val="none" w:sz="0" w:space="0" w:color="auto"/>
                          </w:divBdr>
                          <w:divsChild>
                            <w:div w:id="300572755">
                              <w:marLeft w:val="0"/>
                              <w:marRight w:val="0"/>
                              <w:marTop w:val="0"/>
                              <w:marBottom w:val="0"/>
                              <w:divBdr>
                                <w:top w:val="none" w:sz="0" w:space="0" w:color="auto"/>
                                <w:left w:val="none" w:sz="0" w:space="0" w:color="auto"/>
                                <w:bottom w:val="none" w:sz="0" w:space="0" w:color="auto"/>
                                <w:right w:val="none" w:sz="0" w:space="0" w:color="auto"/>
                              </w:divBdr>
                            </w:div>
                            <w:div w:id="1673140567">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 w:id="4071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0887">
          <w:marLeft w:val="0"/>
          <w:marRight w:val="0"/>
          <w:marTop w:val="150"/>
          <w:marBottom w:val="150"/>
          <w:divBdr>
            <w:top w:val="none" w:sz="0" w:space="0" w:color="339999"/>
            <w:left w:val="none" w:sz="0" w:space="0" w:color="339999"/>
            <w:bottom w:val="none" w:sz="0" w:space="0" w:color="339999"/>
            <w:right w:val="none" w:sz="0" w:space="0" w:color="339999"/>
          </w:divBdr>
          <w:divsChild>
            <w:div w:id="1103308505">
              <w:marLeft w:val="0"/>
              <w:marRight w:val="0"/>
              <w:marTop w:val="0"/>
              <w:marBottom w:val="0"/>
              <w:divBdr>
                <w:top w:val="single" w:sz="24" w:space="8" w:color="339999"/>
                <w:left w:val="single" w:sz="24" w:space="8" w:color="339999"/>
                <w:bottom w:val="single" w:sz="24" w:space="8" w:color="339999"/>
                <w:right w:val="single" w:sz="24" w:space="8" w:color="339999"/>
              </w:divBdr>
              <w:divsChild>
                <w:div w:id="1539513351">
                  <w:marLeft w:val="0"/>
                  <w:marRight w:val="0"/>
                  <w:marTop w:val="0"/>
                  <w:marBottom w:val="0"/>
                  <w:divBdr>
                    <w:top w:val="none" w:sz="0" w:space="0" w:color="auto"/>
                    <w:left w:val="none" w:sz="0" w:space="0" w:color="auto"/>
                    <w:bottom w:val="none" w:sz="0" w:space="0" w:color="auto"/>
                    <w:right w:val="none" w:sz="0" w:space="0" w:color="auto"/>
                  </w:divBdr>
                </w:div>
                <w:div w:id="1566449722">
                  <w:marLeft w:val="0"/>
                  <w:marRight w:val="0"/>
                  <w:marTop w:val="0"/>
                  <w:marBottom w:val="0"/>
                  <w:divBdr>
                    <w:top w:val="none" w:sz="0" w:space="0" w:color="auto"/>
                    <w:left w:val="none" w:sz="0" w:space="0" w:color="auto"/>
                    <w:bottom w:val="none" w:sz="0" w:space="0" w:color="auto"/>
                    <w:right w:val="none" w:sz="0" w:space="0" w:color="auto"/>
                  </w:divBdr>
                  <w:divsChild>
                    <w:div w:id="388653078">
                      <w:marLeft w:val="439"/>
                      <w:marRight w:val="0"/>
                      <w:marTop w:val="0"/>
                      <w:marBottom w:val="0"/>
                      <w:divBdr>
                        <w:top w:val="none" w:sz="0" w:space="0" w:color="auto"/>
                        <w:left w:val="none" w:sz="0" w:space="0" w:color="auto"/>
                        <w:bottom w:val="none" w:sz="0" w:space="0" w:color="auto"/>
                        <w:right w:val="none" w:sz="0" w:space="0" w:color="auto"/>
                      </w:divBdr>
                      <w:divsChild>
                        <w:div w:id="486092004">
                          <w:marLeft w:val="0"/>
                          <w:marRight w:val="0"/>
                          <w:marTop w:val="0"/>
                          <w:marBottom w:val="0"/>
                          <w:divBdr>
                            <w:top w:val="none" w:sz="0" w:space="0" w:color="auto"/>
                            <w:left w:val="none" w:sz="0" w:space="0" w:color="auto"/>
                            <w:bottom w:val="none" w:sz="0" w:space="0" w:color="auto"/>
                            <w:right w:val="none" w:sz="0" w:space="0" w:color="auto"/>
                          </w:divBdr>
                          <w:divsChild>
                            <w:div w:id="443884123">
                              <w:marLeft w:val="176"/>
                              <w:marRight w:val="0"/>
                              <w:marTop w:val="0"/>
                              <w:marBottom w:val="0"/>
                              <w:divBdr>
                                <w:top w:val="none" w:sz="0" w:space="0" w:color="auto"/>
                                <w:left w:val="none" w:sz="0" w:space="0" w:color="auto"/>
                                <w:bottom w:val="none" w:sz="0" w:space="0" w:color="auto"/>
                                <w:right w:val="none" w:sz="0" w:space="0" w:color="auto"/>
                              </w:divBdr>
                            </w:div>
                            <w:div w:id="1236353136">
                              <w:marLeft w:val="0"/>
                              <w:marRight w:val="0"/>
                              <w:marTop w:val="0"/>
                              <w:marBottom w:val="0"/>
                              <w:divBdr>
                                <w:top w:val="none" w:sz="0" w:space="0" w:color="auto"/>
                                <w:left w:val="none" w:sz="0" w:space="0" w:color="auto"/>
                                <w:bottom w:val="none" w:sz="0" w:space="0" w:color="auto"/>
                                <w:right w:val="none" w:sz="0" w:space="0" w:color="auto"/>
                              </w:divBdr>
                            </w:div>
                          </w:divsChild>
                        </w:div>
                        <w:div w:id="492529508">
                          <w:marLeft w:val="0"/>
                          <w:marRight w:val="0"/>
                          <w:marTop w:val="0"/>
                          <w:marBottom w:val="0"/>
                          <w:divBdr>
                            <w:top w:val="none" w:sz="0" w:space="0" w:color="auto"/>
                            <w:left w:val="none" w:sz="0" w:space="0" w:color="auto"/>
                            <w:bottom w:val="none" w:sz="0" w:space="0" w:color="auto"/>
                            <w:right w:val="none" w:sz="0" w:space="0" w:color="auto"/>
                          </w:divBdr>
                          <w:divsChild>
                            <w:div w:id="921451718">
                              <w:marLeft w:val="176"/>
                              <w:marRight w:val="0"/>
                              <w:marTop w:val="0"/>
                              <w:marBottom w:val="0"/>
                              <w:divBdr>
                                <w:top w:val="none" w:sz="0" w:space="0" w:color="auto"/>
                                <w:left w:val="none" w:sz="0" w:space="0" w:color="auto"/>
                                <w:bottom w:val="none" w:sz="0" w:space="0" w:color="auto"/>
                                <w:right w:val="none" w:sz="0" w:space="0" w:color="auto"/>
                              </w:divBdr>
                            </w:div>
                            <w:div w:id="2028174339">
                              <w:marLeft w:val="0"/>
                              <w:marRight w:val="0"/>
                              <w:marTop w:val="0"/>
                              <w:marBottom w:val="0"/>
                              <w:divBdr>
                                <w:top w:val="none" w:sz="0" w:space="0" w:color="auto"/>
                                <w:left w:val="none" w:sz="0" w:space="0" w:color="auto"/>
                                <w:bottom w:val="none" w:sz="0" w:space="0" w:color="auto"/>
                                <w:right w:val="none" w:sz="0" w:space="0" w:color="auto"/>
                              </w:divBdr>
                            </w:div>
                          </w:divsChild>
                        </w:div>
                        <w:div w:id="747963335">
                          <w:marLeft w:val="0"/>
                          <w:marRight w:val="0"/>
                          <w:marTop w:val="0"/>
                          <w:marBottom w:val="0"/>
                          <w:divBdr>
                            <w:top w:val="none" w:sz="0" w:space="0" w:color="auto"/>
                            <w:left w:val="none" w:sz="0" w:space="0" w:color="auto"/>
                            <w:bottom w:val="none" w:sz="0" w:space="0" w:color="auto"/>
                            <w:right w:val="none" w:sz="0" w:space="0" w:color="auto"/>
                          </w:divBdr>
                          <w:divsChild>
                            <w:div w:id="760689051">
                              <w:marLeft w:val="176"/>
                              <w:marRight w:val="0"/>
                              <w:marTop w:val="0"/>
                              <w:marBottom w:val="0"/>
                              <w:divBdr>
                                <w:top w:val="none" w:sz="0" w:space="0" w:color="auto"/>
                                <w:left w:val="none" w:sz="0" w:space="0" w:color="auto"/>
                                <w:bottom w:val="none" w:sz="0" w:space="0" w:color="auto"/>
                                <w:right w:val="none" w:sz="0" w:space="0" w:color="auto"/>
                              </w:divBdr>
                            </w:div>
                            <w:div w:id="8874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72296">
          <w:marLeft w:val="0"/>
          <w:marRight w:val="0"/>
          <w:marTop w:val="150"/>
          <w:marBottom w:val="150"/>
          <w:divBdr>
            <w:top w:val="none" w:sz="0" w:space="0" w:color="339999"/>
            <w:left w:val="none" w:sz="0" w:space="0" w:color="339999"/>
            <w:bottom w:val="none" w:sz="0" w:space="0" w:color="339999"/>
            <w:right w:val="none" w:sz="0" w:space="0" w:color="339999"/>
          </w:divBdr>
          <w:divsChild>
            <w:div w:id="1494102813">
              <w:marLeft w:val="0"/>
              <w:marRight w:val="0"/>
              <w:marTop w:val="0"/>
              <w:marBottom w:val="0"/>
              <w:divBdr>
                <w:top w:val="single" w:sz="24" w:space="8" w:color="339999"/>
                <w:left w:val="single" w:sz="24" w:space="8" w:color="339999"/>
                <w:bottom w:val="single" w:sz="24" w:space="8" w:color="339999"/>
                <w:right w:val="single" w:sz="24" w:space="8" w:color="339999"/>
              </w:divBdr>
              <w:divsChild>
                <w:div w:id="1340541703">
                  <w:marLeft w:val="0"/>
                  <w:marRight w:val="0"/>
                  <w:marTop w:val="0"/>
                  <w:marBottom w:val="0"/>
                  <w:divBdr>
                    <w:top w:val="none" w:sz="0" w:space="0" w:color="auto"/>
                    <w:left w:val="none" w:sz="0" w:space="0" w:color="auto"/>
                    <w:bottom w:val="none" w:sz="0" w:space="0" w:color="auto"/>
                    <w:right w:val="none" w:sz="0" w:space="0" w:color="auto"/>
                  </w:divBdr>
                  <w:divsChild>
                    <w:div w:id="1533154651">
                      <w:marLeft w:val="439"/>
                      <w:marRight w:val="0"/>
                      <w:marTop w:val="0"/>
                      <w:marBottom w:val="0"/>
                      <w:divBdr>
                        <w:top w:val="none" w:sz="0" w:space="0" w:color="auto"/>
                        <w:left w:val="none" w:sz="0" w:space="0" w:color="auto"/>
                        <w:bottom w:val="none" w:sz="0" w:space="0" w:color="auto"/>
                        <w:right w:val="none" w:sz="0" w:space="0" w:color="auto"/>
                      </w:divBdr>
                      <w:divsChild>
                        <w:div w:id="857623456">
                          <w:marLeft w:val="0"/>
                          <w:marRight w:val="0"/>
                          <w:marTop w:val="0"/>
                          <w:marBottom w:val="0"/>
                          <w:divBdr>
                            <w:top w:val="none" w:sz="0" w:space="0" w:color="auto"/>
                            <w:left w:val="none" w:sz="0" w:space="0" w:color="auto"/>
                            <w:bottom w:val="none" w:sz="0" w:space="0" w:color="auto"/>
                            <w:right w:val="none" w:sz="0" w:space="0" w:color="auto"/>
                          </w:divBdr>
                          <w:divsChild>
                            <w:div w:id="137190984">
                              <w:marLeft w:val="0"/>
                              <w:marRight w:val="0"/>
                              <w:marTop w:val="0"/>
                              <w:marBottom w:val="0"/>
                              <w:divBdr>
                                <w:top w:val="none" w:sz="0" w:space="0" w:color="auto"/>
                                <w:left w:val="none" w:sz="0" w:space="0" w:color="auto"/>
                                <w:bottom w:val="none" w:sz="0" w:space="0" w:color="auto"/>
                                <w:right w:val="none" w:sz="0" w:space="0" w:color="auto"/>
                              </w:divBdr>
                            </w:div>
                            <w:div w:id="349569259">
                              <w:marLeft w:val="176"/>
                              <w:marRight w:val="0"/>
                              <w:marTop w:val="0"/>
                              <w:marBottom w:val="0"/>
                              <w:divBdr>
                                <w:top w:val="none" w:sz="0" w:space="0" w:color="auto"/>
                                <w:left w:val="none" w:sz="0" w:space="0" w:color="auto"/>
                                <w:bottom w:val="none" w:sz="0" w:space="0" w:color="auto"/>
                                <w:right w:val="none" w:sz="0" w:space="0" w:color="auto"/>
                              </w:divBdr>
                            </w:div>
                          </w:divsChild>
                        </w:div>
                        <w:div w:id="1188712928">
                          <w:marLeft w:val="0"/>
                          <w:marRight w:val="0"/>
                          <w:marTop w:val="0"/>
                          <w:marBottom w:val="0"/>
                          <w:divBdr>
                            <w:top w:val="none" w:sz="0" w:space="0" w:color="auto"/>
                            <w:left w:val="none" w:sz="0" w:space="0" w:color="auto"/>
                            <w:bottom w:val="none" w:sz="0" w:space="0" w:color="auto"/>
                            <w:right w:val="none" w:sz="0" w:space="0" w:color="auto"/>
                          </w:divBdr>
                          <w:divsChild>
                            <w:div w:id="1698117082">
                              <w:marLeft w:val="0"/>
                              <w:marRight w:val="0"/>
                              <w:marTop w:val="0"/>
                              <w:marBottom w:val="0"/>
                              <w:divBdr>
                                <w:top w:val="none" w:sz="0" w:space="0" w:color="auto"/>
                                <w:left w:val="none" w:sz="0" w:space="0" w:color="auto"/>
                                <w:bottom w:val="none" w:sz="0" w:space="0" w:color="auto"/>
                                <w:right w:val="none" w:sz="0" w:space="0" w:color="auto"/>
                              </w:divBdr>
                            </w:div>
                            <w:div w:id="1971128869">
                              <w:marLeft w:val="176"/>
                              <w:marRight w:val="0"/>
                              <w:marTop w:val="0"/>
                              <w:marBottom w:val="0"/>
                              <w:divBdr>
                                <w:top w:val="none" w:sz="0" w:space="0" w:color="auto"/>
                                <w:left w:val="none" w:sz="0" w:space="0" w:color="auto"/>
                                <w:bottom w:val="none" w:sz="0" w:space="0" w:color="auto"/>
                                <w:right w:val="none" w:sz="0" w:space="0" w:color="auto"/>
                              </w:divBdr>
                            </w:div>
                          </w:divsChild>
                        </w:div>
                        <w:div w:id="1986155275">
                          <w:marLeft w:val="0"/>
                          <w:marRight w:val="0"/>
                          <w:marTop w:val="0"/>
                          <w:marBottom w:val="0"/>
                          <w:divBdr>
                            <w:top w:val="none" w:sz="0" w:space="0" w:color="auto"/>
                            <w:left w:val="none" w:sz="0" w:space="0" w:color="auto"/>
                            <w:bottom w:val="none" w:sz="0" w:space="0" w:color="auto"/>
                            <w:right w:val="none" w:sz="0" w:space="0" w:color="auto"/>
                          </w:divBdr>
                          <w:divsChild>
                            <w:div w:id="553859588">
                              <w:marLeft w:val="0"/>
                              <w:marRight w:val="0"/>
                              <w:marTop w:val="0"/>
                              <w:marBottom w:val="0"/>
                              <w:divBdr>
                                <w:top w:val="none" w:sz="0" w:space="0" w:color="auto"/>
                                <w:left w:val="none" w:sz="0" w:space="0" w:color="auto"/>
                                <w:bottom w:val="none" w:sz="0" w:space="0" w:color="auto"/>
                                <w:right w:val="none" w:sz="0" w:space="0" w:color="auto"/>
                              </w:divBdr>
                            </w:div>
                            <w:div w:id="1421564630">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 w:id="1584686077">
                      <w:marLeft w:val="0"/>
                      <w:marRight w:val="0"/>
                      <w:marTop w:val="0"/>
                      <w:marBottom w:val="0"/>
                      <w:divBdr>
                        <w:top w:val="none" w:sz="0" w:space="0" w:color="auto"/>
                        <w:left w:val="none" w:sz="0" w:space="0" w:color="auto"/>
                        <w:bottom w:val="none" w:sz="0" w:space="0" w:color="auto"/>
                        <w:right w:val="none" w:sz="0" w:space="0" w:color="auto"/>
                      </w:divBdr>
                    </w:div>
                  </w:divsChild>
                </w:div>
                <w:div w:id="20322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58025">
          <w:marLeft w:val="0"/>
          <w:marRight w:val="0"/>
          <w:marTop w:val="150"/>
          <w:marBottom w:val="150"/>
          <w:divBdr>
            <w:top w:val="none" w:sz="0" w:space="0" w:color="339999"/>
            <w:left w:val="none" w:sz="0" w:space="0" w:color="339999"/>
            <w:bottom w:val="none" w:sz="0" w:space="0" w:color="339999"/>
            <w:right w:val="none" w:sz="0" w:space="0" w:color="339999"/>
          </w:divBdr>
          <w:divsChild>
            <w:div w:id="1712337950">
              <w:marLeft w:val="0"/>
              <w:marRight w:val="0"/>
              <w:marTop w:val="0"/>
              <w:marBottom w:val="0"/>
              <w:divBdr>
                <w:top w:val="single" w:sz="24" w:space="8" w:color="339999"/>
                <w:left w:val="single" w:sz="24" w:space="8" w:color="339999"/>
                <w:bottom w:val="single" w:sz="24" w:space="8" w:color="339999"/>
                <w:right w:val="single" w:sz="24" w:space="8" w:color="339999"/>
              </w:divBdr>
              <w:divsChild>
                <w:div w:id="1537355124">
                  <w:marLeft w:val="0"/>
                  <w:marRight w:val="0"/>
                  <w:marTop w:val="0"/>
                  <w:marBottom w:val="0"/>
                  <w:divBdr>
                    <w:top w:val="none" w:sz="0" w:space="0" w:color="auto"/>
                    <w:left w:val="none" w:sz="0" w:space="0" w:color="auto"/>
                    <w:bottom w:val="none" w:sz="0" w:space="0" w:color="auto"/>
                    <w:right w:val="none" w:sz="0" w:space="0" w:color="auto"/>
                  </w:divBdr>
                  <w:divsChild>
                    <w:div w:id="56629973">
                      <w:marLeft w:val="439"/>
                      <w:marRight w:val="0"/>
                      <w:marTop w:val="0"/>
                      <w:marBottom w:val="0"/>
                      <w:divBdr>
                        <w:top w:val="none" w:sz="0" w:space="0" w:color="auto"/>
                        <w:left w:val="none" w:sz="0" w:space="0" w:color="auto"/>
                        <w:bottom w:val="none" w:sz="0" w:space="0" w:color="auto"/>
                        <w:right w:val="none" w:sz="0" w:space="0" w:color="auto"/>
                      </w:divBdr>
                      <w:divsChild>
                        <w:div w:id="144249494">
                          <w:marLeft w:val="0"/>
                          <w:marRight w:val="0"/>
                          <w:marTop w:val="0"/>
                          <w:marBottom w:val="0"/>
                          <w:divBdr>
                            <w:top w:val="none" w:sz="0" w:space="0" w:color="auto"/>
                            <w:left w:val="none" w:sz="0" w:space="0" w:color="auto"/>
                            <w:bottom w:val="none" w:sz="0" w:space="0" w:color="auto"/>
                            <w:right w:val="none" w:sz="0" w:space="0" w:color="auto"/>
                          </w:divBdr>
                          <w:divsChild>
                            <w:div w:id="418142985">
                              <w:marLeft w:val="176"/>
                              <w:marRight w:val="0"/>
                              <w:marTop w:val="0"/>
                              <w:marBottom w:val="0"/>
                              <w:divBdr>
                                <w:top w:val="none" w:sz="0" w:space="0" w:color="auto"/>
                                <w:left w:val="none" w:sz="0" w:space="0" w:color="auto"/>
                                <w:bottom w:val="none" w:sz="0" w:space="0" w:color="auto"/>
                                <w:right w:val="none" w:sz="0" w:space="0" w:color="auto"/>
                              </w:divBdr>
                            </w:div>
                            <w:div w:id="910307746">
                              <w:marLeft w:val="0"/>
                              <w:marRight w:val="0"/>
                              <w:marTop w:val="0"/>
                              <w:marBottom w:val="0"/>
                              <w:divBdr>
                                <w:top w:val="none" w:sz="0" w:space="0" w:color="auto"/>
                                <w:left w:val="none" w:sz="0" w:space="0" w:color="auto"/>
                                <w:bottom w:val="none" w:sz="0" w:space="0" w:color="auto"/>
                                <w:right w:val="none" w:sz="0" w:space="0" w:color="auto"/>
                              </w:divBdr>
                            </w:div>
                          </w:divsChild>
                        </w:div>
                        <w:div w:id="1322464176">
                          <w:marLeft w:val="0"/>
                          <w:marRight w:val="0"/>
                          <w:marTop w:val="0"/>
                          <w:marBottom w:val="0"/>
                          <w:divBdr>
                            <w:top w:val="none" w:sz="0" w:space="0" w:color="auto"/>
                            <w:left w:val="none" w:sz="0" w:space="0" w:color="auto"/>
                            <w:bottom w:val="none" w:sz="0" w:space="0" w:color="auto"/>
                            <w:right w:val="none" w:sz="0" w:space="0" w:color="auto"/>
                          </w:divBdr>
                          <w:divsChild>
                            <w:div w:id="234316230">
                              <w:marLeft w:val="0"/>
                              <w:marRight w:val="0"/>
                              <w:marTop w:val="0"/>
                              <w:marBottom w:val="0"/>
                              <w:divBdr>
                                <w:top w:val="none" w:sz="0" w:space="0" w:color="auto"/>
                                <w:left w:val="none" w:sz="0" w:space="0" w:color="auto"/>
                                <w:bottom w:val="none" w:sz="0" w:space="0" w:color="auto"/>
                                <w:right w:val="none" w:sz="0" w:space="0" w:color="auto"/>
                              </w:divBdr>
                            </w:div>
                            <w:div w:id="295067763">
                              <w:marLeft w:val="176"/>
                              <w:marRight w:val="0"/>
                              <w:marTop w:val="0"/>
                              <w:marBottom w:val="0"/>
                              <w:divBdr>
                                <w:top w:val="none" w:sz="0" w:space="0" w:color="auto"/>
                                <w:left w:val="none" w:sz="0" w:space="0" w:color="auto"/>
                                <w:bottom w:val="none" w:sz="0" w:space="0" w:color="auto"/>
                                <w:right w:val="none" w:sz="0" w:space="0" w:color="auto"/>
                              </w:divBdr>
                            </w:div>
                          </w:divsChild>
                        </w:div>
                        <w:div w:id="1961497996">
                          <w:marLeft w:val="0"/>
                          <w:marRight w:val="0"/>
                          <w:marTop w:val="0"/>
                          <w:marBottom w:val="0"/>
                          <w:divBdr>
                            <w:top w:val="none" w:sz="0" w:space="0" w:color="auto"/>
                            <w:left w:val="none" w:sz="0" w:space="0" w:color="auto"/>
                            <w:bottom w:val="none" w:sz="0" w:space="0" w:color="auto"/>
                            <w:right w:val="none" w:sz="0" w:space="0" w:color="auto"/>
                          </w:divBdr>
                          <w:divsChild>
                            <w:div w:id="4209118">
                              <w:marLeft w:val="0"/>
                              <w:marRight w:val="0"/>
                              <w:marTop w:val="0"/>
                              <w:marBottom w:val="0"/>
                              <w:divBdr>
                                <w:top w:val="none" w:sz="0" w:space="0" w:color="auto"/>
                                <w:left w:val="none" w:sz="0" w:space="0" w:color="auto"/>
                                <w:bottom w:val="none" w:sz="0" w:space="0" w:color="auto"/>
                                <w:right w:val="none" w:sz="0" w:space="0" w:color="auto"/>
                              </w:divBdr>
                            </w:div>
                            <w:div w:id="244536736">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 w:id="369451465">
                      <w:marLeft w:val="0"/>
                      <w:marRight w:val="0"/>
                      <w:marTop w:val="0"/>
                      <w:marBottom w:val="0"/>
                      <w:divBdr>
                        <w:top w:val="none" w:sz="0" w:space="0" w:color="auto"/>
                        <w:left w:val="none" w:sz="0" w:space="0" w:color="auto"/>
                        <w:bottom w:val="none" w:sz="0" w:space="0" w:color="auto"/>
                        <w:right w:val="none" w:sz="0" w:space="0" w:color="auto"/>
                      </w:divBdr>
                    </w:div>
                  </w:divsChild>
                </w:div>
                <w:div w:id="15508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7923">
      <w:bodyDiv w:val="1"/>
      <w:marLeft w:val="0"/>
      <w:marRight w:val="0"/>
      <w:marTop w:val="0"/>
      <w:marBottom w:val="0"/>
      <w:divBdr>
        <w:top w:val="none" w:sz="0" w:space="0" w:color="auto"/>
        <w:left w:val="none" w:sz="0" w:space="0" w:color="auto"/>
        <w:bottom w:val="none" w:sz="0" w:space="0" w:color="auto"/>
        <w:right w:val="none" w:sz="0" w:space="0" w:color="auto"/>
      </w:divBdr>
      <w:divsChild>
        <w:div w:id="1312639641">
          <w:marLeft w:val="0"/>
          <w:marRight w:val="0"/>
          <w:marTop w:val="0"/>
          <w:marBottom w:val="0"/>
          <w:divBdr>
            <w:top w:val="single" w:sz="24" w:space="8" w:color="339999"/>
            <w:left w:val="single" w:sz="24" w:space="8" w:color="339999"/>
            <w:bottom w:val="single" w:sz="24" w:space="8" w:color="339999"/>
            <w:right w:val="single" w:sz="24" w:space="8" w:color="339999"/>
          </w:divBdr>
          <w:divsChild>
            <w:div w:id="853885542">
              <w:marLeft w:val="0"/>
              <w:marRight w:val="0"/>
              <w:marTop w:val="0"/>
              <w:marBottom w:val="0"/>
              <w:divBdr>
                <w:top w:val="none" w:sz="0" w:space="0" w:color="auto"/>
                <w:left w:val="none" w:sz="0" w:space="0" w:color="auto"/>
                <w:bottom w:val="none" w:sz="0" w:space="0" w:color="auto"/>
                <w:right w:val="none" w:sz="0" w:space="0" w:color="auto"/>
              </w:divBdr>
              <w:divsChild>
                <w:div w:id="724108736">
                  <w:marLeft w:val="439"/>
                  <w:marRight w:val="0"/>
                  <w:marTop w:val="0"/>
                  <w:marBottom w:val="0"/>
                  <w:divBdr>
                    <w:top w:val="none" w:sz="0" w:space="0" w:color="auto"/>
                    <w:left w:val="none" w:sz="0" w:space="0" w:color="auto"/>
                    <w:bottom w:val="none" w:sz="0" w:space="0" w:color="auto"/>
                    <w:right w:val="none" w:sz="0" w:space="0" w:color="auto"/>
                  </w:divBdr>
                  <w:divsChild>
                    <w:div w:id="555894384">
                      <w:marLeft w:val="0"/>
                      <w:marRight w:val="0"/>
                      <w:marTop w:val="0"/>
                      <w:marBottom w:val="0"/>
                      <w:divBdr>
                        <w:top w:val="none" w:sz="0" w:space="0" w:color="auto"/>
                        <w:left w:val="none" w:sz="0" w:space="0" w:color="auto"/>
                        <w:bottom w:val="none" w:sz="0" w:space="0" w:color="auto"/>
                        <w:right w:val="none" w:sz="0" w:space="0" w:color="auto"/>
                      </w:divBdr>
                      <w:divsChild>
                        <w:div w:id="552160481">
                          <w:marLeft w:val="0"/>
                          <w:marRight w:val="0"/>
                          <w:marTop w:val="0"/>
                          <w:marBottom w:val="0"/>
                          <w:divBdr>
                            <w:top w:val="none" w:sz="0" w:space="0" w:color="auto"/>
                            <w:left w:val="none" w:sz="0" w:space="0" w:color="auto"/>
                            <w:bottom w:val="none" w:sz="0" w:space="0" w:color="auto"/>
                            <w:right w:val="none" w:sz="0" w:space="0" w:color="auto"/>
                          </w:divBdr>
                        </w:div>
                        <w:div w:id="2034114546">
                          <w:marLeft w:val="176"/>
                          <w:marRight w:val="0"/>
                          <w:marTop w:val="0"/>
                          <w:marBottom w:val="0"/>
                          <w:divBdr>
                            <w:top w:val="none" w:sz="0" w:space="0" w:color="auto"/>
                            <w:left w:val="none" w:sz="0" w:space="0" w:color="auto"/>
                            <w:bottom w:val="none" w:sz="0" w:space="0" w:color="auto"/>
                            <w:right w:val="none" w:sz="0" w:space="0" w:color="auto"/>
                          </w:divBdr>
                        </w:div>
                      </w:divsChild>
                    </w:div>
                    <w:div w:id="987562316">
                      <w:marLeft w:val="0"/>
                      <w:marRight w:val="0"/>
                      <w:marTop w:val="0"/>
                      <w:marBottom w:val="0"/>
                      <w:divBdr>
                        <w:top w:val="none" w:sz="0" w:space="0" w:color="auto"/>
                        <w:left w:val="none" w:sz="0" w:space="0" w:color="auto"/>
                        <w:bottom w:val="none" w:sz="0" w:space="0" w:color="auto"/>
                        <w:right w:val="none" w:sz="0" w:space="0" w:color="auto"/>
                      </w:divBdr>
                      <w:divsChild>
                        <w:div w:id="561450290">
                          <w:marLeft w:val="176"/>
                          <w:marRight w:val="0"/>
                          <w:marTop w:val="0"/>
                          <w:marBottom w:val="0"/>
                          <w:divBdr>
                            <w:top w:val="none" w:sz="0" w:space="0" w:color="auto"/>
                            <w:left w:val="none" w:sz="0" w:space="0" w:color="auto"/>
                            <w:bottom w:val="none" w:sz="0" w:space="0" w:color="auto"/>
                            <w:right w:val="none" w:sz="0" w:space="0" w:color="auto"/>
                          </w:divBdr>
                        </w:div>
                        <w:div w:id="1537622545">
                          <w:marLeft w:val="0"/>
                          <w:marRight w:val="0"/>
                          <w:marTop w:val="0"/>
                          <w:marBottom w:val="0"/>
                          <w:divBdr>
                            <w:top w:val="none" w:sz="0" w:space="0" w:color="auto"/>
                            <w:left w:val="none" w:sz="0" w:space="0" w:color="auto"/>
                            <w:bottom w:val="none" w:sz="0" w:space="0" w:color="auto"/>
                            <w:right w:val="none" w:sz="0" w:space="0" w:color="auto"/>
                          </w:divBdr>
                        </w:div>
                      </w:divsChild>
                    </w:div>
                    <w:div w:id="1564945412">
                      <w:marLeft w:val="0"/>
                      <w:marRight w:val="0"/>
                      <w:marTop w:val="0"/>
                      <w:marBottom w:val="0"/>
                      <w:divBdr>
                        <w:top w:val="none" w:sz="0" w:space="0" w:color="auto"/>
                        <w:left w:val="none" w:sz="0" w:space="0" w:color="auto"/>
                        <w:bottom w:val="none" w:sz="0" w:space="0" w:color="auto"/>
                        <w:right w:val="none" w:sz="0" w:space="0" w:color="auto"/>
                      </w:divBdr>
                      <w:divsChild>
                        <w:div w:id="1174295024">
                          <w:marLeft w:val="0"/>
                          <w:marRight w:val="0"/>
                          <w:marTop w:val="0"/>
                          <w:marBottom w:val="0"/>
                          <w:divBdr>
                            <w:top w:val="none" w:sz="0" w:space="0" w:color="auto"/>
                            <w:left w:val="none" w:sz="0" w:space="0" w:color="auto"/>
                            <w:bottom w:val="none" w:sz="0" w:space="0" w:color="auto"/>
                            <w:right w:val="none" w:sz="0" w:space="0" w:color="auto"/>
                          </w:divBdr>
                        </w:div>
                        <w:div w:id="1965042927">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 w:id="1946302762">
                  <w:marLeft w:val="0"/>
                  <w:marRight w:val="0"/>
                  <w:marTop w:val="0"/>
                  <w:marBottom w:val="0"/>
                  <w:divBdr>
                    <w:top w:val="none" w:sz="0" w:space="0" w:color="auto"/>
                    <w:left w:val="none" w:sz="0" w:space="0" w:color="auto"/>
                    <w:bottom w:val="none" w:sz="0" w:space="0" w:color="auto"/>
                    <w:right w:val="none" w:sz="0" w:space="0" w:color="auto"/>
                  </w:divBdr>
                </w:div>
              </w:divsChild>
            </w:div>
            <w:div w:id="16415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dac-coating.com/dac/dac-barrier-effe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novagenit.com/page_contents/media/pdf/ST-NG002_KIT_DAC_DACXXNNNY_EN_rev05.pdf" TargetMode="External"/><Relationship Id="rId2" Type="http://schemas.openxmlformats.org/officeDocument/2006/relationships/numbering" Target="numbering.xml"/><Relationship Id="rId16" Type="http://schemas.openxmlformats.org/officeDocument/2006/relationships/hyperlink" Target="http://www.dac-coating.com/dac/what-is-dac/" TargetMode="External"/><Relationship Id="rId20" Type="http://schemas.openxmlformats.org/officeDocument/2006/relationships/hyperlink" Target="https://www.nice.org.uk/guidance/ng157/documents/html-content-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medicarestatistics.humanservices.gov.au/statistics/do.jsp?_PROGRAM=%2Fstatistics%2Fmbs_item_standard_report&amp;DRILL=ag&amp;group=49318%2C+49319%2C+49324%2C+49327%2C+49330%2C+49333%2C+49336%2C+49346%2C+49509%2C+49512%2C+49517%2C+49518%2C+49527%2C+49530%2C+49533%2C+50215%2C+50218%2C+50224%2C+50227&amp;VAR=services&amp;STAT=count&amp;RPT_FMT=by+time+period+and+state&amp;PTYPE=finyear&amp;START_DT=201607&amp;END_DT=201906" TargetMode="External"/><Relationship Id="rId10" Type="http://schemas.openxmlformats.org/officeDocument/2006/relationships/footer" Target="footer1.xml"/><Relationship Id="rId19" Type="http://schemas.openxmlformats.org/officeDocument/2006/relationships/hyperlink" Target="https://www.tga.gov.au/ws-md-designation-notices-inde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clinicaltrials.gov/ct2/show/study/NCT04251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7644FA23-E851-48ED-8A87-90BF64CE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18700</Words>
  <Characters>106592</Characters>
  <Application>Microsoft Office Word</Application>
  <DocSecurity>4</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2020-12-17T00:58:00Z</dcterms:created>
  <dcterms:modified xsi:type="dcterms:W3CDTF">2020-12-17T00:58:00Z</dcterms:modified>
</cp:coreProperties>
</file>