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viewer"/>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4EC66"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5E0FA24A" wp14:editId="18D1E2B4">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F2DDE38"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7DB2EA06" w14:textId="77777777" w:rsidR="00BC1364" w:rsidRPr="00F715D1" w:rsidRDefault="00BC1364" w:rsidP="00F715D1">
      <w:pPr>
        <w:pStyle w:val="Subtitle"/>
      </w:pPr>
      <w:r w:rsidRPr="00F715D1">
        <w:t xml:space="preserve">Application No. </w:t>
      </w:r>
      <w:r w:rsidR="00F878CB">
        <w:t>15</w:t>
      </w:r>
      <w:r w:rsidR="0028237B">
        <w:t>7</w:t>
      </w:r>
      <w:r w:rsidR="001842B7">
        <w:t>7</w:t>
      </w:r>
      <w:r w:rsidRPr="00F715D1">
        <w:t xml:space="preserve"> – </w:t>
      </w:r>
      <w:r w:rsidR="0028237B">
        <w:t xml:space="preserve">Autologous fat grafting (AFG) </w:t>
      </w:r>
      <w:r w:rsidR="001842B7">
        <w:t>for treatment of burn scars, and treatment of facial defects due to craniofacial abnormalities</w:t>
      </w:r>
    </w:p>
    <w:p w14:paraId="53C8E6A8"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28237B">
        <w:rPr>
          <w:rFonts w:ascii="Arial" w:hAnsi="Arial" w:cs="Arial"/>
          <w:b/>
          <w:szCs w:val="24"/>
        </w:rPr>
        <w:t>Australian Society of Plastic Surgeons</w:t>
      </w:r>
      <w:r w:rsidR="001B5A1E">
        <w:rPr>
          <w:rFonts w:ascii="Arial" w:hAnsi="Arial" w:cs="Arial"/>
          <w:b/>
          <w:szCs w:val="24"/>
        </w:rPr>
        <w:t xml:space="preserve"> (ASPS)</w:t>
      </w:r>
    </w:p>
    <w:p w14:paraId="5D45AC3F"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54EDD855"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9" w:tooltip="Link to Medical Services Advisory Committee website" w:history="1">
        <w:proofErr w:type="gramStart"/>
        <w:r w:rsidR="00F715D1" w:rsidRPr="00F715D1">
          <w:rPr>
            <w:rStyle w:val="Hyperlink"/>
            <w:szCs w:val="24"/>
          </w:rPr>
          <w:t>visit the MSAC website</w:t>
        </w:r>
        <w:proofErr w:type="gramEnd"/>
      </w:hyperlink>
    </w:p>
    <w:p w14:paraId="439120DA" w14:textId="77777777" w:rsidR="003D7F29" w:rsidRPr="00F715D1" w:rsidRDefault="003D7F29" w:rsidP="00F715D1">
      <w:pPr>
        <w:pStyle w:val="Heading1"/>
      </w:pPr>
      <w:r w:rsidRPr="00F715D1">
        <w:t>Purpose of application</w:t>
      </w:r>
      <w:r w:rsidR="00822C7E" w:rsidRPr="00F715D1">
        <w:t xml:space="preserve"> </w:t>
      </w:r>
    </w:p>
    <w:p w14:paraId="31A61B38" w14:textId="1E553C5A" w:rsidR="00BA6A55" w:rsidRDefault="00BA6A55" w:rsidP="00BA6A55">
      <w:r>
        <w:t>An application requesting Medicare Benefits Schedule (</w:t>
      </w:r>
      <w:r w:rsidRPr="00BA6264">
        <w:t xml:space="preserve">MBS) listing of </w:t>
      </w:r>
      <w:r w:rsidR="006B3AFD">
        <w:t>a</w:t>
      </w:r>
      <w:r w:rsidRPr="00BA6264">
        <w:t>utologous</w:t>
      </w:r>
      <w:r>
        <w:t xml:space="preserve"> </w:t>
      </w:r>
      <w:r w:rsidR="006B3AFD">
        <w:t>f</w:t>
      </w:r>
      <w:r>
        <w:t xml:space="preserve">at </w:t>
      </w:r>
      <w:r w:rsidR="006B3AFD">
        <w:t>g</w:t>
      </w:r>
      <w:r w:rsidRPr="00D73BF3">
        <w:t>rafting (AFG) for treatment of burn scars, and treatment of defects due to craniofacial abnormalities</w:t>
      </w:r>
      <w:r>
        <w:t xml:space="preserve"> </w:t>
      </w:r>
      <w:proofErr w:type="gramStart"/>
      <w:r>
        <w:t>was received</w:t>
      </w:r>
      <w:proofErr w:type="gramEnd"/>
      <w:r>
        <w:t xml:space="preserve"> from Australian Society of Plastic Surgeons by the Department of Health.</w:t>
      </w:r>
    </w:p>
    <w:p w14:paraId="4C6F0CE2" w14:textId="1BC15F42" w:rsidR="00E977EE" w:rsidRPr="00F715D1" w:rsidRDefault="00E977EE" w:rsidP="00F715D1">
      <w:pPr>
        <w:pStyle w:val="Heading1"/>
      </w:pPr>
      <w:r w:rsidRPr="00F715D1">
        <w:t>MSAC’s advice to the Minister</w:t>
      </w:r>
    </w:p>
    <w:p w14:paraId="2508EF04" w14:textId="2E927333" w:rsidR="00B264C8" w:rsidRDefault="00861A8E" w:rsidP="00B264C8">
      <w:pPr>
        <w:spacing w:after="240"/>
      </w:pPr>
      <w:r w:rsidRPr="001342D1">
        <w:t xml:space="preserve">After considering the strength of the available evidence in relation to comparative safety, </w:t>
      </w:r>
      <w:r w:rsidRPr="00C31569">
        <w:t xml:space="preserve">clinical effectiveness and cost-effectiveness, </w:t>
      </w:r>
      <w:r>
        <w:t xml:space="preserve">MSAC supported public funding of </w:t>
      </w:r>
      <w:r w:rsidRPr="0096680D">
        <w:t xml:space="preserve">AFG for </w:t>
      </w:r>
      <w:r>
        <w:t xml:space="preserve">the </w:t>
      </w:r>
      <w:r w:rsidRPr="0096680D">
        <w:t>treatment of burn scar</w:t>
      </w:r>
      <w:r>
        <w:t>s</w:t>
      </w:r>
      <w:r w:rsidRPr="0096680D">
        <w:t xml:space="preserve"> and treatment of defects due to craniofacial abnormalities</w:t>
      </w:r>
      <w:r>
        <w:t xml:space="preserve">. </w:t>
      </w:r>
      <w:r w:rsidRPr="00C31569">
        <w:t>MSAC noted limitations in the evidence</w:t>
      </w:r>
      <w:r>
        <w:t>,</w:t>
      </w:r>
      <w:r w:rsidRPr="00C31569">
        <w:t xml:space="preserve"> but considered </w:t>
      </w:r>
      <w:r>
        <w:t xml:space="preserve">that, on balance, </w:t>
      </w:r>
      <w:r w:rsidRPr="00C31569">
        <w:t xml:space="preserve">the totality of evidence indicated </w:t>
      </w:r>
      <w:r>
        <w:t xml:space="preserve">that </w:t>
      </w:r>
      <w:r w:rsidRPr="00C31569">
        <w:t>AFG is safe, cost-effective</w:t>
      </w:r>
      <w:r>
        <w:t>,</w:t>
      </w:r>
      <w:r w:rsidRPr="00C31569">
        <w:t xml:space="preserve"> </w:t>
      </w:r>
      <w:r>
        <w:t>and has potential savings compared with higher-risk, higher-cost alternative procedures,</w:t>
      </w:r>
      <w:r w:rsidRPr="00C31569">
        <w:t xml:space="preserve"> while reducing out-of-pocket costs for</w:t>
      </w:r>
      <w:r>
        <w:t xml:space="preserve"> </w:t>
      </w:r>
      <w:r w:rsidRPr="00C31569">
        <w:t xml:space="preserve">patients. </w:t>
      </w:r>
      <w:r>
        <w:t xml:space="preserve">MSAC recommended that </w:t>
      </w:r>
      <w:r w:rsidRPr="00521B01">
        <w:t xml:space="preserve">a </w:t>
      </w:r>
      <w:r>
        <w:t xml:space="preserve">review </w:t>
      </w:r>
      <w:proofErr w:type="gramStart"/>
      <w:r>
        <w:t>be conducted</w:t>
      </w:r>
      <w:proofErr w:type="gramEnd"/>
      <w:r>
        <w:t xml:space="preserve"> in 2 years</w:t>
      </w:r>
      <w:r w:rsidRPr="00521B01">
        <w:t xml:space="preserve"> to </w:t>
      </w:r>
      <w:r>
        <w:t>ensure the item is being used appropriately.</w:t>
      </w:r>
    </w:p>
    <w:tbl>
      <w:tblPr>
        <w:tblStyle w:val="TableGrid"/>
        <w:tblW w:w="0" w:type="auto"/>
        <w:tblLook w:val="04A0" w:firstRow="1" w:lastRow="0" w:firstColumn="1" w:lastColumn="0" w:noHBand="0" w:noVBand="1"/>
        <w:tblDescription w:val="Consumer summary of MSAC consideration"/>
      </w:tblPr>
      <w:tblGrid>
        <w:gridCol w:w="9016"/>
      </w:tblGrid>
      <w:tr w:rsidR="00B264C8" w14:paraId="60FE21D0" w14:textId="77777777" w:rsidTr="00556B3C">
        <w:trPr>
          <w:tblHeader/>
        </w:trPr>
        <w:tc>
          <w:tcPr>
            <w:tcW w:w="9016" w:type="dxa"/>
          </w:tcPr>
          <w:p w14:paraId="4B24E1FA" w14:textId="2928BBB3" w:rsidR="00B264C8" w:rsidRPr="00B264C8" w:rsidRDefault="00B264C8" w:rsidP="00B264C8">
            <w:pPr>
              <w:spacing w:before="120" w:after="120"/>
              <w:rPr>
                <w:b/>
              </w:rPr>
            </w:pPr>
            <w:r w:rsidRPr="00B264C8">
              <w:rPr>
                <w:b/>
              </w:rPr>
              <w:t>Consumer summary</w:t>
            </w:r>
          </w:p>
        </w:tc>
      </w:tr>
      <w:tr w:rsidR="00B264C8" w14:paraId="6B775027" w14:textId="77777777" w:rsidTr="00B264C8">
        <w:tc>
          <w:tcPr>
            <w:tcW w:w="9016" w:type="dxa"/>
          </w:tcPr>
          <w:p w14:paraId="7AC2CDF6" w14:textId="77777777" w:rsidR="00B264C8" w:rsidRDefault="00B264C8" w:rsidP="00B264C8">
            <w:pPr>
              <w:spacing w:before="120"/>
            </w:pPr>
            <w:r>
              <w:t>The Australian Society of Plastic Surgeons applied for public funding via the Medicare Benefits Schedule (MBS) for the use of autologous fat grafting (AFG) for the treatment of burn scars, and the treatment of defects due to abnormalities in the face and head.</w:t>
            </w:r>
          </w:p>
          <w:p w14:paraId="1E645E11" w14:textId="77777777" w:rsidR="00B264C8" w:rsidRDefault="00B264C8" w:rsidP="00B264C8">
            <w:pPr>
              <w:spacing w:before="240"/>
            </w:pPr>
            <w:r>
              <w:t xml:space="preserve">AFG is a type of surgery that takes fat from one part of the body (such as the thigh) using liposuction, and injects it into another part of the body (such as the face). The transferred fat adds volume to the area it </w:t>
            </w:r>
            <w:proofErr w:type="gramStart"/>
            <w:r>
              <w:t>is injected</w:t>
            </w:r>
            <w:proofErr w:type="gramEnd"/>
            <w:r>
              <w:t xml:space="preserve"> into, which can help correct defects. Over time, the body absorbs some of the transferred fat, so AFG </w:t>
            </w:r>
            <w:proofErr w:type="gramStart"/>
            <w:r>
              <w:t>is usually done</w:t>
            </w:r>
            <w:proofErr w:type="gramEnd"/>
            <w:r>
              <w:t xml:space="preserve"> several times to reach the desired effect.</w:t>
            </w:r>
          </w:p>
          <w:p w14:paraId="0B7963DB" w14:textId="77777777" w:rsidR="00B264C8" w:rsidRDefault="00B264C8" w:rsidP="00B264C8">
            <w:r>
              <w:lastRenderedPageBreak/>
              <w:t xml:space="preserve">MSAC noted that the clinical studies on AFG were low quality, making it difficult to be </w:t>
            </w:r>
            <w:proofErr w:type="gramStart"/>
            <w:r>
              <w:t>sure</w:t>
            </w:r>
            <w:proofErr w:type="gramEnd"/>
            <w:r>
              <w:t xml:space="preserve"> that AFG is safe and effective. However, MSAC considered that, </w:t>
            </w:r>
            <w:proofErr w:type="gramStart"/>
            <w:r>
              <w:t>overall,</w:t>
            </w:r>
            <w:proofErr w:type="gramEnd"/>
            <w:r>
              <w:t xml:space="preserve"> AFG was safe and effective, compared to other more complicated surgeries. </w:t>
            </w:r>
          </w:p>
          <w:p w14:paraId="4AF88C71" w14:textId="77777777" w:rsidR="00B264C8" w:rsidRDefault="00B264C8" w:rsidP="00B264C8">
            <w:pPr>
              <w:spacing w:before="240"/>
            </w:pPr>
            <w:r>
              <w:t>MSAC noted the comments from consumers and practitioners, which supported AFG and identified a high clinical and psychological need. MSAC considered that AFG would be a simpler procedure than other alternatives, could improve some outcomes and reduce out-of-pocket costs for consumers.</w:t>
            </w:r>
          </w:p>
          <w:p w14:paraId="3C30BA9F" w14:textId="77777777" w:rsidR="00B264C8" w:rsidRPr="00B264C8" w:rsidRDefault="00B264C8" w:rsidP="00B264C8">
            <w:pPr>
              <w:spacing w:before="240" w:after="120"/>
              <w:rPr>
                <w:b/>
              </w:rPr>
            </w:pPr>
            <w:r w:rsidRPr="00B264C8">
              <w:rPr>
                <w:b/>
              </w:rPr>
              <w:t>MSAC’s advice to the Commonwealth Minister for Health</w:t>
            </w:r>
          </w:p>
          <w:p w14:paraId="10641B48" w14:textId="34742AFF" w:rsidR="00B264C8" w:rsidRDefault="00B264C8" w:rsidP="00B264C8">
            <w:pPr>
              <w:spacing w:after="120"/>
            </w:pPr>
            <w:r>
              <w:t>MSAC supported public funding for AFG to treat burn scars and defects in the face and head. MSAC accepted that AFG was likely to be safe, effective and cost-effective.</w:t>
            </w:r>
          </w:p>
        </w:tc>
      </w:tr>
    </w:tbl>
    <w:p w14:paraId="3A47E49D" w14:textId="77777777" w:rsidR="00550354" w:rsidRPr="00F715D1" w:rsidRDefault="00550354" w:rsidP="00F715D1">
      <w:pPr>
        <w:pStyle w:val="Heading1"/>
      </w:pPr>
      <w:r w:rsidRPr="00F715D1">
        <w:lastRenderedPageBreak/>
        <w:t xml:space="preserve">Summary of consideration and rationale for MSAC’s advice </w:t>
      </w:r>
    </w:p>
    <w:p w14:paraId="29629A84" w14:textId="4FDFB6A4" w:rsidR="003B3689" w:rsidRDefault="00861A8E" w:rsidP="00861A8E">
      <w:r>
        <w:t>MSAC</w:t>
      </w:r>
      <w:r w:rsidRPr="00C30260">
        <w:t xml:space="preserve"> noted the application</w:t>
      </w:r>
      <w:r>
        <w:t xml:space="preserve"> was</w:t>
      </w:r>
      <w:r w:rsidRPr="00C30260">
        <w:t xml:space="preserve"> requesting MBS listing for AFG</w:t>
      </w:r>
      <w:r w:rsidRPr="0088460E">
        <w:t xml:space="preserve"> </w:t>
      </w:r>
      <w:r w:rsidRPr="0096680D">
        <w:t xml:space="preserve">for </w:t>
      </w:r>
      <w:r>
        <w:t xml:space="preserve">the </w:t>
      </w:r>
      <w:r w:rsidRPr="0096680D">
        <w:t>treatment of defects due to craniofacial abnormalities</w:t>
      </w:r>
      <w:r w:rsidR="003F31CD">
        <w:t xml:space="preserve"> (Population 1) and treatment of burn scars (Population 2)</w:t>
      </w:r>
      <w:r w:rsidRPr="00C30260">
        <w:t>.</w:t>
      </w:r>
      <w:r w:rsidR="003F31CD">
        <w:t xml:space="preserve"> </w:t>
      </w:r>
      <w:r>
        <w:t>MSAC</w:t>
      </w:r>
      <w:r w:rsidRPr="00C30260">
        <w:t xml:space="preserve"> </w:t>
      </w:r>
      <w:r>
        <w:t xml:space="preserve">noted this application arose from an MBS Review Taskforce recommendation and initially covered a broader population, which </w:t>
      </w:r>
      <w:proofErr w:type="gramStart"/>
      <w:r>
        <w:t>was split</w:t>
      </w:r>
      <w:proofErr w:type="gramEnd"/>
      <w:r>
        <w:t xml:space="preserve"> into MSAC Application 1575 and 1577. The linked MSAC</w:t>
      </w:r>
      <w:r w:rsidRPr="00C30260">
        <w:t xml:space="preserve"> Application 157</w:t>
      </w:r>
      <w:r>
        <w:t>5 is</w:t>
      </w:r>
      <w:r w:rsidRPr="00C30260">
        <w:t xml:space="preserve"> requesting MBS listing for AFG injection for the management of defects arising from breast surgery, breast cancer treatment/prevention and congenital breast deformit</w:t>
      </w:r>
      <w:r>
        <w:t>ies</w:t>
      </w:r>
      <w:r w:rsidRPr="00C30260">
        <w:t>.</w:t>
      </w:r>
    </w:p>
    <w:p w14:paraId="41DF5D46" w14:textId="013BC52B" w:rsidR="00861A8E" w:rsidRDefault="003B3689" w:rsidP="00B264C8">
      <w:pPr>
        <w:spacing w:before="240"/>
      </w:pPr>
      <w:r>
        <w:t>MSAC noted the extensive consultation responses, in which 2</w:t>
      </w:r>
      <w:r w:rsidR="000B37B9">
        <w:t>2</w:t>
      </w:r>
      <w:r>
        <w:t xml:space="preserve"> plastic surgeons and 5 consumer groups were supportive of the application. MSAC noted the high clinical need in these populations, for which AFG would likely allow less complex reconstruction for patients with craniofacial abnormalities. AFG would also address psychological need; reduce pain, skin tightness and </w:t>
      </w:r>
      <w:proofErr w:type="spellStart"/>
      <w:r>
        <w:t>dysaesthesia</w:t>
      </w:r>
      <w:proofErr w:type="spellEnd"/>
      <w:r>
        <w:t>; and improve mobility for patients with burn scars.</w:t>
      </w:r>
      <w:r w:rsidRPr="006D1FD1">
        <w:t xml:space="preserve"> </w:t>
      </w:r>
      <w:r>
        <w:t>MSAC also noted that MBS listing of AFG would reduce the substantial out-of-pocket costs that patients currently face for more expensive and higher-risk alternatives.</w:t>
      </w:r>
    </w:p>
    <w:p w14:paraId="6058BA6A" w14:textId="393BEB8E" w:rsidR="008678C9" w:rsidRDefault="00861A8E" w:rsidP="00B264C8">
      <w:pPr>
        <w:spacing w:before="240"/>
      </w:pPr>
      <w:r>
        <w:t>MSAC noted the</w:t>
      </w:r>
      <w:r w:rsidR="003B3689">
        <w:t xml:space="preserve"> very </w:t>
      </w:r>
      <w:r>
        <w:t>low</w:t>
      </w:r>
      <w:r w:rsidR="00F57CBA">
        <w:t xml:space="preserve"> </w:t>
      </w:r>
      <w:r>
        <w:t xml:space="preserve">quality </w:t>
      </w:r>
      <w:r w:rsidR="00F57CBA">
        <w:t xml:space="preserve">of </w:t>
      </w:r>
      <w:r>
        <w:t xml:space="preserve">evidence on the use of AFG </w:t>
      </w:r>
      <w:r w:rsidRPr="0096680D">
        <w:t xml:space="preserve">for </w:t>
      </w:r>
      <w:r>
        <w:t xml:space="preserve">the </w:t>
      </w:r>
      <w:r w:rsidRPr="0096680D">
        <w:t>treatment of burn scars and craniofacial abnormalities</w:t>
      </w:r>
      <w:r>
        <w:t xml:space="preserve"> leads to substantial uncertainty in clinical and economic outcomes.</w:t>
      </w:r>
      <w:r w:rsidR="008678C9">
        <w:t xml:space="preserve"> </w:t>
      </w:r>
      <w:r w:rsidR="00F90FD6">
        <w:t xml:space="preserve">MSAC also noted the high degree of heterogeneity in the study populations </w:t>
      </w:r>
      <w:proofErr w:type="gramStart"/>
      <w:r w:rsidR="00F90FD6">
        <w:t>may</w:t>
      </w:r>
      <w:proofErr w:type="gramEnd"/>
      <w:r w:rsidR="00F90FD6">
        <w:t xml:space="preserve"> impact the generalisability of the findings. However, </w:t>
      </w:r>
      <w:r w:rsidR="008678C9">
        <w:t xml:space="preserve">MSAC </w:t>
      </w:r>
      <w:r w:rsidR="00F90FD6">
        <w:t xml:space="preserve">also recognised that the </w:t>
      </w:r>
      <w:r w:rsidR="008678C9">
        <w:t xml:space="preserve">proposed </w:t>
      </w:r>
      <w:r w:rsidR="00F90FD6">
        <w:t xml:space="preserve">burn scar and craniofacial defect patient </w:t>
      </w:r>
      <w:r w:rsidR="008678C9">
        <w:t>populations</w:t>
      </w:r>
      <w:r w:rsidR="00F90FD6">
        <w:t xml:space="preserve"> are inherently heterogeneous</w:t>
      </w:r>
      <w:r w:rsidR="008678C9">
        <w:t xml:space="preserve">, </w:t>
      </w:r>
      <w:r w:rsidR="00F90FD6">
        <w:t xml:space="preserve">as </w:t>
      </w:r>
      <w:proofErr w:type="gramStart"/>
      <w:r w:rsidR="00F90FD6">
        <w:t>such</w:t>
      </w:r>
      <w:proofErr w:type="gramEnd"/>
      <w:r w:rsidR="008678C9">
        <w:t xml:space="preserve"> no two patients are the same and care is highly individualised. MSAC also noted the pre-MSAC response claimed that, because of this inherent heterogeneity, it would be unethical to treat patients in a standardised way.</w:t>
      </w:r>
    </w:p>
    <w:p w14:paraId="41A7E8AB" w14:textId="68ED5095" w:rsidR="00861A8E" w:rsidRDefault="007A58FD" w:rsidP="00B264C8">
      <w:pPr>
        <w:spacing w:before="240"/>
      </w:pPr>
      <w:r>
        <w:t>For craniofacial abnormalities</w:t>
      </w:r>
      <w:r w:rsidR="003B3689">
        <w:t xml:space="preserve"> (Population 1)</w:t>
      </w:r>
      <w:r w:rsidR="003F31CD">
        <w:t>, w</w:t>
      </w:r>
      <w:r w:rsidR="008678C9">
        <w:t>hen comparing the safety of AFG to free flap surgery, MSAC noted free flap surgery is more complex and is associated with longer hospital stay (often including intensive care), and all flaps require revision after initial surgery.</w:t>
      </w:r>
      <w:r w:rsidR="003F31CD">
        <w:t xml:space="preserve"> </w:t>
      </w:r>
      <w:r w:rsidR="008678C9">
        <w:t>MSAC also noted c</w:t>
      </w:r>
      <w:r w:rsidR="00861A8E">
        <w:t>omplications arise in 12–27% of patients who receive</w:t>
      </w:r>
      <w:r w:rsidR="003F31CD">
        <w:t>d</w:t>
      </w:r>
      <w:r w:rsidR="00861A8E">
        <w:t xml:space="preserve"> flaps, compared with 4–5% of patients who receive</w:t>
      </w:r>
      <w:r w:rsidR="003F31CD">
        <w:t>d</w:t>
      </w:r>
      <w:r w:rsidR="00861A8E">
        <w:t xml:space="preserve"> AFG; complications following AFG are also minor, such as bruising. </w:t>
      </w:r>
      <w:r w:rsidR="003B3689">
        <w:t>Despite the limited clinical evidence,</w:t>
      </w:r>
      <w:r w:rsidR="008678C9" w:rsidRPr="008678C9">
        <w:t xml:space="preserve"> </w:t>
      </w:r>
      <w:r w:rsidR="008678C9">
        <w:t>MSAC considered that AFG was likely to be safer than free flap surgery for craniofacial abnormalities.</w:t>
      </w:r>
      <w:r w:rsidR="00861A8E">
        <w:t xml:space="preserve"> </w:t>
      </w:r>
      <w:r>
        <w:t>For burn scars</w:t>
      </w:r>
      <w:r w:rsidR="003B3689">
        <w:t xml:space="preserve"> (Population 2)</w:t>
      </w:r>
      <w:r>
        <w:t xml:space="preserve">, </w:t>
      </w:r>
      <w:r w:rsidR="003F31CD">
        <w:t>MSAC noted that when AFG is used to treat</w:t>
      </w:r>
      <w:r w:rsidR="00861A8E">
        <w:t xml:space="preserve"> burn scars complications arose in </w:t>
      </w:r>
      <w:r w:rsidR="00861A8E">
        <w:lastRenderedPageBreak/>
        <w:t>1.15% of patients following AFG, and all complications were minor; however, there were no comparative data on safety</w:t>
      </w:r>
      <w:r>
        <w:t xml:space="preserve"> of AFG </w:t>
      </w:r>
      <w:r>
        <w:rPr>
          <w:i/>
        </w:rPr>
        <w:t xml:space="preserve">vs. </w:t>
      </w:r>
      <w:r>
        <w:t>the nominated comparator (usual care)</w:t>
      </w:r>
      <w:r w:rsidR="00861A8E">
        <w:t>.</w:t>
      </w:r>
    </w:p>
    <w:p w14:paraId="1D6A4FBB" w14:textId="2514EBEC" w:rsidR="007A58FD" w:rsidRDefault="00861A8E" w:rsidP="00861A8E">
      <w:r>
        <w:t>MSAC noted the limited data on comparative clinical effectiveness for both populations. For craniofacial abnormalities</w:t>
      </w:r>
      <w:r w:rsidR="003B3689">
        <w:t xml:space="preserve"> (Population 1)</w:t>
      </w:r>
      <w:r>
        <w:t xml:space="preserve">, MSAC considered that non-inferior effectiveness </w:t>
      </w:r>
      <w:proofErr w:type="gramStart"/>
      <w:r>
        <w:t>had not been established</w:t>
      </w:r>
      <w:proofErr w:type="gramEnd"/>
      <w:r>
        <w:t>, although small studies showed both patient and surgeon satisfaction, and significantly improved facial symmetry following AFG. For burn scars</w:t>
      </w:r>
      <w:r w:rsidR="003B3689">
        <w:t xml:space="preserve"> (Population 2)</w:t>
      </w:r>
      <w:r>
        <w:t>, MSAC noted a non</w:t>
      </w:r>
      <w:r w:rsidR="007A58FD">
        <w:t>-</w:t>
      </w:r>
      <w:r>
        <w:t>significant difference in scar hardness and appearance (although results were from a small study, and wounds were in the same patient) and a significant improvement in movement.</w:t>
      </w:r>
    </w:p>
    <w:p w14:paraId="625219C5" w14:textId="77777777" w:rsidR="00861A8E" w:rsidRDefault="00861A8E" w:rsidP="00B264C8">
      <w:pPr>
        <w:spacing w:before="240"/>
      </w:pPr>
      <w:r>
        <w:t xml:space="preserve">MSAC noted the cost-utility analysis conducted for AFG in patients with craniofacial abnormalities. AFG was dominant, primarily driven by the cost of the comparator (free flap surgery). However, MSAC noted that the clinical data did not establish superiority or non-inferiority for AFG, and the quality-adjusted life years (QALYs) in the economic model </w:t>
      </w:r>
      <w:proofErr w:type="gramStart"/>
      <w:r>
        <w:t>were driven</w:t>
      </w:r>
      <w:proofErr w:type="gramEnd"/>
      <w:r>
        <w:t xml:space="preserve"> by safety rather than effectiveness. The cohort model also had highly variable outcomes. For burn scars, MSAC noted that the economic model used trial-based outcomes extrapolated to lifetime; and studies were limited, had a high risk of bias, and included different populations and procedures. The resulting incremental cost-effectiveness ratios (ICERs) were widely variable, up to $20,086 per QALY gained for face movement.</w:t>
      </w:r>
    </w:p>
    <w:p w14:paraId="260962F7" w14:textId="5DE3BF7A" w:rsidR="003B3689" w:rsidRDefault="00861A8E" w:rsidP="00B264C8">
      <w:pPr>
        <w:spacing w:before="240"/>
      </w:pPr>
      <w:r>
        <w:t>MSAC noted the modest financial and budgetary impacts for AFG for burn scars, and likely cost-savings for craniofacial abnormalities.</w:t>
      </w:r>
    </w:p>
    <w:p w14:paraId="3537F70C" w14:textId="6338317A" w:rsidR="009B06A0" w:rsidRDefault="003B3689" w:rsidP="00B264C8">
      <w:pPr>
        <w:spacing w:before="240"/>
      </w:pPr>
      <w:r>
        <w:t xml:space="preserve">Overall, MSAC </w:t>
      </w:r>
      <w:r w:rsidRPr="00C31569">
        <w:t xml:space="preserve">considered </w:t>
      </w:r>
      <w:r>
        <w:t xml:space="preserve">that, on balance, </w:t>
      </w:r>
      <w:r w:rsidRPr="00C31569">
        <w:t xml:space="preserve">the totality of evidence indicated </w:t>
      </w:r>
      <w:r>
        <w:t xml:space="preserve">that </w:t>
      </w:r>
      <w:r w:rsidRPr="00C31569">
        <w:t>AFG is safe, cost-effective</w:t>
      </w:r>
      <w:r>
        <w:t>,</w:t>
      </w:r>
      <w:r w:rsidRPr="00C31569">
        <w:t xml:space="preserve"> </w:t>
      </w:r>
      <w:r>
        <w:t>and has potential savings compared with higher-risk, higher-cost alternative procedures,</w:t>
      </w:r>
      <w:r w:rsidRPr="00C31569">
        <w:t xml:space="preserve"> while reducing out-of-pocket costs for patients.</w:t>
      </w:r>
    </w:p>
    <w:p w14:paraId="5072310A" w14:textId="08DC1794" w:rsidR="00F727AA" w:rsidRDefault="00F727AA" w:rsidP="00B264C8">
      <w:pPr>
        <w:spacing w:before="240"/>
      </w:pPr>
      <w:r>
        <w:t>MSAC noted the proposed item descriptor and considered that leakage to other populations for cosmetic reasons</w:t>
      </w:r>
      <w:r w:rsidR="009B06A0">
        <w:t>,</w:t>
      </w:r>
      <w:r>
        <w:t xml:space="preserve"> although possible</w:t>
      </w:r>
      <w:r w:rsidR="009B06A0">
        <w:t>,</w:t>
      </w:r>
      <w:r>
        <w:t xml:space="preserve"> was of lower risk for this application (as opposed to Application 1575). MSAC considered whether the descriptor should specify ‘congenital or acquired craniofacial abnormalities’ to cover these patients and whether </w:t>
      </w:r>
      <w:r w:rsidRPr="00F727AA">
        <w:t xml:space="preserve">a </w:t>
      </w:r>
      <w:r>
        <w:t>review be conducted</w:t>
      </w:r>
      <w:r w:rsidRPr="00F727AA">
        <w:t xml:space="preserve"> to observe if leakage due to cosmetic use is occurring.</w:t>
      </w:r>
      <w:r w:rsidR="007A58FD">
        <w:t xml:space="preserve"> </w:t>
      </w:r>
      <w:r w:rsidR="006A76C1" w:rsidDel="0026619D">
        <w:t xml:space="preserve">MSAC considered that, given the relatively small eligible populations for this item (100–150 patients per year for craniofacial abnormalities, and 18–20 patients per year for burn scars), the likely number of patients using the service within the first 12 months would be insufficient to accurately determine whether the item is being used appropriately. MSAC therefore recommended that </w:t>
      </w:r>
      <w:r w:rsidR="006A76C1" w:rsidRPr="00521B01" w:rsidDel="0026619D">
        <w:t xml:space="preserve">a </w:t>
      </w:r>
      <w:r w:rsidR="006A76C1" w:rsidDel="0026619D">
        <w:t xml:space="preserve">review </w:t>
      </w:r>
      <w:proofErr w:type="gramStart"/>
      <w:r w:rsidR="006A76C1" w:rsidDel="0026619D">
        <w:t>be conducted</w:t>
      </w:r>
      <w:proofErr w:type="gramEnd"/>
      <w:r w:rsidR="006A76C1" w:rsidDel="0026619D">
        <w:t xml:space="preserve"> after 2 years.</w:t>
      </w:r>
    </w:p>
    <w:p w14:paraId="632F2B06" w14:textId="700013F8" w:rsidR="00B264C8" w:rsidRDefault="00F727AA" w:rsidP="00B264C8">
      <w:pPr>
        <w:spacing w:before="240"/>
      </w:pPr>
      <w:r>
        <w:t xml:space="preserve">MSAC also noted the item descriptor specifies at least 3 months between services, but that this </w:t>
      </w:r>
      <w:proofErr w:type="gramStart"/>
      <w:r>
        <w:t>is not specified</w:t>
      </w:r>
      <w:proofErr w:type="gramEnd"/>
      <w:r>
        <w:t xml:space="preserve"> in Application 1575. MSAC considered that it was good practice to allow the treated area to stabilise before performing another service, but that this did not need to </w:t>
      </w:r>
      <w:proofErr w:type="gramStart"/>
      <w:r>
        <w:t>be specified</w:t>
      </w:r>
      <w:proofErr w:type="gramEnd"/>
      <w:r>
        <w:t xml:space="preserve"> in the descriptor if the total number of services was capped at five. MSAC therefore recommended that ‘with at least 3 months between services’ be deleted from the item descriptor.</w:t>
      </w:r>
      <w:r w:rsidR="00B264C8">
        <w:br w:type="page"/>
      </w:r>
    </w:p>
    <w:p w14:paraId="64F5FDB7" w14:textId="08E8B9DE" w:rsidR="003B3689" w:rsidRDefault="003B3689" w:rsidP="00B264C8">
      <w:pPr>
        <w:spacing w:before="240"/>
      </w:pPr>
      <w:r>
        <w:lastRenderedPageBreak/>
        <w:t>MSAC supported the following item descriptor:</w:t>
      </w:r>
    </w:p>
    <w:p w14:paraId="486F4191" w14:textId="62E77811" w:rsidR="003B3689" w:rsidRPr="003B3689" w:rsidRDefault="003B3689" w:rsidP="00B264C8">
      <w:pPr>
        <w:spacing w:before="120"/>
        <w:rPr>
          <w:i/>
        </w:rPr>
      </w:pPr>
      <w:r w:rsidRPr="003B3689">
        <w:rPr>
          <w:i/>
        </w:rPr>
        <w:t>Autologous fat grafting (harvesting, preparation and injection of adipocytes) as an independent procedure or in conjunction with another procedure, if:</w:t>
      </w:r>
    </w:p>
    <w:p w14:paraId="6F3331A9" w14:textId="0920F511" w:rsidR="003B3689" w:rsidRPr="003B3689" w:rsidRDefault="003D3BC6" w:rsidP="003B3689">
      <w:pPr>
        <w:rPr>
          <w:i/>
        </w:rPr>
      </w:pPr>
      <w:r>
        <w:rPr>
          <w:i/>
        </w:rPr>
        <w:t xml:space="preserve">(a) </w:t>
      </w:r>
      <w:proofErr w:type="gramStart"/>
      <w:r>
        <w:rPr>
          <w:i/>
        </w:rPr>
        <w:t>t</w:t>
      </w:r>
      <w:r w:rsidR="003B3689" w:rsidRPr="003B3689">
        <w:rPr>
          <w:i/>
        </w:rPr>
        <w:t>he</w:t>
      </w:r>
      <w:proofErr w:type="gramEnd"/>
      <w:r w:rsidR="003B3689" w:rsidRPr="003B3689">
        <w:rPr>
          <w:i/>
        </w:rPr>
        <w:t xml:space="preserve"> autologous fat grafting is for:</w:t>
      </w:r>
    </w:p>
    <w:p w14:paraId="1A05265E" w14:textId="49BB71A7" w:rsidR="003B3689" w:rsidRPr="003B3689" w:rsidRDefault="003B3689" w:rsidP="003D3BC6">
      <w:pPr>
        <w:ind w:left="851" w:hanging="425"/>
        <w:rPr>
          <w:i/>
        </w:rPr>
      </w:pPr>
      <w:proofErr w:type="spellStart"/>
      <w:r w:rsidRPr="003B3689">
        <w:rPr>
          <w:i/>
        </w:rPr>
        <w:t>i</w:t>
      </w:r>
      <w:proofErr w:type="spellEnd"/>
      <w:r w:rsidRPr="003B3689">
        <w:rPr>
          <w:i/>
        </w:rPr>
        <w:t>.</w:t>
      </w:r>
      <w:r w:rsidRPr="003B3689">
        <w:rPr>
          <w:i/>
        </w:rPr>
        <w:tab/>
        <w:t>Correction of asymmetry arising from volume and contour defects in craniofacial disorders, up to a maximum of 5 services per episode; OR</w:t>
      </w:r>
    </w:p>
    <w:p w14:paraId="529DB54C" w14:textId="3703FFB7" w:rsidR="003B3689" w:rsidRPr="003B3689" w:rsidRDefault="003B3689" w:rsidP="003D3BC6">
      <w:pPr>
        <w:ind w:left="851" w:hanging="425"/>
        <w:rPr>
          <w:i/>
        </w:rPr>
      </w:pPr>
      <w:proofErr w:type="gramStart"/>
      <w:r w:rsidRPr="003B3689">
        <w:rPr>
          <w:i/>
        </w:rPr>
        <w:t>ii.</w:t>
      </w:r>
      <w:r w:rsidRPr="003B3689">
        <w:rPr>
          <w:i/>
        </w:rPr>
        <w:tab/>
        <w:t>Treatment of burn scar or associated skin graft in the context of scar contracture, contour deformity or neuropathic pain, in patients who have undergone a minimum of 3 months of topical therapies, including silicone and pressure therapy, with an unsatisfactory (minimal) level of improvement; up to a maximum of 5 services per region of the body defined as upper or lower limbs, trunk, neck or face; AND</w:t>
      </w:r>
      <w:proofErr w:type="gramEnd"/>
    </w:p>
    <w:p w14:paraId="0740F396" w14:textId="2EECB322" w:rsidR="003B3689" w:rsidRPr="003B3689" w:rsidRDefault="003D3BC6" w:rsidP="003D3BC6">
      <w:pPr>
        <w:ind w:left="284" w:hanging="284"/>
        <w:rPr>
          <w:i/>
        </w:rPr>
      </w:pPr>
      <w:r>
        <w:rPr>
          <w:i/>
        </w:rPr>
        <w:t xml:space="preserve">(b) </w:t>
      </w:r>
      <w:proofErr w:type="gramStart"/>
      <w:r>
        <w:rPr>
          <w:i/>
        </w:rPr>
        <w:t>p</w:t>
      </w:r>
      <w:r w:rsidR="003B3689" w:rsidRPr="003B3689">
        <w:rPr>
          <w:i/>
        </w:rPr>
        <w:t>hotographic</w:t>
      </w:r>
      <w:proofErr w:type="gramEnd"/>
      <w:r w:rsidR="003B3689" w:rsidRPr="003B3689">
        <w:rPr>
          <w:i/>
        </w:rPr>
        <w:t xml:space="preserve"> and/or imaging evidence, demonstrating the clinical need for this service, is to be documented in patient notes; AND</w:t>
      </w:r>
    </w:p>
    <w:p w14:paraId="24A24206" w14:textId="0B581496" w:rsidR="003B3689" w:rsidRPr="003B3689" w:rsidRDefault="003D3BC6" w:rsidP="00B264C8">
      <w:pPr>
        <w:ind w:left="284" w:hanging="284"/>
        <w:rPr>
          <w:i/>
        </w:rPr>
      </w:pPr>
      <w:r>
        <w:rPr>
          <w:i/>
        </w:rPr>
        <w:t xml:space="preserve">(c) </w:t>
      </w:r>
      <w:proofErr w:type="gramStart"/>
      <w:r>
        <w:rPr>
          <w:i/>
        </w:rPr>
        <w:t>i</w:t>
      </w:r>
      <w:r w:rsidR="003B3689" w:rsidRPr="003B3689">
        <w:rPr>
          <w:i/>
        </w:rPr>
        <w:t>n</w:t>
      </w:r>
      <w:proofErr w:type="gramEnd"/>
      <w:r w:rsidR="003B3689" w:rsidRPr="003B3689">
        <w:rPr>
          <w:i/>
        </w:rPr>
        <w:t xml:space="preserve"> relation to craniofacial disorders, evidence of diagnosis of the qualifying craniofacial disorder is documented in patient notes</w:t>
      </w:r>
      <w:r>
        <w:rPr>
          <w:i/>
        </w:rPr>
        <w:t>.</w:t>
      </w:r>
    </w:p>
    <w:p w14:paraId="6135ACD2" w14:textId="59178560" w:rsidR="00861A8E" w:rsidRDefault="003B3689" w:rsidP="00B264C8">
      <w:pPr>
        <w:spacing w:before="240"/>
      </w:pPr>
      <w:r w:rsidRPr="003B3689">
        <w:rPr>
          <w:i/>
        </w:rPr>
        <w:t>MBS Fee: $</w:t>
      </w:r>
      <w:r w:rsidR="007C4FF9">
        <w:rPr>
          <w:i/>
        </w:rPr>
        <w:t xml:space="preserve">651.50 </w:t>
      </w:r>
      <w:r w:rsidRPr="003B3689">
        <w:rPr>
          <w:i/>
        </w:rPr>
        <w:t>Benefit: 75%=$</w:t>
      </w:r>
      <w:r w:rsidR="007C4FF9">
        <w:rPr>
          <w:i/>
        </w:rPr>
        <w:t>488.65</w:t>
      </w:r>
    </w:p>
    <w:p w14:paraId="2E794CFF" w14:textId="77777777" w:rsidR="00BC1364" w:rsidRPr="00F715D1" w:rsidRDefault="00BC1364" w:rsidP="00F715D1">
      <w:pPr>
        <w:pStyle w:val="Heading1"/>
      </w:pPr>
      <w:r w:rsidRPr="00F715D1">
        <w:t>Background</w:t>
      </w:r>
    </w:p>
    <w:p w14:paraId="4C5F58C8" w14:textId="47EE6010" w:rsidR="00AE2D27" w:rsidRDefault="00BA6A55" w:rsidP="00BA6A55">
      <w:r w:rsidRPr="006B2C4A">
        <w:t>This is the first submission (Department</w:t>
      </w:r>
      <w:r>
        <w:t xml:space="preserve"> </w:t>
      </w:r>
      <w:r w:rsidRPr="006B2C4A">
        <w:t>contracted assessment report [DCAR]) for AFG</w:t>
      </w:r>
      <w:r w:rsidRPr="00BA6264">
        <w:t xml:space="preserve"> for treatment of burn scars, and treatment of facial defects due to craniofacial abnormalities</w:t>
      </w:r>
      <w:r>
        <w:t>.</w:t>
      </w:r>
    </w:p>
    <w:p w14:paraId="00DDC627" w14:textId="77777777" w:rsidR="00BA6A55" w:rsidRPr="000F2732" w:rsidRDefault="00BA6A55" w:rsidP="00B264C8">
      <w:pPr>
        <w:spacing w:before="240"/>
      </w:pPr>
      <w:r w:rsidRPr="000F2732">
        <w:t xml:space="preserve">The request for MBS listing of AFG for treatment of burn scars and facial defects due to craniofacial abnormalities </w:t>
      </w:r>
      <w:proofErr w:type="gramStart"/>
      <w:r w:rsidRPr="000F2732">
        <w:t>was initially submitted</w:t>
      </w:r>
      <w:proofErr w:type="gramEnd"/>
      <w:r w:rsidRPr="000F2732">
        <w:t xml:space="preserve"> as part of a much broader patient population within application 1575. The broad population </w:t>
      </w:r>
      <w:proofErr w:type="gramStart"/>
      <w:r w:rsidRPr="000F2732">
        <w:t>was deemed</w:t>
      </w:r>
      <w:proofErr w:type="gramEnd"/>
      <w:r w:rsidRPr="000F2732">
        <w:t xml:space="preserve"> too large for a single application and therefore, was split into:</w:t>
      </w:r>
    </w:p>
    <w:p w14:paraId="5707834F" w14:textId="2D60FAF6" w:rsidR="00BA6A55" w:rsidRPr="000F2732" w:rsidRDefault="008827D2" w:rsidP="00BA6A55">
      <w:pPr>
        <w:pStyle w:val="ListParagraph"/>
        <w:numPr>
          <w:ilvl w:val="0"/>
          <w:numId w:val="31"/>
        </w:numPr>
      </w:pPr>
      <w:hyperlink r:id="rId10" w:history="1">
        <w:r w:rsidR="00BA6A55" w:rsidRPr="00E97167">
          <w:rPr>
            <w:rStyle w:val="Hyperlink"/>
          </w:rPr>
          <w:t>Application 1575 – AFG injection for the treatment/management of defects arising from breast surgery, breast cancer treatment/prevention and congenital breast deformity.</w:t>
        </w:r>
      </w:hyperlink>
    </w:p>
    <w:p w14:paraId="56454FEE" w14:textId="77777777" w:rsidR="00BA6A55" w:rsidRPr="000F2732" w:rsidRDefault="00BA6A55" w:rsidP="00BA6A55">
      <w:pPr>
        <w:pStyle w:val="ListParagraph"/>
        <w:numPr>
          <w:ilvl w:val="0"/>
          <w:numId w:val="31"/>
        </w:numPr>
        <w:tabs>
          <w:tab w:val="left" w:pos="720"/>
          <w:tab w:val="left" w:pos="1140"/>
        </w:tabs>
        <w:rPr>
          <w:szCs w:val="24"/>
        </w:rPr>
      </w:pPr>
      <w:r w:rsidRPr="000F2732">
        <w:t>Application 1577 (this application) – AFG for the treatment of craniofacial defects</w:t>
      </w:r>
      <w:r>
        <w:t xml:space="preserve"> and burns scars</w:t>
      </w:r>
      <w:r w:rsidRPr="000F2732">
        <w:t>.</w:t>
      </w:r>
    </w:p>
    <w:p w14:paraId="3C1847C9" w14:textId="77777777" w:rsidR="00BC1364" w:rsidRPr="00F715D1" w:rsidRDefault="00BC1364" w:rsidP="00F715D1">
      <w:pPr>
        <w:pStyle w:val="Heading1"/>
      </w:pPr>
      <w:r w:rsidRPr="00F715D1">
        <w:t>Prerequisites to implementation of any funding advice</w:t>
      </w:r>
    </w:p>
    <w:p w14:paraId="6DA1D146" w14:textId="49545FD6" w:rsidR="00AE2D27" w:rsidRDefault="00AE2D27" w:rsidP="00B264C8">
      <w:pPr>
        <w:tabs>
          <w:tab w:val="left" w:pos="720"/>
          <w:tab w:val="left" w:pos="1140"/>
        </w:tabs>
      </w:pPr>
      <w:r>
        <w:rPr>
          <w:szCs w:val="24"/>
        </w:rPr>
        <w:t xml:space="preserve">The application indicated that </w:t>
      </w:r>
      <w:r w:rsidRPr="005E0D09">
        <w:rPr>
          <w:szCs w:val="24"/>
        </w:rPr>
        <w:t xml:space="preserve">regulatory requirements are not applicable to the proposed medical service. </w:t>
      </w:r>
      <w:r>
        <w:t>The DCAR noted that the autologous fat that is harvested and re-injected during the AFG</w:t>
      </w:r>
      <w:r w:rsidRPr="008D71E1">
        <w:t xml:space="preserve"> </w:t>
      </w:r>
      <w:r>
        <w:t xml:space="preserve">intervention </w:t>
      </w:r>
      <w:r w:rsidRPr="008D71E1">
        <w:t>falls within the definition of autologous human cells and tissues (HCT)</w:t>
      </w:r>
      <w:r>
        <w:t xml:space="preserve"> products</w:t>
      </w:r>
      <w:r w:rsidRPr="008D71E1">
        <w:t xml:space="preserve"> </w:t>
      </w:r>
      <w:r>
        <w:t>excluded</w:t>
      </w:r>
      <w:r w:rsidRPr="008D71E1">
        <w:t xml:space="preserve"> from some aspects of </w:t>
      </w:r>
      <w:r>
        <w:t>Therapeutic Goods Administration (</w:t>
      </w:r>
      <w:r w:rsidRPr="008D71E1">
        <w:t>TGA</w:t>
      </w:r>
      <w:r>
        <w:t>)</w:t>
      </w:r>
      <w:r w:rsidRPr="008D71E1">
        <w:t xml:space="preserve"> regulation (</w:t>
      </w:r>
      <w:hyperlink r:id="rId11" w:history="1">
        <w:r>
          <w:rPr>
            <w:rStyle w:val="Hyperlink"/>
          </w:rPr>
          <w:t>TGA excluded autologous HCT</w:t>
        </w:r>
      </w:hyperlink>
      <w:r w:rsidRPr="008D71E1">
        <w:t xml:space="preserve">). </w:t>
      </w:r>
      <w:r>
        <w:t xml:space="preserve">Exclusion from TGA regulation is not exclusion from all regulation. There is regulation by other bodies that is sufficient to mitigate possible risks that may arise </w:t>
      </w:r>
      <w:proofErr w:type="gramStart"/>
      <w:r>
        <w:t>as a result</w:t>
      </w:r>
      <w:proofErr w:type="gramEnd"/>
      <w:r>
        <w:t xml:space="preserve"> of manufacturing and using autologous HCT products that are excluded from TGA regulation.</w:t>
      </w:r>
    </w:p>
    <w:p w14:paraId="73E664B6" w14:textId="77777777" w:rsidR="00AE2D27" w:rsidRDefault="00AE2D27" w:rsidP="00B264C8">
      <w:pPr>
        <w:spacing w:before="240"/>
      </w:pPr>
      <w:r>
        <w:t xml:space="preserve">Medical </w:t>
      </w:r>
      <w:r w:rsidRPr="008D71E1">
        <w:t>devices or equipment used for the manufacture of autologous HCT products</w:t>
      </w:r>
      <w:r>
        <w:t xml:space="preserve"> (i.e. used to harvest, prepare and re-inject the autologous fat for the AFG intervention),</w:t>
      </w:r>
      <w:r w:rsidRPr="008D71E1">
        <w:t xml:space="preserve"> </w:t>
      </w:r>
      <w:proofErr w:type="gramStart"/>
      <w:r w:rsidRPr="008D71E1">
        <w:t>may be regulated</w:t>
      </w:r>
      <w:proofErr w:type="gramEnd"/>
      <w:r w:rsidRPr="008D71E1">
        <w:t xml:space="preserve"> under the medical devices framework, where it is to be used for the treatment, diagnosis or modification of a patient’s anatomy or physiological process. </w:t>
      </w:r>
      <w:r>
        <w:t xml:space="preserve">Such medical devices </w:t>
      </w:r>
      <w:proofErr w:type="gramStart"/>
      <w:r>
        <w:t>can be found</w:t>
      </w:r>
      <w:proofErr w:type="gramEnd"/>
      <w:r>
        <w:t xml:space="preserve"> listed on the Australian Register of Therapeutic Goods (ARTG; reference Table </w:t>
      </w:r>
      <w:r w:rsidRPr="003B06A3">
        <w:t>11, p49 of the DCAR</w:t>
      </w:r>
      <w:r>
        <w:t>).</w:t>
      </w:r>
    </w:p>
    <w:p w14:paraId="68B284BD" w14:textId="77777777" w:rsidR="00BC1364" w:rsidRPr="00F715D1" w:rsidRDefault="00BC1364" w:rsidP="00F715D1">
      <w:pPr>
        <w:pStyle w:val="Heading1"/>
      </w:pPr>
      <w:r w:rsidRPr="00F715D1">
        <w:lastRenderedPageBreak/>
        <w:t>Proposal for public funding</w:t>
      </w:r>
    </w:p>
    <w:p w14:paraId="13F8009F" w14:textId="0F6B5BA9" w:rsidR="00AE2D27" w:rsidRPr="00183E4D" w:rsidRDefault="00AE2D27" w:rsidP="00AE2D27">
      <w:r>
        <w:t xml:space="preserve">The proposed MBS item descriptor </w:t>
      </w:r>
      <w:proofErr w:type="gramStart"/>
      <w:r>
        <w:t>is provided</w:t>
      </w:r>
      <w:proofErr w:type="gramEnd"/>
      <w:r>
        <w:t xml:space="preserve"> in </w:t>
      </w:r>
      <w:r w:rsidR="00B264C8" w:rsidRPr="00E84BE3">
        <w:rPr>
          <w:szCs w:val="24"/>
        </w:rPr>
        <w:fldChar w:fldCharType="begin"/>
      </w:r>
      <w:r w:rsidR="00B264C8" w:rsidRPr="00E84BE3">
        <w:rPr>
          <w:szCs w:val="24"/>
        </w:rPr>
        <w:instrText xml:space="preserve"> REF _Ref41382836 \h </w:instrText>
      </w:r>
      <w:r w:rsidR="00B264C8" w:rsidRPr="00E84BE3">
        <w:rPr>
          <w:szCs w:val="24"/>
        </w:rPr>
      </w:r>
      <w:r w:rsidR="00E84BE3" w:rsidRPr="00E84BE3">
        <w:rPr>
          <w:szCs w:val="24"/>
        </w:rPr>
        <w:instrText xml:space="preserve"> \* MERGEFORMAT </w:instrText>
      </w:r>
      <w:r w:rsidR="00B264C8" w:rsidRPr="00E84BE3">
        <w:rPr>
          <w:szCs w:val="24"/>
        </w:rPr>
        <w:fldChar w:fldCharType="separate"/>
      </w:r>
      <w:r w:rsidR="00E84BE3" w:rsidRPr="00E84BE3">
        <w:rPr>
          <w:szCs w:val="24"/>
        </w:rPr>
        <w:t xml:space="preserve">Table </w:t>
      </w:r>
      <w:r w:rsidR="00E84BE3" w:rsidRPr="00E84BE3">
        <w:rPr>
          <w:noProof/>
          <w:szCs w:val="24"/>
        </w:rPr>
        <w:t>1</w:t>
      </w:r>
      <w:r w:rsidR="00B264C8" w:rsidRPr="00E84BE3">
        <w:rPr>
          <w:szCs w:val="24"/>
        </w:rPr>
        <w:fldChar w:fldCharType="end"/>
      </w:r>
      <w:r>
        <w:t>.</w:t>
      </w:r>
    </w:p>
    <w:p w14:paraId="2C3C7EB2" w14:textId="251D2730" w:rsidR="00AE2D27" w:rsidRPr="00F3276D" w:rsidRDefault="00B264C8" w:rsidP="00F3276D">
      <w:pPr>
        <w:spacing w:before="240"/>
        <w:rPr>
          <w:rFonts w:ascii="Arial Narrow" w:hAnsi="Arial Narrow"/>
          <w:b/>
          <w:sz w:val="20"/>
        </w:rPr>
      </w:pPr>
      <w:bookmarkStart w:id="0" w:name="_Ref41382836"/>
      <w:bookmarkStart w:id="1" w:name="_Toc37031146"/>
      <w:bookmarkStart w:id="2" w:name="_Toc39593652"/>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1</w:t>
      </w:r>
      <w:r w:rsidR="00F3276D" w:rsidRPr="00F3276D">
        <w:rPr>
          <w:rFonts w:ascii="Arial Narrow" w:hAnsi="Arial Narrow"/>
          <w:b/>
          <w:sz w:val="20"/>
        </w:rPr>
        <w:fldChar w:fldCharType="end"/>
      </w:r>
      <w:bookmarkEnd w:id="0"/>
      <w:r w:rsidR="00AE2D27" w:rsidRPr="00F3276D">
        <w:rPr>
          <w:rFonts w:ascii="Arial Narrow" w:hAnsi="Arial Narrow"/>
          <w:b/>
          <w:sz w:val="20"/>
        </w:rPr>
        <w:t xml:space="preserve"> Proposed MBS item descriptor</w:t>
      </w:r>
      <w:bookmarkEnd w:id="1"/>
      <w:bookmarkEnd w:id="2"/>
    </w:p>
    <w:tbl>
      <w:tblPr>
        <w:tblStyle w:val="TableGrid1"/>
        <w:tblW w:w="5000" w:type="pct"/>
        <w:tblLook w:val="04A0" w:firstRow="1" w:lastRow="0" w:firstColumn="1" w:lastColumn="0" w:noHBand="0" w:noVBand="1"/>
        <w:tblCaption w:val="Table 1 Proposed MBS item descriptor"/>
        <w:tblDescription w:val="This table provides a description of the wording of the item to be included in the Medicare Benefits Schedule for this technology."/>
      </w:tblPr>
      <w:tblGrid>
        <w:gridCol w:w="9016"/>
      </w:tblGrid>
      <w:tr w:rsidR="00AE2D27" w:rsidRPr="00183E4D" w14:paraId="3D5A9D3C" w14:textId="77777777" w:rsidTr="00F3276D">
        <w:trPr>
          <w:cnfStyle w:val="100000000000" w:firstRow="1" w:lastRow="0" w:firstColumn="0" w:lastColumn="0" w:oddVBand="0" w:evenVBand="0" w:oddHBand="0" w:evenHBand="0" w:firstRowFirstColumn="0" w:firstRowLastColumn="0" w:lastRowFirstColumn="0" w:lastRowLastColumn="0"/>
          <w:tblHeader/>
        </w:trPr>
        <w:tc>
          <w:tcPr>
            <w:tcW w:w="5000" w:type="pct"/>
          </w:tcPr>
          <w:p w14:paraId="27D54F94" w14:textId="77777777" w:rsidR="00AE2D27" w:rsidRPr="00183E4D" w:rsidRDefault="00AE2D27" w:rsidP="00AE2D27">
            <w:pPr>
              <w:pStyle w:val="TableText0"/>
              <w:keepNext w:val="0"/>
              <w:jc w:val="both"/>
              <w:rPr>
                <w:szCs w:val="20"/>
              </w:rPr>
            </w:pPr>
            <w:r w:rsidRPr="00731951">
              <w:rPr>
                <w:szCs w:val="20"/>
              </w:rPr>
              <w:t>Category 3 – THERAPEUTIC PROCEDURES</w:t>
            </w:r>
          </w:p>
        </w:tc>
      </w:tr>
      <w:tr w:rsidR="00AE2D27" w:rsidRPr="00183E4D" w14:paraId="3919647E" w14:textId="77777777" w:rsidTr="00F3276D">
        <w:tc>
          <w:tcPr>
            <w:tcW w:w="5000" w:type="pct"/>
          </w:tcPr>
          <w:p w14:paraId="584ED0AD" w14:textId="77777777" w:rsidR="00AE2D27" w:rsidRDefault="00AE2D27" w:rsidP="00AE2D27">
            <w:pPr>
              <w:pStyle w:val="Tabletext"/>
            </w:pPr>
            <w:r>
              <w:t>Autologous fat grafting (harvesting, preparation and injection of adipocytes) as an independent procedure or in conjunction with another procedure, if:</w:t>
            </w:r>
          </w:p>
          <w:p w14:paraId="62A85A6E" w14:textId="77777777" w:rsidR="00AE2D27" w:rsidRDefault="00AE2D27" w:rsidP="00AE2D27">
            <w:pPr>
              <w:pStyle w:val="Tabletext"/>
              <w:numPr>
                <w:ilvl w:val="0"/>
                <w:numId w:val="32"/>
              </w:numPr>
              <w:ind w:left="295" w:hanging="284"/>
            </w:pPr>
            <w:r>
              <w:t>The autologous fat grafting is for:</w:t>
            </w:r>
          </w:p>
          <w:p w14:paraId="6FA22924" w14:textId="77777777" w:rsidR="00AE2D27" w:rsidRDefault="00AE2D27" w:rsidP="00AE2D27">
            <w:pPr>
              <w:pStyle w:val="Tabletext"/>
              <w:numPr>
                <w:ilvl w:val="1"/>
                <w:numId w:val="32"/>
              </w:numPr>
              <w:ind w:left="578" w:hanging="142"/>
            </w:pPr>
            <w:r>
              <w:t>Correction of asymmetry arising from volume and contour defects in craniofacial disorders, up to a maximum of 5 services per episode with at least 3 months between services; OR</w:t>
            </w:r>
          </w:p>
          <w:p w14:paraId="3B113B98" w14:textId="77777777" w:rsidR="00AE2D27" w:rsidRDefault="00AE2D27" w:rsidP="00AE2D27">
            <w:pPr>
              <w:pStyle w:val="Tabletext"/>
              <w:numPr>
                <w:ilvl w:val="1"/>
                <w:numId w:val="32"/>
              </w:numPr>
              <w:ind w:left="578" w:hanging="142"/>
            </w:pPr>
            <w:r>
              <w:t>Treatment of burn scar or associated skin graft in the context of scar contracture, contour deformity or neuropathic pain, in patients who have undergone a minimum of 3 months of topical therapies, including silicone and pressure therapy, with an unsatisfactory (minimal) level of improvement; up to a maximum of 5 services per region of the body defined as upper or lower limbs, trunk, neck or face; with at least 3 months between services in the same region; AND</w:t>
            </w:r>
          </w:p>
          <w:p w14:paraId="1F281741" w14:textId="77777777" w:rsidR="00AE2D27" w:rsidRDefault="00AE2D27" w:rsidP="00AE2D27">
            <w:pPr>
              <w:pStyle w:val="Tabletext"/>
              <w:numPr>
                <w:ilvl w:val="0"/>
                <w:numId w:val="32"/>
              </w:numPr>
              <w:ind w:left="295" w:hanging="284"/>
            </w:pPr>
            <w:r>
              <w:t>Photographic and/or imaging evidence, demonstrating the clinical need for this service, is to be documented in patient notes; AND</w:t>
            </w:r>
          </w:p>
          <w:p w14:paraId="00BCF129" w14:textId="75F816D3" w:rsidR="00AE2D27" w:rsidRDefault="00AE2D27" w:rsidP="00AE2D27">
            <w:pPr>
              <w:pStyle w:val="Tabletext"/>
              <w:numPr>
                <w:ilvl w:val="0"/>
                <w:numId w:val="32"/>
              </w:numPr>
              <w:ind w:left="295" w:hanging="284"/>
            </w:pPr>
            <w:r>
              <w:t>In relation to craniofacial disorders, evidence of diagnosis of the qualifying craniofacial disorder is documented in patient notes</w:t>
            </w:r>
          </w:p>
          <w:p w14:paraId="1C30375F" w14:textId="74C03CEE" w:rsidR="00AE2D27" w:rsidRDefault="00AE2D27" w:rsidP="00B264C8">
            <w:pPr>
              <w:pStyle w:val="Tabletext"/>
              <w:spacing w:before="240" w:after="240"/>
            </w:pPr>
            <w:r>
              <w:t>Multiple Operation Rule</w:t>
            </w:r>
          </w:p>
          <w:p w14:paraId="00C8F987" w14:textId="77777777" w:rsidR="00AE2D27" w:rsidRPr="00183E4D" w:rsidRDefault="00AE2D27" w:rsidP="00AE2D27">
            <w:pPr>
              <w:pStyle w:val="TableText0"/>
              <w:keepNext w:val="0"/>
              <w:jc w:val="both"/>
              <w:rPr>
                <w:szCs w:val="20"/>
              </w:rPr>
            </w:pPr>
            <w:r>
              <w:t>(</w:t>
            </w:r>
            <w:proofErr w:type="spellStart"/>
            <w:r>
              <w:t>Anaes</w:t>
            </w:r>
            <w:proofErr w:type="spellEnd"/>
            <w:r>
              <w:t>.)</w:t>
            </w:r>
          </w:p>
        </w:tc>
      </w:tr>
      <w:tr w:rsidR="00AE2D27" w:rsidRPr="00183E4D" w14:paraId="5C0B4D57" w14:textId="77777777" w:rsidTr="00F3276D">
        <w:tc>
          <w:tcPr>
            <w:tcW w:w="5000" w:type="pct"/>
          </w:tcPr>
          <w:p w14:paraId="1E311550" w14:textId="448D12BF" w:rsidR="00AE2D27" w:rsidRPr="00183E4D" w:rsidRDefault="00F3276D" w:rsidP="00AE2D27">
            <w:pPr>
              <w:pStyle w:val="TableText0"/>
              <w:keepNext w:val="0"/>
              <w:jc w:val="both"/>
              <w:rPr>
                <w:szCs w:val="20"/>
              </w:rPr>
            </w:pPr>
            <w:r>
              <w:rPr>
                <w:szCs w:val="20"/>
              </w:rPr>
              <w:t xml:space="preserve">MBS Fee: $641.85  </w:t>
            </w:r>
            <w:r w:rsidR="00AE2D27" w:rsidRPr="00731951">
              <w:rPr>
                <w:szCs w:val="20"/>
              </w:rPr>
              <w:t>Benefit: 75%=$481.40</w:t>
            </w:r>
          </w:p>
        </w:tc>
      </w:tr>
    </w:tbl>
    <w:p w14:paraId="38A2F40C" w14:textId="77777777" w:rsidR="00AE2D27" w:rsidRDefault="00AE2D27" w:rsidP="008E1617">
      <w:pPr>
        <w:pStyle w:val="Tablenotes"/>
      </w:pPr>
      <w:r>
        <w:t>Source: Table 1, p18 of the DCAR.</w:t>
      </w:r>
    </w:p>
    <w:p w14:paraId="5E794A59"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3B7C4952" w14:textId="72F35A0B" w:rsidR="0068772F" w:rsidRPr="00B264C8" w:rsidRDefault="0068772F" w:rsidP="00032A28">
      <w:r>
        <w:t xml:space="preserve">In total, 27 consultation responses (22 from specialists/clinicians, 1 consumer and </w:t>
      </w:r>
      <w:proofErr w:type="gramStart"/>
      <w:r>
        <w:t>4</w:t>
      </w:r>
      <w:proofErr w:type="gramEnd"/>
      <w:r>
        <w:t xml:space="preserve"> patient support group/carers) were received. The feedback </w:t>
      </w:r>
      <w:proofErr w:type="gramStart"/>
      <w:r>
        <w:t>are summarised</w:t>
      </w:r>
      <w:proofErr w:type="gramEnd"/>
      <w:r>
        <w:t xml:space="preserve"> below.</w:t>
      </w:r>
    </w:p>
    <w:p w14:paraId="11D40DD0" w14:textId="77777777" w:rsidR="00032A28" w:rsidRPr="00032A28" w:rsidRDefault="00032A28" w:rsidP="00B264C8">
      <w:pPr>
        <w:keepNext/>
        <w:spacing w:before="240"/>
        <w:outlineLvl w:val="1"/>
        <w:rPr>
          <w:b/>
          <w:bCs/>
          <w:iCs/>
          <w:szCs w:val="28"/>
          <w:lang w:eastAsia="en-US"/>
        </w:rPr>
      </w:pPr>
      <w:r w:rsidRPr="00032A28">
        <w:rPr>
          <w:b/>
          <w:bCs/>
          <w:iCs/>
          <w:szCs w:val="28"/>
          <w:lang w:eastAsia="en-US"/>
        </w:rPr>
        <w:t xml:space="preserve">Summary of Specialist/Clinician Comments </w:t>
      </w:r>
    </w:p>
    <w:p w14:paraId="0F22A672" w14:textId="77777777" w:rsidR="00032A28" w:rsidRPr="00032A28" w:rsidRDefault="00032A28" w:rsidP="00032A28">
      <w:pPr>
        <w:rPr>
          <w:szCs w:val="28"/>
        </w:rPr>
      </w:pPr>
      <w:r w:rsidRPr="00032A28">
        <w:rPr>
          <w:szCs w:val="28"/>
        </w:rPr>
        <w:t xml:space="preserve">Some of the main benefits of the proposed medical service </w:t>
      </w:r>
      <w:proofErr w:type="gramStart"/>
      <w:r w:rsidRPr="00032A28">
        <w:rPr>
          <w:szCs w:val="28"/>
        </w:rPr>
        <w:t>being funded</w:t>
      </w:r>
      <w:proofErr w:type="gramEnd"/>
      <w:r w:rsidRPr="00032A28">
        <w:rPr>
          <w:szCs w:val="28"/>
        </w:rPr>
        <w:t xml:space="preserve"> were:  </w:t>
      </w:r>
    </w:p>
    <w:p w14:paraId="3F582871" w14:textId="77777777" w:rsidR="00032A28" w:rsidRPr="003D3BC6" w:rsidRDefault="00032A28" w:rsidP="003D3BC6">
      <w:pPr>
        <w:pStyle w:val="ListParagraph"/>
        <w:numPr>
          <w:ilvl w:val="0"/>
          <w:numId w:val="38"/>
        </w:numPr>
        <w:rPr>
          <w:szCs w:val="28"/>
          <w:lang w:eastAsia="en-US"/>
        </w:rPr>
      </w:pPr>
      <w:r w:rsidRPr="003D3BC6">
        <w:rPr>
          <w:szCs w:val="28"/>
          <w:lang w:eastAsia="en-US"/>
        </w:rPr>
        <w:t xml:space="preserve">Natural reconstructive surgery, smaller operation and less invasive compared to alternative procedures (such as inserting facial implants or free flaps). </w:t>
      </w:r>
    </w:p>
    <w:p w14:paraId="34145435" w14:textId="77777777" w:rsidR="00032A28" w:rsidRPr="003D3BC6" w:rsidRDefault="00032A28" w:rsidP="003D3BC6">
      <w:pPr>
        <w:pStyle w:val="ListParagraph"/>
        <w:numPr>
          <w:ilvl w:val="0"/>
          <w:numId w:val="38"/>
        </w:numPr>
        <w:rPr>
          <w:szCs w:val="28"/>
          <w:lang w:eastAsia="en-US"/>
        </w:rPr>
      </w:pPr>
      <w:r w:rsidRPr="003D3BC6">
        <w:rPr>
          <w:szCs w:val="28"/>
          <w:lang w:eastAsia="en-US"/>
        </w:rPr>
        <w:t xml:space="preserve">Health funds will be able to cover added out-of-pocket expenses with MBS listing and more patients could have the option to </w:t>
      </w:r>
      <w:proofErr w:type="gramStart"/>
      <w:r w:rsidRPr="003D3BC6">
        <w:rPr>
          <w:szCs w:val="28"/>
          <w:lang w:eastAsia="en-US"/>
        </w:rPr>
        <w:t>be treated</w:t>
      </w:r>
      <w:proofErr w:type="gramEnd"/>
      <w:r w:rsidRPr="003D3BC6">
        <w:rPr>
          <w:szCs w:val="28"/>
          <w:lang w:eastAsia="en-US"/>
        </w:rPr>
        <w:t xml:space="preserve"> in a private hospital. </w:t>
      </w:r>
    </w:p>
    <w:p w14:paraId="0AEF3EC3" w14:textId="77777777" w:rsidR="00032A28" w:rsidRPr="003D3BC6" w:rsidRDefault="00032A28" w:rsidP="003D3BC6">
      <w:pPr>
        <w:pStyle w:val="ListParagraph"/>
        <w:numPr>
          <w:ilvl w:val="0"/>
          <w:numId w:val="38"/>
        </w:numPr>
        <w:rPr>
          <w:szCs w:val="28"/>
          <w:lang w:eastAsia="en-US"/>
        </w:rPr>
      </w:pPr>
      <w:r w:rsidRPr="003D3BC6">
        <w:rPr>
          <w:szCs w:val="28"/>
          <w:lang w:eastAsia="en-US"/>
        </w:rPr>
        <w:t xml:space="preserve">For some patients this is the only suitable option for contour correction. </w:t>
      </w:r>
    </w:p>
    <w:p w14:paraId="17477996" w14:textId="77777777" w:rsidR="00032A28" w:rsidRPr="003D3BC6" w:rsidRDefault="00032A28" w:rsidP="003D3BC6">
      <w:pPr>
        <w:pStyle w:val="ListParagraph"/>
        <w:numPr>
          <w:ilvl w:val="0"/>
          <w:numId w:val="38"/>
        </w:numPr>
        <w:rPr>
          <w:szCs w:val="28"/>
          <w:lang w:eastAsia="en-US"/>
        </w:rPr>
      </w:pPr>
      <w:r w:rsidRPr="003D3BC6">
        <w:rPr>
          <w:szCs w:val="28"/>
          <w:lang w:eastAsia="en-US"/>
        </w:rPr>
        <w:t xml:space="preserve">Useful adjunct to major reconstruction. </w:t>
      </w:r>
    </w:p>
    <w:p w14:paraId="2C10328E" w14:textId="77777777" w:rsidR="00032A28" w:rsidRPr="003D3BC6" w:rsidRDefault="00032A28" w:rsidP="003D3BC6">
      <w:pPr>
        <w:pStyle w:val="ListParagraph"/>
        <w:numPr>
          <w:ilvl w:val="0"/>
          <w:numId w:val="38"/>
        </w:numPr>
        <w:rPr>
          <w:szCs w:val="28"/>
          <w:lang w:eastAsia="en-US"/>
        </w:rPr>
      </w:pPr>
      <w:r w:rsidRPr="003D3BC6">
        <w:rPr>
          <w:szCs w:val="28"/>
          <w:lang w:eastAsia="en-US"/>
        </w:rPr>
        <w:t xml:space="preserve">Reduces pain and tightness in scars and reduced recovery time. </w:t>
      </w:r>
    </w:p>
    <w:p w14:paraId="04703ADF" w14:textId="77777777" w:rsidR="00032A28" w:rsidRPr="003D3BC6" w:rsidRDefault="00032A28" w:rsidP="003D3BC6">
      <w:pPr>
        <w:pStyle w:val="ListParagraph"/>
        <w:numPr>
          <w:ilvl w:val="0"/>
          <w:numId w:val="38"/>
        </w:numPr>
        <w:rPr>
          <w:szCs w:val="28"/>
          <w:lang w:eastAsia="en-US"/>
        </w:rPr>
      </w:pPr>
      <w:r w:rsidRPr="003D3BC6">
        <w:rPr>
          <w:szCs w:val="28"/>
          <w:lang w:eastAsia="en-US"/>
        </w:rPr>
        <w:t>Improved psychological wellbeing of the patient.</w:t>
      </w:r>
    </w:p>
    <w:p w14:paraId="608F22D9" w14:textId="2610B0EF" w:rsidR="00032A28" w:rsidRPr="003D3BC6" w:rsidRDefault="00032A28" w:rsidP="003D3BC6">
      <w:pPr>
        <w:pStyle w:val="ListParagraph"/>
        <w:numPr>
          <w:ilvl w:val="0"/>
          <w:numId w:val="38"/>
        </w:numPr>
        <w:rPr>
          <w:szCs w:val="28"/>
          <w:lang w:eastAsia="en-US"/>
        </w:rPr>
      </w:pPr>
      <w:r w:rsidRPr="003D3BC6">
        <w:rPr>
          <w:szCs w:val="28"/>
          <w:lang w:eastAsia="en-US"/>
        </w:rPr>
        <w:t>Reduced psychological impact of facial deformities and potential for bullying.</w:t>
      </w:r>
    </w:p>
    <w:p w14:paraId="6E38D49E" w14:textId="77777777" w:rsidR="00032A28" w:rsidRPr="003D3BC6" w:rsidRDefault="00032A28" w:rsidP="003D3BC6">
      <w:pPr>
        <w:pStyle w:val="ListParagraph"/>
        <w:numPr>
          <w:ilvl w:val="0"/>
          <w:numId w:val="38"/>
        </w:numPr>
        <w:rPr>
          <w:szCs w:val="28"/>
          <w:lang w:eastAsia="en-US"/>
        </w:rPr>
      </w:pPr>
      <w:r w:rsidRPr="003D3BC6">
        <w:rPr>
          <w:szCs w:val="28"/>
          <w:lang w:eastAsia="en-US"/>
        </w:rPr>
        <w:t xml:space="preserve">Equitable access to this service for all eligible patients. </w:t>
      </w:r>
    </w:p>
    <w:p w14:paraId="11A0D137" w14:textId="093B944E" w:rsidR="00032A28" w:rsidRPr="00B264C8" w:rsidRDefault="00032A28" w:rsidP="00B264C8">
      <w:pPr>
        <w:pStyle w:val="ListParagraph"/>
        <w:numPr>
          <w:ilvl w:val="0"/>
          <w:numId w:val="38"/>
        </w:numPr>
        <w:spacing w:after="240"/>
        <w:rPr>
          <w:szCs w:val="28"/>
          <w:lang w:eastAsia="en-US"/>
        </w:rPr>
      </w:pPr>
      <w:r w:rsidRPr="003D3BC6">
        <w:rPr>
          <w:szCs w:val="28"/>
          <w:lang w:eastAsia="en-US"/>
        </w:rPr>
        <w:t>By having access to this intervention, patients may be less likely to resort to getting cosmetic fille</w:t>
      </w:r>
      <w:r w:rsidR="00B264C8">
        <w:rPr>
          <w:szCs w:val="28"/>
          <w:lang w:eastAsia="en-US"/>
        </w:rPr>
        <w:t>rs in inappropriate facilities.</w:t>
      </w:r>
    </w:p>
    <w:p w14:paraId="6186F276" w14:textId="77777777" w:rsidR="00032A28" w:rsidRPr="00032A28" w:rsidRDefault="00032A28" w:rsidP="00B264C8">
      <w:pPr>
        <w:contextualSpacing/>
        <w:rPr>
          <w:szCs w:val="28"/>
          <w:lang w:eastAsia="en-US"/>
        </w:rPr>
      </w:pPr>
      <w:r w:rsidRPr="00032A28">
        <w:rPr>
          <w:szCs w:val="28"/>
          <w:lang w:eastAsia="en-US"/>
        </w:rPr>
        <w:t xml:space="preserve">The specialists considered that disadvantages of the service could include: </w:t>
      </w:r>
    </w:p>
    <w:p w14:paraId="11107DA6" w14:textId="77777777" w:rsidR="00032A28" w:rsidRPr="00032A28" w:rsidRDefault="00032A28" w:rsidP="00032A28">
      <w:pPr>
        <w:numPr>
          <w:ilvl w:val="0"/>
          <w:numId w:val="37"/>
        </w:numPr>
        <w:contextualSpacing/>
        <w:rPr>
          <w:szCs w:val="28"/>
          <w:lang w:eastAsia="en-US"/>
        </w:rPr>
      </w:pPr>
      <w:r w:rsidRPr="00032A28">
        <w:rPr>
          <w:szCs w:val="28"/>
          <w:lang w:eastAsia="en-US"/>
        </w:rPr>
        <w:t xml:space="preserve">Risks and complications of surgery: bruising, deformity, infection, oil cyst, fat embolism. </w:t>
      </w:r>
    </w:p>
    <w:p w14:paraId="40B1088B" w14:textId="77777777" w:rsidR="00032A28" w:rsidRPr="00032A28" w:rsidRDefault="00032A28" w:rsidP="00032A28">
      <w:pPr>
        <w:numPr>
          <w:ilvl w:val="0"/>
          <w:numId w:val="37"/>
        </w:numPr>
        <w:contextualSpacing/>
        <w:rPr>
          <w:szCs w:val="28"/>
          <w:lang w:eastAsia="en-US"/>
        </w:rPr>
      </w:pPr>
      <w:r w:rsidRPr="00032A28">
        <w:rPr>
          <w:szCs w:val="28"/>
          <w:lang w:eastAsia="en-US"/>
        </w:rPr>
        <w:t>Unskilled practitioners performing the procedure.</w:t>
      </w:r>
    </w:p>
    <w:p w14:paraId="62A1A206" w14:textId="77777777" w:rsidR="00032A28" w:rsidRPr="00032A28" w:rsidRDefault="00032A28" w:rsidP="00032A28">
      <w:pPr>
        <w:numPr>
          <w:ilvl w:val="0"/>
          <w:numId w:val="37"/>
        </w:numPr>
        <w:contextualSpacing/>
        <w:rPr>
          <w:szCs w:val="28"/>
          <w:lang w:eastAsia="en-US"/>
        </w:rPr>
      </w:pPr>
      <w:r w:rsidRPr="00032A28">
        <w:rPr>
          <w:szCs w:val="28"/>
          <w:lang w:eastAsia="en-US"/>
        </w:rPr>
        <w:t xml:space="preserve">Use for cosmetic purposes unrelated to a pathological diagnosis.  </w:t>
      </w:r>
    </w:p>
    <w:p w14:paraId="6DD19EBD" w14:textId="77777777" w:rsidR="00032A28" w:rsidRPr="00032A28" w:rsidRDefault="00032A28" w:rsidP="00032A28">
      <w:pPr>
        <w:numPr>
          <w:ilvl w:val="0"/>
          <w:numId w:val="37"/>
        </w:numPr>
        <w:contextualSpacing/>
        <w:rPr>
          <w:szCs w:val="28"/>
          <w:lang w:eastAsia="en-US"/>
        </w:rPr>
      </w:pPr>
      <w:r w:rsidRPr="00032A28">
        <w:rPr>
          <w:szCs w:val="28"/>
          <w:lang w:eastAsia="en-US"/>
        </w:rPr>
        <w:lastRenderedPageBreak/>
        <w:t xml:space="preserve">It often requires more than one procedure to achieve adequate volume and since the resorption of fat is unpredictable. </w:t>
      </w:r>
    </w:p>
    <w:p w14:paraId="1DC39B58" w14:textId="77777777" w:rsidR="00032A28" w:rsidRPr="00032A28" w:rsidRDefault="00032A28" w:rsidP="00032A28">
      <w:pPr>
        <w:numPr>
          <w:ilvl w:val="0"/>
          <w:numId w:val="37"/>
        </w:numPr>
        <w:contextualSpacing/>
        <w:rPr>
          <w:szCs w:val="28"/>
          <w:lang w:eastAsia="en-US"/>
        </w:rPr>
      </w:pPr>
      <w:r w:rsidRPr="00032A28">
        <w:rPr>
          <w:szCs w:val="28"/>
          <w:lang w:eastAsia="en-US"/>
        </w:rPr>
        <w:t xml:space="preserve">The results vary. </w:t>
      </w:r>
    </w:p>
    <w:p w14:paraId="686679EA" w14:textId="0F6F1E69" w:rsidR="00032A28" w:rsidRPr="00032A28" w:rsidRDefault="00032A28" w:rsidP="00B264C8">
      <w:pPr>
        <w:spacing w:before="240"/>
        <w:rPr>
          <w:szCs w:val="28"/>
          <w:lang w:eastAsia="en-US"/>
        </w:rPr>
      </w:pPr>
      <w:r w:rsidRPr="00032A28">
        <w:rPr>
          <w:szCs w:val="28"/>
          <w:lang w:eastAsia="en-US"/>
        </w:rPr>
        <w:t xml:space="preserve">Patients require ongoing management and often need repeat therapy. Some specialists </w:t>
      </w:r>
      <w:proofErr w:type="gramStart"/>
      <w:r w:rsidRPr="00032A28">
        <w:rPr>
          <w:szCs w:val="28"/>
          <w:lang w:eastAsia="en-US"/>
        </w:rPr>
        <w:t>commented</w:t>
      </w:r>
      <w:proofErr w:type="gramEnd"/>
      <w:r w:rsidRPr="00032A28">
        <w:rPr>
          <w:szCs w:val="28"/>
          <w:lang w:eastAsia="en-US"/>
        </w:rPr>
        <w:t xml:space="preserve"> </w:t>
      </w:r>
      <w:proofErr w:type="gramStart"/>
      <w:r w:rsidRPr="00032A28">
        <w:rPr>
          <w:szCs w:val="28"/>
          <w:lang w:eastAsia="en-US"/>
        </w:rPr>
        <w:t>that the item descriptor needs</w:t>
      </w:r>
      <w:proofErr w:type="gramEnd"/>
      <w:r w:rsidRPr="00032A28">
        <w:rPr>
          <w:szCs w:val="28"/>
          <w:lang w:eastAsia="en-US"/>
        </w:rPr>
        <w:t xml:space="preserve"> to ensure it could not be used in patients undergoing reconstruction for cosmetic purposes. Many respondents considered that fat grafting is part of the standard of care and therefore,</w:t>
      </w:r>
      <w:r w:rsidR="00B264C8">
        <w:rPr>
          <w:szCs w:val="28"/>
          <w:lang w:eastAsia="en-US"/>
        </w:rPr>
        <w:t xml:space="preserve"> needs to </w:t>
      </w:r>
      <w:proofErr w:type="gramStart"/>
      <w:r w:rsidR="00B264C8">
        <w:rPr>
          <w:szCs w:val="28"/>
          <w:lang w:eastAsia="en-US"/>
        </w:rPr>
        <w:t>be publically funded</w:t>
      </w:r>
      <w:proofErr w:type="gramEnd"/>
      <w:r w:rsidR="00B264C8">
        <w:rPr>
          <w:szCs w:val="28"/>
          <w:lang w:eastAsia="en-US"/>
        </w:rPr>
        <w:t>.</w:t>
      </w:r>
    </w:p>
    <w:p w14:paraId="3E5FFEF1" w14:textId="77777777" w:rsidR="00032A28" w:rsidRPr="00032A28" w:rsidRDefault="00032A28" w:rsidP="00B264C8">
      <w:pPr>
        <w:keepNext/>
        <w:spacing w:before="240"/>
        <w:outlineLvl w:val="1"/>
        <w:rPr>
          <w:b/>
          <w:bCs/>
          <w:iCs/>
          <w:szCs w:val="28"/>
          <w:lang w:eastAsia="en-US"/>
        </w:rPr>
      </w:pPr>
      <w:r w:rsidRPr="00032A28">
        <w:rPr>
          <w:b/>
          <w:bCs/>
          <w:iCs/>
          <w:szCs w:val="28"/>
          <w:lang w:eastAsia="en-US"/>
        </w:rPr>
        <w:t xml:space="preserve">Summary of Consumer/Group/Carer Comments </w:t>
      </w:r>
    </w:p>
    <w:p w14:paraId="516AAAA2" w14:textId="385B2EAF" w:rsidR="00032A28" w:rsidRPr="00032A28" w:rsidRDefault="00032A28" w:rsidP="00AE2D27">
      <w:pPr>
        <w:rPr>
          <w:szCs w:val="28"/>
        </w:rPr>
      </w:pPr>
      <w:r w:rsidRPr="00032A28">
        <w:rPr>
          <w:szCs w:val="28"/>
        </w:rPr>
        <w:t xml:space="preserve">The views towards the benefits of the proposed medical service were similar to those listed by the specialists, especially in regards to </w:t>
      </w:r>
      <w:r w:rsidRPr="00032A28">
        <w:rPr>
          <w:szCs w:val="24"/>
        </w:rPr>
        <w:t xml:space="preserve">psychological wellbeing and satisfaction with the results of the surgery. Consumers also noted the advantage of the less invasive procedure, less pain and less recovery </w:t>
      </w:r>
      <w:proofErr w:type="gramStart"/>
      <w:r w:rsidRPr="00032A28">
        <w:rPr>
          <w:szCs w:val="24"/>
        </w:rPr>
        <w:t>time which</w:t>
      </w:r>
      <w:proofErr w:type="gramEnd"/>
      <w:r w:rsidRPr="00032A28">
        <w:rPr>
          <w:szCs w:val="24"/>
        </w:rPr>
        <w:t xml:space="preserve"> allowed them to return to work/school sooner. </w:t>
      </w:r>
    </w:p>
    <w:p w14:paraId="467149B3" w14:textId="77777777" w:rsidR="00BC1364" w:rsidRPr="00F715D1" w:rsidRDefault="00BC1364" w:rsidP="00F715D1">
      <w:pPr>
        <w:pStyle w:val="Heading1"/>
      </w:pPr>
      <w:r w:rsidRPr="00F715D1">
        <w:t>Proposed intervention’s place in clinical management</w:t>
      </w:r>
    </w:p>
    <w:p w14:paraId="03252715" w14:textId="77777777" w:rsidR="00CF4E81" w:rsidRDefault="00CF4E81" w:rsidP="00E97167">
      <w:pPr>
        <w:rPr>
          <w:b/>
          <w:szCs w:val="24"/>
        </w:rPr>
      </w:pPr>
      <w:r w:rsidRPr="00CF4E81">
        <w:rPr>
          <w:b/>
          <w:szCs w:val="24"/>
        </w:rPr>
        <w:t>Description of Proposed Intervention</w:t>
      </w:r>
    </w:p>
    <w:p w14:paraId="46E009ED" w14:textId="2067D2B3" w:rsidR="00AE2D27" w:rsidRPr="00BA6A55" w:rsidRDefault="00BA6A55" w:rsidP="00BA6A55">
      <w:pPr>
        <w:jc w:val="both"/>
      </w:pPr>
      <w:r>
        <w:t xml:space="preserve">AFG is the harvesting, preparation, and re-injection of autologous fat, with or without specialised fat grafting equipment. It includes live fat cells </w:t>
      </w:r>
      <w:proofErr w:type="gramStart"/>
      <w:r>
        <w:t>being harvested</w:t>
      </w:r>
      <w:proofErr w:type="gramEnd"/>
      <w:r>
        <w:t xml:space="preserve"> from a donor site on the patient, prepared in theatre by a variety of methods to separate and purify the fat cells, and injected back into the defective area. It relies on the fat stem cells remaining viable in the transferred site.</w:t>
      </w:r>
    </w:p>
    <w:p w14:paraId="6C7BAA19" w14:textId="01EAD899" w:rsidR="00BA6A55" w:rsidRPr="00E97167" w:rsidRDefault="00CF4E81" w:rsidP="00B264C8">
      <w:pPr>
        <w:autoSpaceDE w:val="0"/>
        <w:autoSpaceDN w:val="0"/>
        <w:adjustRightInd w:val="0"/>
        <w:spacing w:before="240"/>
        <w:rPr>
          <w:b/>
        </w:rPr>
      </w:pPr>
      <w:r w:rsidRPr="00CF4E81">
        <w:rPr>
          <w:b/>
        </w:rPr>
        <w:t>Description of Medical Condition(s)</w:t>
      </w:r>
    </w:p>
    <w:p w14:paraId="5F39816F" w14:textId="77777777" w:rsidR="00BA6A55" w:rsidRDefault="00BA6A55" w:rsidP="00BA6A55">
      <w:r>
        <w:t xml:space="preserve">AFG </w:t>
      </w:r>
      <w:proofErr w:type="gramStart"/>
      <w:r>
        <w:t>is proposed</w:t>
      </w:r>
      <w:proofErr w:type="gramEnd"/>
      <w:r>
        <w:t xml:space="preserve"> to treat defects arising from the following medical conditions:</w:t>
      </w:r>
    </w:p>
    <w:p w14:paraId="3C275F02" w14:textId="77777777" w:rsidR="00BA6A55" w:rsidRDefault="00BA6A55" w:rsidP="00BA6A55">
      <w:pPr>
        <w:pStyle w:val="ListParagraph"/>
        <w:numPr>
          <w:ilvl w:val="0"/>
          <w:numId w:val="30"/>
        </w:numPr>
        <w:spacing w:before="120" w:after="120"/>
      </w:pPr>
      <w:r>
        <w:t>Population 1: includes patients with craniofacial disorders with facial asymmetry, requiring reconstruction and re-contouring including:</w:t>
      </w:r>
    </w:p>
    <w:p w14:paraId="4D74A7D7" w14:textId="77777777" w:rsidR="00BA6A55" w:rsidRDefault="00BA6A55" w:rsidP="00BA6A55">
      <w:pPr>
        <w:pStyle w:val="ListParagraph"/>
        <w:numPr>
          <w:ilvl w:val="1"/>
          <w:numId w:val="30"/>
        </w:numPr>
        <w:spacing w:before="120" w:after="120"/>
      </w:pPr>
      <w:r>
        <w:t>Congenital craniofacial syndromes</w:t>
      </w:r>
    </w:p>
    <w:p w14:paraId="0F57D453" w14:textId="77777777" w:rsidR="00BA6A55" w:rsidRDefault="00BA6A55" w:rsidP="00BA6A55">
      <w:pPr>
        <w:pStyle w:val="ListParagraph"/>
        <w:numPr>
          <w:ilvl w:val="1"/>
          <w:numId w:val="30"/>
        </w:numPr>
        <w:spacing w:before="120" w:after="120"/>
      </w:pPr>
      <w:r>
        <w:t>Acquired craniofacial defects (e.g. cancer surgery, other surgery, lipodystrophy associated conditions, trauma).</w:t>
      </w:r>
    </w:p>
    <w:p w14:paraId="40959EC5" w14:textId="467F04CD" w:rsidR="00BA6A55" w:rsidRPr="00B264C8" w:rsidRDefault="00BA6A55" w:rsidP="00BA6A55">
      <w:pPr>
        <w:pStyle w:val="ListParagraph"/>
        <w:numPr>
          <w:ilvl w:val="0"/>
          <w:numId w:val="30"/>
        </w:numPr>
        <w:tabs>
          <w:tab w:val="left" w:pos="720"/>
          <w:tab w:val="left" w:pos="1140"/>
        </w:tabs>
        <w:rPr>
          <w:color w:val="3366FF"/>
          <w:szCs w:val="24"/>
        </w:rPr>
      </w:pPr>
      <w:r>
        <w:t>Population 2: includes p</w:t>
      </w:r>
      <w:r w:rsidRPr="00BA6264">
        <w:t xml:space="preserve">atients with burn scars for the treatment of </w:t>
      </w:r>
      <w:proofErr w:type="spellStart"/>
      <w:r w:rsidRPr="00BA6264">
        <w:t>dysaesthesias</w:t>
      </w:r>
      <w:proofErr w:type="spellEnd"/>
      <w:r w:rsidRPr="00BA6264">
        <w:t>, contracture, poor skin quality or deformity, which have shown an unsatisfactory (minimal) level of improvement following treatment with topical therapies</w:t>
      </w:r>
      <w:r>
        <w:t>.</w:t>
      </w:r>
    </w:p>
    <w:p w14:paraId="4F416965" w14:textId="08DF79AB" w:rsidR="00BA6A55" w:rsidRPr="00E97167" w:rsidRDefault="00BA6A55" w:rsidP="00B264C8">
      <w:pPr>
        <w:tabs>
          <w:tab w:val="left" w:pos="720"/>
          <w:tab w:val="left" w:pos="1140"/>
        </w:tabs>
        <w:spacing w:before="240"/>
        <w:rPr>
          <w:b/>
          <w:bCs/>
        </w:rPr>
      </w:pPr>
      <w:r>
        <w:rPr>
          <w:rStyle w:val="Strong"/>
        </w:rPr>
        <w:t>Population 1 clinical management pathway</w:t>
      </w:r>
    </w:p>
    <w:p w14:paraId="45123E97" w14:textId="1F99A1A5" w:rsidR="00B264C8" w:rsidRDefault="00BA6A55">
      <w:r>
        <w:t xml:space="preserve">The DCAR stated that the clinical management algorithms (Figure 1) includes both patients diagnosed with congenital or acquired craniofacial disorders by a specialist surgeon. Patients are required to have had a formal diagnosis of a craniofacial disorder and to </w:t>
      </w:r>
      <w:proofErr w:type="gramStart"/>
      <w:r>
        <w:t>be assessed</w:t>
      </w:r>
      <w:proofErr w:type="gramEnd"/>
      <w:r>
        <w:t xml:space="preserve"> by a specialist as having a significant facial asymmetry or contour defect identified by clinical evaluation by a specialist and documented by clinical photography. At a minimum prior to surgery, patients are required to have had monitoring of their condition for a period of at least six months in order to establish that the defect has stabilised. </w:t>
      </w:r>
      <w:r w:rsidRPr="00A27F70">
        <w:t>If surgery is required, current treatment provides for significant craniofacial surgery, bony reconstruction or bony reconstruction and autologous flap or for autologous flap alone</w:t>
      </w:r>
      <w:r>
        <w:t xml:space="preserve"> or usual care (for those unwilling to undergo surgery)</w:t>
      </w:r>
      <w:r w:rsidRPr="00A27F70">
        <w:t xml:space="preserve">. Autologous fat grafting may be a first-line treatment of choice, instead of an autologous flap, as it presents significantly less morbidity and risk than major surgery or it </w:t>
      </w:r>
      <w:proofErr w:type="gramStart"/>
      <w:r w:rsidRPr="00A27F70">
        <w:t>may be used</w:t>
      </w:r>
      <w:proofErr w:type="gramEnd"/>
      <w:r w:rsidRPr="00A27F70">
        <w:t xml:space="preserve"> following invasive surgery to correct persisting asymmetries or deformity</w:t>
      </w:r>
      <w:r>
        <w:t>.</w:t>
      </w:r>
      <w:r w:rsidR="00B264C8">
        <w:br w:type="page"/>
      </w:r>
    </w:p>
    <w:p w14:paraId="658C1B43" w14:textId="77777777" w:rsidR="00BA6A55" w:rsidRDefault="00BA6A55" w:rsidP="00B264C8">
      <w:pPr>
        <w:tabs>
          <w:tab w:val="left" w:pos="720"/>
          <w:tab w:val="left" w:pos="1140"/>
        </w:tabs>
        <w:spacing w:before="240"/>
        <w:rPr>
          <w:rStyle w:val="Strong"/>
        </w:rPr>
      </w:pPr>
      <w:r>
        <w:rPr>
          <w:rStyle w:val="Strong"/>
        </w:rPr>
        <w:lastRenderedPageBreak/>
        <w:t>Population 2 clinical management pathway</w:t>
      </w:r>
    </w:p>
    <w:p w14:paraId="1D9F15E2" w14:textId="77777777" w:rsidR="00AF15C1" w:rsidRDefault="00BA6A55" w:rsidP="00BA6A55">
      <w:pPr>
        <w:sectPr w:rsidR="00AF15C1" w:rsidSect="00BA6A5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4" w:left="1440" w:header="709" w:footer="709" w:gutter="0"/>
          <w:cols w:space="708"/>
          <w:docGrid w:linePitch="360"/>
        </w:sectPr>
      </w:pPr>
      <w:r>
        <w:t>The DCAR stated that</w:t>
      </w:r>
      <w:r w:rsidR="008F1FC0">
        <w:t xml:space="preserve"> clinical management algorithms (Figure 2) included</w:t>
      </w:r>
      <w:r>
        <w:t xml:space="preserve"> patients</w:t>
      </w:r>
      <w:r w:rsidRPr="00A27F70">
        <w:t xml:space="preserve"> with prior treatment for burns </w:t>
      </w:r>
      <w:proofErr w:type="gramStart"/>
      <w:r w:rsidRPr="00A27F70">
        <w:t>would be referred</w:t>
      </w:r>
      <w:proofErr w:type="gramEnd"/>
      <w:r w:rsidRPr="00A27F70">
        <w:t xml:space="preserve"> to a specialist with expertise in burns (plastic and reconstructive surgeon, general surgeon or paediatric surgeon) by a GP or other specialist. Patients </w:t>
      </w:r>
      <w:proofErr w:type="gramStart"/>
      <w:r w:rsidRPr="00A27F70">
        <w:t>would be assessed</w:t>
      </w:r>
      <w:proofErr w:type="gramEnd"/>
      <w:r w:rsidRPr="00A27F70">
        <w:t xml:space="preserve"> by a specialist surgeon in burns, following the complete healing of burn wounds/associated skin grafts, in order to determine suitability for surgery. In the case of acute and immature scars, patients </w:t>
      </w:r>
      <w:proofErr w:type="gramStart"/>
      <w:r w:rsidRPr="00A27F70">
        <w:t>may be monitored</w:t>
      </w:r>
      <w:proofErr w:type="gramEnd"/>
      <w:r w:rsidRPr="00A27F70">
        <w:t xml:space="preserve"> for a period of up to six months to determine the most appropriate time for surgery</w:t>
      </w:r>
      <w:r>
        <w:t xml:space="preserve">. </w:t>
      </w:r>
      <w:r w:rsidRPr="00A27F70">
        <w:t xml:space="preserve">Patients would have had at least three months of conservative treatment with an unsatisfactory outcome and surgical release of burn contracture if required. Conservative treatment </w:t>
      </w:r>
      <w:proofErr w:type="gramStart"/>
      <w:r w:rsidRPr="00A27F70">
        <w:t>is defined</w:t>
      </w:r>
      <w:proofErr w:type="gramEnd"/>
      <w:r w:rsidRPr="00A27F70">
        <w:t xml:space="preserve"> as at least silicone therapy, pressure garments and physiotherapy.</w:t>
      </w:r>
      <w:r>
        <w:t xml:space="preserve"> If AFG is</w:t>
      </w:r>
      <w:r w:rsidRPr="00A27F70">
        <w:t xml:space="preserve"> listed on the MBS</w:t>
      </w:r>
      <w:r>
        <w:t>,</w:t>
      </w:r>
      <w:r w:rsidRPr="00A27F70">
        <w:t xml:space="preserve"> patients who currently have unsatisfactory outcomes from conservative treatment +/- contracture release would in addition to usual care alone, or further sur</w:t>
      </w:r>
      <w:r>
        <w:t>gery with usual care,</w:t>
      </w:r>
      <w:r w:rsidRPr="00A27F70">
        <w:t xml:space="preserve"> be a</w:t>
      </w:r>
      <w:r>
        <w:t>ble to have AFG plus usual care</w:t>
      </w:r>
      <w:r w:rsidR="00AF15C1">
        <w:t>.</w:t>
      </w:r>
    </w:p>
    <w:p w14:paraId="38AD1351" w14:textId="023B4BB0" w:rsidR="00BA6A55" w:rsidRDefault="00BA6A55" w:rsidP="008E1617">
      <w:pPr>
        <w:ind w:left="993"/>
      </w:pPr>
      <w:r>
        <w:object w:dxaOrig="15757" w:dyaOrig="10165" w14:anchorId="63114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Current and Proposed clinical management pathways for patients with craniofacial disorders with facial asymmetry" style="width:618.5pt;height:400pt" o:ole="">
            <v:imagedata r:id="rId18" o:title=""/>
          </v:shape>
          <o:OLEObject Type="Embed" ProgID="Visio.Drawing.15" ShapeID="_x0000_i1025" DrawAspect="Content" ObjectID="_1664021287" r:id="rId19"/>
        </w:object>
      </w:r>
    </w:p>
    <w:p w14:paraId="62CAD62D" w14:textId="77777777" w:rsidR="00BA6A55" w:rsidRPr="00F3276D" w:rsidRDefault="00BA6A55" w:rsidP="008E1617">
      <w:pPr>
        <w:spacing w:before="240"/>
        <w:ind w:left="426"/>
        <w:rPr>
          <w:rFonts w:ascii="Arial Narrow" w:hAnsi="Arial Narrow"/>
          <w:b/>
          <w:sz w:val="20"/>
        </w:rPr>
      </w:pPr>
      <w:bookmarkStart w:id="3" w:name="_Ref35269536"/>
      <w:bookmarkStart w:id="4" w:name="_Toc39593722"/>
      <w:r w:rsidRPr="00F3276D">
        <w:rPr>
          <w:rFonts w:ascii="Arial Narrow" w:hAnsi="Arial Narrow"/>
          <w:b/>
          <w:sz w:val="20"/>
        </w:rPr>
        <w:t>Figure</w:t>
      </w:r>
      <w:bookmarkEnd w:id="3"/>
      <w:r w:rsidR="008F1FC0" w:rsidRPr="00F3276D">
        <w:rPr>
          <w:rFonts w:ascii="Arial Narrow" w:hAnsi="Arial Narrow"/>
          <w:b/>
          <w:sz w:val="20"/>
        </w:rPr>
        <w:t xml:space="preserve"> 1</w:t>
      </w:r>
      <w:r w:rsidRPr="00F3276D">
        <w:rPr>
          <w:rFonts w:ascii="Arial Narrow" w:hAnsi="Arial Narrow"/>
          <w:b/>
          <w:sz w:val="20"/>
        </w:rPr>
        <w:tab/>
        <w:t>Current and Proposed clinical management pathways for patients with craniofacial disorders with facial asymmetry</w:t>
      </w:r>
      <w:bookmarkEnd w:id="4"/>
      <w:r w:rsidRPr="00F3276D">
        <w:rPr>
          <w:rFonts w:ascii="Arial Narrow" w:hAnsi="Arial Narrow"/>
          <w:b/>
          <w:sz w:val="20"/>
        </w:rPr>
        <w:t xml:space="preserve"> (Population 1)</w:t>
      </w:r>
    </w:p>
    <w:p w14:paraId="1A876EB1" w14:textId="77777777" w:rsidR="00BA6A55" w:rsidRDefault="00AE2D27" w:rsidP="008E1617">
      <w:pPr>
        <w:pStyle w:val="Tablenotes"/>
      </w:pPr>
      <w:r>
        <w:t>Source: Figure 1</w:t>
      </w:r>
      <w:r w:rsidR="00BA6A55" w:rsidRPr="0080792B">
        <w:t>, p 68 of the DCAR.</w:t>
      </w:r>
    </w:p>
    <w:p w14:paraId="58AE36D2" w14:textId="77777777" w:rsidR="00BA6A55" w:rsidRDefault="00BA6A55" w:rsidP="00BA6A55">
      <w:pPr>
        <w:pStyle w:val="ListParagraph"/>
        <w:keepNext/>
        <w:jc w:val="center"/>
      </w:pPr>
      <w:r>
        <w:object w:dxaOrig="15073" w:dyaOrig="9300" w14:anchorId="283BD7F6">
          <v:shape id="_x0000_i1026" type="#_x0000_t75" alt="Figure 2 Current and Proposed clinical management pathway for patients with burns scars and contractures " style="width:644.5pt;height:396.5pt" o:ole="">
            <v:imagedata r:id="rId20" o:title=""/>
          </v:shape>
          <o:OLEObject Type="Embed" ProgID="Visio.Drawing.15" ShapeID="_x0000_i1026" DrawAspect="Content" ObjectID="_1664021288" r:id="rId21"/>
        </w:object>
      </w:r>
    </w:p>
    <w:p w14:paraId="2E79EACF" w14:textId="77777777" w:rsidR="00BA6A55" w:rsidRPr="00F3276D" w:rsidRDefault="00BA6A55" w:rsidP="008E1617">
      <w:pPr>
        <w:spacing w:before="240"/>
        <w:ind w:left="426"/>
        <w:rPr>
          <w:rFonts w:ascii="Arial Narrow" w:hAnsi="Arial Narrow"/>
          <w:b/>
          <w:sz w:val="20"/>
        </w:rPr>
      </w:pPr>
      <w:bookmarkStart w:id="5" w:name="_Ref35273620"/>
      <w:bookmarkStart w:id="6" w:name="_Toc39593723"/>
      <w:r w:rsidRPr="00F3276D">
        <w:rPr>
          <w:rFonts w:ascii="Arial Narrow" w:hAnsi="Arial Narrow"/>
          <w:b/>
          <w:sz w:val="20"/>
        </w:rPr>
        <w:t>Figure</w:t>
      </w:r>
      <w:bookmarkEnd w:id="5"/>
      <w:r w:rsidR="008F1FC0" w:rsidRPr="00F3276D">
        <w:rPr>
          <w:rFonts w:ascii="Arial Narrow" w:hAnsi="Arial Narrow"/>
          <w:b/>
          <w:sz w:val="20"/>
        </w:rPr>
        <w:t xml:space="preserve"> 2</w:t>
      </w:r>
      <w:r w:rsidRPr="00F3276D">
        <w:rPr>
          <w:rFonts w:ascii="Arial Narrow" w:hAnsi="Arial Narrow"/>
          <w:b/>
          <w:sz w:val="20"/>
        </w:rPr>
        <w:tab/>
        <w:t>Current and Proposed clinical management pathway for patients with burns scars and contractures</w:t>
      </w:r>
      <w:bookmarkEnd w:id="6"/>
      <w:r w:rsidRPr="00F3276D">
        <w:rPr>
          <w:rFonts w:ascii="Arial Narrow" w:hAnsi="Arial Narrow"/>
          <w:b/>
          <w:sz w:val="20"/>
        </w:rPr>
        <w:t xml:space="preserve"> (Population 2)</w:t>
      </w:r>
    </w:p>
    <w:p w14:paraId="1631DCD8" w14:textId="77777777" w:rsidR="00BA6A55" w:rsidRPr="0080792B" w:rsidRDefault="00BA6A55" w:rsidP="008E1617">
      <w:pPr>
        <w:pStyle w:val="Tablenotes"/>
        <w:sectPr w:rsidR="00BA6A55" w:rsidRPr="0080792B" w:rsidSect="00AE2D27">
          <w:pgSz w:w="16838" w:h="11906" w:orient="landscape"/>
          <w:pgMar w:top="1440" w:right="1440" w:bottom="1440" w:left="1134" w:header="709" w:footer="709" w:gutter="0"/>
          <w:cols w:space="708"/>
          <w:docGrid w:linePitch="360"/>
        </w:sectPr>
      </w:pPr>
      <w:r w:rsidRPr="0080792B">
        <w:t>Sou</w:t>
      </w:r>
      <w:r>
        <w:t>rce: Figure 2, p 69 of the DCAR</w:t>
      </w:r>
    </w:p>
    <w:p w14:paraId="11F2158D" w14:textId="77777777" w:rsidR="00BC1364" w:rsidRPr="00F715D1" w:rsidRDefault="00BC1364" w:rsidP="00BA6A55">
      <w:pPr>
        <w:pStyle w:val="Heading1"/>
      </w:pPr>
      <w:r w:rsidRPr="00F715D1">
        <w:lastRenderedPageBreak/>
        <w:t xml:space="preserve">Comparator </w:t>
      </w:r>
    </w:p>
    <w:p w14:paraId="0F3175DA" w14:textId="77777777" w:rsidR="00AE2D27" w:rsidRDefault="00AE2D27" w:rsidP="00AE2D27">
      <w:pPr>
        <w:pStyle w:val="Heading2"/>
      </w:pPr>
      <w:bookmarkStart w:id="7" w:name="_Toc39594884"/>
      <w:r>
        <w:t>Population 1</w:t>
      </w:r>
      <w:bookmarkEnd w:id="7"/>
    </w:p>
    <w:p w14:paraId="7782E570" w14:textId="77777777" w:rsidR="00AE2D27" w:rsidRDefault="00AE2D27" w:rsidP="00AE2D27">
      <w:r>
        <w:t>The comparators for Population 1 are:</w:t>
      </w:r>
    </w:p>
    <w:p w14:paraId="73A8F132" w14:textId="77777777" w:rsidR="00AE2D27" w:rsidRDefault="00AE2D27" w:rsidP="00AE2D27">
      <w:pPr>
        <w:pStyle w:val="ListParagraph"/>
        <w:numPr>
          <w:ilvl w:val="0"/>
          <w:numId w:val="33"/>
        </w:numPr>
        <w:ind w:left="714" w:hanging="357"/>
      </w:pPr>
      <w:r>
        <w:t>bony reconstruction and free autologous flap</w:t>
      </w:r>
    </w:p>
    <w:p w14:paraId="333A0094" w14:textId="77777777" w:rsidR="00AE2D27" w:rsidRDefault="00AE2D27" w:rsidP="00AE2D27">
      <w:pPr>
        <w:pStyle w:val="ListParagraph"/>
        <w:numPr>
          <w:ilvl w:val="0"/>
          <w:numId w:val="33"/>
        </w:numPr>
        <w:ind w:left="714" w:hanging="357"/>
      </w:pPr>
      <w:r>
        <w:t>free autologous flap reconstruction, or</w:t>
      </w:r>
    </w:p>
    <w:p w14:paraId="32552F4B" w14:textId="50678EA2" w:rsidR="00AE2D27" w:rsidRDefault="00AE2D27" w:rsidP="00AE2D27">
      <w:pPr>
        <w:pStyle w:val="ListParagraph"/>
        <w:numPr>
          <w:ilvl w:val="0"/>
          <w:numId w:val="33"/>
        </w:numPr>
        <w:ind w:left="714" w:hanging="357"/>
        <w:jc w:val="both"/>
      </w:pPr>
      <w:proofErr w:type="gramStart"/>
      <w:r>
        <w:t>usual</w:t>
      </w:r>
      <w:proofErr w:type="gramEnd"/>
      <w:r>
        <w:t xml:space="preserve"> care.</w:t>
      </w:r>
    </w:p>
    <w:p w14:paraId="00DD9383" w14:textId="03E53439" w:rsidR="00AE2D27" w:rsidRDefault="00AE2D27" w:rsidP="00B264C8">
      <w:pPr>
        <w:spacing w:before="240"/>
      </w:pPr>
      <w:r>
        <w:t xml:space="preserve">The DCAR noted that the PICO referred to a group of patients included in Population 1 who, have not followed up on further invasive surgery, </w:t>
      </w:r>
      <w:r w:rsidR="00C3386F">
        <w:t xml:space="preserve">and </w:t>
      </w:r>
      <w:r>
        <w:t xml:space="preserve">would be candidates for AFG. Usual care in this instance does not refer to any specific conservative therapies. The DCAR also noted that </w:t>
      </w:r>
      <w:r w:rsidR="00C3386F">
        <w:t xml:space="preserve">the </w:t>
      </w:r>
      <w:r w:rsidRPr="00B43D99">
        <w:t xml:space="preserve">procedure often requires subsequent revision surgery (free autologous flap reconstruction) which </w:t>
      </w:r>
      <w:proofErr w:type="gramStart"/>
      <w:r w:rsidRPr="00B43D99">
        <w:t>was estimated</w:t>
      </w:r>
      <w:proofErr w:type="gramEnd"/>
      <w:r w:rsidRPr="00B43D99">
        <w:t xml:space="preserve"> at 20% of the population that received AFG in the application.</w:t>
      </w:r>
    </w:p>
    <w:p w14:paraId="324AB118" w14:textId="6ED53C2B" w:rsidR="00AE2D27" w:rsidRDefault="00AE2D27" w:rsidP="00B264C8">
      <w:pPr>
        <w:spacing w:before="240"/>
      </w:pPr>
      <w:r>
        <w:t>MBS items of the surgical comparators for Population 1 include MBS items 45564 and 45565.</w:t>
      </w:r>
    </w:p>
    <w:p w14:paraId="0D5770CB" w14:textId="40393171" w:rsidR="00AE2D27" w:rsidRDefault="00AE2D27" w:rsidP="00B264C8">
      <w:pPr>
        <w:spacing w:before="240"/>
      </w:pPr>
      <w:r>
        <w:t>The pre-ESC response queried “usual care” as a comparator for the AFG for craniofacial anomalies within the DCAR. The applicant questioned the appropriateness of comparing the safety of a surgical intervention to “usual care” (i.e. doing nothing) in conditions where there is a clear indication to intervene.</w:t>
      </w:r>
    </w:p>
    <w:p w14:paraId="6E8EDC42" w14:textId="77777777" w:rsidR="00AE2D27" w:rsidRDefault="00AE2D27" w:rsidP="00B264C8">
      <w:pPr>
        <w:spacing w:before="240"/>
      </w:pPr>
      <w:proofErr w:type="gramStart"/>
      <w:r>
        <w:t>In the rejoinder, the assessment group clarified that t</w:t>
      </w:r>
      <w:r w:rsidRPr="00F45D4D">
        <w:t>he inclusion of ‘usual care’ as the last of the three comparators was an acknowledgement that there likely exists a population who may not have wished to pursue further existing surgery (this may be due to patients preference or patients unsuitable for lengthy general anaesthetic required for microvascular surgery) but for whom AFG may be an appropriate intervention.</w:t>
      </w:r>
      <w:proofErr w:type="gramEnd"/>
      <w:r w:rsidRPr="00F45D4D">
        <w:t xml:space="preserve"> As noted in the DCAR, although it is acknowledged this population may exist (and contribute to unmet demand for AFG), it is a population which it is not possible to identify for the purposes of utilisation data or for evidence evaluation.</w:t>
      </w:r>
    </w:p>
    <w:p w14:paraId="79A4B8DF" w14:textId="77777777" w:rsidR="00AE2D27" w:rsidRPr="008F073B" w:rsidRDefault="00AE2D27" w:rsidP="00AE2D27">
      <w:pPr>
        <w:pStyle w:val="Heading2"/>
      </w:pPr>
      <w:bookmarkStart w:id="8" w:name="_Toc39594885"/>
      <w:r>
        <w:t>Population 2</w:t>
      </w:r>
      <w:bookmarkEnd w:id="8"/>
    </w:p>
    <w:p w14:paraId="46B55312" w14:textId="5B4FEFAF" w:rsidR="00AE2D27" w:rsidRDefault="00AE2D27" w:rsidP="00AE2D27">
      <w:r>
        <w:t>The comparator for Population 2 is usual care, which mainly comprises conservative regimens of treatment, but may also include surgical options such as contracture release or microvascular flap procedures.</w:t>
      </w:r>
    </w:p>
    <w:p w14:paraId="0D458C64" w14:textId="6B467191" w:rsidR="00AE2D27" w:rsidRDefault="00AE2D27" w:rsidP="00B264C8">
      <w:pPr>
        <w:spacing w:before="240"/>
      </w:pPr>
      <w:r>
        <w:t>The DCAR noted that usual care for patients in Population 2 consists of many interventions such as ongoing physiotherapy, massage therapy, hydration of the scar, ultrasound and laser therapy and that the therapies that constitute usual care can differ for each patient.</w:t>
      </w:r>
    </w:p>
    <w:p w14:paraId="40277FE4" w14:textId="77777777" w:rsidR="00AE2D27" w:rsidRDefault="00AE2D27" w:rsidP="00B264C8">
      <w:pPr>
        <w:spacing w:before="240"/>
      </w:pPr>
      <w:r>
        <w:t xml:space="preserve">MBS items for surgical operations that may be included as part of usual care and </w:t>
      </w:r>
      <w:proofErr w:type="gramStart"/>
      <w:r>
        <w:t>may also</w:t>
      </w:r>
      <w:proofErr w:type="gramEnd"/>
      <w:r>
        <w:t xml:space="preserve"> be used in conjunction with AFG, include MBS items </w:t>
      </w:r>
      <w:r w:rsidRPr="00F204A0">
        <w:t>45519</w:t>
      </w:r>
      <w:r>
        <w:t xml:space="preserve">, </w:t>
      </w:r>
      <w:r w:rsidRPr="001F53EF">
        <w:t>45054</w:t>
      </w:r>
      <w:r>
        <w:t xml:space="preserve">, </w:t>
      </w:r>
      <w:r w:rsidRPr="00F204A0">
        <w:t>45451</w:t>
      </w:r>
      <w:r>
        <w:t xml:space="preserve"> and </w:t>
      </w:r>
      <w:r w:rsidRPr="00F204A0">
        <w:t>45203</w:t>
      </w:r>
      <w:r>
        <w:t xml:space="preserve">. The DCAR noted that </w:t>
      </w:r>
      <w:r w:rsidRPr="001F53EF">
        <w:t>The Medicare Benefits Review Task force (</w:t>
      </w:r>
      <w:hyperlink r:id="rId22" w:history="1">
        <w:r w:rsidRPr="00310F78">
          <w:rPr>
            <w:rStyle w:val="Hyperlink"/>
          </w:rPr>
          <w:t>Draft Report for the Plastic and Reconstructive Surgery Clinical Committee</w:t>
        </w:r>
      </w:hyperlink>
      <w:r w:rsidRPr="001F53EF">
        <w:t>) has recommended th</w:t>
      </w:r>
      <w:r>
        <w:t>at the proposed descriptor for i</w:t>
      </w:r>
      <w:r w:rsidRPr="001F53EF">
        <w:t xml:space="preserve">tem 45519 </w:t>
      </w:r>
      <w:r>
        <w:t xml:space="preserve">(burns contracture release) </w:t>
      </w:r>
      <w:r w:rsidRPr="001F53EF">
        <w:t>be amended and three new items be created to accoun</w:t>
      </w:r>
      <w:r>
        <w:t xml:space="preserve">t for the extent of the deficit (i.e. &lt;1%, 1-3% and &gt;3 to &lt;10% </w:t>
      </w:r>
      <w:r w:rsidRPr="00F45D4D">
        <w:t>of total body surface</w:t>
      </w:r>
      <w:r>
        <w:t>).</w:t>
      </w:r>
    </w:p>
    <w:p w14:paraId="46622412" w14:textId="77777777" w:rsidR="00BC1364" w:rsidRPr="00F715D1" w:rsidRDefault="00BC1364" w:rsidP="00F715D1">
      <w:pPr>
        <w:pStyle w:val="Heading1"/>
      </w:pPr>
      <w:r w:rsidRPr="00F715D1">
        <w:lastRenderedPageBreak/>
        <w:t>Comparative safety</w:t>
      </w:r>
    </w:p>
    <w:p w14:paraId="3E0EA300" w14:textId="77777777" w:rsidR="00AE2D27" w:rsidRDefault="00AE2D27" w:rsidP="00AE2D27">
      <w:pPr>
        <w:pStyle w:val="Heading2"/>
      </w:pPr>
      <w:r>
        <w:t xml:space="preserve">Population 1 </w:t>
      </w:r>
    </w:p>
    <w:p w14:paraId="52901662" w14:textId="77777777" w:rsidR="00AE2D27" w:rsidRDefault="00AE2D27" w:rsidP="00AE2D27">
      <w:pPr>
        <w:pStyle w:val="Heading3"/>
      </w:pPr>
      <w:r>
        <w:t>Congenital craniofacial abnormalities</w:t>
      </w:r>
    </w:p>
    <w:p w14:paraId="29241C98" w14:textId="5ADD4D01" w:rsidR="00AE2D27" w:rsidRDefault="00AE2D27" w:rsidP="00AE2D27">
      <w:r>
        <w:t xml:space="preserve">For Population 1, the DCAR identified two comparative studies </w:t>
      </w:r>
      <w:r w:rsidRPr="00C341DA">
        <w:t xml:space="preserve">assessing the use of AFG compared to free vascular flap transfer (free flap) to correct facial asymmetry due to congenital conditions </w:t>
      </w:r>
      <w:r w:rsidR="008F1FC0">
        <w:t>(</w:t>
      </w:r>
      <w:r w:rsidR="008652D9" w:rsidRPr="00CF69CE">
        <w:rPr>
          <w:szCs w:val="24"/>
        </w:rPr>
        <w:fldChar w:fldCharType="begin"/>
      </w:r>
      <w:r w:rsidR="008652D9" w:rsidRPr="00CF69CE">
        <w:rPr>
          <w:szCs w:val="24"/>
        </w:rPr>
        <w:instrText xml:space="preserve"> REF _Ref50013621 \h </w:instrText>
      </w:r>
      <w:r w:rsidR="008652D9" w:rsidRPr="00CF69CE">
        <w:rPr>
          <w:szCs w:val="24"/>
        </w:rPr>
      </w:r>
      <w:r w:rsidR="00CF69CE" w:rsidRPr="00CF69CE">
        <w:rPr>
          <w:szCs w:val="24"/>
        </w:rPr>
        <w:instrText xml:space="preserve"> \* MERGEFORMAT </w:instrText>
      </w:r>
      <w:r w:rsidR="008652D9" w:rsidRPr="00CF69CE">
        <w:rPr>
          <w:szCs w:val="24"/>
        </w:rPr>
        <w:fldChar w:fldCharType="separate"/>
      </w:r>
      <w:r w:rsidR="00E84BE3" w:rsidRPr="00CF69CE">
        <w:rPr>
          <w:szCs w:val="24"/>
        </w:rPr>
        <w:t xml:space="preserve">Table </w:t>
      </w:r>
      <w:r w:rsidR="00E84BE3" w:rsidRPr="00CF69CE">
        <w:rPr>
          <w:noProof/>
          <w:szCs w:val="24"/>
        </w:rPr>
        <w:t>2</w:t>
      </w:r>
      <w:r w:rsidR="008652D9" w:rsidRPr="00CF69CE">
        <w:rPr>
          <w:szCs w:val="24"/>
        </w:rPr>
        <w:fldChar w:fldCharType="end"/>
      </w:r>
      <w:r>
        <w:t>). A further three systematic reviews relevant to the use of AFG in Population 1 were included in the DCAR (</w:t>
      </w:r>
      <w:r w:rsidR="008652D9" w:rsidRPr="00CF69CE">
        <w:rPr>
          <w:szCs w:val="24"/>
        </w:rPr>
        <w:fldChar w:fldCharType="begin"/>
      </w:r>
      <w:r w:rsidR="008652D9" w:rsidRPr="00CF69CE">
        <w:rPr>
          <w:szCs w:val="24"/>
        </w:rPr>
        <w:instrText xml:space="preserve"> REF _Ref50013694 \h </w:instrText>
      </w:r>
      <w:r w:rsidR="008652D9" w:rsidRPr="00CF69CE">
        <w:rPr>
          <w:szCs w:val="24"/>
        </w:rPr>
      </w:r>
      <w:r w:rsidR="00CF69CE" w:rsidRPr="00CF69CE">
        <w:rPr>
          <w:szCs w:val="24"/>
        </w:rPr>
        <w:instrText xml:space="preserve"> \* MERGEFORMAT </w:instrText>
      </w:r>
      <w:r w:rsidR="008652D9" w:rsidRPr="00CF69CE">
        <w:rPr>
          <w:szCs w:val="24"/>
        </w:rPr>
        <w:fldChar w:fldCharType="separate"/>
      </w:r>
      <w:r w:rsidR="00E84BE3" w:rsidRPr="00CF69CE">
        <w:rPr>
          <w:szCs w:val="24"/>
        </w:rPr>
        <w:t xml:space="preserve">Table </w:t>
      </w:r>
      <w:r w:rsidR="00E84BE3" w:rsidRPr="00CF69CE">
        <w:rPr>
          <w:noProof/>
          <w:szCs w:val="24"/>
        </w:rPr>
        <w:t>3</w:t>
      </w:r>
      <w:r w:rsidR="008652D9" w:rsidRPr="00CF69CE">
        <w:rPr>
          <w:szCs w:val="24"/>
        </w:rPr>
        <w:fldChar w:fldCharType="end"/>
      </w:r>
      <w:r>
        <w:t>).</w:t>
      </w:r>
    </w:p>
    <w:p w14:paraId="6969B6E0" w14:textId="21288E09" w:rsidR="00AE2D27" w:rsidRPr="00F3276D" w:rsidRDefault="008652D9" w:rsidP="00F3276D">
      <w:pPr>
        <w:spacing w:before="240"/>
        <w:rPr>
          <w:rFonts w:ascii="Arial Narrow" w:hAnsi="Arial Narrow"/>
          <w:b/>
          <w:sz w:val="20"/>
        </w:rPr>
      </w:pPr>
      <w:bookmarkStart w:id="9" w:name="_Ref50013621"/>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2</w:t>
      </w:r>
      <w:r w:rsidR="00F3276D" w:rsidRPr="00F3276D">
        <w:rPr>
          <w:rFonts w:ascii="Arial Narrow" w:hAnsi="Arial Narrow"/>
          <w:b/>
          <w:sz w:val="20"/>
        </w:rPr>
        <w:fldChar w:fldCharType="end"/>
      </w:r>
      <w:bookmarkEnd w:id="9"/>
      <w:r w:rsidR="00AE2D27" w:rsidRPr="00F3276D">
        <w:rPr>
          <w:rFonts w:ascii="Arial Narrow" w:hAnsi="Arial Narrow"/>
          <w:b/>
          <w:sz w:val="20"/>
        </w:rPr>
        <w:t xml:space="preserve">  Key features of the included comparative studies comparing AFG with free flaps</w:t>
      </w:r>
    </w:p>
    <w:tbl>
      <w:tblPr>
        <w:tblStyle w:val="TableGrid1"/>
        <w:tblW w:w="5186" w:type="pct"/>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851"/>
        <w:gridCol w:w="399"/>
        <w:gridCol w:w="1219"/>
        <w:gridCol w:w="735"/>
        <w:gridCol w:w="1183"/>
        <w:gridCol w:w="1230"/>
        <w:gridCol w:w="1228"/>
        <w:gridCol w:w="2506"/>
      </w:tblGrid>
      <w:tr w:rsidR="00AE2D27" w:rsidRPr="00956525" w14:paraId="7AE9C7A5" w14:textId="77777777" w:rsidTr="00F3276D">
        <w:trPr>
          <w:cnfStyle w:val="100000000000" w:firstRow="1" w:lastRow="0" w:firstColumn="0" w:lastColumn="0" w:oddVBand="0" w:evenVBand="0" w:oddHBand="0" w:evenHBand="0" w:firstRowFirstColumn="0" w:firstRowLastColumn="0" w:lastRowFirstColumn="0" w:lastRowLastColumn="0"/>
          <w:tblHeader/>
        </w:trPr>
        <w:tc>
          <w:tcPr>
            <w:tcW w:w="479" w:type="pct"/>
          </w:tcPr>
          <w:p w14:paraId="1799B068" w14:textId="77777777" w:rsidR="00AE2D27" w:rsidRPr="00956525" w:rsidRDefault="00AE2D27" w:rsidP="00B264C8">
            <w:pPr>
              <w:keepNext/>
              <w:rPr>
                <w:rFonts w:ascii="Arial Narrow" w:hAnsi="Arial Narrow" w:cs="Tahoma"/>
                <w:b/>
                <w:snapToGrid w:val="0"/>
                <w:sz w:val="20"/>
                <w:lang w:eastAsia="en-US"/>
              </w:rPr>
            </w:pPr>
            <w:r w:rsidRPr="00956525">
              <w:rPr>
                <w:rFonts w:ascii="Arial Narrow" w:hAnsi="Arial Narrow" w:cs="Tahoma"/>
                <w:b/>
                <w:snapToGrid w:val="0"/>
                <w:sz w:val="20"/>
                <w:lang w:eastAsia="en-US"/>
              </w:rPr>
              <w:t>Study</w:t>
            </w:r>
          </w:p>
        </w:tc>
        <w:tc>
          <w:tcPr>
            <w:tcW w:w="201" w:type="pct"/>
          </w:tcPr>
          <w:p w14:paraId="7E113103" w14:textId="77777777" w:rsidR="00AE2D27" w:rsidRPr="00956525" w:rsidRDefault="00AE2D27" w:rsidP="00B264C8">
            <w:pPr>
              <w:keepNext/>
              <w:rPr>
                <w:rFonts w:ascii="Arial Narrow" w:hAnsi="Arial Narrow" w:cs="Tahoma"/>
                <w:b/>
                <w:snapToGrid w:val="0"/>
                <w:sz w:val="20"/>
                <w:lang w:eastAsia="en-US"/>
              </w:rPr>
            </w:pPr>
            <w:r w:rsidRPr="00956525">
              <w:rPr>
                <w:rFonts w:ascii="Arial Narrow" w:hAnsi="Arial Narrow" w:cs="Tahoma"/>
                <w:b/>
                <w:snapToGrid w:val="0"/>
                <w:sz w:val="20"/>
                <w:lang w:eastAsia="en-US"/>
              </w:rPr>
              <w:t>N</w:t>
            </w:r>
          </w:p>
        </w:tc>
        <w:tc>
          <w:tcPr>
            <w:tcW w:w="652" w:type="pct"/>
          </w:tcPr>
          <w:p w14:paraId="749238DF" w14:textId="77777777" w:rsidR="00AE2D27" w:rsidRPr="00956525" w:rsidRDefault="00AE2D27" w:rsidP="00B264C8">
            <w:pPr>
              <w:keepNext/>
              <w:rPr>
                <w:rFonts w:ascii="Arial Narrow" w:hAnsi="Arial Narrow" w:cs="Tahoma"/>
                <w:b/>
                <w:snapToGrid w:val="0"/>
                <w:sz w:val="20"/>
                <w:lang w:eastAsia="en-US"/>
              </w:rPr>
            </w:pPr>
            <w:r w:rsidRPr="00956525">
              <w:rPr>
                <w:rFonts w:ascii="Arial Narrow" w:hAnsi="Arial Narrow" w:cs="Tahoma"/>
                <w:b/>
                <w:snapToGrid w:val="0"/>
                <w:sz w:val="20"/>
                <w:lang w:eastAsia="en-US"/>
              </w:rPr>
              <w:t>Design</w:t>
            </w:r>
          </w:p>
        </w:tc>
        <w:tc>
          <w:tcPr>
            <w:tcW w:w="417" w:type="pct"/>
          </w:tcPr>
          <w:p w14:paraId="289CBBB9" w14:textId="77777777" w:rsidR="00AE2D27" w:rsidRPr="00956525" w:rsidRDefault="00AE2D27" w:rsidP="00B264C8">
            <w:pPr>
              <w:keepNext/>
              <w:rPr>
                <w:rFonts w:ascii="Arial Narrow" w:hAnsi="Arial Narrow" w:cs="Tahoma"/>
                <w:b/>
                <w:snapToGrid w:val="0"/>
                <w:sz w:val="20"/>
                <w:lang w:eastAsia="en-US"/>
              </w:rPr>
            </w:pPr>
            <w:r w:rsidRPr="00956525">
              <w:rPr>
                <w:rFonts w:ascii="Arial Narrow" w:hAnsi="Arial Narrow" w:cs="Tahoma"/>
                <w:b/>
                <w:snapToGrid w:val="0"/>
                <w:sz w:val="20"/>
                <w:lang w:eastAsia="en-US"/>
              </w:rPr>
              <w:t>Risk of bias</w:t>
            </w:r>
          </w:p>
        </w:tc>
        <w:tc>
          <w:tcPr>
            <w:tcW w:w="599" w:type="pct"/>
          </w:tcPr>
          <w:p w14:paraId="1FDA73AA" w14:textId="77777777" w:rsidR="00AE2D27" w:rsidRPr="00956525" w:rsidRDefault="00AE2D27" w:rsidP="00B264C8">
            <w:pPr>
              <w:keepNext/>
              <w:rPr>
                <w:rFonts w:ascii="Arial Narrow" w:hAnsi="Arial Narrow" w:cs="Tahoma"/>
                <w:b/>
                <w:snapToGrid w:val="0"/>
                <w:sz w:val="20"/>
                <w:lang w:eastAsia="en-US"/>
              </w:rPr>
            </w:pPr>
            <w:r w:rsidRPr="00956525">
              <w:rPr>
                <w:rFonts w:ascii="Arial Narrow" w:hAnsi="Arial Narrow" w:cs="Tahoma"/>
                <w:b/>
                <w:snapToGrid w:val="0"/>
                <w:sz w:val="20"/>
                <w:lang w:eastAsia="en-US"/>
              </w:rPr>
              <w:t>Patient population</w:t>
            </w:r>
          </w:p>
        </w:tc>
        <w:tc>
          <w:tcPr>
            <w:tcW w:w="682" w:type="pct"/>
          </w:tcPr>
          <w:p w14:paraId="1A93F0DD" w14:textId="77777777" w:rsidR="00AE2D27" w:rsidRPr="00956525" w:rsidRDefault="00AE2D27" w:rsidP="00B264C8">
            <w:pPr>
              <w:keepNext/>
              <w:rPr>
                <w:rFonts w:ascii="Arial Narrow" w:hAnsi="Arial Narrow" w:cs="Tahoma"/>
                <w:b/>
                <w:snapToGrid w:val="0"/>
                <w:sz w:val="20"/>
                <w:lang w:eastAsia="en-US"/>
              </w:rPr>
            </w:pPr>
            <w:r w:rsidRPr="00956525">
              <w:rPr>
                <w:rFonts w:ascii="Arial Narrow" w:hAnsi="Arial Narrow" w:cs="Tahoma"/>
                <w:b/>
                <w:snapToGrid w:val="0"/>
                <w:sz w:val="20"/>
                <w:lang w:eastAsia="en-US"/>
              </w:rPr>
              <w:t>Intervention group</w:t>
            </w:r>
          </w:p>
        </w:tc>
        <w:tc>
          <w:tcPr>
            <w:tcW w:w="606" w:type="pct"/>
          </w:tcPr>
          <w:p w14:paraId="388C194A" w14:textId="77777777" w:rsidR="00AE2D27" w:rsidRPr="00956525" w:rsidRDefault="00AE2D27" w:rsidP="00B264C8">
            <w:pPr>
              <w:keepNext/>
              <w:rPr>
                <w:rFonts w:ascii="Arial Narrow" w:hAnsi="Arial Narrow" w:cs="Tahoma"/>
                <w:b/>
                <w:snapToGrid w:val="0"/>
                <w:sz w:val="20"/>
                <w:lang w:eastAsia="en-US"/>
              </w:rPr>
            </w:pPr>
            <w:r w:rsidRPr="00956525">
              <w:rPr>
                <w:rFonts w:ascii="Arial Narrow" w:hAnsi="Arial Narrow" w:cs="Tahoma"/>
                <w:b/>
                <w:snapToGrid w:val="0"/>
                <w:sz w:val="20"/>
                <w:lang w:eastAsia="en-US"/>
              </w:rPr>
              <w:t>Comparator group</w:t>
            </w:r>
          </w:p>
        </w:tc>
        <w:tc>
          <w:tcPr>
            <w:tcW w:w="1365" w:type="pct"/>
          </w:tcPr>
          <w:p w14:paraId="71B2FEE7" w14:textId="77777777" w:rsidR="00AE2D27" w:rsidRPr="00956525" w:rsidRDefault="00AE2D27" w:rsidP="00B264C8">
            <w:pPr>
              <w:keepNext/>
              <w:rPr>
                <w:rFonts w:ascii="Arial Narrow" w:hAnsi="Arial Narrow" w:cs="Tahoma"/>
                <w:b/>
                <w:snapToGrid w:val="0"/>
                <w:sz w:val="20"/>
                <w:lang w:eastAsia="en-US"/>
              </w:rPr>
            </w:pPr>
            <w:r w:rsidRPr="00956525">
              <w:rPr>
                <w:rFonts w:ascii="Arial Narrow" w:hAnsi="Arial Narrow" w:cs="Tahoma"/>
                <w:b/>
                <w:snapToGrid w:val="0"/>
                <w:sz w:val="20"/>
                <w:lang w:eastAsia="en-US"/>
              </w:rPr>
              <w:t>Key outcomes</w:t>
            </w:r>
          </w:p>
        </w:tc>
      </w:tr>
      <w:tr w:rsidR="00AE2D27" w:rsidRPr="00956525" w14:paraId="50E2AEF9" w14:textId="77777777" w:rsidTr="00F3276D">
        <w:tc>
          <w:tcPr>
            <w:tcW w:w="479" w:type="pct"/>
          </w:tcPr>
          <w:p w14:paraId="759CFC26" w14:textId="77777777" w:rsidR="00AE2D27" w:rsidRPr="00956525" w:rsidRDefault="00AE2D27" w:rsidP="00B264C8">
            <w:pPr>
              <w:pStyle w:val="Tabletext"/>
              <w:keepNext/>
              <w:spacing w:before="0" w:after="0"/>
              <w:rPr>
                <w:snapToGrid w:val="0"/>
              </w:rPr>
            </w:pPr>
            <w:r w:rsidRPr="00956525">
              <w:rPr>
                <w:snapToGrid w:val="0"/>
              </w:rPr>
              <w:t>Schmitz 2008</w:t>
            </w:r>
          </w:p>
        </w:tc>
        <w:tc>
          <w:tcPr>
            <w:tcW w:w="201" w:type="pct"/>
          </w:tcPr>
          <w:p w14:paraId="22823DB6" w14:textId="77777777" w:rsidR="00AE2D27" w:rsidRPr="00956525" w:rsidRDefault="00AE2D27" w:rsidP="00B264C8">
            <w:pPr>
              <w:pStyle w:val="Tabletext"/>
              <w:keepNext/>
              <w:spacing w:before="0" w:after="0"/>
              <w:rPr>
                <w:snapToGrid w:val="0"/>
              </w:rPr>
            </w:pPr>
            <w:r w:rsidRPr="00956525">
              <w:rPr>
                <w:snapToGrid w:val="0"/>
              </w:rPr>
              <w:t>18</w:t>
            </w:r>
          </w:p>
        </w:tc>
        <w:tc>
          <w:tcPr>
            <w:tcW w:w="652" w:type="pct"/>
          </w:tcPr>
          <w:p w14:paraId="798624FD" w14:textId="77777777" w:rsidR="00AE2D27" w:rsidRPr="00956525" w:rsidRDefault="00AE2D27" w:rsidP="00B264C8">
            <w:pPr>
              <w:pStyle w:val="Tabletext"/>
              <w:keepNext/>
              <w:spacing w:before="0" w:after="0"/>
              <w:rPr>
                <w:snapToGrid w:val="0"/>
              </w:rPr>
            </w:pPr>
            <w:r w:rsidRPr="00956525">
              <w:rPr>
                <w:snapToGrid w:val="0"/>
              </w:rPr>
              <w:t>Retrospective</w:t>
            </w:r>
          </w:p>
        </w:tc>
        <w:tc>
          <w:tcPr>
            <w:tcW w:w="417" w:type="pct"/>
          </w:tcPr>
          <w:p w14:paraId="2A45EEC1" w14:textId="77777777" w:rsidR="00AE2D27" w:rsidRPr="00956525" w:rsidRDefault="00AE2D27" w:rsidP="00B264C8">
            <w:pPr>
              <w:pStyle w:val="Tabletext"/>
              <w:keepNext/>
              <w:spacing w:before="0" w:after="0"/>
              <w:rPr>
                <w:snapToGrid w:val="0"/>
              </w:rPr>
            </w:pPr>
            <w:r w:rsidRPr="00956525">
              <w:rPr>
                <w:snapToGrid w:val="0"/>
              </w:rPr>
              <w:t>High</w:t>
            </w:r>
          </w:p>
        </w:tc>
        <w:tc>
          <w:tcPr>
            <w:tcW w:w="599" w:type="pct"/>
          </w:tcPr>
          <w:p w14:paraId="57E52ADE" w14:textId="77777777" w:rsidR="00AE2D27" w:rsidRPr="00956525" w:rsidRDefault="00AE2D27" w:rsidP="00B264C8">
            <w:pPr>
              <w:pStyle w:val="Tabletext"/>
              <w:keepNext/>
              <w:spacing w:before="0" w:after="0"/>
              <w:rPr>
                <w:snapToGrid w:val="0"/>
              </w:rPr>
            </w:pPr>
            <w:r w:rsidRPr="00956525">
              <w:rPr>
                <w:snapToGrid w:val="0"/>
              </w:rPr>
              <w:t>Patients with congenital facial lipodystrophy</w:t>
            </w:r>
          </w:p>
        </w:tc>
        <w:tc>
          <w:tcPr>
            <w:tcW w:w="682" w:type="pct"/>
          </w:tcPr>
          <w:p w14:paraId="0DAA6ECD" w14:textId="77777777" w:rsidR="00AE2D27" w:rsidRPr="00956525" w:rsidRDefault="00AE2D27" w:rsidP="00B264C8">
            <w:pPr>
              <w:pStyle w:val="Tabletext"/>
              <w:keepNext/>
              <w:spacing w:before="0" w:after="0"/>
              <w:rPr>
                <w:snapToGrid w:val="0"/>
              </w:rPr>
            </w:pPr>
            <w:r w:rsidRPr="00956525">
              <w:rPr>
                <w:snapToGrid w:val="0"/>
              </w:rPr>
              <w:t xml:space="preserve">Treated with </w:t>
            </w:r>
            <w:proofErr w:type="spellStart"/>
            <w:r w:rsidRPr="00956525">
              <w:rPr>
                <w:snapToGrid w:val="0"/>
              </w:rPr>
              <w:t>lipofilling</w:t>
            </w:r>
            <w:proofErr w:type="spellEnd"/>
            <w:r w:rsidRPr="00956525">
              <w:rPr>
                <w:snapToGrid w:val="0"/>
              </w:rPr>
              <w:t>/fat injection</w:t>
            </w:r>
          </w:p>
        </w:tc>
        <w:tc>
          <w:tcPr>
            <w:tcW w:w="606" w:type="pct"/>
          </w:tcPr>
          <w:p w14:paraId="5E697461" w14:textId="77777777" w:rsidR="00AE2D27" w:rsidRPr="00956525" w:rsidRDefault="00AE2D27" w:rsidP="00B264C8">
            <w:pPr>
              <w:pStyle w:val="Tabletext"/>
              <w:keepNext/>
              <w:spacing w:before="0" w:after="0"/>
              <w:rPr>
                <w:snapToGrid w:val="0"/>
              </w:rPr>
            </w:pPr>
            <w:r w:rsidRPr="00956525">
              <w:t>Treated with free flap surgery</w:t>
            </w:r>
          </w:p>
        </w:tc>
        <w:tc>
          <w:tcPr>
            <w:tcW w:w="1365" w:type="pct"/>
          </w:tcPr>
          <w:p w14:paraId="0EA29923" w14:textId="77777777" w:rsidR="00AE2D27" w:rsidRPr="00956525" w:rsidRDefault="00AE2D27" w:rsidP="00B264C8">
            <w:pPr>
              <w:pStyle w:val="Tabletext"/>
              <w:keepNext/>
              <w:spacing w:before="0" w:after="0"/>
            </w:pPr>
            <w:r w:rsidRPr="00956525">
              <w:t>Average duration of treatment</w:t>
            </w:r>
          </w:p>
          <w:p w14:paraId="0ED99CC6" w14:textId="77777777" w:rsidR="00AE2D27" w:rsidRPr="00956525" w:rsidRDefault="00AE2D27" w:rsidP="00B264C8">
            <w:pPr>
              <w:pStyle w:val="Tabletext"/>
              <w:keepNext/>
              <w:spacing w:before="0" w:after="0"/>
            </w:pPr>
            <w:r w:rsidRPr="00956525">
              <w:t>Resource use</w:t>
            </w:r>
          </w:p>
          <w:p w14:paraId="4D600F3A" w14:textId="77777777" w:rsidR="00AE2D27" w:rsidRPr="00956525" w:rsidRDefault="00AE2D27" w:rsidP="00B264C8">
            <w:pPr>
              <w:pStyle w:val="Tabletext"/>
              <w:keepNext/>
              <w:spacing w:before="0" w:after="0"/>
            </w:pPr>
            <w:r w:rsidRPr="00956525">
              <w:t>Complications</w:t>
            </w:r>
          </w:p>
          <w:p w14:paraId="7934FFDB" w14:textId="77777777" w:rsidR="00AE2D27" w:rsidRPr="00956525" w:rsidRDefault="00AE2D27" w:rsidP="00B264C8">
            <w:pPr>
              <w:pStyle w:val="Tabletext"/>
              <w:keepNext/>
              <w:spacing w:before="0" w:after="0"/>
            </w:pPr>
            <w:r w:rsidRPr="00956525">
              <w:t>Degree of patient satisfaction</w:t>
            </w:r>
          </w:p>
          <w:p w14:paraId="014861F5" w14:textId="77777777" w:rsidR="00AE2D27" w:rsidRPr="00956525" w:rsidRDefault="00AE2D27" w:rsidP="00B264C8">
            <w:pPr>
              <w:pStyle w:val="Tabletext"/>
              <w:keepNext/>
              <w:spacing w:before="0" w:after="0"/>
              <w:rPr>
                <w:snapToGrid w:val="0"/>
              </w:rPr>
            </w:pPr>
            <w:r w:rsidRPr="00956525">
              <w:t>Clinician and researcher evaluation of cosmetic outcome</w:t>
            </w:r>
          </w:p>
        </w:tc>
      </w:tr>
      <w:tr w:rsidR="00AE2D27" w:rsidRPr="00956525" w14:paraId="5349A36B" w14:textId="77777777" w:rsidTr="00F3276D">
        <w:tc>
          <w:tcPr>
            <w:tcW w:w="479" w:type="pct"/>
          </w:tcPr>
          <w:p w14:paraId="235F5E6D" w14:textId="77777777" w:rsidR="00AE2D27" w:rsidRPr="00956525" w:rsidRDefault="00AE2D27" w:rsidP="00B264C8">
            <w:pPr>
              <w:pStyle w:val="Tabletext"/>
              <w:keepNext/>
              <w:spacing w:before="0" w:after="0"/>
              <w:rPr>
                <w:snapToGrid w:val="0"/>
              </w:rPr>
            </w:pPr>
            <w:proofErr w:type="spellStart"/>
            <w:r w:rsidRPr="00956525">
              <w:rPr>
                <w:snapToGrid w:val="0"/>
              </w:rPr>
              <w:t>Tanna</w:t>
            </w:r>
            <w:proofErr w:type="spellEnd"/>
            <w:r w:rsidRPr="00956525">
              <w:rPr>
                <w:snapToGrid w:val="0"/>
              </w:rPr>
              <w:t xml:space="preserve"> 2011</w:t>
            </w:r>
          </w:p>
        </w:tc>
        <w:tc>
          <w:tcPr>
            <w:tcW w:w="201" w:type="pct"/>
          </w:tcPr>
          <w:p w14:paraId="1CB643FB" w14:textId="77777777" w:rsidR="00AE2D27" w:rsidRPr="00956525" w:rsidRDefault="00AE2D27" w:rsidP="00B264C8">
            <w:pPr>
              <w:pStyle w:val="Tabletext"/>
              <w:keepNext/>
              <w:spacing w:before="0" w:after="0"/>
              <w:rPr>
                <w:snapToGrid w:val="0"/>
              </w:rPr>
            </w:pPr>
            <w:r w:rsidRPr="00956525">
              <w:rPr>
                <w:snapToGrid w:val="0"/>
              </w:rPr>
              <w:t>31</w:t>
            </w:r>
          </w:p>
        </w:tc>
        <w:tc>
          <w:tcPr>
            <w:tcW w:w="652" w:type="pct"/>
          </w:tcPr>
          <w:p w14:paraId="175AB97F" w14:textId="77777777" w:rsidR="00AE2D27" w:rsidRPr="00956525" w:rsidRDefault="00AE2D27" w:rsidP="00B264C8">
            <w:pPr>
              <w:pStyle w:val="Tabletext"/>
              <w:keepNext/>
              <w:spacing w:before="0" w:after="0"/>
              <w:rPr>
                <w:snapToGrid w:val="0"/>
              </w:rPr>
            </w:pPr>
            <w:r w:rsidRPr="00956525">
              <w:rPr>
                <w:snapToGrid w:val="0"/>
              </w:rPr>
              <w:t>Retrospective</w:t>
            </w:r>
          </w:p>
        </w:tc>
        <w:tc>
          <w:tcPr>
            <w:tcW w:w="417" w:type="pct"/>
          </w:tcPr>
          <w:p w14:paraId="0E8AF14A" w14:textId="77777777" w:rsidR="00AE2D27" w:rsidRPr="00956525" w:rsidRDefault="00AE2D27" w:rsidP="00B264C8">
            <w:pPr>
              <w:pStyle w:val="Tabletext"/>
              <w:keepNext/>
              <w:spacing w:before="0" w:after="0"/>
              <w:rPr>
                <w:snapToGrid w:val="0"/>
              </w:rPr>
            </w:pPr>
            <w:r w:rsidRPr="00956525">
              <w:rPr>
                <w:snapToGrid w:val="0"/>
              </w:rPr>
              <w:t>High</w:t>
            </w:r>
          </w:p>
        </w:tc>
        <w:tc>
          <w:tcPr>
            <w:tcW w:w="599" w:type="pct"/>
          </w:tcPr>
          <w:p w14:paraId="0357678C" w14:textId="77777777" w:rsidR="00AE2D27" w:rsidRPr="00956525" w:rsidRDefault="00AE2D27" w:rsidP="00B264C8">
            <w:pPr>
              <w:pStyle w:val="Tabletext"/>
              <w:keepNext/>
              <w:spacing w:before="0" w:after="0"/>
              <w:rPr>
                <w:snapToGrid w:val="0"/>
              </w:rPr>
            </w:pPr>
            <w:r w:rsidRPr="00956525">
              <w:rPr>
                <w:snapToGrid w:val="0"/>
              </w:rPr>
              <w:t>Children diagnosed with craniofacial macrosomia</w:t>
            </w:r>
          </w:p>
        </w:tc>
        <w:tc>
          <w:tcPr>
            <w:tcW w:w="682" w:type="pct"/>
          </w:tcPr>
          <w:p w14:paraId="4B2C1A29" w14:textId="77777777" w:rsidR="00AE2D27" w:rsidRPr="00956525" w:rsidRDefault="00AE2D27" w:rsidP="00B264C8">
            <w:pPr>
              <w:pStyle w:val="Tabletext"/>
              <w:keepNext/>
              <w:spacing w:before="0" w:after="0"/>
              <w:rPr>
                <w:snapToGrid w:val="0"/>
              </w:rPr>
            </w:pPr>
            <w:r w:rsidRPr="00956525">
              <w:t>Treated with serial autologous fat grafting</w:t>
            </w:r>
          </w:p>
        </w:tc>
        <w:tc>
          <w:tcPr>
            <w:tcW w:w="606" w:type="pct"/>
          </w:tcPr>
          <w:p w14:paraId="75F4687D" w14:textId="77777777" w:rsidR="00AE2D27" w:rsidRPr="00956525" w:rsidRDefault="00AE2D27" w:rsidP="00B264C8">
            <w:pPr>
              <w:pStyle w:val="Tabletext"/>
              <w:keepNext/>
              <w:spacing w:before="0" w:after="0"/>
              <w:rPr>
                <w:snapToGrid w:val="0"/>
              </w:rPr>
            </w:pPr>
            <w:r w:rsidRPr="00956525">
              <w:t>Underwent microvascular free flap surgery</w:t>
            </w:r>
          </w:p>
        </w:tc>
        <w:tc>
          <w:tcPr>
            <w:tcW w:w="1365" w:type="pct"/>
          </w:tcPr>
          <w:p w14:paraId="3C597C32" w14:textId="77777777" w:rsidR="00AE2D27" w:rsidRPr="00956525" w:rsidRDefault="00AE2D27" w:rsidP="00B264C8">
            <w:pPr>
              <w:pStyle w:val="Tabletext"/>
              <w:keepNext/>
              <w:spacing w:before="0" w:after="0"/>
            </w:pPr>
            <w:r w:rsidRPr="00956525">
              <w:t>Number of procedures</w:t>
            </w:r>
          </w:p>
          <w:p w14:paraId="4FFE5C82" w14:textId="77777777" w:rsidR="00AE2D27" w:rsidRPr="00956525" w:rsidRDefault="00AE2D27" w:rsidP="00B264C8">
            <w:pPr>
              <w:pStyle w:val="Tabletext"/>
              <w:keepNext/>
              <w:spacing w:before="0" w:after="0"/>
            </w:pPr>
            <w:r w:rsidRPr="00956525">
              <w:t>Resource use</w:t>
            </w:r>
          </w:p>
          <w:p w14:paraId="6C2FD8F7" w14:textId="77777777" w:rsidR="00AE2D27" w:rsidRPr="00956525" w:rsidRDefault="00AE2D27" w:rsidP="00B264C8">
            <w:pPr>
              <w:pStyle w:val="Tabletext"/>
              <w:keepNext/>
              <w:spacing w:before="0" w:after="0"/>
            </w:pPr>
            <w:r w:rsidRPr="00956525">
              <w:t>Complications and adverse events</w:t>
            </w:r>
          </w:p>
          <w:p w14:paraId="02A37199" w14:textId="77777777" w:rsidR="00AE2D27" w:rsidRPr="00956525" w:rsidRDefault="00AE2D27" w:rsidP="00B264C8">
            <w:pPr>
              <w:pStyle w:val="Tabletext"/>
              <w:keepNext/>
              <w:spacing w:before="0" w:after="0"/>
              <w:rPr>
                <w:snapToGrid w:val="0"/>
              </w:rPr>
            </w:pPr>
            <w:r w:rsidRPr="00956525">
              <w:t>Patient and physician satisfaction</w:t>
            </w:r>
          </w:p>
        </w:tc>
      </w:tr>
    </w:tbl>
    <w:p w14:paraId="1D51A42F" w14:textId="2DE7256F" w:rsidR="00AE2D27" w:rsidRDefault="00AE2D27" w:rsidP="008E1617">
      <w:pPr>
        <w:pStyle w:val="Tablenotes"/>
      </w:pPr>
      <w:r w:rsidRPr="00CF3E91">
        <w:t>Source:</w:t>
      </w:r>
      <w:r>
        <w:t xml:space="preserve"> Table 17, p81 of the DCAR.</w:t>
      </w:r>
    </w:p>
    <w:p w14:paraId="60145565" w14:textId="77D9EF2C" w:rsidR="00AE2D27" w:rsidRPr="00F3276D" w:rsidRDefault="008652D9" w:rsidP="00F3276D">
      <w:pPr>
        <w:spacing w:before="240"/>
        <w:rPr>
          <w:rFonts w:ascii="Arial Narrow" w:hAnsi="Arial Narrow"/>
          <w:b/>
          <w:sz w:val="20"/>
        </w:rPr>
      </w:pPr>
      <w:bookmarkStart w:id="10" w:name="_Ref50013694"/>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3</w:t>
      </w:r>
      <w:r w:rsidR="00F3276D" w:rsidRPr="00F3276D">
        <w:rPr>
          <w:rFonts w:ascii="Arial Narrow" w:hAnsi="Arial Narrow"/>
          <w:b/>
          <w:sz w:val="20"/>
        </w:rPr>
        <w:fldChar w:fldCharType="end"/>
      </w:r>
      <w:bookmarkEnd w:id="10"/>
      <w:r w:rsidR="00AE2D27" w:rsidRPr="00F3276D">
        <w:rPr>
          <w:rFonts w:ascii="Arial Narrow" w:hAnsi="Arial Narrow"/>
          <w:b/>
          <w:sz w:val="20"/>
        </w:rPr>
        <w:t xml:space="preserve">  Key features of the included systematic reviews</w:t>
      </w:r>
    </w:p>
    <w:tbl>
      <w:tblPr>
        <w:tblStyle w:val="TableGrid"/>
        <w:tblW w:w="9351" w:type="dxa"/>
        <w:tblCellMar>
          <w:left w:w="28" w:type="dxa"/>
          <w:right w:w="28" w:type="dxa"/>
        </w:tblCellMar>
        <w:tblLook w:val="04A0" w:firstRow="1" w:lastRow="0" w:firstColumn="1" w:lastColumn="0" w:noHBand="0" w:noVBand="1"/>
        <w:tblCaption w:val="Table 15 Key features of the included systematic reviews"/>
        <w:tblDescription w:val="Key features of the included systematic reviews"/>
      </w:tblPr>
      <w:tblGrid>
        <w:gridCol w:w="979"/>
        <w:gridCol w:w="1426"/>
        <w:gridCol w:w="1426"/>
        <w:gridCol w:w="705"/>
        <w:gridCol w:w="1398"/>
        <w:gridCol w:w="1406"/>
        <w:gridCol w:w="2011"/>
      </w:tblGrid>
      <w:tr w:rsidR="00AE2D27" w:rsidRPr="005633E2" w14:paraId="718A7227" w14:textId="77777777" w:rsidTr="00AE2D27">
        <w:trPr>
          <w:tblHeader/>
        </w:trPr>
        <w:tc>
          <w:tcPr>
            <w:tcW w:w="979" w:type="dxa"/>
          </w:tcPr>
          <w:p w14:paraId="071CF7FC" w14:textId="77777777" w:rsidR="00AE2D27" w:rsidRPr="005633E2" w:rsidRDefault="00AE2D27" w:rsidP="00B264C8">
            <w:pPr>
              <w:rPr>
                <w:rFonts w:ascii="Arial Narrow" w:hAnsi="Arial Narrow"/>
                <w:b/>
                <w:sz w:val="20"/>
                <w:lang w:eastAsia="en-US"/>
              </w:rPr>
            </w:pPr>
            <w:r w:rsidRPr="005633E2">
              <w:rPr>
                <w:rFonts w:ascii="Arial Narrow" w:hAnsi="Arial Narrow"/>
                <w:b/>
                <w:sz w:val="20"/>
                <w:lang w:eastAsia="en-US"/>
              </w:rPr>
              <w:t>Systematic review</w:t>
            </w:r>
          </w:p>
        </w:tc>
        <w:tc>
          <w:tcPr>
            <w:tcW w:w="1426" w:type="dxa"/>
          </w:tcPr>
          <w:p w14:paraId="7D622E6C" w14:textId="77777777" w:rsidR="00AE2D27" w:rsidRPr="005633E2" w:rsidRDefault="00AE2D27" w:rsidP="00B264C8">
            <w:pPr>
              <w:rPr>
                <w:rFonts w:ascii="Arial Narrow" w:hAnsi="Arial Narrow"/>
                <w:b/>
                <w:sz w:val="20"/>
                <w:lang w:eastAsia="en-US"/>
              </w:rPr>
            </w:pPr>
            <w:r w:rsidRPr="005633E2">
              <w:rPr>
                <w:rFonts w:ascii="Arial Narrow" w:hAnsi="Arial Narrow"/>
                <w:b/>
                <w:sz w:val="20"/>
                <w:lang w:eastAsia="en-US"/>
              </w:rPr>
              <w:t>Number of studies</w:t>
            </w:r>
          </w:p>
        </w:tc>
        <w:tc>
          <w:tcPr>
            <w:tcW w:w="1426" w:type="dxa"/>
          </w:tcPr>
          <w:p w14:paraId="3A9BE80F" w14:textId="77777777" w:rsidR="00AE2D27" w:rsidRPr="005633E2" w:rsidRDefault="00AE2D27" w:rsidP="00B264C8">
            <w:pPr>
              <w:rPr>
                <w:rFonts w:ascii="Arial Narrow" w:hAnsi="Arial Narrow"/>
                <w:b/>
                <w:sz w:val="20"/>
                <w:lang w:eastAsia="en-US"/>
              </w:rPr>
            </w:pPr>
            <w:r w:rsidRPr="005633E2">
              <w:rPr>
                <w:rFonts w:ascii="Arial Narrow" w:hAnsi="Arial Narrow"/>
                <w:b/>
                <w:sz w:val="20"/>
                <w:lang w:eastAsia="en-US"/>
              </w:rPr>
              <w:t>Number of patients</w:t>
            </w:r>
          </w:p>
        </w:tc>
        <w:tc>
          <w:tcPr>
            <w:tcW w:w="705" w:type="dxa"/>
          </w:tcPr>
          <w:p w14:paraId="0A2266FD" w14:textId="77777777" w:rsidR="00AE2D27" w:rsidRPr="005633E2" w:rsidRDefault="00AE2D27" w:rsidP="00B264C8">
            <w:pPr>
              <w:rPr>
                <w:rFonts w:ascii="Arial Narrow" w:hAnsi="Arial Narrow"/>
                <w:b/>
                <w:sz w:val="20"/>
                <w:lang w:eastAsia="en-US"/>
              </w:rPr>
            </w:pPr>
            <w:r>
              <w:rPr>
                <w:rFonts w:ascii="Arial Narrow" w:hAnsi="Arial Narrow"/>
                <w:b/>
                <w:sz w:val="20"/>
                <w:lang w:eastAsia="en-US"/>
              </w:rPr>
              <w:t>Risk of bias</w:t>
            </w:r>
          </w:p>
        </w:tc>
        <w:tc>
          <w:tcPr>
            <w:tcW w:w="1398" w:type="dxa"/>
          </w:tcPr>
          <w:p w14:paraId="64D59BB9" w14:textId="77777777" w:rsidR="00AE2D27" w:rsidRPr="005633E2" w:rsidRDefault="00AE2D27" w:rsidP="00B264C8">
            <w:pPr>
              <w:rPr>
                <w:rFonts w:ascii="Arial Narrow" w:hAnsi="Arial Narrow"/>
                <w:b/>
                <w:sz w:val="20"/>
                <w:lang w:eastAsia="en-US"/>
              </w:rPr>
            </w:pPr>
            <w:r w:rsidRPr="005633E2">
              <w:rPr>
                <w:rFonts w:ascii="Arial Narrow" w:hAnsi="Arial Narrow"/>
                <w:b/>
                <w:sz w:val="20"/>
                <w:lang w:eastAsia="en-US"/>
              </w:rPr>
              <w:t>Intervention</w:t>
            </w:r>
          </w:p>
        </w:tc>
        <w:tc>
          <w:tcPr>
            <w:tcW w:w="1406" w:type="dxa"/>
          </w:tcPr>
          <w:p w14:paraId="71C401AA" w14:textId="77777777" w:rsidR="00AE2D27" w:rsidRPr="005633E2" w:rsidRDefault="00AE2D27" w:rsidP="00B264C8">
            <w:pPr>
              <w:rPr>
                <w:rFonts w:ascii="Arial Narrow" w:hAnsi="Arial Narrow"/>
                <w:b/>
                <w:sz w:val="20"/>
                <w:lang w:eastAsia="en-US"/>
              </w:rPr>
            </w:pPr>
            <w:r w:rsidRPr="005633E2">
              <w:rPr>
                <w:rFonts w:ascii="Arial Narrow" w:hAnsi="Arial Narrow"/>
                <w:b/>
                <w:sz w:val="20"/>
                <w:lang w:eastAsia="en-US"/>
              </w:rPr>
              <w:t>Comparator group</w:t>
            </w:r>
          </w:p>
        </w:tc>
        <w:tc>
          <w:tcPr>
            <w:tcW w:w="2011" w:type="dxa"/>
          </w:tcPr>
          <w:p w14:paraId="0780C176" w14:textId="77777777" w:rsidR="00AE2D27" w:rsidRPr="005633E2" w:rsidRDefault="00AE2D27" w:rsidP="00B264C8">
            <w:pPr>
              <w:rPr>
                <w:rFonts w:ascii="Arial Narrow" w:hAnsi="Arial Narrow"/>
                <w:b/>
                <w:sz w:val="20"/>
                <w:lang w:eastAsia="en-US"/>
              </w:rPr>
            </w:pPr>
            <w:r w:rsidRPr="005633E2">
              <w:rPr>
                <w:rFonts w:ascii="Arial Narrow" w:hAnsi="Arial Narrow"/>
                <w:b/>
                <w:sz w:val="20"/>
                <w:lang w:eastAsia="en-US"/>
              </w:rPr>
              <w:t>Key outcomes</w:t>
            </w:r>
          </w:p>
        </w:tc>
      </w:tr>
      <w:tr w:rsidR="00AE2D27" w:rsidRPr="005633E2" w14:paraId="08EC26AC" w14:textId="77777777" w:rsidTr="00AE2D27">
        <w:trPr>
          <w:tblHeader/>
        </w:trPr>
        <w:tc>
          <w:tcPr>
            <w:tcW w:w="979" w:type="dxa"/>
          </w:tcPr>
          <w:p w14:paraId="674A3B66" w14:textId="77777777" w:rsidR="00AE2D27" w:rsidRPr="005633E2" w:rsidRDefault="00AE2D27" w:rsidP="00B264C8">
            <w:pPr>
              <w:rPr>
                <w:rFonts w:ascii="Arial Narrow" w:hAnsi="Arial Narrow"/>
                <w:sz w:val="20"/>
                <w:lang w:eastAsia="en-US"/>
              </w:rPr>
            </w:pPr>
            <w:proofErr w:type="spellStart"/>
            <w:r>
              <w:rPr>
                <w:rFonts w:ascii="Arial Narrow" w:hAnsi="Arial Narrow"/>
                <w:sz w:val="20"/>
                <w:lang w:eastAsia="en-US"/>
              </w:rPr>
              <w:t>Krastev</w:t>
            </w:r>
            <w:proofErr w:type="spellEnd"/>
            <w:r>
              <w:rPr>
                <w:rFonts w:ascii="Arial Narrow" w:hAnsi="Arial Narrow"/>
                <w:sz w:val="20"/>
                <w:lang w:eastAsia="en-US"/>
              </w:rPr>
              <w:t xml:space="preserve"> 2018</w:t>
            </w:r>
          </w:p>
        </w:tc>
        <w:tc>
          <w:tcPr>
            <w:tcW w:w="1426" w:type="dxa"/>
          </w:tcPr>
          <w:p w14:paraId="25D5B45D" w14:textId="77777777" w:rsidR="00AE2D27" w:rsidRDefault="00AE2D27" w:rsidP="00B264C8">
            <w:pPr>
              <w:rPr>
                <w:rFonts w:ascii="Arial Narrow" w:hAnsi="Arial Narrow"/>
                <w:sz w:val="20"/>
                <w:lang w:eastAsia="en-US"/>
              </w:rPr>
            </w:pPr>
            <w:r>
              <w:rPr>
                <w:rFonts w:ascii="Arial Narrow" w:hAnsi="Arial Narrow"/>
                <w:sz w:val="20"/>
                <w:lang w:eastAsia="en-US"/>
              </w:rPr>
              <w:t>Total = 51</w:t>
            </w:r>
          </w:p>
          <w:p w14:paraId="12751460" w14:textId="77777777" w:rsidR="00AE2D27" w:rsidRDefault="00AE2D27" w:rsidP="00B264C8">
            <w:pPr>
              <w:rPr>
                <w:rFonts w:ascii="Arial Narrow" w:hAnsi="Arial Narrow"/>
                <w:sz w:val="20"/>
                <w:lang w:eastAsia="en-US"/>
              </w:rPr>
            </w:pPr>
            <w:r>
              <w:rPr>
                <w:rFonts w:ascii="Arial Narrow" w:hAnsi="Arial Narrow"/>
                <w:sz w:val="20"/>
                <w:lang w:eastAsia="en-US"/>
              </w:rPr>
              <w:t>Congenital = 16</w:t>
            </w:r>
          </w:p>
          <w:p w14:paraId="309B7062" w14:textId="77777777" w:rsidR="00AE2D27" w:rsidRDefault="00AE2D27" w:rsidP="00B264C8">
            <w:pPr>
              <w:rPr>
                <w:rFonts w:ascii="Arial Narrow" w:hAnsi="Arial Narrow"/>
                <w:sz w:val="20"/>
                <w:lang w:eastAsia="en-US"/>
              </w:rPr>
            </w:pPr>
            <w:r>
              <w:rPr>
                <w:rFonts w:ascii="Arial Narrow" w:hAnsi="Arial Narrow"/>
                <w:sz w:val="20"/>
                <w:lang w:eastAsia="en-US"/>
              </w:rPr>
              <w:t>Acquired = 17</w:t>
            </w:r>
          </w:p>
          <w:p w14:paraId="56331A58" w14:textId="77777777" w:rsidR="00AE2D27" w:rsidRDefault="00AE2D27" w:rsidP="00B264C8">
            <w:pPr>
              <w:rPr>
                <w:rFonts w:ascii="Arial Narrow" w:hAnsi="Arial Narrow"/>
                <w:sz w:val="20"/>
                <w:lang w:eastAsia="en-US"/>
              </w:rPr>
            </w:pPr>
            <w:r>
              <w:rPr>
                <w:rFonts w:ascii="Arial Narrow" w:hAnsi="Arial Narrow"/>
                <w:sz w:val="20"/>
                <w:lang w:eastAsia="en-US"/>
              </w:rPr>
              <w:t>HIV =14</w:t>
            </w:r>
          </w:p>
          <w:p w14:paraId="01868B66" w14:textId="77777777" w:rsidR="00AE2D27" w:rsidRPr="005633E2" w:rsidRDefault="00AE2D27" w:rsidP="00B264C8">
            <w:pPr>
              <w:rPr>
                <w:rFonts w:ascii="Arial Narrow" w:hAnsi="Arial Narrow"/>
                <w:sz w:val="20"/>
                <w:lang w:eastAsia="en-US"/>
              </w:rPr>
            </w:pPr>
            <w:r>
              <w:rPr>
                <w:rFonts w:ascii="Arial Narrow" w:hAnsi="Arial Narrow"/>
                <w:sz w:val="20"/>
                <w:lang w:eastAsia="en-US"/>
              </w:rPr>
              <w:t>Mixed = 4</w:t>
            </w:r>
          </w:p>
        </w:tc>
        <w:tc>
          <w:tcPr>
            <w:tcW w:w="1426" w:type="dxa"/>
          </w:tcPr>
          <w:p w14:paraId="219E6AF9" w14:textId="77777777" w:rsidR="00AE2D27" w:rsidRDefault="00AE2D27" w:rsidP="00B264C8">
            <w:pPr>
              <w:rPr>
                <w:rFonts w:ascii="Arial Narrow" w:hAnsi="Arial Narrow"/>
                <w:sz w:val="20"/>
                <w:lang w:eastAsia="en-US"/>
              </w:rPr>
            </w:pPr>
            <w:r>
              <w:rPr>
                <w:rFonts w:ascii="Arial Narrow" w:hAnsi="Arial Narrow"/>
                <w:sz w:val="20"/>
                <w:lang w:eastAsia="en-US"/>
              </w:rPr>
              <w:t>Total = 1533</w:t>
            </w:r>
          </w:p>
          <w:p w14:paraId="557A9EA9" w14:textId="77777777" w:rsidR="00AE2D27" w:rsidRDefault="00AE2D27" w:rsidP="00B264C8">
            <w:pPr>
              <w:rPr>
                <w:rFonts w:ascii="Arial Narrow" w:hAnsi="Arial Narrow"/>
                <w:sz w:val="20"/>
                <w:lang w:eastAsia="en-US"/>
              </w:rPr>
            </w:pPr>
            <w:r>
              <w:rPr>
                <w:rFonts w:ascii="Arial Narrow" w:hAnsi="Arial Narrow"/>
                <w:sz w:val="20"/>
                <w:lang w:eastAsia="en-US"/>
              </w:rPr>
              <w:t>Congenital = 409</w:t>
            </w:r>
          </w:p>
          <w:p w14:paraId="5C259452" w14:textId="77777777" w:rsidR="00AE2D27" w:rsidRDefault="00AE2D27" w:rsidP="00B264C8">
            <w:pPr>
              <w:rPr>
                <w:rFonts w:ascii="Arial Narrow" w:hAnsi="Arial Narrow"/>
                <w:sz w:val="20"/>
                <w:lang w:eastAsia="en-US"/>
              </w:rPr>
            </w:pPr>
            <w:r>
              <w:rPr>
                <w:rFonts w:ascii="Arial Narrow" w:hAnsi="Arial Narrow"/>
                <w:sz w:val="20"/>
                <w:lang w:eastAsia="en-US"/>
              </w:rPr>
              <w:t>Acquired = 326</w:t>
            </w:r>
          </w:p>
          <w:p w14:paraId="28B7E48F" w14:textId="77777777" w:rsidR="00AE2D27" w:rsidRDefault="00AE2D27" w:rsidP="00B264C8">
            <w:pPr>
              <w:rPr>
                <w:rFonts w:ascii="Arial Narrow" w:hAnsi="Arial Narrow"/>
                <w:sz w:val="20"/>
                <w:lang w:eastAsia="en-US"/>
              </w:rPr>
            </w:pPr>
            <w:r>
              <w:rPr>
                <w:rFonts w:ascii="Arial Narrow" w:hAnsi="Arial Narrow"/>
                <w:sz w:val="20"/>
                <w:lang w:eastAsia="en-US"/>
              </w:rPr>
              <w:t>HIV =650</w:t>
            </w:r>
          </w:p>
          <w:p w14:paraId="31C80277" w14:textId="77777777" w:rsidR="00AE2D27" w:rsidRPr="005633E2" w:rsidRDefault="00AE2D27" w:rsidP="00B264C8">
            <w:pPr>
              <w:rPr>
                <w:rFonts w:ascii="Arial Narrow" w:hAnsi="Arial Narrow"/>
                <w:sz w:val="20"/>
                <w:lang w:eastAsia="en-US"/>
              </w:rPr>
            </w:pPr>
            <w:r>
              <w:rPr>
                <w:rFonts w:ascii="Arial Narrow" w:hAnsi="Arial Narrow"/>
                <w:sz w:val="20"/>
                <w:lang w:eastAsia="en-US"/>
              </w:rPr>
              <w:t>Mixed = 148</w:t>
            </w:r>
          </w:p>
        </w:tc>
        <w:tc>
          <w:tcPr>
            <w:tcW w:w="705" w:type="dxa"/>
          </w:tcPr>
          <w:p w14:paraId="611351C4" w14:textId="77777777" w:rsidR="00AE2D27" w:rsidRDefault="00AE2D27" w:rsidP="00B264C8">
            <w:pPr>
              <w:rPr>
                <w:rFonts w:ascii="Arial Narrow" w:hAnsi="Arial Narrow"/>
                <w:sz w:val="20"/>
                <w:lang w:eastAsia="en-US"/>
              </w:rPr>
            </w:pPr>
            <w:r>
              <w:rPr>
                <w:rFonts w:ascii="Arial Narrow" w:hAnsi="Arial Narrow"/>
                <w:sz w:val="20"/>
                <w:lang w:eastAsia="en-US"/>
              </w:rPr>
              <w:t>Low</w:t>
            </w:r>
          </w:p>
        </w:tc>
        <w:tc>
          <w:tcPr>
            <w:tcW w:w="1398" w:type="dxa"/>
          </w:tcPr>
          <w:p w14:paraId="3D34B16F" w14:textId="77777777" w:rsidR="00AE2D27" w:rsidRPr="005633E2" w:rsidRDefault="00AE2D27" w:rsidP="00B264C8">
            <w:pPr>
              <w:rPr>
                <w:rFonts w:ascii="Arial Narrow" w:hAnsi="Arial Narrow"/>
                <w:sz w:val="20"/>
                <w:lang w:eastAsia="en-US"/>
              </w:rPr>
            </w:pPr>
            <w:r>
              <w:rPr>
                <w:rFonts w:ascii="Arial Narrow" w:hAnsi="Arial Narrow"/>
                <w:sz w:val="20"/>
                <w:lang w:eastAsia="en-US"/>
              </w:rPr>
              <w:t>AFG, most studies using procedures based on principles described by Coleman for reconstructive purposes.</w:t>
            </w:r>
          </w:p>
        </w:tc>
        <w:tc>
          <w:tcPr>
            <w:tcW w:w="1406" w:type="dxa"/>
          </w:tcPr>
          <w:p w14:paraId="2987B203" w14:textId="77777777" w:rsidR="00AE2D27" w:rsidRPr="005633E2" w:rsidRDefault="00AE2D27" w:rsidP="00B264C8">
            <w:pPr>
              <w:rPr>
                <w:rFonts w:ascii="Arial Narrow" w:hAnsi="Arial Narrow"/>
                <w:sz w:val="20"/>
                <w:lang w:eastAsia="en-US"/>
              </w:rPr>
            </w:pPr>
            <w:r>
              <w:rPr>
                <w:rFonts w:ascii="Arial Narrow" w:hAnsi="Arial Narrow"/>
                <w:sz w:val="20"/>
                <w:lang w:eastAsia="en-US"/>
              </w:rPr>
              <w:t>Not applicable.</w:t>
            </w:r>
          </w:p>
        </w:tc>
        <w:tc>
          <w:tcPr>
            <w:tcW w:w="2011" w:type="dxa"/>
          </w:tcPr>
          <w:p w14:paraId="55C4E9E4" w14:textId="77777777" w:rsidR="00AE2D27" w:rsidRPr="00EE4D7D" w:rsidRDefault="00AE2D27" w:rsidP="00B264C8">
            <w:pPr>
              <w:rPr>
                <w:rFonts w:ascii="Arial Narrow" w:hAnsi="Arial Narrow"/>
                <w:sz w:val="20"/>
                <w:lang w:eastAsia="en-US"/>
              </w:rPr>
            </w:pPr>
            <w:r w:rsidRPr="00EE4D7D">
              <w:rPr>
                <w:rFonts w:ascii="Arial Narrow" w:hAnsi="Arial Narrow"/>
                <w:sz w:val="20"/>
                <w:lang w:eastAsia="en-US"/>
              </w:rPr>
              <w:t>Patient and physician satisfaction</w:t>
            </w:r>
          </w:p>
          <w:p w14:paraId="7E4DB0A2" w14:textId="77777777" w:rsidR="00AE2D27" w:rsidRPr="00EE4D7D" w:rsidRDefault="00AE2D27" w:rsidP="00B264C8">
            <w:pPr>
              <w:rPr>
                <w:rFonts w:ascii="Arial Narrow" w:hAnsi="Arial Narrow"/>
                <w:sz w:val="20"/>
                <w:lang w:eastAsia="en-US"/>
              </w:rPr>
            </w:pPr>
            <w:r w:rsidRPr="00EE4D7D">
              <w:rPr>
                <w:rFonts w:ascii="Arial Narrow" w:hAnsi="Arial Narrow"/>
                <w:sz w:val="20"/>
                <w:lang w:eastAsia="en-US"/>
              </w:rPr>
              <w:t>Volume measurements</w:t>
            </w:r>
          </w:p>
          <w:p w14:paraId="057E2AC5" w14:textId="77777777" w:rsidR="00AE2D27" w:rsidRPr="00EE4D7D" w:rsidRDefault="00AE2D27" w:rsidP="00B264C8">
            <w:pPr>
              <w:rPr>
                <w:rFonts w:ascii="Arial Narrow" w:hAnsi="Arial Narrow"/>
                <w:sz w:val="20"/>
                <w:lang w:eastAsia="en-US"/>
              </w:rPr>
            </w:pPr>
            <w:r w:rsidRPr="00EE4D7D">
              <w:rPr>
                <w:rFonts w:ascii="Arial Narrow" w:hAnsi="Arial Narrow"/>
                <w:sz w:val="20"/>
                <w:lang w:eastAsia="en-US"/>
              </w:rPr>
              <w:t>Number of sessions</w:t>
            </w:r>
          </w:p>
          <w:p w14:paraId="543B7B0B" w14:textId="77777777" w:rsidR="00AE2D27" w:rsidRPr="00EE4D7D" w:rsidRDefault="00AE2D27" w:rsidP="00B264C8">
            <w:pPr>
              <w:rPr>
                <w:rFonts w:ascii="Arial Narrow" w:hAnsi="Arial Narrow"/>
                <w:sz w:val="20"/>
                <w:lang w:eastAsia="en-US"/>
              </w:rPr>
            </w:pPr>
            <w:r w:rsidRPr="00EE4D7D">
              <w:rPr>
                <w:rFonts w:ascii="Arial Narrow" w:hAnsi="Arial Narrow"/>
                <w:sz w:val="20"/>
                <w:lang w:eastAsia="en-US"/>
              </w:rPr>
              <w:t>Complications</w:t>
            </w:r>
          </w:p>
        </w:tc>
      </w:tr>
      <w:tr w:rsidR="00AE2D27" w:rsidRPr="005633E2" w14:paraId="4DA8838D" w14:textId="77777777" w:rsidTr="00AE2D27">
        <w:trPr>
          <w:tblHeader/>
        </w:trPr>
        <w:tc>
          <w:tcPr>
            <w:tcW w:w="979" w:type="dxa"/>
          </w:tcPr>
          <w:p w14:paraId="66944782" w14:textId="77777777" w:rsidR="00AE2D27" w:rsidRPr="005633E2" w:rsidRDefault="00AE2D27" w:rsidP="00B264C8">
            <w:pPr>
              <w:rPr>
                <w:rFonts w:ascii="Arial Narrow" w:hAnsi="Arial Narrow"/>
                <w:sz w:val="20"/>
                <w:lang w:eastAsia="en-US"/>
              </w:rPr>
            </w:pPr>
            <w:proofErr w:type="spellStart"/>
            <w:r>
              <w:rPr>
                <w:rFonts w:ascii="Arial Narrow" w:hAnsi="Arial Narrow"/>
                <w:sz w:val="20"/>
                <w:lang w:eastAsia="en-US"/>
              </w:rPr>
              <w:t>Lv</w:t>
            </w:r>
            <w:proofErr w:type="spellEnd"/>
            <w:r>
              <w:rPr>
                <w:rFonts w:ascii="Arial Narrow" w:hAnsi="Arial Narrow"/>
                <w:sz w:val="20"/>
                <w:lang w:eastAsia="en-US"/>
              </w:rPr>
              <w:t xml:space="preserve"> 2020</w:t>
            </w:r>
          </w:p>
        </w:tc>
        <w:tc>
          <w:tcPr>
            <w:tcW w:w="1426" w:type="dxa"/>
          </w:tcPr>
          <w:p w14:paraId="61883AD0" w14:textId="77777777" w:rsidR="00AE2D27" w:rsidRDefault="00AE2D27" w:rsidP="00B264C8">
            <w:pPr>
              <w:rPr>
                <w:rFonts w:ascii="Arial Narrow" w:hAnsi="Arial Narrow"/>
                <w:sz w:val="20"/>
                <w:lang w:eastAsia="en-US"/>
              </w:rPr>
            </w:pPr>
            <w:r>
              <w:rPr>
                <w:rFonts w:ascii="Arial Narrow" w:hAnsi="Arial Narrow"/>
                <w:sz w:val="20"/>
                <w:lang w:eastAsia="en-US"/>
              </w:rPr>
              <w:t>Total = 27</w:t>
            </w:r>
          </w:p>
          <w:p w14:paraId="42452FAE" w14:textId="77777777" w:rsidR="00AE2D27" w:rsidRPr="005633E2" w:rsidRDefault="00AE2D27" w:rsidP="00B264C8">
            <w:pPr>
              <w:rPr>
                <w:rFonts w:ascii="Arial Narrow" w:hAnsi="Arial Narrow"/>
                <w:sz w:val="20"/>
                <w:lang w:eastAsia="en-US"/>
              </w:rPr>
            </w:pPr>
            <w:r>
              <w:rPr>
                <w:rFonts w:ascii="Arial Narrow" w:hAnsi="Arial Narrow"/>
                <w:sz w:val="20"/>
                <w:lang w:eastAsia="en-US"/>
              </w:rPr>
              <w:t>Meta-analysis = 21</w:t>
            </w:r>
          </w:p>
        </w:tc>
        <w:tc>
          <w:tcPr>
            <w:tcW w:w="1426" w:type="dxa"/>
          </w:tcPr>
          <w:p w14:paraId="7342F22F" w14:textId="77777777" w:rsidR="00AE2D27" w:rsidRPr="005633E2" w:rsidRDefault="00AE2D27" w:rsidP="00B264C8">
            <w:pPr>
              <w:rPr>
                <w:rFonts w:ascii="Arial Narrow" w:hAnsi="Arial Narrow"/>
                <w:sz w:val="20"/>
                <w:lang w:eastAsia="en-US"/>
              </w:rPr>
            </w:pPr>
            <w:r>
              <w:rPr>
                <w:rFonts w:ascii="Arial Narrow" w:hAnsi="Arial Narrow"/>
                <w:sz w:val="20"/>
                <w:lang w:eastAsia="en-US"/>
              </w:rPr>
              <w:t>Total = 1011</w:t>
            </w:r>
          </w:p>
        </w:tc>
        <w:tc>
          <w:tcPr>
            <w:tcW w:w="705" w:type="dxa"/>
          </w:tcPr>
          <w:p w14:paraId="6A51FC51" w14:textId="77777777" w:rsidR="00AE2D27" w:rsidRDefault="00AE2D27" w:rsidP="00B264C8">
            <w:pPr>
              <w:rPr>
                <w:rFonts w:ascii="Arial Narrow" w:hAnsi="Arial Narrow"/>
                <w:sz w:val="20"/>
                <w:lang w:eastAsia="en-US"/>
              </w:rPr>
            </w:pPr>
            <w:r>
              <w:rPr>
                <w:rFonts w:ascii="Arial Narrow" w:hAnsi="Arial Narrow"/>
                <w:sz w:val="20"/>
                <w:lang w:eastAsia="en-US"/>
              </w:rPr>
              <w:t>Low</w:t>
            </w:r>
          </w:p>
        </w:tc>
        <w:tc>
          <w:tcPr>
            <w:tcW w:w="1398" w:type="dxa"/>
          </w:tcPr>
          <w:p w14:paraId="6649AA62" w14:textId="77777777" w:rsidR="00AE2D27" w:rsidRPr="005633E2" w:rsidRDefault="00AE2D27" w:rsidP="00B264C8">
            <w:pPr>
              <w:rPr>
                <w:rFonts w:ascii="Arial Narrow" w:hAnsi="Arial Narrow"/>
                <w:sz w:val="20"/>
                <w:lang w:eastAsia="en-US"/>
              </w:rPr>
            </w:pPr>
            <w:r>
              <w:rPr>
                <w:rFonts w:ascii="Arial Narrow" w:hAnsi="Arial Narrow"/>
                <w:sz w:val="20"/>
                <w:lang w:eastAsia="en-US"/>
              </w:rPr>
              <w:t>AFG, for cosmetic or reconstructive purposes.</w:t>
            </w:r>
          </w:p>
        </w:tc>
        <w:tc>
          <w:tcPr>
            <w:tcW w:w="1406" w:type="dxa"/>
          </w:tcPr>
          <w:p w14:paraId="331A4E37" w14:textId="77777777" w:rsidR="00AE2D27" w:rsidRPr="005633E2" w:rsidRDefault="00AE2D27" w:rsidP="00B264C8">
            <w:pPr>
              <w:rPr>
                <w:rFonts w:ascii="Arial Narrow" w:hAnsi="Arial Narrow"/>
                <w:sz w:val="20"/>
                <w:lang w:eastAsia="en-US"/>
              </w:rPr>
            </w:pPr>
            <w:r>
              <w:rPr>
                <w:rFonts w:ascii="Arial Narrow" w:hAnsi="Arial Narrow"/>
                <w:sz w:val="20"/>
                <w:lang w:eastAsia="en-US"/>
              </w:rPr>
              <w:t>Not applicable.</w:t>
            </w:r>
          </w:p>
        </w:tc>
        <w:tc>
          <w:tcPr>
            <w:tcW w:w="2011" w:type="dxa"/>
          </w:tcPr>
          <w:p w14:paraId="13375AF1" w14:textId="77777777" w:rsidR="00AE2D27" w:rsidRPr="005633E2" w:rsidRDefault="00AE2D27" w:rsidP="00B264C8">
            <w:pPr>
              <w:rPr>
                <w:rFonts w:ascii="Arial Narrow" w:hAnsi="Arial Narrow"/>
                <w:sz w:val="20"/>
                <w:lang w:eastAsia="en-US"/>
              </w:rPr>
            </w:pPr>
            <w:r>
              <w:rPr>
                <w:rFonts w:ascii="Arial Narrow" w:hAnsi="Arial Narrow"/>
                <w:sz w:val="20"/>
                <w:lang w:eastAsia="en-US"/>
              </w:rPr>
              <w:t>Volume retention</w:t>
            </w:r>
          </w:p>
        </w:tc>
      </w:tr>
      <w:tr w:rsidR="00AE2D27" w:rsidRPr="005633E2" w14:paraId="1C0902A7" w14:textId="77777777" w:rsidTr="00AE2D27">
        <w:trPr>
          <w:tblHeader/>
        </w:trPr>
        <w:tc>
          <w:tcPr>
            <w:tcW w:w="979" w:type="dxa"/>
          </w:tcPr>
          <w:p w14:paraId="54CB944F" w14:textId="77777777" w:rsidR="00AE2D27" w:rsidRPr="005633E2" w:rsidRDefault="00AE2D27" w:rsidP="00B264C8">
            <w:pPr>
              <w:rPr>
                <w:rFonts w:ascii="Arial Narrow" w:hAnsi="Arial Narrow"/>
                <w:sz w:val="20"/>
                <w:lang w:eastAsia="en-US"/>
              </w:rPr>
            </w:pPr>
            <w:r>
              <w:rPr>
                <w:rFonts w:ascii="Arial Narrow" w:hAnsi="Arial Narrow"/>
                <w:sz w:val="20"/>
                <w:lang w:eastAsia="en-US"/>
              </w:rPr>
              <w:t>Sinclair 2019</w:t>
            </w:r>
          </w:p>
        </w:tc>
        <w:tc>
          <w:tcPr>
            <w:tcW w:w="1426" w:type="dxa"/>
          </w:tcPr>
          <w:p w14:paraId="21057D9B" w14:textId="77777777" w:rsidR="00AE2D27" w:rsidRPr="005633E2" w:rsidRDefault="00AE2D27" w:rsidP="00B264C8">
            <w:pPr>
              <w:rPr>
                <w:rFonts w:ascii="Arial Narrow" w:hAnsi="Arial Narrow"/>
                <w:sz w:val="20"/>
                <w:vertAlign w:val="superscript"/>
                <w:lang w:eastAsia="en-US"/>
              </w:rPr>
            </w:pPr>
            <w:r>
              <w:rPr>
                <w:rFonts w:ascii="Arial Narrow" w:hAnsi="Arial Narrow"/>
                <w:sz w:val="20"/>
                <w:lang w:eastAsia="en-US"/>
              </w:rPr>
              <w:t>Total = 38</w:t>
            </w:r>
            <w:r>
              <w:rPr>
                <w:rFonts w:ascii="Arial Narrow" w:hAnsi="Arial Narrow"/>
                <w:sz w:val="20"/>
                <w:vertAlign w:val="superscript"/>
                <w:lang w:eastAsia="en-US"/>
              </w:rPr>
              <w:t>a</w:t>
            </w:r>
          </w:p>
          <w:p w14:paraId="6AB07427" w14:textId="77777777" w:rsidR="00AE2D27" w:rsidRDefault="00AE2D27" w:rsidP="00B264C8">
            <w:pPr>
              <w:rPr>
                <w:rFonts w:ascii="Arial Narrow" w:hAnsi="Arial Narrow"/>
                <w:sz w:val="20"/>
                <w:lang w:eastAsia="en-US"/>
              </w:rPr>
            </w:pPr>
            <w:r>
              <w:rPr>
                <w:rFonts w:ascii="Arial Narrow" w:hAnsi="Arial Narrow"/>
                <w:sz w:val="20"/>
                <w:lang w:eastAsia="en-US"/>
              </w:rPr>
              <w:t>Fat graft = 8</w:t>
            </w:r>
          </w:p>
          <w:p w14:paraId="0E64FC00" w14:textId="77777777" w:rsidR="00AE2D27" w:rsidRDefault="00AE2D27" w:rsidP="00B264C8">
            <w:pPr>
              <w:rPr>
                <w:rFonts w:ascii="Arial Narrow" w:hAnsi="Arial Narrow"/>
                <w:sz w:val="20"/>
                <w:lang w:eastAsia="en-US"/>
              </w:rPr>
            </w:pPr>
            <w:proofErr w:type="spellStart"/>
            <w:r>
              <w:rPr>
                <w:rFonts w:ascii="Arial Narrow" w:hAnsi="Arial Narrow"/>
                <w:sz w:val="20"/>
                <w:lang w:eastAsia="en-US"/>
              </w:rPr>
              <w:t>Pedicled</w:t>
            </w:r>
            <w:proofErr w:type="spellEnd"/>
            <w:r>
              <w:rPr>
                <w:rFonts w:ascii="Arial Narrow" w:hAnsi="Arial Narrow"/>
                <w:sz w:val="20"/>
                <w:lang w:eastAsia="en-US"/>
              </w:rPr>
              <w:t xml:space="preserve"> flap = 5</w:t>
            </w:r>
          </w:p>
          <w:p w14:paraId="53243AD4" w14:textId="77777777" w:rsidR="00AE2D27" w:rsidRDefault="00AE2D27" w:rsidP="00B264C8">
            <w:pPr>
              <w:rPr>
                <w:rFonts w:ascii="Arial Narrow" w:hAnsi="Arial Narrow"/>
                <w:sz w:val="20"/>
                <w:lang w:eastAsia="en-US"/>
              </w:rPr>
            </w:pPr>
            <w:r>
              <w:rPr>
                <w:rFonts w:ascii="Arial Narrow" w:hAnsi="Arial Narrow"/>
                <w:sz w:val="20"/>
                <w:lang w:eastAsia="en-US"/>
              </w:rPr>
              <w:t>Free flap = 24</w:t>
            </w:r>
          </w:p>
          <w:p w14:paraId="2FF1C503" w14:textId="77777777" w:rsidR="00AE2D27" w:rsidRDefault="00AE2D27" w:rsidP="00B264C8">
            <w:pPr>
              <w:rPr>
                <w:rFonts w:ascii="Arial Narrow" w:hAnsi="Arial Narrow"/>
                <w:sz w:val="20"/>
                <w:lang w:eastAsia="en-US"/>
              </w:rPr>
            </w:pPr>
            <w:r>
              <w:rPr>
                <w:rFonts w:ascii="Arial Narrow" w:hAnsi="Arial Narrow"/>
                <w:sz w:val="20"/>
                <w:lang w:eastAsia="en-US"/>
              </w:rPr>
              <w:t>Functional reconstruction = 2</w:t>
            </w:r>
          </w:p>
          <w:p w14:paraId="691FD071" w14:textId="77777777" w:rsidR="00AE2D27" w:rsidRPr="005633E2" w:rsidRDefault="00AE2D27" w:rsidP="00B264C8">
            <w:pPr>
              <w:rPr>
                <w:rFonts w:ascii="Arial Narrow" w:hAnsi="Arial Narrow"/>
                <w:sz w:val="20"/>
                <w:lang w:eastAsia="en-US"/>
              </w:rPr>
            </w:pPr>
            <w:r>
              <w:rPr>
                <w:rFonts w:ascii="Arial Narrow" w:hAnsi="Arial Narrow"/>
                <w:sz w:val="20"/>
                <w:lang w:eastAsia="en-US"/>
              </w:rPr>
              <w:t>Alloplastic reconstruction = 1</w:t>
            </w:r>
          </w:p>
        </w:tc>
        <w:tc>
          <w:tcPr>
            <w:tcW w:w="1426" w:type="dxa"/>
          </w:tcPr>
          <w:p w14:paraId="048C5C6A" w14:textId="77777777" w:rsidR="00AE2D27" w:rsidRDefault="00AE2D27" w:rsidP="00B264C8">
            <w:pPr>
              <w:rPr>
                <w:rFonts w:ascii="Arial Narrow" w:hAnsi="Arial Narrow"/>
                <w:sz w:val="20"/>
                <w:lang w:eastAsia="en-US"/>
              </w:rPr>
            </w:pPr>
            <w:r>
              <w:rPr>
                <w:rFonts w:ascii="Arial Narrow" w:hAnsi="Arial Narrow"/>
                <w:sz w:val="20"/>
                <w:lang w:eastAsia="en-US"/>
              </w:rPr>
              <w:t>Total = 251</w:t>
            </w:r>
          </w:p>
          <w:p w14:paraId="17C20E6D" w14:textId="77777777" w:rsidR="00AE2D27" w:rsidRDefault="00AE2D27" w:rsidP="00B264C8">
            <w:pPr>
              <w:rPr>
                <w:rFonts w:ascii="Arial Narrow" w:hAnsi="Arial Narrow"/>
                <w:sz w:val="20"/>
                <w:lang w:eastAsia="en-US"/>
              </w:rPr>
            </w:pPr>
            <w:r>
              <w:rPr>
                <w:rFonts w:ascii="Arial Narrow" w:hAnsi="Arial Narrow"/>
                <w:sz w:val="20"/>
                <w:lang w:eastAsia="en-US"/>
              </w:rPr>
              <w:t>Fat graft = 87</w:t>
            </w:r>
          </w:p>
          <w:p w14:paraId="0AB01CC1" w14:textId="77777777" w:rsidR="00AE2D27" w:rsidRDefault="00AE2D27" w:rsidP="00B264C8">
            <w:pPr>
              <w:rPr>
                <w:rFonts w:ascii="Arial Narrow" w:hAnsi="Arial Narrow"/>
                <w:sz w:val="20"/>
                <w:lang w:eastAsia="en-US"/>
              </w:rPr>
            </w:pPr>
            <w:proofErr w:type="spellStart"/>
            <w:r>
              <w:rPr>
                <w:rFonts w:ascii="Arial Narrow" w:hAnsi="Arial Narrow"/>
                <w:sz w:val="20"/>
                <w:lang w:eastAsia="en-US"/>
              </w:rPr>
              <w:t>Pedicled</w:t>
            </w:r>
            <w:proofErr w:type="spellEnd"/>
            <w:r>
              <w:rPr>
                <w:rFonts w:ascii="Arial Narrow" w:hAnsi="Arial Narrow"/>
                <w:sz w:val="20"/>
                <w:lang w:eastAsia="en-US"/>
              </w:rPr>
              <w:t xml:space="preserve"> flap = 13</w:t>
            </w:r>
          </w:p>
          <w:p w14:paraId="214BD196" w14:textId="77777777" w:rsidR="00AE2D27" w:rsidRDefault="00AE2D27" w:rsidP="00B264C8">
            <w:pPr>
              <w:rPr>
                <w:rFonts w:ascii="Arial Narrow" w:hAnsi="Arial Narrow"/>
                <w:sz w:val="20"/>
                <w:lang w:eastAsia="en-US"/>
              </w:rPr>
            </w:pPr>
            <w:r>
              <w:rPr>
                <w:rFonts w:ascii="Arial Narrow" w:hAnsi="Arial Narrow"/>
                <w:sz w:val="20"/>
                <w:lang w:eastAsia="en-US"/>
              </w:rPr>
              <w:t>Free flap = 129</w:t>
            </w:r>
          </w:p>
          <w:p w14:paraId="74B4272E" w14:textId="77777777" w:rsidR="00AE2D27" w:rsidRDefault="00AE2D27" w:rsidP="00B264C8">
            <w:pPr>
              <w:rPr>
                <w:rFonts w:ascii="Arial Narrow" w:hAnsi="Arial Narrow"/>
                <w:sz w:val="20"/>
                <w:lang w:eastAsia="en-US"/>
              </w:rPr>
            </w:pPr>
            <w:r>
              <w:rPr>
                <w:rFonts w:ascii="Arial Narrow" w:hAnsi="Arial Narrow"/>
                <w:sz w:val="20"/>
                <w:lang w:eastAsia="en-US"/>
              </w:rPr>
              <w:t>Functional reconstruction = 9</w:t>
            </w:r>
          </w:p>
          <w:p w14:paraId="3E4FF8B0" w14:textId="77777777" w:rsidR="00AE2D27" w:rsidRPr="005633E2" w:rsidRDefault="00AE2D27" w:rsidP="00B264C8">
            <w:pPr>
              <w:rPr>
                <w:rFonts w:ascii="Arial Narrow" w:hAnsi="Arial Narrow"/>
                <w:sz w:val="20"/>
                <w:lang w:eastAsia="en-US"/>
              </w:rPr>
            </w:pPr>
            <w:r>
              <w:rPr>
                <w:rFonts w:ascii="Arial Narrow" w:hAnsi="Arial Narrow"/>
                <w:sz w:val="20"/>
                <w:lang w:eastAsia="en-US"/>
              </w:rPr>
              <w:t>Alloplastic reconstruction = 13</w:t>
            </w:r>
          </w:p>
        </w:tc>
        <w:tc>
          <w:tcPr>
            <w:tcW w:w="705" w:type="dxa"/>
          </w:tcPr>
          <w:p w14:paraId="1D043DD9" w14:textId="77777777" w:rsidR="00AE2D27" w:rsidRDefault="00AE2D27" w:rsidP="00B264C8">
            <w:pPr>
              <w:rPr>
                <w:rFonts w:ascii="Arial Narrow" w:hAnsi="Arial Narrow"/>
                <w:sz w:val="20"/>
                <w:lang w:eastAsia="en-US"/>
              </w:rPr>
            </w:pPr>
            <w:r>
              <w:rPr>
                <w:rFonts w:ascii="Arial Narrow" w:hAnsi="Arial Narrow"/>
                <w:sz w:val="20"/>
                <w:lang w:eastAsia="en-US"/>
              </w:rPr>
              <w:t>Unclear</w:t>
            </w:r>
          </w:p>
        </w:tc>
        <w:tc>
          <w:tcPr>
            <w:tcW w:w="1398" w:type="dxa"/>
          </w:tcPr>
          <w:p w14:paraId="46C5735E" w14:textId="77777777" w:rsidR="00AE2D27" w:rsidRPr="005633E2" w:rsidRDefault="00AE2D27" w:rsidP="00B264C8">
            <w:pPr>
              <w:rPr>
                <w:rFonts w:ascii="Arial Narrow" w:hAnsi="Arial Narrow"/>
                <w:sz w:val="20"/>
                <w:lang w:eastAsia="en-US"/>
              </w:rPr>
            </w:pPr>
            <w:r>
              <w:rPr>
                <w:rFonts w:ascii="Arial Narrow" w:hAnsi="Arial Narrow"/>
                <w:sz w:val="20"/>
                <w:lang w:eastAsia="en-US"/>
              </w:rPr>
              <w:t xml:space="preserve">Structural fat grafting to correct soft-tissue deficiency in </w:t>
            </w:r>
            <w:proofErr w:type="spellStart"/>
            <w:r>
              <w:rPr>
                <w:rFonts w:ascii="Arial Narrow" w:hAnsi="Arial Narrow"/>
                <w:sz w:val="20"/>
                <w:lang w:eastAsia="en-US"/>
              </w:rPr>
              <w:t>hemifacial</w:t>
            </w:r>
            <w:proofErr w:type="spellEnd"/>
            <w:r>
              <w:rPr>
                <w:rFonts w:ascii="Arial Narrow" w:hAnsi="Arial Narrow"/>
                <w:sz w:val="20"/>
                <w:lang w:eastAsia="en-US"/>
              </w:rPr>
              <w:t xml:space="preserve"> </w:t>
            </w:r>
            <w:proofErr w:type="spellStart"/>
            <w:r>
              <w:rPr>
                <w:rFonts w:ascii="Arial Narrow" w:hAnsi="Arial Narrow"/>
                <w:sz w:val="20"/>
                <w:lang w:eastAsia="en-US"/>
              </w:rPr>
              <w:t>microsomia</w:t>
            </w:r>
            <w:proofErr w:type="spellEnd"/>
            <w:r>
              <w:rPr>
                <w:rFonts w:ascii="Arial Narrow" w:hAnsi="Arial Narrow"/>
                <w:sz w:val="20"/>
                <w:lang w:eastAsia="en-US"/>
              </w:rPr>
              <w:t>.</w:t>
            </w:r>
          </w:p>
        </w:tc>
        <w:tc>
          <w:tcPr>
            <w:tcW w:w="1406" w:type="dxa"/>
          </w:tcPr>
          <w:p w14:paraId="1FE7A635" w14:textId="77777777" w:rsidR="00AE2D27" w:rsidRDefault="00AE2D27" w:rsidP="00B264C8">
            <w:pPr>
              <w:rPr>
                <w:rFonts w:ascii="Arial Narrow" w:hAnsi="Arial Narrow"/>
                <w:sz w:val="20"/>
                <w:lang w:eastAsia="en-US"/>
              </w:rPr>
            </w:pPr>
            <w:proofErr w:type="spellStart"/>
            <w:r>
              <w:rPr>
                <w:rFonts w:ascii="Arial Narrow" w:hAnsi="Arial Narrow"/>
                <w:sz w:val="20"/>
                <w:lang w:eastAsia="en-US"/>
              </w:rPr>
              <w:t>Pedicled</w:t>
            </w:r>
            <w:proofErr w:type="spellEnd"/>
            <w:r>
              <w:rPr>
                <w:rFonts w:ascii="Arial Narrow" w:hAnsi="Arial Narrow"/>
                <w:sz w:val="20"/>
                <w:lang w:eastAsia="en-US"/>
              </w:rPr>
              <w:t xml:space="preserve"> flap.</w:t>
            </w:r>
          </w:p>
          <w:p w14:paraId="14DFF68E" w14:textId="77777777" w:rsidR="00AE2D27" w:rsidRDefault="00AE2D27" w:rsidP="00B264C8">
            <w:pPr>
              <w:rPr>
                <w:rFonts w:ascii="Arial Narrow" w:hAnsi="Arial Narrow"/>
                <w:sz w:val="20"/>
                <w:lang w:eastAsia="en-US"/>
              </w:rPr>
            </w:pPr>
            <w:r>
              <w:rPr>
                <w:rFonts w:ascii="Arial Narrow" w:hAnsi="Arial Narrow"/>
                <w:sz w:val="20"/>
                <w:lang w:eastAsia="en-US"/>
              </w:rPr>
              <w:t xml:space="preserve">Free flap. </w:t>
            </w:r>
          </w:p>
          <w:p w14:paraId="6F025B02" w14:textId="77777777" w:rsidR="00AE2D27" w:rsidRDefault="00AE2D27" w:rsidP="00B264C8">
            <w:pPr>
              <w:rPr>
                <w:rFonts w:ascii="Arial Narrow" w:hAnsi="Arial Narrow"/>
                <w:sz w:val="20"/>
                <w:lang w:eastAsia="en-US"/>
              </w:rPr>
            </w:pPr>
            <w:r>
              <w:rPr>
                <w:rFonts w:ascii="Arial Narrow" w:hAnsi="Arial Narrow"/>
                <w:sz w:val="20"/>
                <w:lang w:eastAsia="en-US"/>
              </w:rPr>
              <w:t xml:space="preserve">Functional reconstruction. </w:t>
            </w:r>
          </w:p>
          <w:p w14:paraId="486A491F" w14:textId="77777777" w:rsidR="00AE2D27" w:rsidRPr="005633E2" w:rsidRDefault="00AE2D27" w:rsidP="00B264C8">
            <w:pPr>
              <w:rPr>
                <w:rFonts w:ascii="Arial Narrow" w:hAnsi="Arial Narrow"/>
                <w:sz w:val="20"/>
                <w:lang w:eastAsia="en-US"/>
              </w:rPr>
            </w:pPr>
            <w:r>
              <w:rPr>
                <w:rFonts w:ascii="Arial Narrow" w:hAnsi="Arial Narrow"/>
                <w:sz w:val="20"/>
                <w:lang w:eastAsia="en-US"/>
              </w:rPr>
              <w:t xml:space="preserve">Alloplastic reconstruction. </w:t>
            </w:r>
          </w:p>
        </w:tc>
        <w:tc>
          <w:tcPr>
            <w:tcW w:w="2011" w:type="dxa"/>
          </w:tcPr>
          <w:p w14:paraId="30840B98" w14:textId="77777777" w:rsidR="00AE2D27" w:rsidRPr="005633E2" w:rsidRDefault="00AE2D27" w:rsidP="00B264C8">
            <w:pPr>
              <w:rPr>
                <w:rFonts w:ascii="Arial Narrow" w:hAnsi="Arial Narrow"/>
                <w:sz w:val="20"/>
                <w:u w:val="single"/>
                <w:lang w:eastAsia="en-US"/>
              </w:rPr>
            </w:pPr>
            <w:r>
              <w:rPr>
                <w:rFonts w:ascii="Arial Narrow" w:hAnsi="Arial Narrow"/>
                <w:sz w:val="20"/>
                <w:u w:val="single"/>
                <w:lang w:eastAsia="en-US"/>
              </w:rPr>
              <w:t>Fat grafting</w:t>
            </w:r>
          </w:p>
          <w:p w14:paraId="54BD9E2F" w14:textId="77777777" w:rsidR="00AE2D27" w:rsidRPr="005633E2" w:rsidRDefault="00AE2D27" w:rsidP="00B264C8">
            <w:pPr>
              <w:pStyle w:val="ListParagraph"/>
              <w:numPr>
                <w:ilvl w:val="0"/>
                <w:numId w:val="34"/>
              </w:numPr>
              <w:ind w:left="0" w:hanging="193"/>
              <w:contextualSpacing w:val="0"/>
              <w:rPr>
                <w:rFonts w:ascii="Arial Narrow" w:hAnsi="Arial Narrow"/>
                <w:sz w:val="20"/>
                <w:lang w:eastAsia="en-US"/>
              </w:rPr>
            </w:pPr>
            <w:r w:rsidRPr="005633E2">
              <w:rPr>
                <w:rFonts w:ascii="Arial Narrow" w:hAnsi="Arial Narrow"/>
                <w:sz w:val="20"/>
                <w:lang w:eastAsia="en-US"/>
              </w:rPr>
              <w:t>Number of grafting sessions</w:t>
            </w:r>
          </w:p>
          <w:p w14:paraId="096A545C" w14:textId="77777777" w:rsidR="00AE2D27" w:rsidRPr="005633E2" w:rsidRDefault="00AE2D27" w:rsidP="00B264C8">
            <w:pPr>
              <w:pStyle w:val="ListParagraph"/>
              <w:numPr>
                <w:ilvl w:val="0"/>
                <w:numId w:val="34"/>
              </w:numPr>
              <w:ind w:left="0" w:hanging="193"/>
              <w:contextualSpacing w:val="0"/>
              <w:rPr>
                <w:rFonts w:ascii="Arial Narrow" w:hAnsi="Arial Narrow"/>
                <w:sz w:val="20"/>
                <w:lang w:eastAsia="en-US"/>
              </w:rPr>
            </w:pPr>
            <w:r w:rsidRPr="005633E2">
              <w:rPr>
                <w:rFonts w:ascii="Arial Narrow" w:hAnsi="Arial Narrow"/>
                <w:sz w:val="20"/>
                <w:lang w:eastAsia="en-US"/>
              </w:rPr>
              <w:t>Total volume fat grafted</w:t>
            </w:r>
          </w:p>
          <w:p w14:paraId="4F32F462" w14:textId="77777777" w:rsidR="00AE2D27" w:rsidRPr="005633E2" w:rsidRDefault="00AE2D27" w:rsidP="00B264C8">
            <w:pPr>
              <w:pStyle w:val="ListParagraph"/>
              <w:numPr>
                <w:ilvl w:val="0"/>
                <w:numId w:val="34"/>
              </w:numPr>
              <w:ind w:left="0" w:hanging="193"/>
              <w:contextualSpacing w:val="0"/>
              <w:rPr>
                <w:rFonts w:ascii="Arial Narrow" w:hAnsi="Arial Narrow"/>
                <w:sz w:val="20"/>
                <w:lang w:eastAsia="en-US"/>
              </w:rPr>
            </w:pPr>
            <w:r w:rsidRPr="005633E2">
              <w:rPr>
                <w:rFonts w:ascii="Arial Narrow" w:hAnsi="Arial Narrow"/>
                <w:sz w:val="20"/>
                <w:lang w:eastAsia="en-US"/>
              </w:rPr>
              <w:t>Complication rate</w:t>
            </w:r>
          </w:p>
          <w:p w14:paraId="70D63ED2" w14:textId="77777777" w:rsidR="00AE2D27" w:rsidRPr="005633E2" w:rsidRDefault="00AE2D27" w:rsidP="00B264C8">
            <w:pPr>
              <w:pStyle w:val="ListParagraph"/>
              <w:numPr>
                <w:ilvl w:val="0"/>
                <w:numId w:val="34"/>
              </w:numPr>
              <w:ind w:left="0" w:hanging="195"/>
              <w:contextualSpacing w:val="0"/>
              <w:rPr>
                <w:rFonts w:ascii="Arial Narrow" w:hAnsi="Arial Narrow"/>
                <w:sz w:val="20"/>
                <w:lang w:eastAsia="en-US"/>
              </w:rPr>
            </w:pPr>
            <w:r w:rsidRPr="005633E2">
              <w:rPr>
                <w:rFonts w:ascii="Arial Narrow" w:hAnsi="Arial Narrow"/>
                <w:sz w:val="20"/>
                <w:lang w:eastAsia="en-US"/>
              </w:rPr>
              <w:t>Facial symmetry</w:t>
            </w:r>
          </w:p>
          <w:p w14:paraId="6634FBB8" w14:textId="77777777" w:rsidR="00AE2D27" w:rsidRDefault="00AE2D27" w:rsidP="00B264C8">
            <w:pPr>
              <w:rPr>
                <w:rFonts w:ascii="Arial Narrow" w:hAnsi="Arial Narrow"/>
                <w:sz w:val="20"/>
                <w:u w:val="single"/>
                <w:lang w:eastAsia="en-US"/>
              </w:rPr>
            </w:pPr>
            <w:r>
              <w:rPr>
                <w:rFonts w:ascii="Arial Narrow" w:hAnsi="Arial Narrow"/>
                <w:sz w:val="20"/>
                <w:u w:val="single"/>
                <w:lang w:eastAsia="en-US"/>
              </w:rPr>
              <w:t>Flaps</w:t>
            </w:r>
          </w:p>
          <w:p w14:paraId="19A99E62" w14:textId="77777777" w:rsidR="00AE2D27" w:rsidRPr="005633E2" w:rsidRDefault="00AE2D27" w:rsidP="00B264C8">
            <w:pPr>
              <w:pStyle w:val="ListParagraph"/>
              <w:numPr>
                <w:ilvl w:val="0"/>
                <w:numId w:val="34"/>
              </w:numPr>
              <w:ind w:left="0" w:hanging="193"/>
              <w:contextualSpacing w:val="0"/>
              <w:rPr>
                <w:rFonts w:ascii="Arial Narrow" w:hAnsi="Arial Narrow"/>
                <w:sz w:val="20"/>
                <w:lang w:eastAsia="en-US"/>
              </w:rPr>
            </w:pPr>
            <w:r>
              <w:rPr>
                <w:rFonts w:ascii="Arial Narrow" w:hAnsi="Arial Narrow"/>
                <w:sz w:val="20"/>
                <w:lang w:eastAsia="en-US"/>
              </w:rPr>
              <w:t>Intra- and post-operative flap volume</w:t>
            </w:r>
          </w:p>
          <w:p w14:paraId="1B2DD598" w14:textId="77777777" w:rsidR="00AE2D27" w:rsidRPr="005633E2" w:rsidRDefault="00AE2D27" w:rsidP="00B264C8">
            <w:pPr>
              <w:pStyle w:val="ListParagraph"/>
              <w:numPr>
                <w:ilvl w:val="0"/>
                <w:numId w:val="34"/>
              </w:numPr>
              <w:ind w:left="0" w:hanging="193"/>
              <w:contextualSpacing w:val="0"/>
              <w:rPr>
                <w:rFonts w:ascii="Arial Narrow" w:hAnsi="Arial Narrow"/>
                <w:sz w:val="20"/>
                <w:lang w:eastAsia="en-US"/>
              </w:rPr>
            </w:pPr>
            <w:r>
              <w:rPr>
                <w:rFonts w:ascii="Arial Narrow" w:hAnsi="Arial Narrow"/>
                <w:sz w:val="20"/>
                <w:lang w:eastAsia="en-US"/>
              </w:rPr>
              <w:t>Pre- and post-operative symmetry scores</w:t>
            </w:r>
          </w:p>
          <w:p w14:paraId="4867E057" w14:textId="77777777" w:rsidR="00AE2D27" w:rsidRDefault="00AE2D27" w:rsidP="00B264C8">
            <w:pPr>
              <w:pStyle w:val="ListParagraph"/>
              <w:numPr>
                <w:ilvl w:val="0"/>
                <w:numId w:val="34"/>
              </w:numPr>
              <w:ind w:left="0" w:hanging="193"/>
              <w:contextualSpacing w:val="0"/>
              <w:rPr>
                <w:rFonts w:ascii="Arial Narrow" w:hAnsi="Arial Narrow"/>
                <w:sz w:val="20"/>
                <w:lang w:eastAsia="en-US"/>
              </w:rPr>
            </w:pPr>
            <w:r>
              <w:rPr>
                <w:rFonts w:ascii="Arial Narrow" w:hAnsi="Arial Narrow"/>
                <w:sz w:val="20"/>
                <w:lang w:eastAsia="en-US"/>
              </w:rPr>
              <w:t>Patient and physician satisfaction</w:t>
            </w:r>
          </w:p>
          <w:p w14:paraId="54164551" w14:textId="77777777" w:rsidR="00AE2D27" w:rsidRPr="005633E2" w:rsidRDefault="00AE2D27" w:rsidP="00B264C8">
            <w:pPr>
              <w:pStyle w:val="ListParagraph"/>
              <w:numPr>
                <w:ilvl w:val="0"/>
                <w:numId w:val="34"/>
              </w:numPr>
              <w:ind w:left="0" w:hanging="193"/>
              <w:contextualSpacing w:val="0"/>
              <w:rPr>
                <w:rFonts w:ascii="Arial Narrow" w:hAnsi="Arial Narrow"/>
                <w:sz w:val="20"/>
                <w:lang w:eastAsia="en-US"/>
              </w:rPr>
            </w:pPr>
            <w:r>
              <w:rPr>
                <w:rFonts w:ascii="Arial Narrow" w:hAnsi="Arial Narrow"/>
                <w:sz w:val="20"/>
                <w:lang w:eastAsia="en-US"/>
              </w:rPr>
              <w:t>Number of procedures</w:t>
            </w:r>
          </w:p>
          <w:p w14:paraId="756E1ADA" w14:textId="77777777" w:rsidR="00AE2D27" w:rsidRPr="005633E2" w:rsidRDefault="00AE2D27" w:rsidP="00B264C8">
            <w:pPr>
              <w:pStyle w:val="ListParagraph"/>
              <w:numPr>
                <w:ilvl w:val="0"/>
                <w:numId w:val="34"/>
              </w:numPr>
              <w:ind w:left="0" w:hanging="195"/>
              <w:contextualSpacing w:val="0"/>
              <w:rPr>
                <w:rFonts w:ascii="Arial Narrow" w:hAnsi="Arial Narrow"/>
                <w:sz w:val="20"/>
                <w:lang w:eastAsia="en-US"/>
              </w:rPr>
            </w:pPr>
            <w:r>
              <w:rPr>
                <w:rFonts w:ascii="Arial Narrow" w:hAnsi="Arial Narrow"/>
                <w:sz w:val="20"/>
                <w:lang w:eastAsia="en-US"/>
              </w:rPr>
              <w:t>Complications</w:t>
            </w:r>
          </w:p>
        </w:tc>
      </w:tr>
    </w:tbl>
    <w:p w14:paraId="20B7720C" w14:textId="77777777" w:rsidR="00AE2D27" w:rsidRDefault="00AE2D27" w:rsidP="00AE2D27">
      <w:pPr>
        <w:pStyle w:val="Tablenotes1"/>
      </w:pPr>
      <w:proofErr w:type="spellStart"/>
      <w:proofErr w:type="gramStart"/>
      <w:r>
        <w:rPr>
          <w:vertAlign w:val="superscript"/>
        </w:rPr>
        <w:t>a</w:t>
      </w:r>
      <w:proofErr w:type="spellEnd"/>
      <w:proofErr w:type="gramEnd"/>
      <w:r>
        <w:t xml:space="preserve"> individual papers reported on &gt;1 procedure</w:t>
      </w:r>
    </w:p>
    <w:p w14:paraId="389F04BC" w14:textId="77777777" w:rsidR="00AE2D27" w:rsidRPr="00764C6F" w:rsidRDefault="00AE2D27" w:rsidP="00AE2D27">
      <w:pPr>
        <w:pStyle w:val="Tablenotes1"/>
      </w:pPr>
      <w:r>
        <w:t>Source: Table 18, p82 of the DCAR.</w:t>
      </w:r>
    </w:p>
    <w:p w14:paraId="66A5A2A5" w14:textId="15B321E1" w:rsidR="00AE2D27" w:rsidRDefault="00AE2D27" w:rsidP="00AE2D27">
      <w:r>
        <w:lastRenderedPageBreak/>
        <w:t>The DCAR stated that Schmitz (2008)</w:t>
      </w:r>
      <w:r>
        <w:rPr>
          <w:rStyle w:val="FootnoteReference"/>
        </w:rPr>
        <w:footnoteReference w:id="1"/>
      </w:r>
      <w:r>
        <w:t xml:space="preserve"> reported that no migration or necrosis of fat was observed in those who underwent AFG (by the Coleman procedure; n=9). Two patients in the fat graft group (n=12; including one who underwent AFG following free flap surgery) experienced post-operative swelling, which resolved progressively. In contrast, among those treated with free flap (n=7), Schmitz (2008) reported one preoperative arterial thrombosis (no flap loss), haematomas, oedema, section of the facial nerves, atrophy, and ptosis of the flap. Donor site morbidity was low and healed primarily in the free flap group. The authors also reported that all free flaps developed ptosis or atrophy and needed some further treatment, although the nature of that further treatment </w:t>
      </w:r>
      <w:proofErr w:type="gramStart"/>
      <w:r>
        <w:t>was not specified</w:t>
      </w:r>
      <w:proofErr w:type="gramEnd"/>
      <w:r>
        <w:t xml:space="preserve">. All patients in the free flap group experienced post-operative swelling. </w:t>
      </w:r>
      <w:r w:rsidRPr="00773138">
        <w:t xml:space="preserve">One patient lost 2.5L of blood </w:t>
      </w:r>
      <w:proofErr w:type="spellStart"/>
      <w:r w:rsidRPr="00773138">
        <w:t>perioperatively</w:t>
      </w:r>
      <w:proofErr w:type="spellEnd"/>
      <w:r w:rsidRPr="00773138">
        <w:t xml:space="preserve"> and needed blood transfusion. One patient had facial nerve injury.</w:t>
      </w:r>
    </w:p>
    <w:p w14:paraId="4B7455E1" w14:textId="5B22C6E5" w:rsidR="00AE2D27" w:rsidRDefault="00AE2D27" w:rsidP="00B264C8">
      <w:pPr>
        <w:spacing w:before="240"/>
      </w:pPr>
      <w:r>
        <w:t xml:space="preserve">The DCAR stated that </w:t>
      </w:r>
      <w:proofErr w:type="spellStart"/>
      <w:r>
        <w:t>Tanna</w:t>
      </w:r>
      <w:proofErr w:type="spellEnd"/>
      <w:r>
        <w:t xml:space="preserve"> (2011)</w:t>
      </w:r>
      <w:r>
        <w:rPr>
          <w:rStyle w:val="FootnoteReference"/>
        </w:rPr>
        <w:footnoteReference w:id="2"/>
      </w:r>
      <w:r>
        <w:t xml:space="preserve"> reported that the complication rate for those undergoing AFG (n=21) was five per cent, with </w:t>
      </w:r>
      <w:r w:rsidRPr="00337B4D">
        <w:t>infection and surface irregularities</w:t>
      </w:r>
      <w:r>
        <w:t xml:space="preserve"> observed; no donor-site morbidity was observed. Among the free flap group (n=10), the complication rate was reported as 12 per cent, which included haematoma and partial flap loss with fat necrosis; one patient in the free flap group had a prolonged </w:t>
      </w:r>
      <w:proofErr w:type="spellStart"/>
      <w:r>
        <w:t>seroma</w:t>
      </w:r>
      <w:proofErr w:type="spellEnd"/>
      <w:r>
        <w:t>.</w:t>
      </w:r>
    </w:p>
    <w:p w14:paraId="6FA2F555" w14:textId="5E5B60BA" w:rsidR="00AE2D27" w:rsidRDefault="00AE2D27" w:rsidP="00B264C8">
      <w:pPr>
        <w:spacing w:before="240"/>
      </w:pPr>
      <w:r>
        <w:t xml:space="preserve">The DCAR noted no studies providing a comparison of the safety of AFG to usual care </w:t>
      </w:r>
      <w:proofErr w:type="gramStart"/>
      <w:r>
        <w:t>were identified</w:t>
      </w:r>
      <w:proofErr w:type="gramEnd"/>
      <w:r>
        <w:t xml:space="preserve"> to inform the comparative safety of AFG to this comparator for congenital craniofacial abnormalities.</w:t>
      </w:r>
    </w:p>
    <w:p w14:paraId="59AAB922" w14:textId="77777777" w:rsidR="00AE2D27" w:rsidRPr="00126133" w:rsidRDefault="00AE2D27" w:rsidP="00B264C8">
      <w:pPr>
        <w:pStyle w:val="Heading3"/>
        <w:spacing w:before="240"/>
      </w:pPr>
      <w:r w:rsidRPr="00126133">
        <w:t>Acquired craniofacial abnormalities</w:t>
      </w:r>
    </w:p>
    <w:p w14:paraId="17BFDF74" w14:textId="083134C6" w:rsidR="00AE2D27" w:rsidRDefault="00AE2D27" w:rsidP="00AE2D27">
      <w:r>
        <w:t>The DCAR noted n</w:t>
      </w:r>
      <w:r w:rsidRPr="00126133">
        <w:t xml:space="preserve">o studies providing a comparison of the safety of AFG to free flaps or usual care </w:t>
      </w:r>
      <w:proofErr w:type="gramStart"/>
      <w:r w:rsidRPr="00126133">
        <w:t>were identified</w:t>
      </w:r>
      <w:proofErr w:type="gramEnd"/>
      <w:r w:rsidRPr="00126133">
        <w:t xml:space="preserve"> to inform</w:t>
      </w:r>
      <w:r>
        <w:t xml:space="preserve"> the comparative safety of AFG to these comparators for acquired craniofacial abnormalities.</w:t>
      </w:r>
    </w:p>
    <w:p w14:paraId="1A28BAB2" w14:textId="76757F54" w:rsidR="00AE2D27" w:rsidRDefault="00AE2D27" w:rsidP="00B264C8">
      <w:pPr>
        <w:spacing w:before="240"/>
      </w:pPr>
      <w:r>
        <w:t xml:space="preserve">The DCAR noted that systematic reviews (summarised above in Table 3) included case series on patients with acquired craniofacial abnormalities that reported low complication rates associated with AFG use (2.8-5%), however the nature and severity of these complications </w:t>
      </w:r>
      <w:proofErr w:type="gramStart"/>
      <w:r>
        <w:t>was not reported</w:t>
      </w:r>
      <w:proofErr w:type="gramEnd"/>
      <w:r>
        <w:t>. Sinclair (2019)</w:t>
      </w:r>
      <w:r>
        <w:rPr>
          <w:rStyle w:val="FootnoteReference"/>
        </w:rPr>
        <w:footnoteReference w:id="3"/>
      </w:r>
      <w:r>
        <w:t xml:space="preserve"> provided a comparison of fat grafting to free flaps. The authors reported that the complication rate associated with AFG was 4.2% (6 complications in 142 grafting procedures reported in seven studies). Across 17 studies, the complication rate associated with free flaps was 27.1% (16 complications in 59 free flaps). Sinclair (2019) reported an odds ratio (95% confidence interval [CI]) of 6.7 (2.4, 18.7).</w:t>
      </w:r>
    </w:p>
    <w:p w14:paraId="278EF1FE" w14:textId="77777777" w:rsidR="00AE2D27" w:rsidRDefault="00AE2D27" w:rsidP="00B264C8">
      <w:pPr>
        <w:spacing w:before="240"/>
      </w:pPr>
      <w:r>
        <w:t xml:space="preserve">The DCAR considered although AFG applied to the craniofacial region appears to be a safe procedure and the risk of hypersensitivity reactions is negligible, AFG </w:t>
      </w:r>
      <w:proofErr w:type="gramStart"/>
      <w:r>
        <w:t>can be complicated</w:t>
      </w:r>
      <w:proofErr w:type="gramEnd"/>
      <w:r>
        <w:t xml:space="preserve"> by morbidity in the donor site, prolonged oedema, infections, contour irregularities, and </w:t>
      </w:r>
      <w:r w:rsidRPr="009B2257">
        <w:t>necrosis or calcification of the injected fat</w:t>
      </w:r>
      <w:r>
        <w:t>. Further investigation of the safety AFG when applied to the craniofacial region noted case reports of fat emboli leading to stroke and vision loss. For patients who are seeking treatment for asymmetry to the face following cancer surgery (</w:t>
      </w:r>
      <w:proofErr w:type="spellStart"/>
      <w:r>
        <w:t>i.e</w:t>
      </w:r>
      <w:proofErr w:type="spellEnd"/>
      <w:r>
        <w:t xml:space="preserve">, acquired craniofacial defect), the incidence of cancer recurrence in this population would be of interest. No studies reporting such events </w:t>
      </w:r>
      <w:proofErr w:type="gramStart"/>
      <w:r>
        <w:t>were identified</w:t>
      </w:r>
      <w:proofErr w:type="gramEnd"/>
      <w:r>
        <w:t>.</w:t>
      </w:r>
    </w:p>
    <w:p w14:paraId="31E66103" w14:textId="77777777" w:rsidR="00AE2D27" w:rsidRDefault="00AE2D27" w:rsidP="00AE2D27">
      <w:pPr>
        <w:pStyle w:val="Heading2"/>
      </w:pPr>
      <w:r>
        <w:lastRenderedPageBreak/>
        <w:t>Population 2</w:t>
      </w:r>
    </w:p>
    <w:p w14:paraId="063775E7" w14:textId="3082FC73" w:rsidR="00AE2D27" w:rsidRDefault="00AE2D27" w:rsidP="00B264C8">
      <w:r>
        <w:t>For Population 2, the DCAR identified one randomised controlled trial (RCT), two comparative studies, five case series and two systematic reviews relevant to the assessment of AFG for treating b</w:t>
      </w:r>
      <w:r w:rsidR="008F1FC0">
        <w:t xml:space="preserve">urn scars (summarised in </w:t>
      </w:r>
      <w:r w:rsidR="008652D9" w:rsidRPr="000B7BA9">
        <w:rPr>
          <w:szCs w:val="24"/>
        </w:rPr>
        <w:fldChar w:fldCharType="begin"/>
      </w:r>
      <w:r w:rsidR="008652D9" w:rsidRPr="000B7BA9">
        <w:rPr>
          <w:szCs w:val="24"/>
        </w:rPr>
        <w:instrText xml:space="preserve"> REF _Ref50013720 \h </w:instrText>
      </w:r>
      <w:r w:rsidR="008652D9" w:rsidRPr="000B7BA9">
        <w:rPr>
          <w:szCs w:val="24"/>
        </w:rPr>
      </w:r>
      <w:r w:rsidR="000B7BA9" w:rsidRPr="000B7BA9">
        <w:rPr>
          <w:szCs w:val="24"/>
        </w:rPr>
        <w:instrText xml:space="preserve"> \* MERGEFORMAT </w:instrText>
      </w:r>
      <w:r w:rsidR="008652D9" w:rsidRPr="000B7BA9">
        <w:rPr>
          <w:szCs w:val="24"/>
        </w:rPr>
        <w:fldChar w:fldCharType="separate"/>
      </w:r>
      <w:r w:rsidR="00E84BE3" w:rsidRPr="000B7BA9">
        <w:rPr>
          <w:szCs w:val="24"/>
        </w:rPr>
        <w:t xml:space="preserve">Table </w:t>
      </w:r>
      <w:r w:rsidR="00E84BE3" w:rsidRPr="000B7BA9">
        <w:rPr>
          <w:noProof/>
          <w:szCs w:val="24"/>
        </w:rPr>
        <w:t>4</w:t>
      </w:r>
      <w:r w:rsidR="008652D9" w:rsidRPr="000B7BA9">
        <w:rPr>
          <w:szCs w:val="24"/>
        </w:rPr>
        <w:fldChar w:fldCharType="end"/>
      </w:r>
      <w:r>
        <w:t>).</w:t>
      </w:r>
    </w:p>
    <w:p w14:paraId="1E35CA43" w14:textId="6C656721" w:rsidR="00AE2D27" w:rsidRDefault="00AE2D27" w:rsidP="00B264C8">
      <w:pPr>
        <w:spacing w:before="240"/>
      </w:pPr>
      <w:r>
        <w:t>The DCAR noted that the randomised controlled trial (Gal 2017</w:t>
      </w:r>
      <w:r>
        <w:rPr>
          <w:rStyle w:val="FootnoteReference"/>
        </w:rPr>
        <w:footnoteReference w:id="4"/>
      </w:r>
      <w:r>
        <w:t>, n=9) and the comparative study (Klinger 2013</w:t>
      </w:r>
      <w:r>
        <w:rPr>
          <w:rStyle w:val="FootnoteReference"/>
        </w:rPr>
        <w:footnoteReference w:id="5"/>
      </w:r>
      <w:r>
        <w:t>, n=20) did not report any complications associated with either the donor or the AFG sites. The non-comparative studies (</w:t>
      </w:r>
      <w:proofErr w:type="spellStart"/>
      <w:r>
        <w:t>Fredman</w:t>
      </w:r>
      <w:proofErr w:type="spellEnd"/>
      <w:r>
        <w:t xml:space="preserve"> 2016</w:t>
      </w:r>
      <w:r>
        <w:rPr>
          <w:rStyle w:val="FootnoteReference"/>
        </w:rPr>
        <w:footnoteReference w:id="6"/>
      </w:r>
      <w:r>
        <w:t>, n=</w:t>
      </w:r>
      <w:proofErr w:type="gramStart"/>
      <w:r>
        <w:t>7</w:t>
      </w:r>
      <w:proofErr w:type="gramEnd"/>
      <w:r>
        <w:t>; La Padua 2018</w:t>
      </w:r>
      <w:r>
        <w:rPr>
          <w:rStyle w:val="FootnoteReference"/>
        </w:rPr>
        <w:footnoteReference w:id="7"/>
      </w:r>
      <w:r>
        <w:t>, n=24; Gargano 2018</w:t>
      </w:r>
      <w:r>
        <w:rPr>
          <w:rStyle w:val="FootnoteReference"/>
        </w:rPr>
        <w:footnoteReference w:id="8"/>
      </w:r>
      <w:r>
        <w:t>, n=12; Byrne 2016</w:t>
      </w:r>
      <w:r>
        <w:rPr>
          <w:rStyle w:val="FootnoteReference"/>
        </w:rPr>
        <w:footnoteReference w:id="9"/>
      </w:r>
      <w:r>
        <w:t xml:space="preserve">, n=13) reported incidences of small, asymptomatic donor-site </w:t>
      </w:r>
      <w:proofErr w:type="spellStart"/>
      <w:r>
        <w:t>seroma</w:t>
      </w:r>
      <w:proofErr w:type="spellEnd"/>
      <w:r>
        <w:t xml:space="preserve">, and minor events including pain, local oedema and “skin breakdown”. Patients in Byrne (2016) experienced no adverse </w:t>
      </w:r>
      <w:proofErr w:type="gramStart"/>
      <w:r>
        <w:t>events,</w:t>
      </w:r>
      <w:proofErr w:type="gramEnd"/>
      <w:r>
        <w:t xml:space="preserve"> however they were administered oral antibiotic therapy for five days postoperatively to prevent infection, due to previous reports of infection associated with AFG.</w:t>
      </w:r>
    </w:p>
    <w:p w14:paraId="7BDC6CEA" w14:textId="74A76AF6" w:rsidR="00AE2D27" w:rsidRDefault="00AE2D27" w:rsidP="00B264C8">
      <w:pPr>
        <w:spacing w:before="240"/>
      </w:pPr>
      <w:r>
        <w:t>The DCAR suggested, based on the above, that</w:t>
      </w:r>
      <w:r w:rsidRPr="00F267F6">
        <w:t xml:space="preserve"> AFG as </w:t>
      </w:r>
      <w:r>
        <w:t>a</w:t>
      </w:r>
      <w:r w:rsidRPr="00F267F6">
        <w:t xml:space="preserve"> separate procedure is relatively safe with a rare occurrence of serious complications, and a low risk of less serious complications such as haematoma and infection of the donor or recipient site. However, based on the limited </w:t>
      </w:r>
      <w:r>
        <w:t>number of small size studies</w:t>
      </w:r>
      <w:r w:rsidRPr="00F267F6">
        <w:t xml:space="preserve"> </w:t>
      </w:r>
      <w:r>
        <w:t>it appears</w:t>
      </w:r>
      <w:r w:rsidRPr="00F267F6">
        <w:t xml:space="preserve"> that AFG in combination with other procedure</w:t>
      </w:r>
      <w:r>
        <w:t>s</w:t>
      </w:r>
      <w:r w:rsidRPr="00F267F6">
        <w:t xml:space="preserve"> (a simultaneous </w:t>
      </w:r>
      <w:proofErr w:type="spellStart"/>
      <w:r w:rsidRPr="00F267F6">
        <w:t>rigottomy</w:t>
      </w:r>
      <w:proofErr w:type="spellEnd"/>
      <w:r w:rsidRPr="00F267F6">
        <w:t xml:space="preserve"> or a subsequent laser) may be a less safe procedure. This uncertainty could </w:t>
      </w:r>
      <w:r>
        <w:t>only be</w:t>
      </w:r>
      <w:r w:rsidRPr="00F267F6">
        <w:t xml:space="preserve"> resolved with larger size trials</w:t>
      </w:r>
      <w:r>
        <w:t>, if they were available</w:t>
      </w:r>
      <w:r w:rsidRPr="00F267F6">
        <w:t>.</w:t>
      </w:r>
    </w:p>
    <w:p w14:paraId="55EF77C8" w14:textId="77777777" w:rsidR="00AF15C1" w:rsidRDefault="00AE2D27" w:rsidP="00B264C8">
      <w:pPr>
        <w:spacing w:before="240"/>
        <w:sectPr w:rsidR="00AF15C1" w:rsidSect="00271F18">
          <w:footerReference w:type="default" r:id="rId23"/>
          <w:pgSz w:w="11906" w:h="16838"/>
          <w:pgMar w:top="1134" w:right="1440" w:bottom="426" w:left="1440" w:header="708" w:footer="708" w:gutter="0"/>
          <w:cols w:space="708"/>
          <w:docGrid w:linePitch="360"/>
        </w:sectPr>
      </w:pPr>
      <w:r>
        <w:t>The DCAR also noted that two systematic reviews (</w:t>
      </w:r>
      <w:proofErr w:type="spellStart"/>
      <w:r>
        <w:t>Riyat</w:t>
      </w:r>
      <w:proofErr w:type="spellEnd"/>
      <w:r>
        <w:t xml:space="preserve"> 2017</w:t>
      </w:r>
      <w:r>
        <w:rPr>
          <w:rStyle w:val="FootnoteReference"/>
        </w:rPr>
        <w:footnoteReference w:id="10"/>
      </w:r>
      <w:r>
        <w:t xml:space="preserve">, 23 studies; </w:t>
      </w:r>
      <w:proofErr w:type="spellStart"/>
      <w:r>
        <w:t>Negenborn</w:t>
      </w:r>
      <w:proofErr w:type="spellEnd"/>
      <w:r>
        <w:t xml:space="preserve"> 2016</w:t>
      </w:r>
      <w:r>
        <w:rPr>
          <w:rStyle w:val="FootnoteReference"/>
        </w:rPr>
        <w:footnoteReference w:id="11"/>
      </w:r>
      <w:r>
        <w:t>, 26 studies) of the use of AFG for the treatment of scars (not limited to burn scars) reported a complication rate (14/1222=1.15%). This number included postoperative haematoma and infection, as well as the need for further AFG sessions and surgical excision of scar tissue following unsuccessful treatment (</w:t>
      </w:r>
      <w:proofErr w:type="spellStart"/>
      <w:r>
        <w:t>Riyat</w:t>
      </w:r>
      <w:proofErr w:type="spellEnd"/>
      <w:r>
        <w:t xml:space="preserve"> 2017). Also included was </w:t>
      </w:r>
      <w:r w:rsidRPr="0010249E">
        <w:t xml:space="preserve">a small number of complications </w:t>
      </w:r>
      <w:r>
        <w:t>such as</w:t>
      </w:r>
      <w:r w:rsidRPr="0010249E">
        <w:t xml:space="preserve"> one case of</w:t>
      </w:r>
      <w:r>
        <w:t xml:space="preserve"> a superficial abdominal hematoma, which required percutaneous surgical drainage</w:t>
      </w:r>
      <w:proofErr w:type="gramStart"/>
      <w:r>
        <w:t>;</w:t>
      </w:r>
      <w:proofErr w:type="gramEnd"/>
      <w:r>
        <w:t xml:space="preserve"> four cases of infection, which were treated successfully with antibiotics and two cases of reactivation of herpes infection, which resolved in four days without leaving pigmented lesions (</w:t>
      </w:r>
      <w:proofErr w:type="spellStart"/>
      <w:r>
        <w:t>Negenborn</w:t>
      </w:r>
      <w:proofErr w:type="spellEnd"/>
      <w:r>
        <w:t xml:space="preserve"> 2016).</w:t>
      </w:r>
    </w:p>
    <w:p w14:paraId="68C359DE" w14:textId="082CB9C8" w:rsidR="00AF15C1" w:rsidRPr="00F3276D" w:rsidRDefault="00AF15C1" w:rsidP="00AF15C1">
      <w:pPr>
        <w:ind w:left="851"/>
        <w:rPr>
          <w:rFonts w:ascii="Arial Narrow" w:hAnsi="Arial Narrow"/>
          <w:b/>
          <w:sz w:val="20"/>
        </w:rPr>
      </w:pPr>
      <w:bookmarkStart w:id="11" w:name="_Ref50013720"/>
      <w:bookmarkStart w:id="12" w:name="_Toc30089910"/>
      <w:bookmarkStart w:id="13" w:name="_Toc39593670"/>
      <w:r w:rsidRPr="00F3276D">
        <w:rPr>
          <w:rFonts w:ascii="Arial Narrow" w:hAnsi="Arial Narrow"/>
          <w:b/>
          <w:sz w:val="20"/>
        </w:rPr>
        <w:lastRenderedPageBreak/>
        <w:t xml:space="preserve">Table </w:t>
      </w:r>
      <w:r w:rsidRPr="00F3276D">
        <w:rPr>
          <w:rFonts w:ascii="Arial Narrow" w:hAnsi="Arial Narrow"/>
          <w:b/>
          <w:sz w:val="20"/>
        </w:rPr>
        <w:fldChar w:fldCharType="begin"/>
      </w:r>
      <w:r w:rsidRPr="00F3276D">
        <w:rPr>
          <w:rFonts w:ascii="Arial Narrow" w:hAnsi="Arial Narrow"/>
          <w:b/>
          <w:sz w:val="20"/>
        </w:rPr>
        <w:instrText xml:space="preserve"> SEQ Table \* ARABIC </w:instrText>
      </w:r>
      <w:r w:rsidRPr="00F3276D">
        <w:rPr>
          <w:rFonts w:ascii="Arial Narrow" w:hAnsi="Arial Narrow"/>
          <w:b/>
          <w:sz w:val="20"/>
        </w:rPr>
        <w:fldChar w:fldCharType="separate"/>
      </w:r>
      <w:r w:rsidR="00E84BE3">
        <w:rPr>
          <w:rFonts w:ascii="Arial Narrow" w:hAnsi="Arial Narrow"/>
          <w:b/>
          <w:noProof/>
          <w:sz w:val="20"/>
        </w:rPr>
        <w:t>4</w:t>
      </w:r>
      <w:r w:rsidRPr="00F3276D">
        <w:rPr>
          <w:rFonts w:ascii="Arial Narrow" w:hAnsi="Arial Narrow"/>
          <w:b/>
          <w:sz w:val="20"/>
        </w:rPr>
        <w:fldChar w:fldCharType="end"/>
      </w:r>
      <w:bookmarkEnd w:id="11"/>
      <w:r w:rsidRPr="00F3276D">
        <w:rPr>
          <w:rFonts w:ascii="Arial Narrow" w:hAnsi="Arial Narrow"/>
          <w:b/>
          <w:sz w:val="20"/>
        </w:rPr>
        <w:t xml:space="preserve">  Summary of the evidence available for </w:t>
      </w:r>
      <w:bookmarkEnd w:id="12"/>
      <w:r w:rsidRPr="00F3276D">
        <w:rPr>
          <w:rFonts w:ascii="Arial Narrow" w:hAnsi="Arial Narrow"/>
          <w:b/>
          <w:sz w:val="20"/>
        </w:rPr>
        <w:t>Population 2 (burn scars)</w:t>
      </w:r>
      <w:bookmarkEnd w:id="13"/>
    </w:p>
    <w:tbl>
      <w:tblPr>
        <w:tblStyle w:val="TableGrid"/>
        <w:tblW w:w="14340" w:type="dxa"/>
        <w:tblInd w:w="846" w:type="dxa"/>
        <w:tblCellMar>
          <w:left w:w="28" w:type="dxa"/>
          <w:right w:w="28" w:type="dxa"/>
        </w:tblCellMar>
        <w:tblLook w:val="04A0" w:firstRow="1" w:lastRow="0" w:firstColumn="1" w:lastColumn="0" w:noHBand="0" w:noVBand="1"/>
        <w:tblCaption w:val="Table 16 Summary of the evidence available for Population 2 (burn scars)"/>
        <w:tblDescription w:val="Summary of the evidence available for Population 2 (burn scars)"/>
      </w:tblPr>
      <w:tblGrid>
        <w:gridCol w:w="1325"/>
        <w:gridCol w:w="1324"/>
        <w:gridCol w:w="1152"/>
        <w:gridCol w:w="2890"/>
        <w:gridCol w:w="1701"/>
        <w:gridCol w:w="1701"/>
        <w:gridCol w:w="1275"/>
        <w:gridCol w:w="2972"/>
      </w:tblGrid>
      <w:tr w:rsidR="00AF15C1" w:rsidRPr="00995D0A" w14:paraId="7FD78086" w14:textId="77777777" w:rsidTr="00AF15C1">
        <w:trPr>
          <w:tblHeader/>
        </w:trPr>
        <w:tc>
          <w:tcPr>
            <w:tcW w:w="1325" w:type="dxa"/>
            <w:tcBorders>
              <w:bottom w:val="single" w:sz="4" w:space="0" w:color="auto"/>
            </w:tcBorders>
            <w:shd w:val="clear" w:color="auto" w:fill="auto"/>
            <w:vAlign w:val="center"/>
          </w:tcPr>
          <w:p w14:paraId="295B956F" w14:textId="77777777" w:rsidR="00AF15C1" w:rsidRPr="00995D0A" w:rsidRDefault="00AF15C1" w:rsidP="00B5325B">
            <w:pPr>
              <w:spacing w:before="40" w:after="40"/>
              <w:rPr>
                <w:rFonts w:ascii="Arial Narrow" w:hAnsi="Arial Narrow"/>
                <w:b/>
                <w:sz w:val="20"/>
              </w:rPr>
            </w:pPr>
            <w:r w:rsidRPr="00995D0A">
              <w:rPr>
                <w:rFonts w:ascii="Arial Narrow" w:hAnsi="Arial Narrow"/>
                <w:b/>
                <w:sz w:val="20"/>
              </w:rPr>
              <w:t>Author</w:t>
            </w:r>
          </w:p>
        </w:tc>
        <w:tc>
          <w:tcPr>
            <w:tcW w:w="1324" w:type="dxa"/>
            <w:tcBorders>
              <w:bottom w:val="single" w:sz="4" w:space="0" w:color="auto"/>
            </w:tcBorders>
            <w:shd w:val="clear" w:color="auto" w:fill="auto"/>
            <w:vAlign w:val="center"/>
          </w:tcPr>
          <w:p w14:paraId="39807980" w14:textId="77777777" w:rsidR="00AF15C1" w:rsidRPr="00995D0A" w:rsidRDefault="00AF15C1" w:rsidP="00B5325B">
            <w:pPr>
              <w:spacing w:before="40" w:after="40"/>
              <w:jc w:val="center"/>
              <w:rPr>
                <w:rFonts w:ascii="Arial Narrow" w:hAnsi="Arial Narrow"/>
                <w:b/>
                <w:sz w:val="20"/>
              </w:rPr>
            </w:pPr>
            <w:r w:rsidRPr="00995D0A">
              <w:rPr>
                <w:rFonts w:ascii="Arial Narrow" w:hAnsi="Arial Narrow"/>
                <w:b/>
                <w:sz w:val="20"/>
              </w:rPr>
              <w:t>Design</w:t>
            </w:r>
          </w:p>
        </w:tc>
        <w:tc>
          <w:tcPr>
            <w:tcW w:w="1152" w:type="dxa"/>
            <w:tcBorders>
              <w:bottom w:val="single" w:sz="4" w:space="0" w:color="auto"/>
            </w:tcBorders>
            <w:shd w:val="clear" w:color="auto" w:fill="auto"/>
            <w:vAlign w:val="center"/>
          </w:tcPr>
          <w:p w14:paraId="10C1E37E" w14:textId="77777777" w:rsidR="00AF15C1" w:rsidRPr="00995D0A" w:rsidRDefault="00AF15C1" w:rsidP="00B5325B">
            <w:pPr>
              <w:spacing w:before="40" w:after="40"/>
              <w:jc w:val="center"/>
              <w:rPr>
                <w:rFonts w:ascii="Arial Narrow" w:hAnsi="Arial Narrow"/>
                <w:b/>
                <w:sz w:val="20"/>
                <w:vertAlign w:val="superscript"/>
              </w:rPr>
            </w:pPr>
            <w:r w:rsidRPr="00995D0A">
              <w:rPr>
                <w:rFonts w:ascii="Arial Narrow" w:hAnsi="Arial Narrow"/>
                <w:b/>
                <w:sz w:val="20"/>
              </w:rPr>
              <w:t>N patients</w:t>
            </w:r>
          </w:p>
        </w:tc>
        <w:tc>
          <w:tcPr>
            <w:tcW w:w="2890" w:type="dxa"/>
            <w:tcBorders>
              <w:bottom w:val="single" w:sz="4" w:space="0" w:color="auto"/>
            </w:tcBorders>
            <w:shd w:val="clear" w:color="auto" w:fill="auto"/>
          </w:tcPr>
          <w:p w14:paraId="794110E4" w14:textId="77777777" w:rsidR="00AF15C1" w:rsidRPr="00995D0A" w:rsidRDefault="00AF15C1" w:rsidP="00B5325B">
            <w:pPr>
              <w:spacing w:before="40" w:after="40"/>
              <w:jc w:val="center"/>
              <w:rPr>
                <w:rFonts w:ascii="Arial Narrow" w:hAnsi="Arial Narrow"/>
                <w:b/>
                <w:sz w:val="20"/>
              </w:rPr>
            </w:pPr>
            <w:r w:rsidRPr="00995D0A">
              <w:rPr>
                <w:rFonts w:ascii="Arial Narrow" w:hAnsi="Arial Narrow"/>
                <w:b/>
                <w:sz w:val="20"/>
              </w:rPr>
              <w:t>Population detail</w:t>
            </w:r>
          </w:p>
        </w:tc>
        <w:tc>
          <w:tcPr>
            <w:tcW w:w="1701" w:type="dxa"/>
            <w:tcBorders>
              <w:bottom w:val="single" w:sz="4" w:space="0" w:color="auto"/>
              <w:right w:val="single" w:sz="4" w:space="0" w:color="auto"/>
            </w:tcBorders>
            <w:shd w:val="clear" w:color="auto" w:fill="auto"/>
          </w:tcPr>
          <w:p w14:paraId="5031FCE7" w14:textId="77777777" w:rsidR="00AF15C1" w:rsidRPr="00995D0A" w:rsidRDefault="00AF15C1" w:rsidP="00B5325B">
            <w:pPr>
              <w:spacing w:before="40" w:after="40"/>
              <w:jc w:val="center"/>
              <w:rPr>
                <w:rFonts w:ascii="Arial Narrow" w:hAnsi="Arial Narrow"/>
                <w:b/>
                <w:sz w:val="20"/>
              </w:rPr>
            </w:pPr>
            <w:r w:rsidRPr="00995D0A">
              <w:rPr>
                <w:rFonts w:ascii="Arial Narrow" w:hAnsi="Arial Narrow"/>
                <w:b/>
                <w:sz w:val="20"/>
              </w:rPr>
              <w:t>Intervention group</w:t>
            </w:r>
          </w:p>
        </w:tc>
        <w:tc>
          <w:tcPr>
            <w:tcW w:w="1701" w:type="dxa"/>
            <w:tcBorders>
              <w:left w:val="single" w:sz="4" w:space="0" w:color="auto"/>
              <w:bottom w:val="single" w:sz="4" w:space="0" w:color="auto"/>
            </w:tcBorders>
            <w:shd w:val="clear" w:color="auto" w:fill="auto"/>
            <w:vAlign w:val="center"/>
          </w:tcPr>
          <w:p w14:paraId="28C01059" w14:textId="77777777" w:rsidR="00AF15C1" w:rsidRPr="00995D0A" w:rsidRDefault="00AF15C1" w:rsidP="00B5325B">
            <w:pPr>
              <w:spacing w:before="40" w:after="40"/>
              <w:jc w:val="center"/>
              <w:rPr>
                <w:rFonts w:ascii="Arial Narrow" w:hAnsi="Arial Narrow"/>
                <w:b/>
                <w:sz w:val="20"/>
              </w:rPr>
            </w:pPr>
            <w:r w:rsidRPr="00995D0A">
              <w:rPr>
                <w:rFonts w:ascii="Arial Narrow" w:hAnsi="Arial Narrow"/>
                <w:b/>
                <w:sz w:val="20"/>
              </w:rPr>
              <w:t>Comparator group</w:t>
            </w:r>
          </w:p>
        </w:tc>
        <w:tc>
          <w:tcPr>
            <w:tcW w:w="1275" w:type="dxa"/>
            <w:tcBorders>
              <w:bottom w:val="single" w:sz="4" w:space="0" w:color="auto"/>
            </w:tcBorders>
            <w:shd w:val="clear" w:color="auto" w:fill="auto"/>
            <w:vAlign w:val="center"/>
          </w:tcPr>
          <w:p w14:paraId="6B3FE56B" w14:textId="77777777" w:rsidR="00AF15C1" w:rsidRPr="00995D0A" w:rsidRDefault="00AF15C1" w:rsidP="00B5325B">
            <w:pPr>
              <w:spacing w:before="40" w:after="40"/>
              <w:jc w:val="center"/>
              <w:rPr>
                <w:rFonts w:ascii="Arial Narrow" w:hAnsi="Arial Narrow"/>
                <w:b/>
                <w:sz w:val="20"/>
                <w:vertAlign w:val="superscript"/>
              </w:rPr>
            </w:pPr>
            <w:r w:rsidRPr="00995D0A">
              <w:rPr>
                <w:rFonts w:ascii="Arial Narrow" w:hAnsi="Arial Narrow"/>
                <w:b/>
                <w:sz w:val="20"/>
              </w:rPr>
              <w:t xml:space="preserve">Risk of </w:t>
            </w:r>
            <w:proofErr w:type="spellStart"/>
            <w:r w:rsidRPr="00995D0A">
              <w:rPr>
                <w:rFonts w:ascii="Arial Narrow" w:hAnsi="Arial Narrow"/>
                <w:b/>
                <w:sz w:val="20"/>
              </w:rPr>
              <w:t>bias</w:t>
            </w:r>
            <w:r w:rsidRPr="00995D0A">
              <w:rPr>
                <w:rFonts w:ascii="Arial Narrow" w:hAnsi="Arial Narrow"/>
                <w:b/>
                <w:sz w:val="20"/>
                <w:vertAlign w:val="superscript"/>
              </w:rPr>
              <w:t>a</w:t>
            </w:r>
            <w:proofErr w:type="spellEnd"/>
          </w:p>
        </w:tc>
        <w:tc>
          <w:tcPr>
            <w:tcW w:w="2972" w:type="dxa"/>
            <w:tcBorders>
              <w:bottom w:val="single" w:sz="4" w:space="0" w:color="auto"/>
            </w:tcBorders>
            <w:shd w:val="clear" w:color="auto" w:fill="auto"/>
            <w:vAlign w:val="center"/>
          </w:tcPr>
          <w:p w14:paraId="0D5137D4" w14:textId="77777777" w:rsidR="00AF15C1" w:rsidRPr="00995D0A" w:rsidRDefault="00AF15C1" w:rsidP="00B5325B">
            <w:pPr>
              <w:spacing w:before="40" w:after="40"/>
              <w:jc w:val="center"/>
              <w:rPr>
                <w:rFonts w:ascii="Arial Narrow" w:hAnsi="Arial Narrow"/>
                <w:b/>
                <w:sz w:val="20"/>
                <w:vertAlign w:val="superscript"/>
              </w:rPr>
            </w:pPr>
            <w:r w:rsidRPr="00995D0A">
              <w:rPr>
                <w:rFonts w:ascii="Arial Narrow" w:hAnsi="Arial Narrow"/>
                <w:b/>
                <w:sz w:val="20"/>
              </w:rPr>
              <w:t>Outcomes</w:t>
            </w:r>
          </w:p>
        </w:tc>
      </w:tr>
      <w:tr w:rsidR="00AF15C1" w:rsidRPr="00995D0A" w14:paraId="0FD45B4B" w14:textId="77777777" w:rsidTr="00AF15C1">
        <w:tc>
          <w:tcPr>
            <w:tcW w:w="1325" w:type="dxa"/>
            <w:tcBorders>
              <w:top w:val="single" w:sz="4" w:space="0" w:color="auto"/>
              <w:bottom w:val="single" w:sz="4" w:space="0" w:color="auto"/>
              <w:right w:val="nil"/>
            </w:tcBorders>
            <w:shd w:val="clear" w:color="auto" w:fill="auto"/>
            <w:vAlign w:val="center"/>
          </w:tcPr>
          <w:p w14:paraId="096AA3F2" w14:textId="77777777" w:rsidR="00AF15C1" w:rsidRPr="00995D0A" w:rsidRDefault="00AF15C1" w:rsidP="00B5325B">
            <w:pPr>
              <w:pStyle w:val="Tabletext"/>
            </w:pPr>
            <w:r w:rsidRPr="00995D0A">
              <w:rPr>
                <w:b/>
              </w:rPr>
              <w:t>Controlled trials</w:t>
            </w:r>
          </w:p>
        </w:tc>
        <w:tc>
          <w:tcPr>
            <w:tcW w:w="1324" w:type="dxa"/>
            <w:tcBorders>
              <w:top w:val="single" w:sz="4" w:space="0" w:color="auto"/>
              <w:left w:val="nil"/>
              <w:bottom w:val="single" w:sz="4" w:space="0" w:color="auto"/>
              <w:right w:val="nil"/>
            </w:tcBorders>
            <w:shd w:val="clear" w:color="auto" w:fill="auto"/>
            <w:vAlign w:val="center"/>
          </w:tcPr>
          <w:p w14:paraId="5B2039C7" w14:textId="77777777" w:rsidR="00AF15C1" w:rsidRPr="00995D0A" w:rsidRDefault="00AF15C1" w:rsidP="00B5325B">
            <w:pPr>
              <w:spacing w:before="40" w:after="40"/>
              <w:jc w:val="center"/>
              <w:rPr>
                <w:rFonts w:ascii="Arial Narrow" w:hAnsi="Arial Narrow"/>
                <w:sz w:val="20"/>
              </w:rPr>
            </w:pPr>
          </w:p>
        </w:tc>
        <w:tc>
          <w:tcPr>
            <w:tcW w:w="1152" w:type="dxa"/>
            <w:tcBorders>
              <w:top w:val="single" w:sz="4" w:space="0" w:color="auto"/>
              <w:left w:val="nil"/>
              <w:bottom w:val="single" w:sz="4" w:space="0" w:color="auto"/>
              <w:right w:val="nil"/>
            </w:tcBorders>
            <w:shd w:val="clear" w:color="auto" w:fill="auto"/>
            <w:vAlign w:val="center"/>
          </w:tcPr>
          <w:p w14:paraId="7E557057" w14:textId="77777777" w:rsidR="00AF15C1" w:rsidRPr="00995D0A" w:rsidRDefault="00AF15C1" w:rsidP="00B5325B">
            <w:pPr>
              <w:spacing w:before="40" w:after="40"/>
              <w:jc w:val="center"/>
              <w:rPr>
                <w:rFonts w:ascii="Arial Narrow" w:hAnsi="Arial Narrow"/>
                <w:sz w:val="20"/>
              </w:rPr>
            </w:pPr>
          </w:p>
        </w:tc>
        <w:tc>
          <w:tcPr>
            <w:tcW w:w="2890" w:type="dxa"/>
            <w:tcBorders>
              <w:top w:val="single" w:sz="4" w:space="0" w:color="auto"/>
              <w:left w:val="nil"/>
              <w:bottom w:val="single" w:sz="4" w:space="0" w:color="auto"/>
              <w:right w:val="nil"/>
            </w:tcBorders>
            <w:shd w:val="clear" w:color="auto" w:fill="auto"/>
          </w:tcPr>
          <w:p w14:paraId="2EC3ACC6" w14:textId="77777777" w:rsidR="00AF15C1" w:rsidRPr="00995D0A" w:rsidRDefault="00AF15C1" w:rsidP="00B5325B">
            <w:pPr>
              <w:spacing w:before="40" w:after="40"/>
              <w:jc w:val="center"/>
              <w:rPr>
                <w:rFonts w:ascii="Arial Narrow" w:hAnsi="Arial Narrow"/>
                <w:sz w:val="20"/>
              </w:rPr>
            </w:pPr>
          </w:p>
        </w:tc>
        <w:tc>
          <w:tcPr>
            <w:tcW w:w="1701" w:type="dxa"/>
            <w:tcBorders>
              <w:top w:val="single" w:sz="4" w:space="0" w:color="auto"/>
              <w:left w:val="nil"/>
              <w:bottom w:val="single" w:sz="4" w:space="0" w:color="auto"/>
              <w:right w:val="nil"/>
            </w:tcBorders>
            <w:shd w:val="clear" w:color="auto" w:fill="auto"/>
          </w:tcPr>
          <w:p w14:paraId="23C7E273" w14:textId="77777777" w:rsidR="00AF15C1" w:rsidRPr="00995D0A" w:rsidRDefault="00AF15C1" w:rsidP="00B5325B">
            <w:pPr>
              <w:pStyle w:val="Tabletext"/>
            </w:pPr>
          </w:p>
        </w:tc>
        <w:tc>
          <w:tcPr>
            <w:tcW w:w="1701" w:type="dxa"/>
            <w:tcBorders>
              <w:top w:val="single" w:sz="4" w:space="0" w:color="auto"/>
              <w:left w:val="nil"/>
              <w:bottom w:val="single" w:sz="4" w:space="0" w:color="auto"/>
              <w:right w:val="nil"/>
            </w:tcBorders>
            <w:shd w:val="clear" w:color="auto" w:fill="auto"/>
          </w:tcPr>
          <w:p w14:paraId="46472A4C" w14:textId="77777777" w:rsidR="00AF15C1" w:rsidRPr="00995D0A" w:rsidRDefault="00AF15C1" w:rsidP="00B5325B">
            <w:pPr>
              <w:pStyle w:val="Tabletext"/>
            </w:pPr>
          </w:p>
        </w:tc>
        <w:tc>
          <w:tcPr>
            <w:tcW w:w="1275" w:type="dxa"/>
            <w:tcBorders>
              <w:top w:val="single" w:sz="4" w:space="0" w:color="auto"/>
              <w:left w:val="nil"/>
              <w:bottom w:val="single" w:sz="4" w:space="0" w:color="auto"/>
              <w:right w:val="nil"/>
            </w:tcBorders>
            <w:shd w:val="clear" w:color="auto" w:fill="auto"/>
            <w:vAlign w:val="center"/>
          </w:tcPr>
          <w:p w14:paraId="332E7B41" w14:textId="77777777" w:rsidR="00AF15C1" w:rsidRPr="00995D0A" w:rsidRDefault="00AF15C1" w:rsidP="00B5325B">
            <w:pPr>
              <w:spacing w:before="40" w:after="40"/>
              <w:jc w:val="center"/>
              <w:rPr>
                <w:rFonts w:ascii="Arial Narrow" w:hAnsi="Arial Narrow"/>
                <w:sz w:val="20"/>
              </w:rPr>
            </w:pPr>
          </w:p>
        </w:tc>
        <w:tc>
          <w:tcPr>
            <w:tcW w:w="2972" w:type="dxa"/>
            <w:tcBorders>
              <w:top w:val="single" w:sz="4" w:space="0" w:color="auto"/>
              <w:left w:val="nil"/>
              <w:bottom w:val="single" w:sz="4" w:space="0" w:color="auto"/>
            </w:tcBorders>
            <w:shd w:val="clear" w:color="auto" w:fill="auto"/>
          </w:tcPr>
          <w:p w14:paraId="193B37B2" w14:textId="77777777" w:rsidR="00AF15C1" w:rsidRPr="00995D0A" w:rsidRDefault="00AF15C1" w:rsidP="00B5325B">
            <w:pPr>
              <w:spacing w:before="40" w:after="40"/>
              <w:rPr>
                <w:rFonts w:ascii="Arial Narrow" w:hAnsi="Arial Narrow"/>
                <w:sz w:val="20"/>
              </w:rPr>
            </w:pPr>
          </w:p>
        </w:tc>
      </w:tr>
      <w:tr w:rsidR="00AF15C1" w:rsidRPr="00995D0A" w14:paraId="102FCE35" w14:textId="77777777" w:rsidTr="00AF15C1">
        <w:tc>
          <w:tcPr>
            <w:tcW w:w="1325" w:type="dxa"/>
            <w:tcBorders>
              <w:top w:val="single" w:sz="4" w:space="0" w:color="auto"/>
              <w:bottom w:val="single" w:sz="4" w:space="0" w:color="auto"/>
            </w:tcBorders>
            <w:shd w:val="clear" w:color="auto" w:fill="auto"/>
            <w:vAlign w:val="center"/>
          </w:tcPr>
          <w:p w14:paraId="60BF057D" w14:textId="77777777" w:rsidR="00AF15C1" w:rsidRPr="00995D0A" w:rsidRDefault="00AF15C1" w:rsidP="00B5325B">
            <w:pPr>
              <w:pStyle w:val="Tabletext"/>
            </w:pPr>
            <w:r w:rsidRPr="00995D0A">
              <w:t>Gal 2017</w:t>
            </w:r>
          </w:p>
        </w:tc>
        <w:tc>
          <w:tcPr>
            <w:tcW w:w="1324" w:type="dxa"/>
            <w:tcBorders>
              <w:top w:val="single" w:sz="4" w:space="0" w:color="auto"/>
              <w:bottom w:val="single" w:sz="4" w:space="0" w:color="auto"/>
            </w:tcBorders>
            <w:shd w:val="clear" w:color="auto" w:fill="auto"/>
            <w:vAlign w:val="center"/>
          </w:tcPr>
          <w:p w14:paraId="1B4283EC"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RCT, double-blind</w:t>
            </w:r>
          </w:p>
        </w:tc>
        <w:tc>
          <w:tcPr>
            <w:tcW w:w="1152" w:type="dxa"/>
            <w:tcBorders>
              <w:top w:val="single" w:sz="4" w:space="0" w:color="auto"/>
              <w:bottom w:val="single" w:sz="4" w:space="0" w:color="auto"/>
            </w:tcBorders>
            <w:shd w:val="clear" w:color="auto" w:fill="auto"/>
            <w:vAlign w:val="center"/>
          </w:tcPr>
          <w:p w14:paraId="61CBC3B5"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9</w:t>
            </w:r>
          </w:p>
        </w:tc>
        <w:tc>
          <w:tcPr>
            <w:tcW w:w="2890" w:type="dxa"/>
            <w:tcBorders>
              <w:top w:val="single" w:sz="4" w:space="0" w:color="auto"/>
              <w:bottom w:val="single" w:sz="4" w:space="0" w:color="auto"/>
            </w:tcBorders>
            <w:shd w:val="clear" w:color="auto" w:fill="auto"/>
            <w:vAlign w:val="center"/>
          </w:tcPr>
          <w:p w14:paraId="611FE1D3"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Paediatric burn survivors - children and young adults aged &lt;21 years (mean age 13 years) with mature homogenous burn scars of at least 10x5cm dimension suitable for apportioning into two areas.</w:t>
            </w:r>
          </w:p>
        </w:tc>
        <w:tc>
          <w:tcPr>
            <w:tcW w:w="1701" w:type="dxa"/>
            <w:tcBorders>
              <w:top w:val="single" w:sz="4" w:space="0" w:color="auto"/>
              <w:bottom w:val="single" w:sz="4" w:space="0" w:color="auto"/>
            </w:tcBorders>
            <w:shd w:val="clear" w:color="auto" w:fill="auto"/>
            <w:vAlign w:val="center"/>
          </w:tcPr>
          <w:p w14:paraId="1F274B26" w14:textId="77777777" w:rsidR="00AF15C1" w:rsidRPr="00995D0A" w:rsidRDefault="00AF15C1" w:rsidP="00B5325B">
            <w:pPr>
              <w:pStyle w:val="Tabletext"/>
              <w:jc w:val="center"/>
            </w:pPr>
            <w:proofErr w:type="gramStart"/>
            <w:r w:rsidRPr="00995D0A">
              <w:t>One half</w:t>
            </w:r>
            <w:proofErr w:type="gramEnd"/>
            <w:r w:rsidRPr="00995D0A">
              <w:t xml:space="preserve"> of the scar was injected with 5mL of AFG.</w:t>
            </w:r>
          </w:p>
        </w:tc>
        <w:tc>
          <w:tcPr>
            <w:tcW w:w="1701" w:type="dxa"/>
            <w:tcBorders>
              <w:top w:val="single" w:sz="4" w:space="0" w:color="auto"/>
              <w:bottom w:val="single" w:sz="4" w:space="0" w:color="auto"/>
            </w:tcBorders>
            <w:shd w:val="clear" w:color="auto" w:fill="auto"/>
            <w:vAlign w:val="center"/>
          </w:tcPr>
          <w:p w14:paraId="417AAF12" w14:textId="77777777" w:rsidR="00AF15C1" w:rsidRPr="00995D0A" w:rsidRDefault="00AF15C1" w:rsidP="00B5325B">
            <w:pPr>
              <w:pStyle w:val="Tabletext"/>
              <w:jc w:val="center"/>
            </w:pPr>
            <w:r w:rsidRPr="00995D0A">
              <w:t xml:space="preserve">The other half </w:t>
            </w:r>
            <w:proofErr w:type="gramStart"/>
            <w:r w:rsidRPr="00995D0A">
              <w:t>was injected</w:t>
            </w:r>
            <w:proofErr w:type="gramEnd"/>
            <w:r w:rsidRPr="00995D0A">
              <w:t xml:space="preserve"> with 5mL of saline solution.</w:t>
            </w:r>
          </w:p>
        </w:tc>
        <w:tc>
          <w:tcPr>
            <w:tcW w:w="1275" w:type="dxa"/>
            <w:tcBorders>
              <w:top w:val="single" w:sz="4" w:space="0" w:color="auto"/>
              <w:bottom w:val="single" w:sz="4" w:space="0" w:color="auto"/>
            </w:tcBorders>
            <w:shd w:val="clear" w:color="auto" w:fill="auto"/>
            <w:vAlign w:val="center"/>
          </w:tcPr>
          <w:p w14:paraId="1A9B1D35"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Medium-high</w:t>
            </w:r>
          </w:p>
        </w:tc>
        <w:tc>
          <w:tcPr>
            <w:tcW w:w="2972" w:type="dxa"/>
            <w:tcBorders>
              <w:top w:val="single" w:sz="4" w:space="0" w:color="auto"/>
              <w:bottom w:val="single" w:sz="4" w:space="0" w:color="auto"/>
            </w:tcBorders>
            <w:shd w:val="clear" w:color="auto" w:fill="auto"/>
            <w:vAlign w:val="center"/>
          </w:tcPr>
          <w:p w14:paraId="4BBC41A9" w14:textId="77777777" w:rsidR="00AF15C1" w:rsidRPr="00995D0A" w:rsidRDefault="00AF15C1" w:rsidP="00B5325B">
            <w:pPr>
              <w:spacing w:before="40" w:after="40"/>
              <w:rPr>
                <w:rFonts w:ascii="Arial Narrow" w:hAnsi="Arial Narrow"/>
                <w:sz w:val="20"/>
              </w:rPr>
            </w:pPr>
            <w:r w:rsidRPr="00995D0A">
              <w:rPr>
                <w:rFonts w:ascii="Arial Narrow" w:hAnsi="Arial Narrow"/>
                <w:sz w:val="20"/>
              </w:rPr>
              <w:t xml:space="preserve">VSS (no scores </w:t>
            </w:r>
            <w:proofErr w:type="gramStart"/>
            <w:r w:rsidRPr="00995D0A">
              <w:rPr>
                <w:rFonts w:ascii="Arial Narrow" w:hAnsi="Arial Narrow"/>
                <w:sz w:val="20"/>
              </w:rPr>
              <w:t>were reported</w:t>
            </w:r>
            <w:proofErr w:type="gramEnd"/>
            <w:r w:rsidRPr="00995D0A">
              <w:rPr>
                <w:rFonts w:ascii="Arial Narrow" w:hAnsi="Arial Narrow"/>
                <w:sz w:val="20"/>
              </w:rPr>
              <w:t>); subjective patient assessment of pigmentation, vascularity, pliability, height, “looks” and “feels”.</w:t>
            </w:r>
          </w:p>
        </w:tc>
      </w:tr>
      <w:tr w:rsidR="00AF15C1" w:rsidRPr="00995D0A" w14:paraId="1EEF191E" w14:textId="77777777" w:rsidTr="00AF15C1">
        <w:tc>
          <w:tcPr>
            <w:tcW w:w="1325" w:type="dxa"/>
            <w:tcBorders>
              <w:top w:val="single" w:sz="4" w:space="0" w:color="auto"/>
            </w:tcBorders>
            <w:shd w:val="clear" w:color="auto" w:fill="auto"/>
            <w:vAlign w:val="center"/>
          </w:tcPr>
          <w:p w14:paraId="15068A9E" w14:textId="77777777" w:rsidR="00AF15C1" w:rsidRPr="00995D0A" w:rsidRDefault="00AF15C1" w:rsidP="00B5325B">
            <w:pPr>
              <w:spacing w:before="40" w:after="40"/>
              <w:rPr>
                <w:rFonts w:ascii="Arial Narrow" w:hAnsi="Arial Narrow"/>
                <w:sz w:val="20"/>
              </w:rPr>
            </w:pPr>
            <w:r w:rsidRPr="00995D0A">
              <w:rPr>
                <w:rFonts w:ascii="Arial Narrow" w:hAnsi="Arial Narrow"/>
                <w:sz w:val="20"/>
              </w:rPr>
              <w:t>Klinger 2013</w:t>
            </w:r>
          </w:p>
        </w:tc>
        <w:tc>
          <w:tcPr>
            <w:tcW w:w="1324" w:type="dxa"/>
            <w:tcBorders>
              <w:top w:val="single" w:sz="4" w:space="0" w:color="auto"/>
            </w:tcBorders>
            <w:shd w:val="clear" w:color="auto" w:fill="auto"/>
            <w:vAlign w:val="center"/>
          </w:tcPr>
          <w:p w14:paraId="37008E30"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Non-randomised CT</w:t>
            </w:r>
          </w:p>
        </w:tc>
        <w:tc>
          <w:tcPr>
            <w:tcW w:w="1152" w:type="dxa"/>
            <w:tcBorders>
              <w:top w:val="single" w:sz="4" w:space="0" w:color="auto"/>
            </w:tcBorders>
            <w:shd w:val="clear" w:color="auto" w:fill="auto"/>
            <w:vAlign w:val="center"/>
          </w:tcPr>
          <w:p w14:paraId="2B5BA985"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20</w:t>
            </w:r>
          </w:p>
        </w:tc>
        <w:tc>
          <w:tcPr>
            <w:tcW w:w="2890" w:type="dxa"/>
            <w:tcBorders>
              <w:top w:val="single" w:sz="4" w:space="0" w:color="auto"/>
            </w:tcBorders>
            <w:shd w:val="clear" w:color="auto" w:fill="auto"/>
          </w:tcPr>
          <w:p w14:paraId="7683243C"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 xml:space="preserve">Patients aged ≥15 years with hypertrophic painful and retractile traumatic, surgical, and burn </w:t>
            </w:r>
            <w:proofErr w:type="spellStart"/>
            <w:r w:rsidRPr="00995D0A">
              <w:rPr>
                <w:rFonts w:ascii="Arial Narrow" w:hAnsi="Arial Narrow"/>
                <w:sz w:val="20"/>
              </w:rPr>
              <w:t>scars</w:t>
            </w:r>
            <w:r w:rsidRPr="00995D0A">
              <w:rPr>
                <w:rFonts w:ascii="Arial Narrow" w:hAnsi="Arial Narrow"/>
                <w:sz w:val="20"/>
                <w:vertAlign w:val="superscript"/>
              </w:rPr>
              <w:t>d</w:t>
            </w:r>
            <w:proofErr w:type="spellEnd"/>
            <w:r w:rsidRPr="00995D0A">
              <w:rPr>
                <w:rFonts w:ascii="Arial Narrow" w:hAnsi="Arial Narrow"/>
                <w:sz w:val="20"/>
              </w:rPr>
              <w:t xml:space="preserve"> affecting daily function, i.e. joint mobility. </w:t>
            </w:r>
          </w:p>
        </w:tc>
        <w:tc>
          <w:tcPr>
            <w:tcW w:w="1701" w:type="dxa"/>
            <w:tcBorders>
              <w:top w:val="single" w:sz="4" w:space="0" w:color="auto"/>
            </w:tcBorders>
            <w:shd w:val="clear" w:color="auto" w:fill="auto"/>
            <w:vAlign w:val="center"/>
          </w:tcPr>
          <w:p w14:paraId="20121898" w14:textId="77777777" w:rsidR="00AF15C1" w:rsidRPr="00995D0A" w:rsidRDefault="00AF15C1" w:rsidP="00B5325B">
            <w:pPr>
              <w:pStyle w:val="Tabletext"/>
              <w:jc w:val="center"/>
            </w:pPr>
            <w:proofErr w:type="gramStart"/>
            <w:r w:rsidRPr="00995D0A">
              <w:t>One half</w:t>
            </w:r>
            <w:proofErr w:type="gramEnd"/>
            <w:r w:rsidRPr="00995D0A">
              <w:t xml:space="preserve"> of the scar was treated with AFG.</w:t>
            </w:r>
          </w:p>
        </w:tc>
        <w:tc>
          <w:tcPr>
            <w:tcW w:w="1701" w:type="dxa"/>
            <w:tcBorders>
              <w:top w:val="single" w:sz="4" w:space="0" w:color="auto"/>
            </w:tcBorders>
            <w:shd w:val="clear" w:color="auto" w:fill="auto"/>
            <w:vAlign w:val="center"/>
          </w:tcPr>
          <w:p w14:paraId="7146505D" w14:textId="77777777" w:rsidR="00AF15C1" w:rsidRPr="00995D0A" w:rsidRDefault="00AF15C1" w:rsidP="00B5325B">
            <w:pPr>
              <w:pStyle w:val="Tabletext"/>
              <w:jc w:val="center"/>
            </w:pPr>
            <w:r w:rsidRPr="00995D0A">
              <w:t xml:space="preserve">The other half </w:t>
            </w:r>
            <w:proofErr w:type="gramStart"/>
            <w:r w:rsidRPr="00995D0A">
              <w:t>was infiltrated</w:t>
            </w:r>
            <w:proofErr w:type="gramEnd"/>
            <w:r w:rsidRPr="00995D0A">
              <w:t xml:space="preserve"> with saline solution.</w:t>
            </w:r>
          </w:p>
        </w:tc>
        <w:tc>
          <w:tcPr>
            <w:tcW w:w="1275" w:type="dxa"/>
            <w:tcBorders>
              <w:top w:val="single" w:sz="4" w:space="0" w:color="auto"/>
            </w:tcBorders>
            <w:shd w:val="clear" w:color="auto" w:fill="auto"/>
            <w:vAlign w:val="center"/>
          </w:tcPr>
          <w:p w14:paraId="3185F520"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High</w:t>
            </w:r>
          </w:p>
        </w:tc>
        <w:tc>
          <w:tcPr>
            <w:tcW w:w="2972" w:type="dxa"/>
            <w:tcBorders>
              <w:top w:val="single" w:sz="4" w:space="0" w:color="auto"/>
            </w:tcBorders>
            <w:shd w:val="clear" w:color="auto" w:fill="auto"/>
            <w:vAlign w:val="center"/>
          </w:tcPr>
          <w:p w14:paraId="7B19917B" w14:textId="77777777" w:rsidR="00AF15C1" w:rsidRPr="00995D0A" w:rsidRDefault="00AF15C1" w:rsidP="00B5325B">
            <w:pPr>
              <w:spacing w:before="40" w:after="40"/>
              <w:rPr>
                <w:rFonts w:ascii="Arial Narrow" w:hAnsi="Arial Narrow"/>
                <w:sz w:val="20"/>
              </w:rPr>
            </w:pPr>
            <w:r w:rsidRPr="00995D0A">
              <w:rPr>
                <w:rFonts w:ascii="Arial Narrow" w:hAnsi="Arial Narrow"/>
                <w:sz w:val="20"/>
              </w:rPr>
              <w:t xml:space="preserve">Objective test for hardness (functional deficit) </w:t>
            </w:r>
            <w:proofErr w:type="gramStart"/>
            <w:r w:rsidRPr="00995D0A">
              <w:rPr>
                <w:rFonts w:ascii="Arial Narrow" w:hAnsi="Arial Narrow"/>
                <w:sz w:val="20"/>
              </w:rPr>
              <w:t>was performed</w:t>
            </w:r>
            <w:proofErr w:type="gramEnd"/>
            <w:r w:rsidRPr="00995D0A">
              <w:rPr>
                <w:rFonts w:ascii="Arial Narrow" w:hAnsi="Arial Narrow"/>
                <w:sz w:val="20"/>
              </w:rPr>
              <w:t xml:space="preserve"> with a durometer. POSAS (patient and surgeon modules)</w:t>
            </w:r>
          </w:p>
        </w:tc>
      </w:tr>
      <w:tr w:rsidR="00AF15C1" w:rsidRPr="00995D0A" w14:paraId="745D7AE3" w14:textId="77777777" w:rsidTr="00AF15C1">
        <w:tc>
          <w:tcPr>
            <w:tcW w:w="14340" w:type="dxa"/>
            <w:gridSpan w:val="8"/>
            <w:tcBorders>
              <w:top w:val="single" w:sz="4" w:space="0" w:color="auto"/>
              <w:bottom w:val="double" w:sz="4" w:space="0" w:color="auto"/>
            </w:tcBorders>
            <w:shd w:val="clear" w:color="auto" w:fill="auto"/>
          </w:tcPr>
          <w:p w14:paraId="55A34A12" w14:textId="77777777" w:rsidR="00AF15C1" w:rsidRPr="00995D0A" w:rsidRDefault="00AF15C1" w:rsidP="00B5325B">
            <w:pPr>
              <w:spacing w:before="40" w:after="40"/>
              <w:rPr>
                <w:rFonts w:ascii="Arial Narrow" w:hAnsi="Arial Narrow"/>
                <w:b/>
                <w:sz w:val="20"/>
              </w:rPr>
            </w:pPr>
            <w:r w:rsidRPr="00995D0A">
              <w:rPr>
                <w:rFonts w:ascii="Arial Narrow" w:hAnsi="Arial Narrow"/>
                <w:b/>
                <w:sz w:val="20"/>
              </w:rPr>
              <w:t>Non-comparative studies to improve burn scar appearance, functionality and pain</w:t>
            </w:r>
          </w:p>
        </w:tc>
      </w:tr>
      <w:tr w:rsidR="00AF15C1" w:rsidRPr="00995D0A" w14:paraId="48A3E25B" w14:textId="77777777" w:rsidTr="00AF15C1">
        <w:tc>
          <w:tcPr>
            <w:tcW w:w="1325" w:type="dxa"/>
            <w:tcBorders>
              <w:top w:val="nil"/>
              <w:bottom w:val="single" w:sz="4" w:space="0" w:color="auto"/>
            </w:tcBorders>
            <w:shd w:val="clear" w:color="auto" w:fill="auto"/>
            <w:vAlign w:val="center"/>
          </w:tcPr>
          <w:p w14:paraId="41405B50" w14:textId="77777777" w:rsidR="00AF15C1" w:rsidRPr="00995D0A" w:rsidRDefault="00AF15C1" w:rsidP="00B5325B">
            <w:pPr>
              <w:spacing w:before="40" w:after="40"/>
              <w:rPr>
                <w:rFonts w:ascii="Arial Narrow" w:hAnsi="Arial Narrow"/>
                <w:sz w:val="20"/>
              </w:rPr>
            </w:pPr>
            <w:r w:rsidRPr="00995D0A">
              <w:rPr>
                <w:rFonts w:ascii="Arial Narrow" w:hAnsi="Arial Narrow"/>
                <w:sz w:val="20"/>
              </w:rPr>
              <w:t xml:space="preserve">Bruno 2013 </w:t>
            </w:r>
          </w:p>
        </w:tc>
        <w:tc>
          <w:tcPr>
            <w:tcW w:w="1324" w:type="dxa"/>
            <w:tcBorders>
              <w:top w:val="nil"/>
              <w:bottom w:val="single" w:sz="4" w:space="0" w:color="auto"/>
            </w:tcBorders>
            <w:shd w:val="clear" w:color="auto" w:fill="auto"/>
            <w:vAlign w:val="center"/>
          </w:tcPr>
          <w:p w14:paraId="5CFBE7D9" w14:textId="77777777" w:rsidR="00AF15C1" w:rsidRPr="00995D0A" w:rsidRDefault="00AF15C1" w:rsidP="00B5325B">
            <w:pPr>
              <w:spacing w:before="40" w:after="40"/>
              <w:jc w:val="center"/>
              <w:rPr>
                <w:rFonts w:ascii="Arial Narrow" w:hAnsi="Arial Narrow"/>
                <w:sz w:val="20"/>
              </w:rPr>
            </w:pPr>
            <w:r>
              <w:rPr>
                <w:rFonts w:ascii="Arial Narrow" w:hAnsi="Arial Narrow"/>
                <w:sz w:val="20"/>
              </w:rPr>
              <w:t xml:space="preserve">Case </w:t>
            </w:r>
            <w:proofErr w:type="spellStart"/>
            <w:r>
              <w:rPr>
                <w:rFonts w:ascii="Arial Narrow" w:hAnsi="Arial Narrow"/>
                <w:sz w:val="20"/>
              </w:rPr>
              <w:t>series</w:t>
            </w:r>
            <w:r w:rsidRPr="00995D0A">
              <w:rPr>
                <w:rFonts w:ascii="Arial Narrow" w:hAnsi="Arial Narrow"/>
                <w:sz w:val="20"/>
                <w:vertAlign w:val="superscript"/>
              </w:rPr>
              <w:t>b</w:t>
            </w:r>
            <w:proofErr w:type="spellEnd"/>
          </w:p>
        </w:tc>
        <w:tc>
          <w:tcPr>
            <w:tcW w:w="1152" w:type="dxa"/>
            <w:tcBorders>
              <w:top w:val="nil"/>
              <w:bottom w:val="single" w:sz="4" w:space="0" w:color="auto"/>
            </w:tcBorders>
            <w:shd w:val="clear" w:color="auto" w:fill="auto"/>
            <w:vAlign w:val="center"/>
          </w:tcPr>
          <w:p w14:paraId="46FA5D3A"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93</w:t>
            </w:r>
            <w:r w:rsidRPr="00995D0A">
              <w:rPr>
                <w:rFonts w:ascii="Arial Narrow" w:hAnsi="Arial Narrow"/>
                <w:b/>
                <w:sz w:val="20"/>
                <w:vertAlign w:val="superscript"/>
              </w:rPr>
              <w:t>c</w:t>
            </w:r>
          </w:p>
        </w:tc>
        <w:tc>
          <w:tcPr>
            <w:tcW w:w="2890" w:type="dxa"/>
            <w:tcBorders>
              <w:top w:val="nil"/>
              <w:bottom w:val="single" w:sz="4" w:space="0" w:color="auto"/>
            </w:tcBorders>
            <w:shd w:val="clear" w:color="auto" w:fill="auto"/>
            <w:vAlign w:val="center"/>
          </w:tcPr>
          <w:p w14:paraId="0DD75B68" w14:textId="77777777" w:rsidR="00AF15C1" w:rsidRPr="00995D0A" w:rsidRDefault="00AF15C1" w:rsidP="00B5325B">
            <w:pPr>
              <w:spacing w:before="40" w:after="40"/>
              <w:rPr>
                <w:rFonts w:ascii="Arial Narrow" w:hAnsi="Arial Narrow"/>
                <w:sz w:val="20"/>
              </w:rPr>
            </w:pPr>
            <w:r w:rsidRPr="00995D0A">
              <w:rPr>
                <w:rFonts w:ascii="Arial Narrow" w:hAnsi="Arial Narrow"/>
                <w:sz w:val="20"/>
              </w:rPr>
              <w:t xml:space="preserve">Patients </w:t>
            </w:r>
            <w:proofErr w:type="gramStart"/>
            <w:r w:rsidRPr="00995D0A">
              <w:rPr>
                <w:rFonts w:ascii="Arial Narrow" w:hAnsi="Arial Narrow"/>
                <w:sz w:val="20"/>
              </w:rPr>
              <w:t>with a homogenous burn scars</w:t>
            </w:r>
            <w:proofErr w:type="gramEnd"/>
            <w:r w:rsidRPr="00995D0A">
              <w:rPr>
                <w:rFonts w:ascii="Arial Narrow" w:hAnsi="Arial Narrow"/>
                <w:sz w:val="20"/>
              </w:rPr>
              <w:t xml:space="preserve"> of at least 200 cm</w:t>
            </w:r>
            <w:r w:rsidRPr="00995D0A">
              <w:rPr>
                <w:rFonts w:ascii="Arial Narrow" w:hAnsi="Arial Narrow"/>
                <w:sz w:val="20"/>
                <w:vertAlign w:val="superscript"/>
              </w:rPr>
              <w:t xml:space="preserve">2 </w:t>
            </w:r>
            <w:r w:rsidRPr="00995D0A">
              <w:rPr>
                <w:rFonts w:ascii="Arial Narrow" w:hAnsi="Arial Narrow"/>
                <w:sz w:val="20"/>
              </w:rPr>
              <w:t>suitable for apportioning into two areas.</w:t>
            </w:r>
          </w:p>
        </w:tc>
        <w:tc>
          <w:tcPr>
            <w:tcW w:w="1701" w:type="dxa"/>
            <w:tcBorders>
              <w:top w:val="nil"/>
              <w:bottom w:val="single" w:sz="4" w:space="0" w:color="auto"/>
            </w:tcBorders>
            <w:shd w:val="clear" w:color="auto" w:fill="auto"/>
            <w:vAlign w:val="center"/>
          </w:tcPr>
          <w:p w14:paraId="19DA5663" w14:textId="77777777" w:rsidR="00AF15C1" w:rsidRPr="00995D0A" w:rsidRDefault="00AF15C1" w:rsidP="00B5325B">
            <w:pPr>
              <w:spacing w:before="40" w:after="40"/>
              <w:rPr>
                <w:rFonts w:ascii="Arial Narrow" w:hAnsi="Arial Narrow"/>
                <w:sz w:val="20"/>
              </w:rPr>
            </w:pPr>
            <w:r w:rsidRPr="00803029">
              <w:rPr>
                <w:rFonts w:ascii="Arial Narrow" w:hAnsi="Arial Narrow"/>
                <w:sz w:val="20"/>
              </w:rPr>
              <w:t xml:space="preserve">Half of the scar area was treated with AFG performed through an </w:t>
            </w:r>
            <w:proofErr w:type="spellStart"/>
            <w:r w:rsidRPr="00803029">
              <w:rPr>
                <w:rFonts w:ascii="Arial Narrow" w:hAnsi="Arial Narrow"/>
                <w:sz w:val="20"/>
              </w:rPr>
              <w:t>intrascar</w:t>
            </w:r>
            <w:proofErr w:type="spellEnd"/>
            <w:r w:rsidRPr="00803029">
              <w:rPr>
                <w:rFonts w:ascii="Arial Narrow" w:hAnsi="Arial Narrow"/>
                <w:sz w:val="20"/>
              </w:rPr>
              <w:t xml:space="preserve"> infiltration</w:t>
            </w:r>
          </w:p>
        </w:tc>
        <w:tc>
          <w:tcPr>
            <w:tcW w:w="1701" w:type="dxa"/>
            <w:tcBorders>
              <w:top w:val="nil"/>
              <w:bottom w:val="single" w:sz="4" w:space="0" w:color="auto"/>
            </w:tcBorders>
            <w:shd w:val="clear" w:color="auto" w:fill="auto"/>
            <w:vAlign w:val="center"/>
          </w:tcPr>
          <w:p w14:paraId="6830D0E1" w14:textId="77777777" w:rsidR="00AF15C1" w:rsidRPr="00995D0A" w:rsidRDefault="00AF15C1" w:rsidP="00B5325B">
            <w:pPr>
              <w:spacing w:before="40" w:after="40"/>
              <w:rPr>
                <w:rFonts w:ascii="Arial Narrow" w:hAnsi="Arial Narrow"/>
                <w:sz w:val="20"/>
              </w:rPr>
            </w:pPr>
            <w:r w:rsidRPr="00803029">
              <w:rPr>
                <w:rFonts w:ascii="Arial Narrow" w:hAnsi="Arial Narrow"/>
                <w:sz w:val="20"/>
              </w:rPr>
              <w:t>The other half of the scar area remained untreated</w:t>
            </w:r>
          </w:p>
        </w:tc>
        <w:tc>
          <w:tcPr>
            <w:tcW w:w="1275" w:type="dxa"/>
            <w:tcBorders>
              <w:top w:val="double" w:sz="4" w:space="0" w:color="auto"/>
              <w:bottom w:val="single" w:sz="4" w:space="0" w:color="auto"/>
            </w:tcBorders>
            <w:shd w:val="clear" w:color="auto" w:fill="auto"/>
            <w:vAlign w:val="center"/>
          </w:tcPr>
          <w:p w14:paraId="33CA3B6E"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High</w:t>
            </w:r>
          </w:p>
        </w:tc>
        <w:tc>
          <w:tcPr>
            <w:tcW w:w="2972" w:type="dxa"/>
            <w:tcBorders>
              <w:top w:val="double" w:sz="4" w:space="0" w:color="auto"/>
              <w:bottom w:val="single" w:sz="4" w:space="0" w:color="auto"/>
            </w:tcBorders>
            <w:shd w:val="clear" w:color="auto" w:fill="auto"/>
          </w:tcPr>
          <w:p w14:paraId="7056AFD1" w14:textId="77777777" w:rsidR="00AF15C1" w:rsidRPr="00995D0A" w:rsidRDefault="00AF15C1" w:rsidP="00B5325B">
            <w:pPr>
              <w:spacing w:before="40" w:after="40"/>
              <w:rPr>
                <w:rFonts w:ascii="Arial Narrow" w:hAnsi="Arial Narrow"/>
                <w:i/>
                <w:sz w:val="20"/>
              </w:rPr>
            </w:pPr>
            <w:r w:rsidRPr="00995D0A">
              <w:rPr>
                <w:rFonts w:ascii="Arial Narrow" w:hAnsi="Arial Narrow"/>
                <w:sz w:val="20"/>
              </w:rPr>
              <w:t xml:space="preserve">Objective histologic and immuno-histochemical measurements. VSS; NRS for subjective patient assessment. Results for the comparator site </w:t>
            </w:r>
            <w:proofErr w:type="gramStart"/>
            <w:r w:rsidRPr="00995D0A">
              <w:rPr>
                <w:rFonts w:ascii="Arial Narrow" w:hAnsi="Arial Narrow"/>
                <w:sz w:val="20"/>
              </w:rPr>
              <w:t>were not reported</w:t>
            </w:r>
            <w:proofErr w:type="gramEnd"/>
            <w:r w:rsidRPr="00995D0A">
              <w:rPr>
                <w:rFonts w:ascii="Arial Narrow" w:hAnsi="Arial Narrow"/>
                <w:sz w:val="20"/>
              </w:rPr>
              <w:t xml:space="preserve">.  </w:t>
            </w:r>
          </w:p>
        </w:tc>
      </w:tr>
      <w:tr w:rsidR="00AF15C1" w:rsidRPr="00995D0A" w14:paraId="02510BCC" w14:textId="77777777" w:rsidTr="00AF15C1">
        <w:tc>
          <w:tcPr>
            <w:tcW w:w="1325" w:type="dxa"/>
            <w:tcBorders>
              <w:top w:val="nil"/>
              <w:bottom w:val="single" w:sz="4" w:space="0" w:color="auto"/>
            </w:tcBorders>
            <w:shd w:val="clear" w:color="auto" w:fill="auto"/>
            <w:vAlign w:val="center"/>
          </w:tcPr>
          <w:p w14:paraId="522F9998" w14:textId="77777777" w:rsidR="00AF15C1" w:rsidRPr="00995D0A" w:rsidRDefault="00AF15C1" w:rsidP="00B5325B">
            <w:pPr>
              <w:spacing w:before="40" w:after="40"/>
              <w:rPr>
                <w:rFonts w:ascii="Arial Narrow" w:hAnsi="Arial Narrow"/>
                <w:sz w:val="20"/>
              </w:rPr>
            </w:pPr>
            <w:r w:rsidRPr="00995D0A">
              <w:rPr>
                <w:rFonts w:ascii="Arial Narrow" w:hAnsi="Arial Narrow"/>
                <w:sz w:val="20"/>
              </w:rPr>
              <w:t>Xu 2018</w:t>
            </w:r>
          </w:p>
        </w:tc>
        <w:tc>
          <w:tcPr>
            <w:tcW w:w="1324" w:type="dxa"/>
            <w:tcBorders>
              <w:top w:val="nil"/>
              <w:bottom w:val="single" w:sz="4" w:space="0" w:color="auto"/>
            </w:tcBorders>
            <w:shd w:val="clear" w:color="auto" w:fill="auto"/>
            <w:vAlign w:val="center"/>
          </w:tcPr>
          <w:p w14:paraId="07244293"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Case series</w:t>
            </w:r>
          </w:p>
        </w:tc>
        <w:tc>
          <w:tcPr>
            <w:tcW w:w="1152" w:type="dxa"/>
            <w:tcBorders>
              <w:top w:val="nil"/>
              <w:bottom w:val="single" w:sz="4" w:space="0" w:color="auto"/>
            </w:tcBorders>
            <w:shd w:val="clear" w:color="auto" w:fill="auto"/>
            <w:vAlign w:val="center"/>
          </w:tcPr>
          <w:p w14:paraId="151AB987"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80</w:t>
            </w:r>
          </w:p>
        </w:tc>
        <w:tc>
          <w:tcPr>
            <w:tcW w:w="2890" w:type="dxa"/>
            <w:tcBorders>
              <w:top w:val="nil"/>
              <w:bottom w:val="single" w:sz="4" w:space="0" w:color="auto"/>
            </w:tcBorders>
            <w:shd w:val="clear" w:color="auto" w:fill="auto"/>
            <w:vAlign w:val="center"/>
          </w:tcPr>
          <w:p w14:paraId="3D4C2564"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Patients with hypertrophic scars resulting from severe burns received more than 1 year previously.</w:t>
            </w:r>
          </w:p>
        </w:tc>
        <w:tc>
          <w:tcPr>
            <w:tcW w:w="1701" w:type="dxa"/>
            <w:tcBorders>
              <w:top w:val="nil"/>
              <w:bottom w:val="single" w:sz="4" w:space="0" w:color="auto"/>
            </w:tcBorders>
            <w:shd w:val="clear" w:color="auto" w:fill="auto"/>
            <w:vAlign w:val="center"/>
          </w:tcPr>
          <w:p w14:paraId="2D4353C2" w14:textId="77777777" w:rsidR="00AF15C1" w:rsidRPr="00995D0A" w:rsidRDefault="00AF15C1" w:rsidP="00B5325B">
            <w:pPr>
              <w:spacing w:before="40" w:after="40"/>
              <w:jc w:val="center"/>
              <w:rPr>
                <w:rFonts w:ascii="Arial Narrow" w:hAnsi="Arial Narrow"/>
                <w:b/>
                <w:sz w:val="20"/>
              </w:rPr>
            </w:pPr>
            <w:r w:rsidRPr="00995D0A">
              <w:rPr>
                <w:rFonts w:ascii="Arial Narrow" w:hAnsi="Arial Narrow"/>
                <w:sz w:val="20"/>
              </w:rPr>
              <w:t xml:space="preserve">Autologous fat converted into </w:t>
            </w:r>
            <w:proofErr w:type="spellStart"/>
            <w:r w:rsidRPr="00995D0A">
              <w:rPr>
                <w:rFonts w:ascii="Arial Narrow" w:hAnsi="Arial Narrow"/>
                <w:sz w:val="20"/>
              </w:rPr>
              <w:t>chyle</w:t>
            </w:r>
            <w:proofErr w:type="spellEnd"/>
            <w:r w:rsidRPr="00995D0A">
              <w:rPr>
                <w:rFonts w:ascii="Arial Narrow" w:hAnsi="Arial Narrow"/>
                <w:sz w:val="20"/>
              </w:rPr>
              <w:t xml:space="preserve"> fat, 3 separate treatment with </w:t>
            </w:r>
            <w:proofErr w:type="gramStart"/>
            <w:r w:rsidRPr="00995D0A">
              <w:rPr>
                <w:rFonts w:ascii="Arial Narrow" w:hAnsi="Arial Narrow"/>
                <w:sz w:val="20"/>
              </w:rPr>
              <w:t>3 month</w:t>
            </w:r>
            <w:proofErr w:type="gramEnd"/>
            <w:r w:rsidRPr="00995D0A">
              <w:rPr>
                <w:rFonts w:ascii="Arial Narrow" w:hAnsi="Arial Narrow"/>
                <w:sz w:val="20"/>
              </w:rPr>
              <w:t xml:space="preserve"> intervals.</w:t>
            </w:r>
          </w:p>
        </w:tc>
        <w:tc>
          <w:tcPr>
            <w:tcW w:w="1701" w:type="dxa"/>
            <w:tcBorders>
              <w:top w:val="nil"/>
              <w:bottom w:val="single" w:sz="4" w:space="0" w:color="auto"/>
            </w:tcBorders>
            <w:shd w:val="clear" w:color="auto" w:fill="auto"/>
            <w:vAlign w:val="center"/>
          </w:tcPr>
          <w:p w14:paraId="0AF0F892"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Not applicable, assumed “do nothing”.</w:t>
            </w:r>
          </w:p>
        </w:tc>
        <w:tc>
          <w:tcPr>
            <w:tcW w:w="1275" w:type="dxa"/>
            <w:tcBorders>
              <w:top w:val="double" w:sz="4" w:space="0" w:color="auto"/>
              <w:bottom w:val="single" w:sz="4" w:space="0" w:color="auto"/>
            </w:tcBorders>
            <w:shd w:val="clear" w:color="auto" w:fill="auto"/>
            <w:vAlign w:val="center"/>
          </w:tcPr>
          <w:p w14:paraId="597CAA44"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High</w:t>
            </w:r>
          </w:p>
        </w:tc>
        <w:tc>
          <w:tcPr>
            <w:tcW w:w="2972" w:type="dxa"/>
            <w:tcBorders>
              <w:top w:val="double" w:sz="4" w:space="0" w:color="auto"/>
              <w:bottom w:val="single" w:sz="4" w:space="0" w:color="auto"/>
            </w:tcBorders>
            <w:shd w:val="clear" w:color="auto" w:fill="auto"/>
            <w:vAlign w:val="center"/>
          </w:tcPr>
          <w:p w14:paraId="1E9CD982" w14:textId="77777777" w:rsidR="00AF15C1" w:rsidRPr="00995D0A" w:rsidRDefault="00AF15C1" w:rsidP="00B5325B">
            <w:pPr>
              <w:spacing w:before="40" w:after="40"/>
              <w:rPr>
                <w:rFonts w:ascii="Arial Narrow" w:hAnsi="Arial Narrow"/>
                <w:sz w:val="20"/>
              </w:rPr>
            </w:pPr>
            <w:r w:rsidRPr="00995D0A">
              <w:rPr>
                <w:rFonts w:ascii="Arial Narrow" w:hAnsi="Arial Narrow"/>
                <w:i/>
                <w:sz w:val="20"/>
              </w:rPr>
              <w:t>Ad hoc</w:t>
            </w:r>
            <w:r w:rsidRPr="00995D0A">
              <w:rPr>
                <w:rFonts w:ascii="Arial Narrow" w:hAnsi="Arial Narrow"/>
                <w:sz w:val="20"/>
              </w:rPr>
              <w:t xml:space="preserve"> quantitative assessment of scar “shrinkage” combined with the qualitative assessment of its texture, softness and colour. </w:t>
            </w:r>
          </w:p>
        </w:tc>
      </w:tr>
      <w:tr w:rsidR="00AF15C1" w:rsidRPr="00995D0A" w14:paraId="2BAB2EA1" w14:textId="77777777" w:rsidTr="00AF15C1">
        <w:tc>
          <w:tcPr>
            <w:tcW w:w="1325" w:type="dxa"/>
            <w:tcBorders>
              <w:top w:val="single" w:sz="4" w:space="0" w:color="auto"/>
              <w:bottom w:val="single" w:sz="4" w:space="0" w:color="auto"/>
            </w:tcBorders>
            <w:shd w:val="clear" w:color="auto" w:fill="auto"/>
            <w:vAlign w:val="center"/>
          </w:tcPr>
          <w:p w14:paraId="7A3E5418" w14:textId="77777777" w:rsidR="00AF15C1" w:rsidRPr="00995D0A" w:rsidRDefault="00AF15C1" w:rsidP="00B5325B">
            <w:pPr>
              <w:pStyle w:val="Tabletext"/>
            </w:pPr>
            <w:r w:rsidRPr="00995D0A">
              <w:t>Byrne 2016</w:t>
            </w:r>
          </w:p>
        </w:tc>
        <w:tc>
          <w:tcPr>
            <w:tcW w:w="1324" w:type="dxa"/>
            <w:tcBorders>
              <w:top w:val="single" w:sz="4" w:space="0" w:color="auto"/>
              <w:bottom w:val="single" w:sz="4" w:space="0" w:color="auto"/>
            </w:tcBorders>
            <w:shd w:val="clear" w:color="auto" w:fill="auto"/>
            <w:vAlign w:val="center"/>
          </w:tcPr>
          <w:p w14:paraId="442D0565"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Case series</w:t>
            </w:r>
          </w:p>
        </w:tc>
        <w:tc>
          <w:tcPr>
            <w:tcW w:w="1152" w:type="dxa"/>
            <w:tcBorders>
              <w:top w:val="single" w:sz="4" w:space="0" w:color="auto"/>
              <w:bottom w:val="single" w:sz="4" w:space="0" w:color="auto"/>
            </w:tcBorders>
            <w:shd w:val="clear" w:color="auto" w:fill="auto"/>
            <w:vAlign w:val="center"/>
          </w:tcPr>
          <w:p w14:paraId="0E34DB05"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13</w:t>
            </w:r>
          </w:p>
        </w:tc>
        <w:tc>
          <w:tcPr>
            <w:tcW w:w="2890" w:type="dxa"/>
            <w:tcBorders>
              <w:top w:val="single" w:sz="4" w:space="0" w:color="auto"/>
              <w:bottom w:val="single" w:sz="4" w:space="0" w:color="auto"/>
            </w:tcBorders>
            <w:shd w:val="clear" w:color="auto" w:fill="auto"/>
            <w:vAlign w:val="center"/>
          </w:tcPr>
          <w:p w14:paraId="1CC314CD"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Patient with burn scars that reduce range of motion of hand.</w:t>
            </w:r>
          </w:p>
        </w:tc>
        <w:tc>
          <w:tcPr>
            <w:tcW w:w="1701" w:type="dxa"/>
            <w:tcBorders>
              <w:top w:val="single" w:sz="4" w:space="0" w:color="auto"/>
              <w:bottom w:val="single" w:sz="4" w:space="0" w:color="auto"/>
            </w:tcBorders>
            <w:shd w:val="clear" w:color="auto" w:fill="auto"/>
            <w:vAlign w:val="center"/>
          </w:tcPr>
          <w:p w14:paraId="0301C8FA"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AFG (a single session).</w:t>
            </w:r>
          </w:p>
        </w:tc>
        <w:tc>
          <w:tcPr>
            <w:tcW w:w="1701" w:type="dxa"/>
            <w:tcBorders>
              <w:top w:val="single" w:sz="4" w:space="0" w:color="auto"/>
              <w:bottom w:val="single" w:sz="4" w:space="0" w:color="auto"/>
            </w:tcBorders>
            <w:shd w:val="clear" w:color="auto" w:fill="auto"/>
            <w:vAlign w:val="center"/>
          </w:tcPr>
          <w:p w14:paraId="7687E3C0"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Not applicable, assumed “do nothing”.</w:t>
            </w:r>
          </w:p>
        </w:tc>
        <w:tc>
          <w:tcPr>
            <w:tcW w:w="1275" w:type="dxa"/>
            <w:tcBorders>
              <w:top w:val="single" w:sz="4" w:space="0" w:color="auto"/>
              <w:bottom w:val="single" w:sz="4" w:space="0" w:color="auto"/>
            </w:tcBorders>
            <w:shd w:val="clear" w:color="auto" w:fill="auto"/>
            <w:vAlign w:val="center"/>
          </w:tcPr>
          <w:p w14:paraId="56394126"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High.</w:t>
            </w:r>
          </w:p>
        </w:tc>
        <w:tc>
          <w:tcPr>
            <w:tcW w:w="2972" w:type="dxa"/>
            <w:tcBorders>
              <w:top w:val="single" w:sz="4" w:space="0" w:color="auto"/>
              <w:bottom w:val="single" w:sz="4" w:space="0" w:color="auto"/>
            </w:tcBorders>
            <w:shd w:val="clear" w:color="auto" w:fill="auto"/>
          </w:tcPr>
          <w:p w14:paraId="6D853E12" w14:textId="77777777" w:rsidR="00AF15C1" w:rsidRPr="00995D0A" w:rsidRDefault="00AF15C1" w:rsidP="00B5325B">
            <w:pPr>
              <w:spacing w:before="40" w:after="40"/>
              <w:rPr>
                <w:rFonts w:ascii="Arial Narrow" w:hAnsi="Arial Narrow"/>
                <w:sz w:val="20"/>
              </w:rPr>
            </w:pPr>
            <w:r w:rsidRPr="00995D0A">
              <w:rPr>
                <w:rFonts w:ascii="Arial Narrow" w:hAnsi="Arial Narrow"/>
                <w:sz w:val="20"/>
              </w:rPr>
              <w:t xml:space="preserve">Hand function </w:t>
            </w:r>
            <w:proofErr w:type="gramStart"/>
            <w:r w:rsidRPr="00995D0A">
              <w:rPr>
                <w:rFonts w:ascii="Arial Narrow" w:hAnsi="Arial Narrow"/>
                <w:sz w:val="20"/>
              </w:rPr>
              <w:t>was measured</w:t>
            </w:r>
            <w:proofErr w:type="gramEnd"/>
            <w:r w:rsidRPr="00995D0A">
              <w:rPr>
                <w:rFonts w:ascii="Arial Narrow" w:hAnsi="Arial Narrow"/>
                <w:sz w:val="20"/>
              </w:rPr>
              <w:t xml:space="preserve"> with grip strength, TAM, DASH and MHQ. Patients’ satisfaction </w:t>
            </w:r>
            <w:proofErr w:type="gramStart"/>
            <w:r w:rsidRPr="00995D0A">
              <w:rPr>
                <w:rFonts w:ascii="Arial Narrow" w:hAnsi="Arial Narrow"/>
                <w:sz w:val="20"/>
              </w:rPr>
              <w:t>was assessed</w:t>
            </w:r>
            <w:proofErr w:type="gramEnd"/>
            <w:r w:rsidRPr="00995D0A">
              <w:rPr>
                <w:rFonts w:ascii="Arial Narrow" w:hAnsi="Arial Narrow"/>
                <w:sz w:val="20"/>
              </w:rPr>
              <w:t xml:space="preserve"> with POSAS.</w:t>
            </w:r>
          </w:p>
        </w:tc>
      </w:tr>
      <w:tr w:rsidR="00AF15C1" w:rsidRPr="00995D0A" w14:paraId="569707EB" w14:textId="77777777" w:rsidTr="00AF15C1">
        <w:tc>
          <w:tcPr>
            <w:tcW w:w="1325" w:type="dxa"/>
            <w:tcBorders>
              <w:top w:val="single" w:sz="4" w:space="0" w:color="auto"/>
              <w:bottom w:val="single" w:sz="4" w:space="0" w:color="auto"/>
            </w:tcBorders>
            <w:shd w:val="clear" w:color="auto" w:fill="auto"/>
            <w:vAlign w:val="center"/>
          </w:tcPr>
          <w:p w14:paraId="61289427" w14:textId="77777777" w:rsidR="00AF15C1" w:rsidRPr="00995D0A" w:rsidRDefault="00AF15C1" w:rsidP="00B5325B">
            <w:pPr>
              <w:spacing w:before="40" w:after="40"/>
              <w:rPr>
                <w:rFonts w:ascii="Arial Narrow" w:hAnsi="Arial Narrow"/>
                <w:sz w:val="20"/>
              </w:rPr>
            </w:pPr>
            <w:proofErr w:type="spellStart"/>
            <w:r w:rsidRPr="00995D0A">
              <w:rPr>
                <w:rFonts w:ascii="Arial Narrow" w:hAnsi="Arial Narrow"/>
                <w:sz w:val="20"/>
              </w:rPr>
              <w:t>Fredman</w:t>
            </w:r>
            <w:proofErr w:type="spellEnd"/>
            <w:r w:rsidRPr="00995D0A">
              <w:rPr>
                <w:rFonts w:ascii="Arial Narrow" w:hAnsi="Arial Narrow"/>
                <w:sz w:val="20"/>
              </w:rPr>
              <w:t xml:space="preserve"> 2016</w:t>
            </w:r>
          </w:p>
        </w:tc>
        <w:tc>
          <w:tcPr>
            <w:tcW w:w="1324" w:type="dxa"/>
            <w:tcBorders>
              <w:top w:val="single" w:sz="4" w:space="0" w:color="auto"/>
              <w:bottom w:val="single" w:sz="4" w:space="0" w:color="auto"/>
            </w:tcBorders>
            <w:shd w:val="clear" w:color="auto" w:fill="auto"/>
            <w:vAlign w:val="center"/>
          </w:tcPr>
          <w:p w14:paraId="6CC888D0"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Case series</w:t>
            </w:r>
          </w:p>
        </w:tc>
        <w:tc>
          <w:tcPr>
            <w:tcW w:w="1152" w:type="dxa"/>
            <w:tcBorders>
              <w:top w:val="single" w:sz="4" w:space="0" w:color="auto"/>
              <w:bottom w:val="single" w:sz="4" w:space="0" w:color="auto"/>
            </w:tcBorders>
            <w:shd w:val="clear" w:color="auto" w:fill="auto"/>
            <w:vAlign w:val="center"/>
          </w:tcPr>
          <w:p w14:paraId="64357BF0"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7</w:t>
            </w:r>
          </w:p>
        </w:tc>
        <w:tc>
          <w:tcPr>
            <w:tcW w:w="2890" w:type="dxa"/>
            <w:tcBorders>
              <w:top w:val="single" w:sz="4" w:space="0" w:color="auto"/>
              <w:bottom w:val="single" w:sz="4" w:space="0" w:color="auto"/>
            </w:tcBorders>
            <w:shd w:val="clear" w:color="auto" w:fill="auto"/>
            <w:vAlign w:val="center"/>
          </w:tcPr>
          <w:p w14:paraId="72E08113" w14:textId="77777777" w:rsidR="00AF15C1" w:rsidRPr="00995D0A" w:rsidRDefault="00AF15C1" w:rsidP="00B5325B">
            <w:pPr>
              <w:spacing w:before="40" w:after="240"/>
              <w:jc w:val="center"/>
              <w:rPr>
                <w:rFonts w:ascii="Arial Narrow" w:hAnsi="Arial Narrow"/>
                <w:sz w:val="20"/>
              </w:rPr>
            </w:pPr>
            <w:r w:rsidRPr="00995D0A">
              <w:rPr>
                <w:rFonts w:ascii="Arial Narrow" w:hAnsi="Arial Narrow"/>
                <w:sz w:val="20"/>
              </w:rPr>
              <w:t>Patient with chronic, refractory neuropathic pain, who failed conventional therapy, which included pharmacologic, medical, and laser treatment of the burn scars.</w:t>
            </w:r>
          </w:p>
        </w:tc>
        <w:tc>
          <w:tcPr>
            <w:tcW w:w="1701" w:type="dxa"/>
            <w:tcBorders>
              <w:top w:val="single" w:sz="4" w:space="0" w:color="auto"/>
              <w:bottom w:val="single" w:sz="4" w:space="0" w:color="auto"/>
            </w:tcBorders>
            <w:shd w:val="clear" w:color="auto" w:fill="auto"/>
            <w:vAlign w:val="center"/>
          </w:tcPr>
          <w:p w14:paraId="29C49C68"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2 sessions of AFG, spaced 2 months apart.</w:t>
            </w:r>
          </w:p>
        </w:tc>
        <w:tc>
          <w:tcPr>
            <w:tcW w:w="1701" w:type="dxa"/>
            <w:tcBorders>
              <w:top w:val="single" w:sz="4" w:space="0" w:color="auto"/>
              <w:bottom w:val="single" w:sz="4" w:space="0" w:color="auto"/>
            </w:tcBorders>
            <w:shd w:val="clear" w:color="auto" w:fill="auto"/>
            <w:vAlign w:val="center"/>
          </w:tcPr>
          <w:p w14:paraId="76B107D6"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Not applicable, assumed “do nothing”.</w:t>
            </w:r>
          </w:p>
        </w:tc>
        <w:tc>
          <w:tcPr>
            <w:tcW w:w="1275" w:type="dxa"/>
            <w:tcBorders>
              <w:top w:val="single" w:sz="4" w:space="0" w:color="auto"/>
              <w:bottom w:val="single" w:sz="4" w:space="0" w:color="auto"/>
            </w:tcBorders>
            <w:shd w:val="clear" w:color="auto" w:fill="auto"/>
            <w:vAlign w:val="center"/>
          </w:tcPr>
          <w:p w14:paraId="00869694"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High.</w:t>
            </w:r>
          </w:p>
        </w:tc>
        <w:tc>
          <w:tcPr>
            <w:tcW w:w="2972" w:type="dxa"/>
            <w:tcBorders>
              <w:top w:val="single" w:sz="4" w:space="0" w:color="auto"/>
              <w:bottom w:val="single" w:sz="4" w:space="0" w:color="auto"/>
            </w:tcBorders>
            <w:shd w:val="clear" w:color="auto" w:fill="auto"/>
            <w:vAlign w:val="center"/>
          </w:tcPr>
          <w:p w14:paraId="464B6CBA" w14:textId="77777777" w:rsidR="00AF15C1" w:rsidRPr="00995D0A" w:rsidRDefault="00AF15C1" w:rsidP="00B5325B">
            <w:pPr>
              <w:spacing w:before="40" w:after="40"/>
              <w:rPr>
                <w:rFonts w:ascii="Arial Narrow" w:hAnsi="Arial Narrow"/>
                <w:sz w:val="20"/>
              </w:rPr>
            </w:pPr>
            <w:r w:rsidRPr="00995D0A">
              <w:rPr>
                <w:rFonts w:ascii="Arial Narrow" w:hAnsi="Arial Narrow"/>
                <w:sz w:val="20"/>
              </w:rPr>
              <w:t>5 patients filled Patient-Reported Outcomes Measurement Information System (PROMIS)</w:t>
            </w:r>
          </w:p>
        </w:tc>
      </w:tr>
      <w:tr w:rsidR="00AF15C1" w:rsidRPr="00995D0A" w14:paraId="5388B885" w14:textId="77777777" w:rsidTr="00AF15C1">
        <w:tc>
          <w:tcPr>
            <w:tcW w:w="14340" w:type="dxa"/>
            <w:gridSpan w:val="8"/>
            <w:tcBorders>
              <w:top w:val="single" w:sz="4" w:space="0" w:color="auto"/>
              <w:bottom w:val="single" w:sz="4" w:space="0" w:color="auto"/>
            </w:tcBorders>
            <w:shd w:val="clear" w:color="auto" w:fill="auto"/>
            <w:vAlign w:val="center"/>
          </w:tcPr>
          <w:p w14:paraId="7B179A55" w14:textId="77777777" w:rsidR="00AF15C1" w:rsidRPr="00995D0A" w:rsidRDefault="00AF15C1" w:rsidP="00B5325B">
            <w:pPr>
              <w:spacing w:before="40" w:after="40"/>
              <w:rPr>
                <w:rFonts w:ascii="Arial Narrow" w:hAnsi="Arial Narrow"/>
                <w:sz w:val="20"/>
              </w:rPr>
            </w:pPr>
            <w:r w:rsidRPr="00995D0A">
              <w:rPr>
                <w:rFonts w:ascii="Arial Narrow" w:hAnsi="Arial Narrow"/>
                <w:b/>
                <w:sz w:val="20"/>
              </w:rPr>
              <w:lastRenderedPageBreak/>
              <w:t xml:space="preserve">Non-comparative studies assessing effectiveness of AFG in combination with another simultaneous or a subsequent intervention </w:t>
            </w:r>
          </w:p>
        </w:tc>
      </w:tr>
      <w:tr w:rsidR="00AF15C1" w:rsidRPr="00995D0A" w14:paraId="644F23D5" w14:textId="77777777" w:rsidTr="00AF15C1">
        <w:tc>
          <w:tcPr>
            <w:tcW w:w="1325" w:type="dxa"/>
            <w:tcBorders>
              <w:top w:val="single" w:sz="4" w:space="0" w:color="auto"/>
              <w:bottom w:val="single" w:sz="4" w:space="0" w:color="auto"/>
            </w:tcBorders>
            <w:shd w:val="clear" w:color="auto" w:fill="auto"/>
            <w:vAlign w:val="center"/>
          </w:tcPr>
          <w:p w14:paraId="3F1BBA15" w14:textId="77777777" w:rsidR="00AF15C1" w:rsidRPr="00995D0A" w:rsidRDefault="00AF15C1" w:rsidP="00B5325B">
            <w:pPr>
              <w:spacing w:before="40" w:after="40"/>
              <w:rPr>
                <w:rFonts w:ascii="Arial Narrow" w:hAnsi="Arial Narrow"/>
                <w:sz w:val="20"/>
              </w:rPr>
            </w:pPr>
            <w:r w:rsidRPr="00995D0A">
              <w:rPr>
                <w:rFonts w:ascii="Arial Narrow" w:hAnsi="Arial Narrow"/>
                <w:sz w:val="20"/>
              </w:rPr>
              <w:t>Gargano 2018</w:t>
            </w:r>
          </w:p>
        </w:tc>
        <w:tc>
          <w:tcPr>
            <w:tcW w:w="1324" w:type="dxa"/>
            <w:tcBorders>
              <w:top w:val="single" w:sz="4" w:space="0" w:color="auto"/>
              <w:bottom w:val="single" w:sz="4" w:space="0" w:color="auto"/>
            </w:tcBorders>
            <w:shd w:val="clear" w:color="auto" w:fill="auto"/>
            <w:vAlign w:val="center"/>
          </w:tcPr>
          <w:p w14:paraId="25BE8375"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Prospective case series</w:t>
            </w:r>
          </w:p>
        </w:tc>
        <w:tc>
          <w:tcPr>
            <w:tcW w:w="1152" w:type="dxa"/>
            <w:tcBorders>
              <w:top w:val="single" w:sz="4" w:space="0" w:color="auto"/>
              <w:bottom w:val="single" w:sz="4" w:space="0" w:color="auto"/>
            </w:tcBorders>
            <w:shd w:val="clear" w:color="auto" w:fill="auto"/>
            <w:vAlign w:val="center"/>
          </w:tcPr>
          <w:p w14:paraId="18C5F274"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12</w:t>
            </w:r>
          </w:p>
        </w:tc>
        <w:tc>
          <w:tcPr>
            <w:tcW w:w="2890" w:type="dxa"/>
            <w:tcBorders>
              <w:top w:val="single" w:sz="4" w:space="0" w:color="auto"/>
              <w:bottom w:val="single" w:sz="4" w:space="0" w:color="auto"/>
            </w:tcBorders>
            <w:shd w:val="clear" w:color="auto" w:fill="auto"/>
            <w:vAlign w:val="center"/>
          </w:tcPr>
          <w:p w14:paraId="7CF30289"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Patients with debilitating contracted burns scars limiting range of motion that had been previously treated with scar release, skin grafts, or Z-</w:t>
            </w:r>
            <w:proofErr w:type="spellStart"/>
            <w:r w:rsidRPr="00995D0A">
              <w:rPr>
                <w:rFonts w:ascii="Arial Narrow" w:hAnsi="Arial Narrow"/>
                <w:sz w:val="20"/>
              </w:rPr>
              <w:t>plasties</w:t>
            </w:r>
            <w:proofErr w:type="spellEnd"/>
          </w:p>
        </w:tc>
        <w:tc>
          <w:tcPr>
            <w:tcW w:w="1701" w:type="dxa"/>
            <w:tcBorders>
              <w:top w:val="single" w:sz="4" w:space="0" w:color="auto"/>
              <w:bottom w:val="single" w:sz="4" w:space="0" w:color="auto"/>
            </w:tcBorders>
            <w:shd w:val="clear" w:color="auto" w:fill="auto"/>
            <w:vAlign w:val="center"/>
          </w:tcPr>
          <w:p w14:paraId="11B53D08"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Patients treated with the “SUFA” technique (</w:t>
            </w:r>
            <w:proofErr w:type="spellStart"/>
            <w:r w:rsidRPr="00995D0A">
              <w:rPr>
                <w:rFonts w:ascii="Arial Narrow" w:hAnsi="Arial Narrow"/>
                <w:sz w:val="20"/>
              </w:rPr>
              <w:t>Subcision</w:t>
            </w:r>
            <w:proofErr w:type="spellEnd"/>
            <w:r w:rsidRPr="00995D0A">
              <w:rPr>
                <w:rFonts w:ascii="Arial Narrow" w:hAnsi="Arial Narrow"/>
                <w:sz w:val="20"/>
              </w:rPr>
              <w:t xml:space="preserve"> and Fat Grafting).</w:t>
            </w:r>
          </w:p>
        </w:tc>
        <w:tc>
          <w:tcPr>
            <w:tcW w:w="1701" w:type="dxa"/>
            <w:tcBorders>
              <w:top w:val="single" w:sz="4" w:space="0" w:color="auto"/>
              <w:bottom w:val="single" w:sz="4" w:space="0" w:color="auto"/>
            </w:tcBorders>
            <w:shd w:val="clear" w:color="auto" w:fill="auto"/>
            <w:vAlign w:val="center"/>
          </w:tcPr>
          <w:p w14:paraId="70F307BD"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Not applicable, assumed “do nothing”.</w:t>
            </w:r>
          </w:p>
        </w:tc>
        <w:tc>
          <w:tcPr>
            <w:tcW w:w="1275" w:type="dxa"/>
            <w:tcBorders>
              <w:top w:val="single" w:sz="4" w:space="0" w:color="auto"/>
              <w:bottom w:val="single" w:sz="4" w:space="0" w:color="auto"/>
            </w:tcBorders>
            <w:shd w:val="clear" w:color="auto" w:fill="auto"/>
            <w:vAlign w:val="center"/>
          </w:tcPr>
          <w:p w14:paraId="367CC177"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High.</w:t>
            </w:r>
          </w:p>
        </w:tc>
        <w:tc>
          <w:tcPr>
            <w:tcW w:w="2972" w:type="dxa"/>
            <w:tcBorders>
              <w:top w:val="single" w:sz="4" w:space="0" w:color="auto"/>
              <w:bottom w:val="single" w:sz="4" w:space="0" w:color="auto"/>
            </w:tcBorders>
            <w:shd w:val="clear" w:color="auto" w:fill="auto"/>
          </w:tcPr>
          <w:p w14:paraId="6B16C9F8" w14:textId="77777777" w:rsidR="00AF15C1" w:rsidRPr="00995D0A" w:rsidRDefault="00AF15C1" w:rsidP="00B5325B">
            <w:pPr>
              <w:spacing w:before="40" w:after="40"/>
              <w:rPr>
                <w:rFonts w:ascii="Arial Narrow" w:hAnsi="Arial Narrow"/>
                <w:sz w:val="20"/>
              </w:rPr>
            </w:pPr>
            <w:r w:rsidRPr="00995D0A">
              <w:rPr>
                <w:rFonts w:ascii="Arial Narrow" w:hAnsi="Arial Narrow"/>
                <w:sz w:val="20"/>
              </w:rPr>
              <w:t xml:space="preserve">VSS. Joint range of motion </w:t>
            </w:r>
            <w:proofErr w:type="gramStart"/>
            <w:r w:rsidRPr="00995D0A">
              <w:rPr>
                <w:rFonts w:ascii="Arial Narrow" w:hAnsi="Arial Narrow"/>
                <w:sz w:val="20"/>
              </w:rPr>
              <w:t>was assessed</w:t>
            </w:r>
            <w:proofErr w:type="gramEnd"/>
            <w:r w:rsidRPr="00995D0A">
              <w:rPr>
                <w:rFonts w:ascii="Arial Narrow" w:hAnsi="Arial Narrow"/>
                <w:sz w:val="20"/>
              </w:rPr>
              <w:t xml:space="preserve"> with goniometer. Fat graft survival and skin changes </w:t>
            </w:r>
            <w:proofErr w:type="gramStart"/>
            <w:r w:rsidRPr="00995D0A">
              <w:rPr>
                <w:rFonts w:ascii="Arial Narrow" w:hAnsi="Arial Narrow"/>
                <w:sz w:val="20"/>
              </w:rPr>
              <w:t>were evaluated</w:t>
            </w:r>
            <w:proofErr w:type="gramEnd"/>
            <w:r w:rsidRPr="00995D0A">
              <w:rPr>
                <w:rFonts w:ascii="Arial Narrow" w:hAnsi="Arial Narrow"/>
                <w:sz w:val="20"/>
              </w:rPr>
              <w:t xml:space="preserve"> by high frequency ultrasound.</w:t>
            </w:r>
          </w:p>
        </w:tc>
      </w:tr>
      <w:tr w:rsidR="00AF15C1" w:rsidRPr="0009648C" w14:paraId="24E466A0" w14:textId="77777777" w:rsidTr="00AF15C1">
        <w:tc>
          <w:tcPr>
            <w:tcW w:w="1325" w:type="dxa"/>
            <w:tcBorders>
              <w:top w:val="single" w:sz="4" w:space="0" w:color="auto"/>
              <w:bottom w:val="single" w:sz="4" w:space="0" w:color="auto"/>
            </w:tcBorders>
            <w:shd w:val="clear" w:color="auto" w:fill="auto"/>
            <w:vAlign w:val="center"/>
          </w:tcPr>
          <w:p w14:paraId="4B1E7C38" w14:textId="77777777" w:rsidR="00AF15C1" w:rsidRPr="00995D0A" w:rsidRDefault="00AF15C1" w:rsidP="00B5325B">
            <w:pPr>
              <w:spacing w:before="40" w:after="40"/>
              <w:rPr>
                <w:rFonts w:ascii="Arial Narrow" w:hAnsi="Arial Narrow"/>
                <w:sz w:val="20"/>
              </w:rPr>
            </w:pPr>
            <w:r w:rsidRPr="00995D0A">
              <w:rPr>
                <w:rFonts w:ascii="Arial Narrow" w:hAnsi="Arial Narrow"/>
                <w:sz w:val="20"/>
              </w:rPr>
              <w:t>La Padua 2018</w:t>
            </w:r>
          </w:p>
        </w:tc>
        <w:tc>
          <w:tcPr>
            <w:tcW w:w="1324" w:type="dxa"/>
            <w:tcBorders>
              <w:top w:val="single" w:sz="4" w:space="0" w:color="auto"/>
              <w:bottom w:val="single" w:sz="4" w:space="0" w:color="auto"/>
            </w:tcBorders>
            <w:shd w:val="clear" w:color="auto" w:fill="auto"/>
            <w:vAlign w:val="center"/>
          </w:tcPr>
          <w:p w14:paraId="6B904203"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Prospective case series</w:t>
            </w:r>
          </w:p>
        </w:tc>
        <w:tc>
          <w:tcPr>
            <w:tcW w:w="1152" w:type="dxa"/>
            <w:tcBorders>
              <w:top w:val="single" w:sz="4" w:space="0" w:color="auto"/>
              <w:bottom w:val="single" w:sz="4" w:space="0" w:color="auto"/>
            </w:tcBorders>
            <w:shd w:val="clear" w:color="auto" w:fill="auto"/>
            <w:vAlign w:val="center"/>
          </w:tcPr>
          <w:p w14:paraId="18416CD8"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24</w:t>
            </w:r>
          </w:p>
        </w:tc>
        <w:tc>
          <w:tcPr>
            <w:tcW w:w="2890" w:type="dxa"/>
            <w:tcBorders>
              <w:top w:val="single" w:sz="4" w:space="0" w:color="auto"/>
              <w:bottom w:val="single" w:sz="4" w:space="0" w:color="auto"/>
            </w:tcBorders>
            <w:shd w:val="clear" w:color="auto" w:fill="auto"/>
            <w:vAlign w:val="center"/>
          </w:tcPr>
          <w:p w14:paraId="20F968C5"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 xml:space="preserve">Patients with hypertrophic scars and keloids, resulting from second and </w:t>
            </w:r>
            <w:proofErr w:type="gramStart"/>
            <w:r w:rsidRPr="00995D0A">
              <w:rPr>
                <w:rFonts w:ascii="Arial Narrow" w:hAnsi="Arial Narrow"/>
                <w:sz w:val="20"/>
              </w:rPr>
              <w:t>third–degree</w:t>
            </w:r>
            <w:proofErr w:type="gramEnd"/>
            <w:r w:rsidRPr="00995D0A">
              <w:rPr>
                <w:rFonts w:ascii="Arial Narrow" w:hAnsi="Arial Narrow"/>
                <w:sz w:val="20"/>
              </w:rPr>
              <w:t xml:space="preserve"> burns of the face.</w:t>
            </w:r>
          </w:p>
        </w:tc>
        <w:tc>
          <w:tcPr>
            <w:tcW w:w="1701" w:type="dxa"/>
            <w:tcBorders>
              <w:top w:val="single" w:sz="4" w:space="0" w:color="auto"/>
              <w:bottom w:val="single" w:sz="4" w:space="0" w:color="auto"/>
            </w:tcBorders>
            <w:shd w:val="clear" w:color="auto" w:fill="auto"/>
            <w:vAlign w:val="center"/>
          </w:tcPr>
          <w:p w14:paraId="1B35204A"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 xml:space="preserve">A small quantity of purified fat </w:t>
            </w:r>
            <w:proofErr w:type="gramStart"/>
            <w:r w:rsidRPr="00995D0A">
              <w:rPr>
                <w:rFonts w:ascii="Arial Narrow" w:hAnsi="Arial Narrow"/>
                <w:sz w:val="20"/>
              </w:rPr>
              <w:t>was injected</w:t>
            </w:r>
            <w:proofErr w:type="gramEnd"/>
            <w:r w:rsidRPr="00995D0A">
              <w:rPr>
                <w:rFonts w:ascii="Arial Narrow" w:hAnsi="Arial Narrow"/>
                <w:sz w:val="20"/>
              </w:rPr>
              <w:t xml:space="preserve"> in multiple sites at the dermal-hypodermal junction of the scar. Procedure </w:t>
            </w:r>
            <w:proofErr w:type="gramStart"/>
            <w:r w:rsidRPr="00995D0A">
              <w:rPr>
                <w:rFonts w:ascii="Arial Narrow" w:hAnsi="Arial Narrow"/>
                <w:sz w:val="20"/>
              </w:rPr>
              <w:t>was repeated</w:t>
            </w:r>
            <w:proofErr w:type="gramEnd"/>
            <w:r w:rsidRPr="00995D0A">
              <w:rPr>
                <w:rFonts w:ascii="Arial Narrow" w:hAnsi="Arial Narrow"/>
                <w:sz w:val="20"/>
              </w:rPr>
              <w:t xml:space="preserve"> in 3 months. CO</w:t>
            </w:r>
            <w:r w:rsidRPr="00995D0A">
              <w:rPr>
                <w:rFonts w:ascii="Arial Narrow" w:hAnsi="Arial Narrow"/>
                <w:sz w:val="20"/>
                <w:vertAlign w:val="subscript"/>
              </w:rPr>
              <w:t>2</w:t>
            </w:r>
            <w:r w:rsidRPr="00995D0A">
              <w:rPr>
                <w:rFonts w:ascii="Arial Narrow" w:hAnsi="Arial Narrow"/>
                <w:sz w:val="20"/>
              </w:rPr>
              <w:t xml:space="preserve"> laser treatment of hypertrophic burn scars </w:t>
            </w:r>
            <w:proofErr w:type="gramStart"/>
            <w:r w:rsidRPr="00995D0A">
              <w:rPr>
                <w:rFonts w:ascii="Arial Narrow" w:hAnsi="Arial Narrow"/>
                <w:sz w:val="20"/>
              </w:rPr>
              <w:t>was performed</w:t>
            </w:r>
            <w:proofErr w:type="gramEnd"/>
            <w:r w:rsidRPr="00995D0A">
              <w:rPr>
                <w:rFonts w:ascii="Arial Narrow" w:hAnsi="Arial Narrow"/>
                <w:sz w:val="20"/>
              </w:rPr>
              <w:t xml:space="preserve"> at the end of the fat graft.</w:t>
            </w:r>
          </w:p>
        </w:tc>
        <w:tc>
          <w:tcPr>
            <w:tcW w:w="1701" w:type="dxa"/>
            <w:tcBorders>
              <w:top w:val="single" w:sz="4" w:space="0" w:color="auto"/>
              <w:bottom w:val="single" w:sz="4" w:space="0" w:color="auto"/>
            </w:tcBorders>
            <w:shd w:val="clear" w:color="auto" w:fill="auto"/>
            <w:vAlign w:val="center"/>
          </w:tcPr>
          <w:p w14:paraId="60247EBD"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Not applicable, assumed “do nothing”</w:t>
            </w:r>
          </w:p>
        </w:tc>
        <w:tc>
          <w:tcPr>
            <w:tcW w:w="1275" w:type="dxa"/>
            <w:tcBorders>
              <w:top w:val="single" w:sz="4" w:space="0" w:color="auto"/>
              <w:bottom w:val="single" w:sz="4" w:space="0" w:color="auto"/>
            </w:tcBorders>
            <w:shd w:val="clear" w:color="auto" w:fill="auto"/>
            <w:vAlign w:val="center"/>
          </w:tcPr>
          <w:p w14:paraId="731EF9EA" w14:textId="77777777" w:rsidR="00AF15C1" w:rsidRPr="00995D0A" w:rsidRDefault="00AF15C1" w:rsidP="00B5325B">
            <w:pPr>
              <w:spacing w:before="40" w:after="40"/>
              <w:jc w:val="center"/>
              <w:rPr>
                <w:rFonts w:ascii="Arial Narrow" w:hAnsi="Arial Narrow"/>
                <w:sz w:val="20"/>
              </w:rPr>
            </w:pPr>
            <w:r w:rsidRPr="00995D0A">
              <w:rPr>
                <w:rFonts w:ascii="Arial Narrow" w:hAnsi="Arial Narrow"/>
                <w:sz w:val="20"/>
              </w:rPr>
              <w:t>High.</w:t>
            </w:r>
          </w:p>
        </w:tc>
        <w:tc>
          <w:tcPr>
            <w:tcW w:w="2972" w:type="dxa"/>
            <w:tcBorders>
              <w:top w:val="single" w:sz="4" w:space="0" w:color="auto"/>
              <w:bottom w:val="single" w:sz="4" w:space="0" w:color="auto"/>
            </w:tcBorders>
            <w:shd w:val="clear" w:color="auto" w:fill="auto"/>
            <w:vAlign w:val="center"/>
          </w:tcPr>
          <w:p w14:paraId="06667D5F" w14:textId="77777777" w:rsidR="00AF15C1" w:rsidRPr="0009648C" w:rsidRDefault="00AF15C1" w:rsidP="00B5325B">
            <w:pPr>
              <w:spacing w:before="40" w:after="40"/>
              <w:rPr>
                <w:rFonts w:ascii="Arial Narrow" w:hAnsi="Arial Narrow"/>
                <w:sz w:val="20"/>
              </w:rPr>
            </w:pPr>
            <w:r w:rsidRPr="00995D0A">
              <w:rPr>
                <w:rFonts w:ascii="Arial Narrow" w:hAnsi="Arial Narrow"/>
                <w:sz w:val="20"/>
              </w:rPr>
              <w:t xml:space="preserve">A punch biopsy from the scar tissues was performed in each patient before surgery and at </w:t>
            </w:r>
            <w:proofErr w:type="gramStart"/>
            <w:r w:rsidRPr="00995D0A">
              <w:rPr>
                <w:rFonts w:ascii="Arial Narrow" w:hAnsi="Arial Narrow"/>
                <w:sz w:val="20"/>
              </w:rPr>
              <w:t>one year</w:t>
            </w:r>
            <w:proofErr w:type="gramEnd"/>
            <w:r w:rsidRPr="00995D0A">
              <w:rPr>
                <w:rFonts w:ascii="Arial Narrow" w:hAnsi="Arial Narrow"/>
                <w:sz w:val="20"/>
              </w:rPr>
              <w:t xml:space="preserve"> follow-up. </w:t>
            </w:r>
            <w:r w:rsidRPr="00995D0A">
              <w:rPr>
                <w:rFonts w:ascii="Arial Narrow" w:hAnsi="Arial Narrow"/>
                <w:i/>
                <w:sz w:val="20"/>
              </w:rPr>
              <w:t>Ad hoc</w:t>
            </w:r>
            <w:r w:rsidRPr="00995D0A">
              <w:rPr>
                <w:rFonts w:ascii="Arial Narrow" w:hAnsi="Arial Narrow"/>
                <w:sz w:val="20"/>
              </w:rPr>
              <w:t xml:space="preserve"> questionnaire about improvement in self-confidence; skin texture, softness, colour and elasticity was administered at baseline and at 1 year follow up.</w:t>
            </w:r>
          </w:p>
        </w:tc>
      </w:tr>
    </w:tbl>
    <w:p w14:paraId="6941DC0B" w14:textId="77777777" w:rsidR="00AF15C1" w:rsidRPr="008D71E1" w:rsidRDefault="00AF15C1" w:rsidP="008E1617">
      <w:pPr>
        <w:pStyle w:val="Tablenotes"/>
      </w:pPr>
      <w:proofErr w:type="gramStart"/>
      <w:r>
        <w:t xml:space="preserve">Abbreviations: AFG = autologous fat graft; CT = controlled trial; DASH = </w:t>
      </w:r>
      <w:r w:rsidRPr="00F20147">
        <w:t>the Disabilities of the Arm, Shoulder and Hand</w:t>
      </w:r>
      <w:r>
        <w:t xml:space="preserve">; MHQ = Michigan Hand Outcome Questionnaire; </w:t>
      </w:r>
      <w:r w:rsidRPr="00F769E6">
        <w:t>POSAS = patient and observer scar assessment scale; consists of two scales (one for the patient and one for an observer) whereby each scale has six items (relating to the scar) scored on a numeric rating scale from 1 to 10</w:t>
      </w:r>
      <w:r>
        <w:t>;</w:t>
      </w:r>
      <w:r w:rsidRPr="00F20147">
        <w:t xml:space="preserve"> </w:t>
      </w:r>
      <w:r w:rsidRPr="008D71E1">
        <w:t>R = retrospective</w:t>
      </w:r>
      <w:r>
        <w:t>; RCT = randomised controlled trial; TAM =</w:t>
      </w:r>
      <w:r w:rsidRPr="00F20147">
        <w:t>Total Active Movement</w:t>
      </w:r>
      <w:r>
        <w:t>;</w:t>
      </w:r>
      <w:r w:rsidRPr="005170F1">
        <w:t xml:space="preserve"> VSS</w:t>
      </w:r>
      <w:r>
        <w:t>=Vancouver Scar Scale</w:t>
      </w:r>
      <w:proofErr w:type="gramEnd"/>
    </w:p>
    <w:p w14:paraId="1EA37C9F" w14:textId="77777777" w:rsidR="00AF15C1" w:rsidRDefault="00AF15C1" w:rsidP="008E1617">
      <w:pPr>
        <w:pStyle w:val="Tablenotes"/>
      </w:pPr>
      <w:proofErr w:type="gramStart"/>
      <w:r>
        <w:rPr>
          <w:vertAlign w:val="superscript"/>
        </w:rPr>
        <w:t>a</w:t>
      </w:r>
      <w:proofErr w:type="gramEnd"/>
      <w:r w:rsidRPr="008D71E1">
        <w:tab/>
        <w:t xml:space="preserve">RCTs assessed </w:t>
      </w:r>
      <w:r w:rsidRPr="00995D0A">
        <w:t>by Cochrane tool for assessing risk of bias of RCTs, comparative studies by ROBINS-I; case-series</w:t>
      </w:r>
      <w:r>
        <w:t xml:space="preserve"> were assessed with</w:t>
      </w:r>
      <w:r w:rsidRPr="007847A1">
        <w:t>: Institute of Health Economics (IHE). Quality Appraisal of Case Series Studies Checklist.</w:t>
      </w:r>
      <w:r>
        <w:t xml:space="preserve"> </w:t>
      </w:r>
      <w:r w:rsidRPr="007847A1">
        <w:t>http://www.ihe.ca/research-programs/rmd/cssqac/cssqac-about</w:t>
      </w:r>
    </w:p>
    <w:p w14:paraId="00F0A573" w14:textId="77777777" w:rsidR="00AF15C1" w:rsidRDefault="00AF15C1" w:rsidP="008E1617">
      <w:pPr>
        <w:pStyle w:val="Tablenotes"/>
      </w:pPr>
      <w:proofErr w:type="gramStart"/>
      <w:r>
        <w:rPr>
          <w:vertAlign w:val="superscript"/>
        </w:rPr>
        <w:t>b</w:t>
      </w:r>
      <w:proofErr w:type="gramEnd"/>
      <w:r>
        <w:rPr>
          <w:vertAlign w:val="superscript"/>
        </w:rPr>
        <w:tab/>
      </w:r>
      <w:r w:rsidRPr="00803029">
        <w:t xml:space="preserve">Case </w:t>
      </w:r>
      <w:r>
        <w:t xml:space="preserve">series design was assigned according to the result presentation as before and after AFG rather than as AFG vs no AFG. Subsequently, the declared method of the controlled trial </w:t>
      </w:r>
      <w:proofErr w:type="gramStart"/>
      <w:r>
        <w:t>was reclassified</w:t>
      </w:r>
      <w:proofErr w:type="gramEnd"/>
      <w:r>
        <w:t xml:space="preserve">.  </w:t>
      </w:r>
    </w:p>
    <w:p w14:paraId="2B07DD68" w14:textId="77777777" w:rsidR="00AF15C1" w:rsidRPr="008D71E1" w:rsidRDefault="00AF15C1" w:rsidP="008E1617">
      <w:pPr>
        <w:pStyle w:val="Tablenotes"/>
      </w:pPr>
      <w:proofErr w:type="gramStart"/>
      <w:r>
        <w:rPr>
          <w:vertAlign w:val="superscript"/>
        </w:rPr>
        <w:t>c</w:t>
      </w:r>
      <w:proofErr w:type="gramEnd"/>
      <w:r w:rsidRPr="008D71E1">
        <w:rPr>
          <w:vertAlign w:val="superscript"/>
        </w:rPr>
        <w:tab/>
      </w:r>
      <w:r>
        <w:t>N</w:t>
      </w:r>
      <w:r w:rsidRPr="008D71E1">
        <w:t xml:space="preserve">umber of </w:t>
      </w:r>
      <w:r>
        <w:t>scars, rather than patients</w:t>
      </w:r>
    </w:p>
    <w:p w14:paraId="67C5B433" w14:textId="77777777" w:rsidR="00AF15C1" w:rsidRPr="00D07959" w:rsidRDefault="00AF15C1" w:rsidP="008E1617">
      <w:pPr>
        <w:pStyle w:val="Tablenotes"/>
      </w:pPr>
      <w:proofErr w:type="gramStart"/>
      <w:r>
        <w:rPr>
          <w:vertAlign w:val="superscript"/>
        </w:rPr>
        <w:t>d</w:t>
      </w:r>
      <w:proofErr w:type="gramEnd"/>
      <w:r>
        <w:tab/>
      </w:r>
      <w:r w:rsidRPr="00D07959">
        <w:t xml:space="preserve">The controlled trial (N=20) was a part of a larger (N=694) non-controlled study (Klinger, 2013). Although the aetiology of scars in these 20 patients was not reported, the results were reproduced in Chapter 18 (Klinger, 2009), specifically concerned with burn scar remodelling. It </w:t>
      </w:r>
      <w:proofErr w:type="gramStart"/>
      <w:r w:rsidRPr="00D07959">
        <w:t>was therefore assumed</w:t>
      </w:r>
      <w:proofErr w:type="gramEnd"/>
      <w:r w:rsidRPr="00D07959">
        <w:t xml:space="preserve"> that all 20 patients had burn scars.</w:t>
      </w:r>
    </w:p>
    <w:p w14:paraId="5DD9288E" w14:textId="77777777" w:rsidR="00AF15C1" w:rsidRDefault="00AF15C1" w:rsidP="008E1617">
      <w:pPr>
        <w:pStyle w:val="Tablenotes"/>
        <w:sectPr w:rsidR="00AF15C1" w:rsidSect="00AF15C1">
          <w:pgSz w:w="16838" w:h="11906" w:orient="landscape"/>
          <w:pgMar w:top="1440" w:right="1134" w:bottom="1440" w:left="284" w:header="708" w:footer="708" w:gutter="0"/>
          <w:cols w:space="708"/>
          <w:docGrid w:linePitch="360"/>
        </w:sectPr>
      </w:pPr>
      <w:r>
        <w:t xml:space="preserve">Source: </w:t>
      </w:r>
      <w:proofErr w:type="gramStart"/>
      <w:r>
        <w:t>Table  19</w:t>
      </w:r>
      <w:proofErr w:type="gramEnd"/>
      <w:r>
        <w:t>, p83 of the DCAR.</w:t>
      </w:r>
    </w:p>
    <w:p w14:paraId="3A84F3E5" w14:textId="721CAA22" w:rsidR="00AE2D27" w:rsidRDefault="00AE2D27" w:rsidP="00AF15C1">
      <w:pPr>
        <w:spacing w:before="240"/>
      </w:pPr>
      <w:r>
        <w:lastRenderedPageBreak/>
        <w:t>The pre-ESC response raised concern regarding the literature search strategy used in the DCAR and claimed there was insufficient information about the screening methodology used.  Further, the applicant contested why peer-reviewed articles on post-</w:t>
      </w:r>
      <w:proofErr w:type="spellStart"/>
      <w:r>
        <w:t>parotidectomy</w:t>
      </w:r>
      <w:proofErr w:type="spellEnd"/>
      <w:r>
        <w:t xml:space="preserve"> contour deformities (head and neck tumour defects) </w:t>
      </w:r>
      <w:proofErr w:type="gramStart"/>
      <w:r>
        <w:t>were excluded</w:t>
      </w:r>
      <w:proofErr w:type="gramEnd"/>
      <w:r>
        <w:t xml:space="preserve"> from the DCAR. In particular, the applicant contested why Wang, KY et al. and Yamaguchi et al. were excluded </w:t>
      </w:r>
      <w:proofErr w:type="gramStart"/>
      <w:r>
        <w:t xml:space="preserve">on the </w:t>
      </w:r>
      <w:r w:rsidR="008652D9">
        <w:t>basis of</w:t>
      </w:r>
      <w:proofErr w:type="gramEnd"/>
      <w:r w:rsidR="008652D9">
        <w:t xml:space="preserve"> “wrong intervention”.</w:t>
      </w:r>
    </w:p>
    <w:p w14:paraId="619337A1" w14:textId="50FA53A7" w:rsidR="00AE2D27" w:rsidRDefault="00AE2D27" w:rsidP="008652D9">
      <w:pPr>
        <w:spacing w:before="240"/>
      </w:pPr>
      <w:proofErr w:type="gramStart"/>
      <w:r>
        <w:t xml:space="preserve">In the rejoinder, the assessment group clarified the screening criteria specified and justified the exclusion of Wang (2019) </w:t>
      </w:r>
      <w:r w:rsidRPr="008D039E">
        <w:t>as the “wrong intervention”</w:t>
      </w:r>
      <w:r>
        <w:t xml:space="preserve"> on the basis that adipose tissue was harvested and placed directly in the cavity, rather than injected, and that fat grafting was performed at the same time as the </w:t>
      </w:r>
      <w:proofErr w:type="spellStart"/>
      <w:r>
        <w:t>parotidectomy</w:t>
      </w:r>
      <w:proofErr w:type="spellEnd"/>
      <w:r>
        <w:t xml:space="preserve">, rather than </w:t>
      </w:r>
      <w:r w:rsidRPr="00A32B75">
        <w:t xml:space="preserve">six months </w:t>
      </w:r>
      <w:r>
        <w:t xml:space="preserve">after </w:t>
      </w:r>
      <w:r w:rsidRPr="00A32B75">
        <w:t>(to establish the defect had stabilised)</w:t>
      </w:r>
      <w:r>
        <w:t>.</w:t>
      </w:r>
      <w:proofErr w:type="gramEnd"/>
      <w:r>
        <w:t xml:space="preserve"> In regards to Yamaguchi (2017), the assessment group acknowledged that is article was incorrectly cited as being excluded on the basis of “wrong intervention” in the DCAR; it was excluded on the basis of not being a comparative study (although it was included in the Sinclair (2019) systematic review, w</w:t>
      </w:r>
      <w:r w:rsidR="008652D9">
        <w:t>hich was included in the DCAR).</w:t>
      </w:r>
    </w:p>
    <w:p w14:paraId="67CA08CE" w14:textId="77777777" w:rsidR="00BC1364" w:rsidRPr="00F715D1" w:rsidRDefault="00BC1364" w:rsidP="00AE2D27">
      <w:pPr>
        <w:pStyle w:val="Heading1"/>
      </w:pPr>
      <w:r w:rsidRPr="00F715D1">
        <w:t>Comparative effectiveness</w:t>
      </w:r>
    </w:p>
    <w:p w14:paraId="4CC0C790" w14:textId="77777777" w:rsidR="00AE2D27" w:rsidRDefault="00AE2D27" w:rsidP="00AE2D27">
      <w:pPr>
        <w:pStyle w:val="Heading2"/>
      </w:pPr>
      <w:bookmarkStart w:id="14" w:name="_Ref421184437"/>
      <w:bookmarkStart w:id="15" w:name="_Toc444869019"/>
      <w:bookmarkStart w:id="16" w:name="_Toc39593653"/>
      <w:r>
        <w:t>Population 1</w:t>
      </w:r>
    </w:p>
    <w:p w14:paraId="1AB4BB67" w14:textId="77777777" w:rsidR="00AE2D27" w:rsidRDefault="00AE2D27" w:rsidP="00AE2D27">
      <w:pPr>
        <w:pStyle w:val="Heading3"/>
      </w:pPr>
      <w:r w:rsidRPr="000B10D8">
        <w:t>Congenital craniofacial abnormalities</w:t>
      </w:r>
    </w:p>
    <w:p w14:paraId="22861AF6" w14:textId="77777777" w:rsidR="00AE2D27" w:rsidRPr="008652D9" w:rsidRDefault="00AE2D27" w:rsidP="00AE2D27">
      <w:pPr>
        <w:pStyle w:val="Heading4"/>
        <w:rPr>
          <w:b/>
          <w:color w:val="auto"/>
        </w:rPr>
      </w:pPr>
      <w:r w:rsidRPr="008652D9">
        <w:rPr>
          <w:b/>
          <w:color w:val="auto"/>
        </w:rPr>
        <w:t>Patient satisfaction of cosmetic outcomes</w:t>
      </w:r>
    </w:p>
    <w:p w14:paraId="0DC52038" w14:textId="77777777" w:rsidR="00AE2D27" w:rsidRDefault="00AE2D27" w:rsidP="00AE2D27">
      <w:r>
        <w:t xml:space="preserve">The DCAR noted that Schmitz (2008) indicated greater patient satisfaction among those treated with AFG compared with free flap surgery, while </w:t>
      </w:r>
      <w:proofErr w:type="spellStart"/>
      <w:r>
        <w:t>Tanna</w:t>
      </w:r>
      <w:proofErr w:type="spellEnd"/>
      <w:r>
        <w:t xml:space="preserve"> 2011 reported no differences in patient satisfaction (p&gt;0.05). The mean patient satisfaction score was 3.7 </w:t>
      </w:r>
      <w:r>
        <w:rPr>
          <w:rFonts w:cs="Calibri"/>
        </w:rPr>
        <w:t>±</w:t>
      </w:r>
      <w:r>
        <w:t xml:space="preserve"> 0.5 for the AFG group and 3.5 </w:t>
      </w:r>
      <w:r>
        <w:rPr>
          <w:rFonts w:cs="Calibri"/>
        </w:rPr>
        <w:t>±</w:t>
      </w:r>
      <w:r>
        <w:t xml:space="preserve"> 0.2 for the free flap group, on a five-point scale </w:t>
      </w:r>
      <w:r w:rsidRPr="000A6ED9">
        <w:t xml:space="preserve">(with </w:t>
      </w:r>
      <w:r>
        <w:t>0</w:t>
      </w:r>
      <w:r w:rsidRPr="000A6ED9">
        <w:t xml:space="preserve"> indicating dissatisfied or no improvement and 4</w:t>
      </w:r>
      <w:r>
        <w:t xml:space="preserve"> indicating</w:t>
      </w:r>
      <w:r w:rsidRPr="000A6ED9">
        <w:t xml:space="preserve"> </w:t>
      </w:r>
      <w:proofErr w:type="gramStart"/>
      <w:r w:rsidRPr="000A6ED9">
        <w:t>totally</w:t>
      </w:r>
      <w:proofErr w:type="gramEnd"/>
      <w:r w:rsidRPr="000A6ED9">
        <w:t xml:space="preserve"> satisfied or 100% improvement)</w:t>
      </w:r>
      <w:r>
        <w:t xml:space="preserve">. The </w:t>
      </w:r>
      <w:proofErr w:type="spellStart"/>
      <w:r>
        <w:t>Krastev</w:t>
      </w:r>
      <w:proofErr w:type="spellEnd"/>
      <w:r>
        <w:t xml:space="preserve"> (2018)</w:t>
      </w:r>
      <w:r>
        <w:rPr>
          <w:rStyle w:val="FootnoteReference"/>
        </w:rPr>
        <w:footnoteReference w:id="12"/>
      </w:r>
      <w:r>
        <w:t xml:space="preserve"> systematic review reported that a high proportion of patients were satisfied with the results of treatment with AFG (92.2%; 95% CI: 80.8%, 97.1%), however no estimates were available for those treated with free flap.</w:t>
      </w:r>
    </w:p>
    <w:p w14:paraId="5E71B771" w14:textId="77777777" w:rsidR="00AE2D27" w:rsidRPr="008652D9" w:rsidRDefault="00AE2D27" w:rsidP="00AE2D27">
      <w:pPr>
        <w:pStyle w:val="Heading4"/>
        <w:rPr>
          <w:b/>
          <w:color w:val="auto"/>
        </w:rPr>
      </w:pPr>
      <w:r w:rsidRPr="008652D9">
        <w:rPr>
          <w:b/>
          <w:color w:val="auto"/>
        </w:rPr>
        <w:t>Clinician</w:t>
      </w:r>
      <w:r w:rsidRPr="008652D9">
        <w:rPr>
          <w:rStyle w:val="Heading5Char"/>
          <w:b/>
          <w:color w:val="auto"/>
        </w:rPr>
        <w:t xml:space="preserve"> satisfaction of cosmetic outcome</w:t>
      </w:r>
    </w:p>
    <w:p w14:paraId="4B97659B" w14:textId="77777777" w:rsidR="00AE2D27" w:rsidRDefault="00AE2D27" w:rsidP="00AE2D27">
      <w:proofErr w:type="spellStart"/>
      <w:r>
        <w:t>Tanna</w:t>
      </w:r>
      <w:proofErr w:type="spellEnd"/>
      <w:r>
        <w:t xml:space="preserve"> (2011) reported there were no statistically significant differences between the AFG and free flap groups with respect to physician satisfaction (p&gt;0.05). The mean physician satisfaction scores for the AFG and free flap groups was 3.6 </w:t>
      </w:r>
      <w:r>
        <w:rPr>
          <w:rFonts w:cs="Calibri"/>
        </w:rPr>
        <w:t>±</w:t>
      </w:r>
      <w:r>
        <w:t xml:space="preserve"> 0.2 and 3.5 </w:t>
      </w:r>
      <w:r>
        <w:rPr>
          <w:rFonts w:cs="Calibri"/>
        </w:rPr>
        <w:t>±</w:t>
      </w:r>
      <w:r>
        <w:t xml:space="preserve"> 0.3 on a five-point scale, respectively. </w:t>
      </w:r>
      <w:proofErr w:type="spellStart"/>
      <w:r>
        <w:t>Krastev</w:t>
      </w:r>
      <w:proofErr w:type="spellEnd"/>
      <w:r>
        <w:t xml:space="preserve"> (2018) reported that a high proportion of surgeons were satisfied with the results of treatment with AFG (91.5%; 95% CI: 86.8%, 98.3%).</w:t>
      </w:r>
    </w:p>
    <w:p w14:paraId="0A21D94F" w14:textId="77777777" w:rsidR="00AE2D27" w:rsidRPr="008652D9" w:rsidRDefault="00AE2D27" w:rsidP="00AE2D27">
      <w:pPr>
        <w:pStyle w:val="Heading4"/>
        <w:rPr>
          <w:b/>
          <w:color w:val="auto"/>
        </w:rPr>
      </w:pPr>
      <w:r w:rsidRPr="008652D9">
        <w:rPr>
          <w:b/>
          <w:color w:val="auto"/>
        </w:rPr>
        <w:t xml:space="preserve">Symmetry scores </w:t>
      </w:r>
    </w:p>
    <w:p w14:paraId="4F9A51B0" w14:textId="77777777" w:rsidR="00AE2D27" w:rsidRDefault="00AE2D27" w:rsidP="00AE2D27">
      <w:r>
        <w:t xml:space="preserve">The DCAR noted that </w:t>
      </w:r>
      <w:proofErr w:type="spellStart"/>
      <w:r>
        <w:t>Tanna</w:t>
      </w:r>
      <w:proofErr w:type="spellEnd"/>
      <w:r>
        <w:t xml:space="preserve"> (2011) reported symmetry scores in terms of the difference of the final scores from 100%, where a value of 100 per cent </w:t>
      </w:r>
      <w:proofErr w:type="gramStart"/>
      <w:r>
        <w:t>was considered</w:t>
      </w:r>
      <w:proofErr w:type="gramEnd"/>
      <w:r>
        <w:t xml:space="preserve"> ideal. The symmetry scores in the AFG and free flap groups was 99% </w:t>
      </w:r>
      <w:r>
        <w:rPr>
          <w:rFonts w:cs="Calibri"/>
        </w:rPr>
        <w:t>±</w:t>
      </w:r>
      <w:r>
        <w:t xml:space="preserve"> 5.4% (from 75% </w:t>
      </w:r>
      <w:r>
        <w:rPr>
          <w:rFonts w:cs="Calibri"/>
        </w:rPr>
        <w:t>±</w:t>
      </w:r>
      <w:r>
        <w:t xml:space="preserve"> 5.0% at baseline), i.e. 1% difference and 121% </w:t>
      </w:r>
      <w:r>
        <w:rPr>
          <w:rFonts w:cs="Calibri"/>
        </w:rPr>
        <w:t>±</w:t>
      </w:r>
      <w:r>
        <w:t xml:space="preserve"> 7.9% (from 74% </w:t>
      </w:r>
      <w:r>
        <w:rPr>
          <w:rFonts w:cs="Calibri"/>
        </w:rPr>
        <w:t>±</w:t>
      </w:r>
      <w:r>
        <w:t xml:space="preserve"> 7.1% at baseline), i.e. 21% difference, respectively. The authors reported that patients treated with AFG had a post-reconstruction symmetry score significantly closer to 100 percent (p&lt;0.05) compared with those treated with free flaps. Sinclair (2019) reported the results from </w:t>
      </w:r>
      <w:proofErr w:type="spellStart"/>
      <w:r>
        <w:t>Tanna</w:t>
      </w:r>
      <w:proofErr w:type="spellEnd"/>
      <w:r>
        <w:t xml:space="preserve"> (2011) and three further case series, which all reported statistically significant improvements in facial symmetry when making comparisons before and after AFG.</w:t>
      </w:r>
    </w:p>
    <w:p w14:paraId="6E3CAA4C" w14:textId="77777777" w:rsidR="00AE2D27" w:rsidRPr="008652D9" w:rsidRDefault="00AE2D27" w:rsidP="00AE2D27">
      <w:pPr>
        <w:pStyle w:val="Heading4"/>
        <w:rPr>
          <w:b/>
          <w:color w:val="auto"/>
        </w:rPr>
      </w:pPr>
      <w:r w:rsidRPr="008652D9">
        <w:rPr>
          <w:b/>
          <w:color w:val="auto"/>
        </w:rPr>
        <w:lastRenderedPageBreak/>
        <w:t>Volume of AFG retention</w:t>
      </w:r>
    </w:p>
    <w:p w14:paraId="3AFADB0F" w14:textId="192662C3" w:rsidR="00AE2D27" w:rsidRDefault="00AE2D27" w:rsidP="00AE2D27">
      <w:r>
        <w:t xml:space="preserve">The DCAR noted that </w:t>
      </w:r>
      <w:proofErr w:type="spellStart"/>
      <w:r>
        <w:t>Tanna</w:t>
      </w:r>
      <w:proofErr w:type="spellEnd"/>
      <w:r>
        <w:t xml:space="preserve"> (2011) reported that there was a statistically significantly higher amount of volume augmentation in those treated with free flaps compared with those treated with AFG. Systematic reviews by </w:t>
      </w:r>
      <w:proofErr w:type="spellStart"/>
      <w:r>
        <w:t>Krastev</w:t>
      </w:r>
      <w:proofErr w:type="spellEnd"/>
      <w:r>
        <w:t xml:space="preserve"> (2018) and </w:t>
      </w:r>
      <w:proofErr w:type="spellStart"/>
      <w:r>
        <w:t>Lv</w:t>
      </w:r>
      <w:proofErr w:type="spellEnd"/>
      <w:r>
        <w:t xml:space="preserve"> (2020)</w:t>
      </w:r>
      <w:r>
        <w:rPr>
          <w:rStyle w:val="FootnoteReference"/>
        </w:rPr>
        <w:footnoteReference w:id="13"/>
      </w:r>
      <w:r>
        <w:t xml:space="preserve"> reported a wide variation in volume retention, 40% to &gt;80% at 1 year and 26% t</w:t>
      </w:r>
      <w:r w:rsidR="008652D9">
        <w:t>o 83% at 2 years, respectively.</w:t>
      </w:r>
    </w:p>
    <w:p w14:paraId="44B28EE3" w14:textId="77777777" w:rsidR="00AE2D27" w:rsidRDefault="00AE2D27" w:rsidP="008652D9">
      <w:pPr>
        <w:pStyle w:val="Heading3"/>
        <w:spacing w:before="240"/>
      </w:pPr>
      <w:r w:rsidRPr="000B10D8">
        <w:t>Acquired craniofacial abnormalities</w:t>
      </w:r>
    </w:p>
    <w:p w14:paraId="2651180B" w14:textId="19EC5F57" w:rsidR="00AE2D27" w:rsidRDefault="00AE2D27" w:rsidP="00AE2D27">
      <w:r>
        <w:t>The DCAR considered that no comparative data was available to inform a comparison of AFG to free flap or usual care among those with acqui</w:t>
      </w:r>
      <w:r w:rsidR="008652D9">
        <w:t>red craniofacial abnormalities.</w:t>
      </w:r>
    </w:p>
    <w:p w14:paraId="6F284705" w14:textId="5D5F89D7" w:rsidR="00AE2D27" w:rsidRDefault="00AE2D27" w:rsidP="008652D9">
      <w:pPr>
        <w:spacing w:before="240"/>
      </w:pPr>
      <w:r>
        <w:t>The systematic review of case studies (</w:t>
      </w:r>
      <w:proofErr w:type="spellStart"/>
      <w:r>
        <w:t>Krastev</w:t>
      </w:r>
      <w:proofErr w:type="spellEnd"/>
      <w:r>
        <w:t xml:space="preserve"> 2018) reported that a high proportion of patients and surgeons were satisfied with the results of treatment with AFG (81.5%; 95% CI: 68.0%, 90.2%) and (87.1%; 95% C</w:t>
      </w:r>
      <w:r w:rsidR="008652D9">
        <w:t>I: 78.1%, 92.7%), respectively.</w:t>
      </w:r>
    </w:p>
    <w:p w14:paraId="7739803A" w14:textId="77777777" w:rsidR="00AE2D27" w:rsidRDefault="00AE2D27" w:rsidP="00AE2D27">
      <w:pPr>
        <w:pStyle w:val="Heading2"/>
      </w:pPr>
      <w:r w:rsidRPr="00E85DF6">
        <w:t>Population 2</w:t>
      </w:r>
    </w:p>
    <w:p w14:paraId="73F9232F" w14:textId="77777777" w:rsidR="00AE2D27" w:rsidRPr="00F3276D" w:rsidRDefault="00AE2D27" w:rsidP="00F3276D">
      <w:pPr>
        <w:spacing w:before="240"/>
        <w:rPr>
          <w:b/>
        </w:rPr>
      </w:pPr>
      <w:r w:rsidRPr="00F3276D">
        <w:rPr>
          <w:b/>
        </w:rPr>
        <w:t>Appearance of burn scars</w:t>
      </w:r>
    </w:p>
    <w:p w14:paraId="03640757" w14:textId="112367E9" w:rsidR="00AE2D27" w:rsidRDefault="00AE2D27" w:rsidP="00AE2D27">
      <w:r>
        <w:t>The DCAR noted that Gal (2017) reported no statistical or clinically noticeable differences in the “look” and “feel” of burn scars, tre</w:t>
      </w:r>
      <w:r w:rsidR="008F1FC0">
        <w:t>ated with AFG or saline (</w:t>
      </w:r>
      <w:r w:rsidR="008652D9" w:rsidRPr="008827D2">
        <w:rPr>
          <w:szCs w:val="24"/>
        </w:rPr>
        <w:fldChar w:fldCharType="begin"/>
      </w:r>
      <w:r w:rsidR="008652D9" w:rsidRPr="008827D2">
        <w:rPr>
          <w:szCs w:val="24"/>
        </w:rPr>
        <w:instrText xml:space="preserve"> REF _Ref50013821 \h </w:instrText>
      </w:r>
      <w:r w:rsidR="008652D9" w:rsidRPr="008827D2">
        <w:rPr>
          <w:szCs w:val="24"/>
        </w:rPr>
      </w:r>
      <w:r w:rsidR="008827D2" w:rsidRPr="008827D2">
        <w:rPr>
          <w:szCs w:val="24"/>
        </w:rPr>
        <w:instrText xml:space="preserve"> \* MERGEFORMAT </w:instrText>
      </w:r>
      <w:r w:rsidR="008652D9" w:rsidRPr="008827D2">
        <w:rPr>
          <w:szCs w:val="24"/>
        </w:rPr>
        <w:fldChar w:fldCharType="separate"/>
      </w:r>
      <w:r w:rsidR="00E84BE3" w:rsidRPr="008827D2">
        <w:rPr>
          <w:szCs w:val="24"/>
        </w:rPr>
        <w:t xml:space="preserve">Table </w:t>
      </w:r>
      <w:r w:rsidR="00E84BE3" w:rsidRPr="008827D2">
        <w:rPr>
          <w:noProof/>
          <w:szCs w:val="24"/>
        </w:rPr>
        <w:t>5</w:t>
      </w:r>
      <w:r w:rsidR="008652D9" w:rsidRPr="008827D2">
        <w:rPr>
          <w:szCs w:val="24"/>
        </w:rPr>
        <w:fldChar w:fldCharType="end"/>
      </w:r>
      <w:r>
        <w:t xml:space="preserve">). </w:t>
      </w:r>
      <w:proofErr w:type="gramStart"/>
      <w:r>
        <w:t>The outcomes were assessed by both patients and investigators, all of whom were blinded to the treatment allocation</w:t>
      </w:r>
      <w:proofErr w:type="gramEnd"/>
      <w:r>
        <w:t xml:space="preserve">. The trial </w:t>
      </w:r>
      <w:proofErr w:type="gramStart"/>
      <w:r>
        <w:t>was subse</w:t>
      </w:r>
      <w:r w:rsidR="008652D9">
        <w:t>quently prematurely terminated</w:t>
      </w:r>
      <w:proofErr w:type="gramEnd"/>
      <w:r w:rsidR="008652D9">
        <w:t>.</w:t>
      </w:r>
    </w:p>
    <w:p w14:paraId="2F7A459C" w14:textId="3452C94F" w:rsidR="00AE2D27" w:rsidRPr="00F3276D" w:rsidRDefault="008652D9" w:rsidP="00F3276D">
      <w:pPr>
        <w:spacing w:before="240"/>
        <w:rPr>
          <w:rFonts w:ascii="Arial Narrow" w:hAnsi="Arial Narrow"/>
          <w:b/>
          <w:sz w:val="20"/>
        </w:rPr>
      </w:pPr>
      <w:bookmarkStart w:id="17" w:name="_Ref50013821"/>
      <w:bookmarkStart w:id="18" w:name="_Toc30089911"/>
      <w:bookmarkStart w:id="19" w:name="_Toc39593675"/>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5</w:t>
      </w:r>
      <w:r w:rsidR="00F3276D" w:rsidRPr="00F3276D">
        <w:rPr>
          <w:rFonts w:ascii="Arial Narrow" w:hAnsi="Arial Narrow"/>
          <w:b/>
          <w:sz w:val="20"/>
        </w:rPr>
        <w:fldChar w:fldCharType="end"/>
      </w:r>
      <w:bookmarkEnd w:id="17"/>
      <w:r w:rsidR="00AE2D27" w:rsidRPr="00F3276D">
        <w:rPr>
          <w:rFonts w:ascii="Arial Narrow" w:hAnsi="Arial Narrow"/>
          <w:b/>
          <w:sz w:val="20"/>
        </w:rPr>
        <w:t xml:space="preserve">  Results of </w:t>
      </w:r>
      <w:bookmarkEnd w:id="18"/>
      <w:r w:rsidR="00AE2D27" w:rsidRPr="00F3276D">
        <w:rPr>
          <w:rFonts w:ascii="Arial Narrow" w:hAnsi="Arial Narrow"/>
          <w:b/>
          <w:sz w:val="20"/>
        </w:rPr>
        <w:t>RCT (Gal 2017) of AFG vs placebo (saline) to improve appearance of burn scars (N=8)</w:t>
      </w:r>
      <w:bookmarkEnd w:id="19"/>
    </w:p>
    <w:tbl>
      <w:tblPr>
        <w:tblStyle w:val="TableGrid"/>
        <w:tblW w:w="0" w:type="auto"/>
        <w:tblCellMar>
          <w:left w:w="28" w:type="dxa"/>
          <w:right w:w="28" w:type="dxa"/>
        </w:tblCellMar>
        <w:tblLook w:val="04A0" w:firstRow="1" w:lastRow="0" w:firstColumn="1" w:lastColumn="0" w:noHBand="0" w:noVBand="1"/>
        <w:tblCaption w:val="Results of RCT (Gal 2017) of AFG vs placebo (saline) to improve appearance of burn scars (N=8)"/>
        <w:tblDescription w:val="Results of RCT (Gal 2017) of AFG vs placebo (saline) to improve appearance of burn scars (N=8)"/>
      </w:tblPr>
      <w:tblGrid>
        <w:gridCol w:w="2254"/>
        <w:gridCol w:w="2254"/>
        <w:gridCol w:w="2254"/>
        <w:gridCol w:w="2254"/>
      </w:tblGrid>
      <w:tr w:rsidR="00AE2D27" w:rsidRPr="009D0012" w14:paraId="1E4F48C0" w14:textId="77777777" w:rsidTr="00AE2D27">
        <w:trPr>
          <w:tblHeader/>
        </w:trPr>
        <w:tc>
          <w:tcPr>
            <w:tcW w:w="2254" w:type="dxa"/>
            <w:tcBorders>
              <w:bottom w:val="nil"/>
            </w:tcBorders>
            <w:vAlign w:val="bottom"/>
          </w:tcPr>
          <w:p w14:paraId="00CD4393" w14:textId="77777777" w:rsidR="00AE2D27" w:rsidRPr="009D0012" w:rsidRDefault="00AE2D27" w:rsidP="00AE2D27">
            <w:pPr>
              <w:keepNext/>
              <w:spacing w:before="40"/>
              <w:rPr>
                <w:rFonts w:ascii="Arial Narrow" w:hAnsi="Arial Narrow"/>
                <w:b/>
                <w:sz w:val="20"/>
              </w:rPr>
            </w:pPr>
            <w:r w:rsidRPr="009D0012">
              <w:rPr>
                <w:rFonts w:ascii="Arial Narrow" w:hAnsi="Arial Narrow"/>
                <w:b/>
                <w:sz w:val="20"/>
              </w:rPr>
              <w:t xml:space="preserve">Dimensions for the scar </w:t>
            </w:r>
          </w:p>
        </w:tc>
        <w:tc>
          <w:tcPr>
            <w:tcW w:w="2254" w:type="dxa"/>
            <w:tcBorders>
              <w:right w:val="nil"/>
            </w:tcBorders>
            <w:vAlign w:val="center"/>
          </w:tcPr>
          <w:p w14:paraId="5DA5FFF8" w14:textId="77777777" w:rsidR="00AE2D27" w:rsidRPr="009D0012" w:rsidRDefault="00AE2D27" w:rsidP="00AE2D27">
            <w:pPr>
              <w:keepNext/>
              <w:spacing w:before="40" w:after="40"/>
              <w:jc w:val="center"/>
              <w:rPr>
                <w:rFonts w:ascii="Arial Narrow" w:hAnsi="Arial Narrow"/>
                <w:b/>
                <w:sz w:val="20"/>
              </w:rPr>
            </w:pPr>
          </w:p>
        </w:tc>
        <w:tc>
          <w:tcPr>
            <w:tcW w:w="2254" w:type="dxa"/>
            <w:tcBorders>
              <w:left w:val="nil"/>
              <w:right w:val="nil"/>
            </w:tcBorders>
            <w:vAlign w:val="center"/>
          </w:tcPr>
          <w:p w14:paraId="4459B552" w14:textId="77777777" w:rsidR="00AE2D27" w:rsidRPr="009D0012" w:rsidRDefault="00AE2D27" w:rsidP="00AE2D27">
            <w:pPr>
              <w:keepNext/>
              <w:spacing w:before="40" w:after="40"/>
              <w:jc w:val="center"/>
              <w:rPr>
                <w:rFonts w:ascii="Arial Narrow" w:hAnsi="Arial Narrow"/>
                <w:b/>
                <w:sz w:val="20"/>
              </w:rPr>
            </w:pPr>
            <w:r>
              <w:rPr>
                <w:rFonts w:ascii="Arial Narrow" w:hAnsi="Arial Narrow"/>
                <w:b/>
                <w:sz w:val="20"/>
              </w:rPr>
              <w:t xml:space="preserve">Frequency of the </w:t>
            </w:r>
            <w:r w:rsidRPr="009D0012">
              <w:rPr>
                <w:rFonts w:ascii="Arial Narrow" w:hAnsi="Arial Narrow"/>
                <w:b/>
                <w:sz w:val="20"/>
              </w:rPr>
              <w:t>responses</w:t>
            </w:r>
          </w:p>
        </w:tc>
        <w:tc>
          <w:tcPr>
            <w:tcW w:w="2254" w:type="dxa"/>
            <w:tcBorders>
              <w:left w:val="nil"/>
            </w:tcBorders>
            <w:vAlign w:val="center"/>
          </w:tcPr>
          <w:p w14:paraId="408DE321" w14:textId="77777777" w:rsidR="00AE2D27" w:rsidRPr="009D0012" w:rsidRDefault="00AE2D27" w:rsidP="00AE2D27">
            <w:pPr>
              <w:keepNext/>
              <w:spacing w:before="40" w:after="40"/>
              <w:jc w:val="center"/>
              <w:rPr>
                <w:rFonts w:ascii="Arial Narrow" w:hAnsi="Arial Narrow"/>
                <w:b/>
                <w:sz w:val="20"/>
              </w:rPr>
            </w:pPr>
          </w:p>
        </w:tc>
      </w:tr>
      <w:tr w:rsidR="00AE2D27" w:rsidRPr="009D0012" w14:paraId="397728E1" w14:textId="77777777" w:rsidTr="00AE2D27">
        <w:trPr>
          <w:trHeight w:val="70"/>
          <w:tblHeader/>
        </w:trPr>
        <w:tc>
          <w:tcPr>
            <w:tcW w:w="2254" w:type="dxa"/>
            <w:tcBorders>
              <w:top w:val="nil"/>
            </w:tcBorders>
          </w:tcPr>
          <w:p w14:paraId="62A6A678" w14:textId="77777777" w:rsidR="00AE2D27" w:rsidRPr="009D0012" w:rsidRDefault="00AE2D27" w:rsidP="00AE2D27">
            <w:pPr>
              <w:keepNext/>
              <w:spacing w:after="40"/>
              <w:rPr>
                <w:rFonts w:ascii="Arial Narrow" w:hAnsi="Arial Narrow"/>
                <w:sz w:val="20"/>
              </w:rPr>
            </w:pPr>
            <w:r w:rsidRPr="009D0012">
              <w:rPr>
                <w:rFonts w:ascii="Arial Narrow" w:hAnsi="Arial Narrow"/>
                <w:b/>
                <w:sz w:val="20"/>
              </w:rPr>
              <w:t>assessment</w:t>
            </w:r>
          </w:p>
        </w:tc>
        <w:tc>
          <w:tcPr>
            <w:tcW w:w="2254" w:type="dxa"/>
            <w:vAlign w:val="center"/>
          </w:tcPr>
          <w:p w14:paraId="2E4D36B1" w14:textId="77777777" w:rsidR="00AE2D27" w:rsidRPr="009D0012" w:rsidRDefault="00AE2D27" w:rsidP="00AE2D27">
            <w:pPr>
              <w:keepNext/>
              <w:spacing w:before="40" w:after="40"/>
              <w:jc w:val="center"/>
              <w:rPr>
                <w:rFonts w:ascii="Arial Narrow" w:hAnsi="Arial Narrow"/>
                <w:b/>
                <w:sz w:val="20"/>
              </w:rPr>
            </w:pPr>
            <w:r w:rsidRPr="009D0012">
              <w:rPr>
                <w:rFonts w:ascii="Arial Narrow" w:hAnsi="Arial Narrow"/>
                <w:b/>
                <w:sz w:val="20"/>
              </w:rPr>
              <w:t>AFG site is better</w:t>
            </w:r>
          </w:p>
        </w:tc>
        <w:tc>
          <w:tcPr>
            <w:tcW w:w="2254" w:type="dxa"/>
            <w:vAlign w:val="center"/>
          </w:tcPr>
          <w:p w14:paraId="6337E9C2" w14:textId="77777777" w:rsidR="00AE2D27" w:rsidRPr="009D0012" w:rsidRDefault="00AE2D27" w:rsidP="00AE2D27">
            <w:pPr>
              <w:keepNext/>
              <w:spacing w:before="40" w:after="40"/>
              <w:jc w:val="center"/>
              <w:rPr>
                <w:rFonts w:ascii="Arial Narrow" w:hAnsi="Arial Narrow"/>
                <w:b/>
                <w:sz w:val="20"/>
              </w:rPr>
            </w:pPr>
            <w:r w:rsidRPr="009D0012">
              <w:rPr>
                <w:rFonts w:ascii="Arial Narrow" w:hAnsi="Arial Narrow"/>
                <w:b/>
                <w:sz w:val="20"/>
              </w:rPr>
              <w:t>No difference</w:t>
            </w:r>
          </w:p>
        </w:tc>
        <w:tc>
          <w:tcPr>
            <w:tcW w:w="2254" w:type="dxa"/>
            <w:vAlign w:val="center"/>
          </w:tcPr>
          <w:p w14:paraId="730F9FEC" w14:textId="77777777" w:rsidR="00AE2D27" w:rsidRPr="009D0012" w:rsidRDefault="00AE2D27" w:rsidP="00AE2D27">
            <w:pPr>
              <w:keepNext/>
              <w:spacing w:before="40" w:after="40"/>
              <w:jc w:val="center"/>
              <w:rPr>
                <w:rFonts w:ascii="Arial Narrow" w:hAnsi="Arial Narrow"/>
                <w:b/>
                <w:sz w:val="20"/>
              </w:rPr>
            </w:pPr>
            <w:r w:rsidRPr="009D0012">
              <w:rPr>
                <w:rFonts w:ascii="Arial Narrow" w:hAnsi="Arial Narrow"/>
                <w:b/>
                <w:sz w:val="20"/>
              </w:rPr>
              <w:t>Saline is better</w:t>
            </w:r>
          </w:p>
        </w:tc>
      </w:tr>
      <w:tr w:rsidR="00AE2D27" w:rsidRPr="009D0012" w14:paraId="60EE3EA4" w14:textId="77777777" w:rsidTr="00AE2D27">
        <w:tc>
          <w:tcPr>
            <w:tcW w:w="2254" w:type="dxa"/>
            <w:tcBorders>
              <w:right w:val="nil"/>
            </w:tcBorders>
          </w:tcPr>
          <w:p w14:paraId="2B681B3A" w14:textId="77777777" w:rsidR="00AE2D27" w:rsidRPr="009D0012" w:rsidRDefault="00AE2D27" w:rsidP="00AE2D27">
            <w:pPr>
              <w:keepNext/>
              <w:spacing w:before="40" w:after="40"/>
              <w:rPr>
                <w:rFonts w:ascii="Arial Narrow" w:hAnsi="Arial Narrow"/>
                <w:sz w:val="20"/>
              </w:rPr>
            </w:pPr>
            <w:r w:rsidRPr="009D0012">
              <w:rPr>
                <w:rFonts w:ascii="Arial Narrow" w:hAnsi="Arial Narrow"/>
                <w:sz w:val="20"/>
              </w:rPr>
              <w:t>Blinded observers</w:t>
            </w:r>
          </w:p>
        </w:tc>
        <w:tc>
          <w:tcPr>
            <w:tcW w:w="2254" w:type="dxa"/>
            <w:tcBorders>
              <w:left w:val="nil"/>
              <w:right w:val="nil"/>
            </w:tcBorders>
            <w:vAlign w:val="center"/>
          </w:tcPr>
          <w:p w14:paraId="53E95197" w14:textId="77777777" w:rsidR="00AE2D27" w:rsidRPr="009D0012" w:rsidRDefault="00AE2D27" w:rsidP="00AE2D27">
            <w:pPr>
              <w:keepNext/>
              <w:spacing w:before="40" w:after="40"/>
              <w:rPr>
                <w:rFonts w:ascii="Arial Narrow" w:hAnsi="Arial Narrow"/>
                <w:i/>
                <w:sz w:val="20"/>
              </w:rPr>
            </w:pPr>
          </w:p>
        </w:tc>
        <w:tc>
          <w:tcPr>
            <w:tcW w:w="2254" w:type="dxa"/>
            <w:tcBorders>
              <w:left w:val="nil"/>
              <w:right w:val="nil"/>
            </w:tcBorders>
            <w:vAlign w:val="center"/>
          </w:tcPr>
          <w:p w14:paraId="38EBFFAC" w14:textId="77777777" w:rsidR="00AE2D27" w:rsidRPr="009D0012" w:rsidRDefault="00AE2D27" w:rsidP="00AE2D27">
            <w:pPr>
              <w:keepNext/>
              <w:spacing w:before="40" w:after="40"/>
              <w:rPr>
                <w:rFonts w:ascii="Arial Narrow" w:hAnsi="Arial Narrow"/>
                <w:i/>
                <w:sz w:val="20"/>
              </w:rPr>
            </w:pPr>
          </w:p>
        </w:tc>
        <w:tc>
          <w:tcPr>
            <w:tcW w:w="2254" w:type="dxa"/>
            <w:tcBorders>
              <w:left w:val="nil"/>
            </w:tcBorders>
            <w:vAlign w:val="center"/>
          </w:tcPr>
          <w:p w14:paraId="50BC3FF3" w14:textId="77777777" w:rsidR="00AE2D27" w:rsidRPr="009D0012" w:rsidRDefault="00AE2D27" w:rsidP="00AE2D27">
            <w:pPr>
              <w:keepNext/>
              <w:spacing w:before="40" w:after="40"/>
              <w:rPr>
                <w:rFonts w:ascii="Arial Narrow" w:hAnsi="Arial Narrow"/>
                <w:i/>
                <w:sz w:val="20"/>
              </w:rPr>
            </w:pPr>
          </w:p>
        </w:tc>
      </w:tr>
      <w:tr w:rsidR="00AE2D27" w:rsidRPr="009D0012" w14:paraId="0062447B" w14:textId="77777777" w:rsidTr="00AE2D27">
        <w:tc>
          <w:tcPr>
            <w:tcW w:w="2254" w:type="dxa"/>
          </w:tcPr>
          <w:p w14:paraId="2EE612F7" w14:textId="77777777" w:rsidR="00AE2D27" w:rsidRPr="009D0012" w:rsidRDefault="00AE2D27" w:rsidP="00AE2D27">
            <w:pPr>
              <w:keepNext/>
              <w:spacing w:before="40" w:after="40"/>
              <w:rPr>
                <w:rFonts w:ascii="Arial Narrow" w:hAnsi="Arial Narrow"/>
                <w:sz w:val="20"/>
              </w:rPr>
            </w:pPr>
            <w:r w:rsidRPr="009D0012">
              <w:rPr>
                <w:rFonts w:ascii="Arial Narrow" w:hAnsi="Arial Narrow"/>
                <w:sz w:val="20"/>
              </w:rPr>
              <w:t>Pigmentation</w:t>
            </w:r>
          </w:p>
        </w:tc>
        <w:tc>
          <w:tcPr>
            <w:tcW w:w="2254" w:type="dxa"/>
            <w:vAlign w:val="center"/>
          </w:tcPr>
          <w:p w14:paraId="4B724B19"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1</w:t>
            </w:r>
          </w:p>
        </w:tc>
        <w:tc>
          <w:tcPr>
            <w:tcW w:w="2254" w:type="dxa"/>
            <w:vAlign w:val="center"/>
          </w:tcPr>
          <w:p w14:paraId="7AB7CEDA"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6</w:t>
            </w:r>
          </w:p>
        </w:tc>
        <w:tc>
          <w:tcPr>
            <w:tcW w:w="2254" w:type="dxa"/>
            <w:vAlign w:val="center"/>
          </w:tcPr>
          <w:p w14:paraId="78877A0D"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1</w:t>
            </w:r>
          </w:p>
        </w:tc>
      </w:tr>
      <w:tr w:rsidR="00AE2D27" w:rsidRPr="009D0012" w14:paraId="7214815A" w14:textId="77777777" w:rsidTr="00AE2D27">
        <w:tc>
          <w:tcPr>
            <w:tcW w:w="2254" w:type="dxa"/>
          </w:tcPr>
          <w:p w14:paraId="54E9CA9F" w14:textId="77777777" w:rsidR="00AE2D27" w:rsidRPr="009D0012" w:rsidRDefault="00AE2D27" w:rsidP="00AE2D27">
            <w:pPr>
              <w:keepNext/>
              <w:spacing w:before="40" w:after="40"/>
              <w:rPr>
                <w:rFonts w:ascii="Arial Narrow" w:hAnsi="Arial Narrow"/>
                <w:sz w:val="20"/>
              </w:rPr>
            </w:pPr>
            <w:r w:rsidRPr="009D0012">
              <w:rPr>
                <w:rFonts w:ascii="Arial Narrow" w:hAnsi="Arial Narrow"/>
                <w:sz w:val="20"/>
              </w:rPr>
              <w:t>Vascularity</w:t>
            </w:r>
          </w:p>
        </w:tc>
        <w:tc>
          <w:tcPr>
            <w:tcW w:w="2254" w:type="dxa"/>
            <w:vAlign w:val="center"/>
          </w:tcPr>
          <w:p w14:paraId="280F087C"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1</w:t>
            </w:r>
          </w:p>
        </w:tc>
        <w:tc>
          <w:tcPr>
            <w:tcW w:w="2254" w:type="dxa"/>
            <w:vAlign w:val="center"/>
          </w:tcPr>
          <w:p w14:paraId="63C5534A"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6</w:t>
            </w:r>
          </w:p>
        </w:tc>
        <w:tc>
          <w:tcPr>
            <w:tcW w:w="2254" w:type="dxa"/>
            <w:vAlign w:val="center"/>
          </w:tcPr>
          <w:p w14:paraId="24191A59"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1</w:t>
            </w:r>
          </w:p>
        </w:tc>
      </w:tr>
      <w:tr w:rsidR="00AE2D27" w:rsidRPr="009D0012" w14:paraId="287FEEB8" w14:textId="77777777" w:rsidTr="00AE2D27">
        <w:tc>
          <w:tcPr>
            <w:tcW w:w="2254" w:type="dxa"/>
          </w:tcPr>
          <w:p w14:paraId="17B33C4E" w14:textId="77777777" w:rsidR="00AE2D27" w:rsidRPr="009D0012" w:rsidRDefault="00AE2D27" w:rsidP="00AE2D27">
            <w:pPr>
              <w:keepNext/>
              <w:spacing w:before="40" w:after="40"/>
              <w:rPr>
                <w:rFonts w:ascii="Arial Narrow" w:hAnsi="Arial Narrow"/>
                <w:sz w:val="20"/>
              </w:rPr>
            </w:pPr>
            <w:r w:rsidRPr="009D0012">
              <w:rPr>
                <w:rFonts w:ascii="Arial Narrow" w:hAnsi="Arial Narrow"/>
                <w:sz w:val="20"/>
              </w:rPr>
              <w:t>Pliability</w:t>
            </w:r>
          </w:p>
        </w:tc>
        <w:tc>
          <w:tcPr>
            <w:tcW w:w="2254" w:type="dxa"/>
            <w:vAlign w:val="center"/>
          </w:tcPr>
          <w:p w14:paraId="521D314F"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3</w:t>
            </w:r>
          </w:p>
        </w:tc>
        <w:tc>
          <w:tcPr>
            <w:tcW w:w="2254" w:type="dxa"/>
            <w:vAlign w:val="center"/>
          </w:tcPr>
          <w:p w14:paraId="44F98DA6"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3</w:t>
            </w:r>
          </w:p>
        </w:tc>
        <w:tc>
          <w:tcPr>
            <w:tcW w:w="2254" w:type="dxa"/>
            <w:vAlign w:val="center"/>
          </w:tcPr>
          <w:p w14:paraId="34BBED00"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2</w:t>
            </w:r>
          </w:p>
        </w:tc>
      </w:tr>
      <w:tr w:rsidR="00AE2D27" w:rsidRPr="009D0012" w14:paraId="694F4A31" w14:textId="77777777" w:rsidTr="00AE2D27">
        <w:tc>
          <w:tcPr>
            <w:tcW w:w="2254" w:type="dxa"/>
          </w:tcPr>
          <w:p w14:paraId="4EF5DAE4" w14:textId="77777777" w:rsidR="00AE2D27" w:rsidRPr="009D0012" w:rsidRDefault="00AE2D27" w:rsidP="00AE2D27">
            <w:pPr>
              <w:keepNext/>
              <w:spacing w:before="40" w:after="40"/>
              <w:rPr>
                <w:rFonts w:ascii="Arial Narrow" w:hAnsi="Arial Narrow"/>
                <w:sz w:val="20"/>
              </w:rPr>
            </w:pPr>
            <w:r w:rsidRPr="009D0012">
              <w:rPr>
                <w:rFonts w:ascii="Arial Narrow" w:hAnsi="Arial Narrow"/>
                <w:sz w:val="20"/>
              </w:rPr>
              <w:t>Height</w:t>
            </w:r>
          </w:p>
        </w:tc>
        <w:tc>
          <w:tcPr>
            <w:tcW w:w="2254" w:type="dxa"/>
            <w:vAlign w:val="center"/>
          </w:tcPr>
          <w:p w14:paraId="48DB32B2"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1</w:t>
            </w:r>
          </w:p>
        </w:tc>
        <w:tc>
          <w:tcPr>
            <w:tcW w:w="2254" w:type="dxa"/>
            <w:vAlign w:val="center"/>
          </w:tcPr>
          <w:p w14:paraId="1C34B6A6"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5</w:t>
            </w:r>
          </w:p>
        </w:tc>
        <w:tc>
          <w:tcPr>
            <w:tcW w:w="2254" w:type="dxa"/>
            <w:vAlign w:val="center"/>
          </w:tcPr>
          <w:p w14:paraId="2D4FCBEF"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2</w:t>
            </w:r>
          </w:p>
        </w:tc>
      </w:tr>
      <w:tr w:rsidR="00AE2D27" w:rsidRPr="009D0012" w14:paraId="613FDAAE" w14:textId="77777777" w:rsidTr="00AE2D27">
        <w:tc>
          <w:tcPr>
            <w:tcW w:w="2254" w:type="dxa"/>
            <w:tcBorders>
              <w:right w:val="nil"/>
            </w:tcBorders>
          </w:tcPr>
          <w:p w14:paraId="21DE26C0" w14:textId="77777777" w:rsidR="00AE2D27" w:rsidRPr="009D0012" w:rsidRDefault="00AE2D27" w:rsidP="00AE2D27">
            <w:pPr>
              <w:keepNext/>
              <w:spacing w:before="40" w:after="40"/>
              <w:rPr>
                <w:rFonts w:ascii="Arial Narrow" w:hAnsi="Arial Narrow"/>
                <w:sz w:val="20"/>
              </w:rPr>
            </w:pPr>
            <w:r>
              <w:rPr>
                <w:rFonts w:ascii="Arial Narrow" w:hAnsi="Arial Narrow"/>
                <w:sz w:val="20"/>
              </w:rPr>
              <w:t>Blinded patients</w:t>
            </w:r>
          </w:p>
        </w:tc>
        <w:tc>
          <w:tcPr>
            <w:tcW w:w="2254" w:type="dxa"/>
            <w:tcBorders>
              <w:left w:val="nil"/>
              <w:right w:val="nil"/>
            </w:tcBorders>
            <w:vAlign w:val="center"/>
          </w:tcPr>
          <w:p w14:paraId="62814B45" w14:textId="77777777" w:rsidR="00AE2D27" w:rsidRPr="009D0012" w:rsidRDefault="00AE2D27" w:rsidP="00AE2D27">
            <w:pPr>
              <w:keepNext/>
              <w:spacing w:before="40" w:after="40"/>
              <w:jc w:val="center"/>
              <w:rPr>
                <w:rFonts w:ascii="Arial Narrow" w:hAnsi="Arial Narrow"/>
                <w:sz w:val="20"/>
              </w:rPr>
            </w:pPr>
          </w:p>
        </w:tc>
        <w:tc>
          <w:tcPr>
            <w:tcW w:w="2254" w:type="dxa"/>
            <w:tcBorders>
              <w:left w:val="nil"/>
              <w:right w:val="nil"/>
            </w:tcBorders>
            <w:vAlign w:val="center"/>
          </w:tcPr>
          <w:p w14:paraId="153186C3" w14:textId="77777777" w:rsidR="00AE2D27" w:rsidRPr="009D0012" w:rsidRDefault="00AE2D27" w:rsidP="00AE2D27">
            <w:pPr>
              <w:keepNext/>
              <w:spacing w:before="40" w:after="40"/>
              <w:jc w:val="center"/>
              <w:rPr>
                <w:rFonts w:ascii="Arial Narrow" w:hAnsi="Arial Narrow"/>
                <w:sz w:val="20"/>
              </w:rPr>
            </w:pPr>
          </w:p>
        </w:tc>
        <w:tc>
          <w:tcPr>
            <w:tcW w:w="2254" w:type="dxa"/>
            <w:tcBorders>
              <w:left w:val="nil"/>
            </w:tcBorders>
            <w:vAlign w:val="center"/>
          </w:tcPr>
          <w:p w14:paraId="280BA183" w14:textId="77777777" w:rsidR="00AE2D27" w:rsidRPr="009D0012" w:rsidRDefault="00AE2D27" w:rsidP="00AE2D27">
            <w:pPr>
              <w:keepNext/>
              <w:spacing w:before="40" w:after="40"/>
              <w:jc w:val="center"/>
              <w:rPr>
                <w:rFonts w:ascii="Arial Narrow" w:hAnsi="Arial Narrow"/>
                <w:sz w:val="20"/>
              </w:rPr>
            </w:pPr>
          </w:p>
        </w:tc>
      </w:tr>
      <w:tr w:rsidR="00AE2D27" w:rsidRPr="009D0012" w14:paraId="6233F8FB" w14:textId="77777777" w:rsidTr="00AE2D27">
        <w:tc>
          <w:tcPr>
            <w:tcW w:w="2254" w:type="dxa"/>
          </w:tcPr>
          <w:p w14:paraId="69B538F9" w14:textId="77777777" w:rsidR="00AE2D27" w:rsidRPr="009D0012" w:rsidRDefault="00AE2D27" w:rsidP="00AE2D27">
            <w:pPr>
              <w:keepNext/>
              <w:spacing w:before="40" w:after="40"/>
              <w:rPr>
                <w:rFonts w:ascii="Arial Narrow" w:hAnsi="Arial Narrow"/>
                <w:sz w:val="20"/>
              </w:rPr>
            </w:pPr>
            <w:r w:rsidRPr="009D0012">
              <w:rPr>
                <w:rFonts w:ascii="Arial Narrow" w:hAnsi="Arial Narrow"/>
                <w:sz w:val="20"/>
              </w:rPr>
              <w:t>“Looks”</w:t>
            </w:r>
          </w:p>
        </w:tc>
        <w:tc>
          <w:tcPr>
            <w:tcW w:w="2254" w:type="dxa"/>
            <w:vAlign w:val="center"/>
          </w:tcPr>
          <w:p w14:paraId="68579AA5"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4</w:t>
            </w:r>
          </w:p>
        </w:tc>
        <w:tc>
          <w:tcPr>
            <w:tcW w:w="2254" w:type="dxa"/>
            <w:vAlign w:val="center"/>
          </w:tcPr>
          <w:p w14:paraId="03D4A541"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2</w:t>
            </w:r>
          </w:p>
        </w:tc>
        <w:tc>
          <w:tcPr>
            <w:tcW w:w="2254" w:type="dxa"/>
            <w:vAlign w:val="center"/>
          </w:tcPr>
          <w:p w14:paraId="0FD46504"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2</w:t>
            </w:r>
          </w:p>
        </w:tc>
      </w:tr>
      <w:tr w:rsidR="00AE2D27" w:rsidRPr="009D0012" w14:paraId="3FA8DC5A" w14:textId="77777777" w:rsidTr="00AE2D27">
        <w:tc>
          <w:tcPr>
            <w:tcW w:w="2254" w:type="dxa"/>
          </w:tcPr>
          <w:p w14:paraId="7EE3ADAA" w14:textId="77777777" w:rsidR="00AE2D27" w:rsidRPr="009D0012" w:rsidRDefault="00AE2D27" w:rsidP="00AE2D27">
            <w:pPr>
              <w:keepNext/>
              <w:spacing w:before="40" w:after="40"/>
              <w:rPr>
                <w:rFonts w:ascii="Arial Narrow" w:hAnsi="Arial Narrow"/>
                <w:sz w:val="20"/>
              </w:rPr>
            </w:pPr>
            <w:r w:rsidRPr="009D0012">
              <w:rPr>
                <w:rFonts w:ascii="Arial Narrow" w:hAnsi="Arial Narrow"/>
                <w:sz w:val="20"/>
              </w:rPr>
              <w:t>“Feels”</w:t>
            </w:r>
          </w:p>
        </w:tc>
        <w:tc>
          <w:tcPr>
            <w:tcW w:w="2254" w:type="dxa"/>
            <w:vAlign w:val="center"/>
          </w:tcPr>
          <w:p w14:paraId="7F8A55F4"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2</w:t>
            </w:r>
          </w:p>
        </w:tc>
        <w:tc>
          <w:tcPr>
            <w:tcW w:w="2254" w:type="dxa"/>
            <w:vAlign w:val="center"/>
          </w:tcPr>
          <w:p w14:paraId="791073F0"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2</w:t>
            </w:r>
          </w:p>
        </w:tc>
        <w:tc>
          <w:tcPr>
            <w:tcW w:w="2254" w:type="dxa"/>
            <w:vAlign w:val="center"/>
          </w:tcPr>
          <w:p w14:paraId="073CB999" w14:textId="77777777" w:rsidR="00AE2D27" w:rsidRPr="009D0012" w:rsidRDefault="00AE2D27" w:rsidP="00AE2D27">
            <w:pPr>
              <w:keepNext/>
              <w:spacing w:before="40" w:after="40"/>
              <w:jc w:val="center"/>
              <w:rPr>
                <w:rFonts w:ascii="Arial Narrow" w:hAnsi="Arial Narrow"/>
                <w:sz w:val="20"/>
              </w:rPr>
            </w:pPr>
            <w:r w:rsidRPr="009D0012">
              <w:rPr>
                <w:rFonts w:ascii="Arial Narrow" w:hAnsi="Arial Narrow"/>
                <w:sz w:val="20"/>
              </w:rPr>
              <w:t>4</w:t>
            </w:r>
          </w:p>
        </w:tc>
      </w:tr>
    </w:tbl>
    <w:p w14:paraId="4C1A4442" w14:textId="77777777" w:rsidR="00AE2D27" w:rsidRDefault="00AE2D27" w:rsidP="00AE2D27">
      <w:pPr>
        <w:keepNext/>
        <w:tabs>
          <w:tab w:val="left" w:pos="284"/>
        </w:tabs>
        <w:rPr>
          <w:rFonts w:ascii="Arial Narrow" w:hAnsi="Arial Narrow"/>
          <w:sz w:val="18"/>
        </w:rPr>
      </w:pPr>
      <w:r>
        <w:rPr>
          <w:rFonts w:ascii="Arial Narrow" w:hAnsi="Arial Narrow"/>
          <w:sz w:val="18"/>
        </w:rPr>
        <w:t>Abbreviations: AFG = autologous fat graft; N = number of participants</w:t>
      </w:r>
    </w:p>
    <w:p w14:paraId="331C72ED" w14:textId="2775CAF4" w:rsidR="00AE2D27" w:rsidRPr="0056718A" w:rsidRDefault="00AE2D27" w:rsidP="00AE2D27">
      <w:pPr>
        <w:keepNext/>
        <w:tabs>
          <w:tab w:val="left" w:pos="284"/>
        </w:tabs>
        <w:rPr>
          <w:rFonts w:ascii="Arial Narrow" w:hAnsi="Arial Narrow"/>
          <w:sz w:val="18"/>
        </w:rPr>
      </w:pPr>
      <w:r>
        <w:rPr>
          <w:rFonts w:ascii="Arial Narrow" w:hAnsi="Arial Narrow"/>
          <w:sz w:val="18"/>
        </w:rPr>
        <w:t>Source: Table 24, p10</w:t>
      </w:r>
      <w:r w:rsidR="008652D9">
        <w:rPr>
          <w:rFonts w:ascii="Arial Narrow" w:hAnsi="Arial Narrow"/>
          <w:sz w:val="18"/>
        </w:rPr>
        <w:t>0 of the DCAR.</w:t>
      </w:r>
    </w:p>
    <w:p w14:paraId="6571C4F0" w14:textId="77777777" w:rsidR="00AE2D27" w:rsidRPr="00F3276D" w:rsidRDefault="00AE2D27" w:rsidP="00F3276D">
      <w:pPr>
        <w:spacing w:before="240"/>
        <w:rPr>
          <w:b/>
        </w:rPr>
      </w:pPr>
      <w:r w:rsidRPr="00F3276D">
        <w:rPr>
          <w:b/>
        </w:rPr>
        <w:t>Skin hardness</w:t>
      </w:r>
    </w:p>
    <w:p w14:paraId="00A165E0" w14:textId="02DED1EC" w:rsidR="008652D9" w:rsidRPr="008652D9" w:rsidRDefault="00AE2D27">
      <w:r>
        <w:t>The DCAR noted that Klinger (2013) reported skin hardness using a Durometer (objective outcome), showing a statistically significant reduction (p&lt;0.05) between preoperative and postoperative values in the AFG treated site while no significant reduction was obser</w:t>
      </w:r>
      <w:r w:rsidR="008F1FC0">
        <w:t>ved in the control site (</w:t>
      </w:r>
      <w:r w:rsidR="008652D9" w:rsidRPr="008827D2">
        <w:rPr>
          <w:szCs w:val="24"/>
        </w:rPr>
        <w:fldChar w:fldCharType="begin"/>
      </w:r>
      <w:r w:rsidR="008652D9" w:rsidRPr="008827D2">
        <w:rPr>
          <w:szCs w:val="24"/>
        </w:rPr>
        <w:instrText xml:space="preserve"> REF _Ref50013871 \h </w:instrText>
      </w:r>
      <w:r w:rsidR="008652D9" w:rsidRPr="008827D2">
        <w:rPr>
          <w:szCs w:val="24"/>
        </w:rPr>
      </w:r>
      <w:r w:rsidR="008827D2" w:rsidRPr="008827D2">
        <w:rPr>
          <w:szCs w:val="24"/>
        </w:rPr>
        <w:instrText xml:space="preserve"> \* MERGEFORMAT </w:instrText>
      </w:r>
      <w:r w:rsidR="008652D9" w:rsidRPr="008827D2">
        <w:rPr>
          <w:szCs w:val="24"/>
        </w:rPr>
        <w:fldChar w:fldCharType="separate"/>
      </w:r>
      <w:r w:rsidR="00E84BE3" w:rsidRPr="008827D2">
        <w:rPr>
          <w:szCs w:val="24"/>
        </w:rPr>
        <w:t xml:space="preserve">Table </w:t>
      </w:r>
      <w:r w:rsidR="00E84BE3" w:rsidRPr="008827D2">
        <w:rPr>
          <w:noProof/>
          <w:szCs w:val="24"/>
        </w:rPr>
        <w:t>6</w:t>
      </w:r>
      <w:r w:rsidR="008652D9" w:rsidRPr="008827D2">
        <w:rPr>
          <w:szCs w:val="24"/>
        </w:rPr>
        <w:fldChar w:fldCharType="end"/>
      </w:r>
      <w:r>
        <w:t xml:space="preserve">). The DCAR noted that flaws in the trial design (i.e. apparent lack of heterogeneity between the intervention and control parts of the scar area and no randomisation) prevented a meaningful comparison of results. The areas treated with AFG were significantly worse at </w:t>
      </w:r>
      <w:proofErr w:type="gramStart"/>
      <w:r>
        <w:t>baseline,</w:t>
      </w:r>
      <w:proofErr w:type="gramEnd"/>
      <w:r>
        <w:t xml:space="preserve"> however at 3 months of follow-up, the hardness of these areas became similar to the hardness of the area treated with saline (in fact, AFG site remained slightly wor</w:t>
      </w:r>
      <w:r w:rsidR="008652D9">
        <w:t>se).</w:t>
      </w:r>
      <w:bookmarkStart w:id="20" w:name="_Toc39593676"/>
      <w:r w:rsidR="008652D9">
        <w:br w:type="page"/>
      </w:r>
    </w:p>
    <w:p w14:paraId="3C7D1B2D" w14:textId="61E77A7D" w:rsidR="00AE2D27" w:rsidRPr="00F3276D" w:rsidRDefault="008652D9" w:rsidP="00F3276D">
      <w:pPr>
        <w:rPr>
          <w:rFonts w:ascii="Arial Narrow" w:hAnsi="Arial Narrow"/>
          <w:b/>
          <w:sz w:val="20"/>
        </w:rPr>
      </w:pPr>
      <w:bookmarkStart w:id="21" w:name="_Ref50013871"/>
      <w:r w:rsidRPr="00F3276D">
        <w:rPr>
          <w:rFonts w:ascii="Arial Narrow" w:hAnsi="Arial Narrow"/>
          <w:b/>
          <w:sz w:val="20"/>
        </w:rPr>
        <w:lastRenderedPageBreak/>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6</w:t>
      </w:r>
      <w:r w:rsidR="00F3276D" w:rsidRPr="00F3276D">
        <w:rPr>
          <w:rFonts w:ascii="Arial Narrow" w:hAnsi="Arial Narrow"/>
          <w:b/>
          <w:sz w:val="20"/>
        </w:rPr>
        <w:fldChar w:fldCharType="end"/>
      </w:r>
      <w:bookmarkEnd w:id="21"/>
      <w:r w:rsidR="00AE2D27" w:rsidRPr="00F3276D">
        <w:rPr>
          <w:rFonts w:ascii="Arial Narrow" w:hAnsi="Arial Narrow"/>
          <w:b/>
          <w:sz w:val="20"/>
        </w:rPr>
        <w:t xml:space="preserve">  Results of controlled trial (Klinger 2013) of AFG vs placebo (saline) to improve hardness (N=20)</w:t>
      </w:r>
      <w:bookmarkEnd w:id="20"/>
    </w:p>
    <w:tbl>
      <w:tblPr>
        <w:tblStyle w:val="TableGrid"/>
        <w:tblW w:w="9039" w:type="dxa"/>
        <w:tblCellMar>
          <w:left w:w="28" w:type="dxa"/>
          <w:right w:w="28" w:type="dxa"/>
        </w:tblCellMar>
        <w:tblLook w:val="04A0" w:firstRow="1" w:lastRow="0" w:firstColumn="1" w:lastColumn="0" w:noHBand="0" w:noVBand="1"/>
        <w:tblCaption w:val="Results of controlled trial (Klinger 2013) of AFG vs placebo (saline) to improve hardness (N=20)"/>
        <w:tblDescription w:val="Results of controlled trial (Klinger 2013) of AFG vs placebo (saline) to improve hardness (N=20)"/>
      </w:tblPr>
      <w:tblGrid>
        <w:gridCol w:w="1980"/>
        <w:gridCol w:w="3260"/>
        <w:gridCol w:w="3799"/>
      </w:tblGrid>
      <w:tr w:rsidR="00AE2D27" w:rsidRPr="00031635" w14:paraId="76859F2B" w14:textId="77777777" w:rsidTr="00AE2D27">
        <w:trPr>
          <w:tblHeader/>
        </w:trPr>
        <w:tc>
          <w:tcPr>
            <w:tcW w:w="1980" w:type="dxa"/>
          </w:tcPr>
          <w:p w14:paraId="268872E1" w14:textId="77777777" w:rsidR="00AE2D27" w:rsidRPr="00031635" w:rsidRDefault="00AE2D27" w:rsidP="00AE2D27">
            <w:pPr>
              <w:spacing w:before="40" w:after="40"/>
              <w:rPr>
                <w:rFonts w:ascii="Arial Narrow" w:hAnsi="Arial Narrow"/>
                <w:b/>
                <w:sz w:val="20"/>
              </w:rPr>
            </w:pPr>
            <w:r w:rsidRPr="00031635">
              <w:rPr>
                <w:rFonts w:ascii="Arial Narrow" w:hAnsi="Arial Narrow"/>
                <w:b/>
                <w:sz w:val="20"/>
              </w:rPr>
              <w:t>Arm of the trial</w:t>
            </w:r>
          </w:p>
        </w:tc>
        <w:tc>
          <w:tcPr>
            <w:tcW w:w="3260" w:type="dxa"/>
            <w:vAlign w:val="center"/>
          </w:tcPr>
          <w:p w14:paraId="5BABD9EF" w14:textId="77777777" w:rsidR="00AE2D27" w:rsidRPr="00031635" w:rsidRDefault="00AE2D27" w:rsidP="00AE2D27">
            <w:pPr>
              <w:spacing w:before="40" w:after="40"/>
              <w:jc w:val="center"/>
              <w:rPr>
                <w:rFonts w:ascii="Arial Narrow" w:hAnsi="Arial Narrow"/>
                <w:b/>
                <w:sz w:val="20"/>
              </w:rPr>
            </w:pPr>
            <w:r w:rsidRPr="00031635">
              <w:rPr>
                <w:rFonts w:ascii="Arial Narrow" w:hAnsi="Arial Narrow"/>
                <w:b/>
                <w:sz w:val="20"/>
              </w:rPr>
              <w:t>Durometer mean value (baseline)</w:t>
            </w:r>
          </w:p>
        </w:tc>
        <w:tc>
          <w:tcPr>
            <w:tcW w:w="3799" w:type="dxa"/>
            <w:vAlign w:val="center"/>
          </w:tcPr>
          <w:p w14:paraId="6AD48881" w14:textId="77777777" w:rsidR="00AE2D27" w:rsidRPr="00031635" w:rsidRDefault="00AE2D27" w:rsidP="00AE2D27">
            <w:pPr>
              <w:spacing w:before="40" w:after="40"/>
              <w:jc w:val="center"/>
              <w:rPr>
                <w:rFonts w:ascii="Arial Narrow" w:hAnsi="Arial Narrow"/>
                <w:b/>
                <w:sz w:val="20"/>
              </w:rPr>
            </w:pPr>
            <w:r w:rsidRPr="00031635">
              <w:rPr>
                <w:rFonts w:ascii="Arial Narrow" w:hAnsi="Arial Narrow"/>
                <w:b/>
                <w:sz w:val="20"/>
              </w:rPr>
              <w:t>Durometer mean value (3 months)</w:t>
            </w:r>
          </w:p>
        </w:tc>
      </w:tr>
      <w:tr w:rsidR="00AE2D27" w:rsidRPr="00031635" w14:paraId="0ECF1E1D" w14:textId="77777777" w:rsidTr="00AE2D27">
        <w:tc>
          <w:tcPr>
            <w:tcW w:w="1980" w:type="dxa"/>
          </w:tcPr>
          <w:p w14:paraId="7F381A72" w14:textId="77777777" w:rsidR="00AE2D27" w:rsidRPr="00031635" w:rsidRDefault="00AE2D27" w:rsidP="00AE2D27">
            <w:pPr>
              <w:spacing w:before="40" w:after="40"/>
              <w:rPr>
                <w:rFonts w:ascii="Arial Narrow" w:hAnsi="Arial Narrow"/>
                <w:sz w:val="20"/>
              </w:rPr>
            </w:pPr>
            <w:r w:rsidRPr="00031635">
              <w:rPr>
                <w:rFonts w:ascii="Arial Narrow" w:hAnsi="Arial Narrow"/>
                <w:sz w:val="20"/>
              </w:rPr>
              <w:t>Intervention (AFG)</w:t>
            </w:r>
          </w:p>
        </w:tc>
        <w:tc>
          <w:tcPr>
            <w:tcW w:w="3260" w:type="dxa"/>
            <w:vAlign w:val="center"/>
          </w:tcPr>
          <w:p w14:paraId="265B81EC" w14:textId="77777777" w:rsidR="00AE2D27" w:rsidRPr="00031635" w:rsidRDefault="00AE2D27" w:rsidP="00AE2D27">
            <w:pPr>
              <w:spacing w:before="40" w:after="40"/>
              <w:jc w:val="center"/>
              <w:rPr>
                <w:rFonts w:ascii="Arial Narrow" w:hAnsi="Arial Narrow"/>
                <w:sz w:val="20"/>
              </w:rPr>
            </w:pPr>
            <w:r w:rsidRPr="00031635">
              <w:rPr>
                <w:rFonts w:ascii="Arial Narrow" w:hAnsi="Arial Narrow"/>
                <w:sz w:val="20"/>
              </w:rPr>
              <w:t>40.91 (SD 11.85)</w:t>
            </w:r>
          </w:p>
        </w:tc>
        <w:tc>
          <w:tcPr>
            <w:tcW w:w="3799" w:type="dxa"/>
            <w:vAlign w:val="center"/>
          </w:tcPr>
          <w:p w14:paraId="1F9413FA" w14:textId="77777777" w:rsidR="00AE2D27" w:rsidRPr="00031635" w:rsidRDefault="00AE2D27" w:rsidP="00AE2D27">
            <w:pPr>
              <w:spacing w:before="40" w:after="40"/>
              <w:jc w:val="center"/>
              <w:rPr>
                <w:rFonts w:ascii="Arial Narrow" w:hAnsi="Arial Narrow"/>
                <w:sz w:val="20"/>
              </w:rPr>
            </w:pPr>
            <w:r w:rsidRPr="00031635">
              <w:rPr>
                <w:rFonts w:ascii="Arial Narrow" w:hAnsi="Arial Narrow"/>
                <w:sz w:val="20"/>
              </w:rPr>
              <w:t>31.67 (SD 9.46)</w:t>
            </w:r>
          </w:p>
        </w:tc>
      </w:tr>
      <w:tr w:rsidR="00AE2D27" w:rsidRPr="00031635" w14:paraId="6446DDD7" w14:textId="77777777" w:rsidTr="00AE2D27">
        <w:tc>
          <w:tcPr>
            <w:tcW w:w="1980" w:type="dxa"/>
          </w:tcPr>
          <w:p w14:paraId="3AC2EC2B" w14:textId="77777777" w:rsidR="00AE2D27" w:rsidRPr="00031635" w:rsidRDefault="00AE2D27" w:rsidP="00AE2D27">
            <w:pPr>
              <w:spacing w:before="40" w:after="40"/>
              <w:rPr>
                <w:rFonts w:ascii="Arial Narrow" w:hAnsi="Arial Narrow"/>
                <w:sz w:val="20"/>
              </w:rPr>
            </w:pPr>
            <w:r w:rsidRPr="00031635">
              <w:rPr>
                <w:rFonts w:ascii="Arial Narrow" w:hAnsi="Arial Narrow"/>
                <w:sz w:val="20"/>
              </w:rPr>
              <w:t>Control (saline)</w:t>
            </w:r>
          </w:p>
        </w:tc>
        <w:tc>
          <w:tcPr>
            <w:tcW w:w="3260" w:type="dxa"/>
            <w:vAlign w:val="center"/>
          </w:tcPr>
          <w:p w14:paraId="62EAF8D9" w14:textId="77777777" w:rsidR="00AE2D27" w:rsidRPr="00031635" w:rsidRDefault="00AE2D27" w:rsidP="00AE2D27">
            <w:pPr>
              <w:spacing w:before="40" w:after="40"/>
              <w:jc w:val="center"/>
              <w:rPr>
                <w:rFonts w:ascii="Arial Narrow" w:hAnsi="Arial Narrow"/>
                <w:sz w:val="20"/>
              </w:rPr>
            </w:pPr>
            <w:r w:rsidRPr="00031635">
              <w:rPr>
                <w:rFonts w:ascii="Arial Narrow" w:hAnsi="Arial Narrow"/>
                <w:sz w:val="20"/>
              </w:rPr>
              <w:t>33.75 (SD 10.94)</w:t>
            </w:r>
          </w:p>
        </w:tc>
        <w:tc>
          <w:tcPr>
            <w:tcW w:w="3799" w:type="dxa"/>
            <w:vAlign w:val="center"/>
          </w:tcPr>
          <w:p w14:paraId="6B5984C1" w14:textId="77777777" w:rsidR="00AE2D27" w:rsidRPr="00031635" w:rsidRDefault="00AE2D27" w:rsidP="00AE2D27">
            <w:pPr>
              <w:spacing w:before="40" w:after="40"/>
              <w:jc w:val="center"/>
              <w:rPr>
                <w:rFonts w:ascii="Arial Narrow" w:hAnsi="Arial Narrow"/>
                <w:sz w:val="20"/>
              </w:rPr>
            </w:pPr>
            <w:r w:rsidRPr="00031635">
              <w:rPr>
                <w:rFonts w:ascii="Arial Narrow" w:hAnsi="Arial Narrow"/>
                <w:sz w:val="20"/>
              </w:rPr>
              <w:t>30.72 (SD 10.77)</w:t>
            </w:r>
          </w:p>
        </w:tc>
      </w:tr>
    </w:tbl>
    <w:p w14:paraId="0DB97985" w14:textId="77777777" w:rsidR="00AE2D27" w:rsidRDefault="00AE2D27" w:rsidP="00AE2D27">
      <w:pPr>
        <w:tabs>
          <w:tab w:val="left" w:pos="284"/>
        </w:tabs>
        <w:rPr>
          <w:rFonts w:ascii="Arial Narrow" w:hAnsi="Arial Narrow"/>
          <w:sz w:val="18"/>
        </w:rPr>
      </w:pPr>
      <w:r>
        <w:rPr>
          <w:rFonts w:ascii="Arial Narrow" w:hAnsi="Arial Narrow"/>
          <w:sz w:val="18"/>
        </w:rPr>
        <w:t>Abbreviations: AFG = autologous fat graft; N = number of participants; SD = standard deviation</w:t>
      </w:r>
    </w:p>
    <w:p w14:paraId="1F7792D3" w14:textId="77777777" w:rsidR="00AE2D27" w:rsidRDefault="00AE2D27" w:rsidP="00AE2D27">
      <w:pPr>
        <w:tabs>
          <w:tab w:val="left" w:pos="284"/>
        </w:tabs>
      </w:pPr>
      <w:r>
        <w:rPr>
          <w:rFonts w:ascii="Arial Narrow" w:hAnsi="Arial Narrow"/>
          <w:sz w:val="18"/>
        </w:rPr>
        <w:t>Source: Table 25, p101 of the DCAR.</w:t>
      </w:r>
    </w:p>
    <w:p w14:paraId="49486246" w14:textId="77777777" w:rsidR="00AE2D27" w:rsidRPr="00F3276D" w:rsidRDefault="00AE2D27" w:rsidP="00F3276D">
      <w:pPr>
        <w:spacing w:before="240"/>
        <w:rPr>
          <w:b/>
        </w:rPr>
      </w:pPr>
      <w:r w:rsidRPr="00F3276D">
        <w:rPr>
          <w:b/>
        </w:rPr>
        <w:t>Other clinical effectiveness outcomes</w:t>
      </w:r>
    </w:p>
    <w:p w14:paraId="7FD62AD1" w14:textId="54CACBC3" w:rsidR="00AE2D27" w:rsidRDefault="00AE2D27" w:rsidP="00AE2D27">
      <w:r>
        <w:t>The DCAR noted c</w:t>
      </w:r>
      <w:r w:rsidRPr="008D71E1">
        <w:t xml:space="preserve">hange in </w:t>
      </w:r>
      <w:r>
        <w:t xml:space="preserve">a summary Vancouver </w:t>
      </w:r>
      <w:r w:rsidRPr="00F42989">
        <w:t>Scar Scale</w:t>
      </w:r>
      <w:r>
        <w:t xml:space="preserve"> (VSS) score</w:t>
      </w:r>
      <w:r w:rsidRPr="008D71E1">
        <w:t xml:space="preserve"> </w:t>
      </w:r>
      <w:r>
        <w:t xml:space="preserve">from baseline was </w:t>
      </w:r>
      <w:r w:rsidRPr="008D71E1">
        <w:t xml:space="preserve">reported </w:t>
      </w:r>
      <w:r>
        <w:t xml:space="preserve">by </w:t>
      </w:r>
      <w:r w:rsidRPr="00841997">
        <w:t xml:space="preserve">Bruno </w:t>
      </w:r>
      <w:r>
        <w:t>(</w:t>
      </w:r>
      <w:r w:rsidRPr="00841997">
        <w:t>2013</w:t>
      </w:r>
      <w:r>
        <w:t>)</w:t>
      </w:r>
      <w:r>
        <w:rPr>
          <w:rStyle w:val="FootnoteReference"/>
        </w:rPr>
        <w:footnoteReference w:id="14"/>
      </w:r>
      <w:r>
        <w:t xml:space="preserve"> for the AFG procedure and by Gargano (2018) for a </w:t>
      </w:r>
      <w:r w:rsidRPr="00E7582B">
        <w:t>“SUFA”</w:t>
      </w:r>
      <w:r>
        <w:t xml:space="preserve"> </w:t>
      </w:r>
      <w:r w:rsidRPr="00E7582B">
        <w:t>technique (</w:t>
      </w:r>
      <w:proofErr w:type="spellStart"/>
      <w:r w:rsidRPr="00E7582B">
        <w:t>Subcision</w:t>
      </w:r>
      <w:proofErr w:type="spellEnd"/>
      <w:r w:rsidRPr="00E7582B">
        <w:t xml:space="preserve"> and Fat Grafting</w:t>
      </w:r>
      <w:r>
        <w:t>; Table 9).</w:t>
      </w:r>
      <w:r w:rsidRPr="00C9488B">
        <w:t xml:space="preserve"> </w:t>
      </w:r>
      <w:r>
        <w:t xml:space="preserve">Bruno (2013) reported a </w:t>
      </w:r>
      <w:proofErr w:type="gramStart"/>
      <w:r>
        <w:t>26 point</w:t>
      </w:r>
      <w:proofErr w:type="gramEnd"/>
      <w:r>
        <w:t xml:space="preserve"> change reduction (improvement) in VSS between baseline and the 6 month follow-up visit; however analysis of statistical significance of the difference was not conducted. </w:t>
      </w:r>
      <w:r w:rsidRPr="00E7582B">
        <w:t>Gargano (2018)</w:t>
      </w:r>
      <w:r>
        <w:t xml:space="preserve"> reported s</w:t>
      </w:r>
      <w:r w:rsidRPr="00E7582B">
        <w:t xml:space="preserve">tatistical significance </w:t>
      </w:r>
      <w:r>
        <w:t xml:space="preserve">of the change (6 point reduction) in the VSS total scores from baseline (p=0.0025). It is not known whether this </w:t>
      </w:r>
      <w:proofErr w:type="gramStart"/>
      <w:r>
        <w:t>6 point</w:t>
      </w:r>
      <w:proofErr w:type="gramEnd"/>
      <w:r>
        <w:t xml:space="preserve"> improvement w</w:t>
      </w:r>
      <w:r w:rsidR="008652D9">
        <w:t>ould be clinically significant.</w:t>
      </w:r>
    </w:p>
    <w:p w14:paraId="5DA0A8D7" w14:textId="6B3AA87D" w:rsidR="00AE2D27" w:rsidRDefault="00AE2D27" w:rsidP="008652D9">
      <w:pPr>
        <w:spacing w:before="240"/>
        <w:jc w:val="both"/>
      </w:pPr>
      <w:r>
        <w:t xml:space="preserve">The DCAR noted that Byrne (2016) included two types of patients with decreased range of motion due to scar contracture (N=7) and with cosmetically displeasing scars (N=6). Results indicating the change from the baseline </w:t>
      </w:r>
      <w:proofErr w:type="gramStart"/>
      <w:r>
        <w:t>were not reported</w:t>
      </w:r>
      <w:proofErr w:type="gramEnd"/>
      <w:r>
        <w:t xml:space="preserve"> according to subgroups.</w:t>
      </w:r>
      <w:r w:rsidRPr="00EA48E8">
        <w:t xml:space="preserve"> </w:t>
      </w:r>
      <w:r>
        <w:t>For the small sample of just 13 patients the study used a battery of tests: two objective metrics were range of motion (ROM), assessed with goniometer and grip strength, assessed with dynamometer; two condition-specific instruments were the Disabilities of the Arm, Shoulder and Hand (DASH) Questionnaire and Michigan Hand Outcome Questionnaire (MHQ</w:t>
      </w:r>
      <w:r w:rsidRPr="00962C2E">
        <w:t>) (Chung 1998)</w:t>
      </w:r>
      <w:r>
        <w:t xml:space="preserve">. </w:t>
      </w:r>
      <w:r w:rsidRPr="00962C2E">
        <w:t xml:space="preserve">The MHQ activity of daily living score, function score, work score, satisfaction score, pain score and total score, all increased following AFG </w:t>
      </w:r>
      <w:r w:rsidRPr="00962C2E">
        <w:rPr>
          <w:bCs/>
        </w:rPr>
        <w:t>but did not reach</w:t>
      </w:r>
      <w:r w:rsidRPr="00962C2E">
        <w:t xml:space="preserve"> </w:t>
      </w:r>
      <w:r>
        <w:t>the</w:t>
      </w:r>
      <w:r w:rsidRPr="00962C2E">
        <w:t xml:space="preserve"> level of statistical significance in comparison to the pre-surgery scores. Neither grip strength measurement (34.6 ±10 preoperatively </w:t>
      </w:r>
      <w:r w:rsidRPr="00EF58C3">
        <w:rPr>
          <w:i/>
        </w:rPr>
        <w:t>vs.</w:t>
      </w:r>
      <w:r w:rsidRPr="00962C2E">
        <w:t xml:space="preserve"> 35.8 ± 10 postoperatively) nor DASH</w:t>
      </w:r>
      <w:r>
        <w:t xml:space="preserve"> score (18 ±14 preoperatively </w:t>
      </w:r>
      <w:r w:rsidRPr="00EF58C3">
        <w:rPr>
          <w:i/>
        </w:rPr>
        <w:t>vs.</w:t>
      </w:r>
      <w:r>
        <w:t xml:space="preserve"> 18 ± 16 postop</w:t>
      </w:r>
      <w:r w:rsidR="008652D9">
        <w:t>eratively) showed improvements.</w:t>
      </w:r>
    </w:p>
    <w:p w14:paraId="261C1E3B" w14:textId="5D5F1316" w:rsidR="00AE2D27" w:rsidRDefault="00AE2D27" w:rsidP="008652D9">
      <w:pPr>
        <w:spacing w:before="240"/>
        <w:jc w:val="both"/>
      </w:pPr>
      <w:r>
        <w:t>The DC</w:t>
      </w:r>
      <w:r w:rsidR="00C5579C">
        <w:t>A</w:t>
      </w:r>
      <w:r>
        <w:t xml:space="preserve">R also noted in addition to the change in ROM in hand/arm (Byrne 2016), the goniometer results for head and neck </w:t>
      </w:r>
      <w:proofErr w:type="gramStart"/>
      <w:r>
        <w:t>were reported</w:t>
      </w:r>
      <w:proofErr w:type="gramEnd"/>
      <w:r>
        <w:t xml:space="preserve"> in (Gargano 2018) </w:t>
      </w:r>
      <w:r w:rsidR="008652D9">
        <w:t>[see Table 7 below].</w:t>
      </w:r>
    </w:p>
    <w:p w14:paraId="1FC07675" w14:textId="77777777" w:rsidR="00AE2D27" w:rsidRDefault="00AE2D27" w:rsidP="008652D9">
      <w:pPr>
        <w:pStyle w:val="Heading2"/>
        <w:spacing w:before="240"/>
      </w:pPr>
      <w:r>
        <w:t>Summary</w:t>
      </w:r>
    </w:p>
    <w:p w14:paraId="027AD4BA" w14:textId="60B8AE33" w:rsidR="00AE2D27" w:rsidRDefault="00AE2D27" w:rsidP="00AE2D27">
      <w:r>
        <w:t xml:space="preserve">The DCAR summarised the available evidence reported in the RCT </w:t>
      </w:r>
      <w:r w:rsidR="008F1FC0">
        <w:t>and comparative studies (</w:t>
      </w:r>
      <w:r w:rsidR="008652D9" w:rsidRPr="008827D2">
        <w:rPr>
          <w:szCs w:val="24"/>
        </w:rPr>
        <w:fldChar w:fldCharType="begin"/>
      </w:r>
      <w:r w:rsidR="008652D9" w:rsidRPr="008827D2">
        <w:rPr>
          <w:szCs w:val="24"/>
        </w:rPr>
        <w:instrText xml:space="preserve"> REF _Ref50013955 \h </w:instrText>
      </w:r>
      <w:r w:rsidR="008652D9" w:rsidRPr="008827D2">
        <w:rPr>
          <w:szCs w:val="24"/>
        </w:rPr>
      </w:r>
      <w:r w:rsidR="008827D2" w:rsidRPr="008827D2">
        <w:rPr>
          <w:szCs w:val="24"/>
        </w:rPr>
        <w:instrText xml:space="preserve"> \* MERGEFORMAT </w:instrText>
      </w:r>
      <w:r w:rsidR="008652D9" w:rsidRPr="008827D2">
        <w:rPr>
          <w:szCs w:val="24"/>
        </w:rPr>
        <w:fldChar w:fldCharType="separate"/>
      </w:r>
      <w:r w:rsidR="00E84BE3" w:rsidRPr="008827D2">
        <w:rPr>
          <w:szCs w:val="24"/>
        </w:rPr>
        <w:t xml:space="preserve">Table </w:t>
      </w:r>
      <w:r w:rsidR="00E84BE3" w:rsidRPr="008827D2">
        <w:rPr>
          <w:noProof/>
          <w:szCs w:val="24"/>
        </w:rPr>
        <w:t>7</w:t>
      </w:r>
      <w:r w:rsidR="008652D9" w:rsidRPr="008827D2">
        <w:rPr>
          <w:szCs w:val="24"/>
        </w:rPr>
        <w:fldChar w:fldCharType="end"/>
      </w:r>
      <w:r>
        <w:t>). In addition, some selective evidence from case studies that informed the economic</w:t>
      </w:r>
      <w:r w:rsidR="008652D9">
        <w:t xml:space="preserve"> evaluations was also included.</w:t>
      </w:r>
    </w:p>
    <w:p w14:paraId="3D3FA728" w14:textId="3BA2499E" w:rsidR="00AE2D27" w:rsidRPr="00F3276D" w:rsidRDefault="008652D9" w:rsidP="00F3276D">
      <w:pPr>
        <w:spacing w:before="240"/>
        <w:rPr>
          <w:rFonts w:ascii="Arial Narrow" w:hAnsi="Arial Narrow"/>
          <w:b/>
          <w:sz w:val="20"/>
        </w:rPr>
      </w:pPr>
      <w:bookmarkStart w:id="22" w:name="_Ref50013955"/>
      <w:bookmarkEnd w:id="14"/>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7</w:t>
      </w:r>
      <w:r w:rsidR="00F3276D" w:rsidRPr="00F3276D">
        <w:rPr>
          <w:rFonts w:ascii="Arial Narrow" w:hAnsi="Arial Narrow"/>
          <w:b/>
          <w:sz w:val="20"/>
        </w:rPr>
        <w:fldChar w:fldCharType="end"/>
      </w:r>
      <w:bookmarkEnd w:id="22"/>
      <w:r w:rsidR="00AE2D27" w:rsidRPr="00F3276D">
        <w:rPr>
          <w:rFonts w:ascii="Arial Narrow" w:hAnsi="Arial Narrow"/>
          <w:b/>
          <w:sz w:val="20"/>
        </w:rPr>
        <w:t xml:space="preserve">  Balance of clinical benefits of AFG, relative to free flaps (Population 1) or usual care (Population 2), and as measured by the critical patient-relevant outcomes in the key </w:t>
      </w:r>
      <w:proofErr w:type="spellStart"/>
      <w:r w:rsidR="00AE2D27" w:rsidRPr="00F3276D">
        <w:rPr>
          <w:rFonts w:ascii="Arial Narrow" w:hAnsi="Arial Narrow"/>
          <w:b/>
          <w:sz w:val="20"/>
        </w:rPr>
        <w:t>studies</w:t>
      </w:r>
      <w:bookmarkEnd w:id="15"/>
      <w:r w:rsidR="00AE2D27" w:rsidRPr="00F3276D">
        <w:rPr>
          <w:rFonts w:ascii="Arial Narrow" w:hAnsi="Arial Narrow"/>
          <w:b/>
          <w:sz w:val="20"/>
        </w:rPr>
        <w:t>a</w:t>
      </w:r>
      <w:bookmarkEnd w:id="16"/>
      <w:proofErr w:type="spellEnd"/>
    </w:p>
    <w:tbl>
      <w:tblPr>
        <w:tblW w:w="9351" w:type="dxa"/>
        <w:tblCellMar>
          <w:left w:w="28" w:type="dxa"/>
          <w:right w:w="28" w:type="dxa"/>
        </w:tblCellMar>
        <w:tblLook w:val="04A0" w:firstRow="1" w:lastRow="0" w:firstColumn="1" w:lastColumn="0" w:noHBand="0" w:noVBand="1"/>
        <w:tblDescription w:val="Summary of findings table"/>
      </w:tblPr>
      <w:tblGrid>
        <w:gridCol w:w="1271"/>
        <w:gridCol w:w="1720"/>
        <w:gridCol w:w="831"/>
        <w:gridCol w:w="1135"/>
        <w:gridCol w:w="1420"/>
        <w:gridCol w:w="1115"/>
        <w:gridCol w:w="18"/>
        <w:gridCol w:w="1841"/>
      </w:tblGrid>
      <w:tr w:rsidR="00AE2D27" w:rsidRPr="00FB3D84" w14:paraId="218E50ED" w14:textId="77777777" w:rsidTr="00AE2D27">
        <w:trPr>
          <w:tblHeader/>
        </w:trPr>
        <w:tc>
          <w:tcPr>
            <w:tcW w:w="1271" w:type="dxa"/>
            <w:tcBorders>
              <w:top w:val="single" w:sz="4" w:space="0" w:color="auto"/>
              <w:left w:val="single" w:sz="4" w:space="0" w:color="auto"/>
              <w:bottom w:val="single" w:sz="4" w:space="0" w:color="auto"/>
              <w:right w:val="single" w:sz="4" w:space="0" w:color="auto"/>
            </w:tcBorders>
            <w:vAlign w:val="center"/>
          </w:tcPr>
          <w:p w14:paraId="4DFC7D3A" w14:textId="77777777" w:rsidR="00AE2D27" w:rsidRPr="005118B9" w:rsidRDefault="00AE2D27" w:rsidP="008652D9">
            <w:pPr>
              <w:pStyle w:val="Tabletextboldleft"/>
            </w:pPr>
            <w:r w:rsidRPr="005118B9">
              <w:t>Outcomes (units)</w:t>
            </w:r>
          </w:p>
        </w:tc>
        <w:tc>
          <w:tcPr>
            <w:tcW w:w="1720" w:type="dxa"/>
            <w:tcBorders>
              <w:top w:val="single" w:sz="4" w:space="0" w:color="auto"/>
              <w:left w:val="single" w:sz="4" w:space="0" w:color="auto"/>
              <w:bottom w:val="single" w:sz="4" w:space="0" w:color="auto"/>
              <w:right w:val="single" w:sz="4" w:space="0" w:color="auto"/>
            </w:tcBorders>
            <w:vAlign w:val="center"/>
          </w:tcPr>
          <w:p w14:paraId="6A5D06CA" w14:textId="77777777" w:rsidR="00AE2D27" w:rsidRPr="005118B9" w:rsidRDefault="00AE2D27" w:rsidP="008652D9">
            <w:pPr>
              <w:pStyle w:val="Tabletextboldleft"/>
            </w:pPr>
            <w:r w:rsidRPr="005118B9">
              <w:t>Participants (studies)</w:t>
            </w:r>
          </w:p>
        </w:tc>
        <w:tc>
          <w:tcPr>
            <w:tcW w:w="831" w:type="dxa"/>
            <w:tcBorders>
              <w:top w:val="single" w:sz="4" w:space="0" w:color="auto"/>
              <w:left w:val="single" w:sz="4" w:space="0" w:color="auto"/>
              <w:bottom w:val="single" w:sz="4" w:space="0" w:color="auto"/>
              <w:right w:val="single" w:sz="4" w:space="0" w:color="auto"/>
            </w:tcBorders>
            <w:vAlign w:val="center"/>
          </w:tcPr>
          <w:p w14:paraId="0DDA62BB" w14:textId="77777777" w:rsidR="00AE2D27" w:rsidRPr="005118B9" w:rsidRDefault="00AE2D27" w:rsidP="008652D9">
            <w:pPr>
              <w:pStyle w:val="Tabletextboldleft"/>
            </w:pPr>
            <w:r w:rsidRPr="005118B9">
              <w:t>Quality of evidence (GRADE)</w:t>
            </w:r>
            <w:r w:rsidRPr="005118B9">
              <w:rPr>
                <w:vertAlign w:val="superscript"/>
              </w:rPr>
              <w:t>b</w:t>
            </w:r>
          </w:p>
        </w:tc>
        <w:tc>
          <w:tcPr>
            <w:tcW w:w="1135" w:type="dxa"/>
            <w:tcBorders>
              <w:top w:val="single" w:sz="4" w:space="0" w:color="auto"/>
              <w:left w:val="single" w:sz="4" w:space="0" w:color="auto"/>
              <w:bottom w:val="single" w:sz="4" w:space="0" w:color="auto"/>
              <w:right w:val="single" w:sz="4" w:space="0" w:color="auto"/>
            </w:tcBorders>
            <w:vAlign w:val="center"/>
          </w:tcPr>
          <w:p w14:paraId="0E0A5044" w14:textId="77777777" w:rsidR="00AE2D27" w:rsidRPr="005118B9" w:rsidRDefault="00AE2D27" w:rsidP="008652D9">
            <w:pPr>
              <w:pStyle w:val="Tabletextboldleft"/>
            </w:pPr>
            <w:r w:rsidRPr="005118B9">
              <w:t>AFG group/ site</w:t>
            </w:r>
          </w:p>
        </w:tc>
        <w:tc>
          <w:tcPr>
            <w:tcW w:w="1420" w:type="dxa"/>
            <w:tcBorders>
              <w:top w:val="single" w:sz="4" w:space="0" w:color="auto"/>
              <w:left w:val="single" w:sz="4" w:space="0" w:color="auto"/>
              <w:bottom w:val="single" w:sz="4" w:space="0" w:color="auto"/>
              <w:right w:val="single" w:sz="4" w:space="0" w:color="auto"/>
            </w:tcBorders>
            <w:vAlign w:val="center"/>
          </w:tcPr>
          <w:p w14:paraId="3CB5FA40" w14:textId="77777777" w:rsidR="00AE2D27" w:rsidRPr="005118B9" w:rsidRDefault="00AE2D27" w:rsidP="008652D9">
            <w:pPr>
              <w:pStyle w:val="Tabletextboldleft"/>
            </w:pPr>
            <w:r w:rsidRPr="005118B9">
              <w:t>Comparator (free flap/ usual care) group/site</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C4E2FE9" w14:textId="77777777" w:rsidR="00AE2D27" w:rsidRPr="005118B9" w:rsidRDefault="00AE2D27" w:rsidP="008652D9">
            <w:pPr>
              <w:pStyle w:val="Tabletextboldleft"/>
            </w:pPr>
            <w:r w:rsidRPr="005118B9">
              <w:t>Statistical significance of the difference</w:t>
            </w:r>
          </w:p>
        </w:tc>
        <w:tc>
          <w:tcPr>
            <w:tcW w:w="1841" w:type="dxa"/>
            <w:tcBorders>
              <w:top w:val="single" w:sz="4" w:space="0" w:color="auto"/>
              <w:left w:val="single" w:sz="4" w:space="0" w:color="auto"/>
              <w:bottom w:val="single" w:sz="4" w:space="0" w:color="auto"/>
              <w:right w:val="single" w:sz="4" w:space="0" w:color="auto"/>
            </w:tcBorders>
            <w:vAlign w:val="center"/>
          </w:tcPr>
          <w:p w14:paraId="4E90BC22" w14:textId="77777777" w:rsidR="00AE2D27" w:rsidRPr="005118B9" w:rsidRDefault="00AE2D27" w:rsidP="008652D9">
            <w:pPr>
              <w:pStyle w:val="Tabletextboldleft"/>
            </w:pPr>
            <w:r w:rsidRPr="005118B9">
              <w:t>Comments</w:t>
            </w:r>
          </w:p>
        </w:tc>
      </w:tr>
      <w:tr w:rsidR="00AE2D27" w:rsidRPr="00FB3D84" w14:paraId="3EBFF703" w14:textId="77777777" w:rsidTr="00AE2D27">
        <w:tc>
          <w:tcPr>
            <w:tcW w:w="9351" w:type="dxa"/>
            <w:gridSpan w:val="8"/>
            <w:tcBorders>
              <w:top w:val="single" w:sz="4" w:space="0" w:color="auto"/>
              <w:left w:val="single" w:sz="4" w:space="0" w:color="auto"/>
              <w:bottom w:val="single" w:sz="4" w:space="0" w:color="auto"/>
              <w:right w:val="single" w:sz="4" w:space="0" w:color="auto"/>
            </w:tcBorders>
          </w:tcPr>
          <w:p w14:paraId="6BC34F24" w14:textId="77777777" w:rsidR="00AE2D27" w:rsidRPr="00FB3D84" w:rsidRDefault="00AE2D27" w:rsidP="008652D9">
            <w:pPr>
              <w:keepNext/>
              <w:rPr>
                <w:rFonts w:ascii="Arial Narrow" w:hAnsi="Arial Narrow"/>
                <w:b/>
                <w:sz w:val="20"/>
              </w:rPr>
            </w:pPr>
            <w:r w:rsidRPr="00FB3D84">
              <w:rPr>
                <w:rFonts w:ascii="Arial Narrow" w:hAnsi="Arial Narrow"/>
                <w:b/>
                <w:sz w:val="20"/>
              </w:rPr>
              <w:t>Population 1 (congenital craniofacial abnormalities)</w:t>
            </w:r>
          </w:p>
        </w:tc>
      </w:tr>
      <w:tr w:rsidR="00AE2D27" w:rsidRPr="00FB3D84" w14:paraId="475AF11E" w14:textId="77777777" w:rsidTr="00AE2D27">
        <w:tc>
          <w:tcPr>
            <w:tcW w:w="1271" w:type="dxa"/>
            <w:tcBorders>
              <w:top w:val="single" w:sz="4" w:space="0" w:color="auto"/>
              <w:left w:val="single" w:sz="4" w:space="0" w:color="auto"/>
              <w:bottom w:val="single" w:sz="4" w:space="0" w:color="auto"/>
              <w:right w:val="single" w:sz="4" w:space="0" w:color="auto"/>
            </w:tcBorders>
          </w:tcPr>
          <w:p w14:paraId="65740D52" w14:textId="77777777" w:rsidR="00AE2D27" w:rsidRPr="00FB3D84" w:rsidRDefault="00AE2D27" w:rsidP="008652D9">
            <w:pPr>
              <w:pStyle w:val="Tabletext"/>
              <w:spacing w:before="0" w:after="0"/>
            </w:pPr>
            <w:r w:rsidRPr="00FB3D84">
              <w:t>Patient satisfaction</w:t>
            </w:r>
          </w:p>
        </w:tc>
        <w:tc>
          <w:tcPr>
            <w:tcW w:w="1720" w:type="dxa"/>
            <w:tcBorders>
              <w:top w:val="single" w:sz="4" w:space="0" w:color="auto"/>
              <w:left w:val="single" w:sz="4" w:space="0" w:color="auto"/>
              <w:bottom w:val="single" w:sz="4" w:space="0" w:color="auto"/>
              <w:right w:val="single" w:sz="4" w:space="0" w:color="auto"/>
            </w:tcBorders>
          </w:tcPr>
          <w:p w14:paraId="302FFDD3" w14:textId="77777777" w:rsidR="00AE2D27" w:rsidRPr="00FB3D84" w:rsidRDefault="00AE2D27" w:rsidP="008652D9">
            <w:pPr>
              <w:pStyle w:val="Tabletext"/>
              <w:spacing w:before="0" w:after="0"/>
            </w:pPr>
            <w:r w:rsidRPr="00FB3D84">
              <w:t xml:space="preserve">Schmitz (2008, n=18) </w:t>
            </w:r>
          </w:p>
          <w:p w14:paraId="3C2944DF" w14:textId="77777777" w:rsidR="00AE2D27" w:rsidRPr="00FB3D84" w:rsidRDefault="00AE2D27" w:rsidP="008652D9">
            <w:pPr>
              <w:pStyle w:val="Tabletext"/>
              <w:spacing w:before="0" w:after="0"/>
            </w:pPr>
            <w:proofErr w:type="spellStart"/>
            <w:r w:rsidRPr="00FB3D84">
              <w:t>Tanna</w:t>
            </w:r>
            <w:proofErr w:type="spellEnd"/>
            <w:r w:rsidRPr="00FB3D84">
              <w:t xml:space="preserve"> (2011, n=31) </w:t>
            </w:r>
          </w:p>
        </w:tc>
        <w:tc>
          <w:tcPr>
            <w:tcW w:w="831" w:type="dxa"/>
            <w:tcBorders>
              <w:top w:val="single" w:sz="4" w:space="0" w:color="auto"/>
              <w:left w:val="single" w:sz="4" w:space="0" w:color="auto"/>
              <w:bottom w:val="single" w:sz="4" w:space="0" w:color="auto"/>
              <w:right w:val="single" w:sz="4" w:space="0" w:color="auto"/>
            </w:tcBorders>
          </w:tcPr>
          <w:p w14:paraId="1643E1DA" w14:textId="77777777" w:rsidR="00AE2D27" w:rsidRPr="00FB3D84" w:rsidRDefault="00AE2D27" w:rsidP="008652D9">
            <w:pPr>
              <w:pStyle w:val="Tabletext"/>
              <w:spacing w:before="0" w:after="0"/>
              <w:rPr>
                <w:rFonts w:cs="Cambria Math"/>
                <w:color w:val="C00000"/>
              </w:rPr>
            </w:pPr>
            <w:r w:rsidRPr="00FB3D84">
              <w:rPr>
                <w:rFonts w:ascii="Cambria Math" w:hAnsi="Cambria Math" w:cs="Cambria Math"/>
                <w:color w:val="00B050"/>
              </w:rPr>
              <w:t>⨁</w:t>
            </w:r>
            <w:r w:rsidRPr="00FB3D84">
              <w:rPr>
                <w:rFonts w:ascii="Cambria Math" w:hAnsi="Cambria Math" w:cs="Cambria Math"/>
                <w:color w:val="C00000"/>
              </w:rPr>
              <w:t>⨀⨀⨀</w:t>
            </w:r>
          </w:p>
          <w:p w14:paraId="453C1C92" w14:textId="77777777" w:rsidR="00AE2D27" w:rsidRPr="00FB3D84" w:rsidRDefault="00AE2D27" w:rsidP="008652D9">
            <w:pPr>
              <w:pStyle w:val="Tabletext"/>
              <w:spacing w:before="0" w:after="0"/>
              <w:rPr>
                <w:color w:val="00B050"/>
              </w:rPr>
            </w:pPr>
            <w:r w:rsidRPr="00FB3D84">
              <w:rPr>
                <w:rFonts w:ascii="Cambria Math" w:hAnsi="Cambria Math" w:cs="Cambria Math"/>
                <w:color w:val="00B050"/>
              </w:rPr>
              <w:t>⨁</w:t>
            </w:r>
            <w:r w:rsidRPr="00FB3D84">
              <w:rPr>
                <w:rFonts w:ascii="Cambria Math" w:hAnsi="Cambria Math" w:cs="Cambria Math"/>
                <w:color w:val="C00000"/>
              </w:rPr>
              <w:t>⨀⨀⨀</w:t>
            </w:r>
          </w:p>
        </w:tc>
        <w:tc>
          <w:tcPr>
            <w:tcW w:w="1135" w:type="dxa"/>
            <w:tcBorders>
              <w:top w:val="single" w:sz="4" w:space="0" w:color="auto"/>
              <w:left w:val="single" w:sz="4" w:space="0" w:color="auto"/>
              <w:bottom w:val="single" w:sz="4" w:space="0" w:color="auto"/>
              <w:right w:val="single" w:sz="4" w:space="0" w:color="auto"/>
            </w:tcBorders>
          </w:tcPr>
          <w:p w14:paraId="2E20E59B" w14:textId="77777777" w:rsidR="00AE2D27" w:rsidRPr="00FB3D84" w:rsidRDefault="00AE2D27" w:rsidP="008652D9">
            <w:pPr>
              <w:pStyle w:val="Tabletext"/>
              <w:spacing w:before="0" w:after="0"/>
            </w:pPr>
            <w:r w:rsidRPr="00FB3D84">
              <w:t>100%</w:t>
            </w:r>
            <w:r w:rsidRPr="00FB3D84">
              <w:rPr>
                <w:rFonts w:cs="Arial"/>
                <w:vertAlign w:val="superscript"/>
              </w:rPr>
              <w:t>c</w:t>
            </w:r>
          </w:p>
          <w:p w14:paraId="3F15399C" w14:textId="77777777" w:rsidR="00AE2D27" w:rsidRPr="00FB3D84" w:rsidRDefault="00AE2D27" w:rsidP="008652D9">
            <w:pPr>
              <w:pStyle w:val="Tabletext"/>
              <w:spacing w:before="0" w:after="0"/>
            </w:pPr>
            <w:r w:rsidRPr="00FB3D84">
              <w:t>3.7 ± 0.5</w:t>
            </w:r>
          </w:p>
        </w:tc>
        <w:tc>
          <w:tcPr>
            <w:tcW w:w="1420" w:type="dxa"/>
            <w:tcBorders>
              <w:top w:val="single" w:sz="4" w:space="0" w:color="auto"/>
              <w:left w:val="single" w:sz="4" w:space="0" w:color="auto"/>
              <w:bottom w:val="single" w:sz="4" w:space="0" w:color="auto"/>
              <w:right w:val="single" w:sz="4" w:space="0" w:color="auto"/>
            </w:tcBorders>
          </w:tcPr>
          <w:p w14:paraId="2C4FE865" w14:textId="77777777" w:rsidR="00AE2D27" w:rsidRPr="00FB3D84" w:rsidRDefault="00AE2D27" w:rsidP="008652D9">
            <w:pPr>
              <w:pStyle w:val="Tabletext"/>
              <w:spacing w:before="0" w:after="0"/>
            </w:pPr>
            <w:r w:rsidRPr="00FB3D84">
              <w:t>0%</w:t>
            </w:r>
            <w:r w:rsidRPr="00FB3D84">
              <w:rPr>
                <w:rFonts w:cs="Arial"/>
                <w:vertAlign w:val="superscript"/>
              </w:rPr>
              <w:t>c</w:t>
            </w:r>
          </w:p>
          <w:p w14:paraId="1093328D" w14:textId="77777777" w:rsidR="00AE2D27" w:rsidRPr="00FB3D84" w:rsidRDefault="00AE2D27" w:rsidP="008652D9">
            <w:pPr>
              <w:pStyle w:val="Tabletext"/>
              <w:spacing w:before="0" w:after="0"/>
            </w:pPr>
            <w:r w:rsidRPr="00FB3D84">
              <w:t>3.5 ± 0.2</w:t>
            </w:r>
          </w:p>
        </w:tc>
        <w:tc>
          <w:tcPr>
            <w:tcW w:w="1133" w:type="dxa"/>
            <w:gridSpan w:val="2"/>
            <w:tcBorders>
              <w:top w:val="single" w:sz="4" w:space="0" w:color="auto"/>
              <w:left w:val="single" w:sz="4" w:space="0" w:color="auto"/>
              <w:bottom w:val="single" w:sz="4" w:space="0" w:color="auto"/>
              <w:right w:val="single" w:sz="4" w:space="0" w:color="auto"/>
            </w:tcBorders>
          </w:tcPr>
          <w:p w14:paraId="7A07061D" w14:textId="77777777" w:rsidR="00AE2D27" w:rsidRPr="00FB3D84" w:rsidRDefault="00AE2D27" w:rsidP="008652D9">
            <w:pPr>
              <w:pStyle w:val="Tabletext"/>
              <w:spacing w:before="0" w:after="0"/>
            </w:pPr>
            <w:r w:rsidRPr="00FB3D84">
              <w:t>Not reported</w:t>
            </w:r>
          </w:p>
          <w:p w14:paraId="7A827DE5" w14:textId="77777777" w:rsidR="00AE2D27" w:rsidRPr="00FB3D84" w:rsidRDefault="00AE2D27" w:rsidP="008652D9">
            <w:pPr>
              <w:pStyle w:val="Tabletext"/>
              <w:spacing w:before="0" w:after="0"/>
            </w:pPr>
            <w:r w:rsidRPr="00FB3D84">
              <w:t>No statistically significant difference</w:t>
            </w:r>
          </w:p>
        </w:tc>
        <w:tc>
          <w:tcPr>
            <w:tcW w:w="1841" w:type="dxa"/>
            <w:vMerge w:val="restart"/>
            <w:tcBorders>
              <w:top w:val="single" w:sz="4" w:space="0" w:color="auto"/>
              <w:left w:val="single" w:sz="4" w:space="0" w:color="auto"/>
              <w:right w:val="single" w:sz="4" w:space="0" w:color="auto"/>
            </w:tcBorders>
            <w:vAlign w:val="center"/>
          </w:tcPr>
          <w:p w14:paraId="7B24A1AA" w14:textId="77777777" w:rsidR="00AE2D27" w:rsidRPr="00FB3D84" w:rsidRDefault="00AE2D27" w:rsidP="008652D9">
            <w:pPr>
              <w:pStyle w:val="Tabletext"/>
              <w:spacing w:before="0" w:after="0"/>
            </w:pPr>
            <w:r w:rsidRPr="00FB3D84">
              <w:t xml:space="preserve">Using </w:t>
            </w:r>
            <w:r w:rsidRPr="00FB3D84">
              <w:rPr>
                <w:i/>
              </w:rPr>
              <w:t>ad hoc</w:t>
            </w:r>
            <w:r w:rsidRPr="00FB3D84">
              <w:t xml:space="preserve"> instruments; heterogeneity in the population between the studies and the arms prevented meta-analysis</w:t>
            </w:r>
          </w:p>
        </w:tc>
      </w:tr>
      <w:tr w:rsidR="00AE2D27" w:rsidRPr="00FB3D84" w14:paraId="19883C34" w14:textId="77777777" w:rsidTr="00AE2D27">
        <w:tc>
          <w:tcPr>
            <w:tcW w:w="1271" w:type="dxa"/>
            <w:tcBorders>
              <w:top w:val="single" w:sz="4" w:space="0" w:color="auto"/>
              <w:left w:val="single" w:sz="4" w:space="0" w:color="auto"/>
              <w:bottom w:val="single" w:sz="4" w:space="0" w:color="auto"/>
              <w:right w:val="single" w:sz="4" w:space="0" w:color="auto"/>
            </w:tcBorders>
          </w:tcPr>
          <w:p w14:paraId="06E0D735" w14:textId="77777777" w:rsidR="00AE2D27" w:rsidRPr="00FB3D84" w:rsidRDefault="00AE2D27" w:rsidP="008652D9">
            <w:pPr>
              <w:pStyle w:val="Tabletext"/>
              <w:spacing w:before="0" w:after="0"/>
            </w:pPr>
            <w:r w:rsidRPr="00FB3D84">
              <w:t>Physician satisfaction</w:t>
            </w:r>
          </w:p>
        </w:tc>
        <w:tc>
          <w:tcPr>
            <w:tcW w:w="1720" w:type="dxa"/>
            <w:tcBorders>
              <w:top w:val="single" w:sz="4" w:space="0" w:color="auto"/>
              <w:left w:val="single" w:sz="4" w:space="0" w:color="auto"/>
              <w:bottom w:val="single" w:sz="4" w:space="0" w:color="auto"/>
              <w:right w:val="single" w:sz="4" w:space="0" w:color="auto"/>
            </w:tcBorders>
          </w:tcPr>
          <w:p w14:paraId="7AACAE6B" w14:textId="77777777" w:rsidR="00AE2D27" w:rsidRPr="00FB3D84" w:rsidRDefault="00AE2D27" w:rsidP="008652D9">
            <w:pPr>
              <w:pStyle w:val="Tabletext"/>
              <w:spacing w:before="0" w:after="0"/>
            </w:pPr>
            <w:proofErr w:type="spellStart"/>
            <w:r w:rsidRPr="00FB3D84">
              <w:t>Tanna</w:t>
            </w:r>
            <w:proofErr w:type="spellEnd"/>
            <w:r w:rsidRPr="00FB3D84">
              <w:t xml:space="preserve"> (2011, n=31)</w:t>
            </w:r>
          </w:p>
        </w:tc>
        <w:tc>
          <w:tcPr>
            <w:tcW w:w="831" w:type="dxa"/>
            <w:tcBorders>
              <w:top w:val="single" w:sz="4" w:space="0" w:color="auto"/>
              <w:left w:val="single" w:sz="4" w:space="0" w:color="auto"/>
              <w:bottom w:val="single" w:sz="4" w:space="0" w:color="auto"/>
              <w:right w:val="single" w:sz="4" w:space="0" w:color="auto"/>
            </w:tcBorders>
          </w:tcPr>
          <w:p w14:paraId="4DAC387B" w14:textId="77777777" w:rsidR="00AE2D27" w:rsidRPr="00FB3D84" w:rsidRDefault="00AE2D27" w:rsidP="008652D9">
            <w:pPr>
              <w:pStyle w:val="Tabletext"/>
              <w:spacing w:before="0" w:after="0"/>
              <w:rPr>
                <w:color w:val="00B050"/>
              </w:rPr>
            </w:pPr>
            <w:r w:rsidRPr="00FB3D84">
              <w:rPr>
                <w:rFonts w:ascii="Cambria Math" w:hAnsi="Cambria Math" w:cs="Cambria Math"/>
                <w:color w:val="00B050"/>
              </w:rPr>
              <w:t>⨁</w:t>
            </w:r>
            <w:r w:rsidRPr="00FB3D84">
              <w:rPr>
                <w:rFonts w:ascii="Cambria Math" w:hAnsi="Cambria Math" w:cs="Cambria Math"/>
                <w:color w:val="C00000"/>
              </w:rPr>
              <w:t>⨀⨀⨀</w:t>
            </w:r>
          </w:p>
        </w:tc>
        <w:tc>
          <w:tcPr>
            <w:tcW w:w="1135" w:type="dxa"/>
            <w:tcBorders>
              <w:top w:val="single" w:sz="4" w:space="0" w:color="auto"/>
              <w:left w:val="single" w:sz="4" w:space="0" w:color="auto"/>
              <w:bottom w:val="single" w:sz="4" w:space="0" w:color="auto"/>
              <w:right w:val="single" w:sz="4" w:space="0" w:color="auto"/>
            </w:tcBorders>
          </w:tcPr>
          <w:p w14:paraId="62FF9907" w14:textId="77777777" w:rsidR="00AE2D27" w:rsidRPr="00FB3D84" w:rsidRDefault="00AE2D27" w:rsidP="008652D9">
            <w:pPr>
              <w:pStyle w:val="Tabletext"/>
              <w:spacing w:before="0" w:after="0"/>
            </w:pPr>
            <w:r w:rsidRPr="00FB3D84">
              <w:t>3.6 ± 0.2</w:t>
            </w:r>
          </w:p>
        </w:tc>
        <w:tc>
          <w:tcPr>
            <w:tcW w:w="1420" w:type="dxa"/>
            <w:tcBorders>
              <w:top w:val="single" w:sz="4" w:space="0" w:color="auto"/>
              <w:left w:val="single" w:sz="4" w:space="0" w:color="auto"/>
              <w:bottom w:val="single" w:sz="4" w:space="0" w:color="auto"/>
              <w:right w:val="single" w:sz="4" w:space="0" w:color="auto"/>
            </w:tcBorders>
          </w:tcPr>
          <w:p w14:paraId="029E934A" w14:textId="77777777" w:rsidR="00AE2D27" w:rsidRPr="00FB3D84" w:rsidRDefault="00AE2D27" w:rsidP="008652D9">
            <w:pPr>
              <w:pStyle w:val="Tabletext"/>
              <w:spacing w:before="0" w:after="0"/>
            </w:pPr>
            <w:r w:rsidRPr="00FB3D84">
              <w:t>3.5 ± 0.3</w:t>
            </w:r>
          </w:p>
        </w:tc>
        <w:tc>
          <w:tcPr>
            <w:tcW w:w="1133" w:type="dxa"/>
            <w:gridSpan w:val="2"/>
            <w:tcBorders>
              <w:top w:val="single" w:sz="4" w:space="0" w:color="auto"/>
              <w:left w:val="single" w:sz="4" w:space="0" w:color="auto"/>
              <w:bottom w:val="single" w:sz="4" w:space="0" w:color="auto"/>
              <w:right w:val="single" w:sz="4" w:space="0" w:color="auto"/>
            </w:tcBorders>
          </w:tcPr>
          <w:p w14:paraId="18852705" w14:textId="77777777" w:rsidR="00AE2D27" w:rsidRPr="00FB3D84" w:rsidRDefault="00AE2D27" w:rsidP="008652D9">
            <w:pPr>
              <w:pStyle w:val="Tabletext"/>
              <w:spacing w:before="0" w:after="0"/>
            </w:pPr>
            <w:r w:rsidRPr="00FB3D84">
              <w:t>No statistically significant difference</w:t>
            </w:r>
          </w:p>
        </w:tc>
        <w:tc>
          <w:tcPr>
            <w:tcW w:w="1841" w:type="dxa"/>
            <w:vMerge/>
            <w:tcBorders>
              <w:left w:val="single" w:sz="4" w:space="0" w:color="auto"/>
              <w:bottom w:val="single" w:sz="4" w:space="0" w:color="auto"/>
              <w:right w:val="single" w:sz="4" w:space="0" w:color="auto"/>
            </w:tcBorders>
          </w:tcPr>
          <w:p w14:paraId="4736B9F1" w14:textId="77777777" w:rsidR="00AE2D27" w:rsidRPr="00FB3D84" w:rsidRDefault="00AE2D27" w:rsidP="008652D9">
            <w:pPr>
              <w:pStyle w:val="Tabletext"/>
              <w:spacing w:before="0" w:after="0"/>
            </w:pPr>
          </w:p>
        </w:tc>
      </w:tr>
      <w:tr w:rsidR="00AE2D27" w:rsidRPr="00FB3D84" w14:paraId="017876AA" w14:textId="77777777" w:rsidTr="00AE2D27">
        <w:tc>
          <w:tcPr>
            <w:tcW w:w="1271" w:type="dxa"/>
            <w:tcBorders>
              <w:top w:val="single" w:sz="4" w:space="0" w:color="auto"/>
              <w:left w:val="single" w:sz="4" w:space="0" w:color="auto"/>
              <w:bottom w:val="single" w:sz="4" w:space="0" w:color="auto"/>
              <w:right w:val="single" w:sz="4" w:space="0" w:color="auto"/>
            </w:tcBorders>
          </w:tcPr>
          <w:p w14:paraId="1A7A4EB7" w14:textId="77777777" w:rsidR="00AE2D27" w:rsidRPr="00FB3D84" w:rsidRDefault="00AE2D27" w:rsidP="008652D9">
            <w:pPr>
              <w:pStyle w:val="Tabletext"/>
              <w:spacing w:before="0" w:after="0"/>
            </w:pPr>
            <w:r w:rsidRPr="00FB3D84">
              <w:lastRenderedPageBreak/>
              <w:t>Symmetry scores</w:t>
            </w:r>
          </w:p>
        </w:tc>
        <w:tc>
          <w:tcPr>
            <w:tcW w:w="1720" w:type="dxa"/>
            <w:tcBorders>
              <w:top w:val="single" w:sz="4" w:space="0" w:color="auto"/>
              <w:left w:val="single" w:sz="4" w:space="0" w:color="auto"/>
              <w:bottom w:val="single" w:sz="4" w:space="0" w:color="auto"/>
              <w:right w:val="single" w:sz="4" w:space="0" w:color="auto"/>
            </w:tcBorders>
          </w:tcPr>
          <w:p w14:paraId="612A8251" w14:textId="77777777" w:rsidR="00AE2D27" w:rsidRPr="00FB3D84" w:rsidRDefault="00AE2D27" w:rsidP="008652D9">
            <w:pPr>
              <w:pStyle w:val="Tabletext"/>
              <w:spacing w:before="0" w:after="0"/>
            </w:pPr>
            <w:proofErr w:type="spellStart"/>
            <w:r w:rsidRPr="00FB3D84">
              <w:t>Tanna</w:t>
            </w:r>
            <w:proofErr w:type="spellEnd"/>
            <w:r w:rsidRPr="00FB3D84">
              <w:t xml:space="preserve"> (2011, n=31)</w:t>
            </w:r>
          </w:p>
        </w:tc>
        <w:tc>
          <w:tcPr>
            <w:tcW w:w="831" w:type="dxa"/>
            <w:tcBorders>
              <w:top w:val="single" w:sz="4" w:space="0" w:color="auto"/>
              <w:left w:val="single" w:sz="4" w:space="0" w:color="auto"/>
              <w:bottom w:val="single" w:sz="4" w:space="0" w:color="auto"/>
              <w:right w:val="single" w:sz="4" w:space="0" w:color="auto"/>
            </w:tcBorders>
          </w:tcPr>
          <w:p w14:paraId="36D65456" w14:textId="77777777" w:rsidR="00AE2D27" w:rsidRPr="00FB3D84" w:rsidRDefault="00AE2D27" w:rsidP="008652D9">
            <w:pPr>
              <w:pStyle w:val="Tabletext"/>
              <w:spacing w:before="0" w:after="0"/>
              <w:rPr>
                <w:color w:val="00B050"/>
              </w:rPr>
            </w:pPr>
            <w:r w:rsidRPr="00FB3D84">
              <w:rPr>
                <w:rFonts w:ascii="Cambria Math" w:hAnsi="Cambria Math" w:cs="Cambria Math"/>
                <w:color w:val="00B050"/>
              </w:rPr>
              <w:t>⨁</w:t>
            </w:r>
            <w:r w:rsidRPr="00FB3D84">
              <w:rPr>
                <w:rFonts w:ascii="Cambria Math" w:hAnsi="Cambria Math" w:cs="Cambria Math"/>
                <w:color w:val="C00000"/>
              </w:rPr>
              <w:t>⨀⨀⨀</w:t>
            </w:r>
          </w:p>
        </w:tc>
        <w:tc>
          <w:tcPr>
            <w:tcW w:w="1135" w:type="dxa"/>
            <w:tcBorders>
              <w:top w:val="single" w:sz="4" w:space="0" w:color="auto"/>
              <w:left w:val="single" w:sz="4" w:space="0" w:color="auto"/>
              <w:bottom w:val="single" w:sz="4" w:space="0" w:color="auto"/>
              <w:right w:val="single" w:sz="4" w:space="0" w:color="auto"/>
            </w:tcBorders>
          </w:tcPr>
          <w:p w14:paraId="576E4B32" w14:textId="77777777" w:rsidR="00AE2D27" w:rsidRPr="00FB3D84" w:rsidRDefault="00AE2D27" w:rsidP="008652D9">
            <w:pPr>
              <w:pStyle w:val="Tabletext"/>
              <w:spacing w:before="0" w:after="0"/>
            </w:pPr>
            <w:r w:rsidRPr="00FB3D84">
              <w:t>99 ± 5.4</w:t>
            </w:r>
          </w:p>
        </w:tc>
        <w:tc>
          <w:tcPr>
            <w:tcW w:w="1420" w:type="dxa"/>
            <w:tcBorders>
              <w:top w:val="single" w:sz="4" w:space="0" w:color="auto"/>
              <w:left w:val="single" w:sz="4" w:space="0" w:color="auto"/>
              <w:bottom w:val="single" w:sz="4" w:space="0" w:color="auto"/>
              <w:right w:val="single" w:sz="4" w:space="0" w:color="auto"/>
            </w:tcBorders>
          </w:tcPr>
          <w:p w14:paraId="3D47A2D8" w14:textId="77777777" w:rsidR="00AE2D27" w:rsidRPr="00FB3D84" w:rsidRDefault="00AE2D27" w:rsidP="008652D9">
            <w:pPr>
              <w:pStyle w:val="Tabletext"/>
              <w:spacing w:before="0" w:after="0"/>
            </w:pPr>
            <w:r w:rsidRPr="00FB3D84">
              <w:t>121 ± 7.9</w:t>
            </w:r>
          </w:p>
        </w:tc>
        <w:tc>
          <w:tcPr>
            <w:tcW w:w="1133" w:type="dxa"/>
            <w:gridSpan w:val="2"/>
            <w:tcBorders>
              <w:top w:val="single" w:sz="4" w:space="0" w:color="auto"/>
              <w:left w:val="single" w:sz="4" w:space="0" w:color="auto"/>
              <w:bottom w:val="single" w:sz="4" w:space="0" w:color="auto"/>
              <w:right w:val="single" w:sz="4" w:space="0" w:color="auto"/>
            </w:tcBorders>
          </w:tcPr>
          <w:p w14:paraId="003EFE9B" w14:textId="77777777" w:rsidR="00AE2D27" w:rsidRPr="00FB3D84" w:rsidRDefault="00AE2D27" w:rsidP="008652D9">
            <w:pPr>
              <w:pStyle w:val="Tabletext"/>
              <w:spacing w:before="0" w:after="0"/>
            </w:pPr>
            <w:r w:rsidRPr="00FB3D84">
              <w:t>Significant (p&lt;0.05)</w:t>
            </w:r>
          </w:p>
        </w:tc>
        <w:tc>
          <w:tcPr>
            <w:tcW w:w="1841" w:type="dxa"/>
            <w:tcBorders>
              <w:top w:val="single" w:sz="4" w:space="0" w:color="auto"/>
              <w:left w:val="single" w:sz="4" w:space="0" w:color="auto"/>
              <w:bottom w:val="single" w:sz="4" w:space="0" w:color="auto"/>
              <w:right w:val="single" w:sz="4" w:space="0" w:color="auto"/>
            </w:tcBorders>
          </w:tcPr>
          <w:p w14:paraId="0BBA3463" w14:textId="77777777" w:rsidR="00AE2D27" w:rsidRPr="00FB3D84" w:rsidRDefault="00AE2D27" w:rsidP="008652D9">
            <w:pPr>
              <w:pStyle w:val="Tabletext"/>
              <w:spacing w:before="0" w:after="0"/>
            </w:pPr>
            <w:r w:rsidRPr="00FB3D84">
              <w:t>Outcome is assessed in percent, where the value of 100% is considered ideal</w:t>
            </w:r>
          </w:p>
        </w:tc>
      </w:tr>
      <w:tr w:rsidR="00AE2D27" w:rsidRPr="00FB3D84" w14:paraId="407A5356" w14:textId="77777777" w:rsidTr="00AE2D27">
        <w:tc>
          <w:tcPr>
            <w:tcW w:w="9351" w:type="dxa"/>
            <w:gridSpan w:val="8"/>
            <w:tcBorders>
              <w:top w:val="single" w:sz="4" w:space="0" w:color="auto"/>
              <w:left w:val="single" w:sz="4" w:space="0" w:color="auto"/>
              <w:bottom w:val="single" w:sz="4" w:space="0" w:color="auto"/>
              <w:right w:val="single" w:sz="4" w:space="0" w:color="auto"/>
            </w:tcBorders>
          </w:tcPr>
          <w:p w14:paraId="056CF832" w14:textId="77777777" w:rsidR="00AE2D27" w:rsidRPr="00FB3D84" w:rsidRDefault="00AE2D27" w:rsidP="008652D9">
            <w:pPr>
              <w:keepNext/>
              <w:rPr>
                <w:rFonts w:ascii="Arial Narrow" w:hAnsi="Arial Narrow"/>
                <w:b/>
                <w:sz w:val="20"/>
              </w:rPr>
            </w:pPr>
            <w:r w:rsidRPr="00FB3D84">
              <w:rPr>
                <w:rFonts w:ascii="Arial Narrow" w:hAnsi="Arial Narrow"/>
                <w:b/>
                <w:sz w:val="20"/>
              </w:rPr>
              <w:t>Population 2 (Burn scars)</w:t>
            </w:r>
          </w:p>
        </w:tc>
      </w:tr>
      <w:tr w:rsidR="00AE2D27" w:rsidRPr="00FB3D84" w14:paraId="06775F4F" w14:textId="77777777" w:rsidTr="00AE2D27">
        <w:tc>
          <w:tcPr>
            <w:tcW w:w="1271" w:type="dxa"/>
            <w:tcBorders>
              <w:top w:val="single" w:sz="4" w:space="0" w:color="auto"/>
              <w:left w:val="single" w:sz="4" w:space="0" w:color="auto"/>
              <w:bottom w:val="single" w:sz="4" w:space="0" w:color="auto"/>
              <w:right w:val="single" w:sz="4" w:space="0" w:color="auto"/>
            </w:tcBorders>
          </w:tcPr>
          <w:p w14:paraId="2FDBD904" w14:textId="77777777" w:rsidR="00AE2D27" w:rsidRPr="00FB3D84" w:rsidRDefault="00AE2D27" w:rsidP="008652D9">
            <w:pPr>
              <w:pStyle w:val="Tabletext"/>
              <w:spacing w:before="0" w:after="0"/>
            </w:pPr>
            <w:r w:rsidRPr="00FB3D84">
              <w:t>VSS (distribution of responses)</w:t>
            </w:r>
          </w:p>
        </w:tc>
        <w:tc>
          <w:tcPr>
            <w:tcW w:w="1720" w:type="dxa"/>
            <w:tcBorders>
              <w:top w:val="single" w:sz="4" w:space="0" w:color="auto"/>
              <w:left w:val="single" w:sz="4" w:space="0" w:color="auto"/>
              <w:bottom w:val="single" w:sz="4" w:space="0" w:color="auto"/>
              <w:right w:val="single" w:sz="4" w:space="0" w:color="auto"/>
            </w:tcBorders>
          </w:tcPr>
          <w:p w14:paraId="20214466" w14:textId="77777777" w:rsidR="00AE2D27" w:rsidRPr="00FB3D84" w:rsidRDefault="00AE2D27" w:rsidP="008652D9">
            <w:pPr>
              <w:pStyle w:val="Tabletext"/>
              <w:spacing w:before="0" w:after="0"/>
            </w:pPr>
            <w:r w:rsidRPr="00FB3D84">
              <w:t>Gal (2017, n=10)</w:t>
            </w:r>
          </w:p>
        </w:tc>
        <w:tc>
          <w:tcPr>
            <w:tcW w:w="831" w:type="dxa"/>
            <w:tcBorders>
              <w:top w:val="single" w:sz="4" w:space="0" w:color="auto"/>
              <w:left w:val="single" w:sz="4" w:space="0" w:color="auto"/>
              <w:bottom w:val="single" w:sz="4" w:space="0" w:color="auto"/>
              <w:right w:val="single" w:sz="4" w:space="0" w:color="auto"/>
            </w:tcBorders>
          </w:tcPr>
          <w:p w14:paraId="3749BDA5" w14:textId="77777777" w:rsidR="00AE2D27" w:rsidRPr="00FB3D84" w:rsidRDefault="00AE2D27" w:rsidP="008652D9">
            <w:pPr>
              <w:pStyle w:val="Tabletext"/>
              <w:spacing w:before="0" w:after="0"/>
            </w:pPr>
            <w:r w:rsidRPr="00FB3D84">
              <w:rPr>
                <w:rFonts w:ascii="Cambria Math" w:hAnsi="Cambria Math" w:cs="Cambria Math"/>
                <w:color w:val="00B050"/>
              </w:rPr>
              <w:t>⨁⨁</w:t>
            </w:r>
            <w:r w:rsidRPr="00FB3D84">
              <w:rPr>
                <w:rFonts w:ascii="Cambria Math" w:hAnsi="Cambria Math" w:cs="Cambria Math"/>
                <w:color w:val="C00000"/>
              </w:rPr>
              <w:t>⨀⨀</w:t>
            </w:r>
          </w:p>
        </w:tc>
        <w:tc>
          <w:tcPr>
            <w:tcW w:w="2555" w:type="dxa"/>
            <w:gridSpan w:val="2"/>
            <w:tcBorders>
              <w:top w:val="single" w:sz="4" w:space="0" w:color="auto"/>
              <w:left w:val="single" w:sz="4" w:space="0" w:color="auto"/>
              <w:bottom w:val="single" w:sz="4" w:space="0" w:color="auto"/>
              <w:right w:val="single" w:sz="4" w:space="0" w:color="auto"/>
            </w:tcBorders>
          </w:tcPr>
          <w:p w14:paraId="22FD2C73" w14:textId="77777777" w:rsidR="00AE2D27" w:rsidRPr="00FB3D84" w:rsidRDefault="00AE2D27" w:rsidP="008652D9">
            <w:pPr>
              <w:pStyle w:val="Tabletext"/>
              <w:spacing w:before="0" w:after="0"/>
            </w:pPr>
            <w:r w:rsidRPr="00FB3D84">
              <w:t>Distribution of physicians’ assessment of pigmentation, vascularity, pliability and high of the scar areas</w:t>
            </w:r>
          </w:p>
        </w:tc>
        <w:tc>
          <w:tcPr>
            <w:tcW w:w="1115" w:type="dxa"/>
            <w:tcBorders>
              <w:top w:val="single" w:sz="4" w:space="0" w:color="auto"/>
              <w:left w:val="single" w:sz="4" w:space="0" w:color="auto"/>
              <w:bottom w:val="single" w:sz="4" w:space="0" w:color="auto"/>
              <w:right w:val="single" w:sz="4" w:space="0" w:color="auto"/>
            </w:tcBorders>
          </w:tcPr>
          <w:p w14:paraId="659EF285" w14:textId="77777777" w:rsidR="00AE2D27" w:rsidRPr="00FB3D84" w:rsidRDefault="00AE2D27" w:rsidP="008652D9">
            <w:pPr>
              <w:pStyle w:val="Tabletext"/>
              <w:spacing w:before="0" w:after="0"/>
            </w:pPr>
            <w:r w:rsidRPr="00FB3D84">
              <w:t xml:space="preserve">Said to be no difference (statistical analysis was </w:t>
            </w:r>
            <w:r>
              <w:t xml:space="preserve"> </w:t>
            </w:r>
            <w:r w:rsidRPr="00FB3D84">
              <w:t>not conducted)</w:t>
            </w:r>
          </w:p>
        </w:tc>
        <w:tc>
          <w:tcPr>
            <w:tcW w:w="1859" w:type="dxa"/>
            <w:gridSpan w:val="2"/>
            <w:tcBorders>
              <w:top w:val="single" w:sz="4" w:space="0" w:color="auto"/>
              <w:left w:val="single" w:sz="4" w:space="0" w:color="auto"/>
              <w:bottom w:val="single" w:sz="4" w:space="0" w:color="auto"/>
              <w:right w:val="single" w:sz="4" w:space="0" w:color="auto"/>
            </w:tcBorders>
          </w:tcPr>
          <w:p w14:paraId="1DCAC1BE" w14:textId="77777777" w:rsidR="00AE2D27" w:rsidRPr="00FB3D84" w:rsidRDefault="00AE2D27" w:rsidP="008652D9">
            <w:pPr>
              <w:pStyle w:val="Tabletext"/>
              <w:spacing w:before="0" w:after="0"/>
            </w:pPr>
            <w:r w:rsidRPr="00FB3D84">
              <w:t>The assessment was done by three categories (AFG better, saline better and no difference)</w:t>
            </w:r>
          </w:p>
        </w:tc>
      </w:tr>
      <w:tr w:rsidR="00AE2D27" w:rsidRPr="00FB3D84" w14:paraId="20C61950" w14:textId="77777777" w:rsidTr="00AE2D27">
        <w:tc>
          <w:tcPr>
            <w:tcW w:w="1271" w:type="dxa"/>
            <w:tcBorders>
              <w:top w:val="single" w:sz="4" w:space="0" w:color="auto"/>
              <w:left w:val="single" w:sz="4" w:space="0" w:color="auto"/>
              <w:bottom w:val="single" w:sz="4" w:space="0" w:color="auto"/>
              <w:right w:val="single" w:sz="4" w:space="0" w:color="auto"/>
            </w:tcBorders>
          </w:tcPr>
          <w:p w14:paraId="2C8FFF8A" w14:textId="77777777" w:rsidR="00AE2D27" w:rsidRPr="00FB3D84" w:rsidRDefault="00AE2D27" w:rsidP="008652D9">
            <w:pPr>
              <w:pStyle w:val="Tabletext"/>
              <w:spacing w:before="0" w:after="0"/>
            </w:pPr>
            <w:r w:rsidRPr="00FB3D84">
              <w:t>Patient assessment of the “look” and “feel” of two parts of the scar</w:t>
            </w:r>
          </w:p>
        </w:tc>
        <w:tc>
          <w:tcPr>
            <w:tcW w:w="1720" w:type="dxa"/>
            <w:tcBorders>
              <w:top w:val="single" w:sz="4" w:space="0" w:color="auto"/>
              <w:left w:val="single" w:sz="4" w:space="0" w:color="auto"/>
              <w:bottom w:val="single" w:sz="4" w:space="0" w:color="auto"/>
              <w:right w:val="single" w:sz="4" w:space="0" w:color="auto"/>
            </w:tcBorders>
          </w:tcPr>
          <w:p w14:paraId="2B4B208F" w14:textId="77777777" w:rsidR="00AE2D27" w:rsidRPr="00FB3D84" w:rsidRDefault="00AE2D27" w:rsidP="008652D9">
            <w:pPr>
              <w:pStyle w:val="Tabletext"/>
              <w:spacing w:before="0" w:after="0"/>
            </w:pPr>
            <w:r w:rsidRPr="00FB3D84">
              <w:t>Gal (2017, n=10)</w:t>
            </w:r>
          </w:p>
        </w:tc>
        <w:tc>
          <w:tcPr>
            <w:tcW w:w="831" w:type="dxa"/>
            <w:tcBorders>
              <w:top w:val="single" w:sz="4" w:space="0" w:color="auto"/>
              <w:left w:val="single" w:sz="4" w:space="0" w:color="auto"/>
              <w:bottom w:val="single" w:sz="4" w:space="0" w:color="auto"/>
              <w:right w:val="single" w:sz="4" w:space="0" w:color="auto"/>
            </w:tcBorders>
          </w:tcPr>
          <w:p w14:paraId="7C2CD61A" w14:textId="77777777" w:rsidR="00AE2D27" w:rsidRPr="00FB3D84" w:rsidRDefault="00AE2D27" w:rsidP="008652D9">
            <w:pPr>
              <w:pStyle w:val="Tabletext"/>
              <w:spacing w:before="0" w:after="0"/>
            </w:pPr>
            <w:r w:rsidRPr="00FB3D84">
              <w:rPr>
                <w:rFonts w:ascii="Cambria Math" w:hAnsi="Cambria Math" w:cs="Cambria Math"/>
                <w:color w:val="00B050"/>
              </w:rPr>
              <w:t>⨁⨁</w:t>
            </w:r>
            <w:r w:rsidRPr="00FB3D84">
              <w:rPr>
                <w:rFonts w:ascii="Cambria Math" w:hAnsi="Cambria Math" w:cs="Cambria Math"/>
                <w:color w:val="C00000"/>
              </w:rPr>
              <w:t>⨀⨀</w:t>
            </w:r>
          </w:p>
        </w:tc>
        <w:tc>
          <w:tcPr>
            <w:tcW w:w="2555" w:type="dxa"/>
            <w:gridSpan w:val="2"/>
            <w:tcBorders>
              <w:top w:val="single" w:sz="4" w:space="0" w:color="auto"/>
              <w:left w:val="single" w:sz="4" w:space="0" w:color="auto"/>
              <w:bottom w:val="single" w:sz="4" w:space="0" w:color="auto"/>
              <w:right w:val="single" w:sz="4" w:space="0" w:color="auto"/>
            </w:tcBorders>
          </w:tcPr>
          <w:p w14:paraId="5F1EA093" w14:textId="77777777" w:rsidR="00AE2D27" w:rsidRPr="00FB3D84" w:rsidRDefault="00AE2D27" w:rsidP="008652D9">
            <w:pPr>
              <w:pStyle w:val="Tabletext"/>
              <w:spacing w:before="0" w:after="0"/>
            </w:pPr>
            <w:r>
              <w:t>N</w:t>
            </w:r>
            <w:r w:rsidRPr="00FB3D84">
              <w:t>one of the patients had experienced obvious changes on the scar or a</w:t>
            </w:r>
            <w:r>
              <w:t xml:space="preserve"> </w:t>
            </w:r>
            <w:r w:rsidRPr="00FB3D84">
              <w:t xml:space="preserve">clear improvement on one or the other side </w:t>
            </w:r>
          </w:p>
        </w:tc>
        <w:tc>
          <w:tcPr>
            <w:tcW w:w="1115" w:type="dxa"/>
            <w:tcBorders>
              <w:top w:val="single" w:sz="4" w:space="0" w:color="auto"/>
              <w:left w:val="single" w:sz="4" w:space="0" w:color="auto"/>
              <w:bottom w:val="single" w:sz="4" w:space="0" w:color="auto"/>
              <w:right w:val="single" w:sz="4" w:space="0" w:color="auto"/>
            </w:tcBorders>
          </w:tcPr>
          <w:p w14:paraId="35030E6E" w14:textId="77777777" w:rsidR="00AE2D27" w:rsidRPr="00FB3D84" w:rsidRDefault="00AE2D27" w:rsidP="008652D9">
            <w:pPr>
              <w:pStyle w:val="Tabletext"/>
              <w:spacing w:before="0" w:after="0"/>
            </w:pPr>
            <w:r w:rsidRPr="00FB3D84">
              <w:t>Said to be no difference (statistical analysis was not conducted)</w:t>
            </w:r>
          </w:p>
        </w:tc>
        <w:tc>
          <w:tcPr>
            <w:tcW w:w="1859" w:type="dxa"/>
            <w:gridSpan w:val="2"/>
            <w:tcBorders>
              <w:top w:val="single" w:sz="4" w:space="0" w:color="auto"/>
              <w:left w:val="single" w:sz="4" w:space="0" w:color="auto"/>
              <w:bottom w:val="single" w:sz="4" w:space="0" w:color="auto"/>
              <w:right w:val="single" w:sz="4" w:space="0" w:color="auto"/>
            </w:tcBorders>
          </w:tcPr>
          <w:p w14:paraId="514D626F" w14:textId="77777777" w:rsidR="00AE2D27" w:rsidRPr="00FB3D84" w:rsidRDefault="00AE2D27" w:rsidP="008652D9">
            <w:pPr>
              <w:pStyle w:val="Tabletext"/>
              <w:spacing w:before="0" w:after="0"/>
            </w:pPr>
            <w:r w:rsidRPr="00FB3D84">
              <w:t>Most patients hesitated and often changed their mind when asked for answers during the assessment</w:t>
            </w:r>
          </w:p>
        </w:tc>
      </w:tr>
      <w:tr w:rsidR="00AE2D27" w:rsidRPr="00FB3D84" w14:paraId="33AD45E6" w14:textId="77777777" w:rsidTr="00AE2D27">
        <w:tc>
          <w:tcPr>
            <w:tcW w:w="1271" w:type="dxa"/>
            <w:tcBorders>
              <w:top w:val="single" w:sz="4" w:space="0" w:color="auto"/>
              <w:left w:val="single" w:sz="4" w:space="0" w:color="auto"/>
              <w:bottom w:val="single" w:sz="4" w:space="0" w:color="auto"/>
              <w:right w:val="single" w:sz="4" w:space="0" w:color="auto"/>
            </w:tcBorders>
          </w:tcPr>
          <w:p w14:paraId="6AC5D57F" w14:textId="77777777" w:rsidR="00AE2D27" w:rsidRPr="00FB3D84" w:rsidRDefault="00AE2D27" w:rsidP="008652D9">
            <w:pPr>
              <w:pStyle w:val="Tabletext"/>
              <w:spacing w:before="0" w:after="0"/>
            </w:pPr>
            <w:r w:rsidRPr="00FB3D84">
              <w:t xml:space="preserve">Skin hardness </w:t>
            </w:r>
          </w:p>
        </w:tc>
        <w:tc>
          <w:tcPr>
            <w:tcW w:w="1720" w:type="dxa"/>
            <w:tcBorders>
              <w:top w:val="single" w:sz="4" w:space="0" w:color="auto"/>
              <w:left w:val="single" w:sz="4" w:space="0" w:color="auto"/>
              <w:bottom w:val="single" w:sz="4" w:space="0" w:color="auto"/>
              <w:right w:val="single" w:sz="4" w:space="0" w:color="auto"/>
            </w:tcBorders>
          </w:tcPr>
          <w:p w14:paraId="429C5542" w14:textId="77777777" w:rsidR="00AE2D27" w:rsidRPr="00FB3D84" w:rsidRDefault="00AE2D27" w:rsidP="008652D9">
            <w:pPr>
              <w:pStyle w:val="Tabletext"/>
              <w:spacing w:before="0" w:after="0"/>
            </w:pPr>
            <w:r w:rsidRPr="00FB3D84">
              <w:t>Klinger (2031, n=20)</w:t>
            </w:r>
          </w:p>
        </w:tc>
        <w:tc>
          <w:tcPr>
            <w:tcW w:w="831" w:type="dxa"/>
            <w:tcBorders>
              <w:top w:val="single" w:sz="4" w:space="0" w:color="auto"/>
              <w:left w:val="single" w:sz="4" w:space="0" w:color="auto"/>
              <w:bottom w:val="single" w:sz="4" w:space="0" w:color="auto"/>
              <w:right w:val="single" w:sz="4" w:space="0" w:color="auto"/>
            </w:tcBorders>
          </w:tcPr>
          <w:p w14:paraId="027FA304" w14:textId="77777777" w:rsidR="00AE2D27" w:rsidRPr="00FB3D84" w:rsidRDefault="00AE2D27" w:rsidP="008652D9">
            <w:pPr>
              <w:pStyle w:val="Tabletext"/>
              <w:spacing w:before="0" w:after="0"/>
            </w:pPr>
            <w:r w:rsidRPr="00FB3D84">
              <w:rPr>
                <w:rFonts w:ascii="Cambria Math" w:hAnsi="Cambria Math" w:cs="Cambria Math"/>
                <w:color w:val="00B050"/>
              </w:rPr>
              <w:t>⨁</w:t>
            </w:r>
            <w:r w:rsidRPr="00FB3D84">
              <w:rPr>
                <w:rFonts w:ascii="Cambria Math" w:hAnsi="Cambria Math" w:cs="Cambria Math"/>
                <w:color w:val="C00000"/>
              </w:rPr>
              <w:t>⨀⨀⨀</w:t>
            </w:r>
          </w:p>
        </w:tc>
        <w:tc>
          <w:tcPr>
            <w:tcW w:w="1135" w:type="dxa"/>
            <w:tcBorders>
              <w:top w:val="single" w:sz="4" w:space="0" w:color="auto"/>
              <w:left w:val="single" w:sz="4" w:space="0" w:color="auto"/>
              <w:bottom w:val="single" w:sz="4" w:space="0" w:color="auto"/>
              <w:right w:val="single" w:sz="4" w:space="0" w:color="auto"/>
            </w:tcBorders>
          </w:tcPr>
          <w:p w14:paraId="759D825A" w14:textId="77777777" w:rsidR="00AE2D27" w:rsidRPr="00FB3D84" w:rsidRDefault="00AE2D27" w:rsidP="008652D9">
            <w:pPr>
              <w:pStyle w:val="Tabletext"/>
              <w:spacing w:before="0" w:after="0"/>
            </w:pPr>
            <w:r w:rsidRPr="00FB3D84">
              <w:t>40.9-31.67=</w:t>
            </w:r>
          </w:p>
          <w:p w14:paraId="369EB5DA" w14:textId="77777777" w:rsidR="00AE2D27" w:rsidRPr="00FB3D84" w:rsidRDefault="00AE2D27" w:rsidP="008652D9">
            <w:pPr>
              <w:pStyle w:val="Tabletext"/>
              <w:spacing w:before="0" w:after="0"/>
            </w:pPr>
            <w:r w:rsidRPr="00FB3D84">
              <w:t>9.23</w:t>
            </w:r>
            <w:r w:rsidRPr="00FB3D84">
              <w:rPr>
                <w:rFonts w:cs="Arial"/>
                <w:vertAlign w:val="superscript"/>
              </w:rPr>
              <w:t xml:space="preserve"> d</w:t>
            </w:r>
          </w:p>
        </w:tc>
        <w:tc>
          <w:tcPr>
            <w:tcW w:w="1420" w:type="dxa"/>
            <w:tcBorders>
              <w:top w:val="single" w:sz="4" w:space="0" w:color="auto"/>
              <w:left w:val="single" w:sz="4" w:space="0" w:color="auto"/>
              <w:bottom w:val="single" w:sz="4" w:space="0" w:color="auto"/>
              <w:right w:val="single" w:sz="4" w:space="0" w:color="auto"/>
            </w:tcBorders>
          </w:tcPr>
          <w:p w14:paraId="01B3400B" w14:textId="77777777" w:rsidR="00AE2D27" w:rsidRPr="00FB3D84" w:rsidRDefault="00AE2D27" w:rsidP="008652D9">
            <w:pPr>
              <w:pStyle w:val="Tabletext"/>
              <w:spacing w:before="0" w:after="0"/>
            </w:pPr>
            <w:r w:rsidRPr="00FB3D84">
              <w:t>33.75-30.72=</w:t>
            </w:r>
          </w:p>
          <w:p w14:paraId="54ACA349" w14:textId="77777777" w:rsidR="00AE2D27" w:rsidRPr="00FB3D84" w:rsidRDefault="00AE2D27" w:rsidP="008652D9">
            <w:pPr>
              <w:pStyle w:val="Tabletext"/>
              <w:spacing w:before="0" w:after="0"/>
            </w:pPr>
            <w:r w:rsidRPr="00FB3D84">
              <w:t>3.03</w:t>
            </w:r>
            <w:r w:rsidRPr="00FB3D84">
              <w:rPr>
                <w:rFonts w:cs="Arial"/>
                <w:vertAlign w:val="superscript"/>
              </w:rPr>
              <w:t xml:space="preserve"> d</w:t>
            </w:r>
          </w:p>
        </w:tc>
        <w:tc>
          <w:tcPr>
            <w:tcW w:w="1133" w:type="dxa"/>
            <w:gridSpan w:val="2"/>
            <w:tcBorders>
              <w:top w:val="single" w:sz="4" w:space="0" w:color="auto"/>
              <w:left w:val="single" w:sz="4" w:space="0" w:color="auto"/>
              <w:bottom w:val="single" w:sz="4" w:space="0" w:color="auto"/>
              <w:right w:val="single" w:sz="4" w:space="0" w:color="auto"/>
            </w:tcBorders>
          </w:tcPr>
          <w:p w14:paraId="7E0117B0" w14:textId="77777777" w:rsidR="00AE2D27" w:rsidRPr="00FB3D84" w:rsidRDefault="00AE2D27" w:rsidP="008652D9">
            <w:pPr>
              <w:pStyle w:val="Tabletext"/>
              <w:spacing w:before="0" w:after="0"/>
            </w:pPr>
            <w:r w:rsidRPr="00FB3D84">
              <w:t>Not reported</w:t>
            </w:r>
          </w:p>
        </w:tc>
        <w:tc>
          <w:tcPr>
            <w:tcW w:w="1841" w:type="dxa"/>
            <w:tcBorders>
              <w:top w:val="single" w:sz="4" w:space="0" w:color="auto"/>
              <w:left w:val="single" w:sz="4" w:space="0" w:color="auto"/>
              <w:bottom w:val="single" w:sz="4" w:space="0" w:color="auto"/>
              <w:right w:val="single" w:sz="4" w:space="0" w:color="auto"/>
            </w:tcBorders>
          </w:tcPr>
          <w:p w14:paraId="0AF6A890" w14:textId="77777777" w:rsidR="00AE2D27" w:rsidRPr="00FB3D84" w:rsidRDefault="00AE2D27" w:rsidP="008652D9">
            <w:pPr>
              <w:pStyle w:val="Tabletext"/>
              <w:spacing w:before="0" w:after="0"/>
            </w:pPr>
            <w:r w:rsidRPr="00FB3D84">
              <w:t xml:space="preserve">Objective outcome (durometer); note a big difference at the baseline </w:t>
            </w:r>
          </w:p>
        </w:tc>
      </w:tr>
      <w:tr w:rsidR="00AE2D27" w:rsidRPr="00FB3D84" w14:paraId="32D3BFA6" w14:textId="77777777" w:rsidTr="00AE2D27">
        <w:tc>
          <w:tcPr>
            <w:tcW w:w="1271" w:type="dxa"/>
            <w:tcBorders>
              <w:top w:val="single" w:sz="4" w:space="0" w:color="auto"/>
              <w:left w:val="single" w:sz="4" w:space="0" w:color="auto"/>
              <w:bottom w:val="single" w:sz="4" w:space="0" w:color="auto"/>
              <w:right w:val="single" w:sz="4" w:space="0" w:color="auto"/>
            </w:tcBorders>
          </w:tcPr>
          <w:p w14:paraId="195F5B21" w14:textId="77777777" w:rsidR="00AE2D27" w:rsidRPr="00FB3D84" w:rsidRDefault="00AE2D27" w:rsidP="008652D9">
            <w:pPr>
              <w:pStyle w:val="Tabletext"/>
              <w:spacing w:before="0" w:after="0"/>
            </w:pPr>
            <w:r w:rsidRPr="00FB3D84">
              <w:t>VSS (scores)</w:t>
            </w:r>
          </w:p>
        </w:tc>
        <w:tc>
          <w:tcPr>
            <w:tcW w:w="1720" w:type="dxa"/>
            <w:tcBorders>
              <w:top w:val="single" w:sz="4" w:space="0" w:color="auto"/>
              <w:left w:val="single" w:sz="4" w:space="0" w:color="auto"/>
              <w:bottom w:val="single" w:sz="4" w:space="0" w:color="auto"/>
              <w:right w:val="single" w:sz="4" w:space="0" w:color="auto"/>
            </w:tcBorders>
          </w:tcPr>
          <w:p w14:paraId="7A37BAE8" w14:textId="77777777" w:rsidR="00AE2D27" w:rsidRDefault="00AE2D27" w:rsidP="008652D9">
            <w:pPr>
              <w:pStyle w:val="Tabletext"/>
              <w:spacing w:before="0" w:after="0"/>
            </w:pPr>
            <w:r w:rsidRPr="00FB3D84">
              <w:t>Bruno (2013)</w:t>
            </w:r>
          </w:p>
          <w:p w14:paraId="470A3FC8" w14:textId="77777777" w:rsidR="00AE2D27" w:rsidRPr="00FB3D84" w:rsidRDefault="00AE2D27" w:rsidP="008652D9">
            <w:pPr>
              <w:pStyle w:val="Tabletext"/>
              <w:spacing w:before="0" w:after="0"/>
            </w:pPr>
          </w:p>
          <w:p w14:paraId="6F3DABE7" w14:textId="77777777" w:rsidR="00AE2D27" w:rsidRPr="00FB3D84" w:rsidRDefault="00AE2D27" w:rsidP="008652D9">
            <w:pPr>
              <w:pStyle w:val="Tabletext"/>
              <w:spacing w:before="0" w:after="0"/>
            </w:pPr>
            <w:r w:rsidRPr="00FB3D84">
              <w:t>Gargano (2018)</w:t>
            </w:r>
          </w:p>
        </w:tc>
        <w:tc>
          <w:tcPr>
            <w:tcW w:w="831" w:type="dxa"/>
            <w:tcBorders>
              <w:top w:val="single" w:sz="4" w:space="0" w:color="auto"/>
              <w:left w:val="single" w:sz="4" w:space="0" w:color="auto"/>
              <w:bottom w:val="single" w:sz="4" w:space="0" w:color="auto"/>
              <w:right w:val="single" w:sz="4" w:space="0" w:color="auto"/>
            </w:tcBorders>
          </w:tcPr>
          <w:p w14:paraId="2BF8AB5D" w14:textId="77777777" w:rsidR="00AE2D27" w:rsidRDefault="00AE2D27" w:rsidP="008652D9">
            <w:pPr>
              <w:pStyle w:val="Tabletext"/>
              <w:spacing w:before="0" w:after="0"/>
              <w:rPr>
                <w:rFonts w:ascii="Cambria Math" w:hAnsi="Cambria Math" w:cs="Cambria Math"/>
                <w:color w:val="C00000"/>
              </w:rPr>
            </w:pPr>
            <w:r w:rsidRPr="00FB3D84">
              <w:rPr>
                <w:rFonts w:ascii="Cambria Math" w:hAnsi="Cambria Math" w:cs="Cambria Math"/>
                <w:color w:val="00B050"/>
              </w:rPr>
              <w:t>⨁</w:t>
            </w:r>
            <w:r w:rsidRPr="00FB3D84">
              <w:rPr>
                <w:rFonts w:ascii="Cambria Math" w:hAnsi="Cambria Math" w:cs="Cambria Math"/>
                <w:color w:val="C00000"/>
              </w:rPr>
              <w:t>⨀⨀⨀</w:t>
            </w:r>
          </w:p>
          <w:p w14:paraId="7DD2DEBB" w14:textId="77777777" w:rsidR="00AE2D27" w:rsidRPr="00FB3D84" w:rsidRDefault="00AE2D27" w:rsidP="008652D9">
            <w:pPr>
              <w:pStyle w:val="Tabletext"/>
              <w:spacing w:before="0" w:after="0"/>
              <w:rPr>
                <w:color w:val="00B050"/>
              </w:rPr>
            </w:pPr>
          </w:p>
          <w:p w14:paraId="1DB7A4DF" w14:textId="77777777" w:rsidR="00AE2D27" w:rsidRPr="00FB3D84" w:rsidRDefault="00AE2D27" w:rsidP="008652D9">
            <w:pPr>
              <w:pStyle w:val="Tabletext"/>
              <w:spacing w:before="0" w:after="0"/>
            </w:pPr>
            <w:r w:rsidRPr="00FB3D84">
              <w:rPr>
                <w:rFonts w:ascii="Cambria Math" w:hAnsi="Cambria Math" w:cs="Cambria Math"/>
                <w:color w:val="00B050"/>
              </w:rPr>
              <w:t>⨁</w:t>
            </w:r>
            <w:r w:rsidRPr="00FB3D84">
              <w:rPr>
                <w:rFonts w:ascii="Cambria Math" w:hAnsi="Cambria Math" w:cs="Cambria Math"/>
                <w:color w:val="C00000"/>
              </w:rPr>
              <w:t>⨀⨀⨀</w:t>
            </w:r>
          </w:p>
        </w:tc>
        <w:tc>
          <w:tcPr>
            <w:tcW w:w="1135" w:type="dxa"/>
            <w:tcBorders>
              <w:top w:val="single" w:sz="4" w:space="0" w:color="auto"/>
              <w:left w:val="single" w:sz="4" w:space="0" w:color="auto"/>
              <w:bottom w:val="single" w:sz="4" w:space="0" w:color="auto"/>
              <w:right w:val="single" w:sz="4" w:space="0" w:color="auto"/>
            </w:tcBorders>
          </w:tcPr>
          <w:p w14:paraId="293CB915" w14:textId="77777777" w:rsidR="00AE2D27" w:rsidRPr="00FB3D84" w:rsidRDefault="00AE2D27" w:rsidP="008652D9">
            <w:pPr>
              <w:pStyle w:val="Tabletext"/>
              <w:spacing w:before="0" w:after="0"/>
              <w:rPr>
                <w:rFonts w:cs="Arial"/>
                <w:vertAlign w:val="superscript"/>
              </w:rPr>
            </w:pPr>
            <w:r w:rsidRPr="00FB3D84">
              <w:t>41 (34-49) to 15 (9-18)</w:t>
            </w:r>
            <w:r w:rsidRPr="00FB3D84">
              <w:rPr>
                <w:rFonts w:cs="Arial"/>
                <w:vertAlign w:val="superscript"/>
              </w:rPr>
              <w:t>e</w:t>
            </w:r>
          </w:p>
          <w:p w14:paraId="19952BB4" w14:textId="77777777" w:rsidR="00AE2D27" w:rsidRPr="00FB3D84" w:rsidRDefault="00AE2D27" w:rsidP="008652D9">
            <w:pPr>
              <w:pStyle w:val="Tabletext"/>
              <w:spacing w:before="0" w:after="0"/>
            </w:pPr>
            <w:r w:rsidRPr="00FB3D84">
              <w:t>10 (9-12) to</w:t>
            </w:r>
            <w:r>
              <w:t xml:space="preserve"> </w:t>
            </w:r>
            <w:r w:rsidRPr="00FB3D84">
              <w:t>4 (3-7)</w:t>
            </w:r>
            <w:r w:rsidRPr="00FB3D84">
              <w:rPr>
                <w:rFonts w:cs="Arial"/>
                <w:vertAlign w:val="superscript"/>
              </w:rPr>
              <w:t>e</w:t>
            </w:r>
          </w:p>
        </w:tc>
        <w:tc>
          <w:tcPr>
            <w:tcW w:w="1420" w:type="dxa"/>
            <w:tcBorders>
              <w:top w:val="single" w:sz="4" w:space="0" w:color="auto"/>
              <w:left w:val="single" w:sz="4" w:space="0" w:color="auto"/>
              <w:bottom w:val="single" w:sz="4" w:space="0" w:color="auto"/>
              <w:right w:val="single" w:sz="4" w:space="0" w:color="auto"/>
            </w:tcBorders>
          </w:tcPr>
          <w:p w14:paraId="0ABA6066" w14:textId="77777777" w:rsidR="00AE2D27" w:rsidRDefault="00AE2D27" w:rsidP="008652D9">
            <w:pPr>
              <w:pStyle w:val="Tabletext"/>
              <w:spacing w:before="0" w:after="0"/>
            </w:pPr>
            <w:r w:rsidRPr="00FB3D84">
              <w:t>N/A</w:t>
            </w:r>
          </w:p>
          <w:p w14:paraId="2B10F1E3" w14:textId="77777777" w:rsidR="00AE2D27" w:rsidRPr="00FB3D84" w:rsidRDefault="00AE2D27" w:rsidP="008652D9">
            <w:pPr>
              <w:pStyle w:val="Tabletext"/>
              <w:spacing w:before="0" w:after="0"/>
            </w:pPr>
          </w:p>
          <w:p w14:paraId="441C5A38" w14:textId="77777777" w:rsidR="00AE2D27" w:rsidRPr="00FB3D84" w:rsidRDefault="00AE2D27" w:rsidP="008652D9">
            <w:pPr>
              <w:pStyle w:val="Tabletext"/>
              <w:spacing w:before="0" w:after="0"/>
            </w:pPr>
            <w:r w:rsidRPr="00FB3D84">
              <w:t>N/A</w:t>
            </w:r>
          </w:p>
        </w:tc>
        <w:tc>
          <w:tcPr>
            <w:tcW w:w="1133" w:type="dxa"/>
            <w:gridSpan w:val="2"/>
            <w:tcBorders>
              <w:top w:val="single" w:sz="4" w:space="0" w:color="auto"/>
              <w:left w:val="single" w:sz="4" w:space="0" w:color="auto"/>
              <w:bottom w:val="single" w:sz="4" w:space="0" w:color="auto"/>
              <w:right w:val="single" w:sz="4" w:space="0" w:color="auto"/>
            </w:tcBorders>
          </w:tcPr>
          <w:p w14:paraId="0EBDFE7F" w14:textId="77777777" w:rsidR="00AE2D27" w:rsidRDefault="00AE2D27" w:rsidP="008652D9">
            <w:pPr>
              <w:pStyle w:val="Tabletext"/>
              <w:spacing w:before="0" w:after="0"/>
            </w:pPr>
            <w:r w:rsidRPr="00FB3D84">
              <w:t>Not reported</w:t>
            </w:r>
          </w:p>
          <w:p w14:paraId="29D9140C" w14:textId="77777777" w:rsidR="00AE2D27" w:rsidRPr="00FB3D84" w:rsidRDefault="00AE2D27" w:rsidP="008652D9">
            <w:pPr>
              <w:pStyle w:val="Tabletext"/>
              <w:spacing w:before="0" w:after="0"/>
            </w:pPr>
          </w:p>
          <w:p w14:paraId="07E2D5E6" w14:textId="77777777" w:rsidR="00AE2D27" w:rsidRPr="00FB3D84" w:rsidRDefault="00AE2D27" w:rsidP="008652D9">
            <w:pPr>
              <w:pStyle w:val="Tabletext"/>
              <w:spacing w:before="0" w:after="0"/>
            </w:pPr>
            <w:r w:rsidRPr="00FB3D84">
              <w:t>Not reported</w:t>
            </w:r>
          </w:p>
        </w:tc>
        <w:tc>
          <w:tcPr>
            <w:tcW w:w="1841" w:type="dxa"/>
            <w:tcBorders>
              <w:top w:val="single" w:sz="4" w:space="0" w:color="auto"/>
              <w:left w:val="single" w:sz="4" w:space="0" w:color="auto"/>
              <w:bottom w:val="single" w:sz="4" w:space="0" w:color="auto"/>
              <w:right w:val="single" w:sz="4" w:space="0" w:color="auto"/>
            </w:tcBorders>
          </w:tcPr>
          <w:p w14:paraId="24347B40" w14:textId="77777777" w:rsidR="00AE2D27" w:rsidRPr="00FB3D84" w:rsidRDefault="00AE2D27" w:rsidP="008652D9">
            <w:pPr>
              <w:pStyle w:val="Tabletext"/>
              <w:spacing w:before="0" w:after="0"/>
            </w:pPr>
            <w:r w:rsidRPr="00FB3D84">
              <w:t>Lower values indicates better skin</w:t>
            </w:r>
          </w:p>
          <w:p w14:paraId="0C68FD8D" w14:textId="77777777" w:rsidR="00AE2D27" w:rsidRPr="00FB3D84" w:rsidRDefault="00AE2D27" w:rsidP="008652D9">
            <w:pPr>
              <w:pStyle w:val="Tabletext"/>
              <w:spacing w:before="0" w:after="0"/>
            </w:pPr>
            <w:r w:rsidRPr="00FB3D84">
              <w:t xml:space="preserve">Combine intervention of AFG and </w:t>
            </w:r>
            <w:proofErr w:type="spellStart"/>
            <w:r w:rsidRPr="00FB3D84">
              <w:t>Subcision</w:t>
            </w:r>
            <w:proofErr w:type="spellEnd"/>
            <w:r w:rsidRPr="00FB3D84">
              <w:t xml:space="preserve"> (percutaneous release of deep scar tissues)</w:t>
            </w:r>
          </w:p>
        </w:tc>
      </w:tr>
      <w:tr w:rsidR="00AE2D27" w:rsidRPr="00FB3D84" w14:paraId="292AF6BF" w14:textId="77777777" w:rsidTr="00AE2D27">
        <w:tc>
          <w:tcPr>
            <w:tcW w:w="1271" w:type="dxa"/>
            <w:tcBorders>
              <w:top w:val="single" w:sz="4" w:space="0" w:color="auto"/>
              <w:left w:val="single" w:sz="4" w:space="0" w:color="auto"/>
              <w:bottom w:val="single" w:sz="4" w:space="0" w:color="auto"/>
              <w:right w:val="single" w:sz="4" w:space="0" w:color="auto"/>
            </w:tcBorders>
          </w:tcPr>
          <w:p w14:paraId="006C0A57" w14:textId="77777777" w:rsidR="00AE2D27" w:rsidRPr="00FB3D84" w:rsidRDefault="00AE2D27" w:rsidP="008652D9">
            <w:pPr>
              <w:pStyle w:val="Tabletext"/>
              <w:spacing w:before="0" w:after="0"/>
            </w:pPr>
            <w:r w:rsidRPr="00FB3D84">
              <w:t>Range of motion</w:t>
            </w:r>
          </w:p>
        </w:tc>
        <w:tc>
          <w:tcPr>
            <w:tcW w:w="1720" w:type="dxa"/>
            <w:tcBorders>
              <w:top w:val="single" w:sz="4" w:space="0" w:color="auto"/>
              <w:left w:val="single" w:sz="4" w:space="0" w:color="auto"/>
              <w:bottom w:val="single" w:sz="4" w:space="0" w:color="auto"/>
              <w:right w:val="single" w:sz="4" w:space="0" w:color="auto"/>
            </w:tcBorders>
          </w:tcPr>
          <w:p w14:paraId="4BD56693" w14:textId="77777777" w:rsidR="00AE2D27" w:rsidRPr="00FB3D84" w:rsidRDefault="00AE2D27" w:rsidP="008652D9">
            <w:pPr>
              <w:pStyle w:val="Tabletext"/>
              <w:spacing w:before="0" w:after="0"/>
            </w:pPr>
            <w:r w:rsidRPr="00FB3D84">
              <w:t>Byrne (2016)</w:t>
            </w:r>
          </w:p>
          <w:p w14:paraId="54CCED5E" w14:textId="77777777" w:rsidR="00AE2D27" w:rsidRPr="00FB3D84" w:rsidRDefault="00AE2D27" w:rsidP="008652D9">
            <w:pPr>
              <w:pStyle w:val="Tabletext"/>
              <w:spacing w:before="0" w:after="0"/>
            </w:pPr>
            <w:r w:rsidRPr="00FB3D84">
              <w:t>Gargano (2018)</w:t>
            </w:r>
          </w:p>
        </w:tc>
        <w:tc>
          <w:tcPr>
            <w:tcW w:w="831" w:type="dxa"/>
            <w:tcBorders>
              <w:top w:val="single" w:sz="4" w:space="0" w:color="auto"/>
              <w:left w:val="single" w:sz="4" w:space="0" w:color="auto"/>
              <w:bottom w:val="single" w:sz="4" w:space="0" w:color="auto"/>
              <w:right w:val="single" w:sz="4" w:space="0" w:color="auto"/>
            </w:tcBorders>
          </w:tcPr>
          <w:p w14:paraId="54BB1DE4" w14:textId="77777777" w:rsidR="00AE2D27" w:rsidRPr="00FB3D84" w:rsidRDefault="00AE2D27" w:rsidP="008652D9">
            <w:pPr>
              <w:pStyle w:val="Tabletext"/>
              <w:spacing w:before="0" w:after="0"/>
              <w:rPr>
                <w:rFonts w:cs="Cambria Math"/>
                <w:color w:val="C00000"/>
              </w:rPr>
            </w:pPr>
            <w:r w:rsidRPr="00FB3D84">
              <w:rPr>
                <w:rFonts w:ascii="Cambria Math" w:hAnsi="Cambria Math" w:cs="Cambria Math"/>
                <w:color w:val="00B050"/>
              </w:rPr>
              <w:t>⨁</w:t>
            </w:r>
            <w:r w:rsidRPr="00FB3D84">
              <w:rPr>
                <w:rFonts w:ascii="Cambria Math" w:hAnsi="Cambria Math" w:cs="Cambria Math"/>
                <w:color w:val="C00000"/>
              </w:rPr>
              <w:t>⨀⨀⨀</w:t>
            </w:r>
          </w:p>
          <w:p w14:paraId="29769F80" w14:textId="77777777" w:rsidR="00AE2D27" w:rsidRPr="00FB3D84" w:rsidRDefault="00AE2D27" w:rsidP="008652D9">
            <w:pPr>
              <w:pStyle w:val="Tabletext"/>
              <w:spacing w:before="0" w:after="0"/>
            </w:pPr>
            <w:r w:rsidRPr="00FB3D84">
              <w:rPr>
                <w:rFonts w:ascii="Cambria Math" w:hAnsi="Cambria Math" w:cs="Cambria Math"/>
                <w:color w:val="00B050"/>
              </w:rPr>
              <w:t>⨁</w:t>
            </w:r>
            <w:r w:rsidRPr="00FB3D84">
              <w:rPr>
                <w:rFonts w:ascii="Cambria Math" w:hAnsi="Cambria Math" w:cs="Cambria Math"/>
                <w:color w:val="C00000"/>
              </w:rPr>
              <w:t>⨀⨀⨀</w:t>
            </w:r>
          </w:p>
        </w:tc>
        <w:tc>
          <w:tcPr>
            <w:tcW w:w="1135" w:type="dxa"/>
            <w:tcBorders>
              <w:top w:val="single" w:sz="4" w:space="0" w:color="auto"/>
              <w:left w:val="single" w:sz="4" w:space="0" w:color="auto"/>
              <w:bottom w:val="single" w:sz="4" w:space="0" w:color="auto"/>
              <w:right w:val="single" w:sz="4" w:space="0" w:color="auto"/>
            </w:tcBorders>
          </w:tcPr>
          <w:p w14:paraId="46D1CC03" w14:textId="77777777" w:rsidR="00AE2D27" w:rsidRPr="00FB3D84" w:rsidRDefault="00AE2D27" w:rsidP="008652D9">
            <w:pPr>
              <w:pStyle w:val="Tabletext"/>
              <w:spacing w:before="0" w:after="0"/>
            </w:pPr>
            <w:r w:rsidRPr="00FB3D84">
              <w:t>31%</w:t>
            </w:r>
            <w:r w:rsidRPr="00FB3D84">
              <w:rPr>
                <w:rFonts w:cs="Arial"/>
                <w:vertAlign w:val="superscript"/>
              </w:rPr>
              <w:t>f</w:t>
            </w:r>
          </w:p>
          <w:p w14:paraId="798C791C" w14:textId="77777777" w:rsidR="00AE2D27" w:rsidRPr="00FB3D84" w:rsidRDefault="00AE2D27" w:rsidP="008652D9">
            <w:pPr>
              <w:pStyle w:val="Tabletext"/>
              <w:spacing w:before="0" w:after="0"/>
            </w:pPr>
            <w:r w:rsidRPr="00FB3D84">
              <w:t>36.3</w:t>
            </w:r>
            <w:r w:rsidRPr="00FB3D84">
              <w:rPr>
                <w:vertAlign w:val="superscript"/>
              </w:rPr>
              <w:t>0</w:t>
            </w:r>
            <w:r w:rsidRPr="00FB3D84">
              <w:t xml:space="preserve"> (20</w:t>
            </w:r>
            <w:r w:rsidRPr="00FB3D84">
              <w:rPr>
                <w:vertAlign w:val="superscript"/>
              </w:rPr>
              <w:t>0</w:t>
            </w:r>
            <w:r w:rsidRPr="00FB3D84">
              <w:t>-45</w:t>
            </w:r>
            <w:r w:rsidRPr="00FB3D84">
              <w:rPr>
                <w:vertAlign w:val="superscript"/>
              </w:rPr>
              <w:t>0</w:t>
            </w:r>
            <w:r w:rsidRPr="00FB3D84">
              <w:t>) to 61.2</w:t>
            </w:r>
            <w:r w:rsidRPr="00FB3D84">
              <w:rPr>
                <w:vertAlign w:val="superscript"/>
              </w:rPr>
              <w:t>0</w:t>
            </w:r>
            <w:r w:rsidRPr="00FB3D84">
              <w:t xml:space="preserve"> (45</w:t>
            </w:r>
            <w:r w:rsidRPr="00FB3D84">
              <w:rPr>
                <w:vertAlign w:val="superscript"/>
              </w:rPr>
              <w:t>0</w:t>
            </w:r>
            <w:r w:rsidRPr="00FB3D84">
              <w:t>-70</w:t>
            </w:r>
            <w:r w:rsidRPr="00FB3D84">
              <w:rPr>
                <w:vertAlign w:val="superscript"/>
              </w:rPr>
              <w:t>0</w:t>
            </w:r>
            <w:r w:rsidRPr="00FB3D84">
              <w:t>)</w:t>
            </w:r>
            <w:r w:rsidRPr="00FB3D84">
              <w:rPr>
                <w:rFonts w:cs="Arial"/>
                <w:vertAlign w:val="superscript"/>
              </w:rPr>
              <w:t xml:space="preserve"> e</w:t>
            </w:r>
          </w:p>
        </w:tc>
        <w:tc>
          <w:tcPr>
            <w:tcW w:w="1420" w:type="dxa"/>
            <w:tcBorders>
              <w:top w:val="single" w:sz="4" w:space="0" w:color="auto"/>
              <w:left w:val="single" w:sz="4" w:space="0" w:color="auto"/>
              <w:bottom w:val="single" w:sz="4" w:space="0" w:color="auto"/>
              <w:right w:val="single" w:sz="4" w:space="0" w:color="auto"/>
            </w:tcBorders>
          </w:tcPr>
          <w:p w14:paraId="1D0F2833" w14:textId="77777777" w:rsidR="00AE2D27" w:rsidRPr="00FB3D84" w:rsidRDefault="00AE2D27" w:rsidP="008652D9">
            <w:pPr>
              <w:pStyle w:val="Tabletext"/>
              <w:spacing w:before="0" w:after="0"/>
            </w:pPr>
            <w:r w:rsidRPr="00FB3D84">
              <w:t>N/A</w:t>
            </w:r>
          </w:p>
          <w:p w14:paraId="6985FE46" w14:textId="77777777" w:rsidR="00AE2D27" w:rsidRPr="00FB3D84" w:rsidRDefault="00AE2D27" w:rsidP="008652D9">
            <w:pPr>
              <w:pStyle w:val="Tabletext"/>
              <w:spacing w:before="0" w:after="0"/>
            </w:pPr>
            <w:r w:rsidRPr="00FB3D84">
              <w:t>N/A</w:t>
            </w:r>
          </w:p>
          <w:p w14:paraId="5478A3C9" w14:textId="77777777" w:rsidR="00AE2D27" w:rsidRPr="00FB3D84" w:rsidRDefault="00AE2D27" w:rsidP="008652D9">
            <w:pPr>
              <w:pStyle w:val="Tabletext"/>
              <w:spacing w:before="0" w:after="0"/>
            </w:pPr>
          </w:p>
        </w:tc>
        <w:tc>
          <w:tcPr>
            <w:tcW w:w="1133" w:type="dxa"/>
            <w:gridSpan w:val="2"/>
            <w:tcBorders>
              <w:top w:val="single" w:sz="4" w:space="0" w:color="auto"/>
              <w:left w:val="single" w:sz="4" w:space="0" w:color="auto"/>
              <w:bottom w:val="single" w:sz="4" w:space="0" w:color="auto"/>
              <w:right w:val="single" w:sz="4" w:space="0" w:color="auto"/>
            </w:tcBorders>
          </w:tcPr>
          <w:p w14:paraId="3330467D" w14:textId="77777777" w:rsidR="00AE2D27" w:rsidRPr="00FB3D84" w:rsidRDefault="00AE2D27" w:rsidP="008652D9">
            <w:pPr>
              <w:pStyle w:val="Tabletext"/>
              <w:spacing w:before="0" w:after="0"/>
            </w:pPr>
            <w:r w:rsidRPr="00FB3D84">
              <w:t>Not reported</w:t>
            </w:r>
          </w:p>
          <w:p w14:paraId="5E0CF589" w14:textId="77777777" w:rsidR="00AE2D27" w:rsidRPr="00FB3D84" w:rsidRDefault="00AE2D27" w:rsidP="008652D9">
            <w:pPr>
              <w:pStyle w:val="Tabletext"/>
              <w:spacing w:before="0" w:after="0"/>
            </w:pPr>
            <w:r w:rsidRPr="00FB3D84">
              <w:t>Significant (p&lt;0.05)</w:t>
            </w:r>
          </w:p>
        </w:tc>
        <w:tc>
          <w:tcPr>
            <w:tcW w:w="1841" w:type="dxa"/>
            <w:tcBorders>
              <w:top w:val="single" w:sz="4" w:space="0" w:color="auto"/>
              <w:left w:val="single" w:sz="4" w:space="0" w:color="auto"/>
              <w:bottom w:val="single" w:sz="4" w:space="0" w:color="auto"/>
              <w:right w:val="single" w:sz="4" w:space="0" w:color="auto"/>
            </w:tcBorders>
          </w:tcPr>
          <w:p w14:paraId="32347797" w14:textId="77777777" w:rsidR="00AE2D27" w:rsidRPr="00FB3D84" w:rsidRDefault="00AE2D27" w:rsidP="008652D9">
            <w:pPr>
              <w:pStyle w:val="Tabletext"/>
              <w:spacing w:before="0" w:after="0"/>
            </w:pPr>
            <w:r w:rsidRPr="00FB3D84">
              <w:t>Proportion of responders.</w:t>
            </w:r>
          </w:p>
          <w:p w14:paraId="21DCA822" w14:textId="77777777" w:rsidR="00AE2D27" w:rsidRPr="00FB3D84" w:rsidRDefault="00AE2D27" w:rsidP="008652D9">
            <w:pPr>
              <w:pStyle w:val="Tabletext"/>
              <w:spacing w:before="0" w:after="0"/>
            </w:pPr>
            <w:r w:rsidRPr="00FB3D84">
              <w:t xml:space="preserve">Outcomes are applicable to the subgroup (n=6) with restricted motion of neck </w:t>
            </w:r>
          </w:p>
        </w:tc>
      </w:tr>
      <w:tr w:rsidR="00AE2D27" w:rsidRPr="00FB3D84" w14:paraId="2418990A" w14:textId="77777777" w:rsidTr="00AE2D27">
        <w:tc>
          <w:tcPr>
            <w:tcW w:w="1271" w:type="dxa"/>
            <w:tcBorders>
              <w:top w:val="single" w:sz="4" w:space="0" w:color="auto"/>
              <w:left w:val="single" w:sz="4" w:space="0" w:color="auto"/>
              <w:bottom w:val="single" w:sz="4" w:space="0" w:color="auto"/>
              <w:right w:val="single" w:sz="4" w:space="0" w:color="auto"/>
            </w:tcBorders>
          </w:tcPr>
          <w:p w14:paraId="7048C16B" w14:textId="77777777" w:rsidR="00AE2D27" w:rsidRPr="00FB3D84" w:rsidRDefault="00AE2D27" w:rsidP="008652D9">
            <w:pPr>
              <w:pStyle w:val="Tabletext"/>
              <w:spacing w:before="0" w:after="0"/>
            </w:pPr>
            <w:r w:rsidRPr="00FB3D84">
              <w:t>MHQ</w:t>
            </w:r>
          </w:p>
        </w:tc>
        <w:tc>
          <w:tcPr>
            <w:tcW w:w="1720" w:type="dxa"/>
            <w:tcBorders>
              <w:top w:val="single" w:sz="4" w:space="0" w:color="auto"/>
              <w:left w:val="single" w:sz="4" w:space="0" w:color="auto"/>
              <w:bottom w:val="single" w:sz="4" w:space="0" w:color="auto"/>
              <w:right w:val="single" w:sz="4" w:space="0" w:color="auto"/>
            </w:tcBorders>
          </w:tcPr>
          <w:p w14:paraId="32312361" w14:textId="77777777" w:rsidR="00AE2D27" w:rsidRPr="00FB3D84" w:rsidRDefault="00AE2D27" w:rsidP="008652D9">
            <w:pPr>
              <w:pStyle w:val="Tabletext"/>
              <w:spacing w:before="0" w:after="0"/>
            </w:pPr>
            <w:r w:rsidRPr="00FB3D84">
              <w:t>Byrne (2016)</w:t>
            </w:r>
          </w:p>
        </w:tc>
        <w:tc>
          <w:tcPr>
            <w:tcW w:w="831" w:type="dxa"/>
            <w:tcBorders>
              <w:top w:val="single" w:sz="4" w:space="0" w:color="auto"/>
              <w:left w:val="single" w:sz="4" w:space="0" w:color="auto"/>
              <w:bottom w:val="single" w:sz="4" w:space="0" w:color="auto"/>
              <w:right w:val="single" w:sz="4" w:space="0" w:color="auto"/>
            </w:tcBorders>
          </w:tcPr>
          <w:p w14:paraId="2226FD4F" w14:textId="77777777" w:rsidR="00AE2D27" w:rsidRPr="00FB3D84" w:rsidRDefault="00AE2D27" w:rsidP="008652D9">
            <w:pPr>
              <w:pStyle w:val="Tabletext"/>
              <w:spacing w:before="0" w:after="0"/>
              <w:rPr>
                <w:color w:val="00B050"/>
              </w:rPr>
            </w:pPr>
            <w:r w:rsidRPr="00FB3D84">
              <w:rPr>
                <w:rFonts w:ascii="Cambria Math" w:hAnsi="Cambria Math" w:cs="Cambria Math"/>
                <w:color w:val="00B050"/>
              </w:rPr>
              <w:t>⨁</w:t>
            </w:r>
            <w:r w:rsidRPr="00FB3D84">
              <w:rPr>
                <w:rFonts w:ascii="Cambria Math" w:hAnsi="Cambria Math" w:cs="Cambria Math"/>
                <w:color w:val="C00000"/>
              </w:rPr>
              <w:t>⨀⨀⨀</w:t>
            </w:r>
          </w:p>
        </w:tc>
        <w:tc>
          <w:tcPr>
            <w:tcW w:w="1135" w:type="dxa"/>
            <w:tcBorders>
              <w:top w:val="single" w:sz="4" w:space="0" w:color="auto"/>
              <w:left w:val="single" w:sz="4" w:space="0" w:color="auto"/>
              <w:bottom w:val="single" w:sz="4" w:space="0" w:color="auto"/>
              <w:right w:val="single" w:sz="4" w:space="0" w:color="auto"/>
            </w:tcBorders>
          </w:tcPr>
          <w:p w14:paraId="4CD07499" w14:textId="77777777" w:rsidR="00AE2D27" w:rsidRPr="00FB3D84" w:rsidRDefault="00AE2D27" w:rsidP="008652D9">
            <w:pPr>
              <w:pStyle w:val="Tabletext"/>
              <w:spacing w:before="0" w:after="0"/>
            </w:pPr>
            <w:r w:rsidRPr="00FB3D84">
              <w:t>Increase in 5 MHQ points from baseline</w:t>
            </w:r>
          </w:p>
        </w:tc>
        <w:tc>
          <w:tcPr>
            <w:tcW w:w="1420" w:type="dxa"/>
            <w:tcBorders>
              <w:top w:val="single" w:sz="4" w:space="0" w:color="auto"/>
              <w:left w:val="single" w:sz="4" w:space="0" w:color="auto"/>
              <w:bottom w:val="single" w:sz="4" w:space="0" w:color="auto"/>
              <w:right w:val="single" w:sz="4" w:space="0" w:color="auto"/>
            </w:tcBorders>
          </w:tcPr>
          <w:p w14:paraId="7415F48F" w14:textId="77777777" w:rsidR="00AE2D27" w:rsidRPr="00FB3D84" w:rsidRDefault="00AE2D27" w:rsidP="008652D9">
            <w:pPr>
              <w:pStyle w:val="Tabletext"/>
              <w:spacing w:before="0" w:after="0"/>
            </w:pPr>
            <w:r w:rsidRPr="00FB3D84">
              <w:t>N/A</w:t>
            </w:r>
          </w:p>
          <w:p w14:paraId="09541022" w14:textId="77777777" w:rsidR="00AE2D27" w:rsidRPr="00FB3D84" w:rsidRDefault="00AE2D27" w:rsidP="008652D9">
            <w:pPr>
              <w:pStyle w:val="Tabletext"/>
              <w:spacing w:before="0" w:after="0"/>
            </w:pPr>
          </w:p>
        </w:tc>
        <w:tc>
          <w:tcPr>
            <w:tcW w:w="1133" w:type="dxa"/>
            <w:gridSpan w:val="2"/>
            <w:tcBorders>
              <w:top w:val="single" w:sz="4" w:space="0" w:color="auto"/>
              <w:left w:val="single" w:sz="4" w:space="0" w:color="auto"/>
              <w:bottom w:val="single" w:sz="4" w:space="0" w:color="auto"/>
              <w:right w:val="single" w:sz="4" w:space="0" w:color="auto"/>
            </w:tcBorders>
          </w:tcPr>
          <w:p w14:paraId="78FB9754" w14:textId="77777777" w:rsidR="00AE2D27" w:rsidRPr="00FB3D84" w:rsidRDefault="00AE2D27" w:rsidP="008652D9">
            <w:pPr>
              <w:pStyle w:val="Tabletext"/>
              <w:spacing w:before="0" w:after="0"/>
            </w:pPr>
            <w:r w:rsidRPr="00FB3D84">
              <w:t>No statistically significant difference</w:t>
            </w:r>
          </w:p>
        </w:tc>
        <w:tc>
          <w:tcPr>
            <w:tcW w:w="1841" w:type="dxa"/>
            <w:tcBorders>
              <w:top w:val="single" w:sz="4" w:space="0" w:color="auto"/>
              <w:left w:val="single" w:sz="4" w:space="0" w:color="auto"/>
              <w:bottom w:val="single" w:sz="4" w:space="0" w:color="auto"/>
              <w:right w:val="single" w:sz="4" w:space="0" w:color="auto"/>
            </w:tcBorders>
          </w:tcPr>
          <w:p w14:paraId="66E96D72" w14:textId="77777777" w:rsidR="00AE2D27" w:rsidRPr="00FB3D84" w:rsidRDefault="00AE2D27" w:rsidP="008652D9">
            <w:pPr>
              <w:pStyle w:val="Tabletext"/>
              <w:spacing w:before="0" w:after="0"/>
            </w:pPr>
            <w:r w:rsidRPr="00FB3D84">
              <w:t xml:space="preserve">Read from Fig.3 p.360. </w:t>
            </w:r>
          </w:p>
        </w:tc>
      </w:tr>
    </w:tbl>
    <w:p w14:paraId="5EB3DA51" w14:textId="77777777" w:rsidR="00AE2D27" w:rsidRPr="00FB3D84" w:rsidRDefault="00AE2D27" w:rsidP="00AE2D27">
      <w:pPr>
        <w:keepNext/>
        <w:rPr>
          <w:rFonts w:ascii="Arial Narrow" w:hAnsi="Arial Narrow" w:cs="Arial"/>
          <w:sz w:val="18"/>
          <w:szCs w:val="18"/>
        </w:rPr>
      </w:pPr>
      <w:r>
        <w:rPr>
          <w:rFonts w:ascii="Arial Narrow" w:hAnsi="Arial Narrow" w:cs="Arial"/>
          <w:sz w:val="18"/>
          <w:szCs w:val="18"/>
        </w:rPr>
        <w:t xml:space="preserve">Abbreviations: </w:t>
      </w:r>
      <w:r w:rsidRPr="00FB3D84">
        <w:rPr>
          <w:rFonts w:ascii="Arial Narrow" w:hAnsi="Arial Narrow" w:cs="Arial"/>
          <w:sz w:val="18"/>
          <w:szCs w:val="18"/>
        </w:rPr>
        <w:t>VSS=Vancouver Scar Scale; AFG=autologous fat grafting; SD=standard deviation; ROM=range of motion; TAM=total active movement; ASSH=</w:t>
      </w:r>
      <w:r w:rsidRPr="00FB3D84">
        <w:rPr>
          <w:sz w:val="18"/>
          <w:szCs w:val="18"/>
        </w:rPr>
        <w:t xml:space="preserve"> </w:t>
      </w:r>
      <w:r w:rsidRPr="00FB3D84">
        <w:rPr>
          <w:rFonts w:ascii="Arial Narrow" w:hAnsi="Arial Narrow" w:cs="Arial"/>
          <w:sz w:val="18"/>
          <w:szCs w:val="18"/>
        </w:rPr>
        <w:t>American Society for Surgery of the Hand; MHQ = Michigan Hand Outcome Questionnaire;</w:t>
      </w:r>
    </w:p>
    <w:p w14:paraId="34CB2C6B" w14:textId="77777777" w:rsidR="00AE2D27" w:rsidRPr="00FB3D84" w:rsidRDefault="00AE2D27" w:rsidP="00AE2D27">
      <w:pPr>
        <w:keepNext/>
        <w:tabs>
          <w:tab w:val="left" w:pos="284"/>
        </w:tabs>
        <w:rPr>
          <w:rFonts w:ascii="Arial Narrow" w:hAnsi="Arial Narrow" w:cs="Arial"/>
          <w:sz w:val="18"/>
          <w:szCs w:val="18"/>
        </w:rPr>
      </w:pPr>
      <w:proofErr w:type="spellStart"/>
      <w:proofErr w:type="gramStart"/>
      <w:r w:rsidRPr="00FB3D84">
        <w:rPr>
          <w:rFonts w:ascii="Arial Narrow" w:hAnsi="Arial Narrow" w:cs="Arial"/>
          <w:sz w:val="18"/>
          <w:szCs w:val="18"/>
          <w:vertAlign w:val="superscript"/>
        </w:rPr>
        <w:t>a</w:t>
      </w:r>
      <w:proofErr w:type="spellEnd"/>
      <w:proofErr w:type="gramEnd"/>
      <w:r w:rsidRPr="00FB3D84">
        <w:rPr>
          <w:rFonts w:ascii="Arial Narrow" w:hAnsi="Arial Narrow" w:cs="Arial"/>
          <w:sz w:val="18"/>
          <w:szCs w:val="18"/>
        </w:rPr>
        <w:tab/>
        <w:t xml:space="preserve">Included 2 case-series with outcomes used in economic evaluation </w:t>
      </w:r>
    </w:p>
    <w:p w14:paraId="7173DA49" w14:textId="77777777" w:rsidR="00AE2D27" w:rsidRPr="00FB3D84" w:rsidRDefault="00AE2D27" w:rsidP="00AE2D27">
      <w:pPr>
        <w:keepNext/>
        <w:tabs>
          <w:tab w:val="left" w:pos="284"/>
        </w:tabs>
        <w:rPr>
          <w:rFonts w:ascii="Arial Narrow" w:hAnsi="Arial Narrow" w:cs="Arial"/>
          <w:sz w:val="18"/>
          <w:szCs w:val="18"/>
        </w:rPr>
      </w:pPr>
      <w:proofErr w:type="gramStart"/>
      <w:r w:rsidRPr="00FB3D84">
        <w:rPr>
          <w:rFonts w:ascii="Arial Narrow" w:hAnsi="Arial Narrow" w:cs="Arial"/>
          <w:sz w:val="18"/>
          <w:szCs w:val="18"/>
          <w:vertAlign w:val="superscript"/>
        </w:rPr>
        <w:t>b</w:t>
      </w:r>
      <w:proofErr w:type="gramEnd"/>
      <w:r w:rsidRPr="00FB3D84">
        <w:rPr>
          <w:rFonts w:ascii="Arial Narrow" w:hAnsi="Arial Narrow" w:cs="Arial"/>
          <w:sz w:val="18"/>
          <w:szCs w:val="18"/>
          <w:vertAlign w:val="superscript"/>
        </w:rPr>
        <w:tab/>
      </w:r>
      <w:r w:rsidRPr="00FB3D84">
        <w:rPr>
          <w:rFonts w:ascii="Arial Narrow" w:hAnsi="Arial Narrow" w:cs="Arial"/>
          <w:sz w:val="18"/>
          <w:szCs w:val="18"/>
        </w:rPr>
        <w:t>GRADE Working Group grades of evidence (</w:t>
      </w:r>
      <w:proofErr w:type="spellStart"/>
      <w:r w:rsidRPr="00FB3D84">
        <w:rPr>
          <w:rFonts w:ascii="Arial Narrow" w:hAnsi="Arial Narrow" w:cs="Arial"/>
          <w:sz w:val="18"/>
          <w:szCs w:val="18"/>
        </w:rPr>
        <w:t>Guyatt</w:t>
      </w:r>
      <w:proofErr w:type="spellEnd"/>
      <w:r w:rsidRPr="00FB3D84">
        <w:rPr>
          <w:rFonts w:ascii="Arial Narrow" w:hAnsi="Arial Narrow" w:cs="Arial"/>
          <w:sz w:val="18"/>
          <w:szCs w:val="18"/>
        </w:rPr>
        <w:t xml:space="preserve"> et al., 2013)</w:t>
      </w:r>
    </w:p>
    <w:p w14:paraId="048A256C" w14:textId="77777777" w:rsidR="00AE2D27" w:rsidRPr="00FB3D84" w:rsidRDefault="00AE2D27" w:rsidP="00AE2D27">
      <w:pPr>
        <w:keepNext/>
        <w:tabs>
          <w:tab w:val="left" w:pos="284"/>
        </w:tabs>
        <w:rPr>
          <w:rFonts w:ascii="Arial Narrow" w:hAnsi="Arial Narrow" w:cs="Arial"/>
          <w:sz w:val="18"/>
          <w:szCs w:val="18"/>
        </w:rPr>
      </w:pPr>
      <w:proofErr w:type="gramStart"/>
      <w:r w:rsidRPr="00FB3D84">
        <w:rPr>
          <w:rFonts w:cs="Arial"/>
          <w:sz w:val="18"/>
          <w:szCs w:val="18"/>
          <w:vertAlign w:val="superscript"/>
        </w:rPr>
        <w:t>c</w:t>
      </w:r>
      <w:proofErr w:type="gramEnd"/>
      <w:r w:rsidRPr="00FB3D84">
        <w:rPr>
          <w:rFonts w:ascii="Arial Narrow" w:hAnsi="Arial Narrow" w:cs="Arial"/>
          <w:sz w:val="18"/>
          <w:szCs w:val="18"/>
        </w:rPr>
        <w:tab/>
        <w:t>Proportion of “very pleased” or “satisfied” patients</w:t>
      </w:r>
    </w:p>
    <w:p w14:paraId="42CA604C" w14:textId="77777777" w:rsidR="00AE2D27" w:rsidRPr="00FB3D84" w:rsidRDefault="00AE2D27" w:rsidP="00AE2D27">
      <w:pPr>
        <w:keepNext/>
        <w:tabs>
          <w:tab w:val="left" w:pos="284"/>
        </w:tabs>
        <w:rPr>
          <w:rFonts w:ascii="Arial Narrow" w:hAnsi="Arial Narrow" w:cs="Arial"/>
          <w:sz w:val="18"/>
          <w:szCs w:val="18"/>
        </w:rPr>
      </w:pPr>
      <w:proofErr w:type="gramStart"/>
      <w:r w:rsidRPr="00FB3D84">
        <w:rPr>
          <w:rFonts w:cs="Arial"/>
          <w:sz w:val="18"/>
          <w:szCs w:val="18"/>
          <w:vertAlign w:val="superscript"/>
        </w:rPr>
        <w:t>d</w:t>
      </w:r>
      <w:proofErr w:type="gramEnd"/>
      <w:r w:rsidRPr="00FB3D84">
        <w:rPr>
          <w:rFonts w:ascii="Arial Narrow" w:hAnsi="Arial Narrow" w:cs="Arial"/>
          <w:sz w:val="18"/>
          <w:szCs w:val="18"/>
        </w:rPr>
        <w:tab/>
        <w:t xml:space="preserve">3 month observation of difference from the baseline. SD of the difference </w:t>
      </w:r>
      <w:proofErr w:type="gramStart"/>
      <w:r w:rsidRPr="00FB3D84">
        <w:rPr>
          <w:rFonts w:ascii="Arial Narrow" w:hAnsi="Arial Narrow" w:cs="Arial"/>
          <w:sz w:val="18"/>
          <w:szCs w:val="18"/>
        </w:rPr>
        <w:t>was not reported</w:t>
      </w:r>
      <w:proofErr w:type="gramEnd"/>
    </w:p>
    <w:p w14:paraId="68DD290F" w14:textId="77777777" w:rsidR="00AE2D27" w:rsidRPr="00FB3D84" w:rsidRDefault="00AE2D27" w:rsidP="00AE2D27">
      <w:pPr>
        <w:keepNext/>
        <w:tabs>
          <w:tab w:val="left" w:pos="284"/>
        </w:tabs>
        <w:rPr>
          <w:rFonts w:ascii="Arial Narrow" w:hAnsi="Arial Narrow" w:cs="Arial"/>
          <w:sz w:val="18"/>
          <w:szCs w:val="18"/>
        </w:rPr>
      </w:pPr>
      <w:proofErr w:type="spellStart"/>
      <w:proofErr w:type="gramStart"/>
      <w:r w:rsidRPr="00FB3D84">
        <w:rPr>
          <w:rFonts w:cs="Arial"/>
          <w:sz w:val="18"/>
          <w:szCs w:val="18"/>
          <w:vertAlign w:val="superscript"/>
        </w:rPr>
        <w:t>e</w:t>
      </w:r>
      <w:proofErr w:type="spellEnd"/>
      <w:proofErr w:type="gramEnd"/>
      <w:r w:rsidRPr="00FB3D84">
        <w:rPr>
          <w:rFonts w:ascii="Arial Narrow" w:hAnsi="Arial Narrow" w:cs="Arial"/>
          <w:sz w:val="18"/>
          <w:szCs w:val="18"/>
        </w:rPr>
        <w:tab/>
        <w:t>follow up observation of difference from the baseline; at 6 month in Bruno (2013) and at 12 month (presumably) for Gargano (2018)</w:t>
      </w:r>
    </w:p>
    <w:p w14:paraId="077D2268" w14:textId="77777777" w:rsidR="00AE2D27" w:rsidRPr="00FB3D84" w:rsidRDefault="00AE2D27" w:rsidP="00AE2D27">
      <w:pPr>
        <w:keepNext/>
        <w:tabs>
          <w:tab w:val="left" w:pos="284"/>
        </w:tabs>
        <w:rPr>
          <w:rFonts w:ascii="Arial Narrow" w:hAnsi="Arial Narrow" w:cs="Arial"/>
          <w:sz w:val="18"/>
          <w:szCs w:val="18"/>
        </w:rPr>
      </w:pPr>
      <w:proofErr w:type="gramStart"/>
      <w:r w:rsidRPr="00FB3D84">
        <w:rPr>
          <w:rFonts w:cs="Arial"/>
          <w:sz w:val="18"/>
          <w:szCs w:val="18"/>
          <w:vertAlign w:val="superscript"/>
        </w:rPr>
        <w:t>f</w:t>
      </w:r>
      <w:proofErr w:type="gramEnd"/>
      <w:r w:rsidRPr="00FB3D84">
        <w:rPr>
          <w:rFonts w:ascii="Arial Narrow" w:hAnsi="Arial Narrow" w:cs="Arial"/>
          <w:sz w:val="18"/>
          <w:szCs w:val="18"/>
        </w:rPr>
        <w:tab/>
        <w:t>Proportion of “responders” in the total sample (n=13); response is defined as improvement in ROM on the TAM scale at least to the next grade according to the ASSH gradation</w:t>
      </w:r>
    </w:p>
    <w:p w14:paraId="669DB038" w14:textId="77777777" w:rsidR="00AE2D27" w:rsidRDefault="00AE2D27" w:rsidP="00AE2D27">
      <w:pPr>
        <w:keepNext/>
        <w:rPr>
          <w:rFonts w:ascii="Arial Narrow" w:hAnsi="Arial Narrow" w:cs="Arial"/>
          <w:sz w:val="18"/>
          <w:szCs w:val="18"/>
        </w:rPr>
      </w:pPr>
      <w:r w:rsidRPr="00FB3D84">
        <w:rPr>
          <w:rFonts w:ascii="Cambria Math" w:hAnsi="Cambria Math"/>
          <w:color w:val="00B050"/>
          <w:sz w:val="18"/>
          <w:szCs w:val="18"/>
        </w:rPr>
        <w:t xml:space="preserve">⨁⨁⨁⨁ </w:t>
      </w:r>
      <w:r w:rsidRPr="00FB3D84">
        <w:rPr>
          <w:rFonts w:ascii="Arial Narrow" w:hAnsi="Arial Narrow" w:cs="Arial"/>
          <w:b/>
          <w:bCs/>
          <w:sz w:val="18"/>
          <w:szCs w:val="18"/>
        </w:rPr>
        <w:t>High quality:</w:t>
      </w:r>
      <w:r w:rsidRPr="00FB3D84">
        <w:rPr>
          <w:rFonts w:ascii="Arial Narrow" w:hAnsi="Arial Narrow" w:cs="Arial"/>
          <w:sz w:val="18"/>
          <w:szCs w:val="18"/>
        </w:rPr>
        <w:t xml:space="preserve"> We are very confident that the true effect lies close to that of the estimate of effect. </w:t>
      </w:r>
      <w:r w:rsidRPr="00FB3D84">
        <w:rPr>
          <w:rFonts w:ascii="Arial Narrow" w:hAnsi="Arial Narrow" w:cs="Arial"/>
          <w:sz w:val="18"/>
          <w:szCs w:val="18"/>
        </w:rPr>
        <w:br/>
      </w:r>
      <w:r w:rsidRPr="00FB3D84">
        <w:rPr>
          <w:rFonts w:ascii="Cambria Math" w:hAnsi="Cambria Math"/>
          <w:color w:val="00B050"/>
          <w:sz w:val="18"/>
          <w:szCs w:val="18"/>
        </w:rPr>
        <w:t>⨁⨁⨁</w:t>
      </w:r>
      <w:r w:rsidRPr="00FB3D84">
        <w:rPr>
          <w:rFonts w:ascii="Cambria Math" w:hAnsi="Cambria Math" w:cs="Cambria Math"/>
          <w:color w:val="C00000"/>
          <w:sz w:val="18"/>
          <w:szCs w:val="18"/>
        </w:rPr>
        <w:t xml:space="preserve">⨀ </w:t>
      </w:r>
      <w:r w:rsidRPr="00FB3D84">
        <w:rPr>
          <w:rFonts w:ascii="Arial Narrow" w:hAnsi="Arial Narrow" w:cs="Arial"/>
          <w:b/>
          <w:bCs/>
          <w:sz w:val="18"/>
          <w:szCs w:val="18"/>
        </w:rPr>
        <w:t>Moderate quality:</w:t>
      </w:r>
      <w:r w:rsidRPr="00FB3D84">
        <w:rPr>
          <w:rFonts w:ascii="Arial Narrow" w:hAnsi="Arial Narrow" w:cs="Arial"/>
          <w:sz w:val="18"/>
          <w:szCs w:val="18"/>
        </w:rPr>
        <w:t xml:space="preserve"> We are moderately confident in the effect estimate: The true effect is likely to be close to the estimate of the effect, but there is a possibility that it is substantially different. </w:t>
      </w:r>
      <w:r w:rsidRPr="00FB3D84">
        <w:rPr>
          <w:rFonts w:ascii="Arial Narrow" w:hAnsi="Arial Narrow" w:cs="Arial"/>
          <w:sz w:val="18"/>
          <w:szCs w:val="18"/>
        </w:rPr>
        <w:br/>
      </w:r>
      <w:r w:rsidRPr="00FB3D84">
        <w:rPr>
          <w:rFonts w:ascii="Cambria Math" w:hAnsi="Cambria Math"/>
          <w:color w:val="00B050"/>
          <w:sz w:val="18"/>
          <w:szCs w:val="18"/>
        </w:rPr>
        <w:t>⨁⨁</w:t>
      </w:r>
      <w:r w:rsidRPr="00FB3D84">
        <w:rPr>
          <w:rFonts w:ascii="Cambria Math" w:hAnsi="Cambria Math" w:cs="Cambria Math"/>
          <w:color w:val="C00000"/>
          <w:sz w:val="18"/>
          <w:szCs w:val="18"/>
        </w:rPr>
        <w:t xml:space="preserve">⨀⨀ </w:t>
      </w:r>
      <w:r w:rsidRPr="00FB3D84">
        <w:rPr>
          <w:rFonts w:ascii="Arial Narrow" w:hAnsi="Arial Narrow" w:cs="Arial"/>
          <w:b/>
          <w:bCs/>
          <w:sz w:val="18"/>
          <w:szCs w:val="18"/>
        </w:rPr>
        <w:t>Low quality:</w:t>
      </w:r>
      <w:r w:rsidRPr="00FB3D84">
        <w:rPr>
          <w:rFonts w:ascii="Arial Narrow" w:hAnsi="Arial Narrow" w:cs="Arial"/>
          <w:sz w:val="18"/>
          <w:szCs w:val="18"/>
        </w:rPr>
        <w:t xml:space="preserve"> Our confidence in the effect estimate is limited: The true effect may be substantially different from the estimate of the effect.</w:t>
      </w:r>
      <w:r w:rsidRPr="00FB3D84">
        <w:rPr>
          <w:rFonts w:ascii="Arial Narrow" w:hAnsi="Arial Narrow" w:cs="Arial"/>
          <w:sz w:val="18"/>
          <w:szCs w:val="18"/>
        </w:rPr>
        <w:br/>
      </w:r>
      <w:r w:rsidRPr="00FB3D84">
        <w:rPr>
          <w:rFonts w:ascii="Cambria Math" w:hAnsi="Cambria Math"/>
          <w:color w:val="00B050"/>
          <w:sz w:val="18"/>
          <w:szCs w:val="18"/>
        </w:rPr>
        <w:t>⨁</w:t>
      </w:r>
      <w:r w:rsidRPr="00FB3D84">
        <w:rPr>
          <w:rFonts w:ascii="Cambria Math" w:hAnsi="Cambria Math" w:cs="Cambria Math"/>
          <w:color w:val="C00000"/>
          <w:sz w:val="18"/>
          <w:szCs w:val="18"/>
        </w:rPr>
        <w:t xml:space="preserve">⨀⨀⨀ </w:t>
      </w:r>
      <w:r w:rsidRPr="00FB3D84">
        <w:rPr>
          <w:rFonts w:ascii="Arial Narrow" w:hAnsi="Arial Narrow" w:cs="Arial"/>
          <w:b/>
          <w:bCs/>
          <w:sz w:val="18"/>
          <w:szCs w:val="18"/>
        </w:rPr>
        <w:t>Very low quality:</w:t>
      </w:r>
      <w:r w:rsidRPr="00FB3D84">
        <w:rPr>
          <w:rFonts w:ascii="Arial Narrow" w:hAnsi="Arial Narrow" w:cs="Arial"/>
          <w:sz w:val="18"/>
          <w:szCs w:val="18"/>
        </w:rPr>
        <w:t xml:space="preserve"> We have very little confidence in the effect estimate: The true effect is likely to be substantially different from the estimate of effect.</w:t>
      </w:r>
    </w:p>
    <w:p w14:paraId="66F504C7" w14:textId="16D288F0" w:rsidR="008F1FC0" w:rsidRPr="00FB3D84" w:rsidRDefault="00AE2D27" w:rsidP="00AE2D27">
      <w:pPr>
        <w:keepNext/>
        <w:rPr>
          <w:rFonts w:ascii="Arial Narrow" w:hAnsi="Arial Narrow" w:cs="Arial"/>
          <w:sz w:val="18"/>
          <w:szCs w:val="18"/>
        </w:rPr>
      </w:pPr>
      <w:r>
        <w:rPr>
          <w:rFonts w:ascii="Arial Narrow" w:hAnsi="Arial Narrow" w:cs="Arial"/>
          <w:sz w:val="18"/>
          <w:szCs w:val="18"/>
        </w:rPr>
        <w:t>So</w:t>
      </w:r>
      <w:r w:rsidR="008652D9">
        <w:rPr>
          <w:rFonts w:ascii="Arial Narrow" w:hAnsi="Arial Narrow" w:cs="Arial"/>
          <w:sz w:val="18"/>
          <w:szCs w:val="18"/>
        </w:rPr>
        <w:t>urce: Table 2, p29 of the DCAR.</w:t>
      </w:r>
    </w:p>
    <w:p w14:paraId="60C52EF7" w14:textId="77777777" w:rsidR="00F37B9C" w:rsidRDefault="00C06B0B" w:rsidP="008652D9">
      <w:pPr>
        <w:tabs>
          <w:tab w:val="left" w:pos="720"/>
          <w:tab w:val="left" w:pos="1140"/>
        </w:tabs>
        <w:spacing w:before="240" w:after="120"/>
        <w:rPr>
          <w:b/>
          <w:szCs w:val="24"/>
        </w:rPr>
      </w:pPr>
      <w:r>
        <w:rPr>
          <w:b/>
          <w:szCs w:val="24"/>
        </w:rPr>
        <w:t>Clinical c</w:t>
      </w:r>
      <w:r w:rsidR="00F37B9C" w:rsidRPr="00F37B9C">
        <w:rPr>
          <w:b/>
          <w:szCs w:val="24"/>
        </w:rPr>
        <w:t>laim</w:t>
      </w:r>
    </w:p>
    <w:p w14:paraId="4727C7EC" w14:textId="361935D6" w:rsidR="00AE2D27" w:rsidRDefault="00AE2D27" w:rsidP="00AE2D27">
      <w:pPr>
        <w:jc w:val="both"/>
      </w:pPr>
      <w:r>
        <w:t xml:space="preserve">The clinical claim for Population 1 is non-inferiority of AFG compared to the current surgical treatment(s) for efficacy, but with superior safety. No clinical claim for patients </w:t>
      </w:r>
      <w:proofErr w:type="gramStart"/>
      <w:r>
        <w:t xml:space="preserve">who have not </w:t>
      </w:r>
      <w:r>
        <w:lastRenderedPageBreak/>
        <w:t>followed up on further invasive surgical treatment but would be eligible for AFG (where usual care would be the relevant co</w:t>
      </w:r>
      <w:r w:rsidR="008652D9">
        <w:t>mparator)</w:t>
      </w:r>
      <w:proofErr w:type="gramEnd"/>
      <w:r w:rsidR="008652D9">
        <w:t xml:space="preserve"> was made in the PICO.</w:t>
      </w:r>
    </w:p>
    <w:p w14:paraId="56D7CB84" w14:textId="083CA386" w:rsidR="00AE2D27" w:rsidRDefault="00AE2D27" w:rsidP="008652D9">
      <w:pPr>
        <w:spacing w:before="240"/>
        <w:jc w:val="both"/>
      </w:pPr>
      <w:r>
        <w:t xml:space="preserve">The clinical claim for Population 2 is superiority of AFG compared to usual care for efficacy. A claim for safety </w:t>
      </w:r>
      <w:proofErr w:type="gramStart"/>
      <w:r>
        <w:t>was not made</w:t>
      </w:r>
      <w:proofErr w:type="gramEnd"/>
      <w:r>
        <w:t xml:space="preserve"> in the PICO. A clinical claim for safety will depend if the comparator is usual care alone or usual care with secondary surgery.</w:t>
      </w:r>
    </w:p>
    <w:p w14:paraId="2FA76BF5" w14:textId="77777777" w:rsidR="00AE2D27" w:rsidRDefault="00AE2D27" w:rsidP="008652D9">
      <w:pPr>
        <w:spacing w:before="240"/>
      </w:pPr>
      <w:proofErr w:type="gramStart"/>
      <w:r>
        <w:t>On the basis of</w:t>
      </w:r>
      <w:proofErr w:type="gramEnd"/>
      <w:r>
        <w:t xml:space="preserve"> the benefits and harms reported in the evidence base (summarised above), the DCAR suggested that:</w:t>
      </w:r>
    </w:p>
    <w:p w14:paraId="44E56A26" w14:textId="77777777" w:rsidR="00AE2D27" w:rsidRDefault="00AE2D27" w:rsidP="00AE2D27">
      <w:pPr>
        <w:pStyle w:val="ListParagraph"/>
        <w:numPr>
          <w:ilvl w:val="0"/>
          <w:numId w:val="35"/>
        </w:numPr>
      </w:pPr>
      <w:r>
        <w:t xml:space="preserve">for Population 1 - </w:t>
      </w:r>
      <w:r w:rsidRPr="004B1E29">
        <w:t>Congenital craniofacial abnormalities</w:t>
      </w:r>
      <w:r>
        <w:t>:</w:t>
      </w:r>
    </w:p>
    <w:p w14:paraId="30260CF8" w14:textId="77777777" w:rsidR="00AE2D27" w:rsidRDefault="00AE2D27" w:rsidP="00AE2D27">
      <w:pPr>
        <w:pStyle w:val="ListParagraph"/>
        <w:numPr>
          <w:ilvl w:val="1"/>
          <w:numId w:val="35"/>
        </w:numPr>
      </w:pPr>
      <w:proofErr w:type="gramStart"/>
      <w:r w:rsidRPr="004B1E29">
        <w:t>relative</w:t>
      </w:r>
      <w:proofErr w:type="gramEnd"/>
      <w:r w:rsidRPr="004B1E29">
        <w:t xml:space="preserve"> to free flap surgery, AFG has uncertain safety and uncertain effectiveness.</w:t>
      </w:r>
    </w:p>
    <w:p w14:paraId="3ECC65C7" w14:textId="77777777" w:rsidR="00AE2D27" w:rsidRDefault="00AE2D27" w:rsidP="00AE2D27">
      <w:pPr>
        <w:pStyle w:val="ListParagraph"/>
        <w:numPr>
          <w:ilvl w:val="1"/>
          <w:numId w:val="35"/>
        </w:numPr>
      </w:pPr>
      <w:proofErr w:type="gramStart"/>
      <w:r w:rsidRPr="004B1E29">
        <w:t>relative</w:t>
      </w:r>
      <w:proofErr w:type="gramEnd"/>
      <w:r w:rsidRPr="004B1E29">
        <w:t xml:space="preserve"> to usual care, AFG has unknown safety and unknown effectiveness.</w:t>
      </w:r>
    </w:p>
    <w:p w14:paraId="42695B69" w14:textId="77777777" w:rsidR="00AE2D27" w:rsidRDefault="00AE2D27" w:rsidP="00AE2D27">
      <w:pPr>
        <w:pStyle w:val="ListParagraph"/>
        <w:numPr>
          <w:ilvl w:val="0"/>
          <w:numId w:val="35"/>
        </w:numPr>
      </w:pPr>
      <w:r>
        <w:t xml:space="preserve">for Population 1 - </w:t>
      </w:r>
      <w:r w:rsidRPr="004B1E29">
        <w:t>Acquired craniofacial abnormalities</w:t>
      </w:r>
      <w:r>
        <w:t>:</w:t>
      </w:r>
    </w:p>
    <w:p w14:paraId="5EE495FF" w14:textId="77777777" w:rsidR="00AE2D27" w:rsidRDefault="00AE2D27" w:rsidP="00AE2D27">
      <w:pPr>
        <w:pStyle w:val="ListParagraph"/>
        <w:numPr>
          <w:ilvl w:val="1"/>
          <w:numId w:val="35"/>
        </w:numPr>
      </w:pPr>
      <w:proofErr w:type="gramStart"/>
      <w:r w:rsidRPr="004B1E29">
        <w:t>relative</w:t>
      </w:r>
      <w:proofErr w:type="gramEnd"/>
      <w:r w:rsidRPr="004B1E29">
        <w:t xml:space="preserve"> to free flap surgery and usual care, AFG has unknown safety and unknown effectiveness.</w:t>
      </w:r>
    </w:p>
    <w:p w14:paraId="025B4317" w14:textId="77777777" w:rsidR="00AE2D27" w:rsidRDefault="00AE2D27" w:rsidP="00AE2D27">
      <w:pPr>
        <w:pStyle w:val="ListParagraph"/>
        <w:numPr>
          <w:ilvl w:val="0"/>
          <w:numId w:val="35"/>
        </w:numPr>
      </w:pPr>
      <w:r>
        <w:t>For Population 2 - Burn scars:</w:t>
      </w:r>
    </w:p>
    <w:p w14:paraId="0229689B" w14:textId="77777777" w:rsidR="00AE2D27" w:rsidRDefault="00AE2D27" w:rsidP="00AE2D27">
      <w:pPr>
        <w:pStyle w:val="ListParagraph"/>
        <w:numPr>
          <w:ilvl w:val="1"/>
          <w:numId w:val="35"/>
        </w:numPr>
      </w:pPr>
      <w:proofErr w:type="gramStart"/>
      <w:r w:rsidRPr="004B1E29">
        <w:t>relative</w:t>
      </w:r>
      <w:proofErr w:type="gramEnd"/>
      <w:r w:rsidRPr="004B1E29">
        <w:t xml:space="preserve"> to usual care, AFG has uncertain safety and uncertain effectiveness.</w:t>
      </w:r>
    </w:p>
    <w:p w14:paraId="099EABFA" w14:textId="77777777" w:rsidR="00AE2D27" w:rsidRDefault="00AE2D27" w:rsidP="00AE2D27">
      <w:pPr>
        <w:pStyle w:val="Heading2"/>
      </w:pPr>
      <w:r>
        <w:t>Translation issues</w:t>
      </w:r>
    </w:p>
    <w:p w14:paraId="273839A2" w14:textId="77777777" w:rsidR="00AE2D27" w:rsidRDefault="00AE2D27" w:rsidP="00AE2D27">
      <w:pPr>
        <w:pStyle w:val="Heading3"/>
      </w:pPr>
      <w:r>
        <w:t>Population 1</w:t>
      </w:r>
    </w:p>
    <w:p w14:paraId="4C7689C0" w14:textId="071ECBBA" w:rsidR="00AE2D27" w:rsidRDefault="00AE2D27" w:rsidP="00AE2D27">
      <w:r>
        <w:t xml:space="preserve">In the absence of a demonstrated clinical effectiveness of AFG versus the comparator, free flap transfer, the DCARs base case analysis for the congenital subpopulation was performed in terms of a highly hypothetical cost-utility analysis (CUA), where equal utility gain was assigned to successful procedures, whether AFG or a free flap surgery. This is consistent with the clinical non-inferiority claim suggested in PICO (notwithstanding that non-inferiority was not demonstrated either). The economic evaluation could be reduced to a cost </w:t>
      </w:r>
      <w:proofErr w:type="gramStart"/>
      <w:r>
        <w:t>comparison,</w:t>
      </w:r>
      <w:proofErr w:type="gramEnd"/>
      <w:r>
        <w:t xml:space="preserve"> however the difference in the observed complication rates (favouring AFG) was reflected in the model in two ways: as a risk of complication; by assigning a disutility on occasion of a serious adverse event. The results </w:t>
      </w:r>
      <w:proofErr w:type="gramStart"/>
      <w:r>
        <w:t>were reported</w:t>
      </w:r>
      <w:proofErr w:type="gramEnd"/>
      <w:r>
        <w:t xml:space="preserve"> in terms of incremental cost per quality-ad</w:t>
      </w:r>
      <w:r w:rsidR="008652D9">
        <w:t>justed life year (QALY) gained.</w:t>
      </w:r>
    </w:p>
    <w:p w14:paraId="6D2F02B4" w14:textId="2EEA5204" w:rsidR="00AE2D27" w:rsidRDefault="00AE2D27" w:rsidP="008652D9">
      <w:pPr>
        <w:spacing w:before="240"/>
        <w:jc w:val="both"/>
      </w:pPr>
      <w:r>
        <w:t xml:space="preserve">The DCAR considered that due to the highly hypothetical nature of the modelling assumptions, the applicability and generalisability of results of the economic evaluation across subgroups of the population with congenital craniofacial deformity for whom MBS </w:t>
      </w:r>
      <w:r w:rsidR="008652D9">
        <w:t xml:space="preserve">listing </w:t>
      </w:r>
      <w:proofErr w:type="gramStart"/>
      <w:r w:rsidR="008652D9">
        <w:t>is sought</w:t>
      </w:r>
      <w:proofErr w:type="gramEnd"/>
      <w:r w:rsidR="008652D9">
        <w:t xml:space="preserve"> is uncertain.</w:t>
      </w:r>
    </w:p>
    <w:p w14:paraId="3F879639" w14:textId="77777777" w:rsidR="00AE2D27" w:rsidRDefault="00AE2D27" w:rsidP="008652D9">
      <w:pPr>
        <w:pStyle w:val="Heading3"/>
        <w:spacing w:before="240"/>
      </w:pPr>
      <w:r>
        <w:t>Population 2</w:t>
      </w:r>
    </w:p>
    <w:p w14:paraId="019081F4" w14:textId="0FA9DBEF" w:rsidR="00AE2D27" w:rsidRDefault="00AE2D27" w:rsidP="00AE2D27">
      <w:r>
        <w:t xml:space="preserve">The DCARs base case analysis was a trial-based cost-effectiveness analysis. However, in this population, scenario analyses were also conducted where the outcomes measured in the base case in terms of the proportion of “responders” were converted to QALYs and extrapolated over a </w:t>
      </w:r>
      <w:proofErr w:type="gramStart"/>
      <w:r>
        <w:t>life-time</w:t>
      </w:r>
      <w:proofErr w:type="gramEnd"/>
      <w:r>
        <w:t xml:space="preserve"> in a modelled economic evaluation. Given these scenario analyses </w:t>
      </w:r>
      <w:proofErr w:type="gramStart"/>
      <w:r>
        <w:t>are underpinned</w:t>
      </w:r>
      <w:proofErr w:type="gramEnd"/>
      <w:r>
        <w:t xml:space="preserve"> by numerous assumptions, they are considered to be of a hypothetical nature and shou</w:t>
      </w:r>
      <w:r w:rsidR="008652D9">
        <w:t>ld be interpreted with caution.</w:t>
      </w:r>
    </w:p>
    <w:p w14:paraId="1FD617FA" w14:textId="77777777" w:rsidR="00AE2D27" w:rsidRPr="00AE2D27" w:rsidRDefault="00AE2D27" w:rsidP="008652D9">
      <w:pPr>
        <w:spacing w:before="240"/>
        <w:jc w:val="both"/>
      </w:pPr>
      <w:r>
        <w:t xml:space="preserve">The DCAR also considered that due to the highly hypothetical nature of the modelling assumptions, the applicability and generalisability of results of the economic evaluation across subgroups of the population with burn scar contracture for whom MBS listing </w:t>
      </w:r>
      <w:proofErr w:type="gramStart"/>
      <w:r>
        <w:t>is sought</w:t>
      </w:r>
      <w:proofErr w:type="gramEnd"/>
      <w:r>
        <w:t xml:space="preserve"> is uncertain. </w:t>
      </w:r>
      <w:r w:rsidRPr="00D66E95">
        <w:t xml:space="preserve">Applicability </w:t>
      </w:r>
      <w:r>
        <w:t>is most</w:t>
      </w:r>
      <w:r w:rsidRPr="00D66E95">
        <w:t xml:space="preserve"> seriously compromised by the assumption </w:t>
      </w:r>
      <w:r>
        <w:t>that</w:t>
      </w:r>
      <w:r w:rsidRPr="00D66E95">
        <w:t xml:space="preserve"> utility values observed in </w:t>
      </w:r>
      <w:proofErr w:type="spellStart"/>
      <w:r w:rsidRPr="00D66E95">
        <w:t>Dupuytren</w:t>
      </w:r>
      <w:proofErr w:type="spellEnd"/>
      <w:r w:rsidRPr="00D66E95">
        <w:t xml:space="preserve"> disease population</w:t>
      </w:r>
      <w:r>
        <w:rPr>
          <w:rStyle w:val="FootnoteReference"/>
        </w:rPr>
        <w:footnoteReference w:id="15"/>
      </w:r>
      <w:r w:rsidRPr="00D66E95">
        <w:t xml:space="preserve"> would suit the </w:t>
      </w:r>
      <w:r>
        <w:t xml:space="preserve">burn </w:t>
      </w:r>
      <w:r w:rsidRPr="00D66E95">
        <w:t>scar contracture population</w:t>
      </w:r>
      <w:r>
        <w:t xml:space="preserve"> </w:t>
      </w:r>
      <w:r>
        <w:lastRenderedPageBreak/>
        <w:t>and generalisability is most seriously compromised by AFG being a third line (last resort or, conversely, “finishing touches”) treatment with the implied comparator “do nothing”.</w:t>
      </w:r>
    </w:p>
    <w:p w14:paraId="73629D59" w14:textId="77777777" w:rsidR="00BC1364" w:rsidRPr="00F715D1" w:rsidRDefault="00BC1364" w:rsidP="00F715D1">
      <w:pPr>
        <w:pStyle w:val="Heading1"/>
      </w:pPr>
      <w:r w:rsidRPr="00F715D1">
        <w:t>Economic evaluation</w:t>
      </w:r>
    </w:p>
    <w:p w14:paraId="293B4845" w14:textId="77777777" w:rsidR="00AE2D27" w:rsidRDefault="00AE2D27" w:rsidP="00AE2D27">
      <w:pPr>
        <w:pStyle w:val="Heading2"/>
      </w:pPr>
      <w:bookmarkStart w:id="23" w:name="_Ref379404328"/>
      <w:r w:rsidRPr="00391D47">
        <w:t>Population 1</w:t>
      </w:r>
    </w:p>
    <w:p w14:paraId="3ECE9532" w14:textId="77985291" w:rsidR="00AE2D27" w:rsidRDefault="00AE2D27" w:rsidP="00AE2D27">
      <w:pPr>
        <w:jc w:val="both"/>
      </w:pPr>
      <w:r>
        <w:t xml:space="preserve">The base case model for Population 1 was a CUA of AFG </w:t>
      </w:r>
      <w:r w:rsidRPr="00EF58C3">
        <w:rPr>
          <w:i/>
        </w:rPr>
        <w:t>vs.</w:t>
      </w:r>
      <w:r w:rsidR="008F1FC0">
        <w:t xml:space="preserve"> free flap surgery (</w:t>
      </w:r>
      <w:r w:rsidR="008652D9" w:rsidRPr="008827D2">
        <w:rPr>
          <w:szCs w:val="24"/>
        </w:rPr>
        <w:fldChar w:fldCharType="begin"/>
      </w:r>
      <w:r w:rsidR="008652D9" w:rsidRPr="008827D2">
        <w:rPr>
          <w:szCs w:val="24"/>
        </w:rPr>
        <w:instrText xml:space="preserve"> REF _Ref50014075 \h </w:instrText>
      </w:r>
      <w:r w:rsidR="008652D9" w:rsidRPr="008827D2">
        <w:rPr>
          <w:szCs w:val="24"/>
        </w:rPr>
      </w:r>
      <w:r w:rsidR="008827D2" w:rsidRPr="008827D2">
        <w:rPr>
          <w:szCs w:val="24"/>
        </w:rPr>
        <w:instrText xml:space="preserve"> \* MERGEFORMAT </w:instrText>
      </w:r>
      <w:r w:rsidR="008652D9" w:rsidRPr="008827D2">
        <w:rPr>
          <w:szCs w:val="24"/>
        </w:rPr>
        <w:fldChar w:fldCharType="separate"/>
      </w:r>
      <w:r w:rsidR="00E84BE3" w:rsidRPr="008827D2">
        <w:rPr>
          <w:szCs w:val="24"/>
        </w:rPr>
        <w:t xml:space="preserve">Table </w:t>
      </w:r>
      <w:r w:rsidR="00E84BE3" w:rsidRPr="008827D2">
        <w:rPr>
          <w:noProof/>
          <w:szCs w:val="24"/>
        </w:rPr>
        <w:t>8</w:t>
      </w:r>
      <w:r w:rsidR="008652D9" w:rsidRPr="008827D2">
        <w:rPr>
          <w:szCs w:val="24"/>
        </w:rPr>
        <w:fldChar w:fldCharType="end"/>
      </w:r>
      <w:r w:rsidR="008652D9">
        <w:t xml:space="preserve">). </w:t>
      </w:r>
    </w:p>
    <w:p w14:paraId="163E7928" w14:textId="658CD3A1" w:rsidR="00AE2D27" w:rsidRPr="00F3276D" w:rsidRDefault="008652D9" w:rsidP="00F3276D">
      <w:pPr>
        <w:spacing w:before="240"/>
        <w:rPr>
          <w:rFonts w:ascii="Arial Narrow" w:hAnsi="Arial Narrow"/>
          <w:b/>
          <w:sz w:val="20"/>
        </w:rPr>
      </w:pPr>
      <w:bookmarkStart w:id="24" w:name="_Ref50014075"/>
      <w:bookmarkStart w:id="25" w:name="_Ref37301398"/>
      <w:bookmarkStart w:id="26" w:name="_Toc39593656"/>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8</w:t>
      </w:r>
      <w:r w:rsidR="00F3276D" w:rsidRPr="00F3276D">
        <w:rPr>
          <w:rFonts w:ascii="Arial Narrow" w:hAnsi="Arial Narrow"/>
          <w:b/>
          <w:sz w:val="20"/>
        </w:rPr>
        <w:fldChar w:fldCharType="end"/>
      </w:r>
      <w:bookmarkEnd w:id="24"/>
      <w:r w:rsidR="00AE2D27" w:rsidRPr="00F3276D">
        <w:rPr>
          <w:rFonts w:ascii="Arial Narrow" w:hAnsi="Arial Narrow"/>
          <w:b/>
          <w:sz w:val="20"/>
        </w:rPr>
        <w:t xml:space="preserve">  S</w:t>
      </w:r>
      <w:bookmarkEnd w:id="25"/>
      <w:r w:rsidR="00AE2D27" w:rsidRPr="00F3276D">
        <w:rPr>
          <w:rFonts w:ascii="Arial Narrow" w:hAnsi="Arial Narrow"/>
          <w:b/>
          <w:sz w:val="20"/>
        </w:rPr>
        <w:t>ummary of the base case economic evaluation (Population 1)</w:t>
      </w:r>
      <w:bookmarkEnd w:id="26"/>
    </w:p>
    <w:tbl>
      <w:tblPr>
        <w:tblStyle w:val="TableGrid1"/>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2826"/>
        <w:gridCol w:w="6190"/>
      </w:tblGrid>
      <w:tr w:rsidR="00AE2D27" w:rsidRPr="00183E4D" w14:paraId="625A0119" w14:textId="77777777" w:rsidTr="00F3276D">
        <w:trPr>
          <w:cnfStyle w:val="100000000000" w:firstRow="1" w:lastRow="0" w:firstColumn="0" w:lastColumn="0" w:oddVBand="0" w:evenVBand="0" w:oddHBand="0" w:evenHBand="0" w:firstRowFirstColumn="0" w:firstRowLastColumn="0" w:lastRowFirstColumn="0" w:lastRowLastColumn="0"/>
          <w:trHeight w:val="20"/>
          <w:tblHeader/>
        </w:trPr>
        <w:tc>
          <w:tcPr>
            <w:tcW w:w="2835" w:type="dxa"/>
          </w:tcPr>
          <w:p w14:paraId="75BAACC6" w14:textId="77777777" w:rsidR="00AE2D27" w:rsidRPr="00183E4D" w:rsidRDefault="00AE2D27" w:rsidP="00AE2D27">
            <w:pPr>
              <w:pStyle w:val="Tabletext"/>
              <w:keepNext/>
              <w:rPr>
                <w:b/>
              </w:rPr>
            </w:pPr>
            <w:r w:rsidRPr="00183E4D">
              <w:rPr>
                <w:b/>
              </w:rPr>
              <w:t>Perspective</w:t>
            </w:r>
          </w:p>
        </w:tc>
        <w:tc>
          <w:tcPr>
            <w:tcW w:w="6219" w:type="dxa"/>
          </w:tcPr>
          <w:p w14:paraId="15831F71" w14:textId="77777777" w:rsidR="00AE2D27" w:rsidRPr="00183E4D" w:rsidRDefault="00AE2D27" w:rsidP="00AE2D27">
            <w:pPr>
              <w:pStyle w:val="Tabletext"/>
              <w:keepNext/>
              <w:rPr>
                <w:vanish/>
                <w:color w:val="C00000"/>
              </w:rPr>
            </w:pPr>
            <w:r w:rsidRPr="00D61F4F">
              <w:t>Australian Health Care System</w:t>
            </w:r>
          </w:p>
        </w:tc>
      </w:tr>
      <w:tr w:rsidR="00AE2D27" w:rsidRPr="00183E4D" w14:paraId="3D3879DB" w14:textId="77777777" w:rsidTr="00F3276D">
        <w:trPr>
          <w:trHeight w:val="20"/>
        </w:trPr>
        <w:tc>
          <w:tcPr>
            <w:tcW w:w="2835" w:type="dxa"/>
          </w:tcPr>
          <w:p w14:paraId="31E90E20" w14:textId="77777777" w:rsidR="00AE2D27" w:rsidRPr="00183E4D" w:rsidRDefault="00AE2D27" w:rsidP="00AE2D27">
            <w:pPr>
              <w:pStyle w:val="Tabletext"/>
              <w:keepNext/>
              <w:rPr>
                <w:b/>
              </w:rPr>
            </w:pPr>
            <w:r w:rsidRPr="00183E4D">
              <w:rPr>
                <w:b/>
              </w:rPr>
              <w:t>Comparator</w:t>
            </w:r>
          </w:p>
        </w:tc>
        <w:tc>
          <w:tcPr>
            <w:tcW w:w="6219" w:type="dxa"/>
          </w:tcPr>
          <w:p w14:paraId="54CFA6A2" w14:textId="77777777" w:rsidR="00AE2D27" w:rsidRPr="00A80901" w:rsidRDefault="00AE2D27" w:rsidP="00AE2D27">
            <w:pPr>
              <w:pStyle w:val="Tabletext"/>
              <w:keepNext/>
            </w:pPr>
            <w:r>
              <w:t>free flap surgery</w:t>
            </w:r>
          </w:p>
        </w:tc>
      </w:tr>
      <w:tr w:rsidR="00AE2D27" w:rsidRPr="00183E4D" w14:paraId="120F5B46" w14:textId="77777777" w:rsidTr="00F3276D">
        <w:trPr>
          <w:trHeight w:val="20"/>
        </w:trPr>
        <w:tc>
          <w:tcPr>
            <w:tcW w:w="2835" w:type="dxa"/>
          </w:tcPr>
          <w:p w14:paraId="3AA79AB4" w14:textId="77777777" w:rsidR="00AE2D27" w:rsidRPr="00183E4D" w:rsidRDefault="00AE2D27" w:rsidP="00AE2D27">
            <w:pPr>
              <w:pStyle w:val="Tabletext"/>
              <w:keepNext/>
              <w:rPr>
                <w:b/>
              </w:rPr>
            </w:pPr>
            <w:r w:rsidRPr="00183E4D">
              <w:rPr>
                <w:b/>
              </w:rPr>
              <w:t>Type of economic evaluation</w:t>
            </w:r>
            <w:r>
              <w:rPr>
                <w:b/>
              </w:rPr>
              <w:t xml:space="preserve"> </w:t>
            </w:r>
          </w:p>
        </w:tc>
        <w:tc>
          <w:tcPr>
            <w:tcW w:w="6219" w:type="dxa"/>
          </w:tcPr>
          <w:p w14:paraId="4AE6C48E" w14:textId="77777777" w:rsidR="00AE2D27" w:rsidRPr="00A80901" w:rsidRDefault="00AE2D27" w:rsidP="00AE2D27">
            <w:pPr>
              <w:pStyle w:val="Tabletext"/>
              <w:keepNext/>
            </w:pPr>
            <w:r>
              <w:t>Cost-utility analysis</w:t>
            </w:r>
          </w:p>
        </w:tc>
      </w:tr>
      <w:tr w:rsidR="00AE2D27" w:rsidRPr="00183E4D" w14:paraId="314E7E9F" w14:textId="77777777" w:rsidTr="00F3276D">
        <w:trPr>
          <w:trHeight w:val="20"/>
        </w:trPr>
        <w:tc>
          <w:tcPr>
            <w:tcW w:w="2835" w:type="dxa"/>
          </w:tcPr>
          <w:p w14:paraId="722D3E2E" w14:textId="77777777" w:rsidR="00AE2D27" w:rsidRPr="00183E4D" w:rsidRDefault="00AE2D27" w:rsidP="00AE2D27">
            <w:pPr>
              <w:pStyle w:val="Tabletext"/>
              <w:keepNext/>
              <w:rPr>
                <w:b/>
              </w:rPr>
            </w:pPr>
            <w:r w:rsidRPr="00183E4D">
              <w:rPr>
                <w:b/>
              </w:rPr>
              <w:t>Sources of evidence</w:t>
            </w:r>
          </w:p>
        </w:tc>
        <w:tc>
          <w:tcPr>
            <w:tcW w:w="6219" w:type="dxa"/>
          </w:tcPr>
          <w:p w14:paraId="4CB75BED" w14:textId="77777777" w:rsidR="00AE2D27" w:rsidRPr="00A80901" w:rsidRDefault="00AE2D27" w:rsidP="00AE2D27">
            <w:pPr>
              <w:pStyle w:val="Tabletext"/>
              <w:keepNext/>
            </w:pPr>
            <w:r>
              <w:t>Systematic reviews (</w:t>
            </w:r>
            <w:proofErr w:type="spellStart"/>
            <w:r>
              <w:t>Krastev</w:t>
            </w:r>
            <w:proofErr w:type="spellEnd"/>
            <w:r>
              <w:t xml:space="preserve"> 2018, Sinclair 2019, </w:t>
            </w:r>
            <w:proofErr w:type="spellStart"/>
            <w:r>
              <w:t>Lv</w:t>
            </w:r>
            <w:proofErr w:type="spellEnd"/>
            <w:r>
              <w:t xml:space="preserve"> 2020) for the number of sessions and risk of adverse events for the intervention AFG and comparator FF</w:t>
            </w:r>
          </w:p>
        </w:tc>
      </w:tr>
      <w:tr w:rsidR="00AE2D27" w:rsidRPr="00183E4D" w14:paraId="25FACC24" w14:textId="77777777" w:rsidTr="00F3276D">
        <w:trPr>
          <w:trHeight w:val="20"/>
        </w:trPr>
        <w:tc>
          <w:tcPr>
            <w:tcW w:w="2835" w:type="dxa"/>
            <w:hideMark/>
          </w:tcPr>
          <w:p w14:paraId="2B5C6657" w14:textId="77777777" w:rsidR="00AE2D27" w:rsidRPr="00183E4D" w:rsidRDefault="00AE2D27" w:rsidP="00AE2D27">
            <w:pPr>
              <w:pStyle w:val="Tabletext"/>
              <w:keepNext/>
              <w:rPr>
                <w:b/>
              </w:rPr>
            </w:pPr>
            <w:r w:rsidRPr="00183E4D">
              <w:rPr>
                <w:b/>
              </w:rPr>
              <w:t>Time horizon</w:t>
            </w:r>
          </w:p>
        </w:tc>
        <w:tc>
          <w:tcPr>
            <w:tcW w:w="6219" w:type="dxa"/>
          </w:tcPr>
          <w:p w14:paraId="12CEE383" w14:textId="77777777" w:rsidR="00AE2D27" w:rsidRPr="00A80901" w:rsidRDefault="00AE2D27" w:rsidP="00AE2D27">
            <w:pPr>
              <w:pStyle w:val="Tabletext"/>
              <w:keepNext/>
            </w:pPr>
            <w:r>
              <w:t>Lifetime, starting age is 20 years</w:t>
            </w:r>
          </w:p>
        </w:tc>
      </w:tr>
      <w:tr w:rsidR="00AE2D27" w:rsidRPr="00183E4D" w14:paraId="04CFD024" w14:textId="77777777" w:rsidTr="00F3276D">
        <w:trPr>
          <w:trHeight w:val="20"/>
        </w:trPr>
        <w:tc>
          <w:tcPr>
            <w:tcW w:w="2835" w:type="dxa"/>
            <w:hideMark/>
          </w:tcPr>
          <w:p w14:paraId="217659B8" w14:textId="77777777" w:rsidR="00AE2D27" w:rsidRPr="00183E4D" w:rsidRDefault="00AE2D27" w:rsidP="00AE2D27">
            <w:pPr>
              <w:pStyle w:val="Tabletext"/>
              <w:keepNext/>
              <w:rPr>
                <w:b/>
              </w:rPr>
            </w:pPr>
            <w:r w:rsidRPr="00183E4D">
              <w:rPr>
                <w:b/>
              </w:rPr>
              <w:t>Outcomes</w:t>
            </w:r>
          </w:p>
        </w:tc>
        <w:tc>
          <w:tcPr>
            <w:tcW w:w="6219" w:type="dxa"/>
          </w:tcPr>
          <w:p w14:paraId="545CBD1C" w14:textId="77777777" w:rsidR="00AE2D27" w:rsidRPr="00183E4D" w:rsidRDefault="00AE2D27" w:rsidP="00AE2D27">
            <w:pPr>
              <w:pStyle w:val="Tabletext"/>
              <w:keepNext/>
            </w:pPr>
            <w:r>
              <w:t>QALY</w:t>
            </w:r>
          </w:p>
        </w:tc>
      </w:tr>
      <w:tr w:rsidR="00AE2D27" w:rsidRPr="00183E4D" w14:paraId="33088610" w14:textId="77777777" w:rsidTr="00F3276D">
        <w:trPr>
          <w:trHeight w:val="20"/>
        </w:trPr>
        <w:tc>
          <w:tcPr>
            <w:tcW w:w="2835" w:type="dxa"/>
            <w:hideMark/>
          </w:tcPr>
          <w:p w14:paraId="337096F2" w14:textId="77777777" w:rsidR="00AE2D27" w:rsidRPr="00183E4D" w:rsidRDefault="00AE2D27" w:rsidP="00AE2D27">
            <w:pPr>
              <w:pStyle w:val="Tabletext"/>
              <w:keepNext/>
              <w:rPr>
                <w:b/>
              </w:rPr>
            </w:pPr>
            <w:r w:rsidRPr="00183E4D">
              <w:rPr>
                <w:b/>
              </w:rPr>
              <w:t>Methods used to generate results</w:t>
            </w:r>
          </w:p>
        </w:tc>
        <w:tc>
          <w:tcPr>
            <w:tcW w:w="6219" w:type="dxa"/>
          </w:tcPr>
          <w:p w14:paraId="015B9FA7" w14:textId="77777777" w:rsidR="00AE2D27" w:rsidRPr="00183E4D" w:rsidRDefault="00AE2D27" w:rsidP="00AE2D27">
            <w:pPr>
              <w:pStyle w:val="Tabletext"/>
              <w:keepNext/>
            </w:pPr>
            <w:r>
              <w:t>Markov chain model</w:t>
            </w:r>
          </w:p>
        </w:tc>
      </w:tr>
      <w:tr w:rsidR="00AE2D27" w:rsidRPr="00183E4D" w14:paraId="62CE1990" w14:textId="77777777" w:rsidTr="00F3276D">
        <w:trPr>
          <w:trHeight w:val="20"/>
        </w:trPr>
        <w:tc>
          <w:tcPr>
            <w:tcW w:w="2835" w:type="dxa"/>
          </w:tcPr>
          <w:p w14:paraId="690BD6B9" w14:textId="77777777" w:rsidR="00AE2D27" w:rsidRPr="00183E4D" w:rsidRDefault="00AE2D27" w:rsidP="00AE2D27">
            <w:pPr>
              <w:pStyle w:val="Tabletext"/>
              <w:keepNext/>
              <w:rPr>
                <w:b/>
              </w:rPr>
            </w:pPr>
            <w:r>
              <w:rPr>
                <w:b/>
              </w:rPr>
              <w:t>Health states</w:t>
            </w:r>
          </w:p>
        </w:tc>
        <w:tc>
          <w:tcPr>
            <w:tcW w:w="6219" w:type="dxa"/>
          </w:tcPr>
          <w:p w14:paraId="0639646B" w14:textId="77777777" w:rsidR="00AE2D27" w:rsidRPr="00A80901" w:rsidRDefault="00AE2D27" w:rsidP="00AE2D27">
            <w:pPr>
              <w:pStyle w:val="Tabletext"/>
              <w:keepNext/>
            </w:pPr>
            <w:r>
              <w:t>“Alive after surgical success”, “alive with serious AE”; “alive with minor AE”; “dead”</w:t>
            </w:r>
          </w:p>
        </w:tc>
      </w:tr>
      <w:tr w:rsidR="00AE2D27" w:rsidRPr="00183E4D" w14:paraId="7BFE9E46" w14:textId="77777777" w:rsidTr="00F3276D">
        <w:trPr>
          <w:trHeight w:val="20"/>
        </w:trPr>
        <w:tc>
          <w:tcPr>
            <w:tcW w:w="2835" w:type="dxa"/>
            <w:hideMark/>
          </w:tcPr>
          <w:p w14:paraId="17B78819" w14:textId="77777777" w:rsidR="00AE2D27" w:rsidRPr="00183E4D" w:rsidRDefault="00AE2D27" w:rsidP="00AE2D27">
            <w:pPr>
              <w:pStyle w:val="Tabletext"/>
              <w:keepNext/>
              <w:rPr>
                <w:b/>
              </w:rPr>
            </w:pPr>
            <w:r>
              <w:rPr>
                <w:b/>
              </w:rPr>
              <w:t>Cycle length</w:t>
            </w:r>
          </w:p>
        </w:tc>
        <w:tc>
          <w:tcPr>
            <w:tcW w:w="6219" w:type="dxa"/>
          </w:tcPr>
          <w:p w14:paraId="76ECF84D" w14:textId="77777777" w:rsidR="00AE2D27" w:rsidRPr="00A80901" w:rsidRDefault="00AE2D27" w:rsidP="00AE2D27">
            <w:pPr>
              <w:pStyle w:val="Tabletext"/>
              <w:keepNext/>
            </w:pPr>
            <w:r>
              <w:t>12 months</w:t>
            </w:r>
          </w:p>
        </w:tc>
      </w:tr>
      <w:tr w:rsidR="00AE2D27" w:rsidRPr="00183E4D" w14:paraId="3AB98DC6" w14:textId="77777777" w:rsidTr="00F3276D">
        <w:trPr>
          <w:trHeight w:val="20"/>
        </w:trPr>
        <w:tc>
          <w:tcPr>
            <w:tcW w:w="2835" w:type="dxa"/>
            <w:hideMark/>
          </w:tcPr>
          <w:p w14:paraId="720AF0D1" w14:textId="77777777" w:rsidR="00AE2D27" w:rsidRPr="00183E4D" w:rsidRDefault="00AE2D27" w:rsidP="00AE2D27">
            <w:pPr>
              <w:pStyle w:val="Tabletext"/>
              <w:keepNext/>
              <w:rPr>
                <w:b/>
              </w:rPr>
            </w:pPr>
            <w:r w:rsidRPr="00183E4D">
              <w:rPr>
                <w:b/>
              </w:rPr>
              <w:t>Discount rate</w:t>
            </w:r>
          </w:p>
        </w:tc>
        <w:tc>
          <w:tcPr>
            <w:tcW w:w="6219" w:type="dxa"/>
          </w:tcPr>
          <w:p w14:paraId="28C578D7" w14:textId="77777777" w:rsidR="00AE2D27" w:rsidRPr="00183E4D" w:rsidRDefault="00AE2D27" w:rsidP="00AE2D27">
            <w:pPr>
              <w:pStyle w:val="Tabletext"/>
              <w:keepNext/>
            </w:pPr>
            <w:r>
              <w:t>5%</w:t>
            </w:r>
          </w:p>
        </w:tc>
      </w:tr>
      <w:tr w:rsidR="00AE2D27" w:rsidRPr="00183E4D" w14:paraId="1AF2D12A" w14:textId="77777777" w:rsidTr="00F3276D">
        <w:trPr>
          <w:trHeight w:val="20"/>
        </w:trPr>
        <w:tc>
          <w:tcPr>
            <w:tcW w:w="2835" w:type="dxa"/>
            <w:hideMark/>
          </w:tcPr>
          <w:p w14:paraId="7B80AB36" w14:textId="77777777" w:rsidR="00AE2D27" w:rsidRPr="00183E4D" w:rsidRDefault="00AE2D27" w:rsidP="00AE2D27">
            <w:pPr>
              <w:pStyle w:val="Tabletext"/>
              <w:keepNext/>
              <w:rPr>
                <w:b/>
              </w:rPr>
            </w:pPr>
            <w:r w:rsidRPr="00183E4D">
              <w:rPr>
                <w:b/>
              </w:rPr>
              <w:t>Software packages used</w:t>
            </w:r>
          </w:p>
        </w:tc>
        <w:tc>
          <w:tcPr>
            <w:tcW w:w="6219" w:type="dxa"/>
          </w:tcPr>
          <w:p w14:paraId="12351EFF" w14:textId="77777777" w:rsidR="00AE2D27" w:rsidRPr="00183E4D" w:rsidRDefault="00AE2D27" w:rsidP="00AE2D27">
            <w:pPr>
              <w:pStyle w:val="Tabletext"/>
              <w:keepNext/>
            </w:pPr>
            <w:proofErr w:type="spellStart"/>
            <w:r>
              <w:t>TreeAge</w:t>
            </w:r>
            <w:proofErr w:type="spellEnd"/>
            <w:r>
              <w:t xml:space="preserve"> Pro 2019 R2.1</w:t>
            </w:r>
          </w:p>
        </w:tc>
      </w:tr>
    </w:tbl>
    <w:p w14:paraId="704EF865" w14:textId="77777777" w:rsidR="00AE2D27" w:rsidRPr="00FA26F9" w:rsidRDefault="00AE2D27" w:rsidP="00AE2D27">
      <w:pPr>
        <w:pStyle w:val="Tablenotes1"/>
      </w:pPr>
      <w:r w:rsidRPr="00FA26F9">
        <w:t>Abbreviations: AE=adverse event; AFG= autologous fat graft; FF=free flap procedure</w:t>
      </w:r>
    </w:p>
    <w:p w14:paraId="209C271D" w14:textId="77777777" w:rsidR="00AE2D27" w:rsidRPr="00FA26F9" w:rsidRDefault="00AE2D27" w:rsidP="00AE2D27">
      <w:pPr>
        <w:pStyle w:val="Tablenotes1"/>
        <w:spacing w:after="0"/>
      </w:pPr>
      <w:r w:rsidRPr="00FA26F9">
        <w:t xml:space="preserve">Source: Table </w:t>
      </w:r>
      <w:r>
        <w:t>34, p124</w:t>
      </w:r>
      <w:r w:rsidRPr="00FA26F9">
        <w:t xml:space="preserve"> of the DCAR.</w:t>
      </w:r>
    </w:p>
    <w:p w14:paraId="793A8868" w14:textId="53B4BDBE" w:rsidR="00AE2D27" w:rsidRPr="00183E4D" w:rsidRDefault="00AE2D27" w:rsidP="008652D9">
      <w:pPr>
        <w:spacing w:before="240"/>
      </w:pPr>
      <w:r w:rsidRPr="00D546FC">
        <w:t xml:space="preserve">The overall costs and outcomes, and incremental costs and outcomes as calculated for the intervention and comparator in the analysis, and using the base case assumptions, </w:t>
      </w:r>
      <w:proofErr w:type="gramStart"/>
      <w:r w:rsidRPr="00D546FC">
        <w:t>are shown</w:t>
      </w:r>
      <w:proofErr w:type="gramEnd"/>
      <w:r w:rsidRPr="00D546FC">
        <w:t xml:space="preserve"> in</w:t>
      </w:r>
      <w:r w:rsidR="008F1FC0">
        <w:t xml:space="preserve"> </w:t>
      </w:r>
      <w:r w:rsidR="008652D9" w:rsidRPr="008827D2">
        <w:rPr>
          <w:szCs w:val="24"/>
        </w:rPr>
        <w:fldChar w:fldCharType="begin"/>
      </w:r>
      <w:r w:rsidR="008652D9" w:rsidRPr="008827D2">
        <w:rPr>
          <w:szCs w:val="24"/>
        </w:rPr>
        <w:instrText xml:space="preserve"> REF _Ref50014095 \h </w:instrText>
      </w:r>
      <w:r w:rsidR="008652D9" w:rsidRPr="008827D2">
        <w:rPr>
          <w:szCs w:val="24"/>
        </w:rPr>
      </w:r>
      <w:r w:rsidR="008827D2" w:rsidRPr="008827D2">
        <w:rPr>
          <w:szCs w:val="24"/>
        </w:rPr>
        <w:instrText xml:space="preserve"> \* MERGEFORMAT </w:instrText>
      </w:r>
      <w:r w:rsidR="008652D9" w:rsidRPr="008827D2">
        <w:rPr>
          <w:szCs w:val="24"/>
        </w:rPr>
        <w:fldChar w:fldCharType="separate"/>
      </w:r>
      <w:r w:rsidR="00E84BE3" w:rsidRPr="008827D2">
        <w:rPr>
          <w:szCs w:val="24"/>
        </w:rPr>
        <w:t xml:space="preserve">Table </w:t>
      </w:r>
      <w:r w:rsidR="00E84BE3" w:rsidRPr="008827D2">
        <w:rPr>
          <w:noProof/>
          <w:szCs w:val="24"/>
        </w:rPr>
        <w:t>9</w:t>
      </w:r>
      <w:r w:rsidR="008652D9" w:rsidRPr="008827D2">
        <w:rPr>
          <w:szCs w:val="24"/>
        </w:rPr>
        <w:fldChar w:fldCharType="end"/>
      </w:r>
      <w:r w:rsidRPr="00D546FC">
        <w:t>.</w:t>
      </w:r>
    </w:p>
    <w:p w14:paraId="558FFE6F" w14:textId="011595E3" w:rsidR="00AE2D27" w:rsidRPr="00F3276D" w:rsidRDefault="008652D9" w:rsidP="00F3276D">
      <w:pPr>
        <w:spacing w:before="240"/>
        <w:rPr>
          <w:rFonts w:ascii="Arial Narrow" w:hAnsi="Arial Narrow"/>
          <w:b/>
          <w:sz w:val="20"/>
        </w:rPr>
      </w:pPr>
      <w:bookmarkStart w:id="27" w:name="_Ref50014095"/>
      <w:bookmarkStart w:id="28" w:name="_Toc39593657"/>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9</w:t>
      </w:r>
      <w:r w:rsidR="00F3276D" w:rsidRPr="00F3276D">
        <w:rPr>
          <w:rFonts w:ascii="Arial Narrow" w:hAnsi="Arial Narrow"/>
          <w:b/>
          <w:sz w:val="20"/>
        </w:rPr>
        <w:fldChar w:fldCharType="end"/>
      </w:r>
      <w:bookmarkEnd w:id="27"/>
      <w:r w:rsidR="00AE2D27" w:rsidRPr="00F3276D">
        <w:rPr>
          <w:rFonts w:ascii="Arial Narrow" w:hAnsi="Arial Narrow"/>
          <w:b/>
          <w:sz w:val="20"/>
        </w:rPr>
        <w:t xml:space="preserve">  Results of the base case CUA (Population 1)</w:t>
      </w:r>
      <w:bookmarkEnd w:id="28"/>
      <w:r w:rsidR="00AE2D27" w:rsidRPr="00F3276D">
        <w:rPr>
          <w:rFonts w:ascii="Arial Narrow" w:hAnsi="Arial Narrow"/>
          <w:b/>
          <w:sz w:val="20"/>
        </w:rPr>
        <w:t xml:space="preserve">  </w:t>
      </w:r>
    </w:p>
    <w:tbl>
      <w:tblPr>
        <w:tblStyle w:val="TableGrid2"/>
        <w:tblW w:w="0" w:type="auto"/>
        <w:tblInd w:w="28" w:type="dxa"/>
        <w:tblLayout w:type="fixed"/>
        <w:tblCellMar>
          <w:left w:w="28" w:type="dxa"/>
          <w:right w:w="28" w:type="dxa"/>
        </w:tblCellMar>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065"/>
        <w:gridCol w:w="1325"/>
        <w:gridCol w:w="1325"/>
        <w:gridCol w:w="1325"/>
        <w:gridCol w:w="1326"/>
        <w:gridCol w:w="1645"/>
      </w:tblGrid>
      <w:tr w:rsidR="00AE2D27" w:rsidRPr="00AE2D27" w14:paraId="58059982" w14:textId="77777777" w:rsidTr="00AE2D27">
        <w:trPr>
          <w:cnfStyle w:val="100000000000" w:firstRow="1" w:lastRow="0" w:firstColumn="0" w:lastColumn="0" w:oddVBand="0" w:evenVBand="0" w:oddHBand="0" w:evenHBand="0" w:firstRowFirstColumn="0" w:firstRowLastColumn="0" w:lastRowFirstColumn="0" w:lastRowLastColumn="0"/>
          <w:tblHeader/>
        </w:trPr>
        <w:tc>
          <w:tcPr>
            <w:tcW w:w="2065" w:type="dxa"/>
            <w:tcBorders>
              <w:bottom w:val="single" w:sz="4" w:space="0" w:color="auto"/>
            </w:tcBorders>
          </w:tcPr>
          <w:p w14:paraId="1020BD85" w14:textId="77777777" w:rsidR="00AE2D27" w:rsidRPr="00AE2D27" w:rsidRDefault="00AE2D27" w:rsidP="00AE2D27">
            <w:pPr>
              <w:keepNext/>
              <w:jc w:val="both"/>
              <w:rPr>
                <w:rFonts w:ascii="Arial Narrow" w:hAnsi="Arial Narrow"/>
                <w:b/>
                <w:sz w:val="20"/>
              </w:rPr>
            </w:pPr>
          </w:p>
        </w:tc>
        <w:tc>
          <w:tcPr>
            <w:tcW w:w="1325" w:type="dxa"/>
            <w:tcBorders>
              <w:bottom w:val="single" w:sz="4" w:space="0" w:color="auto"/>
            </w:tcBorders>
            <w:vAlign w:val="center"/>
          </w:tcPr>
          <w:p w14:paraId="53135EF2" w14:textId="77777777" w:rsidR="00AE2D27" w:rsidRPr="00AE2D27" w:rsidRDefault="00AE2D27" w:rsidP="00AE2D27">
            <w:pPr>
              <w:keepNext/>
              <w:jc w:val="center"/>
              <w:rPr>
                <w:rFonts w:ascii="Arial Narrow" w:hAnsi="Arial Narrow"/>
                <w:b/>
                <w:sz w:val="20"/>
              </w:rPr>
            </w:pPr>
            <w:r w:rsidRPr="00AE2D27">
              <w:rPr>
                <w:rFonts w:ascii="Arial Narrow" w:hAnsi="Arial Narrow"/>
                <w:b/>
                <w:sz w:val="20"/>
              </w:rPr>
              <w:t>Cost</w:t>
            </w:r>
          </w:p>
        </w:tc>
        <w:tc>
          <w:tcPr>
            <w:tcW w:w="1325" w:type="dxa"/>
            <w:tcBorders>
              <w:bottom w:val="single" w:sz="4" w:space="0" w:color="auto"/>
            </w:tcBorders>
            <w:vAlign w:val="center"/>
          </w:tcPr>
          <w:p w14:paraId="292E5CA2" w14:textId="77777777" w:rsidR="00AE2D27" w:rsidRPr="00AE2D27" w:rsidRDefault="00AE2D27" w:rsidP="00AE2D27">
            <w:pPr>
              <w:keepNext/>
              <w:jc w:val="center"/>
              <w:rPr>
                <w:rFonts w:ascii="Arial Narrow" w:hAnsi="Arial Narrow"/>
                <w:b/>
                <w:sz w:val="20"/>
              </w:rPr>
            </w:pPr>
            <w:r w:rsidRPr="00AE2D27">
              <w:rPr>
                <w:rFonts w:ascii="Arial Narrow" w:hAnsi="Arial Narrow"/>
                <w:b/>
                <w:sz w:val="20"/>
              </w:rPr>
              <w:t>Incremental cost</w:t>
            </w:r>
          </w:p>
        </w:tc>
        <w:tc>
          <w:tcPr>
            <w:tcW w:w="1325" w:type="dxa"/>
            <w:tcBorders>
              <w:bottom w:val="single" w:sz="4" w:space="0" w:color="auto"/>
            </w:tcBorders>
            <w:vAlign w:val="center"/>
          </w:tcPr>
          <w:p w14:paraId="72A469D9" w14:textId="77777777" w:rsidR="00AE2D27" w:rsidRPr="00AE2D27" w:rsidRDefault="00AE2D27" w:rsidP="00AE2D27">
            <w:pPr>
              <w:keepNext/>
              <w:jc w:val="center"/>
              <w:rPr>
                <w:rFonts w:ascii="Arial Narrow" w:hAnsi="Arial Narrow"/>
                <w:b/>
                <w:sz w:val="20"/>
              </w:rPr>
            </w:pPr>
            <w:r w:rsidRPr="00AE2D27">
              <w:rPr>
                <w:rFonts w:ascii="Arial Narrow" w:hAnsi="Arial Narrow"/>
                <w:b/>
                <w:sz w:val="20"/>
              </w:rPr>
              <w:t>Effectiveness</w:t>
            </w:r>
          </w:p>
          <w:p w14:paraId="287D901C" w14:textId="77777777" w:rsidR="00AE2D27" w:rsidRPr="00AE2D27" w:rsidRDefault="00AE2D27" w:rsidP="00AE2D27">
            <w:pPr>
              <w:keepNext/>
              <w:jc w:val="center"/>
              <w:rPr>
                <w:rFonts w:ascii="Arial Narrow" w:hAnsi="Arial Narrow"/>
                <w:b/>
                <w:sz w:val="20"/>
              </w:rPr>
            </w:pPr>
            <w:r w:rsidRPr="00AE2D27">
              <w:rPr>
                <w:rFonts w:ascii="Arial Narrow" w:hAnsi="Arial Narrow"/>
                <w:b/>
                <w:sz w:val="20"/>
              </w:rPr>
              <w:t>(response)</w:t>
            </w:r>
          </w:p>
        </w:tc>
        <w:tc>
          <w:tcPr>
            <w:tcW w:w="1326" w:type="dxa"/>
            <w:tcBorders>
              <w:bottom w:val="single" w:sz="4" w:space="0" w:color="auto"/>
            </w:tcBorders>
            <w:vAlign w:val="center"/>
          </w:tcPr>
          <w:p w14:paraId="740E59C3" w14:textId="77777777" w:rsidR="00AE2D27" w:rsidRPr="00AE2D27" w:rsidRDefault="00AE2D27" w:rsidP="00AE2D27">
            <w:pPr>
              <w:keepNext/>
              <w:jc w:val="center"/>
              <w:rPr>
                <w:rFonts w:ascii="Arial Narrow" w:hAnsi="Arial Narrow"/>
                <w:b/>
                <w:sz w:val="20"/>
              </w:rPr>
            </w:pPr>
            <w:r w:rsidRPr="00AE2D27">
              <w:rPr>
                <w:rFonts w:ascii="Arial Narrow" w:hAnsi="Arial Narrow"/>
                <w:b/>
                <w:sz w:val="20"/>
              </w:rPr>
              <w:t>Incremental effectiveness</w:t>
            </w:r>
          </w:p>
        </w:tc>
        <w:tc>
          <w:tcPr>
            <w:tcW w:w="1645" w:type="dxa"/>
            <w:tcBorders>
              <w:bottom w:val="single" w:sz="4" w:space="0" w:color="auto"/>
            </w:tcBorders>
            <w:vAlign w:val="center"/>
          </w:tcPr>
          <w:p w14:paraId="659674A4" w14:textId="77777777" w:rsidR="00AE2D27" w:rsidRPr="00AE2D27" w:rsidRDefault="00AE2D27" w:rsidP="00AE2D27">
            <w:pPr>
              <w:keepNext/>
              <w:jc w:val="center"/>
              <w:rPr>
                <w:rFonts w:ascii="Arial Narrow" w:hAnsi="Arial Narrow"/>
                <w:b/>
                <w:sz w:val="20"/>
              </w:rPr>
            </w:pPr>
            <w:r w:rsidRPr="00AE2D27">
              <w:rPr>
                <w:rFonts w:ascii="Arial Narrow" w:hAnsi="Arial Narrow"/>
                <w:b/>
                <w:sz w:val="20"/>
              </w:rPr>
              <w:t xml:space="preserve">ICER </w:t>
            </w:r>
          </w:p>
        </w:tc>
      </w:tr>
      <w:tr w:rsidR="00AE2D27" w:rsidRPr="00AE2D27" w14:paraId="4D67D3B2" w14:textId="77777777" w:rsidTr="00AE2D27">
        <w:tc>
          <w:tcPr>
            <w:tcW w:w="2065" w:type="dxa"/>
          </w:tcPr>
          <w:p w14:paraId="69DEF993" w14:textId="77777777" w:rsidR="00AE2D27" w:rsidRPr="00AE2D27" w:rsidRDefault="00AE2D27" w:rsidP="00AE2D27">
            <w:pPr>
              <w:jc w:val="both"/>
              <w:rPr>
                <w:sz w:val="20"/>
              </w:rPr>
            </w:pPr>
            <w:r w:rsidRPr="00AE2D27">
              <w:rPr>
                <w:sz w:val="20"/>
              </w:rPr>
              <w:t xml:space="preserve">AFG </w:t>
            </w:r>
          </w:p>
        </w:tc>
        <w:tc>
          <w:tcPr>
            <w:tcW w:w="1325" w:type="dxa"/>
            <w:vAlign w:val="center"/>
          </w:tcPr>
          <w:p w14:paraId="2A196514" w14:textId="77777777" w:rsidR="00AE2D27" w:rsidRPr="00AE2D27" w:rsidRDefault="00AE2D27" w:rsidP="00AE2D27">
            <w:pPr>
              <w:jc w:val="center"/>
              <w:rPr>
                <w:sz w:val="20"/>
              </w:rPr>
            </w:pPr>
            <w:r w:rsidRPr="00AE2D27">
              <w:rPr>
                <w:sz w:val="20"/>
              </w:rPr>
              <w:t xml:space="preserve">$2,231 </w:t>
            </w:r>
          </w:p>
        </w:tc>
        <w:tc>
          <w:tcPr>
            <w:tcW w:w="1325" w:type="dxa"/>
            <w:tcBorders>
              <w:bottom w:val="nil"/>
            </w:tcBorders>
            <w:vAlign w:val="center"/>
          </w:tcPr>
          <w:p w14:paraId="2B478097" w14:textId="77777777" w:rsidR="00AE2D27" w:rsidRPr="00AE2D27" w:rsidRDefault="00AE2D27" w:rsidP="00AE2D27">
            <w:pPr>
              <w:jc w:val="center"/>
              <w:rPr>
                <w:sz w:val="20"/>
              </w:rPr>
            </w:pPr>
            <w:r w:rsidRPr="00AE2D27">
              <w:rPr>
                <w:sz w:val="20"/>
              </w:rPr>
              <w:t xml:space="preserve"> -$5,032</w:t>
            </w:r>
          </w:p>
        </w:tc>
        <w:tc>
          <w:tcPr>
            <w:tcW w:w="1325" w:type="dxa"/>
            <w:vAlign w:val="center"/>
          </w:tcPr>
          <w:p w14:paraId="711CEFE7" w14:textId="77777777" w:rsidR="00AE2D27" w:rsidRPr="00AE2D27" w:rsidRDefault="00AE2D27" w:rsidP="00AE2D27">
            <w:pPr>
              <w:jc w:val="center"/>
              <w:rPr>
                <w:sz w:val="20"/>
              </w:rPr>
            </w:pPr>
            <w:r w:rsidRPr="00AE2D27">
              <w:rPr>
                <w:sz w:val="20"/>
              </w:rPr>
              <w:t>3.11</w:t>
            </w:r>
          </w:p>
        </w:tc>
        <w:tc>
          <w:tcPr>
            <w:tcW w:w="1326" w:type="dxa"/>
            <w:tcBorders>
              <w:bottom w:val="nil"/>
            </w:tcBorders>
            <w:vAlign w:val="center"/>
          </w:tcPr>
          <w:p w14:paraId="7E2C62F5" w14:textId="77777777" w:rsidR="00AE2D27" w:rsidRPr="00AE2D27" w:rsidRDefault="00AE2D27" w:rsidP="00AE2D27">
            <w:pPr>
              <w:jc w:val="center"/>
              <w:rPr>
                <w:sz w:val="20"/>
              </w:rPr>
            </w:pPr>
            <w:r w:rsidRPr="00AE2D27">
              <w:rPr>
                <w:sz w:val="20"/>
              </w:rPr>
              <w:t>0.04</w:t>
            </w:r>
          </w:p>
        </w:tc>
        <w:tc>
          <w:tcPr>
            <w:tcW w:w="1645" w:type="dxa"/>
            <w:tcBorders>
              <w:bottom w:val="nil"/>
            </w:tcBorders>
            <w:vAlign w:val="center"/>
          </w:tcPr>
          <w:p w14:paraId="07DD3C88" w14:textId="77777777" w:rsidR="00AE2D27" w:rsidRPr="00AE2D27" w:rsidRDefault="00AE2D27" w:rsidP="00AE2D27">
            <w:pPr>
              <w:jc w:val="center"/>
              <w:rPr>
                <w:sz w:val="20"/>
              </w:rPr>
            </w:pPr>
            <w:r w:rsidRPr="00AE2D27">
              <w:rPr>
                <w:sz w:val="20"/>
              </w:rPr>
              <w:t>AFG dominates</w:t>
            </w:r>
          </w:p>
        </w:tc>
      </w:tr>
      <w:tr w:rsidR="00AE2D27" w:rsidRPr="00AE2D27" w14:paraId="4A147B7A" w14:textId="77777777" w:rsidTr="00AE2D27">
        <w:tc>
          <w:tcPr>
            <w:tcW w:w="2065" w:type="dxa"/>
            <w:tcBorders>
              <w:bottom w:val="single" w:sz="4" w:space="0" w:color="auto"/>
            </w:tcBorders>
          </w:tcPr>
          <w:p w14:paraId="23312689" w14:textId="77777777" w:rsidR="00AE2D27" w:rsidRPr="00AE2D27" w:rsidRDefault="00AE2D27" w:rsidP="00AE2D27">
            <w:pPr>
              <w:jc w:val="both"/>
              <w:rPr>
                <w:sz w:val="20"/>
              </w:rPr>
            </w:pPr>
            <w:r w:rsidRPr="00AE2D27">
              <w:rPr>
                <w:sz w:val="20"/>
              </w:rPr>
              <w:t>Free flaps</w:t>
            </w:r>
          </w:p>
        </w:tc>
        <w:tc>
          <w:tcPr>
            <w:tcW w:w="1325" w:type="dxa"/>
            <w:tcBorders>
              <w:bottom w:val="single" w:sz="4" w:space="0" w:color="auto"/>
            </w:tcBorders>
            <w:vAlign w:val="center"/>
          </w:tcPr>
          <w:p w14:paraId="2FA02B90" w14:textId="77777777" w:rsidR="00AE2D27" w:rsidRPr="00AE2D27" w:rsidRDefault="00AE2D27" w:rsidP="00AE2D27">
            <w:pPr>
              <w:jc w:val="center"/>
              <w:rPr>
                <w:sz w:val="20"/>
              </w:rPr>
            </w:pPr>
            <w:r w:rsidRPr="00AE2D27">
              <w:rPr>
                <w:sz w:val="20"/>
              </w:rPr>
              <w:t xml:space="preserve">$7,263 </w:t>
            </w:r>
          </w:p>
        </w:tc>
        <w:tc>
          <w:tcPr>
            <w:tcW w:w="1325" w:type="dxa"/>
            <w:tcBorders>
              <w:top w:val="nil"/>
              <w:bottom w:val="single" w:sz="4" w:space="0" w:color="auto"/>
            </w:tcBorders>
            <w:vAlign w:val="center"/>
          </w:tcPr>
          <w:p w14:paraId="2EB40C54" w14:textId="77777777" w:rsidR="00AE2D27" w:rsidRPr="00AE2D27" w:rsidRDefault="00AE2D27" w:rsidP="00AE2D27">
            <w:pPr>
              <w:jc w:val="center"/>
              <w:rPr>
                <w:sz w:val="20"/>
              </w:rPr>
            </w:pPr>
          </w:p>
        </w:tc>
        <w:tc>
          <w:tcPr>
            <w:tcW w:w="1325" w:type="dxa"/>
            <w:tcBorders>
              <w:bottom w:val="single" w:sz="4" w:space="0" w:color="auto"/>
            </w:tcBorders>
            <w:vAlign w:val="center"/>
          </w:tcPr>
          <w:p w14:paraId="4C49C443" w14:textId="77777777" w:rsidR="00AE2D27" w:rsidRPr="00AE2D27" w:rsidRDefault="00AE2D27" w:rsidP="00AE2D27">
            <w:pPr>
              <w:jc w:val="center"/>
              <w:rPr>
                <w:sz w:val="20"/>
              </w:rPr>
            </w:pPr>
            <w:r w:rsidRPr="00AE2D27">
              <w:rPr>
                <w:sz w:val="20"/>
              </w:rPr>
              <w:t xml:space="preserve"> 3.07</w:t>
            </w:r>
          </w:p>
        </w:tc>
        <w:tc>
          <w:tcPr>
            <w:tcW w:w="1326" w:type="dxa"/>
            <w:tcBorders>
              <w:top w:val="nil"/>
              <w:bottom w:val="single" w:sz="4" w:space="0" w:color="auto"/>
            </w:tcBorders>
          </w:tcPr>
          <w:p w14:paraId="44FB1EB3" w14:textId="77777777" w:rsidR="00AE2D27" w:rsidRPr="00AE2D27" w:rsidRDefault="00AE2D27" w:rsidP="00AE2D27">
            <w:pPr>
              <w:jc w:val="both"/>
              <w:rPr>
                <w:sz w:val="20"/>
              </w:rPr>
            </w:pPr>
          </w:p>
        </w:tc>
        <w:tc>
          <w:tcPr>
            <w:tcW w:w="1645" w:type="dxa"/>
            <w:tcBorders>
              <w:top w:val="nil"/>
              <w:bottom w:val="single" w:sz="4" w:space="0" w:color="auto"/>
            </w:tcBorders>
          </w:tcPr>
          <w:p w14:paraId="70D58321" w14:textId="77777777" w:rsidR="00AE2D27" w:rsidRPr="00AE2D27" w:rsidRDefault="00AE2D27" w:rsidP="00AE2D27">
            <w:pPr>
              <w:jc w:val="both"/>
              <w:rPr>
                <w:sz w:val="20"/>
              </w:rPr>
            </w:pPr>
          </w:p>
        </w:tc>
      </w:tr>
    </w:tbl>
    <w:p w14:paraId="0ED1E625" w14:textId="77777777" w:rsidR="00AE2D27" w:rsidRDefault="00AE2D27" w:rsidP="00AE2D27">
      <w:pPr>
        <w:jc w:val="both"/>
        <w:rPr>
          <w:rFonts w:ascii="Arial Narrow" w:hAnsi="Arial Narrow"/>
          <w:sz w:val="18"/>
        </w:rPr>
      </w:pPr>
      <w:r>
        <w:rPr>
          <w:rFonts w:ascii="Arial Narrow" w:hAnsi="Arial Narrow"/>
          <w:sz w:val="18"/>
        </w:rPr>
        <w:t xml:space="preserve">Abbreviations: </w:t>
      </w:r>
      <w:r w:rsidRPr="00822A07">
        <w:rPr>
          <w:rFonts w:ascii="Arial Narrow" w:hAnsi="Arial Narrow"/>
          <w:sz w:val="18"/>
        </w:rPr>
        <w:t>ICER = Incremental Cost Effectiveness Ratio</w:t>
      </w:r>
    </w:p>
    <w:p w14:paraId="5797DC73" w14:textId="165AA378" w:rsidR="00AE2D27" w:rsidRPr="00822A07" w:rsidRDefault="00AE2D27" w:rsidP="00AE2D27">
      <w:pPr>
        <w:jc w:val="both"/>
        <w:rPr>
          <w:rFonts w:ascii="Arial Narrow" w:hAnsi="Arial Narrow"/>
          <w:sz w:val="18"/>
        </w:rPr>
      </w:pPr>
      <w:r>
        <w:rPr>
          <w:rFonts w:ascii="Arial Narrow" w:hAnsi="Arial Narrow"/>
          <w:sz w:val="18"/>
        </w:rPr>
        <w:t>So</w:t>
      </w:r>
      <w:r w:rsidR="008652D9">
        <w:rPr>
          <w:rFonts w:ascii="Arial Narrow" w:hAnsi="Arial Narrow"/>
          <w:sz w:val="18"/>
        </w:rPr>
        <w:t>urce: Table 6, p36 of the DCAR.</w:t>
      </w:r>
    </w:p>
    <w:p w14:paraId="76531F7C" w14:textId="480F7A01" w:rsidR="00AE2D27" w:rsidRDefault="00AE2D27" w:rsidP="008652D9">
      <w:pPr>
        <w:spacing w:before="240"/>
      </w:pPr>
      <w:r>
        <w:t xml:space="preserve">The DCARs summary of the model drivers in sensitivity analyses in summarised in </w:t>
      </w:r>
      <w:r w:rsidR="008652D9" w:rsidRPr="008827D2">
        <w:rPr>
          <w:szCs w:val="24"/>
        </w:rPr>
        <w:fldChar w:fldCharType="begin"/>
      </w:r>
      <w:r w:rsidR="008652D9" w:rsidRPr="008827D2">
        <w:rPr>
          <w:szCs w:val="24"/>
        </w:rPr>
        <w:instrText xml:space="preserve"> REF _Ref50014130 \h </w:instrText>
      </w:r>
      <w:r w:rsidR="008652D9" w:rsidRPr="008827D2">
        <w:rPr>
          <w:szCs w:val="24"/>
        </w:rPr>
      </w:r>
      <w:r w:rsidR="008827D2" w:rsidRPr="008827D2">
        <w:rPr>
          <w:szCs w:val="24"/>
        </w:rPr>
        <w:instrText xml:space="preserve"> \* MERGEFORMAT </w:instrText>
      </w:r>
      <w:r w:rsidR="008652D9" w:rsidRPr="008827D2">
        <w:rPr>
          <w:szCs w:val="24"/>
        </w:rPr>
        <w:fldChar w:fldCharType="separate"/>
      </w:r>
      <w:r w:rsidR="00E84BE3" w:rsidRPr="008827D2">
        <w:rPr>
          <w:szCs w:val="24"/>
        </w:rPr>
        <w:t xml:space="preserve">Table </w:t>
      </w:r>
      <w:r w:rsidR="00E84BE3" w:rsidRPr="008827D2">
        <w:rPr>
          <w:noProof/>
          <w:szCs w:val="24"/>
        </w:rPr>
        <w:t>10</w:t>
      </w:r>
      <w:r w:rsidR="008652D9" w:rsidRPr="008827D2">
        <w:rPr>
          <w:szCs w:val="24"/>
        </w:rPr>
        <w:fldChar w:fldCharType="end"/>
      </w:r>
      <w:r w:rsidRPr="008827D2">
        <w:rPr>
          <w:szCs w:val="24"/>
        </w:rPr>
        <w:t>.</w:t>
      </w:r>
      <w:r>
        <w:t xml:space="preserve"> The DCAR concluded that AFG being a dominant strategy was robust to the variations in risk of serious complications, </w:t>
      </w:r>
      <w:r w:rsidRPr="00556658">
        <w:t>var</w:t>
      </w:r>
      <w:r>
        <w:t>iations in</w:t>
      </w:r>
      <w:r w:rsidRPr="00556658">
        <w:t xml:space="preserve"> the value</w:t>
      </w:r>
      <w:r>
        <w:t>s</w:t>
      </w:r>
      <w:r w:rsidRPr="00556658">
        <w:t xml:space="preserve"> of utility gain </w:t>
      </w:r>
      <w:r>
        <w:t>when the same values applied to</w:t>
      </w:r>
      <w:r w:rsidRPr="00556658">
        <w:t xml:space="preserve"> both strategies</w:t>
      </w:r>
      <w:r>
        <w:t xml:space="preserve">, and variations in disutility values. </w:t>
      </w:r>
      <w:r w:rsidRPr="00556658">
        <w:t xml:space="preserve">However, when the assumption of no difference in clinical effectiveness was relaxed by assigning the maximum utility gain </w:t>
      </w:r>
      <w:r>
        <w:t xml:space="preserve">(0.22, </w:t>
      </w:r>
      <w:proofErr w:type="spellStart"/>
      <w:r w:rsidRPr="00556658">
        <w:t>Dey</w:t>
      </w:r>
      <w:proofErr w:type="spellEnd"/>
      <w:r w:rsidRPr="00556658">
        <w:t xml:space="preserve"> 2019</w:t>
      </w:r>
      <w:r>
        <w:t xml:space="preserve">) </w:t>
      </w:r>
      <w:r w:rsidRPr="00556658">
        <w:t>to the free flap comparator arm and the base case value</w:t>
      </w:r>
      <w:r>
        <w:t xml:space="preserve"> (0.16, </w:t>
      </w:r>
      <w:proofErr w:type="spellStart"/>
      <w:r w:rsidRPr="00556658">
        <w:t>Dey</w:t>
      </w:r>
      <w:proofErr w:type="spellEnd"/>
      <w:r w:rsidRPr="00556658">
        <w:t xml:space="preserve"> 2019</w:t>
      </w:r>
      <w:r>
        <w:t>)</w:t>
      </w:r>
      <w:r w:rsidRPr="00556658">
        <w:t xml:space="preserve"> to the AFG arm, </w:t>
      </w:r>
      <w:r>
        <w:t xml:space="preserve">AFG became the less costly and less effective option (-1.13 QALYs) with corresponding ICER estimate of $4,457 saving per QALY foregone. </w:t>
      </w:r>
      <w:r w:rsidRPr="00556658">
        <w:t>Assigning the minimum utility gain to AFG</w:t>
      </w:r>
      <w:r>
        <w:t xml:space="preserve"> outcomes</w:t>
      </w:r>
      <w:r w:rsidRPr="00556658">
        <w:t xml:space="preserve"> (</w:t>
      </w:r>
      <w:r>
        <w:t xml:space="preserve">0.06, </w:t>
      </w:r>
      <w:proofErr w:type="spellStart"/>
      <w:r w:rsidRPr="00556658">
        <w:t>Dey</w:t>
      </w:r>
      <w:proofErr w:type="spellEnd"/>
      <w:r w:rsidRPr="00556658">
        <w:t xml:space="preserve"> 2019)</w:t>
      </w:r>
      <w:r>
        <w:t xml:space="preserve"> resulted in -3.07 incremental QALYs and an</w:t>
      </w:r>
      <w:r w:rsidRPr="00556658">
        <w:t xml:space="preserve"> ICER estimate of </w:t>
      </w:r>
      <w:r>
        <w:t>$</w:t>
      </w:r>
      <w:r w:rsidRPr="00556658">
        <w:t xml:space="preserve">1,640 </w:t>
      </w:r>
      <w:r>
        <w:t xml:space="preserve">saved </w:t>
      </w:r>
      <w:r w:rsidRPr="00556658">
        <w:t>per QALY</w:t>
      </w:r>
      <w:r>
        <w:t xml:space="preserve"> forgone. The DCAR considered this assumption appeared plausible in the context of heterogeneity of the patients’ condition, as well as patients’ preferences and surgeons’ skills in choosing the most suitable procedure. For example, it </w:t>
      </w:r>
      <w:proofErr w:type="gramStart"/>
      <w:r>
        <w:t>could be argued</w:t>
      </w:r>
      <w:proofErr w:type="gramEnd"/>
      <w:r>
        <w:t xml:space="preserve"> that a facial defect of a larger volume cannot be effectively managed with AFG and better results would be achieved with free flap surgery. From that point of view, the base case result indicating AFG dominance </w:t>
      </w:r>
      <w:proofErr w:type="gramStart"/>
      <w:r>
        <w:t>should not be interpreted</w:t>
      </w:r>
      <w:proofErr w:type="gramEnd"/>
      <w:r>
        <w:t xml:space="preserve"> as an </w:t>
      </w:r>
      <w:r>
        <w:lastRenderedPageBreak/>
        <w:t xml:space="preserve">equivalent to the potential savings to the health system. Potential savings need to </w:t>
      </w:r>
      <w:proofErr w:type="gramStart"/>
      <w:r>
        <w:t>be apportioned</w:t>
      </w:r>
      <w:proofErr w:type="gramEnd"/>
      <w:r>
        <w:t xml:space="preserve"> to the patients whose clinical needs would equally likely be met by either AFG or free flap transfer. </w:t>
      </w:r>
      <w:r w:rsidRPr="00102DD9">
        <w:t xml:space="preserve"> </w:t>
      </w:r>
      <w:bookmarkStart w:id="29" w:name="_Ref37300196"/>
      <w:bookmarkStart w:id="30" w:name="_Toc39593688"/>
    </w:p>
    <w:p w14:paraId="6DEBE1D6" w14:textId="79E0409E" w:rsidR="00AE2D27" w:rsidRPr="00F3276D" w:rsidRDefault="008652D9" w:rsidP="00F3276D">
      <w:pPr>
        <w:spacing w:before="240"/>
        <w:rPr>
          <w:rFonts w:ascii="Arial Narrow" w:hAnsi="Arial Narrow"/>
          <w:b/>
          <w:sz w:val="20"/>
        </w:rPr>
      </w:pPr>
      <w:bookmarkStart w:id="31" w:name="_Ref50014130"/>
      <w:bookmarkStart w:id="32" w:name="_Toc39593689"/>
      <w:bookmarkEnd w:id="29"/>
      <w:bookmarkEnd w:id="30"/>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10</w:t>
      </w:r>
      <w:r w:rsidR="00F3276D" w:rsidRPr="00F3276D">
        <w:rPr>
          <w:rFonts w:ascii="Arial Narrow" w:hAnsi="Arial Narrow"/>
          <w:b/>
          <w:sz w:val="20"/>
        </w:rPr>
        <w:fldChar w:fldCharType="end"/>
      </w:r>
      <w:bookmarkEnd w:id="31"/>
      <w:r w:rsidR="00AE2D27" w:rsidRPr="00F3276D">
        <w:rPr>
          <w:rFonts w:ascii="Arial Narrow" w:hAnsi="Arial Narrow"/>
          <w:b/>
          <w:sz w:val="20"/>
        </w:rPr>
        <w:t xml:space="preserve"> Key drivers of the model (sensitivity analysis) – Population 1</w:t>
      </w:r>
      <w:bookmarkEnd w:id="32"/>
    </w:p>
    <w:tbl>
      <w:tblPr>
        <w:tblStyle w:val="TableGrid1"/>
        <w:tblW w:w="5000" w:type="pct"/>
        <w:tblLook w:val="04A0" w:firstRow="1" w:lastRow="0" w:firstColumn="1" w:lastColumn="0" w:noHBand="0" w:noVBand="1"/>
        <w:tblCaption w:val="Table 24 Key drivers of the economic model"/>
        <w:tblDescription w:val="This table describes what factors and assumptions in the economic model affect the incremental cost-effectiveness to the greatest extent."/>
      </w:tblPr>
      <w:tblGrid>
        <w:gridCol w:w="2379"/>
        <w:gridCol w:w="3278"/>
        <w:gridCol w:w="3359"/>
      </w:tblGrid>
      <w:tr w:rsidR="00AE2D27" w:rsidRPr="00183E4D" w14:paraId="2BE0046D" w14:textId="77777777" w:rsidTr="00F3276D">
        <w:trPr>
          <w:cnfStyle w:val="100000000000" w:firstRow="1" w:lastRow="0" w:firstColumn="0" w:lastColumn="0" w:oddVBand="0" w:evenVBand="0" w:oddHBand="0" w:evenHBand="0" w:firstRowFirstColumn="0" w:firstRowLastColumn="0" w:lastRowFirstColumn="0" w:lastRowLastColumn="0"/>
          <w:tblHeader/>
        </w:trPr>
        <w:tc>
          <w:tcPr>
            <w:tcW w:w="1319" w:type="pct"/>
          </w:tcPr>
          <w:p w14:paraId="0D43D072" w14:textId="77777777" w:rsidR="00AE2D27" w:rsidRPr="00183E4D" w:rsidRDefault="00AE2D27" w:rsidP="00AE2D27">
            <w:pPr>
              <w:pStyle w:val="TableHeading"/>
              <w:rPr>
                <w:snapToGrid w:val="0"/>
                <w:lang w:eastAsia="en-US"/>
              </w:rPr>
            </w:pPr>
            <w:r w:rsidRPr="00183E4D">
              <w:rPr>
                <w:snapToGrid w:val="0"/>
                <w:lang w:eastAsia="en-US"/>
              </w:rPr>
              <w:t>Description</w:t>
            </w:r>
          </w:p>
        </w:tc>
        <w:tc>
          <w:tcPr>
            <w:tcW w:w="1818" w:type="pct"/>
          </w:tcPr>
          <w:p w14:paraId="7DA06912" w14:textId="77777777" w:rsidR="00AE2D27" w:rsidRPr="00183E4D" w:rsidRDefault="00AE2D27" w:rsidP="00AE2D27">
            <w:pPr>
              <w:pStyle w:val="TableHeading"/>
              <w:rPr>
                <w:snapToGrid w:val="0"/>
                <w:lang w:eastAsia="en-US"/>
              </w:rPr>
            </w:pPr>
            <w:r w:rsidRPr="00183E4D">
              <w:rPr>
                <w:snapToGrid w:val="0"/>
                <w:lang w:eastAsia="en-US"/>
              </w:rPr>
              <w:t>Value</w:t>
            </w:r>
          </w:p>
        </w:tc>
        <w:tc>
          <w:tcPr>
            <w:tcW w:w="1863" w:type="pct"/>
          </w:tcPr>
          <w:p w14:paraId="0DEBD892" w14:textId="77777777" w:rsidR="00AE2D27" w:rsidRPr="00183E4D" w:rsidRDefault="00AE2D27" w:rsidP="00AE2D27">
            <w:pPr>
              <w:pStyle w:val="TableHeading"/>
              <w:rPr>
                <w:snapToGrid w:val="0"/>
                <w:lang w:eastAsia="en-US"/>
              </w:rPr>
            </w:pPr>
            <w:r w:rsidRPr="00183E4D">
              <w:rPr>
                <w:snapToGrid w:val="0"/>
                <w:lang w:eastAsia="en-US"/>
              </w:rPr>
              <w:t>Impact</w:t>
            </w:r>
          </w:p>
        </w:tc>
      </w:tr>
      <w:tr w:rsidR="00AE2D27" w:rsidRPr="00183E4D" w14:paraId="7DECC69C" w14:textId="77777777" w:rsidTr="00F3276D">
        <w:tc>
          <w:tcPr>
            <w:tcW w:w="1319" w:type="pct"/>
          </w:tcPr>
          <w:p w14:paraId="4C168397" w14:textId="77777777" w:rsidR="00AE2D27" w:rsidRDefault="00AE2D27" w:rsidP="00AE2D27">
            <w:pPr>
              <w:keepNext/>
              <w:rPr>
                <w:sz w:val="20"/>
              </w:rPr>
            </w:pPr>
            <w:r>
              <w:rPr>
                <w:sz w:val="20"/>
              </w:rPr>
              <w:t>Utility values</w:t>
            </w:r>
          </w:p>
        </w:tc>
        <w:tc>
          <w:tcPr>
            <w:tcW w:w="1818" w:type="pct"/>
          </w:tcPr>
          <w:p w14:paraId="16C32853" w14:textId="77777777" w:rsidR="00AE2D27" w:rsidRDefault="00AE2D27" w:rsidP="00AE2D27">
            <w:pPr>
              <w:pStyle w:val="Tabletext"/>
              <w:keepNext/>
            </w:pPr>
            <w:r>
              <w:t>Utility gain = 0.06 in both AFG and FF arms</w:t>
            </w:r>
          </w:p>
        </w:tc>
        <w:tc>
          <w:tcPr>
            <w:tcW w:w="1863" w:type="pct"/>
          </w:tcPr>
          <w:p w14:paraId="57EEC447" w14:textId="77777777" w:rsidR="00AE2D27" w:rsidRDefault="00AE2D27" w:rsidP="00AE2D27">
            <w:pPr>
              <w:keepNext/>
              <w:rPr>
                <w:sz w:val="20"/>
              </w:rPr>
            </w:pPr>
            <w:r>
              <w:rPr>
                <w:sz w:val="20"/>
              </w:rPr>
              <w:t>Medium, decreases the QALY gain from 0.04 in base case to 0.01 without affecting the dominance of AFG strategy</w:t>
            </w:r>
          </w:p>
        </w:tc>
      </w:tr>
      <w:tr w:rsidR="00AE2D27" w:rsidRPr="00183E4D" w14:paraId="46C39815" w14:textId="77777777" w:rsidTr="00F3276D">
        <w:tc>
          <w:tcPr>
            <w:tcW w:w="1319" w:type="pct"/>
          </w:tcPr>
          <w:p w14:paraId="7F8C414F" w14:textId="77777777" w:rsidR="00AE2D27" w:rsidRPr="007B7C6D" w:rsidRDefault="00AE2D27" w:rsidP="00AE2D27">
            <w:pPr>
              <w:keepNext/>
              <w:rPr>
                <w:sz w:val="20"/>
              </w:rPr>
            </w:pPr>
            <w:r>
              <w:rPr>
                <w:sz w:val="20"/>
              </w:rPr>
              <w:t xml:space="preserve">Two-way sensitivity analysis of utility values (differential clinical effectiveness) </w:t>
            </w:r>
          </w:p>
        </w:tc>
        <w:tc>
          <w:tcPr>
            <w:tcW w:w="1818" w:type="pct"/>
          </w:tcPr>
          <w:p w14:paraId="42B2709B" w14:textId="77777777" w:rsidR="00AE2D27" w:rsidRDefault="00AE2D27" w:rsidP="00AE2D27">
            <w:pPr>
              <w:pStyle w:val="Tabletext"/>
              <w:keepNext/>
            </w:pPr>
            <w:r>
              <w:t>Utility gain = 0.22 in FF arm and</w:t>
            </w:r>
          </w:p>
          <w:p w14:paraId="5296BC5B" w14:textId="77777777" w:rsidR="00AE2D27" w:rsidRPr="007B7C6D" w:rsidRDefault="00AE2D27" w:rsidP="00AE2D27">
            <w:pPr>
              <w:pStyle w:val="Tabletext"/>
              <w:keepNext/>
            </w:pPr>
            <w:r>
              <w:t>Utility gain = 0.06 in AFG arm</w:t>
            </w:r>
          </w:p>
        </w:tc>
        <w:tc>
          <w:tcPr>
            <w:tcW w:w="1863" w:type="pct"/>
          </w:tcPr>
          <w:p w14:paraId="7BC4C4EC" w14:textId="77777777" w:rsidR="00AE2D27" w:rsidRPr="007B7C6D" w:rsidRDefault="00AE2D27" w:rsidP="00AE2D27">
            <w:pPr>
              <w:keepNext/>
              <w:rPr>
                <w:sz w:val="20"/>
              </w:rPr>
            </w:pPr>
            <w:r>
              <w:rPr>
                <w:sz w:val="20"/>
              </w:rPr>
              <w:t>High, AFG becomes the less costly and less effective strategy</w:t>
            </w:r>
          </w:p>
        </w:tc>
      </w:tr>
    </w:tbl>
    <w:p w14:paraId="58AE2B54" w14:textId="77777777" w:rsidR="00AE2D27" w:rsidRDefault="00AE2D27" w:rsidP="00AE2D27">
      <w:pPr>
        <w:pStyle w:val="Tablenotes1"/>
      </w:pPr>
      <w:r>
        <w:t>Abbreviations: AFG = autologous fat grafting; QALY = quality-adjusted life year</w:t>
      </w:r>
    </w:p>
    <w:p w14:paraId="2CC11D38" w14:textId="77777777" w:rsidR="00AE2D27" w:rsidRDefault="00AE2D27" w:rsidP="00AE2D27">
      <w:pPr>
        <w:pStyle w:val="Tablenotes1"/>
      </w:pPr>
      <w:r>
        <w:t>Source: Table 38, p132 of the DCAR.</w:t>
      </w:r>
    </w:p>
    <w:p w14:paraId="078AAFCF" w14:textId="77777777" w:rsidR="00AE2D27" w:rsidRPr="000F34C5" w:rsidRDefault="00AE2D27" w:rsidP="00AE2D27">
      <w:pPr>
        <w:pStyle w:val="Heading2"/>
      </w:pPr>
      <w:r>
        <w:t>Population 2</w:t>
      </w:r>
    </w:p>
    <w:p w14:paraId="581895E3" w14:textId="7CA462E0" w:rsidR="00AE2D27" w:rsidRDefault="00AE2D27" w:rsidP="00AE2D27">
      <w:r>
        <w:t>The DCAR</w:t>
      </w:r>
      <w:r w:rsidR="00C5579C">
        <w:t>'</w:t>
      </w:r>
      <w:r>
        <w:t xml:space="preserve">s base case model for Population 2 was a trial-based cost-effectiveness analysis (CEA) of AFG </w:t>
      </w:r>
      <w:r w:rsidRPr="00EF58C3">
        <w:rPr>
          <w:i/>
        </w:rPr>
        <w:t>vs.</w:t>
      </w:r>
      <w:r>
        <w:t xml:space="preserve"> no treatment based on Byrne 2016 (</w:t>
      </w:r>
      <w:r w:rsidR="000047D0" w:rsidRPr="008827D2">
        <w:rPr>
          <w:szCs w:val="24"/>
        </w:rPr>
        <w:fldChar w:fldCharType="begin"/>
      </w:r>
      <w:r w:rsidR="000047D0" w:rsidRPr="008827D2">
        <w:rPr>
          <w:szCs w:val="24"/>
        </w:rPr>
        <w:instrText xml:space="preserve"> REF _Ref50014257 \h </w:instrText>
      </w:r>
      <w:r w:rsidR="000047D0" w:rsidRPr="008827D2">
        <w:rPr>
          <w:szCs w:val="24"/>
        </w:rPr>
      </w:r>
      <w:r w:rsidR="008827D2" w:rsidRPr="008827D2">
        <w:rPr>
          <w:szCs w:val="24"/>
        </w:rPr>
        <w:instrText xml:space="preserve"> \* MERGEFORMAT </w:instrText>
      </w:r>
      <w:r w:rsidR="000047D0" w:rsidRPr="008827D2">
        <w:rPr>
          <w:szCs w:val="24"/>
        </w:rPr>
        <w:fldChar w:fldCharType="separate"/>
      </w:r>
      <w:r w:rsidR="00E84BE3" w:rsidRPr="008827D2">
        <w:rPr>
          <w:szCs w:val="24"/>
        </w:rPr>
        <w:t xml:space="preserve">Table </w:t>
      </w:r>
      <w:r w:rsidR="00E84BE3" w:rsidRPr="008827D2">
        <w:rPr>
          <w:noProof/>
          <w:szCs w:val="24"/>
        </w:rPr>
        <w:t>11</w:t>
      </w:r>
      <w:r w:rsidR="000047D0" w:rsidRPr="008827D2">
        <w:rPr>
          <w:szCs w:val="24"/>
        </w:rPr>
        <w:fldChar w:fldCharType="end"/>
      </w:r>
      <w:r>
        <w:t>)</w:t>
      </w:r>
      <w:r w:rsidRPr="00FA26F9">
        <w:t>.</w:t>
      </w:r>
      <w:r>
        <w:t xml:space="preserve"> In this small study (n=12), a</w:t>
      </w:r>
      <w:r w:rsidRPr="00AA06E9">
        <w:t xml:space="preserve">ll patients presented with scar </w:t>
      </w:r>
      <w:r>
        <w:t>contraction or cosmetically displeasing scars</w:t>
      </w:r>
      <w:r w:rsidRPr="00AA06E9">
        <w:t xml:space="preserve"> were treated in the hospital setting with one session of AFG</w:t>
      </w:r>
      <w:r>
        <w:t xml:space="preserve"> </w:t>
      </w:r>
      <w:r w:rsidRPr="00AA06E9">
        <w:t>for secondary reconstruction</w:t>
      </w:r>
      <w:r>
        <w:t xml:space="preserve"> (i.e. third-line treatment)</w:t>
      </w:r>
      <w:r w:rsidRPr="00AA06E9">
        <w:t xml:space="preserve"> </w:t>
      </w:r>
      <w:r>
        <w:t xml:space="preserve">as per </w:t>
      </w:r>
      <w:r w:rsidRPr="00AA06E9">
        <w:t>Coleman’s procedure</w:t>
      </w:r>
      <w:r>
        <w:t xml:space="preserve">. </w:t>
      </w:r>
      <w:r w:rsidRPr="00FA26F9">
        <w:t xml:space="preserve">A summary of the </w:t>
      </w:r>
      <w:r>
        <w:t xml:space="preserve">DCARs </w:t>
      </w:r>
      <w:r w:rsidRPr="00FA26F9">
        <w:t>cost-utility scenario analyses, which extends the model to a lifetime is summarised in</w:t>
      </w:r>
      <w:r>
        <w:t xml:space="preserve"> </w:t>
      </w:r>
      <w:r w:rsidR="000047D0" w:rsidRPr="008827D2">
        <w:rPr>
          <w:szCs w:val="24"/>
        </w:rPr>
        <w:fldChar w:fldCharType="begin"/>
      </w:r>
      <w:r w:rsidR="000047D0" w:rsidRPr="008827D2">
        <w:rPr>
          <w:szCs w:val="24"/>
        </w:rPr>
        <w:instrText xml:space="preserve"> REF _Ref50014335 \h </w:instrText>
      </w:r>
      <w:r w:rsidR="000047D0" w:rsidRPr="008827D2">
        <w:rPr>
          <w:szCs w:val="24"/>
        </w:rPr>
      </w:r>
      <w:r w:rsidR="008827D2" w:rsidRPr="008827D2">
        <w:rPr>
          <w:szCs w:val="24"/>
        </w:rPr>
        <w:instrText xml:space="preserve"> \* MERGEFORMAT </w:instrText>
      </w:r>
      <w:r w:rsidR="000047D0" w:rsidRPr="008827D2">
        <w:rPr>
          <w:szCs w:val="24"/>
        </w:rPr>
        <w:fldChar w:fldCharType="separate"/>
      </w:r>
      <w:r w:rsidR="00E84BE3" w:rsidRPr="008827D2">
        <w:rPr>
          <w:szCs w:val="24"/>
        </w:rPr>
        <w:t xml:space="preserve">Table </w:t>
      </w:r>
      <w:r w:rsidR="00E84BE3" w:rsidRPr="008827D2">
        <w:rPr>
          <w:noProof/>
          <w:szCs w:val="24"/>
        </w:rPr>
        <w:t>13</w:t>
      </w:r>
      <w:r w:rsidR="000047D0" w:rsidRPr="008827D2">
        <w:rPr>
          <w:szCs w:val="24"/>
        </w:rPr>
        <w:fldChar w:fldCharType="end"/>
      </w:r>
      <w:r>
        <w:t xml:space="preserve">. The first scenario analysis was estimated from Byrne (2016), and the second scenario analysis involved the population (N=12) with limited ROM due to scar contracture </w:t>
      </w:r>
      <w:r w:rsidRPr="006E28A1">
        <w:t>affect</w:t>
      </w:r>
      <w:r>
        <w:t>ing</w:t>
      </w:r>
      <w:r w:rsidRPr="006E28A1">
        <w:t xml:space="preserve"> face and neck, upper extremity and axilla, lower extremities and perineum</w:t>
      </w:r>
      <w:r>
        <w:t xml:space="preserve"> </w:t>
      </w:r>
      <w:r w:rsidRPr="006E28A1">
        <w:t>Gargano (2018)</w:t>
      </w:r>
      <w:r>
        <w:t>. In this population a</w:t>
      </w:r>
      <w:r w:rsidRPr="006E28A1">
        <w:t xml:space="preserve"> combined </w:t>
      </w:r>
      <w:r>
        <w:t xml:space="preserve">simultaneous </w:t>
      </w:r>
      <w:r w:rsidRPr="006E28A1">
        <w:t xml:space="preserve">intervention of </w:t>
      </w:r>
      <w:proofErr w:type="spellStart"/>
      <w:r w:rsidRPr="006E28A1">
        <w:t>subcision</w:t>
      </w:r>
      <w:proofErr w:type="spellEnd"/>
      <w:r w:rsidRPr="006E28A1">
        <w:t xml:space="preserve"> (percutaneous release of deep scar tissues)</w:t>
      </w:r>
      <w:r>
        <w:t xml:space="preserve"> and AFG was used: </w:t>
      </w:r>
      <w:r w:rsidRPr="00E7582B">
        <w:t>“SUFA”</w:t>
      </w:r>
      <w:r>
        <w:t xml:space="preserve"> </w:t>
      </w:r>
      <w:r w:rsidRPr="00E7582B">
        <w:t>technique (</w:t>
      </w:r>
      <w:proofErr w:type="spellStart"/>
      <w:r w:rsidRPr="00E7582B">
        <w:t>Subcision</w:t>
      </w:r>
      <w:proofErr w:type="spellEnd"/>
      <w:r w:rsidRPr="00E7582B">
        <w:t xml:space="preserve"> and Fat Grafting</w:t>
      </w:r>
      <w:r>
        <w:t xml:space="preserve">), performed in the hospital setting. In this scenario analysis, the number of AFG procedure was assumed </w:t>
      </w:r>
      <w:proofErr w:type="gramStart"/>
      <w:r>
        <w:t>to be two</w:t>
      </w:r>
      <w:proofErr w:type="gramEnd"/>
      <w:r>
        <w:t xml:space="preserve">, as the authors did not report the mean number of sessions but stated that a </w:t>
      </w:r>
      <w:r w:rsidRPr="00695AA2">
        <w:t xml:space="preserve">maximum of three sessions </w:t>
      </w:r>
      <w:r>
        <w:t xml:space="preserve">with </w:t>
      </w:r>
      <w:r w:rsidRPr="00695AA2">
        <w:t>an interval of 2–3 months</w:t>
      </w:r>
      <w:r>
        <w:t xml:space="preserve"> was performed. The DCAR could not estimate a CEA from Gargano (2018), as only derived modelled utility gains could be cautiously estimated from the outcomes (degrees of improvement in ROM</w:t>
      </w:r>
      <w:r w:rsidRPr="00B3655C">
        <w:t xml:space="preserve"> </w:t>
      </w:r>
      <w:r>
        <w:t>from the b</w:t>
      </w:r>
      <w:r w:rsidR="008652D9">
        <w:t>aseline) reported in the study.</w:t>
      </w:r>
    </w:p>
    <w:p w14:paraId="702139CF" w14:textId="3BCEAD83" w:rsidR="00AE2D27" w:rsidRDefault="00AE2D27" w:rsidP="008652D9">
      <w:pPr>
        <w:spacing w:before="240" w:after="240"/>
      </w:pPr>
      <w:r w:rsidRPr="00D546FC">
        <w:t xml:space="preserve">The overall costs and outcomes, and incremental costs and outcomes as calculated for the intervention and comparator in the analysis, and using the base case assumptions, </w:t>
      </w:r>
      <w:proofErr w:type="gramStart"/>
      <w:r w:rsidRPr="00D546FC">
        <w:t xml:space="preserve">are </w:t>
      </w:r>
      <w:r>
        <w:t>presented</w:t>
      </w:r>
      <w:proofErr w:type="gramEnd"/>
      <w:r w:rsidRPr="00D546FC">
        <w:t xml:space="preserve"> in </w:t>
      </w:r>
      <w:r w:rsidR="000047D0" w:rsidRPr="008827D2">
        <w:rPr>
          <w:szCs w:val="24"/>
        </w:rPr>
        <w:fldChar w:fldCharType="begin"/>
      </w:r>
      <w:r w:rsidR="000047D0" w:rsidRPr="008827D2">
        <w:rPr>
          <w:szCs w:val="24"/>
        </w:rPr>
        <w:instrText xml:space="preserve"> REF _Ref50014281 \h </w:instrText>
      </w:r>
      <w:r w:rsidR="000047D0" w:rsidRPr="008827D2">
        <w:rPr>
          <w:szCs w:val="24"/>
        </w:rPr>
      </w:r>
      <w:r w:rsidR="008827D2" w:rsidRPr="008827D2">
        <w:rPr>
          <w:szCs w:val="24"/>
        </w:rPr>
        <w:instrText xml:space="preserve"> \* MERGEFORMAT </w:instrText>
      </w:r>
      <w:r w:rsidR="000047D0" w:rsidRPr="008827D2">
        <w:rPr>
          <w:szCs w:val="24"/>
        </w:rPr>
        <w:fldChar w:fldCharType="separate"/>
      </w:r>
      <w:r w:rsidR="00E84BE3" w:rsidRPr="008827D2">
        <w:rPr>
          <w:szCs w:val="24"/>
        </w:rPr>
        <w:t xml:space="preserve">Table </w:t>
      </w:r>
      <w:r w:rsidR="00E84BE3" w:rsidRPr="008827D2">
        <w:rPr>
          <w:noProof/>
          <w:szCs w:val="24"/>
        </w:rPr>
        <w:t>12</w:t>
      </w:r>
      <w:r w:rsidR="000047D0" w:rsidRPr="008827D2">
        <w:rPr>
          <w:szCs w:val="24"/>
        </w:rPr>
        <w:fldChar w:fldCharType="end"/>
      </w:r>
      <w:r w:rsidR="008652D9">
        <w:t>.</w:t>
      </w:r>
    </w:p>
    <w:p w14:paraId="1BA3CBED" w14:textId="7083B597" w:rsidR="00AE2D27" w:rsidRPr="00183E4D" w:rsidRDefault="00AE2D27" w:rsidP="000047D0">
      <w:pPr>
        <w:pStyle w:val="Heading3"/>
        <w:keepLines w:val="0"/>
      </w:pPr>
      <w:r>
        <w:t>CEA-base case model</w:t>
      </w:r>
    </w:p>
    <w:p w14:paraId="75D2FC7D" w14:textId="56036139" w:rsidR="00AE2D27" w:rsidRPr="00F3276D" w:rsidRDefault="008652D9" w:rsidP="00D04A45">
      <w:pPr>
        <w:spacing w:before="120"/>
        <w:rPr>
          <w:rFonts w:ascii="Arial Narrow" w:hAnsi="Arial Narrow"/>
          <w:b/>
          <w:sz w:val="20"/>
        </w:rPr>
      </w:pPr>
      <w:bookmarkStart w:id="33" w:name="_Ref50014257"/>
      <w:bookmarkStart w:id="34" w:name="_Ref394419656"/>
      <w:bookmarkStart w:id="35" w:name="_Toc39593658"/>
      <w:bookmarkEnd w:id="23"/>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11</w:t>
      </w:r>
      <w:r w:rsidR="00F3276D" w:rsidRPr="00F3276D">
        <w:rPr>
          <w:rFonts w:ascii="Arial Narrow" w:hAnsi="Arial Narrow"/>
          <w:b/>
          <w:sz w:val="20"/>
        </w:rPr>
        <w:fldChar w:fldCharType="end"/>
      </w:r>
      <w:bookmarkEnd w:id="33"/>
      <w:r w:rsidR="00AE2D27" w:rsidRPr="00F3276D">
        <w:rPr>
          <w:rFonts w:ascii="Arial Narrow" w:hAnsi="Arial Narrow"/>
          <w:b/>
          <w:sz w:val="20"/>
        </w:rPr>
        <w:t xml:space="preserve">  Summary of the base case economic evaluation</w:t>
      </w:r>
      <w:bookmarkEnd w:id="34"/>
      <w:r w:rsidR="00AE2D27" w:rsidRPr="00F3276D">
        <w:rPr>
          <w:rFonts w:ascii="Arial Narrow" w:hAnsi="Arial Narrow"/>
          <w:b/>
          <w:sz w:val="20"/>
        </w:rPr>
        <w:t xml:space="preserve"> (Population 2)</w:t>
      </w:r>
      <w:bookmarkEnd w:id="35"/>
    </w:p>
    <w:tbl>
      <w:tblPr>
        <w:tblStyle w:val="TableGrid1"/>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2825"/>
        <w:gridCol w:w="6191"/>
      </w:tblGrid>
      <w:tr w:rsidR="00AE2D27" w:rsidRPr="00183E4D" w14:paraId="17A7845D" w14:textId="77777777" w:rsidTr="00F3276D">
        <w:trPr>
          <w:cnfStyle w:val="100000000000" w:firstRow="1" w:lastRow="0" w:firstColumn="0" w:lastColumn="0" w:oddVBand="0" w:evenVBand="0" w:oddHBand="0" w:evenHBand="0" w:firstRowFirstColumn="0" w:firstRowLastColumn="0" w:lastRowFirstColumn="0" w:lastRowLastColumn="0"/>
          <w:trHeight w:val="20"/>
          <w:tblHeader/>
        </w:trPr>
        <w:tc>
          <w:tcPr>
            <w:tcW w:w="2835" w:type="dxa"/>
          </w:tcPr>
          <w:p w14:paraId="3A2D4CDC" w14:textId="77777777" w:rsidR="00AE2D27" w:rsidRPr="00183E4D" w:rsidRDefault="00AE2D27" w:rsidP="000047D0">
            <w:pPr>
              <w:pStyle w:val="Tabletext"/>
              <w:keepNext/>
              <w:spacing w:before="20" w:after="20"/>
              <w:rPr>
                <w:b/>
              </w:rPr>
            </w:pPr>
            <w:r w:rsidRPr="00183E4D">
              <w:rPr>
                <w:b/>
              </w:rPr>
              <w:t>Perspective</w:t>
            </w:r>
          </w:p>
        </w:tc>
        <w:tc>
          <w:tcPr>
            <w:tcW w:w="6219" w:type="dxa"/>
          </w:tcPr>
          <w:p w14:paraId="76EA5ABA" w14:textId="77777777" w:rsidR="00AE2D27" w:rsidRPr="00183E4D" w:rsidRDefault="00AE2D27" w:rsidP="000047D0">
            <w:pPr>
              <w:pStyle w:val="Tabletext"/>
              <w:keepNext/>
              <w:spacing w:before="20" w:after="20"/>
              <w:rPr>
                <w:vanish/>
                <w:color w:val="C00000"/>
              </w:rPr>
            </w:pPr>
            <w:r w:rsidRPr="00D61F4F">
              <w:t>Australian Health Care System</w:t>
            </w:r>
          </w:p>
        </w:tc>
      </w:tr>
      <w:tr w:rsidR="00AE2D27" w:rsidRPr="00183E4D" w14:paraId="562BB02C" w14:textId="77777777" w:rsidTr="00F3276D">
        <w:trPr>
          <w:trHeight w:val="20"/>
        </w:trPr>
        <w:tc>
          <w:tcPr>
            <w:tcW w:w="2835" w:type="dxa"/>
          </w:tcPr>
          <w:p w14:paraId="108DA1C1" w14:textId="77777777" w:rsidR="00AE2D27" w:rsidRPr="00183E4D" w:rsidRDefault="00AE2D27" w:rsidP="000047D0">
            <w:pPr>
              <w:pStyle w:val="Tabletext"/>
              <w:keepNext/>
              <w:spacing w:before="20" w:after="20"/>
              <w:rPr>
                <w:b/>
              </w:rPr>
            </w:pPr>
            <w:r w:rsidRPr="00183E4D">
              <w:rPr>
                <w:b/>
              </w:rPr>
              <w:t>Comparator</w:t>
            </w:r>
          </w:p>
        </w:tc>
        <w:tc>
          <w:tcPr>
            <w:tcW w:w="6219" w:type="dxa"/>
          </w:tcPr>
          <w:p w14:paraId="248324E8" w14:textId="77777777" w:rsidR="00AE2D27" w:rsidRPr="00A80901" w:rsidRDefault="00AE2D27" w:rsidP="000047D0">
            <w:pPr>
              <w:pStyle w:val="Tabletext"/>
              <w:keepNext/>
              <w:spacing w:before="20" w:after="20"/>
            </w:pPr>
            <w:r w:rsidRPr="00A80901">
              <w:t>No</w:t>
            </w:r>
            <w:r>
              <w:t xml:space="preserve"> treatment</w:t>
            </w:r>
          </w:p>
        </w:tc>
      </w:tr>
      <w:tr w:rsidR="00AE2D27" w:rsidRPr="00183E4D" w14:paraId="15FCC8F0" w14:textId="77777777" w:rsidTr="00F3276D">
        <w:trPr>
          <w:trHeight w:val="20"/>
        </w:trPr>
        <w:tc>
          <w:tcPr>
            <w:tcW w:w="2835" w:type="dxa"/>
          </w:tcPr>
          <w:p w14:paraId="6512644B" w14:textId="77777777" w:rsidR="00AE2D27" w:rsidRPr="00183E4D" w:rsidRDefault="00AE2D27" w:rsidP="000047D0">
            <w:pPr>
              <w:pStyle w:val="Tabletext"/>
              <w:keepNext/>
              <w:spacing w:before="20" w:after="20"/>
              <w:rPr>
                <w:b/>
              </w:rPr>
            </w:pPr>
            <w:r w:rsidRPr="00183E4D">
              <w:rPr>
                <w:b/>
              </w:rPr>
              <w:t>Type of economic evaluation</w:t>
            </w:r>
            <w:r>
              <w:rPr>
                <w:b/>
              </w:rPr>
              <w:t xml:space="preserve"> </w:t>
            </w:r>
          </w:p>
        </w:tc>
        <w:tc>
          <w:tcPr>
            <w:tcW w:w="6219" w:type="dxa"/>
          </w:tcPr>
          <w:p w14:paraId="0D9E890F" w14:textId="77777777" w:rsidR="00AE2D27" w:rsidRPr="00A80901" w:rsidRDefault="00AE2D27" w:rsidP="000047D0">
            <w:pPr>
              <w:pStyle w:val="Tabletext"/>
              <w:keepNext/>
              <w:spacing w:before="20" w:after="20"/>
            </w:pPr>
            <w:r>
              <w:t>Trial based c</w:t>
            </w:r>
            <w:r w:rsidRPr="00D61F4F">
              <w:t>ost-effectiveness</w:t>
            </w:r>
            <w:r>
              <w:t xml:space="preserve"> analysis</w:t>
            </w:r>
          </w:p>
        </w:tc>
      </w:tr>
      <w:tr w:rsidR="00AE2D27" w:rsidRPr="00183E4D" w14:paraId="54D01942" w14:textId="77777777" w:rsidTr="00F3276D">
        <w:trPr>
          <w:trHeight w:val="20"/>
        </w:trPr>
        <w:tc>
          <w:tcPr>
            <w:tcW w:w="2835" w:type="dxa"/>
          </w:tcPr>
          <w:p w14:paraId="1DB5536A" w14:textId="77777777" w:rsidR="00AE2D27" w:rsidRPr="00183E4D" w:rsidRDefault="00AE2D27" w:rsidP="000047D0">
            <w:pPr>
              <w:pStyle w:val="Tabletext"/>
              <w:keepNext/>
              <w:spacing w:before="20" w:after="20"/>
              <w:rPr>
                <w:b/>
              </w:rPr>
            </w:pPr>
            <w:r w:rsidRPr="00183E4D">
              <w:rPr>
                <w:b/>
              </w:rPr>
              <w:t>Sources of evidence</w:t>
            </w:r>
          </w:p>
        </w:tc>
        <w:tc>
          <w:tcPr>
            <w:tcW w:w="6219" w:type="dxa"/>
          </w:tcPr>
          <w:p w14:paraId="504DD423" w14:textId="77777777" w:rsidR="00AE2D27" w:rsidRPr="00A80901" w:rsidRDefault="00AE2D27" w:rsidP="000047D0">
            <w:pPr>
              <w:pStyle w:val="Tabletext"/>
              <w:keepNext/>
              <w:spacing w:before="20" w:after="20"/>
            </w:pPr>
            <w:r>
              <w:t>Observational study (Byrne 2016)</w:t>
            </w:r>
          </w:p>
        </w:tc>
      </w:tr>
      <w:tr w:rsidR="00AE2D27" w:rsidRPr="00183E4D" w14:paraId="3478F174" w14:textId="77777777" w:rsidTr="00F3276D">
        <w:trPr>
          <w:trHeight w:val="20"/>
        </w:trPr>
        <w:tc>
          <w:tcPr>
            <w:tcW w:w="2835" w:type="dxa"/>
            <w:hideMark/>
          </w:tcPr>
          <w:p w14:paraId="4E65CAF3" w14:textId="77777777" w:rsidR="00AE2D27" w:rsidRPr="00183E4D" w:rsidRDefault="00AE2D27" w:rsidP="000047D0">
            <w:pPr>
              <w:pStyle w:val="Tabletext"/>
              <w:keepNext/>
              <w:spacing w:before="20" w:after="20"/>
              <w:rPr>
                <w:b/>
              </w:rPr>
            </w:pPr>
            <w:r w:rsidRPr="00183E4D">
              <w:rPr>
                <w:b/>
              </w:rPr>
              <w:t>Time horizon</w:t>
            </w:r>
          </w:p>
        </w:tc>
        <w:tc>
          <w:tcPr>
            <w:tcW w:w="6219" w:type="dxa"/>
          </w:tcPr>
          <w:p w14:paraId="32279B2E" w14:textId="77777777" w:rsidR="00AE2D27" w:rsidRPr="00A80901" w:rsidRDefault="00AE2D27" w:rsidP="000047D0">
            <w:pPr>
              <w:pStyle w:val="Tabletext"/>
              <w:keepNext/>
              <w:spacing w:before="20" w:after="20"/>
            </w:pPr>
            <w:r>
              <w:t>12 months</w:t>
            </w:r>
          </w:p>
        </w:tc>
      </w:tr>
      <w:tr w:rsidR="00AE2D27" w:rsidRPr="00183E4D" w14:paraId="618E2B51" w14:textId="77777777" w:rsidTr="00F3276D">
        <w:trPr>
          <w:trHeight w:val="20"/>
        </w:trPr>
        <w:tc>
          <w:tcPr>
            <w:tcW w:w="2835" w:type="dxa"/>
            <w:hideMark/>
          </w:tcPr>
          <w:p w14:paraId="1ED3BC65" w14:textId="77777777" w:rsidR="00AE2D27" w:rsidRPr="00183E4D" w:rsidRDefault="00AE2D27" w:rsidP="000047D0">
            <w:pPr>
              <w:pStyle w:val="Tabletext"/>
              <w:keepNext/>
              <w:spacing w:before="20" w:after="20"/>
              <w:rPr>
                <w:b/>
              </w:rPr>
            </w:pPr>
            <w:r w:rsidRPr="00183E4D">
              <w:rPr>
                <w:b/>
              </w:rPr>
              <w:t>Outcomes</w:t>
            </w:r>
          </w:p>
        </w:tc>
        <w:tc>
          <w:tcPr>
            <w:tcW w:w="6219" w:type="dxa"/>
          </w:tcPr>
          <w:p w14:paraId="3BEF2C95" w14:textId="77777777" w:rsidR="00AE2D27" w:rsidRPr="00183E4D" w:rsidRDefault="00AE2D27" w:rsidP="000047D0">
            <w:pPr>
              <w:pStyle w:val="Tabletext"/>
              <w:keepNext/>
              <w:spacing w:before="20" w:after="20"/>
            </w:pPr>
            <w:r>
              <w:t>Response rate (</w:t>
            </w:r>
            <w:r w:rsidRPr="003704D9">
              <w:t>achieving at least 65</w:t>
            </w:r>
            <w:r w:rsidRPr="003704D9">
              <w:rPr>
                <w:vertAlign w:val="superscript"/>
              </w:rPr>
              <w:t>0</w:t>
            </w:r>
            <w:r w:rsidRPr="003704D9">
              <w:t xml:space="preserve"> </w:t>
            </w:r>
            <w:r>
              <w:t xml:space="preserve">improvement in ROM </w:t>
            </w:r>
            <w:r w:rsidRPr="003704D9">
              <w:t>on the TAM scale</w:t>
            </w:r>
            <w:r>
              <w:t>)</w:t>
            </w:r>
          </w:p>
        </w:tc>
      </w:tr>
      <w:tr w:rsidR="00AE2D27" w:rsidRPr="00183E4D" w14:paraId="41837118" w14:textId="77777777" w:rsidTr="00F3276D">
        <w:trPr>
          <w:trHeight w:val="20"/>
        </w:trPr>
        <w:tc>
          <w:tcPr>
            <w:tcW w:w="2835" w:type="dxa"/>
            <w:hideMark/>
          </w:tcPr>
          <w:p w14:paraId="26209E71" w14:textId="77777777" w:rsidR="00AE2D27" w:rsidRPr="00183E4D" w:rsidRDefault="00AE2D27" w:rsidP="000047D0">
            <w:pPr>
              <w:pStyle w:val="Tabletext"/>
              <w:keepNext/>
              <w:spacing w:before="20" w:after="20"/>
              <w:rPr>
                <w:b/>
              </w:rPr>
            </w:pPr>
            <w:r w:rsidRPr="00183E4D">
              <w:rPr>
                <w:b/>
              </w:rPr>
              <w:t>Methods used to generate results</w:t>
            </w:r>
          </w:p>
        </w:tc>
        <w:tc>
          <w:tcPr>
            <w:tcW w:w="6219" w:type="dxa"/>
          </w:tcPr>
          <w:p w14:paraId="4C6B0AA0" w14:textId="77777777" w:rsidR="00AE2D27" w:rsidRPr="00183E4D" w:rsidRDefault="00AE2D27" w:rsidP="000047D0">
            <w:pPr>
              <w:pStyle w:val="Tabletext"/>
              <w:keepNext/>
              <w:spacing w:before="20" w:after="20"/>
            </w:pPr>
            <w:r>
              <w:t>Base case: trial-based</w:t>
            </w:r>
          </w:p>
        </w:tc>
      </w:tr>
      <w:tr w:rsidR="00AE2D27" w:rsidRPr="00183E4D" w14:paraId="4A1C243F" w14:textId="77777777" w:rsidTr="00F3276D">
        <w:trPr>
          <w:trHeight w:val="20"/>
        </w:trPr>
        <w:tc>
          <w:tcPr>
            <w:tcW w:w="2835" w:type="dxa"/>
          </w:tcPr>
          <w:p w14:paraId="6A967ECE" w14:textId="77777777" w:rsidR="00AE2D27" w:rsidRPr="00183E4D" w:rsidRDefault="00AE2D27" w:rsidP="000047D0">
            <w:pPr>
              <w:pStyle w:val="Tabletext"/>
              <w:keepNext/>
              <w:spacing w:before="20" w:after="20"/>
              <w:rPr>
                <w:b/>
              </w:rPr>
            </w:pPr>
            <w:r>
              <w:rPr>
                <w:b/>
              </w:rPr>
              <w:t>Health states</w:t>
            </w:r>
          </w:p>
        </w:tc>
        <w:tc>
          <w:tcPr>
            <w:tcW w:w="6219" w:type="dxa"/>
          </w:tcPr>
          <w:p w14:paraId="2A8BA3EA" w14:textId="77777777" w:rsidR="00AE2D27" w:rsidRPr="00A80901" w:rsidRDefault="00AE2D27" w:rsidP="000047D0">
            <w:pPr>
              <w:pStyle w:val="Tabletext"/>
              <w:keepNext/>
              <w:spacing w:before="20" w:after="20"/>
            </w:pPr>
            <w:r>
              <w:t>Not applicable</w:t>
            </w:r>
          </w:p>
        </w:tc>
      </w:tr>
      <w:tr w:rsidR="00AE2D27" w:rsidRPr="00183E4D" w14:paraId="3E907354" w14:textId="77777777" w:rsidTr="00F3276D">
        <w:trPr>
          <w:trHeight w:val="20"/>
        </w:trPr>
        <w:tc>
          <w:tcPr>
            <w:tcW w:w="2835" w:type="dxa"/>
            <w:hideMark/>
          </w:tcPr>
          <w:p w14:paraId="34A74F5E" w14:textId="77777777" w:rsidR="00AE2D27" w:rsidRPr="00183E4D" w:rsidRDefault="00AE2D27" w:rsidP="000047D0">
            <w:pPr>
              <w:pStyle w:val="Tabletext"/>
              <w:keepNext/>
              <w:spacing w:before="20" w:after="20"/>
              <w:rPr>
                <w:b/>
              </w:rPr>
            </w:pPr>
            <w:r>
              <w:rPr>
                <w:b/>
              </w:rPr>
              <w:t>Cycle length</w:t>
            </w:r>
          </w:p>
        </w:tc>
        <w:tc>
          <w:tcPr>
            <w:tcW w:w="6219" w:type="dxa"/>
          </w:tcPr>
          <w:p w14:paraId="119C91C2" w14:textId="77777777" w:rsidR="00AE2D27" w:rsidRPr="00A80901" w:rsidRDefault="00AE2D27" w:rsidP="000047D0">
            <w:pPr>
              <w:pStyle w:val="Tabletext"/>
              <w:keepNext/>
              <w:spacing w:before="20" w:after="20"/>
            </w:pPr>
            <w:r>
              <w:t>Not applicable</w:t>
            </w:r>
          </w:p>
        </w:tc>
      </w:tr>
      <w:tr w:rsidR="00AE2D27" w:rsidRPr="00183E4D" w14:paraId="2867AB62" w14:textId="77777777" w:rsidTr="00F3276D">
        <w:trPr>
          <w:trHeight w:val="20"/>
        </w:trPr>
        <w:tc>
          <w:tcPr>
            <w:tcW w:w="2835" w:type="dxa"/>
            <w:hideMark/>
          </w:tcPr>
          <w:p w14:paraId="46A52BAA" w14:textId="77777777" w:rsidR="00AE2D27" w:rsidRPr="00183E4D" w:rsidRDefault="00AE2D27" w:rsidP="000047D0">
            <w:pPr>
              <w:pStyle w:val="Tabletext"/>
              <w:keepNext/>
              <w:spacing w:before="20" w:after="20"/>
              <w:rPr>
                <w:b/>
              </w:rPr>
            </w:pPr>
            <w:r w:rsidRPr="00183E4D">
              <w:rPr>
                <w:b/>
              </w:rPr>
              <w:t>Discount rate</w:t>
            </w:r>
          </w:p>
        </w:tc>
        <w:tc>
          <w:tcPr>
            <w:tcW w:w="6219" w:type="dxa"/>
          </w:tcPr>
          <w:p w14:paraId="498903E8" w14:textId="77777777" w:rsidR="00AE2D27" w:rsidRPr="00183E4D" w:rsidRDefault="00AE2D27" w:rsidP="000047D0">
            <w:pPr>
              <w:pStyle w:val="Tabletext"/>
              <w:keepNext/>
              <w:spacing w:before="20" w:after="20"/>
            </w:pPr>
            <w:r>
              <w:t>Not applicable</w:t>
            </w:r>
          </w:p>
        </w:tc>
      </w:tr>
      <w:tr w:rsidR="00AE2D27" w:rsidRPr="00183E4D" w14:paraId="358042D9" w14:textId="77777777" w:rsidTr="00F3276D">
        <w:trPr>
          <w:trHeight w:val="20"/>
        </w:trPr>
        <w:tc>
          <w:tcPr>
            <w:tcW w:w="2835" w:type="dxa"/>
            <w:hideMark/>
          </w:tcPr>
          <w:p w14:paraId="2C2688BF" w14:textId="77777777" w:rsidR="00AE2D27" w:rsidRPr="00183E4D" w:rsidRDefault="00AE2D27" w:rsidP="000047D0">
            <w:pPr>
              <w:pStyle w:val="Tabletext"/>
              <w:keepNext/>
              <w:spacing w:before="20" w:after="20"/>
              <w:rPr>
                <w:b/>
              </w:rPr>
            </w:pPr>
            <w:r w:rsidRPr="00183E4D">
              <w:rPr>
                <w:b/>
              </w:rPr>
              <w:t>Software packages used</w:t>
            </w:r>
          </w:p>
        </w:tc>
        <w:tc>
          <w:tcPr>
            <w:tcW w:w="6219" w:type="dxa"/>
          </w:tcPr>
          <w:p w14:paraId="5D58DF6D" w14:textId="77777777" w:rsidR="00AE2D27" w:rsidRPr="00183E4D" w:rsidRDefault="00AE2D27" w:rsidP="000047D0">
            <w:pPr>
              <w:pStyle w:val="Tabletext"/>
              <w:keepNext/>
              <w:spacing w:before="20" w:after="20"/>
            </w:pPr>
            <w:r>
              <w:t>Not applicable (simple arithmetical calculation)</w:t>
            </w:r>
          </w:p>
        </w:tc>
      </w:tr>
    </w:tbl>
    <w:p w14:paraId="1491480A" w14:textId="77777777" w:rsidR="00AE2D27" w:rsidRPr="00D04A45" w:rsidRDefault="00AE2D27" w:rsidP="00AE2D27">
      <w:pPr>
        <w:jc w:val="both"/>
        <w:rPr>
          <w:rFonts w:ascii="Arial Narrow" w:hAnsi="Arial Narrow"/>
          <w:sz w:val="16"/>
          <w:szCs w:val="16"/>
        </w:rPr>
      </w:pPr>
      <w:r w:rsidRPr="00D04A45">
        <w:rPr>
          <w:rFonts w:ascii="Arial Narrow" w:hAnsi="Arial Narrow"/>
          <w:sz w:val="16"/>
          <w:szCs w:val="16"/>
        </w:rPr>
        <w:t>Abbreviations: ROM=range of motion; TAM=total active movement</w:t>
      </w:r>
    </w:p>
    <w:p w14:paraId="2DAE5432" w14:textId="3471DA41" w:rsidR="00AE2D27" w:rsidRPr="00D04A45" w:rsidRDefault="00AE2D27" w:rsidP="000047D0">
      <w:pPr>
        <w:jc w:val="both"/>
        <w:rPr>
          <w:rFonts w:ascii="Arial Narrow" w:hAnsi="Arial Narrow"/>
          <w:sz w:val="16"/>
          <w:szCs w:val="16"/>
        </w:rPr>
      </w:pPr>
      <w:r w:rsidRPr="00D04A45">
        <w:rPr>
          <w:rFonts w:ascii="Arial Narrow" w:hAnsi="Arial Narrow"/>
          <w:sz w:val="16"/>
          <w:szCs w:val="16"/>
        </w:rPr>
        <w:t>Sour</w:t>
      </w:r>
      <w:r w:rsidR="000047D0" w:rsidRPr="00D04A45">
        <w:rPr>
          <w:rFonts w:ascii="Arial Narrow" w:hAnsi="Arial Narrow"/>
          <w:sz w:val="16"/>
          <w:szCs w:val="16"/>
        </w:rPr>
        <w:t>ce: Table 40, p135 of the DCAR.</w:t>
      </w:r>
    </w:p>
    <w:p w14:paraId="13E0C9F3" w14:textId="4EFB5AD3" w:rsidR="00AE2D27" w:rsidRPr="00F3276D" w:rsidRDefault="000047D0" w:rsidP="00F3276D">
      <w:pPr>
        <w:spacing w:before="240"/>
        <w:rPr>
          <w:rFonts w:ascii="Arial Narrow" w:hAnsi="Arial Narrow"/>
          <w:b/>
          <w:sz w:val="20"/>
        </w:rPr>
      </w:pPr>
      <w:bookmarkStart w:id="36" w:name="_Ref50014281"/>
      <w:bookmarkStart w:id="37" w:name="_Toc39593695"/>
      <w:r w:rsidRPr="00F3276D">
        <w:rPr>
          <w:rFonts w:ascii="Arial Narrow" w:hAnsi="Arial Narrow"/>
          <w:b/>
          <w:sz w:val="20"/>
        </w:rPr>
        <w:lastRenderedPageBreak/>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12</w:t>
      </w:r>
      <w:r w:rsidR="00F3276D" w:rsidRPr="00F3276D">
        <w:rPr>
          <w:rFonts w:ascii="Arial Narrow" w:hAnsi="Arial Narrow"/>
          <w:b/>
          <w:sz w:val="20"/>
        </w:rPr>
        <w:fldChar w:fldCharType="end"/>
      </w:r>
      <w:bookmarkEnd w:id="36"/>
      <w:r w:rsidR="00AE2D27" w:rsidRPr="00F3276D">
        <w:rPr>
          <w:rFonts w:ascii="Arial Narrow" w:hAnsi="Arial Narrow"/>
          <w:b/>
          <w:sz w:val="20"/>
        </w:rPr>
        <w:t xml:space="preserve">  Results of the base case CEA (conservative estimate of proportion of responders) – Population 2</w:t>
      </w:r>
      <w:bookmarkEnd w:id="37"/>
    </w:p>
    <w:tbl>
      <w:tblPr>
        <w:tblStyle w:val="TableGrid2"/>
        <w:tblW w:w="0" w:type="auto"/>
        <w:tblInd w:w="28" w:type="dxa"/>
        <w:tblLayout w:type="fixed"/>
        <w:tblCellMar>
          <w:left w:w="28" w:type="dxa"/>
          <w:right w:w="28" w:type="dxa"/>
        </w:tblCellMar>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065"/>
        <w:gridCol w:w="1325"/>
        <w:gridCol w:w="1325"/>
        <w:gridCol w:w="1325"/>
        <w:gridCol w:w="1326"/>
        <w:gridCol w:w="1645"/>
      </w:tblGrid>
      <w:tr w:rsidR="00AE2D27" w:rsidRPr="008F1FC0" w14:paraId="53FAA3C7" w14:textId="77777777" w:rsidTr="00AE2D27">
        <w:trPr>
          <w:cnfStyle w:val="100000000000" w:firstRow="1" w:lastRow="0" w:firstColumn="0" w:lastColumn="0" w:oddVBand="0" w:evenVBand="0" w:oddHBand="0" w:evenHBand="0" w:firstRowFirstColumn="0" w:firstRowLastColumn="0" w:lastRowFirstColumn="0" w:lastRowLastColumn="0"/>
          <w:tblHeader/>
        </w:trPr>
        <w:tc>
          <w:tcPr>
            <w:tcW w:w="2065" w:type="dxa"/>
            <w:tcBorders>
              <w:bottom w:val="single" w:sz="4" w:space="0" w:color="auto"/>
            </w:tcBorders>
          </w:tcPr>
          <w:p w14:paraId="31B02334" w14:textId="77777777" w:rsidR="00AE2D27" w:rsidRPr="008F1FC0" w:rsidRDefault="00AE2D27" w:rsidP="00AE2D27">
            <w:pPr>
              <w:keepNext/>
              <w:jc w:val="both"/>
              <w:rPr>
                <w:rFonts w:ascii="Arial Narrow" w:hAnsi="Arial Narrow"/>
                <w:b/>
                <w:sz w:val="20"/>
              </w:rPr>
            </w:pPr>
          </w:p>
        </w:tc>
        <w:tc>
          <w:tcPr>
            <w:tcW w:w="1325" w:type="dxa"/>
            <w:tcBorders>
              <w:bottom w:val="single" w:sz="4" w:space="0" w:color="auto"/>
            </w:tcBorders>
            <w:vAlign w:val="center"/>
          </w:tcPr>
          <w:p w14:paraId="4D435702" w14:textId="77777777" w:rsidR="00AE2D27" w:rsidRPr="008F1FC0" w:rsidRDefault="00AE2D27" w:rsidP="00AE2D27">
            <w:pPr>
              <w:keepNext/>
              <w:jc w:val="center"/>
              <w:rPr>
                <w:rFonts w:ascii="Arial Narrow" w:hAnsi="Arial Narrow"/>
                <w:b/>
                <w:sz w:val="20"/>
              </w:rPr>
            </w:pPr>
            <w:r w:rsidRPr="008F1FC0">
              <w:rPr>
                <w:rFonts w:ascii="Arial Narrow" w:hAnsi="Arial Narrow"/>
                <w:b/>
                <w:sz w:val="20"/>
              </w:rPr>
              <w:t>Cost</w:t>
            </w:r>
          </w:p>
        </w:tc>
        <w:tc>
          <w:tcPr>
            <w:tcW w:w="1325" w:type="dxa"/>
            <w:tcBorders>
              <w:bottom w:val="single" w:sz="4" w:space="0" w:color="auto"/>
            </w:tcBorders>
            <w:vAlign w:val="center"/>
          </w:tcPr>
          <w:p w14:paraId="2B6DCEC1" w14:textId="77777777" w:rsidR="00AE2D27" w:rsidRPr="008F1FC0" w:rsidRDefault="00AE2D27" w:rsidP="00AE2D27">
            <w:pPr>
              <w:keepNext/>
              <w:jc w:val="center"/>
              <w:rPr>
                <w:rFonts w:ascii="Arial Narrow" w:hAnsi="Arial Narrow"/>
                <w:b/>
                <w:sz w:val="20"/>
              </w:rPr>
            </w:pPr>
            <w:r w:rsidRPr="008F1FC0">
              <w:rPr>
                <w:rFonts w:ascii="Arial Narrow" w:hAnsi="Arial Narrow"/>
                <w:b/>
                <w:sz w:val="20"/>
              </w:rPr>
              <w:t>Incremental cost</w:t>
            </w:r>
          </w:p>
        </w:tc>
        <w:tc>
          <w:tcPr>
            <w:tcW w:w="1325" w:type="dxa"/>
            <w:tcBorders>
              <w:bottom w:val="single" w:sz="4" w:space="0" w:color="auto"/>
            </w:tcBorders>
            <w:vAlign w:val="center"/>
          </w:tcPr>
          <w:p w14:paraId="2EA19296" w14:textId="77777777" w:rsidR="00AE2D27" w:rsidRPr="008F1FC0" w:rsidRDefault="00AE2D27" w:rsidP="00AE2D27">
            <w:pPr>
              <w:keepNext/>
              <w:jc w:val="center"/>
              <w:rPr>
                <w:rFonts w:ascii="Arial Narrow" w:hAnsi="Arial Narrow"/>
                <w:b/>
                <w:sz w:val="20"/>
              </w:rPr>
            </w:pPr>
            <w:r w:rsidRPr="008F1FC0">
              <w:rPr>
                <w:rFonts w:ascii="Arial Narrow" w:hAnsi="Arial Narrow"/>
                <w:b/>
                <w:sz w:val="20"/>
              </w:rPr>
              <w:t>Effectiveness</w:t>
            </w:r>
          </w:p>
          <w:p w14:paraId="0781617B" w14:textId="77777777" w:rsidR="00AE2D27" w:rsidRPr="008F1FC0" w:rsidRDefault="00AE2D27" w:rsidP="00AE2D27">
            <w:pPr>
              <w:keepNext/>
              <w:jc w:val="center"/>
              <w:rPr>
                <w:rFonts w:ascii="Arial Narrow" w:hAnsi="Arial Narrow"/>
                <w:b/>
                <w:sz w:val="20"/>
              </w:rPr>
            </w:pPr>
            <w:r w:rsidRPr="008F1FC0">
              <w:rPr>
                <w:rFonts w:ascii="Arial Narrow" w:hAnsi="Arial Narrow"/>
                <w:b/>
                <w:sz w:val="20"/>
              </w:rPr>
              <w:t>(response)</w:t>
            </w:r>
          </w:p>
        </w:tc>
        <w:tc>
          <w:tcPr>
            <w:tcW w:w="1326" w:type="dxa"/>
            <w:tcBorders>
              <w:bottom w:val="single" w:sz="4" w:space="0" w:color="auto"/>
            </w:tcBorders>
            <w:vAlign w:val="center"/>
          </w:tcPr>
          <w:p w14:paraId="09856F1F" w14:textId="77777777" w:rsidR="00AE2D27" w:rsidRPr="008F1FC0" w:rsidRDefault="00AE2D27" w:rsidP="00AE2D27">
            <w:pPr>
              <w:keepNext/>
              <w:jc w:val="center"/>
              <w:rPr>
                <w:rFonts w:ascii="Arial Narrow" w:hAnsi="Arial Narrow"/>
                <w:b/>
                <w:sz w:val="20"/>
              </w:rPr>
            </w:pPr>
            <w:r w:rsidRPr="008F1FC0">
              <w:rPr>
                <w:rFonts w:ascii="Arial Narrow" w:hAnsi="Arial Narrow"/>
                <w:b/>
                <w:sz w:val="20"/>
              </w:rPr>
              <w:t>Incremental effectiveness</w:t>
            </w:r>
          </w:p>
        </w:tc>
        <w:tc>
          <w:tcPr>
            <w:tcW w:w="1645" w:type="dxa"/>
            <w:tcBorders>
              <w:bottom w:val="single" w:sz="4" w:space="0" w:color="auto"/>
            </w:tcBorders>
            <w:vAlign w:val="center"/>
          </w:tcPr>
          <w:p w14:paraId="5F04BE05" w14:textId="77777777" w:rsidR="00AE2D27" w:rsidRPr="008F1FC0" w:rsidRDefault="00AE2D27" w:rsidP="00AE2D27">
            <w:pPr>
              <w:keepNext/>
              <w:jc w:val="center"/>
              <w:rPr>
                <w:rFonts w:ascii="Arial Narrow" w:hAnsi="Arial Narrow"/>
                <w:b/>
                <w:sz w:val="20"/>
              </w:rPr>
            </w:pPr>
            <w:r w:rsidRPr="008F1FC0">
              <w:rPr>
                <w:rFonts w:ascii="Arial Narrow" w:hAnsi="Arial Narrow"/>
                <w:b/>
                <w:sz w:val="20"/>
              </w:rPr>
              <w:t>ICER incremental cost per responder</w:t>
            </w:r>
          </w:p>
        </w:tc>
      </w:tr>
      <w:tr w:rsidR="00AE2D27" w:rsidRPr="008F1FC0" w14:paraId="4DB1F89C" w14:textId="77777777" w:rsidTr="00AE2D27">
        <w:tc>
          <w:tcPr>
            <w:tcW w:w="2065" w:type="dxa"/>
          </w:tcPr>
          <w:p w14:paraId="5169DA97" w14:textId="77777777" w:rsidR="00AE2D27" w:rsidRPr="008F1FC0" w:rsidRDefault="00AE2D27" w:rsidP="00AE2D27">
            <w:pPr>
              <w:jc w:val="both"/>
              <w:rPr>
                <w:sz w:val="20"/>
              </w:rPr>
            </w:pPr>
            <w:r w:rsidRPr="008F1FC0">
              <w:rPr>
                <w:sz w:val="20"/>
              </w:rPr>
              <w:t>AFG (single procedure)</w:t>
            </w:r>
          </w:p>
        </w:tc>
        <w:tc>
          <w:tcPr>
            <w:tcW w:w="1325" w:type="dxa"/>
            <w:vAlign w:val="center"/>
          </w:tcPr>
          <w:p w14:paraId="64F3AFC4" w14:textId="77777777" w:rsidR="00AE2D27" w:rsidRPr="008F1FC0" w:rsidRDefault="00AE2D27" w:rsidP="00AE2D27">
            <w:pPr>
              <w:jc w:val="center"/>
              <w:rPr>
                <w:sz w:val="20"/>
              </w:rPr>
            </w:pPr>
            <w:r w:rsidRPr="008F1FC0">
              <w:rPr>
                <w:sz w:val="20"/>
              </w:rPr>
              <w:t>$1,104.64</w:t>
            </w:r>
          </w:p>
        </w:tc>
        <w:tc>
          <w:tcPr>
            <w:tcW w:w="1325" w:type="dxa"/>
            <w:tcBorders>
              <w:bottom w:val="nil"/>
            </w:tcBorders>
            <w:vAlign w:val="center"/>
          </w:tcPr>
          <w:p w14:paraId="73AAD508" w14:textId="77777777" w:rsidR="00AE2D27" w:rsidRPr="008F1FC0" w:rsidRDefault="00AE2D27" w:rsidP="00AE2D27">
            <w:pPr>
              <w:jc w:val="center"/>
              <w:rPr>
                <w:sz w:val="20"/>
              </w:rPr>
            </w:pPr>
            <w:r w:rsidRPr="008F1FC0">
              <w:rPr>
                <w:sz w:val="20"/>
              </w:rPr>
              <w:t>$1,104.64</w:t>
            </w:r>
          </w:p>
        </w:tc>
        <w:tc>
          <w:tcPr>
            <w:tcW w:w="1325" w:type="dxa"/>
            <w:vAlign w:val="center"/>
          </w:tcPr>
          <w:p w14:paraId="7BBB8425" w14:textId="77777777" w:rsidR="00AE2D27" w:rsidRPr="008F1FC0" w:rsidRDefault="00AE2D27" w:rsidP="00AE2D27">
            <w:pPr>
              <w:jc w:val="center"/>
              <w:rPr>
                <w:sz w:val="20"/>
              </w:rPr>
            </w:pPr>
            <w:r w:rsidRPr="008F1FC0">
              <w:rPr>
                <w:sz w:val="20"/>
              </w:rPr>
              <w:t>0.31</w:t>
            </w:r>
          </w:p>
        </w:tc>
        <w:tc>
          <w:tcPr>
            <w:tcW w:w="1326" w:type="dxa"/>
            <w:tcBorders>
              <w:bottom w:val="nil"/>
            </w:tcBorders>
            <w:vAlign w:val="center"/>
          </w:tcPr>
          <w:p w14:paraId="63C9838A" w14:textId="77777777" w:rsidR="00AE2D27" w:rsidRPr="008F1FC0" w:rsidRDefault="00AE2D27" w:rsidP="00AE2D27">
            <w:pPr>
              <w:jc w:val="center"/>
              <w:rPr>
                <w:sz w:val="20"/>
              </w:rPr>
            </w:pPr>
            <w:r w:rsidRPr="008F1FC0">
              <w:rPr>
                <w:sz w:val="20"/>
              </w:rPr>
              <w:t>0.31</w:t>
            </w:r>
          </w:p>
        </w:tc>
        <w:tc>
          <w:tcPr>
            <w:tcW w:w="1645" w:type="dxa"/>
            <w:tcBorders>
              <w:bottom w:val="nil"/>
            </w:tcBorders>
            <w:vAlign w:val="center"/>
          </w:tcPr>
          <w:p w14:paraId="44C827F7" w14:textId="77777777" w:rsidR="00AE2D27" w:rsidRPr="008F1FC0" w:rsidRDefault="00AE2D27" w:rsidP="00AE2D27">
            <w:pPr>
              <w:jc w:val="center"/>
              <w:rPr>
                <w:sz w:val="20"/>
              </w:rPr>
            </w:pPr>
            <w:r w:rsidRPr="008F1FC0">
              <w:rPr>
                <w:sz w:val="20"/>
              </w:rPr>
              <w:t>$3,563.36</w:t>
            </w:r>
          </w:p>
        </w:tc>
      </w:tr>
      <w:tr w:rsidR="00AE2D27" w:rsidRPr="008F1FC0" w14:paraId="61250EC2" w14:textId="77777777" w:rsidTr="00AE2D27">
        <w:tc>
          <w:tcPr>
            <w:tcW w:w="2065" w:type="dxa"/>
            <w:tcBorders>
              <w:bottom w:val="single" w:sz="4" w:space="0" w:color="auto"/>
            </w:tcBorders>
          </w:tcPr>
          <w:p w14:paraId="3F9B5642" w14:textId="77777777" w:rsidR="00AE2D27" w:rsidRPr="008F1FC0" w:rsidRDefault="00AE2D27" w:rsidP="00AE2D27">
            <w:pPr>
              <w:jc w:val="both"/>
              <w:rPr>
                <w:sz w:val="20"/>
              </w:rPr>
            </w:pPr>
            <w:r w:rsidRPr="008F1FC0">
              <w:rPr>
                <w:sz w:val="20"/>
              </w:rPr>
              <w:t>No treatment</w:t>
            </w:r>
          </w:p>
        </w:tc>
        <w:tc>
          <w:tcPr>
            <w:tcW w:w="1325" w:type="dxa"/>
            <w:tcBorders>
              <w:bottom w:val="single" w:sz="4" w:space="0" w:color="auto"/>
            </w:tcBorders>
            <w:vAlign w:val="center"/>
          </w:tcPr>
          <w:p w14:paraId="4548F6CC" w14:textId="77777777" w:rsidR="00AE2D27" w:rsidRPr="008F1FC0" w:rsidRDefault="00AE2D27" w:rsidP="00AE2D27">
            <w:pPr>
              <w:jc w:val="center"/>
              <w:rPr>
                <w:sz w:val="20"/>
              </w:rPr>
            </w:pPr>
            <w:r w:rsidRPr="008F1FC0">
              <w:rPr>
                <w:sz w:val="20"/>
              </w:rPr>
              <w:t>$0</w:t>
            </w:r>
          </w:p>
        </w:tc>
        <w:tc>
          <w:tcPr>
            <w:tcW w:w="1325" w:type="dxa"/>
            <w:tcBorders>
              <w:top w:val="nil"/>
              <w:bottom w:val="single" w:sz="4" w:space="0" w:color="auto"/>
            </w:tcBorders>
            <w:vAlign w:val="center"/>
          </w:tcPr>
          <w:p w14:paraId="1B30BB44" w14:textId="77777777" w:rsidR="00AE2D27" w:rsidRPr="008F1FC0" w:rsidRDefault="00AE2D27" w:rsidP="00AE2D27">
            <w:pPr>
              <w:jc w:val="center"/>
              <w:rPr>
                <w:sz w:val="20"/>
              </w:rPr>
            </w:pPr>
          </w:p>
        </w:tc>
        <w:tc>
          <w:tcPr>
            <w:tcW w:w="1325" w:type="dxa"/>
            <w:tcBorders>
              <w:bottom w:val="single" w:sz="4" w:space="0" w:color="auto"/>
            </w:tcBorders>
            <w:vAlign w:val="center"/>
          </w:tcPr>
          <w:p w14:paraId="378CDA4C" w14:textId="77777777" w:rsidR="00AE2D27" w:rsidRPr="008F1FC0" w:rsidRDefault="00AE2D27" w:rsidP="00AE2D27">
            <w:pPr>
              <w:jc w:val="center"/>
              <w:rPr>
                <w:sz w:val="20"/>
              </w:rPr>
            </w:pPr>
            <w:r w:rsidRPr="008F1FC0">
              <w:rPr>
                <w:sz w:val="20"/>
              </w:rPr>
              <w:t>0</w:t>
            </w:r>
          </w:p>
        </w:tc>
        <w:tc>
          <w:tcPr>
            <w:tcW w:w="1326" w:type="dxa"/>
            <w:tcBorders>
              <w:top w:val="nil"/>
              <w:bottom w:val="single" w:sz="4" w:space="0" w:color="auto"/>
            </w:tcBorders>
          </w:tcPr>
          <w:p w14:paraId="319F7119" w14:textId="77777777" w:rsidR="00AE2D27" w:rsidRPr="008F1FC0" w:rsidRDefault="00AE2D27" w:rsidP="00AE2D27">
            <w:pPr>
              <w:jc w:val="both"/>
              <w:rPr>
                <w:sz w:val="20"/>
              </w:rPr>
            </w:pPr>
          </w:p>
        </w:tc>
        <w:tc>
          <w:tcPr>
            <w:tcW w:w="1645" w:type="dxa"/>
            <w:tcBorders>
              <w:top w:val="nil"/>
              <w:bottom w:val="single" w:sz="4" w:space="0" w:color="auto"/>
            </w:tcBorders>
          </w:tcPr>
          <w:p w14:paraId="4CC29D9B" w14:textId="77777777" w:rsidR="00AE2D27" w:rsidRPr="008F1FC0" w:rsidRDefault="00AE2D27" w:rsidP="00AE2D27">
            <w:pPr>
              <w:jc w:val="both"/>
              <w:rPr>
                <w:sz w:val="20"/>
              </w:rPr>
            </w:pPr>
          </w:p>
        </w:tc>
      </w:tr>
    </w:tbl>
    <w:p w14:paraId="65B4254E" w14:textId="77777777" w:rsidR="00AE2D27" w:rsidRDefault="00AE2D27" w:rsidP="00AE2D27">
      <w:pPr>
        <w:jc w:val="both"/>
        <w:rPr>
          <w:rFonts w:ascii="Arial Narrow" w:hAnsi="Arial Narrow"/>
          <w:sz w:val="18"/>
        </w:rPr>
      </w:pPr>
      <w:r w:rsidRPr="00822A07">
        <w:rPr>
          <w:rFonts w:ascii="Arial Narrow" w:hAnsi="Arial Narrow"/>
          <w:sz w:val="18"/>
        </w:rPr>
        <w:t>ICER = Incremental Cost Effectiveness Ratio</w:t>
      </w:r>
    </w:p>
    <w:p w14:paraId="0FC2566A" w14:textId="69636C22" w:rsidR="00AE2D27" w:rsidRPr="000047D0" w:rsidRDefault="00AE2D27" w:rsidP="00AE2D27">
      <w:pPr>
        <w:jc w:val="both"/>
        <w:rPr>
          <w:rFonts w:ascii="Arial Narrow" w:hAnsi="Arial Narrow"/>
          <w:sz w:val="18"/>
        </w:rPr>
      </w:pPr>
      <w:r>
        <w:rPr>
          <w:rFonts w:ascii="Arial Narrow" w:hAnsi="Arial Narrow"/>
          <w:sz w:val="18"/>
        </w:rPr>
        <w:t>Source: Table 44, p142 of the DCAR.</w:t>
      </w:r>
    </w:p>
    <w:p w14:paraId="3741AB26" w14:textId="1FE6F670" w:rsidR="00AE2D27" w:rsidRPr="000047D0" w:rsidRDefault="00AE2D27" w:rsidP="000047D0">
      <w:pPr>
        <w:spacing w:before="240"/>
      </w:pPr>
      <w:r w:rsidRPr="00183E4D">
        <w:t xml:space="preserve">The </w:t>
      </w:r>
      <w:r>
        <w:t xml:space="preserve">DCAR considered that the results were most sensitive to the assumed ‘responder rate’, noting when the response rate was assumed to be 57%, the ICER decreased to </w:t>
      </w:r>
      <w:r w:rsidRPr="00024A71">
        <w:t>$1,938.00</w:t>
      </w:r>
      <w:r>
        <w:t xml:space="preserve">. The DCAR did not conduct </w:t>
      </w:r>
      <w:r w:rsidRPr="00CC2A1C">
        <w:t xml:space="preserve">sensitivity analysis as it </w:t>
      </w:r>
      <w:proofErr w:type="gramStart"/>
      <w:r w:rsidRPr="00CC2A1C">
        <w:t>was considered</w:t>
      </w:r>
      <w:proofErr w:type="gramEnd"/>
      <w:r w:rsidRPr="00CC2A1C">
        <w:t xml:space="preserve"> misleading given the fundamental underlying uncertainty associated with the estimate of proportion of responders to AFG treatment. </w:t>
      </w:r>
      <w:r>
        <w:t>Based on the possible interpretations of the response rate it</w:t>
      </w:r>
      <w:r w:rsidRPr="00CC2A1C">
        <w:t xml:space="preserve"> can be argued that the </w:t>
      </w:r>
      <w:r>
        <w:t>likely</w:t>
      </w:r>
      <w:r w:rsidRPr="00CC2A1C">
        <w:t xml:space="preserve"> cost-effectiveness is somewhere in between the two ICER estimates of $1,938.00</w:t>
      </w:r>
      <w:r>
        <w:t xml:space="preserve"> </w:t>
      </w:r>
      <w:r w:rsidRPr="00CC2A1C">
        <w:t>and $3,563.36</w:t>
      </w:r>
      <w:r>
        <w:t xml:space="preserve"> per responder</w:t>
      </w:r>
      <w:r w:rsidRPr="00CC2A1C">
        <w:t>.</w:t>
      </w:r>
    </w:p>
    <w:p w14:paraId="23389A4A" w14:textId="0EEEC4B0" w:rsidR="00AE2D27" w:rsidRDefault="00AE2D27" w:rsidP="000047D0">
      <w:pPr>
        <w:pStyle w:val="Heading3"/>
        <w:spacing w:before="240"/>
      </w:pPr>
      <w:r>
        <w:t>CUA-Scenario analyses</w:t>
      </w:r>
    </w:p>
    <w:p w14:paraId="4D83D024" w14:textId="732E0726" w:rsidR="00AE2D27" w:rsidRPr="00F3276D" w:rsidRDefault="000047D0" w:rsidP="00F3276D">
      <w:pPr>
        <w:spacing w:before="240"/>
        <w:rPr>
          <w:rFonts w:ascii="Arial Narrow" w:hAnsi="Arial Narrow"/>
          <w:b/>
          <w:sz w:val="20"/>
        </w:rPr>
      </w:pPr>
      <w:bookmarkStart w:id="38" w:name="_Ref50014335"/>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13</w:t>
      </w:r>
      <w:r w:rsidR="00F3276D" w:rsidRPr="00F3276D">
        <w:rPr>
          <w:rFonts w:ascii="Arial Narrow" w:hAnsi="Arial Narrow"/>
          <w:b/>
          <w:sz w:val="20"/>
        </w:rPr>
        <w:fldChar w:fldCharType="end"/>
      </w:r>
      <w:bookmarkEnd w:id="38"/>
      <w:r w:rsidR="00AE2D27" w:rsidRPr="00F3276D">
        <w:rPr>
          <w:rFonts w:ascii="Arial Narrow" w:hAnsi="Arial Narrow"/>
          <w:b/>
          <w:sz w:val="20"/>
        </w:rPr>
        <w:t xml:space="preserve">  Summary of the scenario analyses (Population 2)</w:t>
      </w:r>
    </w:p>
    <w:tbl>
      <w:tblPr>
        <w:tblStyle w:val="TableGrid1"/>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2825"/>
        <w:gridCol w:w="6191"/>
      </w:tblGrid>
      <w:tr w:rsidR="00AE2D27" w:rsidRPr="00183E4D" w14:paraId="3B6E7EEE" w14:textId="77777777" w:rsidTr="00F3276D">
        <w:trPr>
          <w:cnfStyle w:val="100000000000" w:firstRow="1" w:lastRow="0" w:firstColumn="0" w:lastColumn="0" w:oddVBand="0" w:evenVBand="0" w:oddHBand="0" w:evenHBand="0" w:firstRowFirstColumn="0" w:firstRowLastColumn="0" w:lastRowFirstColumn="0" w:lastRowLastColumn="0"/>
          <w:trHeight w:val="20"/>
          <w:tblHeader/>
        </w:trPr>
        <w:tc>
          <w:tcPr>
            <w:tcW w:w="2835" w:type="dxa"/>
          </w:tcPr>
          <w:p w14:paraId="54D4C4F3" w14:textId="77777777" w:rsidR="00AE2D27" w:rsidRPr="00183E4D" w:rsidRDefault="00AE2D27" w:rsidP="00AE2D27">
            <w:pPr>
              <w:pStyle w:val="Tabletext"/>
              <w:widowControl w:val="0"/>
              <w:rPr>
                <w:b/>
              </w:rPr>
            </w:pPr>
            <w:r w:rsidRPr="00183E4D">
              <w:rPr>
                <w:b/>
              </w:rPr>
              <w:t>Perspective</w:t>
            </w:r>
          </w:p>
        </w:tc>
        <w:tc>
          <w:tcPr>
            <w:tcW w:w="6219" w:type="dxa"/>
          </w:tcPr>
          <w:p w14:paraId="0194903F" w14:textId="77777777" w:rsidR="00AE2D27" w:rsidRPr="00183E4D" w:rsidRDefault="00AE2D27" w:rsidP="00AE2D27">
            <w:pPr>
              <w:pStyle w:val="Tabletext"/>
              <w:widowControl w:val="0"/>
              <w:rPr>
                <w:vanish/>
                <w:color w:val="C00000"/>
              </w:rPr>
            </w:pPr>
            <w:r w:rsidRPr="00D61F4F">
              <w:t>Australian Health Care System</w:t>
            </w:r>
          </w:p>
        </w:tc>
      </w:tr>
      <w:tr w:rsidR="00AE2D27" w:rsidRPr="00183E4D" w14:paraId="61A52238" w14:textId="77777777" w:rsidTr="00F3276D">
        <w:trPr>
          <w:trHeight w:val="20"/>
        </w:trPr>
        <w:tc>
          <w:tcPr>
            <w:tcW w:w="2835" w:type="dxa"/>
          </w:tcPr>
          <w:p w14:paraId="1908333A" w14:textId="77777777" w:rsidR="00AE2D27" w:rsidRPr="00183E4D" w:rsidRDefault="00AE2D27" w:rsidP="00AE2D27">
            <w:pPr>
              <w:pStyle w:val="Tabletext"/>
              <w:widowControl w:val="0"/>
              <w:rPr>
                <w:b/>
              </w:rPr>
            </w:pPr>
            <w:r w:rsidRPr="00183E4D">
              <w:rPr>
                <w:b/>
              </w:rPr>
              <w:t>Comparator</w:t>
            </w:r>
          </w:p>
        </w:tc>
        <w:tc>
          <w:tcPr>
            <w:tcW w:w="6219" w:type="dxa"/>
          </w:tcPr>
          <w:p w14:paraId="6AA1F0F0" w14:textId="77777777" w:rsidR="00AE2D27" w:rsidRPr="00A80901" w:rsidRDefault="00AE2D27" w:rsidP="00AE2D27">
            <w:pPr>
              <w:pStyle w:val="Tabletext"/>
              <w:widowControl w:val="0"/>
            </w:pPr>
            <w:r w:rsidRPr="00A80901">
              <w:t>No</w:t>
            </w:r>
            <w:r>
              <w:t xml:space="preserve"> treatment</w:t>
            </w:r>
          </w:p>
        </w:tc>
      </w:tr>
      <w:tr w:rsidR="00AE2D27" w:rsidRPr="00183E4D" w14:paraId="09078291" w14:textId="77777777" w:rsidTr="00F3276D">
        <w:trPr>
          <w:trHeight w:val="20"/>
        </w:trPr>
        <w:tc>
          <w:tcPr>
            <w:tcW w:w="2835" w:type="dxa"/>
          </w:tcPr>
          <w:p w14:paraId="171EA1ED" w14:textId="77777777" w:rsidR="00AE2D27" w:rsidRPr="00183E4D" w:rsidRDefault="00AE2D27" w:rsidP="00AE2D27">
            <w:pPr>
              <w:pStyle w:val="Tabletext"/>
              <w:widowControl w:val="0"/>
              <w:rPr>
                <w:b/>
              </w:rPr>
            </w:pPr>
            <w:r w:rsidRPr="00183E4D">
              <w:rPr>
                <w:b/>
              </w:rPr>
              <w:t>Type of economic evaluation</w:t>
            </w:r>
            <w:r>
              <w:rPr>
                <w:b/>
              </w:rPr>
              <w:t xml:space="preserve"> </w:t>
            </w:r>
          </w:p>
        </w:tc>
        <w:tc>
          <w:tcPr>
            <w:tcW w:w="6219" w:type="dxa"/>
          </w:tcPr>
          <w:p w14:paraId="0D36C3F0" w14:textId="77777777" w:rsidR="00AE2D27" w:rsidRPr="00A80901" w:rsidRDefault="00AE2D27" w:rsidP="00AE2D27">
            <w:pPr>
              <w:pStyle w:val="Tabletext"/>
              <w:widowControl w:val="0"/>
            </w:pPr>
            <w:r>
              <w:t>Cost-utility analysis</w:t>
            </w:r>
          </w:p>
        </w:tc>
      </w:tr>
      <w:tr w:rsidR="00AE2D27" w:rsidRPr="00183E4D" w14:paraId="5F51565B" w14:textId="77777777" w:rsidTr="00F3276D">
        <w:trPr>
          <w:trHeight w:val="20"/>
        </w:trPr>
        <w:tc>
          <w:tcPr>
            <w:tcW w:w="2835" w:type="dxa"/>
          </w:tcPr>
          <w:p w14:paraId="0028A6E2" w14:textId="77777777" w:rsidR="00AE2D27" w:rsidRPr="00183E4D" w:rsidRDefault="00AE2D27" w:rsidP="00AE2D27">
            <w:pPr>
              <w:pStyle w:val="Tabletext"/>
              <w:widowControl w:val="0"/>
              <w:rPr>
                <w:b/>
              </w:rPr>
            </w:pPr>
            <w:r w:rsidRPr="00183E4D">
              <w:rPr>
                <w:b/>
              </w:rPr>
              <w:t>Sources of evidence</w:t>
            </w:r>
          </w:p>
        </w:tc>
        <w:tc>
          <w:tcPr>
            <w:tcW w:w="6219" w:type="dxa"/>
          </w:tcPr>
          <w:p w14:paraId="3296D40A" w14:textId="77777777" w:rsidR="00AE2D27" w:rsidRPr="00A80901" w:rsidRDefault="00AE2D27" w:rsidP="00AE2D27">
            <w:pPr>
              <w:pStyle w:val="Tabletext"/>
              <w:widowControl w:val="0"/>
            </w:pPr>
            <w:r>
              <w:t>Observational studies (Byrne 2016, Gargano 2018)</w:t>
            </w:r>
          </w:p>
        </w:tc>
      </w:tr>
      <w:tr w:rsidR="00AE2D27" w:rsidRPr="00183E4D" w14:paraId="76033EB4" w14:textId="77777777" w:rsidTr="00F3276D">
        <w:trPr>
          <w:trHeight w:val="20"/>
        </w:trPr>
        <w:tc>
          <w:tcPr>
            <w:tcW w:w="2835" w:type="dxa"/>
            <w:hideMark/>
          </w:tcPr>
          <w:p w14:paraId="4E6AB74D" w14:textId="77777777" w:rsidR="00AE2D27" w:rsidRPr="00183E4D" w:rsidRDefault="00AE2D27" w:rsidP="00AE2D27">
            <w:pPr>
              <w:pStyle w:val="Tabletext"/>
              <w:widowControl w:val="0"/>
              <w:rPr>
                <w:b/>
              </w:rPr>
            </w:pPr>
            <w:r w:rsidRPr="00183E4D">
              <w:rPr>
                <w:b/>
              </w:rPr>
              <w:t>Time horizon</w:t>
            </w:r>
          </w:p>
        </w:tc>
        <w:tc>
          <w:tcPr>
            <w:tcW w:w="6219" w:type="dxa"/>
          </w:tcPr>
          <w:p w14:paraId="6F06E16E" w14:textId="77777777" w:rsidR="00AE2D27" w:rsidRPr="00A80901" w:rsidRDefault="00AE2D27" w:rsidP="00AE2D27">
            <w:pPr>
              <w:pStyle w:val="Tabletext"/>
              <w:widowControl w:val="0"/>
            </w:pPr>
            <w:r>
              <w:t>Lifetime (60 years, starting from the baseline age of 40 years)</w:t>
            </w:r>
          </w:p>
        </w:tc>
      </w:tr>
      <w:tr w:rsidR="00AE2D27" w:rsidRPr="00183E4D" w14:paraId="20DCA243" w14:textId="77777777" w:rsidTr="00F3276D">
        <w:trPr>
          <w:trHeight w:val="20"/>
        </w:trPr>
        <w:tc>
          <w:tcPr>
            <w:tcW w:w="2835" w:type="dxa"/>
            <w:hideMark/>
          </w:tcPr>
          <w:p w14:paraId="7589886E" w14:textId="77777777" w:rsidR="00AE2D27" w:rsidRPr="00183E4D" w:rsidRDefault="00AE2D27" w:rsidP="00AE2D27">
            <w:pPr>
              <w:pStyle w:val="Tabletext"/>
              <w:widowControl w:val="0"/>
              <w:rPr>
                <w:b/>
              </w:rPr>
            </w:pPr>
            <w:r w:rsidRPr="00183E4D">
              <w:rPr>
                <w:b/>
              </w:rPr>
              <w:t>Outcomes</w:t>
            </w:r>
          </w:p>
        </w:tc>
        <w:tc>
          <w:tcPr>
            <w:tcW w:w="6219" w:type="dxa"/>
          </w:tcPr>
          <w:p w14:paraId="3843ECB5" w14:textId="77777777" w:rsidR="00AE2D27" w:rsidRPr="00183E4D" w:rsidRDefault="00AE2D27" w:rsidP="00AE2D27">
            <w:pPr>
              <w:pStyle w:val="Tabletext"/>
              <w:widowControl w:val="0"/>
            </w:pPr>
            <w:r>
              <w:t>QALY</w:t>
            </w:r>
          </w:p>
        </w:tc>
      </w:tr>
      <w:tr w:rsidR="00AE2D27" w:rsidRPr="00183E4D" w14:paraId="61BAB341" w14:textId="77777777" w:rsidTr="00F3276D">
        <w:trPr>
          <w:trHeight w:val="20"/>
        </w:trPr>
        <w:tc>
          <w:tcPr>
            <w:tcW w:w="2835" w:type="dxa"/>
            <w:hideMark/>
          </w:tcPr>
          <w:p w14:paraId="4B49BB42" w14:textId="77777777" w:rsidR="00AE2D27" w:rsidRPr="00183E4D" w:rsidRDefault="00AE2D27" w:rsidP="00AE2D27">
            <w:pPr>
              <w:pStyle w:val="Tabletext"/>
              <w:widowControl w:val="0"/>
              <w:rPr>
                <w:b/>
              </w:rPr>
            </w:pPr>
            <w:r w:rsidRPr="00183E4D">
              <w:rPr>
                <w:b/>
              </w:rPr>
              <w:t>Methods used to generate results</w:t>
            </w:r>
          </w:p>
        </w:tc>
        <w:tc>
          <w:tcPr>
            <w:tcW w:w="6219" w:type="dxa"/>
          </w:tcPr>
          <w:p w14:paraId="66A1A16D" w14:textId="77777777" w:rsidR="00AE2D27" w:rsidRPr="00183E4D" w:rsidRDefault="00AE2D27" w:rsidP="00AE2D27">
            <w:pPr>
              <w:pStyle w:val="Tabletext"/>
              <w:widowControl w:val="0"/>
            </w:pPr>
            <w:r>
              <w:t>Markov chain model</w:t>
            </w:r>
          </w:p>
        </w:tc>
      </w:tr>
      <w:tr w:rsidR="00AE2D27" w:rsidRPr="00183E4D" w14:paraId="21FA9C3E" w14:textId="77777777" w:rsidTr="00F3276D">
        <w:trPr>
          <w:trHeight w:val="20"/>
        </w:trPr>
        <w:tc>
          <w:tcPr>
            <w:tcW w:w="2835" w:type="dxa"/>
          </w:tcPr>
          <w:p w14:paraId="527BAA97" w14:textId="77777777" w:rsidR="00AE2D27" w:rsidRPr="00183E4D" w:rsidRDefault="00AE2D27" w:rsidP="00AE2D27">
            <w:pPr>
              <w:pStyle w:val="Tabletext"/>
              <w:widowControl w:val="0"/>
              <w:rPr>
                <w:b/>
              </w:rPr>
            </w:pPr>
            <w:r>
              <w:rPr>
                <w:b/>
              </w:rPr>
              <w:t>Health states</w:t>
            </w:r>
          </w:p>
        </w:tc>
        <w:tc>
          <w:tcPr>
            <w:tcW w:w="6219" w:type="dxa"/>
          </w:tcPr>
          <w:p w14:paraId="6D4C44DC" w14:textId="77777777" w:rsidR="00AE2D27" w:rsidRPr="00A80901" w:rsidRDefault="00AE2D27" w:rsidP="00AE2D27">
            <w:pPr>
              <w:pStyle w:val="Tabletext"/>
              <w:widowControl w:val="0"/>
            </w:pPr>
            <w:r>
              <w:t>“responder”; “non-responder”; “alive with AE”; “alive without AE”; “alive with scar contracture”; “dead”</w:t>
            </w:r>
          </w:p>
        </w:tc>
      </w:tr>
      <w:tr w:rsidR="00AE2D27" w:rsidRPr="00183E4D" w14:paraId="67FF9721" w14:textId="77777777" w:rsidTr="00F3276D">
        <w:trPr>
          <w:trHeight w:val="20"/>
        </w:trPr>
        <w:tc>
          <w:tcPr>
            <w:tcW w:w="2835" w:type="dxa"/>
            <w:hideMark/>
          </w:tcPr>
          <w:p w14:paraId="2648B4CA" w14:textId="77777777" w:rsidR="00AE2D27" w:rsidRPr="00183E4D" w:rsidRDefault="00AE2D27" w:rsidP="00AE2D27">
            <w:pPr>
              <w:pStyle w:val="Tabletext"/>
              <w:widowControl w:val="0"/>
              <w:rPr>
                <w:b/>
              </w:rPr>
            </w:pPr>
            <w:r>
              <w:rPr>
                <w:b/>
              </w:rPr>
              <w:t>Cycle length</w:t>
            </w:r>
          </w:p>
        </w:tc>
        <w:tc>
          <w:tcPr>
            <w:tcW w:w="6219" w:type="dxa"/>
          </w:tcPr>
          <w:p w14:paraId="4E4C810C" w14:textId="77777777" w:rsidR="00AE2D27" w:rsidRPr="00A80901" w:rsidRDefault="00AE2D27" w:rsidP="00AE2D27">
            <w:pPr>
              <w:pStyle w:val="Tabletext"/>
              <w:widowControl w:val="0"/>
            </w:pPr>
            <w:r>
              <w:t>A year</w:t>
            </w:r>
          </w:p>
        </w:tc>
      </w:tr>
      <w:tr w:rsidR="00AE2D27" w:rsidRPr="00183E4D" w14:paraId="70FEF988" w14:textId="77777777" w:rsidTr="00F3276D">
        <w:trPr>
          <w:trHeight w:val="20"/>
        </w:trPr>
        <w:tc>
          <w:tcPr>
            <w:tcW w:w="2835" w:type="dxa"/>
            <w:hideMark/>
          </w:tcPr>
          <w:p w14:paraId="5355AACC" w14:textId="77777777" w:rsidR="00AE2D27" w:rsidRPr="00183E4D" w:rsidRDefault="00AE2D27" w:rsidP="00AE2D27">
            <w:pPr>
              <w:pStyle w:val="Tabletext"/>
              <w:widowControl w:val="0"/>
              <w:rPr>
                <w:b/>
              </w:rPr>
            </w:pPr>
            <w:r w:rsidRPr="00183E4D">
              <w:rPr>
                <w:b/>
              </w:rPr>
              <w:t>Discount rate</w:t>
            </w:r>
          </w:p>
        </w:tc>
        <w:tc>
          <w:tcPr>
            <w:tcW w:w="6219" w:type="dxa"/>
          </w:tcPr>
          <w:p w14:paraId="18863DD6" w14:textId="77777777" w:rsidR="00AE2D27" w:rsidRPr="00183E4D" w:rsidRDefault="00AE2D27" w:rsidP="00AE2D27">
            <w:pPr>
              <w:pStyle w:val="Tabletext"/>
              <w:widowControl w:val="0"/>
            </w:pPr>
            <w:r>
              <w:t>5%</w:t>
            </w:r>
          </w:p>
        </w:tc>
      </w:tr>
      <w:tr w:rsidR="00AE2D27" w:rsidRPr="00183E4D" w14:paraId="1F71D130" w14:textId="77777777" w:rsidTr="00F3276D">
        <w:trPr>
          <w:trHeight w:val="20"/>
        </w:trPr>
        <w:tc>
          <w:tcPr>
            <w:tcW w:w="2835" w:type="dxa"/>
            <w:hideMark/>
          </w:tcPr>
          <w:p w14:paraId="00B7B87E" w14:textId="77777777" w:rsidR="00AE2D27" w:rsidRPr="00183E4D" w:rsidRDefault="00AE2D27" w:rsidP="00AE2D27">
            <w:pPr>
              <w:pStyle w:val="Tabletext"/>
              <w:widowControl w:val="0"/>
              <w:rPr>
                <w:b/>
              </w:rPr>
            </w:pPr>
            <w:r w:rsidRPr="00183E4D">
              <w:rPr>
                <w:b/>
              </w:rPr>
              <w:t>Software packages used</w:t>
            </w:r>
          </w:p>
        </w:tc>
        <w:tc>
          <w:tcPr>
            <w:tcW w:w="6219" w:type="dxa"/>
          </w:tcPr>
          <w:p w14:paraId="232D6469" w14:textId="77777777" w:rsidR="00AE2D27" w:rsidRPr="00183E4D" w:rsidRDefault="00AE2D27" w:rsidP="00AE2D27">
            <w:pPr>
              <w:pStyle w:val="Tabletext"/>
              <w:widowControl w:val="0"/>
            </w:pPr>
            <w:proofErr w:type="spellStart"/>
            <w:r>
              <w:t>TreeAge</w:t>
            </w:r>
            <w:proofErr w:type="spellEnd"/>
            <w:r>
              <w:t xml:space="preserve"> Pro 2019 R2.1</w:t>
            </w:r>
          </w:p>
        </w:tc>
      </w:tr>
    </w:tbl>
    <w:p w14:paraId="6C72D086" w14:textId="77777777" w:rsidR="00AE2D27" w:rsidRDefault="00AE2D27" w:rsidP="00AE2D27">
      <w:pPr>
        <w:pStyle w:val="Tablenotes1"/>
      </w:pPr>
      <w:r>
        <w:t>Abbreviations: AE = adverse event; QALY = quality adjusted life year</w:t>
      </w:r>
    </w:p>
    <w:p w14:paraId="0BB6A213" w14:textId="77777777" w:rsidR="00AE2D27" w:rsidRPr="00F14483" w:rsidRDefault="00AE2D27" w:rsidP="00AE2D27">
      <w:pPr>
        <w:pStyle w:val="Tablenotes1"/>
      </w:pPr>
      <w:r>
        <w:t>Source: Table 41, p135 of the DCAR.</w:t>
      </w:r>
    </w:p>
    <w:p w14:paraId="2745C95B" w14:textId="322C8CCB" w:rsidR="00AE2D27" w:rsidRDefault="00AE2D27" w:rsidP="000047D0">
      <w:pPr>
        <w:spacing w:after="240"/>
      </w:pPr>
      <w:r>
        <w:t xml:space="preserve">In the </w:t>
      </w:r>
      <w:proofErr w:type="gramStart"/>
      <w:r>
        <w:t>DCARs</w:t>
      </w:r>
      <w:proofErr w:type="gramEnd"/>
      <w:r>
        <w:t xml:space="preserve"> first scenario analysis CUA, assuming a conservative response rate of 31% in the population with scar contracture of hand and arm (Byrne 2016), the incremental cost per QALY gained is estimated at $20,086</w:t>
      </w:r>
      <w:r w:rsidRPr="000C2181">
        <w:t xml:space="preserve">. </w:t>
      </w:r>
      <w:r>
        <w:t>In the second scenario analysis, i</w:t>
      </w:r>
      <w:r w:rsidRPr="000C2181">
        <w:t xml:space="preserve">n the </w:t>
      </w:r>
      <w:r>
        <w:t xml:space="preserve">population with scar contracture of </w:t>
      </w:r>
      <w:r w:rsidRPr="000C2181">
        <w:t>face and neck</w:t>
      </w:r>
      <w:r>
        <w:t xml:space="preserve"> (Gargano 2018) the incremental cost per QALY gained </w:t>
      </w:r>
      <w:proofErr w:type="gramStart"/>
      <w:r>
        <w:t xml:space="preserve">is </w:t>
      </w:r>
      <w:r w:rsidR="008F1FC0">
        <w:t>estimated</w:t>
      </w:r>
      <w:proofErr w:type="gramEnd"/>
      <w:r w:rsidR="008F1FC0">
        <w:t xml:space="preserve"> at $4,111 (</w:t>
      </w:r>
      <w:r w:rsidR="000047D0" w:rsidRPr="008827D2">
        <w:rPr>
          <w:szCs w:val="24"/>
        </w:rPr>
        <w:fldChar w:fldCharType="begin"/>
      </w:r>
      <w:r w:rsidR="000047D0" w:rsidRPr="008827D2">
        <w:rPr>
          <w:szCs w:val="24"/>
        </w:rPr>
        <w:instrText xml:space="preserve"> REF _Ref50014371 \h </w:instrText>
      </w:r>
      <w:r w:rsidR="000047D0" w:rsidRPr="008827D2">
        <w:rPr>
          <w:szCs w:val="24"/>
        </w:rPr>
      </w:r>
      <w:r w:rsidR="008827D2" w:rsidRPr="008827D2">
        <w:rPr>
          <w:szCs w:val="24"/>
        </w:rPr>
        <w:instrText xml:space="preserve"> \* MERGEFORMAT </w:instrText>
      </w:r>
      <w:r w:rsidR="000047D0" w:rsidRPr="008827D2">
        <w:rPr>
          <w:szCs w:val="24"/>
        </w:rPr>
        <w:fldChar w:fldCharType="separate"/>
      </w:r>
      <w:r w:rsidR="00E84BE3" w:rsidRPr="008827D2">
        <w:rPr>
          <w:szCs w:val="24"/>
        </w:rPr>
        <w:t xml:space="preserve">Table </w:t>
      </w:r>
      <w:r w:rsidR="00E84BE3" w:rsidRPr="008827D2">
        <w:rPr>
          <w:noProof/>
          <w:szCs w:val="24"/>
        </w:rPr>
        <w:t>14</w:t>
      </w:r>
      <w:r w:rsidR="000047D0" w:rsidRPr="008827D2">
        <w:rPr>
          <w:szCs w:val="24"/>
        </w:rPr>
        <w:fldChar w:fldCharType="end"/>
      </w:r>
      <w:r w:rsidR="008F1FC0">
        <w:t>).</w:t>
      </w:r>
    </w:p>
    <w:p w14:paraId="3B4A7982" w14:textId="61A5EF5C" w:rsidR="00AE2D27" w:rsidRPr="00F3276D" w:rsidRDefault="000047D0" w:rsidP="00F3276D">
      <w:pPr>
        <w:keepNext/>
        <w:keepLines/>
        <w:rPr>
          <w:rFonts w:ascii="Arial Narrow" w:hAnsi="Arial Narrow"/>
          <w:b/>
          <w:sz w:val="20"/>
        </w:rPr>
      </w:pPr>
      <w:bookmarkStart w:id="39" w:name="_Ref50014371"/>
      <w:bookmarkStart w:id="40" w:name="_Ref25804953"/>
      <w:bookmarkStart w:id="41" w:name="_Toc25863989"/>
      <w:bookmarkStart w:id="42" w:name="_Toc39593697"/>
      <w:r w:rsidRPr="00F3276D">
        <w:rPr>
          <w:rFonts w:ascii="Arial Narrow" w:hAnsi="Arial Narrow"/>
          <w:b/>
          <w:sz w:val="20"/>
        </w:rPr>
        <w:lastRenderedPageBreak/>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14</w:t>
      </w:r>
      <w:r w:rsidR="00F3276D" w:rsidRPr="00F3276D">
        <w:rPr>
          <w:rFonts w:ascii="Arial Narrow" w:hAnsi="Arial Narrow"/>
          <w:b/>
          <w:sz w:val="20"/>
        </w:rPr>
        <w:fldChar w:fldCharType="end"/>
      </w:r>
      <w:bookmarkEnd w:id="39"/>
      <w:r w:rsidR="00AE2D27" w:rsidRPr="00F3276D">
        <w:rPr>
          <w:rFonts w:ascii="Arial Narrow" w:hAnsi="Arial Narrow"/>
          <w:b/>
          <w:sz w:val="20"/>
        </w:rPr>
        <w:t xml:space="preserve">  Scenario analyses results of the economic evaluation </w:t>
      </w:r>
      <w:bookmarkEnd w:id="40"/>
      <w:bookmarkEnd w:id="41"/>
      <w:r w:rsidR="00AE2D27" w:rsidRPr="00F3276D">
        <w:rPr>
          <w:rFonts w:ascii="Arial Narrow" w:hAnsi="Arial Narrow"/>
          <w:b/>
          <w:sz w:val="20"/>
        </w:rPr>
        <w:t>in population with scar contracture</w:t>
      </w:r>
      <w:bookmarkEnd w:id="42"/>
    </w:p>
    <w:tbl>
      <w:tblPr>
        <w:tblStyle w:val="TableGrid2"/>
        <w:tblW w:w="9152" w:type="dxa"/>
        <w:tblInd w:w="28" w:type="dxa"/>
        <w:tblLayout w:type="fixed"/>
        <w:tblCellMar>
          <w:left w:w="28" w:type="dxa"/>
          <w:right w:w="28" w:type="dxa"/>
        </w:tblCellMar>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694"/>
        <w:gridCol w:w="1291"/>
        <w:gridCol w:w="1292"/>
        <w:gridCol w:w="1291"/>
        <w:gridCol w:w="1292"/>
        <w:gridCol w:w="1292"/>
      </w:tblGrid>
      <w:tr w:rsidR="00AE2D27" w:rsidRPr="00AE2D27" w14:paraId="6FD4DCA9" w14:textId="77777777" w:rsidTr="00AE2D27">
        <w:trPr>
          <w:cnfStyle w:val="100000000000" w:firstRow="1" w:lastRow="0" w:firstColumn="0" w:lastColumn="0" w:oddVBand="0" w:evenVBand="0" w:oddHBand="0" w:evenHBand="0" w:firstRowFirstColumn="0" w:firstRowLastColumn="0" w:lastRowFirstColumn="0" w:lastRowLastColumn="0"/>
          <w:tblHeader/>
        </w:trPr>
        <w:tc>
          <w:tcPr>
            <w:tcW w:w="2694" w:type="dxa"/>
            <w:tcBorders>
              <w:bottom w:val="single" w:sz="4" w:space="0" w:color="auto"/>
            </w:tcBorders>
          </w:tcPr>
          <w:p w14:paraId="332434B6" w14:textId="77777777" w:rsidR="00AE2D27" w:rsidRPr="00AE2D27" w:rsidRDefault="00AE2D27" w:rsidP="00F3276D">
            <w:pPr>
              <w:keepNext/>
              <w:keepLines/>
              <w:rPr>
                <w:rFonts w:ascii="Arial Narrow" w:hAnsi="Arial Narrow"/>
                <w:b/>
                <w:sz w:val="20"/>
              </w:rPr>
            </w:pPr>
          </w:p>
        </w:tc>
        <w:tc>
          <w:tcPr>
            <w:tcW w:w="1291" w:type="dxa"/>
            <w:tcBorders>
              <w:bottom w:val="single" w:sz="4" w:space="0" w:color="auto"/>
            </w:tcBorders>
            <w:vAlign w:val="center"/>
          </w:tcPr>
          <w:p w14:paraId="0F0704B5" w14:textId="77777777" w:rsidR="00AE2D27" w:rsidRPr="00AE2D27" w:rsidRDefault="00AE2D27" w:rsidP="00F3276D">
            <w:pPr>
              <w:keepNext/>
              <w:keepLines/>
              <w:jc w:val="center"/>
              <w:rPr>
                <w:rFonts w:ascii="Arial Narrow" w:hAnsi="Arial Narrow"/>
                <w:b/>
                <w:sz w:val="20"/>
              </w:rPr>
            </w:pPr>
            <w:r w:rsidRPr="00AE2D27">
              <w:rPr>
                <w:rFonts w:ascii="Arial Narrow" w:hAnsi="Arial Narrow"/>
                <w:b/>
                <w:sz w:val="20"/>
              </w:rPr>
              <w:t>Cost</w:t>
            </w:r>
          </w:p>
        </w:tc>
        <w:tc>
          <w:tcPr>
            <w:tcW w:w="1292" w:type="dxa"/>
            <w:tcBorders>
              <w:bottom w:val="single" w:sz="4" w:space="0" w:color="auto"/>
            </w:tcBorders>
            <w:vAlign w:val="center"/>
          </w:tcPr>
          <w:p w14:paraId="1B4C5E63" w14:textId="77777777" w:rsidR="00AE2D27" w:rsidRPr="00AE2D27" w:rsidRDefault="00AE2D27" w:rsidP="00F3276D">
            <w:pPr>
              <w:keepNext/>
              <w:keepLines/>
              <w:jc w:val="center"/>
              <w:rPr>
                <w:rFonts w:ascii="Arial Narrow" w:hAnsi="Arial Narrow"/>
                <w:b/>
                <w:sz w:val="20"/>
              </w:rPr>
            </w:pPr>
            <w:r w:rsidRPr="00AE2D27">
              <w:rPr>
                <w:rFonts w:ascii="Arial Narrow" w:hAnsi="Arial Narrow"/>
                <w:b/>
                <w:sz w:val="20"/>
              </w:rPr>
              <w:t>Incremental cost</w:t>
            </w:r>
          </w:p>
        </w:tc>
        <w:tc>
          <w:tcPr>
            <w:tcW w:w="1291" w:type="dxa"/>
            <w:tcBorders>
              <w:bottom w:val="single" w:sz="4" w:space="0" w:color="auto"/>
            </w:tcBorders>
            <w:vAlign w:val="center"/>
          </w:tcPr>
          <w:p w14:paraId="5BCDAC24" w14:textId="77777777" w:rsidR="00AE2D27" w:rsidRPr="00AE2D27" w:rsidRDefault="00AE2D27" w:rsidP="00F3276D">
            <w:pPr>
              <w:keepNext/>
              <w:keepLines/>
              <w:jc w:val="center"/>
              <w:rPr>
                <w:rFonts w:ascii="Arial Narrow" w:hAnsi="Arial Narrow"/>
                <w:b/>
                <w:sz w:val="20"/>
              </w:rPr>
            </w:pPr>
            <w:r w:rsidRPr="00AE2D27">
              <w:rPr>
                <w:rFonts w:ascii="Arial Narrow" w:hAnsi="Arial Narrow"/>
                <w:b/>
                <w:sz w:val="20"/>
              </w:rPr>
              <w:t>Effectiveness (QALYs)</w:t>
            </w:r>
          </w:p>
        </w:tc>
        <w:tc>
          <w:tcPr>
            <w:tcW w:w="1292" w:type="dxa"/>
            <w:tcBorders>
              <w:bottom w:val="single" w:sz="4" w:space="0" w:color="auto"/>
            </w:tcBorders>
            <w:vAlign w:val="center"/>
          </w:tcPr>
          <w:p w14:paraId="7C51D969" w14:textId="77777777" w:rsidR="00AE2D27" w:rsidRPr="00AE2D27" w:rsidRDefault="00AE2D27" w:rsidP="00F3276D">
            <w:pPr>
              <w:keepNext/>
              <w:keepLines/>
              <w:jc w:val="center"/>
              <w:rPr>
                <w:rFonts w:ascii="Arial Narrow" w:hAnsi="Arial Narrow"/>
                <w:b/>
                <w:sz w:val="20"/>
              </w:rPr>
            </w:pPr>
            <w:r w:rsidRPr="00AE2D27">
              <w:rPr>
                <w:rFonts w:ascii="Arial Narrow" w:hAnsi="Arial Narrow"/>
                <w:b/>
                <w:sz w:val="20"/>
              </w:rPr>
              <w:t>Incremental effectiveness</w:t>
            </w:r>
          </w:p>
        </w:tc>
        <w:tc>
          <w:tcPr>
            <w:tcW w:w="1292" w:type="dxa"/>
            <w:tcBorders>
              <w:bottom w:val="single" w:sz="4" w:space="0" w:color="auto"/>
            </w:tcBorders>
            <w:vAlign w:val="center"/>
          </w:tcPr>
          <w:p w14:paraId="6B0E8668" w14:textId="77777777" w:rsidR="00AE2D27" w:rsidRPr="00AE2D27" w:rsidRDefault="00AE2D27" w:rsidP="00F3276D">
            <w:pPr>
              <w:keepNext/>
              <w:keepLines/>
              <w:jc w:val="center"/>
              <w:rPr>
                <w:rFonts w:ascii="Arial Narrow" w:hAnsi="Arial Narrow"/>
                <w:b/>
                <w:sz w:val="20"/>
              </w:rPr>
            </w:pPr>
            <w:r w:rsidRPr="00AE2D27">
              <w:rPr>
                <w:rFonts w:ascii="Arial Narrow" w:hAnsi="Arial Narrow"/>
                <w:b/>
                <w:sz w:val="20"/>
              </w:rPr>
              <w:t>ICER</w:t>
            </w:r>
          </w:p>
          <w:p w14:paraId="274727F6" w14:textId="77777777" w:rsidR="00AE2D27" w:rsidRPr="00AE2D27" w:rsidRDefault="00AE2D27" w:rsidP="00F3276D">
            <w:pPr>
              <w:keepNext/>
              <w:keepLines/>
              <w:jc w:val="center"/>
              <w:rPr>
                <w:rFonts w:ascii="Arial Narrow" w:hAnsi="Arial Narrow"/>
                <w:b/>
                <w:sz w:val="20"/>
              </w:rPr>
            </w:pPr>
            <w:r w:rsidRPr="00AE2D27">
              <w:rPr>
                <w:rFonts w:ascii="Arial Narrow" w:hAnsi="Arial Narrow"/>
                <w:b/>
                <w:sz w:val="20"/>
              </w:rPr>
              <w:t>Δ$/ΔQALY</w:t>
            </w:r>
          </w:p>
        </w:tc>
      </w:tr>
      <w:tr w:rsidR="00AE2D27" w:rsidRPr="00AE2D27" w14:paraId="69CE9D01" w14:textId="77777777" w:rsidTr="00AE2D27">
        <w:tc>
          <w:tcPr>
            <w:tcW w:w="2694" w:type="dxa"/>
          </w:tcPr>
          <w:p w14:paraId="5422267F" w14:textId="77777777" w:rsidR="00AE2D27" w:rsidRPr="00AE2D27" w:rsidRDefault="00AE2D27" w:rsidP="00AE2D27">
            <w:pPr>
              <w:keepNext/>
              <w:keepLines/>
              <w:rPr>
                <w:sz w:val="20"/>
              </w:rPr>
            </w:pPr>
            <w:r w:rsidRPr="00AE2D27">
              <w:rPr>
                <w:sz w:val="20"/>
              </w:rPr>
              <w:t>AFG vs no treatment (improvement of ROM in hands/arms) (Byrne 2016)</w:t>
            </w:r>
          </w:p>
        </w:tc>
        <w:tc>
          <w:tcPr>
            <w:tcW w:w="1291" w:type="dxa"/>
            <w:vAlign w:val="center"/>
          </w:tcPr>
          <w:p w14:paraId="3D2BAD94" w14:textId="77777777" w:rsidR="00AE2D27" w:rsidRPr="00AE2D27" w:rsidRDefault="00AE2D27" w:rsidP="00AE2D27">
            <w:pPr>
              <w:keepNext/>
              <w:keepLines/>
              <w:jc w:val="center"/>
              <w:rPr>
                <w:sz w:val="20"/>
              </w:rPr>
            </w:pPr>
            <w:r w:rsidRPr="00AE2D27">
              <w:rPr>
                <w:sz w:val="20"/>
              </w:rPr>
              <w:t>$</w:t>
            </w:r>
          </w:p>
          <w:p w14:paraId="4FAEDFA1" w14:textId="77777777" w:rsidR="00AE2D27" w:rsidRPr="00AE2D27" w:rsidRDefault="00AE2D27" w:rsidP="00AE2D27">
            <w:pPr>
              <w:keepNext/>
              <w:keepLines/>
              <w:jc w:val="center"/>
              <w:rPr>
                <w:sz w:val="20"/>
              </w:rPr>
            </w:pPr>
            <w:r w:rsidRPr="00AE2D27">
              <w:rPr>
                <w:sz w:val="20"/>
              </w:rPr>
              <w:t>$1,104.72</w:t>
            </w:r>
          </w:p>
        </w:tc>
        <w:tc>
          <w:tcPr>
            <w:tcW w:w="1292" w:type="dxa"/>
            <w:vAlign w:val="center"/>
          </w:tcPr>
          <w:p w14:paraId="02C60DAA" w14:textId="77777777" w:rsidR="00AE2D27" w:rsidRPr="00AE2D27" w:rsidRDefault="00AE2D27" w:rsidP="00AE2D27">
            <w:pPr>
              <w:keepNext/>
              <w:keepLines/>
              <w:jc w:val="center"/>
              <w:rPr>
                <w:sz w:val="20"/>
              </w:rPr>
            </w:pPr>
            <w:r w:rsidRPr="00AE2D27">
              <w:rPr>
                <w:sz w:val="20"/>
              </w:rPr>
              <w:t>$1104.72</w:t>
            </w:r>
          </w:p>
        </w:tc>
        <w:tc>
          <w:tcPr>
            <w:tcW w:w="1291" w:type="dxa"/>
            <w:vAlign w:val="center"/>
          </w:tcPr>
          <w:p w14:paraId="0306F500" w14:textId="77777777" w:rsidR="00AE2D27" w:rsidRPr="00AE2D27" w:rsidRDefault="00AE2D27" w:rsidP="00AE2D27">
            <w:pPr>
              <w:keepNext/>
              <w:keepLines/>
              <w:jc w:val="center"/>
              <w:rPr>
                <w:sz w:val="20"/>
              </w:rPr>
            </w:pPr>
            <w:r w:rsidRPr="00AE2D27">
              <w:rPr>
                <w:sz w:val="20"/>
              </w:rPr>
              <w:t>0.055</w:t>
            </w:r>
          </w:p>
        </w:tc>
        <w:tc>
          <w:tcPr>
            <w:tcW w:w="1292" w:type="dxa"/>
            <w:vAlign w:val="center"/>
          </w:tcPr>
          <w:p w14:paraId="3CF1A3FF" w14:textId="77777777" w:rsidR="00AE2D27" w:rsidRPr="00AE2D27" w:rsidRDefault="00AE2D27" w:rsidP="00AE2D27">
            <w:pPr>
              <w:keepNext/>
              <w:keepLines/>
              <w:jc w:val="center"/>
              <w:rPr>
                <w:sz w:val="20"/>
              </w:rPr>
            </w:pPr>
            <w:r w:rsidRPr="00AE2D27">
              <w:rPr>
                <w:sz w:val="20"/>
              </w:rPr>
              <w:t>0.055</w:t>
            </w:r>
          </w:p>
        </w:tc>
        <w:tc>
          <w:tcPr>
            <w:tcW w:w="1292" w:type="dxa"/>
            <w:vAlign w:val="center"/>
          </w:tcPr>
          <w:p w14:paraId="1D2D3172" w14:textId="77777777" w:rsidR="00AE2D27" w:rsidRPr="00AE2D27" w:rsidRDefault="00AE2D27" w:rsidP="00AE2D27">
            <w:pPr>
              <w:keepNext/>
              <w:keepLines/>
              <w:jc w:val="center"/>
              <w:rPr>
                <w:sz w:val="20"/>
              </w:rPr>
            </w:pPr>
            <w:r w:rsidRPr="00AE2D27">
              <w:rPr>
                <w:sz w:val="20"/>
              </w:rPr>
              <w:t xml:space="preserve"> $20,086</w:t>
            </w:r>
          </w:p>
        </w:tc>
      </w:tr>
      <w:tr w:rsidR="00AE2D27" w:rsidRPr="00AE2D27" w14:paraId="0A2CAF9D" w14:textId="77777777" w:rsidTr="00AE2D27">
        <w:tc>
          <w:tcPr>
            <w:tcW w:w="2694" w:type="dxa"/>
          </w:tcPr>
          <w:p w14:paraId="366A3137" w14:textId="77777777" w:rsidR="00AE2D27" w:rsidRPr="00AE2D27" w:rsidRDefault="00AE2D27" w:rsidP="00AE2D27">
            <w:pPr>
              <w:keepNext/>
              <w:keepLines/>
              <w:rPr>
                <w:sz w:val="20"/>
              </w:rPr>
            </w:pPr>
            <w:r w:rsidRPr="00AE2D27">
              <w:rPr>
                <w:sz w:val="20"/>
              </w:rPr>
              <w:t>AFG (SUFA) vs no treatment (improvement of ROM in face/neck) (Gargano 2018)</w:t>
            </w:r>
          </w:p>
        </w:tc>
        <w:tc>
          <w:tcPr>
            <w:tcW w:w="1291" w:type="dxa"/>
            <w:vAlign w:val="center"/>
          </w:tcPr>
          <w:p w14:paraId="22EEDC81" w14:textId="77777777" w:rsidR="00AE2D27" w:rsidRPr="00AE2D27" w:rsidRDefault="00AE2D27" w:rsidP="00AE2D27">
            <w:pPr>
              <w:keepNext/>
              <w:keepLines/>
              <w:jc w:val="center"/>
              <w:rPr>
                <w:sz w:val="20"/>
              </w:rPr>
            </w:pPr>
            <w:r w:rsidRPr="00AE2D27">
              <w:rPr>
                <w:sz w:val="20"/>
              </w:rPr>
              <w:t>$3,288.61</w:t>
            </w:r>
          </w:p>
        </w:tc>
        <w:tc>
          <w:tcPr>
            <w:tcW w:w="1292" w:type="dxa"/>
            <w:vAlign w:val="center"/>
          </w:tcPr>
          <w:p w14:paraId="408E0C51" w14:textId="77777777" w:rsidR="00AE2D27" w:rsidRPr="00AE2D27" w:rsidRDefault="00AE2D27" w:rsidP="00AE2D27">
            <w:pPr>
              <w:keepNext/>
              <w:keepLines/>
              <w:jc w:val="center"/>
              <w:rPr>
                <w:sz w:val="20"/>
              </w:rPr>
            </w:pPr>
            <w:r w:rsidRPr="00AE2D27">
              <w:rPr>
                <w:sz w:val="20"/>
              </w:rPr>
              <w:t>$3,288.61</w:t>
            </w:r>
          </w:p>
          <w:p w14:paraId="247B55E5" w14:textId="77777777" w:rsidR="00AE2D27" w:rsidRPr="00AE2D27" w:rsidRDefault="00AE2D27" w:rsidP="00AE2D27">
            <w:pPr>
              <w:keepNext/>
              <w:keepLines/>
              <w:jc w:val="center"/>
              <w:rPr>
                <w:sz w:val="20"/>
              </w:rPr>
            </w:pPr>
          </w:p>
        </w:tc>
        <w:tc>
          <w:tcPr>
            <w:tcW w:w="1291" w:type="dxa"/>
            <w:vAlign w:val="center"/>
          </w:tcPr>
          <w:p w14:paraId="2A9AFD32" w14:textId="77777777" w:rsidR="00AE2D27" w:rsidRPr="00AE2D27" w:rsidRDefault="00AE2D27" w:rsidP="00AE2D27">
            <w:pPr>
              <w:keepNext/>
              <w:keepLines/>
              <w:jc w:val="center"/>
              <w:rPr>
                <w:sz w:val="20"/>
              </w:rPr>
            </w:pPr>
            <w:r w:rsidRPr="00AE2D27">
              <w:rPr>
                <w:sz w:val="20"/>
              </w:rPr>
              <w:t>0.80</w:t>
            </w:r>
          </w:p>
        </w:tc>
        <w:tc>
          <w:tcPr>
            <w:tcW w:w="1292" w:type="dxa"/>
            <w:vAlign w:val="center"/>
          </w:tcPr>
          <w:p w14:paraId="16F03A30" w14:textId="77777777" w:rsidR="00AE2D27" w:rsidRPr="00AE2D27" w:rsidRDefault="00AE2D27" w:rsidP="00AE2D27">
            <w:pPr>
              <w:keepNext/>
              <w:keepLines/>
              <w:jc w:val="center"/>
              <w:rPr>
                <w:sz w:val="20"/>
              </w:rPr>
            </w:pPr>
            <w:r w:rsidRPr="00AE2D27">
              <w:rPr>
                <w:sz w:val="20"/>
              </w:rPr>
              <w:t>0.80</w:t>
            </w:r>
          </w:p>
        </w:tc>
        <w:tc>
          <w:tcPr>
            <w:tcW w:w="1292" w:type="dxa"/>
            <w:vAlign w:val="center"/>
          </w:tcPr>
          <w:p w14:paraId="18F500CE" w14:textId="77777777" w:rsidR="00AE2D27" w:rsidRPr="00AE2D27" w:rsidRDefault="00AE2D27" w:rsidP="00AE2D27">
            <w:pPr>
              <w:keepNext/>
              <w:keepLines/>
              <w:jc w:val="center"/>
              <w:rPr>
                <w:sz w:val="20"/>
              </w:rPr>
            </w:pPr>
            <w:r w:rsidRPr="00AE2D27">
              <w:rPr>
                <w:sz w:val="20"/>
              </w:rPr>
              <w:t xml:space="preserve"> $4,111</w:t>
            </w:r>
          </w:p>
        </w:tc>
      </w:tr>
    </w:tbl>
    <w:p w14:paraId="6F59C62A" w14:textId="77777777" w:rsidR="00AE2D27" w:rsidRDefault="00AE2D27" w:rsidP="00AE2D27">
      <w:pPr>
        <w:keepNext/>
        <w:keepLines/>
        <w:rPr>
          <w:rFonts w:ascii="Arial Narrow" w:hAnsi="Arial Narrow"/>
          <w:sz w:val="18"/>
        </w:rPr>
      </w:pPr>
      <w:r>
        <w:rPr>
          <w:rFonts w:ascii="Arial Narrow" w:hAnsi="Arial Narrow"/>
          <w:sz w:val="18"/>
        </w:rPr>
        <w:t xml:space="preserve">Abbreviations: </w:t>
      </w:r>
      <w:r w:rsidRPr="00561E64">
        <w:rPr>
          <w:rFonts w:ascii="Arial Narrow" w:hAnsi="Arial Narrow"/>
          <w:sz w:val="18"/>
        </w:rPr>
        <w:t>Δ=increment</w:t>
      </w:r>
      <w:r>
        <w:rPr>
          <w:rFonts w:ascii="Arial Narrow" w:hAnsi="Arial Narrow"/>
          <w:sz w:val="18"/>
        </w:rPr>
        <w:t>;</w:t>
      </w:r>
      <w:r w:rsidRPr="00561E64">
        <w:rPr>
          <w:rFonts w:ascii="Arial Narrow" w:hAnsi="Arial Narrow"/>
          <w:sz w:val="18"/>
        </w:rPr>
        <w:t xml:space="preserve"> AFG</w:t>
      </w:r>
      <w:r>
        <w:rPr>
          <w:rFonts w:ascii="Arial Narrow" w:hAnsi="Arial Narrow"/>
          <w:sz w:val="18"/>
        </w:rPr>
        <w:t xml:space="preserve"> </w:t>
      </w:r>
      <w:r w:rsidRPr="00561E64">
        <w:rPr>
          <w:rFonts w:ascii="Arial Narrow" w:hAnsi="Arial Narrow"/>
          <w:sz w:val="18"/>
        </w:rPr>
        <w:t>=</w:t>
      </w:r>
      <w:r>
        <w:rPr>
          <w:rFonts w:ascii="Arial Narrow" w:hAnsi="Arial Narrow"/>
          <w:sz w:val="18"/>
        </w:rPr>
        <w:t xml:space="preserve"> </w:t>
      </w:r>
      <w:r w:rsidRPr="00561E64">
        <w:rPr>
          <w:rFonts w:ascii="Arial Narrow" w:hAnsi="Arial Narrow"/>
          <w:sz w:val="18"/>
        </w:rPr>
        <w:t>autologous fat graft; ICER = incremental cost effectiveness ratio; QALY</w:t>
      </w:r>
      <w:r>
        <w:rPr>
          <w:rFonts w:ascii="Arial Narrow" w:hAnsi="Arial Narrow"/>
          <w:sz w:val="18"/>
        </w:rPr>
        <w:t xml:space="preserve"> </w:t>
      </w:r>
      <w:r w:rsidRPr="00561E64">
        <w:rPr>
          <w:rFonts w:ascii="Arial Narrow" w:hAnsi="Arial Narrow"/>
          <w:sz w:val="18"/>
        </w:rPr>
        <w:t>=</w:t>
      </w:r>
      <w:r>
        <w:rPr>
          <w:rFonts w:ascii="Arial Narrow" w:hAnsi="Arial Narrow"/>
          <w:sz w:val="18"/>
        </w:rPr>
        <w:t xml:space="preserve"> </w:t>
      </w:r>
      <w:r w:rsidRPr="00561E64">
        <w:rPr>
          <w:rFonts w:ascii="Arial Narrow" w:hAnsi="Arial Narrow"/>
          <w:sz w:val="18"/>
        </w:rPr>
        <w:t>quality adjusted life years;</w:t>
      </w:r>
      <w:r>
        <w:rPr>
          <w:rFonts w:ascii="Arial Narrow" w:hAnsi="Arial Narrow"/>
          <w:sz w:val="18"/>
        </w:rPr>
        <w:t xml:space="preserve"> ROM = range of movement</w:t>
      </w:r>
    </w:p>
    <w:p w14:paraId="3CD91672" w14:textId="23A01350" w:rsidR="00AE2D27" w:rsidRPr="000047D0" w:rsidRDefault="00AE2D27" w:rsidP="000047D0">
      <w:pPr>
        <w:keepNext/>
        <w:keepLines/>
        <w:rPr>
          <w:rFonts w:ascii="Arial Narrow" w:hAnsi="Arial Narrow"/>
          <w:sz w:val="18"/>
        </w:rPr>
      </w:pPr>
      <w:r>
        <w:rPr>
          <w:rFonts w:ascii="Arial Narrow" w:hAnsi="Arial Narrow"/>
          <w:sz w:val="18"/>
        </w:rPr>
        <w:t>Source: Compiled from Table 46, p143 of t</w:t>
      </w:r>
      <w:r w:rsidR="000047D0">
        <w:rPr>
          <w:rFonts w:ascii="Arial Narrow" w:hAnsi="Arial Narrow"/>
          <w:sz w:val="18"/>
        </w:rPr>
        <w:t>he DCAR.</w:t>
      </w:r>
    </w:p>
    <w:p w14:paraId="6F3EE349" w14:textId="77777777" w:rsidR="00AE2D27" w:rsidRDefault="00AE2D27" w:rsidP="000047D0">
      <w:pPr>
        <w:spacing w:before="240"/>
      </w:pPr>
      <w:r>
        <w:t xml:space="preserve">The DCAR considered that the high degree of heterogeneity in the populations from two studies (Byrne 2016 and Gargano 2018) together with incompatible procedures (a single AFG and two consecutive SUFA procedures) makes the direct comparison of ICER estimates impossible. The considerable difference in ICER estimates, which favoured SUFA over AFG despite its higher cost, were </w:t>
      </w:r>
      <w:proofErr w:type="gramStart"/>
      <w:r>
        <w:t>due to</w:t>
      </w:r>
      <w:proofErr w:type="gramEnd"/>
      <w:r>
        <w:t xml:space="preserve">: </w:t>
      </w:r>
    </w:p>
    <w:p w14:paraId="5AA2597C" w14:textId="77777777" w:rsidR="00AE2D27" w:rsidRDefault="00AE2D27" w:rsidP="00AE2D27">
      <w:pPr>
        <w:pStyle w:val="ListParagraph"/>
        <w:numPr>
          <w:ilvl w:val="0"/>
          <w:numId w:val="36"/>
        </w:numPr>
      </w:pPr>
      <w:r>
        <w:t xml:space="preserve">higher rate of responders in the population with face/neck scar (50% </w:t>
      </w:r>
      <w:r w:rsidRPr="00EF58C3">
        <w:rPr>
          <w:i/>
        </w:rPr>
        <w:t>vs.</w:t>
      </w:r>
      <w:r>
        <w:t xml:space="preserve"> 31%), which is consistent with the more aggressive treatment that produced a higher improvement in ROM, and</w:t>
      </w:r>
    </w:p>
    <w:p w14:paraId="0DB2DAC7" w14:textId="40D838ED" w:rsidR="00AE2D27" w:rsidRDefault="00AE2D27" w:rsidP="000047D0">
      <w:pPr>
        <w:pStyle w:val="ListParagraph"/>
        <w:numPr>
          <w:ilvl w:val="0"/>
          <w:numId w:val="36"/>
        </w:numPr>
      </w:pPr>
      <w:proofErr w:type="gramStart"/>
      <w:r>
        <w:t>difference</w:t>
      </w:r>
      <w:proofErr w:type="gramEnd"/>
      <w:r>
        <w:t xml:space="preserve"> in the estimated utility gain associated with successful intervention (0.09 vs 0.01).</w:t>
      </w:r>
    </w:p>
    <w:p w14:paraId="3A32E3D4" w14:textId="6D8000ED" w:rsidR="00AE2D27" w:rsidRPr="004F444A" w:rsidRDefault="00AE2D27" w:rsidP="000047D0">
      <w:pPr>
        <w:spacing w:before="240"/>
      </w:pPr>
      <w:r>
        <w:t>The DCAR also considered that both utility estimates were associated with a high degree of uncertainty. However, it is also possible that in the population with hand and arm scar contracture, AFG as a third-line treatment delivers only a marginal improvement, while in the population selected for more aggressive surgery a larger health benefit is bot</w:t>
      </w:r>
      <w:r w:rsidR="000047D0">
        <w:t>h expected and likely achieved.</w:t>
      </w:r>
    </w:p>
    <w:p w14:paraId="4D5B066B" w14:textId="77777777" w:rsidR="00AE2D27" w:rsidRDefault="00AE2D27" w:rsidP="000047D0">
      <w:pPr>
        <w:spacing w:before="240"/>
      </w:pPr>
      <w:r w:rsidRPr="00183E4D">
        <w:t>The</w:t>
      </w:r>
      <w:r>
        <w:t xml:space="preserve"> DCAR noted that the</w:t>
      </w:r>
      <w:r w:rsidRPr="00183E4D">
        <w:t xml:space="preserve"> modelled results were most sensitive to </w:t>
      </w:r>
      <w:r>
        <w:t xml:space="preserve">the assumptions about the value of utility gain, the response rate, but less sensitive to the background mortality and not sensitive to the variation in the proportion of patients experiencing adverse events. </w:t>
      </w:r>
    </w:p>
    <w:p w14:paraId="38121EDF" w14:textId="77777777" w:rsidR="00BC1364" w:rsidRPr="00F715D1" w:rsidRDefault="00BC1364" w:rsidP="00F715D1">
      <w:pPr>
        <w:pStyle w:val="Heading1"/>
      </w:pPr>
      <w:r w:rsidRPr="00F715D1">
        <w:t>Financial/budgetary impacts</w:t>
      </w:r>
    </w:p>
    <w:p w14:paraId="5548584F" w14:textId="06319D06" w:rsidR="000047D0" w:rsidRDefault="00AE2D27">
      <w:r w:rsidRPr="005C061E">
        <w:t xml:space="preserve">An epidemiological approach </w:t>
      </w:r>
      <w:r>
        <w:t>was</w:t>
      </w:r>
      <w:r w:rsidRPr="005C061E">
        <w:t xml:space="preserve"> used to estimate the financial implications of the introduction of </w:t>
      </w:r>
      <w:r>
        <w:t>AFG for use in Population 1 (c</w:t>
      </w:r>
      <w:r w:rsidR="008F1FC0">
        <w:t xml:space="preserve">ongenital and acquired; </w:t>
      </w:r>
      <w:r w:rsidR="000047D0" w:rsidRPr="008827D2">
        <w:rPr>
          <w:szCs w:val="24"/>
        </w:rPr>
        <w:fldChar w:fldCharType="begin"/>
      </w:r>
      <w:r w:rsidR="000047D0" w:rsidRPr="008827D2">
        <w:rPr>
          <w:szCs w:val="24"/>
        </w:rPr>
        <w:instrText xml:space="preserve"> REF _Ref44400276 \h </w:instrText>
      </w:r>
      <w:r w:rsidR="000047D0" w:rsidRPr="008827D2">
        <w:rPr>
          <w:szCs w:val="24"/>
        </w:rPr>
      </w:r>
      <w:r w:rsidR="008827D2" w:rsidRPr="008827D2">
        <w:rPr>
          <w:szCs w:val="24"/>
        </w:rPr>
        <w:instrText xml:space="preserve"> \* MERGEFORMAT </w:instrText>
      </w:r>
      <w:r w:rsidR="000047D0" w:rsidRPr="008827D2">
        <w:rPr>
          <w:szCs w:val="24"/>
        </w:rPr>
        <w:fldChar w:fldCharType="separate"/>
      </w:r>
      <w:r w:rsidR="00E84BE3" w:rsidRPr="008827D2">
        <w:rPr>
          <w:szCs w:val="24"/>
        </w:rPr>
        <w:t xml:space="preserve">Table </w:t>
      </w:r>
      <w:r w:rsidR="00E84BE3" w:rsidRPr="008827D2">
        <w:rPr>
          <w:noProof/>
          <w:szCs w:val="24"/>
        </w:rPr>
        <w:t>15</w:t>
      </w:r>
      <w:r w:rsidR="000047D0" w:rsidRPr="008827D2">
        <w:rPr>
          <w:szCs w:val="24"/>
        </w:rPr>
        <w:fldChar w:fldCharType="end"/>
      </w:r>
      <w:r w:rsidRPr="008827D2">
        <w:rPr>
          <w:szCs w:val="24"/>
        </w:rPr>
        <w:t>)</w:t>
      </w:r>
      <w:r>
        <w:t xml:space="preserve"> and Population 2 (burn scar; </w:t>
      </w:r>
      <w:r w:rsidR="000047D0" w:rsidRPr="008827D2">
        <w:rPr>
          <w:szCs w:val="24"/>
        </w:rPr>
        <w:fldChar w:fldCharType="begin"/>
      </w:r>
      <w:r w:rsidR="000047D0" w:rsidRPr="008827D2">
        <w:rPr>
          <w:szCs w:val="24"/>
        </w:rPr>
        <w:instrText xml:space="preserve"> REF _Ref44400299 \h </w:instrText>
      </w:r>
      <w:r w:rsidR="000047D0" w:rsidRPr="008827D2">
        <w:rPr>
          <w:szCs w:val="24"/>
        </w:rPr>
      </w:r>
      <w:r w:rsidR="008827D2" w:rsidRPr="008827D2">
        <w:rPr>
          <w:szCs w:val="24"/>
        </w:rPr>
        <w:instrText xml:space="preserve"> \* MERGEFORMAT </w:instrText>
      </w:r>
      <w:r w:rsidR="000047D0" w:rsidRPr="008827D2">
        <w:rPr>
          <w:szCs w:val="24"/>
        </w:rPr>
        <w:fldChar w:fldCharType="separate"/>
      </w:r>
      <w:r w:rsidR="00E84BE3" w:rsidRPr="008827D2">
        <w:rPr>
          <w:szCs w:val="24"/>
        </w:rPr>
        <w:t xml:space="preserve">Table </w:t>
      </w:r>
      <w:r w:rsidR="00E84BE3" w:rsidRPr="008827D2">
        <w:rPr>
          <w:noProof/>
          <w:szCs w:val="24"/>
        </w:rPr>
        <w:t>16</w:t>
      </w:r>
      <w:r w:rsidR="000047D0" w:rsidRPr="008827D2">
        <w:rPr>
          <w:szCs w:val="24"/>
        </w:rPr>
        <w:fldChar w:fldCharType="end"/>
      </w:r>
      <w:r>
        <w:t xml:space="preserve">). The two nominated populations for this application </w:t>
      </w:r>
      <w:proofErr w:type="gramStart"/>
      <w:r>
        <w:t>are predominantly treated</w:t>
      </w:r>
      <w:proofErr w:type="gramEnd"/>
      <w:r>
        <w:t xml:space="preserve"> in public hospitals, especially for the acute or major surgical treatment of the conditions. Therefore, determining which patients are likely to switch from </w:t>
      </w:r>
      <w:proofErr w:type="gramStart"/>
      <w:r>
        <w:t>being treated</w:t>
      </w:r>
      <w:proofErr w:type="gramEnd"/>
      <w:r>
        <w:t xml:space="preserve"> in the public system versus the private system is difficult to determine, thus estimates of the financial implications ma</w:t>
      </w:r>
      <w:bookmarkStart w:id="43" w:name="_GoBack"/>
      <w:bookmarkEnd w:id="43"/>
      <w:r>
        <w:t xml:space="preserve">y be based on assumptions for which there is a scarcity of data. Additionally, due to the initial surgery </w:t>
      </w:r>
      <w:proofErr w:type="gramStart"/>
      <w:r>
        <w:t>being done</w:t>
      </w:r>
      <w:proofErr w:type="gramEnd"/>
      <w:r>
        <w:t xml:space="preserve"> in a public hospital it is difficult to ascertain from the population descriptions where along the treatment pathway patients may be, this is especially the case for Population 1. The p</w:t>
      </w:r>
      <w:r w:rsidRPr="0073770B">
        <w:t xml:space="preserve">roportion of the Australian population with private health insurance </w:t>
      </w:r>
      <w:proofErr w:type="gramStart"/>
      <w:r>
        <w:t>was estimated</w:t>
      </w:r>
      <w:proofErr w:type="gramEnd"/>
      <w:r>
        <w:t xml:space="preserve"> at</w:t>
      </w:r>
      <w:r w:rsidRPr="0073770B">
        <w:t xml:space="preserve"> 44</w:t>
      </w:r>
      <w:r w:rsidRPr="00D74D02">
        <w:t xml:space="preserve">%. </w:t>
      </w:r>
      <w:r>
        <w:t>The</w:t>
      </w:r>
      <w:r w:rsidRPr="00D74D02">
        <w:t xml:space="preserve"> 75% rebate level </w:t>
      </w:r>
      <w:proofErr w:type="gramStart"/>
      <w:r w:rsidRPr="00D74D02">
        <w:t>was used</w:t>
      </w:r>
      <w:proofErr w:type="gramEnd"/>
      <w:r w:rsidRPr="00D74D02">
        <w:t xml:space="preserve"> to estimate the financial i</w:t>
      </w:r>
      <w:r w:rsidR="000047D0">
        <w:t>mplications after co-payment.</w:t>
      </w:r>
      <w:r w:rsidR="000047D0">
        <w:br w:type="page"/>
      </w:r>
    </w:p>
    <w:p w14:paraId="124C2E07" w14:textId="686B5AAA" w:rsidR="00AE2D27" w:rsidRDefault="00AE2D27" w:rsidP="000047D0">
      <w:pPr>
        <w:pStyle w:val="Heading2"/>
      </w:pPr>
      <w:r>
        <w:lastRenderedPageBreak/>
        <w:t>Population 1</w:t>
      </w:r>
      <w:bookmarkStart w:id="44" w:name="_Ref395200110"/>
      <w:bookmarkStart w:id="45" w:name="_Toc393197779"/>
      <w:bookmarkStart w:id="46" w:name="_Toc393378192"/>
      <w:bookmarkStart w:id="47" w:name="_Toc37031151"/>
      <w:bookmarkStart w:id="48" w:name="_Toc39593660"/>
    </w:p>
    <w:p w14:paraId="0F8E7AD1" w14:textId="1CA1BB79" w:rsidR="00AE2D27" w:rsidRPr="00F3276D" w:rsidRDefault="000047D0" w:rsidP="00F3276D">
      <w:pPr>
        <w:spacing w:before="240"/>
        <w:rPr>
          <w:rFonts w:ascii="Arial Narrow" w:hAnsi="Arial Narrow"/>
          <w:b/>
          <w:sz w:val="20"/>
        </w:rPr>
      </w:pPr>
      <w:bookmarkStart w:id="49" w:name="_Ref44400276"/>
      <w:bookmarkEnd w:id="44"/>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15</w:t>
      </w:r>
      <w:r w:rsidR="00F3276D" w:rsidRPr="00F3276D">
        <w:rPr>
          <w:rFonts w:ascii="Arial Narrow" w:hAnsi="Arial Narrow"/>
          <w:b/>
          <w:sz w:val="20"/>
        </w:rPr>
        <w:fldChar w:fldCharType="end"/>
      </w:r>
      <w:bookmarkEnd w:id="49"/>
      <w:r w:rsidR="00AE2D27" w:rsidRPr="00F3276D">
        <w:rPr>
          <w:rFonts w:ascii="Arial Narrow" w:hAnsi="Arial Narrow"/>
          <w:b/>
          <w:sz w:val="20"/>
        </w:rPr>
        <w:t xml:space="preserve">  Total costs to the MBS associated with </w:t>
      </w:r>
      <w:bookmarkEnd w:id="45"/>
      <w:bookmarkEnd w:id="46"/>
      <w:bookmarkEnd w:id="47"/>
      <w:r w:rsidR="00AE2D27" w:rsidRPr="00F3276D">
        <w:rPr>
          <w:rFonts w:ascii="Arial Narrow" w:hAnsi="Arial Narrow"/>
          <w:b/>
          <w:sz w:val="20"/>
        </w:rPr>
        <w:t>use of AFG in Population 1—craniofacial population</w:t>
      </w:r>
      <w:bookmarkEnd w:id="48"/>
      <w:r w:rsidR="00AE2D27" w:rsidRPr="00F3276D">
        <w:rPr>
          <w:rFonts w:ascii="Arial Narrow" w:hAnsi="Arial Narrow"/>
          <w:b/>
          <w:sz w:val="20"/>
        </w:rPr>
        <w:t xml:space="preserve"> (revised post ESC values)</w:t>
      </w:r>
    </w:p>
    <w:tbl>
      <w:tblPr>
        <w:tblStyle w:val="TableGrid1"/>
        <w:tblW w:w="9075" w:type="dxa"/>
        <w:tblInd w:w="-33" w:type="dxa"/>
        <w:tblLayout w:type="fixed"/>
        <w:tblCellMar>
          <w:left w:w="28" w:type="dxa"/>
          <w:right w:w="28" w:type="dxa"/>
        </w:tblCellMar>
        <w:tblLook w:val="04A0" w:firstRow="1" w:lastRow="0" w:firstColumn="1" w:lastColumn="0" w:noHBand="0" w:noVBand="1"/>
        <w:tblCaption w:val="Financial implications for the MBS for Population A1"/>
        <w:tblDescription w:val="Financial implications for the MBS for Population A1"/>
      </w:tblPr>
      <w:tblGrid>
        <w:gridCol w:w="2863"/>
        <w:gridCol w:w="993"/>
        <w:gridCol w:w="1043"/>
        <w:gridCol w:w="1044"/>
        <w:gridCol w:w="1044"/>
        <w:gridCol w:w="1044"/>
        <w:gridCol w:w="1044"/>
      </w:tblGrid>
      <w:tr w:rsidR="00AE2D27" w:rsidRPr="00A00972" w14:paraId="3FE8CBEF" w14:textId="77777777" w:rsidTr="00AE2D27">
        <w:trPr>
          <w:cnfStyle w:val="100000000000" w:firstRow="1" w:lastRow="0" w:firstColumn="0" w:lastColumn="0" w:oddVBand="0" w:evenVBand="0" w:oddHBand="0" w:evenHBand="0" w:firstRowFirstColumn="0" w:firstRowLastColumn="0" w:lastRowFirstColumn="0" w:lastRowLastColumn="0"/>
          <w:tblHeader/>
        </w:trPr>
        <w:tc>
          <w:tcPr>
            <w:tcW w:w="2863" w:type="dxa"/>
            <w:vAlign w:val="center"/>
          </w:tcPr>
          <w:p w14:paraId="680A6736" w14:textId="77777777" w:rsidR="00AE2D27" w:rsidRPr="00A00972" w:rsidRDefault="00AE2D27" w:rsidP="00AE2D27">
            <w:pPr>
              <w:pStyle w:val="Tabletext"/>
              <w:keepNext/>
              <w:widowControl w:val="0"/>
              <w:rPr>
                <w:b/>
              </w:rPr>
            </w:pPr>
            <w:r w:rsidRPr="00A00972">
              <w:rPr>
                <w:b/>
              </w:rPr>
              <w:t xml:space="preserve">Variable </w:t>
            </w:r>
          </w:p>
        </w:tc>
        <w:tc>
          <w:tcPr>
            <w:tcW w:w="993" w:type="dxa"/>
            <w:vAlign w:val="center"/>
          </w:tcPr>
          <w:p w14:paraId="722660CD" w14:textId="77777777" w:rsidR="00AE2D27" w:rsidRPr="00A00972" w:rsidRDefault="00AE2D27" w:rsidP="00AE2D27">
            <w:pPr>
              <w:pStyle w:val="Tabletext"/>
              <w:keepNext/>
              <w:widowControl w:val="0"/>
              <w:jc w:val="center"/>
              <w:rPr>
                <w:b/>
              </w:rPr>
            </w:pPr>
            <w:r>
              <w:rPr>
                <w:b/>
              </w:rPr>
              <w:t>Method</w:t>
            </w:r>
          </w:p>
        </w:tc>
        <w:tc>
          <w:tcPr>
            <w:tcW w:w="1043" w:type="dxa"/>
            <w:vAlign w:val="center"/>
          </w:tcPr>
          <w:p w14:paraId="455C7EAD" w14:textId="77777777" w:rsidR="00AE2D27" w:rsidRPr="00A00972" w:rsidRDefault="00AE2D27" w:rsidP="00AE2D27">
            <w:pPr>
              <w:pStyle w:val="Tabletext"/>
              <w:keepNext/>
              <w:widowControl w:val="0"/>
              <w:jc w:val="center"/>
              <w:rPr>
                <w:b/>
              </w:rPr>
            </w:pPr>
            <w:r w:rsidRPr="00A00972">
              <w:rPr>
                <w:b/>
              </w:rPr>
              <w:t>2020-21</w:t>
            </w:r>
          </w:p>
          <w:p w14:paraId="08748366" w14:textId="77777777" w:rsidR="00AE2D27" w:rsidRPr="00A00972" w:rsidRDefault="00AE2D27" w:rsidP="00AE2D27">
            <w:pPr>
              <w:pStyle w:val="Tabletext"/>
              <w:keepNext/>
              <w:widowControl w:val="0"/>
              <w:jc w:val="center"/>
              <w:rPr>
                <w:b/>
              </w:rPr>
            </w:pPr>
            <w:r w:rsidRPr="00A00972">
              <w:rPr>
                <w:b/>
              </w:rPr>
              <w:t>Year 1</w:t>
            </w:r>
          </w:p>
        </w:tc>
        <w:tc>
          <w:tcPr>
            <w:tcW w:w="1044" w:type="dxa"/>
            <w:vAlign w:val="center"/>
          </w:tcPr>
          <w:p w14:paraId="78E19DA5" w14:textId="77777777" w:rsidR="00AE2D27" w:rsidRPr="00A00972" w:rsidRDefault="00AE2D27" w:rsidP="00AE2D27">
            <w:pPr>
              <w:pStyle w:val="Tabletext"/>
              <w:keepNext/>
              <w:widowControl w:val="0"/>
              <w:jc w:val="center"/>
              <w:rPr>
                <w:b/>
              </w:rPr>
            </w:pPr>
            <w:r w:rsidRPr="00A00972">
              <w:rPr>
                <w:b/>
              </w:rPr>
              <w:t>2021-22</w:t>
            </w:r>
          </w:p>
          <w:p w14:paraId="0269A8A0" w14:textId="77777777" w:rsidR="00AE2D27" w:rsidRPr="00A00972" w:rsidRDefault="00AE2D27" w:rsidP="00AE2D27">
            <w:pPr>
              <w:pStyle w:val="Tabletext"/>
              <w:keepNext/>
              <w:widowControl w:val="0"/>
              <w:jc w:val="center"/>
              <w:rPr>
                <w:b/>
              </w:rPr>
            </w:pPr>
            <w:r w:rsidRPr="00A00972">
              <w:rPr>
                <w:b/>
              </w:rPr>
              <w:t>Year 2</w:t>
            </w:r>
          </w:p>
        </w:tc>
        <w:tc>
          <w:tcPr>
            <w:tcW w:w="1044" w:type="dxa"/>
            <w:vAlign w:val="center"/>
          </w:tcPr>
          <w:p w14:paraId="2A76A1F9" w14:textId="77777777" w:rsidR="00AE2D27" w:rsidRPr="00A00972" w:rsidRDefault="00AE2D27" w:rsidP="00AE2D27">
            <w:pPr>
              <w:pStyle w:val="Tabletext"/>
              <w:keepNext/>
              <w:widowControl w:val="0"/>
              <w:jc w:val="center"/>
              <w:rPr>
                <w:b/>
              </w:rPr>
            </w:pPr>
            <w:r w:rsidRPr="00A00972">
              <w:rPr>
                <w:b/>
              </w:rPr>
              <w:t>2022-23</w:t>
            </w:r>
          </w:p>
          <w:p w14:paraId="24308881" w14:textId="77777777" w:rsidR="00AE2D27" w:rsidRPr="00A00972" w:rsidRDefault="00AE2D27" w:rsidP="00AE2D27">
            <w:pPr>
              <w:pStyle w:val="Tabletext"/>
              <w:keepNext/>
              <w:widowControl w:val="0"/>
              <w:jc w:val="center"/>
              <w:rPr>
                <w:b/>
              </w:rPr>
            </w:pPr>
            <w:r w:rsidRPr="00A00972">
              <w:rPr>
                <w:b/>
              </w:rPr>
              <w:t>Year 3</w:t>
            </w:r>
          </w:p>
        </w:tc>
        <w:tc>
          <w:tcPr>
            <w:tcW w:w="1044" w:type="dxa"/>
            <w:vAlign w:val="center"/>
          </w:tcPr>
          <w:p w14:paraId="74F18C6F" w14:textId="77777777" w:rsidR="00AE2D27" w:rsidRPr="00A00972" w:rsidRDefault="00AE2D27" w:rsidP="00AE2D27">
            <w:pPr>
              <w:pStyle w:val="Tabletext"/>
              <w:keepNext/>
              <w:widowControl w:val="0"/>
              <w:jc w:val="center"/>
              <w:rPr>
                <w:b/>
              </w:rPr>
            </w:pPr>
            <w:r w:rsidRPr="00A00972">
              <w:rPr>
                <w:b/>
              </w:rPr>
              <w:t>2023-24</w:t>
            </w:r>
          </w:p>
          <w:p w14:paraId="71A57AC7" w14:textId="77777777" w:rsidR="00AE2D27" w:rsidRPr="00A00972" w:rsidRDefault="00AE2D27" w:rsidP="00AE2D27">
            <w:pPr>
              <w:pStyle w:val="Tabletext"/>
              <w:keepNext/>
              <w:widowControl w:val="0"/>
              <w:jc w:val="center"/>
              <w:rPr>
                <w:b/>
              </w:rPr>
            </w:pPr>
            <w:r w:rsidRPr="00A00972">
              <w:rPr>
                <w:b/>
              </w:rPr>
              <w:t>Year 4</w:t>
            </w:r>
          </w:p>
        </w:tc>
        <w:tc>
          <w:tcPr>
            <w:tcW w:w="1044" w:type="dxa"/>
            <w:vAlign w:val="center"/>
          </w:tcPr>
          <w:p w14:paraId="74641941" w14:textId="77777777" w:rsidR="00AE2D27" w:rsidRPr="00A00972" w:rsidRDefault="00AE2D27" w:rsidP="00AE2D27">
            <w:pPr>
              <w:pStyle w:val="Tabletext"/>
              <w:keepNext/>
              <w:widowControl w:val="0"/>
              <w:jc w:val="center"/>
              <w:rPr>
                <w:b/>
              </w:rPr>
            </w:pPr>
            <w:r w:rsidRPr="00A00972">
              <w:rPr>
                <w:b/>
              </w:rPr>
              <w:t>2024-25</w:t>
            </w:r>
          </w:p>
          <w:p w14:paraId="3F29C148" w14:textId="77777777" w:rsidR="00AE2D27" w:rsidRPr="00A00972" w:rsidRDefault="00AE2D27" w:rsidP="00AE2D27">
            <w:pPr>
              <w:pStyle w:val="Tabletext"/>
              <w:keepNext/>
              <w:widowControl w:val="0"/>
              <w:jc w:val="center"/>
              <w:rPr>
                <w:b/>
              </w:rPr>
            </w:pPr>
            <w:r w:rsidRPr="00A00972">
              <w:rPr>
                <w:b/>
              </w:rPr>
              <w:t>Year 5</w:t>
            </w:r>
          </w:p>
        </w:tc>
      </w:tr>
      <w:tr w:rsidR="00AE2D27" w:rsidRPr="00A00972" w14:paraId="60E55B47" w14:textId="77777777" w:rsidTr="00AE2D27">
        <w:trPr>
          <w:cnfStyle w:val="100000000000" w:firstRow="1" w:lastRow="0" w:firstColumn="0" w:lastColumn="0" w:oddVBand="0" w:evenVBand="0" w:oddHBand="0" w:evenHBand="0" w:firstRowFirstColumn="0" w:firstRowLastColumn="0" w:lastRowFirstColumn="0" w:lastRowLastColumn="0"/>
          <w:tblHeader/>
        </w:trPr>
        <w:tc>
          <w:tcPr>
            <w:tcW w:w="2863" w:type="dxa"/>
            <w:tcBorders>
              <w:right w:val="nil"/>
            </w:tcBorders>
            <w:vAlign w:val="bottom"/>
          </w:tcPr>
          <w:p w14:paraId="60E4756D" w14:textId="77777777" w:rsidR="00AE2D27" w:rsidRPr="00A00972" w:rsidRDefault="00AE2D27" w:rsidP="00AE2D27">
            <w:pPr>
              <w:pStyle w:val="Tabletext"/>
              <w:keepNext/>
              <w:widowControl w:val="0"/>
              <w:rPr>
                <w:b/>
              </w:rPr>
            </w:pPr>
            <w:r>
              <w:rPr>
                <w:b/>
              </w:rPr>
              <w:t>AFG</w:t>
            </w:r>
          </w:p>
        </w:tc>
        <w:tc>
          <w:tcPr>
            <w:tcW w:w="993" w:type="dxa"/>
            <w:tcBorders>
              <w:left w:val="nil"/>
              <w:right w:val="nil"/>
            </w:tcBorders>
            <w:vAlign w:val="center"/>
          </w:tcPr>
          <w:p w14:paraId="3779BC20" w14:textId="77777777" w:rsidR="00AE2D27" w:rsidRPr="00A00972" w:rsidRDefault="00AE2D27" w:rsidP="00AE2D27">
            <w:pPr>
              <w:pStyle w:val="Tabletext"/>
              <w:keepNext/>
              <w:widowControl w:val="0"/>
              <w:jc w:val="center"/>
              <w:rPr>
                <w:b/>
              </w:rPr>
            </w:pPr>
          </w:p>
        </w:tc>
        <w:tc>
          <w:tcPr>
            <w:tcW w:w="1043" w:type="dxa"/>
            <w:tcBorders>
              <w:left w:val="nil"/>
              <w:right w:val="nil"/>
            </w:tcBorders>
            <w:vAlign w:val="center"/>
          </w:tcPr>
          <w:p w14:paraId="5432F62F" w14:textId="77777777" w:rsidR="00AE2D27" w:rsidRPr="00A00972" w:rsidRDefault="00AE2D27" w:rsidP="00AE2D27">
            <w:pPr>
              <w:pStyle w:val="Tabletext"/>
              <w:keepNext/>
              <w:widowControl w:val="0"/>
              <w:jc w:val="center"/>
              <w:rPr>
                <w:b/>
              </w:rPr>
            </w:pPr>
          </w:p>
        </w:tc>
        <w:tc>
          <w:tcPr>
            <w:tcW w:w="1044" w:type="dxa"/>
            <w:tcBorders>
              <w:left w:val="nil"/>
              <w:right w:val="nil"/>
            </w:tcBorders>
            <w:vAlign w:val="center"/>
          </w:tcPr>
          <w:p w14:paraId="421B4BC1" w14:textId="77777777" w:rsidR="00AE2D27" w:rsidRPr="00A00972" w:rsidRDefault="00AE2D27" w:rsidP="00AE2D27">
            <w:pPr>
              <w:pStyle w:val="Tabletext"/>
              <w:keepNext/>
              <w:widowControl w:val="0"/>
              <w:jc w:val="center"/>
              <w:rPr>
                <w:b/>
              </w:rPr>
            </w:pPr>
          </w:p>
        </w:tc>
        <w:tc>
          <w:tcPr>
            <w:tcW w:w="1044" w:type="dxa"/>
            <w:tcBorders>
              <w:left w:val="nil"/>
              <w:right w:val="nil"/>
            </w:tcBorders>
            <w:vAlign w:val="center"/>
          </w:tcPr>
          <w:p w14:paraId="2C360D6C" w14:textId="77777777" w:rsidR="00AE2D27" w:rsidRPr="00A00972" w:rsidRDefault="00AE2D27" w:rsidP="00AE2D27">
            <w:pPr>
              <w:pStyle w:val="Tabletext"/>
              <w:keepNext/>
              <w:widowControl w:val="0"/>
              <w:jc w:val="center"/>
              <w:rPr>
                <w:b/>
              </w:rPr>
            </w:pPr>
          </w:p>
        </w:tc>
        <w:tc>
          <w:tcPr>
            <w:tcW w:w="1044" w:type="dxa"/>
            <w:tcBorders>
              <w:left w:val="nil"/>
              <w:right w:val="nil"/>
            </w:tcBorders>
            <w:vAlign w:val="center"/>
          </w:tcPr>
          <w:p w14:paraId="30ADA7B3" w14:textId="77777777" w:rsidR="00AE2D27" w:rsidRPr="00A00972" w:rsidRDefault="00AE2D27" w:rsidP="00AE2D27">
            <w:pPr>
              <w:pStyle w:val="Tabletext"/>
              <w:keepNext/>
              <w:widowControl w:val="0"/>
              <w:jc w:val="center"/>
              <w:rPr>
                <w:b/>
              </w:rPr>
            </w:pPr>
          </w:p>
        </w:tc>
        <w:tc>
          <w:tcPr>
            <w:tcW w:w="1044" w:type="dxa"/>
            <w:tcBorders>
              <w:left w:val="nil"/>
            </w:tcBorders>
            <w:vAlign w:val="center"/>
          </w:tcPr>
          <w:p w14:paraId="1107521A" w14:textId="77777777" w:rsidR="00AE2D27" w:rsidRPr="00A00972" w:rsidRDefault="00AE2D27" w:rsidP="00AE2D27">
            <w:pPr>
              <w:pStyle w:val="Tabletext"/>
              <w:keepNext/>
              <w:widowControl w:val="0"/>
              <w:jc w:val="center"/>
              <w:rPr>
                <w:b/>
              </w:rPr>
            </w:pPr>
          </w:p>
        </w:tc>
      </w:tr>
      <w:tr w:rsidR="00AE2D27" w:rsidRPr="00E61EBA" w14:paraId="2CCD8B9E" w14:textId="77777777" w:rsidTr="00AE2D27">
        <w:tc>
          <w:tcPr>
            <w:tcW w:w="2863" w:type="dxa"/>
          </w:tcPr>
          <w:p w14:paraId="59EB9699" w14:textId="77777777" w:rsidR="00AE2D27" w:rsidRDefault="00AE2D27" w:rsidP="00AE2D27">
            <w:pPr>
              <w:pStyle w:val="Tabletext"/>
              <w:keepNext/>
              <w:widowControl w:val="0"/>
            </w:pPr>
            <w:r>
              <w:t>Total population- congenital</w:t>
            </w:r>
          </w:p>
        </w:tc>
        <w:tc>
          <w:tcPr>
            <w:tcW w:w="993" w:type="dxa"/>
            <w:vAlign w:val="center"/>
          </w:tcPr>
          <w:p w14:paraId="3DFD4353" w14:textId="77777777" w:rsidR="00AE2D27" w:rsidRDefault="00AE2D27" w:rsidP="00AE2D27">
            <w:pPr>
              <w:pStyle w:val="Tabletext"/>
              <w:keepNext/>
              <w:widowControl w:val="0"/>
              <w:jc w:val="center"/>
            </w:pPr>
          </w:p>
        </w:tc>
        <w:tc>
          <w:tcPr>
            <w:tcW w:w="1043" w:type="dxa"/>
            <w:vAlign w:val="center"/>
          </w:tcPr>
          <w:p w14:paraId="380C9587" w14:textId="77777777" w:rsidR="00AE2D27" w:rsidRPr="00497926" w:rsidRDefault="00AE2D27" w:rsidP="00AE2D27">
            <w:pPr>
              <w:pStyle w:val="Tabletext"/>
              <w:keepNext/>
              <w:widowControl w:val="0"/>
              <w:jc w:val="center"/>
            </w:pPr>
            <w:r>
              <w:t>94</w:t>
            </w:r>
          </w:p>
        </w:tc>
        <w:tc>
          <w:tcPr>
            <w:tcW w:w="1044" w:type="dxa"/>
            <w:vAlign w:val="center"/>
          </w:tcPr>
          <w:p w14:paraId="55D135BB" w14:textId="77777777" w:rsidR="00AE2D27" w:rsidRPr="005F39EC" w:rsidRDefault="00AE2D27" w:rsidP="00AE2D27">
            <w:pPr>
              <w:pStyle w:val="Tabletext"/>
              <w:keepNext/>
              <w:widowControl w:val="0"/>
              <w:jc w:val="center"/>
            </w:pPr>
            <w:r>
              <w:t>94</w:t>
            </w:r>
          </w:p>
        </w:tc>
        <w:tc>
          <w:tcPr>
            <w:tcW w:w="1044" w:type="dxa"/>
            <w:vAlign w:val="center"/>
          </w:tcPr>
          <w:p w14:paraId="56073108" w14:textId="77777777" w:rsidR="00AE2D27" w:rsidRPr="005F39EC" w:rsidRDefault="00AE2D27" w:rsidP="00AE2D27">
            <w:pPr>
              <w:pStyle w:val="Tabletext"/>
              <w:keepNext/>
              <w:widowControl w:val="0"/>
              <w:jc w:val="center"/>
            </w:pPr>
            <w:r>
              <w:t>94</w:t>
            </w:r>
          </w:p>
        </w:tc>
        <w:tc>
          <w:tcPr>
            <w:tcW w:w="1044" w:type="dxa"/>
            <w:vAlign w:val="center"/>
          </w:tcPr>
          <w:p w14:paraId="6CF0E189" w14:textId="77777777" w:rsidR="00AE2D27" w:rsidRPr="005F39EC" w:rsidRDefault="00AE2D27" w:rsidP="00AE2D27">
            <w:pPr>
              <w:pStyle w:val="Tabletext"/>
              <w:keepNext/>
              <w:widowControl w:val="0"/>
              <w:jc w:val="center"/>
            </w:pPr>
            <w:r>
              <w:t>94</w:t>
            </w:r>
          </w:p>
        </w:tc>
        <w:tc>
          <w:tcPr>
            <w:tcW w:w="1044" w:type="dxa"/>
            <w:vAlign w:val="center"/>
          </w:tcPr>
          <w:p w14:paraId="7009389B" w14:textId="77777777" w:rsidR="00AE2D27" w:rsidRPr="005F39EC" w:rsidRDefault="00AE2D27" w:rsidP="00AE2D27">
            <w:pPr>
              <w:pStyle w:val="Tabletext"/>
              <w:keepNext/>
              <w:widowControl w:val="0"/>
              <w:jc w:val="center"/>
            </w:pPr>
            <w:r>
              <w:t>94</w:t>
            </w:r>
          </w:p>
        </w:tc>
      </w:tr>
      <w:tr w:rsidR="00AE2D27" w:rsidRPr="00E61EBA" w14:paraId="652A8855" w14:textId="77777777" w:rsidTr="00AE2D27">
        <w:tc>
          <w:tcPr>
            <w:tcW w:w="2863" w:type="dxa"/>
          </w:tcPr>
          <w:p w14:paraId="6472093C" w14:textId="77777777" w:rsidR="00AE2D27" w:rsidRDefault="00AE2D27" w:rsidP="00AE2D27">
            <w:pPr>
              <w:pStyle w:val="Tabletext"/>
              <w:keepNext/>
              <w:widowControl w:val="0"/>
            </w:pPr>
            <w:r>
              <w:t xml:space="preserve">Nos of services </w:t>
            </w:r>
          </w:p>
        </w:tc>
        <w:tc>
          <w:tcPr>
            <w:tcW w:w="993" w:type="dxa"/>
            <w:vAlign w:val="center"/>
          </w:tcPr>
          <w:p w14:paraId="05D91EAA" w14:textId="77777777" w:rsidR="00AE2D27" w:rsidRDefault="00AE2D27" w:rsidP="00AE2D27">
            <w:pPr>
              <w:pStyle w:val="Tabletext"/>
              <w:keepNext/>
              <w:widowControl w:val="0"/>
              <w:jc w:val="center"/>
            </w:pPr>
          </w:p>
        </w:tc>
        <w:tc>
          <w:tcPr>
            <w:tcW w:w="1043" w:type="dxa"/>
            <w:vAlign w:val="center"/>
          </w:tcPr>
          <w:p w14:paraId="757A0764" w14:textId="77777777" w:rsidR="00AE2D27" w:rsidRDefault="00AE2D27" w:rsidP="00AE2D27">
            <w:pPr>
              <w:pStyle w:val="Tabletext"/>
              <w:keepNext/>
              <w:widowControl w:val="0"/>
              <w:jc w:val="center"/>
            </w:pPr>
            <w:r>
              <w:t>168.98</w:t>
            </w:r>
          </w:p>
        </w:tc>
        <w:tc>
          <w:tcPr>
            <w:tcW w:w="1044" w:type="dxa"/>
          </w:tcPr>
          <w:p w14:paraId="657A8AE6" w14:textId="77777777" w:rsidR="00AE2D27" w:rsidRDefault="00AE2D27" w:rsidP="00AE2D27">
            <w:pPr>
              <w:pStyle w:val="Tabletext"/>
              <w:keepNext/>
              <w:widowControl w:val="0"/>
              <w:jc w:val="center"/>
            </w:pPr>
            <w:r w:rsidRPr="008C3370">
              <w:t>168.98</w:t>
            </w:r>
          </w:p>
        </w:tc>
        <w:tc>
          <w:tcPr>
            <w:tcW w:w="1044" w:type="dxa"/>
          </w:tcPr>
          <w:p w14:paraId="292F9843" w14:textId="77777777" w:rsidR="00AE2D27" w:rsidRDefault="00AE2D27" w:rsidP="00AE2D27">
            <w:pPr>
              <w:pStyle w:val="Tabletext"/>
              <w:keepNext/>
              <w:widowControl w:val="0"/>
              <w:jc w:val="center"/>
            </w:pPr>
            <w:r w:rsidRPr="008C3370">
              <w:t>168.98</w:t>
            </w:r>
          </w:p>
        </w:tc>
        <w:tc>
          <w:tcPr>
            <w:tcW w:w="1044" w:type="dxa"/>
          </w:tcPr>
          <w:p w14:paraId="21F0FBBD" w14:textId="77777777" w:rsidR="00AE2D27" w:rsidRDefault="00AE2D27" w:rsidP="00AE2D27">
            <w:pPr>
              <w:pStyle w:val="Tabletext"/>
              <w:keepNext/>
              <w:widowControl w:val="0"/>
              <w:jc w:val="center"/>
            </w:pPr>
            <w:r w:rsidRPr="008C3370">
              <w:t>168.98</w:t>
            </w:r>
          </w:p>
        </w:tc>
        <w:tc>
          <w:tcPr>
            <w:tcW w:w="1044" w:type="dxa"/>
          </w:tcPr>
          <w:p w14:paraId="34F63A62" w14:textId="77777777" w:rsidR="00AE2D27" w:rsidRDefault="00AE2D27" w:rsidP="00AE2D27">
            <w:pPr>
              <w:pStyle w:val="Tabletext"/>
              <w:keepNext/>
              <w:widowControl w:val="0"/>
              <w:jc w:val="center"/>
            </w:pPr>
            <w:r w:rsidRPr="008C3370">
              <w:t>168.98</w:t>
            </w:r>
          </w:p>
        </w:tc>
      </w:tr>
      <w:tr w:rsidR="00AE2D27" w:rsidRPr="00E61EBA" w14:paraId="7777343A" w14:textId="77777777" w:rsidTr="00AE2D27">
        <w:tc>
          <w:tcPr>
            <w:tcW w:w="2863" w:type="dxa"/>
          </w:tcPr>
          <w:p w14:paraId="2BBD10B4" w14:textId="77777777" w:rsidR="00AE2D27" w:rsidRDefault="00AE2D27" w:rsidP="00AE2D27">
            <w:pPr>
              <w:pStyle w:val="Tabletext"/>
              <w:keepNext/>
              <w:widowControl w:val="0"/>
            </w:pPr>
            <w:r>
              <w:t>Total population- acquired</w:t>
            </w:r>
          </w:p>
        </w:tc>
        <w:tc>
          <w:tcPr>
            <w:tcW w:w="993" w:type="dxa"/>
            <w:vAlign w:val="center"/>
          </w:tcPr>
          <w:p w14:paraId="0F368B7B" w14:textId="77777777" w:rsidR="00AE2D27" w:rsidRDefault="00AE2D27" w:rsidP="00AE2D27">
            <w:pPr>
              <w:pStyle w:val="Tabletext"/>
              <w:keepNext/>
              <w:widowControl w:val="0"/>
              <w:jc w:val="center"/>
            </w:pPr>
          </w:p>
        </w:tc>
        <w:tc>
          <w:tcPr>
            <w:tcW w:w="1043" w:type="dxa"/>
            <w:vAlign w:val="center"/>
          </w:tcPr>
          <w:p w14:paraId="3A91A91A" w14:textId="77777777" w:rsidR="00AE2D27" w:rsidRPr="00497926" w:rsidRDefault="00AE2D27" w:rsidP="00AE2D27">
            <w:pPr>
              <w:pStyle w:val="Tabletext"/>
              <w:keepNext/>
              <w:widowControl w:val="0"/>
              <w:jc w:val="center"/>
            </w:pPr>
            <w:r>
              <w:t>492</w:t>
            </w:r>
          </w:p>
        </w:tc>
        <w:tc>
          <w:tcPr>
            <w:tcW w:w="1044" w:type="dxa"/>
            <w:vAlign w:val="center"/>
          </w:tcPr>
          <w:p w14:paraId="011125DD" w14:textId="77777777" w:rsidR="00AE2D27" w:rsidRPr="005F39EC" w:rsidRDefault="00AE2D27" w:rsidP="00AE2D27">
            <w:pPr>
              <w:pStyle w:val="Tabletext"/>
              <w:keepNext/>
              <w:widowControl w:val="0"/>
              <w:jc w:val="center"/>
            </w:pPr>
            <w:r>
              <w:t>492</w:t>
            </w:r>
          </w:p>
        </w:tc>
        <w:tc>
          <w:tcPr>
            <w:tcW w:w="1044" w:type="dxa"/>
            <w:vAlign w:val="center"/>
          </w:tcPr>
          <w:p w14:paraId="09E6337B" w14:textId="77777777" w:rsidR="00AE2D27" w:rsidRPr="005F39EC" w:rsidRDefault="00AE2D27" w:rsidP="00AE2D27">
            <w:pPr>
              <w:pStyle w:val="Tabletext"/>
              <w:keepNext/>
              <w:widowControl w:val="0"/>
              <w:jc w:val="center"/>
            </w:pPr>
            <w:r>
              <w:t>492</w:t>
            </w:r>
          </w:p>
        </w:tc>
        <w:tc>
          <w:tcPr>
            <w:tcW w:w="1044" w:type="dxa"/>
            <w:vAlign w:val="center"/>
          </w:tcPr>
          <w:p w14:paraId="5F519EE5" w14:textId="77777777" w:rsidR="00AE2D27" w:rsidRPr="005F39EC" w:rsidRDefault="00AE2D27" w:rsidP="00AE2D27">
            <w:pPr>
              <w:pStyle w:val="Tabletext"/>
              <w:keepNext/>
              <w:widowControl w:val="0"/>
              <w:jc w:val="center"/>
            </w:pPr>
            <w:r>
              <w:t>492</w:t>
            </w:r>
          </w:p>
        </w:tc>
        <w:tc>
          <w:tcPr>
            <w:tcW w:w="1044" w:type="dxa"/>
            <w:vAlign w:val="center"/>
          </w:tcPr>
          <w:p w14:paraId="594998C9" w14:textId="77777777" w:rsidR="00AE2D27" w:rsidRPr="005F39EC" w:rsidRDefault="00AE2D27" w:rsidP="00AE2D27">
            <w:pPr>
              <w:pStyle w:val="Tabletext"/>
              <w:keepNext/>
              <w:widowControl w:val="0"/>
              <w:jc w:val="center"/>
            </w:pPr>
            <w:r>
              <w:t>492</w:t>
            </w:r>
          </w:p>
        </w:tc>
      </w:tr>
      <w:tr w:rsidR="00AE2D27" w:rsidRPr="00E61EBA" w14:paraId="086B940C" w14:textId="77777777" w:rsidTr="00AE2D27">
        <w:tc>
          <w:tcPr>
            <w:tcW w:w="2863" w:type="dxa"/>
          </w:tcPr>
          <w:p w14:paraId="331B93C6" w14:textId="77777777" w:rsidR="00AE2D27" w:rsidRDefault="00AE2D27" w:rsidP="00AE2D27">
            <w:pPr>
              <w:pStyle w:val="Tabletext"/>
              <w:keepNext/>
              <w:widowControl w:val="0"/>
            </w:pPr>
            <w:r>
              <w:t>Nos of sessions</w:t>
            </w:r>
          </w:p>
        </w:tc>
        <w:tc>
          <w:tcPr>
            <w:tcW w:w="993" w:type="dxa"/>
            <w:vAlign w:val="center"/>
          </w:tcPr>
          <w:p w14:paraId="4400F2C3" w14:textId="77777777" w:rsidR="00AE2D27" w:rsidRDefault="00AE2D27" w:rsidP="00AE2D27">
            <w:pPr>
              <w:pStyle w:val="Tabletext"/>
              <w:keepNext/>
              <w:widowControl w:val="0"/>
              <w:jc w:val="center"/>
            </w:pPr>
          </w:p>
        </w:tc>
        <w:tc>
          <w:tcPr>
            <w:tcW w:w="1043" w:type="dxa"/>
          </w:tcPr>
          <w:p w14:paraId="736E08E4" w14:textId="77777777" w:rsidR="00AE2D27" w:rsidRDefault="00AE2D27" w:rsidP="00AE2D27">
            <w:pPr>
              <w:pStyle w:val="Tabletext"/>
              <w:keepNext/>
              <w:widowControl w:val="0"/>
              <w:jc w:val="center"/>
            </w:pPr>
            <w:r w:rsidRPr="000A0221">
              <w:t>688.27</w:t>
            </w:r>
          </w:p>
        </w:tc>
        <w:tc>
          <w:tcPr>
            <w:tcW w:w="1044" w:type="dxa"/>
          </w:tcPr>
          <w:p w14:paraId="5F57FBCD" w14:textId="77777777" w:rsidR="00AE2D27" w:rsidRDefault="00AE2D27" w:rsidP="00AE2D27">
            <w:pPr>
              <w:pStyle w:val="Tabletext"/>
              <w:keepNext/>
              <w:widowControl w:val="0"/>
              <w:jc w:val="center"/>
            </w:pPr>
            <w:r w:rsidRPr="000A0221">
              <w:t>688.27</w:t>
            </w:r>
          </w:p>
        </w:tc>
        <w:tc>
          <w:tcPr>
            <w:tcW w:w="1044" w:type="dxa"/>
          </w:tcPr>
          <w:p w14:paraId="4D63D3BE" w14:textId="77777777" w:rsidR="00AE2D27" w:rsidRDefault="00AE2D27" w:rsidP="00AE2D27">
            <w:pPr>
              <w:pStyle w:val="Tabletext"/>
              <w:keepNext/>
              <w:widowControl w:val="0"/>
              <w:jc w:val="center"/>
            </w:pPr>
            <w:r w:rsidRPr="000A0221">
              <w:t>688.27</w:t>
            </w:r>
          </w:p>
        </w:tc>
        <w:tc>
          <w:tcPr>
            <w:tcW w:w="1044" w:type="dxa"/>
          </w:tcPr>
          <w:p w14:paraId="09BF0BEC" w14:textId="77777777" w:rsidR="00AE2D27" w:rsidRDefault="00AE2D27" w:rsidP="00AE2D27">
            <w:pPr>
              <w:pStyle w:val="Tabletext"/>
              <w:keepNext/>
              <w:widowControl w:val="0"/>
              <w:jc w:val="center"/>
            </w:pPr>
            <w:r w:rsidRPr="000A0221">
              <w:t>688.27</w:t>
            </w:r>
          </w:p>
        </w:tc>
        <w:tc>
          <w:tcPr>
            <w:tcW w:w="1044" w:type="dxa"/>
          </w:tcPr>
          <w:p w14:paraId="013925CB" w14:textId="77777777" w:rsidR="00AE2D27" w:rsidRDefault="00AE2D27" w:rsidP="00AE2D27">
            <w:pPr>
              <w:pStyle w:val="Tabletext"/>
              <w:keepNext/>
              <w:widowControl w:val="0"/>
              <w:jc w:val="center"/>
            </w:pPr>
            <w:r w:rsidRPr="000A0221">
              <w:t>688.27</w:t>
            </w:r>
          </w:p>
        </w:tc>
      </w:tr>
      <w:tr w:rsidR="00AE2D27" w:rsidRPr="00E61EBA" w14:paraId="6BFE6791" w14:textId="77777777" w:rsidTr="00AE2D27">
        <w:tc>
          <w:tcPr>
            <w:tcW w:w="2863" w:type="dxa"/>
          </w:tcPr>
          <w:p w14:paraId="221B45C9" w14:textId="77777777" w:rsidR="00AE2D27" w:rsidRPr="00E61EBA" w:rsidRDefault="00AE2D27" w:rsidP="00AE2D27">
            <w:pPr>
              <w:pStyle w:val="Tabletext"/>
              <w:keepNext/>
              <w:widowControl w:val="0"/>
            </w:pPr>
            <w:r>
              <w:t>Total Number of AFG sessions</w:t>
            </w:r>
          </w:p>
        </w:tc>
        <w:tc>
          <w:tcPr>
            <w:tcW w:w="993" w:type="dxa"/>
            <w:vAlign w:val="center"/>
          </w:tcPr>
          <w:p w14:paraId="0B51028E" w14:textId="77777777" w:rsidR="00AE2D27" w:rsidRPr="00E61EBA" w:rsidRDefault="00AE2D27" w:rsidP="00AE2D27">
            <w:pPr>
              <w:pStyle w:val="Tabletext"/>
              <w:keepNext/>
              <w:widowControl w:val="0"/>
              <w:jc w:val="center"/>
            </w:pPr>
            <w:r>
              <w:t>A</w:t>
            </w:r>
          </w:p>
        </w:tc>
        <w:tc>
          <w:tcPr>
            <w:tcW w:w="1043" w:type="dxa"/>
            <w:vAlign w:val="center"/>
          </w:tcPr>
          <w:p w14:paraId="3DDBCB34" w14:textId="77777777" w:rsidR="00AE2D27" w:rsidRPr="00E61EBA" w:rsidRDefault="00AE2D27" w:rsidP="00AE2D27">
            <w:pPr>
              <w:pStyle w:val="Tabletext"/>
              <w:keepNext/>
              <w:widowControl w:val="0"/>
              <w:jc w:val="center"/>
            </w:pPr>
            <w:r w:rsidRPr="00497926">
              <w:t>857.25</w:t>
            </w:r>
          </w:p>
        </w:tc>
        <w:tc>
          <w:tcPr>
            <w:tcW w:w="1044" w:type="dxa"/>
          </w:tcPr>
          <w:p w14:paraId="340F6245" w14:textId="77777777" w:rsidR="00AE2D27" w:rsidRPr="00E61EBA" w:rsidRDefault="00AE2D27" w:rsidP="00AE2D27">
            <w:pPr>
              <w:pStyle w:val="Tabletext"/>
              <w:keepNext/>
              <w:widowControl w:val="0"/>
              <w:jc w:val="center"/>
            </w:pPr>
            <w:r w:rsidRPr="005F39EC">
              <w:t>857.25</w:t>
            </w:r>
          </w:p>
        </w:tc>
        <w:tc>
          <w:tcPr>
            <w:tcW w:w="1044" w:type="dxa"/>
          </w:tcPr>
          <w:p w14:paraId="4D39C117" w14:textId="77777777" w:rsidR="00AE2D27" w:rsidRPr="00E61EBA" w:rsidRDefault="00AE2D27" w:rsidP="00AE2D27">
            <w:pPr>
              <w:pStyle w:val="Tabletext"/>
              <w:keepNext/>
              <w:widowControl w:val="0"/>
              <w:jc w:val="center"/>
            </w:pPr>
            <w:r w:rsidRPr="005F39EC">
              <w:t>857.25</w:t>
            </w:r>
          </w:p>
        </w:tc>
        <w:tc>
          <w:tcPr>
            <w:tcW w:w="1044" w:type="dxa"/>
          </w:tcPr>
          <w:p w14:paraId="3BB168E5" w14:textId="77777777" w:rsidR="00AE2D27" w:rsidRPr="00E61EBA" w:rsidRDefault="00AE2D27" w:rsidP="00AE2D27">
            <w:pPr>
              <w:pStyle w:val="Tabletext"/>
              <w:keepNext/>
              <w:widowControl w:val="0"/>
              <w:jc w:val="center"/>
            </w:pPr>
            <w:r w:rsidRPr="005F39EC">
              <w:t>857.25</w:t>
            </w:r>
          </w:p>
        </w:tc>
        <w:tc>
          <w:tcPr>
            <w:tcW w:w="1044" w:type="dxa"/>
          </w:tcPr>
          <w:p w14:paraId="2011F55B" w14:textId="77777777" w:rsidR="00AE2D27" w:rsidRPr="00E61EBA" w:rsidRDefault="00AE2D27" w:rsidP="00AE2D27">
            <w:pPr>
              <w:pStyle w:val="Tabletext"/>
              <w:keepNext/>
              <w:widowControl w:val="0"/>
              <w:jc w:val="center"/>
            </w:pPr>
            <w:r w:rsidRPr="005F39EC">
              <w:t>857.25</w:t>
            </w:r>
          </w:p>
        </w:tc>
      </w:tr>
      <w:tr w:rsidR="00AE2D27" w:rsidRPr="00E61EBA" w14:paraId="5970D285" w14:textId="77777777" w:rsidTr="00AE2D27">
        <w:tc>
          <w:tcPr>
            <w:tcW w:w="2863" w:type="dxa"/>
          </w:tcPr>
          <w:p w14:paraId="19D818C5" w14:textId="77777777" w:rsidR="00AE2D27" w:rsidRPr="00E61EBA" w:rsidRDefault="00AE2D27" w:rsidP="00AE2D27">
            <w:pPr>
              <w:pStyle w:val="Tabletext"/>
              <w:keepNext/>
              <w:widowControl w:val="0"/>
            </w:pPr>
            <w:r>
              <w:t>Cost</w:t>
            </w:r>
            <w:r w:rsidRPr="00E61EBA">
              <w:t xml:space="preserve"> to MBS</w:t>
            </w:r>
            <w:r>
              <w:t xml:space="preserve"> for AFG</w:t>
            </w:r>
          </w:p>
        </w:tc>
        <w:tc>
          <w:tcPr>
            <w:tcW w:w="993" w:type="dxa"/>
            <w:vAlign w:val="center"/>
          </w:tcPr>
          <w:p w14:paraId="123AF10C" w14:textId="77777777" w:rsidR="00AE2D27" w:rsidRPr="00E61EBA" w:rsidRDefault="00AE2D27" w:rsidP="00AE2D27">
            <w:pPr>
              <w:pStyle w:val="Tabletext"/>
              <w:keepNext/>
              <w:widowControl w:val="0"/>
              <w:jc w:val="center"/>
            </w:pPr>
            <w:r>
              <w:t>B</w:t>
            </w:r>
          </w:p>
        </w:tc>
        <w:tc>
          <w:tcPr>
            <w:tcW w:w="1043" w:type="dxa"/>
          </w:tcPr>
          <w:p w14:paraId="7A3E04AA" w14:textId="77777777" w:rsidR="00AE2D27" w:rsidRPr="00E61EBA" w:rsidRDefault="00AE2D27" w:rsidP="00AE2D27">
            <w:pPr>
              <w:pStyle w:val="Tabletext"/>
              <w:keepNext/>
              <w:widowControl w:val="0"/>
              <w:jc w:val="center"/>
            </w:pPr>
            <w:r w:rsidRPr="00497926">
              <w:t>$550,227</w:t>
            </w:r>
          </w:p>
        </w:tc>
        <w:tc>
          <w:tcPr>
            <w:tcW w:w="1044" w:type="dxa"/>
          </w:tcPr>
          <w:p w14:paraId="3845ED83" w14:textId="77777777" w:rsidR="00AE2D27" w:rsidRPr="00E61EBA" w:rsidRDefault="00AE2D27" w:rsidP="00AE2D27">
            <w:pPr>
              <w:pStyle w:val="Tabletext"/>
              <w:keepNext/>
              <w:widowControl w:val="0"/>
              <w:jc w:val="center"/>
            </w:pPr>
            <w:r w:rsidRPr="00394424">
              <w:t>$550,227</w:t>
            </w:r>
          </w:p>
        </w:tc>
        <w:tc>
          <w:tcPr>
            <w:tcW w:w="1044" w:type="dxa"/>
          </w:tcPr>
          <w:p w14:paraId="6DB588E3" w14:textId="77777777" w:rsidR="00AE2D27" w:rsidRPr="00E61EBA" w:rsidRDefault="00AE2D27" w:rsidP="00AE2D27">
            <w:pPr>
              <w:pStyle w:val="Tabletext"/>
              <w:keepNext/>
              <w:widowControl w:val="0"/>
              <w:jc w:val="center"/>
            </w:pPr>
            <w:r w:rsidRPr="00394424">
              <w:t>$550,227</w:t>
            </w:r>
          </w:p>
        </w:tc>
        <w:tc>
          <w:tcPr>
            <w:tcW w:w="1044" w:type="dxa"/>
          </w:tcPr>
          <w:p w14:paraId="6851658C" w14:textId="77777777" w:rsidR="00AE2D27" w:rsidRPr="00E61EBA" w:rsidRDefault="00AE2D27" w:rsidP="00AE2D27">
            <w:pPr>
              <w:pStyle w:val="Tabletext"/>
              <w:keepNext/>
              <w:widowControl w:val="0"/>
              <w:jc w:val="center"/>
            </w:pPr>
            <w:r w:rsidRPr="00394424">
              <w:t>$550,227</w:t>
            </w:r>
          </w:p>
        </w:tc>
        <w:tc>
          <w:tcPr>
            <w:tcW w:w="1044" w:type="dxa"/>
          </w:tcPr>
          <w:p w14:paraId="15B19A15" w14:textId="77777777" w:rsidR="00AE2D27" w:rsidRPr="00E61EBA" w:rsidRDefault="00AE2D27" w:rsidP="00AE2D27">
            <w:pPr>
              <w:pStyle w:val="Tabletext"/>
              <w:keepNext/>
              <w:widowControl w:val="0"/>
              <w:jc w:val="center"/>
            </w:pPr>
            <w:r w:rsidRPr="00394424">
              <w:t>$550,227</w:t>
            </w:r>
          </w:p>
        </w:tc>
      </w:tr>
      <w:tr w:rsidR="00AE2D27" w:rsidRPr="00E61EBA" w14:paraId="26A92664" w14:textId="77777777" w:rsidTr="00AE2D27">
        <w:tc>
          <w:tcPr>
            <w:tcW w:w="2863" w:type="dxa"/>
          </w:tcPr>
          <w:p w14:paraId="58492FAD" w14:textId="77777777" w:rsidR="00AE2D27" w:rsidRPr="00E61EBA" w:rsidRDefault="00AE2D27" w:rsidP="00AE2D27">
            <w:pPr>
              <w:pStyle w:val="Tabletext"/>
              <w:keepNext/>
              <w:widowControl w:val="0"/>
            </w:pPr>
            <w:r>
              <w:t>Co-payment subtracted</w:t>
            </w:r>
          </w:p>
        </w:tc>
        <w:tc>
          <w:tcPr>
            <w:tcW w:w="993" w:type="dxa"/>
            <w:vAlign w:val="center"/>
          </w:tcPr>
          <w:p w14:paraId="0AB6E741" w14:textId="77777777" w:rsidR="00AE2D27" w:rsidRPr="00E61EBA" w:rsidRDefault="00AE2D27" w:rsidP="00AE2D27">
            <w:pPr>
              <w:pStyle w:val="Tabletext"/>
              <w:keepNext/>
              <w:widowControl w:val="0"/>
              <w:jc w:val="center"/>
            </w:pPr>
            <w:r>
              <w:t>C</w:t>
            </w:r>
          </w:p>
        </w:tc>
        <w:tc>
          <w:tcPr>
            <w:tcW w:w="1043" w:type="dxa"/>
          </w:tcPr>
          <w:p w14:paraId="25D24F34" w14:textId="77777777" w:rsidR="00AE2D27" w:rsidRPr="00424586" w:rsidRDefault="00AE2D27" w:rsidP="00AE2D27">
            <w:pPr>
              <w:pStyle w:val="Tabletext"/>
              <w:keepNext/>
              <w:widowControl w:val="0"/>
              <w:jc w:val="center"/>
            </w:pPr>
            <w:r w:rsidRPr="00497926">
              <w:t>$412,671</w:t>
            </w:r>
          </w:p>
        </w:tc>
        <w:tc>
          <w:tcPr>
            <w:tcW w:w="1044" w:type="dxa"/>
          </w:tcPr>
          <w:p w14:paraId="10354646" w14:textId="77777777" w:rsidR="00AE2D27" w:rsidRPr="00424586" w:rsidRDefault="00AE2D27" w:rsidP="00AE2D27">
            <w:pPr>
              <w:pStyle w:val="Tabletext"/>
              <w:keepNext/>
              <w:widowControl w:val="0"/>
              <w:jc w:val="center"/>
            </w:pPr>
            <w:r w:rsidRPr="007359D3">
              <w:t>$412,671</w:t>
            </w:r>
          </w:p>
        </w:tc>
        <w:tc>
          <w:tcPr>
            <w:tcW w:w="1044" w:type="dxa"/>
          </w:tcPr>
          <w:p w14:paraId="66D5B0BC" w14:textId="77777777" w:rsidR="00AE2D27" w:rsidRPr="00424586" w:rsidRDefault="00AE2D27" w:rsidP="00AE2D27">
            <w:pPr>
              <w:pStyle w:val="Tabletext"/>
              <w:keepNext/>
              <w:widowControl w:val="0"/>
              <w:jc w:val="center"/>
            </w:pPr>
            <w:r w:rsidRPr="007359D3">
              <w:t>$412,671</w:t>
            </w:r>
          </w:p>
        </w:tc>
        <w:tc>
          <w:tcPr>
            <w:tcW w:w="1044" w:type="dxa"/>
          </w:tcPr>
          <w:p w14:paraId="2EEA1D2D" w14:textId="77777777" w:rsidR="00AE2D27" w:rsidRPr="00424586" w:rsidRDefault="00AE2D27" w:rsidP="00AE2D27">
            <w:pPr>
              <w:pStyle w:val="Tabletext"/>
              <w:keepNext/>
              <w:widowControl w:val="0"/>
              <w:jc w:val="center"/>
            </w:pPr>
            <w:r w:rsidRPr="007359D3">
              <w:t>$412,671</w:t>
            </w:r>
          </w:p>
        </w:tc>
        <w:tc>
          <w:tcPr>
            <w:tcW w:w="1044" w:type="dxa"/>
          </w:tcPr>
          <w:p w14:paraId="666E0B02" w14:textId="77777777" w:rsidR="00AE2D27" w:rsidRPr="00424586" w:rsidRDefault="00AE2D27" w:rsidP="00AE2D27">
            <w:pPr>
              <w:pStyle w:val="Tabletext"/>
              <w:keepNext/>
              <w:widowControl w:val="0"/>
              <w:jc w:val="center"/>
            </w:pPr>
            <w:r w:rsidRPr="007359D3">
              <w:t>$412,671</w:t>
            </w:r>
          </w:p>
        </w:tc>
      </w:tr>
      <w:tr w:rsidR="00AE2D27" w:rsidRPr="00E61EBA" w14:paraId="20849C65" w14:textId="77777777" w:rsidTr="00AE2D27">
        <w:tc>
          <w:tcPr>
            <w:tcW w:w="2863" w:type="dxa"/>
          </w:tcPr>
          <w:p w14:paraId="42329BED" w14:textId="77777777" w:rsidR="00AE2D27" w:rsidRDefault="00AE2D27" w:rsidP="00AE2D27">
            <w:pPr>
              <w:pStyle w:val="Tabletext"/>
              <w:keepNext/>
              <w:widowControl w:val="0"/>
            </w:pPr>
            <w:r>
              <w:t>Co-administered services currently MBS listed (MBS 20100) anaesthesia for AFG</w:t>
            </w:r>
          </w:p>
        </w:tc>
        <w:tc>
          <w:tcPr>
            <w:tcW w:w="993" w:type="dxa"/>
            <w:vAlign w:val="center"/>
          </w:tcPr>
          <w:p w14:paraId="2A94A585" w14:textId="77777777" w:rsidR="00AE2D27" w:rsidRDefault="00AE2D27" w:rsidP="00AE2D27">
            <w:pPr>
              <w:pStyle w:val="Tabletext"/>
              <w:keepNext/>
              <w:widowControl w:val="0"/>
              <w:jc w:val="center"/>
            </w:pPr>
            <w:r>
              <w:t>D</w:t>
            </w:r>
          </w:p>
        </w:tc>
        <w:tc>
          <w:tcPr>
            <w:tcW w:w="1043" w:type="dxa"/>
            <w:vAlign w:val="center"/>
          </w:tcPr>
          <w:p w14:paraId="239EB1AA" w14:textId="77777777" w:rsidR="00AE2D27" w:rsidRPr="00497926" w:rsidRDefault="00AE2D27" w:rsidP="00AE2D27">
            <w:pPr>
              <w:pStyle w:val="Tabletext"/>
              <w:keepNext/>
              <w:widowControl w:val="0"/>
              <w:jc w:val="center"/>
            </w:pPr>
            <w:r w:rsidRPr="00B9225A">
              <w:t>$309.35</w:t>
            </w:r>
          </w:p>
        </w:tc>
        <w:tc>
          <w:tcPr>
            <w:tcW w:w="1044" w:type="dxa"/>
            <w:vAlign w:val="center"/>
          </w:tcPr>
          <w:p w14:paraId="1A129223" w14:textId="77777777" w:rsidR="00AE2D27" w:rsidRPr="007359D3" w:rsidRDefault="00AE2D27" w:rsidP="00AE2D27">
            <w:pPr>
              <w:pStyle w:val="Tabletext"/>
              <w:keepNext/>
              <w:widowControl w:val="0"/>
              <w:jc w:val="center"/>
            </w:pPr>
            <w:r w:rsidRPr="00B9225A">
              <w:t>$309.35</w:t>
            </w:r>
          </w:p>
        </w:tc>
        <w:tc>
          <w:tcPr>
            <w:tcW w:w="1044" w:type="dxa"/>
            <w:vAlign w:val="center"/>
          </w:tcPr>
          <w:p w14:paraId="557D1836" w14:textId="77777777" w:rsidR="00AE2D27" w:rsidRPr="007359D3" w:rsidRDefault="00AE2D27" w:rsidP="00AE2D27">
            <w:pPr>
              <w:pStyle w:val="Tabletext"/>
              <w:keepNext/>
              <w:widowControl w:val="0"/>
              <w:jc w:val="center"/>
            </w:pPr>
            <w:r w:rsidRPr="00B9225A">
              <w:t>$309.35</w:t>
            </w:r>
          </w:p>
        </w:tc>
        <w:tc>
          <w:tcPr>
            <w:tcW w:w="1044" w:type="dxa"/>
            <w:vAlign w:val="center"/>
          </w:tcPr>
          <w:p w14:paraId="3B16C51B" w14:textId="77777777" w:rsidR="00AE2D27" w:rsidRPr="007359D3" w:rsidRDefault="00AE2D27" w:rsidP="00AE2D27">
            <w:pPr>
              <w:pStyle w:val="Tabletext"/>
              <w:keepNext/>
              <w:widowControl w:val="0"/>
              <w:jc w:val="center"/>
            </w:pPr>
            <w:r w:rsidRPr="00B9225A">
              <w:t>$309.35</w:t>
            </w:r>
          </w:p>
        </w:tc>
        <w:tc>
          <w:tcPr>
            <w:tcW w:w="1044" w:type="dxa"/>
            <w:vAlign w:val="center"/>
          </w:tcPr>
          <w:p w14:paraId="73946F74" w14:textId="77777777" w:rsidR="00AE2D27" w:rsidRPr="007359D3" w:rsidRDefault="00AE2D27" w:rsidP="00AE2D27">
            <w:pPr>
              <w:pStyle w:val="Tabletext"/>
              <w:keepNext/>
              <w:widowControl w:val="0"/>
              <w:jc w:val="center"/>
            </w:pPr>
            <w:r w:rsidRPr="00B9225A">
              <w:t>$309.35</w:t>
            </w:r>
          </w:p>
        </w:tc>
      </w:tr>
      <w:tr w:rsidR="00AE2D27" w:rsidRPr="00E61EBA" w14:paraId="7A04574E" w14:textId="77777777" w:rsidTr="00AE2D27">
        <w:tc>
          <w:tcPr>
            <w:tcW w:w="2863" w:type="dxa"/>
          </w:tcPr>
          <w:p w14:paraId="1A708DDC" w14:textId="77777777" w:rsidR="00AE2D27" w:rsidRDefault="00AE2D27" w:rsidP="00AE2D27">
            <w:pPr>
              <w:pStyle w:val="Tabletext"/>
              <w:keepNext/>
              <w:widowControl w:val="0"/>
            </w:pPr>
            <w:r>
              <w:t>Costs to MBS</w:t>
            </w:r>
          </w:p>
        </w:tc>
        <w:tc>
          <w:tcPr>
            <w:tcW w:w="993" w:type="dxa"/>
            <w:vAlign w:val="center"/>
          </w:tcPr>
          <w:p w14:paraId="6AFEE91E" w14:textId="77777777" w:rsidR="00AE2D27" w:rsidRDefault="00AE2D27" w:rsidP="00AE2D27">
            <w:pPr>
              <w:pStyle w:val="Tabletext"/>
              <w:keepNext/>
              <w:widowControl w:val="0"/>
              <w:jc w:val="center"/>
            </w:pPr>
            <w:r>
              <w:t>E=A*D</w:t>
            </w:r>
          </w:p>
        </w:tc>
        <w:tc>
          <w:tcPr>
            <w:tcW w:w="1043" w:type="dxa"/>
          </w:tcPr>
          <w:p w14:paraId="50420694" w14:textId="77777777" w:rsidR="00AE2D27" w:rsidRPr="00B91DE8" w:rsidRDefault="00AE2D27" w:rsidP="00AE2D27">
            <w:pPr>
              <w:pStyle w:val="Tabletext"/>
              <w:keepNext/>
              <w:widowControl w:val="0"/>
              <w:jc w:val="center"/>
            </w:pPr>
            <w:r w:rsidRPr="00497926">
              <w:t>$265,191</w:t>
            </w:r>
          </w:p>
        </w:tc>
        <w:tc>
          <w:tcPr>
            <w:tcW w:w="1044" w:type="dxa"/>
          </w:tcPr>
          <w:p w14:paraId="10033E26" w14:textId="77777777" w:rsidR="00AE2D27" w:rsidRPr="00B91DE8" w:rsidRDefault="00AE2D27" w:rsidP="00AE2D27">
            <w:pPr>
              <w:pStyle w:val="Tabletext"/>
              <w:keepNext/>
              <w:widowControl w:val="0"/>
              <w:jc w:val="center"/>
            </w:pPr>
            <w:r w:rsidRPr="004B24CA">
              <w:t>$265,191</w:t>
            </w:r>
          </w:p>
        </w:tc>
        <w:tc>
          <w:tcPr>
            <w:tcW w:w="1044" w:type="dxa"/>
          </w:tcPr>
          <w:p w14:paraId="6773FE3C" w14:textId="77777777" w:rsidR="00AE2D27" w:rsidRPr="00B91DE8" w:rsidRDefault="00AE2D27" w:rsidP="00AE2D27">
            <w:pPr>
              <w:pStyle w:val="Tabletext"/>
              <w:keepNext/>
              <w:widowControl w:val="0"/>
              <w:jc w:val="center"/>
            </w:pPr>
            <w:r w:rsidRPr="004B24CA">
              <w:t>$265,191</w:t>
            </w:r>
          </w:p>
        </w:tc>
        <w:tc>
          <w:tcPr>
            <w:tcW w:w="1044" w:type="dxa"/>
          </w:tcPr>
          <w:p w14:paraId="67ED3A1B" w14:textId="77777777" w:rsidR="00AE2D27" w:rsidRPr="00B91DE8" w:rsidRDefault="00AE2D27" w:rsidP="00AE2D27">
            <w:pPr>
              <w:pStyle w:val="Tabletext"/>
              <w:keepNext/>
              <w:widowControl w:val="0"/>
              <w:jc w:val="center"/>
            </w:pPr>
            <w:r w:rsidRPr="004B24CA">
              <w:t>$265,191</w:t>
            </w:r>
          </w:p>
        </w:tc>
        <w:tc>
          <w:tcPr>
            <w:tcW w:w="1044" w:type="dxa"/>
          </w:tcPr>
          <w:p w14:paraId="12DB16BF" w14:textId="77777777" w:rsidR="00AE2D27" w:rsidRPr="00B91DE8" w:rsidRDefault="00AE2D27" w:rsidP="00AE2D27">
            <w:pPr>
              <w:pStyle w:val="Tabletext"/>
              <w:keepNext/>
              <w:widowControl w:val="0"/>
              <w:jc w:val="center"/>
            </w:pPr>
            <w:r w:rsidRPr="004B24CA">
              <w:t>$265,191</w:t>
            </w:r>
          </w:p>
        </w:tc>
      </w:tr>
      <w:tr w:rsidR="00AE2D27" w:rsidRPr="00E61EBA" w14:paraId="5E064A06" w14:textId="77777777" w:rsidTr="00AE2D27">
        <w:tc>
          <w:tcPr>
            <w:tcW w:w="2863" w:type="dxa"/>
            <w:tcBorders>
              <w:right w:val="nil"/>
            </w:tcBorders>
          </w:tcPr>
          <w:p w14:paraId="139634D7" w14:textId="77777777" w:rsidR="00AE2D27" w:rsidRPr="000C6350" w:rsidRDefault="00AE2D27" w:rsidP="00AE2D27">
            <w:pPr>
              <w:pStyle w:val="Tabletext"/>
              <w:keepNext/>
              <w:widowControl w:val="0"/>
              <w:rPr>
                <w:b/>
                <w:i/>
              </w:rPr>
            </w:pPr>
            <w:r w:rsidRPr="000C6350">
              <w:rPr>
                <w:b/>
                <w:i/>
              </w:rPr>
              <w:t>Other MBS items for AFG</w:t>
            </w:r>
          </w:p>
        </w:tc>
        <w:tc>
          <w:tcPr>
            <w:tcW w:w="993" w:type="dxa"/>
            <w:tcBorders>
              <w:left w:val="nil"/>
              <w:right w:val="nil"/>
            </w:tcBorders>
            <w:vAlign w:val="center"/>
          </w:tcPr>
          <w:p w14:paraId="0475C5FF" w14:textId="77777777" w:rsidR="00AE2D27" w:rsidRDefault="00AE2D27" w:rsidP="00AE2D27">
            <w:pPr>
              <w:pStyle w:val="Tabletext"/>
              <w:keepNext/>
              <w:widowControl w:val="0"/>
              <w:jc w:val="center"/>
            </w:pPr>
          </w:p>
        </w:tc>
        <w:tc>
          <w:tcPr>
            <w:tcW w:w="1043" w:type="dxa"/>
            <w:tcBorders>
              <w:left w:val="nil"/>
              <w:right w:val="nil"/>
            </w:tcBorders>
          </w:tcPr>
          <w:p w14:paraId="3539695B" w14:textId="77777777" w:rsidR="00AE2D27" w:rsidRPr="00497926" w:rsidRDefault="00AE2D27" w:rsidP="00AE2D27">
            <w:pPr>
              <w:pStyle w:val="Tabletext"/>
              <w:keepNext/>
              <w:widowControl w:val="0"/>
              <w:jc w:val="center"/>
            </w:pPr>
          </w:p>
        </w:tc>
        <w:tc>
          <w:tcPr>
            <w:tcW w:w="1044" w:type="dxa"/>
            <w:tcBorders>
              <w:left w:val="nil"/>
              <w:right w:val="nil"/>
            </w:tcBorders>
          </w:tcPr>
          <w:p w14:paraId="768B97DB" w14:textId="77777777" w:rsidR="00AE2D27" w:rsidRPr="004B24CA" w:rsidRDefault="00AE2D27" w:rsidP="00AE2D27">
            <w:pPr>
              <w:pStyle w:val="Tabletext"/>
              <w:keepNext/>
              <w:widowControl w:val="0"/>
              <w:jc w:val="center"/>
            </w:pPr>
          </w:p>
        </w:tc>
        <w:tc>
          <w:tcPr>
            <w:tcW w:w="1044" w:type="dxa"/>
            <w:tcBorders>
              <w:left w:val="nil"/>
              <w:right w:val="nil"/>
            </w:tcBorders>
          </w:tcPr>
          <w:p w14:paraId="644D978E" w14:textId="77777777" w:rsidR="00AE2D27" w:rsidRPr="004B24CA" w:rsidRDefault="00AE2D27" w:rsidP="00AE2D27">
            <w:pPr>
              <w:pStyle w:val="Tabletext"/>
              <w:keepNext/>
              <w:widowControl w:val="0"/>
              <w:jc w:val="center"/>
            </w:pPr>
          </w:p>
        </w:tc>
        <w:tc>
          <w:tcPr>
            <w:tcW w:w="1044" w:type="dxa"/>
            <w:tcBorders>
              <w:left w:val="nil"/>
              <w:right w:val="nil"/>
            </w:tcBorders>
          </w:tcPr>
          <w:p w14:paraId="0FBC0B1D" w14:textId="77777777" w:rsidR="00AE2D27" w:rsidRPr="004B24CA" w:rsidRDefault="00AE2D27" w:rsidP="00AE2D27">
            <w:pPr>
              <w:pStyle w:val="Tabletext"/>
              <w:keepNext/>
              <w:widowControl w:val="0"/>
              <w:jc w:val="center"/>
            </w:pPr>
          </w:p>
        </w:tc>
        <w:tc>
          <w:tcPr>
            <w:tcW w:w="1044" w:type="dxa"/>
            <w:tcBorders>
              <w:left w:val="nil"/>
            </w:tcBorders>
          </w:tcPr>
          <w:p w14:paraId="3C0319EC" w14:textId="77777777" w:rsidR="00AE2D27" w:rsidRPr="004B24CA" w:rsidRDefault="00AE2D27" w:rsidP="00AE2D27">
            <w:pPr>
              <w:pStyle w:val="Tabletext"/>
              <w:keepNext/>
              <w:widowControl w:val="0"/>
              <w:jc w:val="center"/>
            </w:pPr>
          </w:p>
        </w:tc>
      </w:tr>
      <w:tr w:rsidR="00AE2D27" w:rsidRPr="00E61EBA" w14:paraId="10616FC0" w14:textId="77777777" w:rsidTr="00AE2D27">
        <w:tc>
          <w:tcPr>
            <w:tcW w:w="2863" w:type="dxa"/>
          </w:tcPr>
          <w:p w14:paraId="3252B979" w14:textId="77777777" w:rsidR="00AE2D27" w:rsidRDefault="00AE2D27" w:rsidP="00AE2D27">
            <w:pPr>
              <w:pStyle w:val="Tabletext"/>
              <w:keepNext/>
              <w:widowControl w:val="0"/>
            </w:pPr>
            <w:r>
              <w:t>MBS item 45564 ( require follow up flap surgery)</w:t>
            </w:r>
          </w:p>
        </w:tc>
        <w:tc>
          <w:tcPr>
            <w:tcW w:w="993" w:type="dxa"/>
            <w:vAlign w:val="center"/>
          </w:tcPr>
          <w:p w14:paraId="2AA22303" w14:textId="77777777" w:rsidR="00AE2D27" w:rsidRDefault="00AE2D27" w:rsidP="00AE2D27">
            <w:pPr>
              <w:pStyle w:val="Tabletext"/>
              <w:keepNext/>
              <w:widowControl w:val="0"/>
              <w:jc w:val="center"/>
            </w:pPr>
            <w:r>
              <w:t>F</w:t>
            </w:r>
          </w:p>
        </w:tc>
        <w:tc>
          <w:tcPr>
            <w:tcW w:w="1043" w:type="dxa"/>
            <w:vAlign w:val="center"/>
          </w:tcPr>
          <w:p w14:paraId="2925EB94" w14:textId="77777777" w:rsidR="00AE2D27" w:rsidRPr="00497926" w:rsidRDefault="00AE2D27" w:rsidP="00AE2D27">
            <w:pPr>
              <w:pStyle w:val="Tabletext"/>
              <w:keepNext/>
              <w:widowControl w:val="0"/>
              <w:jc w:val="center"/>
            </w:pPr>
            <w:r>
              <w:t>117</w:t>
            </w:r>
          </w:p>
        </w:tc>
        <w:tc>
          <w:tcPr>
            <w:tcW w:w="1044" w:type="dxa"/>
            <w:vAlign w:val="center"/>
          </w:tcPr>
          <w:p w14:paraId="2ECB5D2A" w14:textId="77777777" w:rsidR="00AE2D27" w:rsidRPr="004B24CA" w:rsidRDefault="00AE2D27" w:rsidP="00AE2D27">
            <w:pPr>
              <w:pStyle w:val="Tabletext"/>
              <w:keepNext/>
              <w:widowControl w:val="0"/>
              <w:jc w:val="center"/>
            </w:pPr>
            <w:r w:rsidRPr="006B71AE">
              <w:t>117</w:t>
            </w:r>
          </w:p>
        </w:tc>
        <w:tc>
          <w:tcPr>
            <w:tcW w:w="1044" w:type="dxa"/>
            <w:vAlign w:val="center"/>
          </w:tcPr>
          <w:p w14:paraId="4AC1EA46" w14:textId="77777777" w:rsidR="00AE2D27" w:rsidRPr="004B24CA" w:rsidRDefault="00AE2D27" w:rsidP="00AE2D27">
            <w:pPr>
              <w:pStyle w:val="Tabletext"/>
              <w:keepNext/>
              <w:widowControl w:val="0"/>
              <w:jc w:val="center"/>
            </w:pPr>
            <w:r w:rsidRPr="006B71AE">
              <w:t>117</w:t>
            </w:r>
          </w:p>
        </w:tc>
        <w:tc>
          <w:tcPr>
            <w:tcW w:w="1044" w:type="dxa"/>
            <w:vAlign w:val="center"/>
          </w:tcPr>
          <w:p w14:paraId="0C456D5A" w14:textId="77777777" w:rsidR="00AE2D27" w:rsidRPr="004B24CA" w:rsidRDefault="00AE2D27" w:rsidP="00AE2D27">
            <w:pPr>
              <w:pStyle w:val="Tabletext"/>
              <w:keepNext/>
              <w:widowControl w:val="0"/>
              <w:jc w:val="center"/>
            </w:pPr>
            <w:r w:rsidRPr="006B71AE">
              <w:t>117</w:t>
            </w:r>
          </w:p>
        </w:tc>
        <w:tc>
          <w:tcPr>
            <w:tcW w:w="1044" w:type="dxa"/>
            <w:vAlign w:val="center"/>
          </w:tcPr>
          <w:p w14:paraId="5E80DB14" w14:textId="77777777" w:rsidR="00AE2D27" w:rsidRPr="004B24CA" w:rsidRDefault="00AE2D27" w:rsidP="00AE2D27">
            <w:pPr>
              <w:pStyle w:val="Tabletext"/>
              <w:keepNext/>
              <w:widowControl w:val="0"/>
              <w:jc w:val="center"/>
            </w:pPr>
            <w:r w:rsidRPr="006B71AE">
              <w:t>117</w:t>
            </w:r>
          </w:p>
        </w:tc>
      </w:tr>
      <w:tr w:rsidR="00AE2D27" w:rsidRPr="00E61EBA" w14:paraId="168A94C9" w14:textId="77777777" w:rsidTr="00AE2D27">
        <w:tc>
          <w:tcPr>
            <w:tcW w:w="2863" w:type="dxa"/>
          </w:tcPr>
          <w:p w14:paraId="0508D84B" w14:textId="77777777" w:rsidR="00AE2D27" w:rsidRDefault="00AE2D27" w:rsidP="00AE2D27">
            <w:pPr>
              <w:pStyle w:val="Tabletext"/>
              <w:keepNext/>
              <w:widowControl w:val="0"/>
            </w:pPr>
            <w:r>
              <w:t>MBS costs of flap surgery</w:t>
            </w:r>
          </w:p>
        </w:tc>
        <w:tc>
          <w:tcPr>
            <w:tcW w:w="993" w:type="dxa"/>
            <w:vAlign w:val="center"/>
          </w:tcPr>
          <w:p w14:paraId="3F5E69EC" w14:textId="77777777" w:rsidR="00AE2D27" w:rsidRDefault="00AE2D27" w:rsidP="00AE2D27">
            <w:pPr>
              <w:pStyle w:val="Tabletext"/>
              <w:keepNext/>
              <w:widowControl w:val="0"/>
              <w:jc w:val="center"/>
            </w:pPr>
            <w:r>
              <w:t>G</w:t>
            </w:r>
          </w:p>
        </w:tc>
        <w:tc>
          <w:tcPr>
            <w:tcW w:w="1043" w:type="dxa"/>
          </w:tcPr>
          <w:p w14:paraId="241250D0" w14:textId="77777777" w:rsidR="00AE2D27" w:rsidRPr="00497926" w:rsidRDefault="00AE2D27" w:rsidP="00AE2D27">
            <w:pPr>
              <w:pStyle w:val="Tabletext"/>
              <w:keepNext/>
              <w:widowControl w:val="0"/>
              <w:jc w:val="center"/>
            </w:pPr>
            <w:r w:rsidRPr="00497926">
              <w:t>$227,215</w:t>
            </w:r>
          </w:p>
        </w:tc>
        <w:tc>
          <w:tcPr>
            <w:tcW w:w="1044" w:type="dxa"/>
          </w:tcPr>
          <w:p w14:paraId="6DB2F960" w14:textId="77777777" w:rsidR="00AE2D27" w:rsidRPr="004B24CA" w:rsidRDefault="00AE2D27" w:rsidP="00AE2D27">
            <w:pPr>
              <w:pStyle w:val="Tabletext"/>
              <w:keepNext/>
              <w:widowControl w:val="0"/>
              <w:jc w:val="center"/>
            </w:pPr>
            <w:r w:rsidRPr="009F6426">
              <w:t>$227,215</w:t>
            </w:r>
          </w:p>
        </w:tc>
        <w:tc>
          <w:tcPr>
            <w:tcW w:w="1044" w:type="dxa"/>
          </w:tcPr>
          <w:p w14:paraId="0615D276" w14:textId="77777777" w:rsidR="00AE2D27" w:rsidRPr="004B24CA" w:rsidRDefault="00AE2D27" w:rsidP="00AE2D27">
            <w:pPr>
              <w:pStyle w:val="Tabletext"/>
              <w:keepNext/>
              <w:widowControl w:val="0"/>
              <w:jc w:val="center"/>
            </w:pPr>
            <w:r w:rsidRPr="009F6426">
              <w:t>$227,215</w:t>
            </w:r>
          </w:p>
        </w:tc>
        <w:tc>
          <w:tcPr>
            <w:tcW w:w="1044" w:type="dxa"/>
          </w:tcPr>
          <w:p w14:paraId="0E37B2A4" w14:textId="77777777" w:rsidR="00AE2D27" w:rsidRPr="004B24CA" w:rsidRDefault="00AE2D27" w:rsidP="00AE2D27">
            <w:pPr>
              <w:pStyle w:val="Tabletext"/>
              <w:keepNext/>
              <w:widowControl w:val="0"/>
              <w:jc w:val="center"/>
            </w:pPr>
            <w:r w:rsidRPr="009F6426">
              <w:t>$227,215</w:t>
            </w:r>
          </w:p>
        </w:tc>
        <w:tc>
          <w:tcPr>
            <w:tcW w:w="1044" w:type="dxa"/>
          </w:tcPr>
          <w:p w14:paraId="09CCF2C8" w14:textId="77777777" w:rsidR="00AE2D27" w:rsidRPr="004B24CA" w:rsidRDefault="00AE2D27" w:rsidP="00AE2D27">
            <w:pPr>
              <w:pStyle w:val="Tabletext"/>
              <w:keepNext/>
              <w:widowControl w:val="0"/>
              <w:jc w:val="center"/>
            </w:pPr>
            <w:r w:rsidRPr="009F6426">
              <w:t>$227,215</w:t>
            </w:r>
          </w:p>
        </w:tc>
      </w:tr>
      <w:tr w:rsidR="00AE2D27" w:rsidRPr="00E61EBA" w14:paraId="2329B773" w14:textId="77777777" w:rsidTr="00AE2D27">
        <w:tc>
          <w:tcPr>
            <w:tcW w:w="2863" w:type="dxa"/>
          </w:tcPr>
          <w:p w14:paraId="5D7AAA5A" w14:textId="77777777" w:rsidR="00AE2D27" w:rsidRDefault="00AE2D27" w:rsidP="00AE2D27">
            <w:pPr>
              <w:pStyle w:val="Tabletext"/>
              <w:keepNext/>
              <w:widowControl w:val="0"/>
            </w:pPr>
            <w:r w:rsidRPr="004F791D">
              <w:t>Anaesthesia</w:t>
            </w:r>
            <w:r>
              <w:t xml:space="preserve"> (MBS 20230)</w:t>
            </w:r>
          </w:p>
        </w:tc>
        <w:tc>
          <w:tcPr>
            <w:tcW w:w="993" w:type="dxa"/>
            <w:vAlign w:val="center"/>
          </w:tcPr>
          <w:p w14:paraId="45E6158A" w14:textId="77777777" w:rsidR="00AE2D27" w:rsidRDefault="00AE2D27" w:rsidP="00AE2D27">
            <w:pPr>
              <w:pStyle w:val="Tabletext"/>
              <w:keepNext/>
              <w:widowControl w:val="0"/>
              <w:jc w:val="center"/>
            </w:pPr>
            <w:r>
              <w:t>H</w:t>
            </w:r>
          </w:p>
        </w:tc>
        <w:tc>
          <w:tcPr>
            <w:tcW w:w="1043" w:type="dxa"/>
          </w:tcPr>
          <w:p w14:paraId="26D5169E" w14:textId="77777777" w:rsidR="00AE2D27" w:rsidRPr="00497926" w:rsidRDefault="00AE2D27" w:rsidP="00AE2D27">
            <w:pPr>
              <w:pStyle w:val="Tabletext"/>
              <w:keepNext/>
              <w:widowControl w:val="0"/>
              <w:jc w:val="center"/>
            </w:pPr>
            <w:r w:rsidRPr="00317147">
              <w:t xml:space="preserve">$131,995 </w:t>
            </w:r>
          </w:p>
        </w:tc>
        <w:tc>
          <w:tcPr>
            <w:tcW w:w="1044" w:type="dxa"/>
          </w:tcPr>
          <w:p w14:paraId="57D169D0" w14:textId="77777777" w:rsidR="00AE2D27" w:rsidRPr="004B24CA" w:rsidRDefault="00AE2D27" w:rsidP="00AE2D27">
            <w:pPr>
              <w:pStyle w:val="Tabletext"/>
              <w:keepNext/>
              <w:widowControl w:val="0"/>
              <w:jc w:val="center"/>
            </w:pPr>
            <w:r w:rsidRPr="00317147">
              <w:t xml:space="preserve">$131,995 </w:t>
            </w:r>
          </w:p>
        </w:tc>
        <w:tc>
          <w:tcPr>
            <w:tcW w:w="1044" w:type="dxa"/>
          </w:tcPr>
          <w:p w14:paraId="17D5362B" w14:textId="77777777" w:rsidR="00AE2D27" w:rsidRPr="004B24CA" w:rsidRDefault="00AE2D27" w:rsidP="00AE2D27">
            <w:pPr>
              <w:pStyle w:val="Tabletext"/>
              <w:keepNext/>
              <w:widowControl w:val="0"/>
              <w:jc w:val="center"/>
            </w:pPr>
            <w:r w:rsidRPr="00317147">
              <w:t xml:space="preserve">$131,995 </w:t>
            </w:r>
          </w:p>
        </w:tc>
        <w:tc>
          <w:tcPr>
            <w:tcW w:w="1044" w:type="dxa"/>
          </w:tcPr>
          <w:p w14:paraId="698BCEC9" w14:textId="77777777" w:rsidR="00AE2D27" w:rsidRPr="004B24CA" w:rsidRDefault="00AE2D27" w:rsidP="00AE2D27">
            <w:pPr>
              <w:pStyle w:val="Tabletext"/>
              <w:keepNext/>
              <w:widowControl w:val="0"/>
              <w:jc w:val="center"/>
            </w:pPr>
            <w:r w:rsidRPr="00317147">
              <w:t xml:space="preserve">$131,995 </w:t>
            </w:r>
          </w:p>
        </w:tc>
        <w:tc>
          <w:tcPr>
            <w:tcW w:w="1044" w:type="dxa"/>
          </w:tcPr>
          <w:p w14:paraId="3388D395" w14:textId="77777777" w:rsidR="00AE2D27" w:rsidRPr="004B24CA" w:rsidRDefault="00AE2D27" w:rsidP="00AE2D27">
            <w:pPr>
              <w:pStyle w:val="Tabletext"/>
              <w:keepNext/>
              <w:widowControl w:val="0"/>
              <w:jc w:val="center"/>
            </w:pPr>
            <w:r w:rsidRPr="00317147">
              <w:t xml:space="preserve">$131,995 </w:t>
            </w:r>
          </w:p>
        </w:tc>
      </w:tr>
      <w:tr w:rsidR="00AE2D27" w:rsidRPr="00E61EBA" w14:paraId="6A4C27FE" w14:textId="77777777" w:rsidTr="00AE2D27">
        <w:tc>
          <w:tcPr>
            <w:tcW w:w="2863" w:type="dxa"/>
          </w:tcPr>
          <w:p w14:paraId="126F72B9" w14:textId="77777777" w:rsidR="00AE2D27" w:rsidRDefault="00AE2D27" w:rsidP="00AE2D27">
            <w:pPr>
              <w:pStyle w:val="Tabletext"/>
              <w:keepNext/>
              <w:widowControl w:val="0"/>
            </w:pPr>
            <w:r>
              <w:t xml:space="preserve">Sub-total Services </w:t>
            </w:r>
          </w:p>
        </w:tc>
        <w:tc>
          <w:tcPr>
            <w:tcW w:w="993" w:type="dxa"/>
            <w:vAlign w:val="center"/>
          </w:tcPr>
          <w:p w14:paraId="5890E2AC" w14:textId="77777777" w:rsidR="00AE2D27" w:rsidRDefault="00AE2D27" w:rsidP="00AE2D27">
            <w:pPr>
              <w:pStyle w:val="Tabletext"/>
              <w:keepNext/>
              <w:widowControl w:val="0"/>
              <w:jc w:val="center"/>
            </w:pPr>
            <w:r>
              <w:t>I=A+F</w:t>
            </w:r>
          </w:p>
        </w:tc>
        <w:tc>
          <w:tcPr>
            <w:tcW w:w="1043" w:type="dxa"/>
          </w:tcPr>
          <w:p w14:paraId="4954B48E" w14:textId="77777777" w:rsidR="00AE2D27" w:rsidRPr="00317147" w:rsidRDefault="00AE2D27" w:rsidP="00AE2D27">
            <w:pPr>
              <w:pStyle w:val="Tabletext"/>
              <w:keepNext/>
              <w:widowControl w:val="0"/>
              <w:jc w:val="center"/>
            </w:pPr>
            <w:r w:rsidRPr="00FF1161">
              <w:t>974</w:t>
            </w:r>
          </w:p>
        </w:tc>
        <w:tc>
          <w:tcPr>
            <w:tcW w:w="1044" w:type="dxa"/>
          </w:tcPr>
          <w:p w14:paraId="519F7DC8" w14:textId="77777777" w:rsidR="00AE2D27" w:rsidRPr="00317147" w:rsidRDefault="00AE2D27" w:rsidP="00AE2D27">
            <w:pPr>
              <w:pStyle w:val="Tabletext"/>
              <w:keepNext/>
              <w:widowControl w:val="0"/>
              <w:jc w:val="center"/>
            </w:pPr>
            <w:r w:rsidRPr="00B87ADF">
              <w:t xml:space="preserve">974 </w:t>
            </w:r>
          </w:p>
        </w:tc>
        <w:tc>
          <w:tcPr>
            <w:tcW w:w="1044" w:type="dxa"/>
          </w:tcPr>
          <w:p w14:paraId="6EA94575" w14:textId="77777777" w:rsidR="00AE2D27" w:rsidRPr="00317147" w:rsidRDefault="00AE2D27" w:rsidP="00AE2D27">
            <w:pPr>
              <w:pStyle w:val="Tabletext"/>
              <w:keepNext/>
              <w:widowControl w:val="0"/>
              <w:jc w:val="center"/>
            </w:pPr>
            <w:r w:rsidRPr="00B87ADF">
              <w:t xml:space="preserve">974 </w:t>
            </w:r>
          </w:p>
        </w:tc>
        <w:tc>
          <w:tcPr>
            <w:tcW w:w="1044" w:type="dxa"/>
          </w:tcPr>
          <w:p w14:paraId="6EDA979B" w14:textId="77777777" w:rsidR="00AE2D27" w:rsidRPr="00317147" w:rsidRDefault="00AE2D27" w:rsidP="00AE2D27">
            <w:pPr>
              <w:pStyle w:val="Tabletext"/>
              <w:keepNext/>
              <w:widowControl w:val="0"/>
              <w:jc w:val="center"/>
            </w:pPr>
            <w:r w:rsidRPr="00B87ADF">
              <w:t xml:space="preserve">974 </w:t>
            </w:r>
          </w:p>
        </w:tc>
        <w:tc>
          <w:tcPr>
            <w:tcW w:w="1044" w:type="dxa"/>
          </w:tcPr>
          <w:p w14:paraId="52F70A1F" w14:textId="77777777" w:rsidR="00AE2D27" w:rsidRPr="00317147" w:rsidRDefault="00AE2D27" w:rsidP="00AE2D27">
            <w:pPr>
              <w:pStyle w:val="Tabletext"/>
              <w:keepNext/>
              <w:widowControl w:val="0"/>
              <w:jc w:val="center"/>
            </w:pPr>
            <w:r w:rsidRPr="00B87ADF">
              <w:t xml:space="preserve">974 </w:t>
            </w:r>
          </w:p>
        </w:tc>
      </w:tr>
      <w:tr w:rsidR="00AE2D27" w:rsidRPr="00E61EBA" w14:paraId="6D461B2C" w14:textId="77777777" w:rsidTr="00AE2D27">
        <w:tc>
          <w:tcPr>
            <w:tcW w:w="2863" w:type="dxa"/>
          </w:tcPr>
          <w:p w14:paraId="06A72839" w14:textId="77777777" w:rsidR="00AE2D27" w:rsidRDefault="00AE2D27" w:rsidP="00AE2D27">
            <w:pPr>
              <w:pStyle w:val="Tabletext"/>
              <w:keepNext/>
              <w:widowControl w:val="0"/>
            </w:pPr>
            <w:r>
              <w:t xml:space="preserve">Sub-total costs </w:t>
            </w:r>
          </w:p>
        </w:tc>
        <w:tc>
          <w:tcPr>
            <w:tcW w:w="993" w:type="dxa"/>
            <w:vAlign w:val="center"/>
          </w:tcPr>
          <w:p w14:paraId="55BECA3A" w14:textId="77777777" w:rsidR="00AE2D27" w:rsidRDefault="00AE2D27" w:rsidP="00AE2D27">
            <w:pPr>
              <w:pStyle w:val="Tabletext"/>
              <w:keepNext/>
              <w:widowControl w:val="0"/>
              <w:jc w:val="center"/>
            </w:pPr>
            <w:r>
              <w:t>J=E+G+H</w:t>
            </w:r>
          </w:p>
        </w:tc>
        <w:tc>
          <w:tcPr>
            <w:tcW w:w="1043" w:type="dxa"/>
            <w:vAlign w:val="center"/>
          </w:tcPr>
          <w:p w14:paraId="136103C4" w14:textId="77777777" w:rsidR="00AE2D27" w:rsidRPr="00317147" w:rsidRDefault="00AE2D27" w:rsidP="00AE2D27">
            <w:pPr>
              <w:pStyle w:val="Tabletext"/>
              <w:keepNext/>
              <w:widowControl w:val="0"/>
              <w:jc w:val="center"/>
            </w:pPr>
            <w:r w:rsidRPr="009647E8">
              <w:t>$624,401</w:t>
            </w:r>
          </w:p>
        </w:tc>
        <w:tc>
          <w:tcPr>
            <w:tcW w:w="1044" w:type="dxa"/>
            <w:vAlign w:val="center"/>
          </w:tcPr>
          <w:p w14:paraId="0BDA30E0" w14:textId="77777777" w:rsidR="00AE2D27" w:rsidRPr="00317147" w:rsidRDefault="00AE2D27" w:rsidP="00AE2D27">
            <w:pPr>
              <w:pStyle w:val="Tabletext"/>
              <w:keepNext/>
              <w:widowControl w:val="0"/>
              <w:jc w:val="center"/>
            </w:pPr>
            <w:r w:rsidRPr="009647E8">
              <w:t>$624,401</w:t>
            </w:r>
          </w:p>
        </w:tc>
        <w:tc>
          <w:tcPr>
            <w:tcW w:w="1044" w:type="dxa"/>
            <w:vAlign w:val="center"/>
          </w:tcPr>
          <w:p w14:paraId="4C91BD78" w14:textId="77777777" w:rsidR="00AE2D27" w:rsidRPr="00317147" w:rsidRDefault="00AE2D27" w:rsidP="00AE2D27">
            <w:pPr>
              <w:pStyle w:val="Tabletext"/>
              <w:keepNext/>
              <w:widowControl w:val="0"/>
              <w:jc w:val="center"/>
            </w:pPr>
            <w:r w:rsidRPr="009647E8">
              <w:t>$624,401</w:t>
            </w:r>
          </w:p>
        </w:tc>
        <w:tc>
          <w:tcPr>
            <w:tcW w:w="1044" w:type="dxa"/>
            <w:vAlign w:val="center"/>
          </w:tcPr>
          <w:p w14:paraId="0E1E7200" w14:textId="77777777" w:rsidR="00AE2D27" w:rsidRPr="00317147" w:rsidRDefault="00AE2D27" w:rsidP="00AE2D27">
            <w:pPr>
              <w:pStyle w:val="Tabletext"/>
              <w:keepNext/>
              <w:widowControl w:val="0"/>
              <w:jc w:val="center"/>
            </w:pPr>
            <w:r w:rsidRPr="009647E8">
              <w:t>$624,401</w:t>
            </w:r>
          </w:p>
        </w:tc>
        <w:tc>
          <w:tcPr>
            <w:tcW w:w="1044" w:type="dxa"/>
            <w:vAlign w:val="center"/>
          </w:tcPr>
          <w:p w14:paraId="41080F77" w14:textId="77777777" w:rsidR="00AE2D27" w:rsidRPr="00317147" w:rsidRDefault="00AE2D27" w:rsidP="00AE2D27">
            <w:pPr>
              <w:pStyle w:val="Tabletext"/>
              <w:keepNext/>
              <w:widowControl w:val="0"/>
              <w:jc w:val="center"/>
            </w:pPr>
            <w:r w:rsidRPr="009647E8">
              <w:t>$624,401</w:t>
            </w:r>
          </w:p>
        </w:tc>
      </w:tr>
      <w:tr w:rsidR="00AE2D27" w:rsidRPr="00564DE6" w14:paraId="27434A37" w14:textId="77777777" w:rsidTr="00AE2D27">
        <w:tc>
          <w:tcPr>
            <w:tcW w:w="2863" w:type="dxa"/>
          </w:tcPr>
          <w:p w14:paraId="358D6A1C" w14:textId="77777777" w:rsidR="00AE2D27" w:rsidRPr="00EF58C3" w:rsidRDefault="00AE2D27" w:rsidP="00AE2D27">
            <w:pPr>
              <w:pStyle w:val="Tabletext"/>
              <w:keepNext/>
              <w:widowControl w:val="0"/>
            </w:pPr>
            <w:r w:rsidRPr="00EF58C3">
              <w:t>Total cost AFG</w:t>
            </w:r>
          </w:p>
        </w:tc>
        <w:tc>
          <w:tcPr>
            <w:tcW w:w="993" w:type="dxa"/>
            <w:vAlign w:val="center"/>
          </w:tcPr>
          <w:p w14:paraId="0D2C8938" w14:textId="77777777" w:rsidR="00AE2D27" w:rsidRPr="00EF58C3" w:rsidRDefault="00AE2D27" w:rsidP="00AE2D27">
            <w:pPr>
              <w:pStyle w:val="Tabletext"/>
              <w:keepNext/>
              <w:widowControl w:val="0"/>
              <w:jc w:val="center"/>
            </w:pPr>
            <w:r w:rsidRPr="00EF58C3">
              <w:t>K=J+B</w:t>
            </w:r>
          </w:p>
        </w:tc>
        <w:tc>
          <w:tcPr>
            <w:tcW w:w="1043" w:type="dxa"/>
            <w:vAlign w:val="center"/>
          </w:tcPr>
          <w:p w14:paraId="0098E30B" w14:textId="77777777" w:rsidR="00AE2D27" w:rsidRPr="00EF58C3" w:rsidRDefault="00AE2D27" w:rsidP="00AE2D27">
            <w:pPr>
              <w:pStyle w:val="Tabletext"/>
              <w:keepNext/>
              <w:widowControl w:val="0"/>
              <w:jc w:val="center"/>
            </w:pPr>
            <w:r w:rsidRPr="00EF58C3">
              <w:t>$1,174,629</w:t>
            </w:r>
          </w:p>
        </w:tc>
        <w:tc>
          <w:tcPr>
            <w:tcW w:w="1044" w:type="dxa"/>
            <w:vAlign w:val="center"/>
          </w:tcPr>
          <w:p w14:paraId="044ACB3B" w14:textId="77777777" w:rsidR="00AE2D27" w:rsidRPr="00EF58C3" w:rsidRDefault="00AE2D27" w:rsidP="00AE2D27">
            <w:pPr>
              <w:pStyle w:val="Tabletext"/>
              <w:keepNext/>
              <w:widowControl w:val="0"/>
              <w:jc w:val="center"/>
            </w:pPr>
            <w:r w:rsidRPr="00EF58C3">
              <w:t>$1,174,629</w:t>
            </w:r>
          </w:p>
        </w:tc>
        <w:tc>
          <w:tcPr>
            <w:tcW w:w="1044" w:type="dxa"/>
          </w:tcPr>
          <w:p w14:paraId="44634CAF" w14:textId="77777777" w:rsidR="00AE2D27" w:rsidRPr="00EF58C3" w:rsidRDefault="00AE2D27" w:rsidP="00AE2D27">
            <w:pPr>
              <w:pStyle w:val="Tabletext"/>
              <w:keepNext/>
              <w:widowControl w:val="0"/>
              <w:jc w:val="center"/>
            </w:pPr>
            <w:r w:rsidRPr="00EF58C3">
              <w:t>$1,174,629</w:t>
            </w:r>
          </w:p>
        </w:tc>
        <w:tc>
          <w:tcPr>
            <w:tcW w:w="1044" w:type="dxa"/>
          </w:tcPr>
          <w:p w14:paraId="3081A808" w14:textId="77777777" w:rsidR="00AE2D27" w:rsidRPr="00EF58C3" w:rsidRDefault="00AE2D27" w:rsidP="00AE2D27">
            <w:pPr>
              <w:pStyle w:val="Tabletext"/>
              <w:keepNext/>
              <w:widowControl w:val="0"/>
              <w:jc w:val="center"/>
            </w:pPr>
            <w:r w:rsidRPr="00EF58C3">
              <w:t>$1,174,629</w:t>
            </w:r>
          </w:p>
        </w:tc>
        <w:tc>
          <w:tcPr>
            <w:tcW w:w="1044" w:type="dxa"/>
          </w:tcPr>
          <w:p w14:paraId="7917F5F2" w14:textId="77777777" w:rsidR="00AE2D27" w:rsidRPr="00EF58C3" w:rsidRDefault="00AE2D27" w:rsidP="00AE2D27">
            <w:pPr>
              <w:pStyle w:val="Tabletext"/>
              <w:keepNext/>
              <w:widowControl w:val="0"/>
              <w:jc w:val="center"/>
            </w:pPr>
            <w:r w:rsidRPr="00EF58C3">
              <w:t>$1,174,629</w:t>
            </w:r>
          </w:p>
        </w:tc>
      </w:tr>
      <w:tr w:rsidR="00AE2D27" w:rsidRPr="00E61EBA" w14:paraId="4EDB0348" w14:textId="77777777" w:rsidTr="00AE2D27">
        <w:tc>
          <w:tcPr>
            <w:tcW w:w="2863" w:type="dxa"/>
          </w:tcPr>
          <w:p w14:paraId="5B82D8DA" w14:textId="77777777" w:rsidR="00AE2D27" w:rsidRPr="00EF58C3" w:rsidRDefault="00AE2D27" w:rsidP="00AE2D27">
            <w:pPr>
              <w:pStyle w:val="Tabletext"/>
              <w:keepNext/>
              <w:widowControl w:val="0"/>
            </w:pPr>
            <w:r w:rsidRPr="00EF58C3">
              <w:t xml:space="preserve">After Co-payment </w:t>
            </w:r>
          </w:p>
        </w:tc>
        <w:tc>
          <w:tcPr>
            <w:tcW w:w="993" w:type="dxa"/>
            <w:vAlign w:val="center"/>
          </w:tcPr>
          <w:p w14:paraId="45C5F7DD" w14:textId="77777777" w:rsidR="00AE2D27" w:rsidRPr="00EF58C3" w:rsidRDefault="00AE2D27" w:rsidP="00AE2D27">
            <w:pPr>
              <w:pStyle w:val="Tabletext"/>
              <w:keepNext/>
              <w:widowControl w:val="0"/>
              <w:jc w:val="center"/>
            </w:pPr>
            <w:r w:rsidRPr="00EF58C3">
              <w:t>L</w:t>
            </w:r>
          </w:p>
        </w:tc>
        <w:tc>
          <w:tcPr>
            <w:tcW w:w="1043" w:type="dxa"/>
            <w:vAlign w:val="center"/>
          </w:tcPr>
          <w:p w14:paraId="56C2BCDD" w14:textId="77777777" w:rsidR="00AE2D27" w:rsidRPr="00EF58C3" w:rsidRDefault="00AE2D27" w:rsidP="00AE2D27">
            <w:pPr>
              <w:pStyle w:val="Tabletext"/>
              <w:keepNext/>
              <w:widowControl w:val="0"/>
              <w:jc w:val="center"/>
            </w:pPr>
            <w:r w:rsidRPr="00EF58C3">
              <w:t>$880,971</w:t>
            </w:r>
          </w:p>
        </w:tc>
        <w:tc>
          <w:tcPr>
            <w:tcW w:w="1044" w:type="dxa"/>
          </w:tcPr>
          <w:p w14:paraId="07D4537D" w14:textId="77777777" w:rsidR="00AE2D27" w:rsidRPr="00EF58C3" w:rsidRDefault="00AE2D27" w:rsidP="00AE2D27">
            <w:pPr>
              <w:pStyle w:val="Tabletext"/>
              <w:keepNext/>
              <w:widowControl w:val="0"/>
              <w:jc w:val="center"/>
            </w:pPr>
            <w:r w:rsidRPr="00EF58C3">
              <w:t>$880,971</w:t>
            </w:r>
          </w:p>
        </w:tc>
        <w:tc>
          <w:tcPr>
            <w:tcW w:w="1044" w:type="dxa"/>
          </w:tcPr>
          <w:p w14:paraId="779396C8" w14:textId="77777777" w:rsidR="00AE2D27" w:rsidRPr="00EF58C3" w:rsidRDefault="00AE2D27" w:rsidP="00AE2D27">
            <w:pPr>
              <w:pStyle w:val="Tabletext"/>
              <w:keepNext/>
              <w:widowControl w:val="0"/>
              <w:jc w:val="center"/>
            </w:pPr>
            <w:r w:rsidRPr="00EF58C3">
              <w:t>$880,971</w:t>
            </w:r>
          </w:p>
        </w:tc>
        <w:tc>
          <w:tcPr>
            <w:tcW w:w="1044" w:type="dxa"/>
          </w:tcPr>
          <w:p w14:paraId="740C7595" w14:textId="77777777" w:rsidR="00AE2D27" w:rsidRPr="00EF58C3" w:rsidRDefault="00AE2D27" w:rsidP="00AE2D27">
            <w:pPr>
              <w:pStyle w:val="Tabletext"/>
              <w:keepNext/>
              <w:widowControl w:val="0"/>
              <w:jc w:val="center"/>
            </w:pPr>
            <w:r w:rsidRPr="00EF58C3">
              <w:t>$880,971</w:t>
            </w:r>
          </w:p>
        </w:tc>
        <w:tc>
          <w:tcPr>
            <w:tcW w:w="1044" w:type="dxa"/>
          </w:tcPr>
          <w:p w14:paraId="1D07C9F2" w14:textId="77777777" w:rsidR="00AE2D27" w:rsidRPr="00EF58C3" w:rsidRDefault="00AE2D27" w:rsidP="00AE2D27">
            <w:pPr>
              <w:pStyle w:val="Tabletext"/>
              <w:keepNext/>
              <w:widowControl w:val="0"/>
              <w:jc w:val="center"/>
            </w:pPr>
            <w:r w:rsidRPr="00EF58C3">
              <w:t>$880,971</w:t>
            </w:r>
          </w:p>
        </w:tc>
      </w:tr>
      <w:tr w:rsidR="00AE2D27" w:rsidRPr="00E61EBA" w14:paraId="66DE74B7" w14:textId="77777777" w:rsidTr="00AE2D27">
        <w:tc>
          <w:tcPr>
            <w:tcW w:w="2863" w:type="dxa"/>
            <w:tcBorders>
              <w:right w:val="nil"/>
            </w:tcBorders>
          </w:tcPr>
          <w:p w14:paraId="4319CE1A" w14:textId="77777777" w:rsidR="00AE2D27" w:rsidRPr="00EF58C3" w:rsidRDefault="00AE2D27" w:rsidP="00AE2D27">
            <w:pPr>
              <w:pStyle w:val="Tabletext"/>
              <w:keepNext/>
              <w:widowControl w:val="0"/>
              <w:rPr>
                <w:b/>
              </w:rPr>
            </w:pPr>
            <w:r w:rsidRPr="00EF58C3">
              <w:rPr>
                <w:b/>
              </w:rPr>
              <w:t>Comparator</w:t>
            </w:r>
          </w:p>
        </w:tc>
        <w:tc>
          <w:tcPr>
            <w:tcW w:w="993" w:type="dxa"/>
            <w:tcBorders>
              <w:left w:val="nil"/>
              <w:right w:val="nil"/>
            </w:tcBorders>
            <w:vAlign w:val="center"/>
          </w:tcPr>
          <w:p w14:paraId="50049954" w14:textId="77777777" w:rsidR="00AE2D27" w:rsidRPr="00EF58C3" w:rsidRDefault="00AE2D27" w:rsidP="00AE2D27">
            <w:pPr>
              <w:pStyle w:val="Tabletext"/>
              <w:keepNext/>
              <w:widowControl w:val="0"/>
              <w:jc w:val="center"/>
            </w:pPr>
          </w:p>
        </w:tc>
        <w:tc>
          <w:tcPr>
            <w:tcW w:w="1043" w:type="dxa"/>
            <w:tcBorders>
              <w:left w:val="nil"/>
              <w:right w:val="nil"/>
            </w:tcBorders>
          </w:tcPr>
          <w:p w14:paraId="5B7B1C35" w14:textId="77777777" w:rsidR="00AE2D27" w:rsidRPr="00EF58C3" w:rsidRDefault="00AE2D27" w:rsidP="00AE2D27">
            <w:pPr>
              <w:pStyle w:val="Tabletext"/>
              <w:keepNext/>
              <w:widowControl w:val="0"/>
              <w:jc w:val="center"/>
            </w:pPr>
          </w:p>
        </w:tc>
        <w:tc>
          <w:tcPr>
            <w:tcW w:w="1044" w:type="dxa"/>
            <w:tcBorders>
              <w:left w:val="nil"/>
              <w:right w:val="nil"/>
            </w:tcBorders>
          </w:tcPr>
          <w:p w14:paraId="1CF5FE4A" w14:textId="77777777" w:rsidR="00AE2D27" w:rsidRPr="00EF58C3" w:rsidRDefault="00AE2D27" w:rsidP="00AE2D27">
            <w:pPr>
              <w:pStyle w:val="Tabletext"/>
              <w:keepNext/>
              <w:widowControl w:val="0"/>
              <w:jc w:val="center"/>
            </w:pPr>
          </w:p>
        </w:tc>
        <w:tc>
          <w:tcPr>
            <w:tcW w:w="1044" w:type="dxa"/>
            <w:tcBorders>
              <w:left w:val="nil"/>
              <w:right w:val="nil"/>
            </w:tcBorders>
          </w:tcPr>
          <w:p w14:paraId="242918FA" w14:textId="77777777" w:rsidR="00AE2D27" w:rsidRPr="00EF58C3" w:rsidRDefault="00AE2D27" w:rsidP="00AE2D27">
            <w:pPr>
              <w:pStyle w:val="Tabletext"/>
              <w:keepNext/>
              <w:widowControl w:val="0"/>
              <w:jc w:val="center"/>
            </w:pPr>
          </w:p>
        </w:tc>
        <w:tc>
          <w:tcPr>
            <w:tcW w:w="1044" w:type="dxa"/>
            <w:tcBorders>
              <w:left w:val="nil"/>
              <w:right w:val="nil"/>
            </w:tcBorders>
          </w:tcPr>
          <w:p w14:paraId="57AFFC38" w14:textId="77777777" w:rsidR="00AE2D27" w:rsidRPr="00EF58C3" w:rsidRDefault="00AE2D27" w:rsidP="00AE2D27">
            <w:pPr>
              <w:pStyle w:val="Tabletext"/>
              <w:keepNext/>
              <w:widowControl w:val="0"/>
              <w:jc w:val="center"/>
            </w:pPr>
          </w:p>
        </w:tc>
        <w:tc>
          <w:tcPr>
            <w:tcW w:w="1044" w:type="dxa"/>
            <w:tcBorders>
              <w:left w:val="nil"/>
            </w:tcBorders>
          </w:tcPr>
          <w:p w14:paraId="156BE28A" w14:textId="77777777" w:rsidR="00AE2D27" w:rsidRPr="00EF58C3" w:rsidRDefault="00AE2D27" w:rsidP="00AE2D27">
            <w:pPr>
              <w:pStyle w:val="Tabletext"/>
              <w:keepNext/>
              <w:widowControl w:val="0"/>
              <w:jc w:val="center"/>
            </w:pPr>
          </w:p>
        </w:tc>
      </w:tr>
      <w:tr w:rsidR="00AE2D27" w:rsidRPr="00E61EBA" w14:paraId="4322A669" w14:textId="77777777" w:rsidTr="00AE2D27">
        <w:tc>
          <w:tcPr>
            <w:tcW w:w="2863" w:type="dxa"/>
          </w:tcPr>
          <w:p w14:paraId="7F306D3D" w14:textId="77777777" w:rsidR="00AE2D27" w:rsidRPr="00EF58C3" w:rsidRDefault="00AE2D27" w:rsidP="00AE2D27">
            <w:pPr>
              <w:pStyle w:val="Tabletext"/>
              <w:keepNext/>
              <w:widowControl w:val="0"/>
            </w:pPr>
            <w:r w:rsidRPr="00EF58C3">
              <w:t xml:space="preserve">Co-administered services currently MBS listed (substituted by AFG) </w:t>
            </w:r>
          </w:p>
        </w:tc>
        <w:tc>
          <w:tcPr>
            <w:tcW w:w="993" w:type="dxa"/>
            <w:vAlign w:val="center"/>
          </w:tcPr>
          <w:p w14:paraId="7FDBB86A" w14:textId="77777777" w:rsidR="00AE2D27" w:rsidRPr="00EF58C3" w:rsidRDefault="00AE2D27" w:rsidP="00AE2D27">
            <w:pPr>
              <w:pStyle w:val="Tabletext"/>
              <w:keepNext/>
              <w:widowControl w:val="0"/>
              <w:jc w:val="center"/>
            </w:pPr>
            <w:r w:rsidRPr="00EF58C3">
              <w:t>M</w:t>
            </w:r>
          </w:p>
        </w:tc>
        <w:tc>
          <w:tcPr>
            <w:tcW w:w="1043" w:type="dxa"/>
            <w:vAlign w:val="center"/>
          </w:tcPr>
          <w:p w14:paraId="2B3EB312" w14:textId="77777777" w:rsidR="00AE2D27" w:rsidRPr="00EF58C3" w:rsidRDefault="00AE2D27" w:rsidP="00AE2D27">
            <w:pPr>
              <w:pStyle w:val="Tabletext"/>
              <w:keepNext/>
              <w:widowControl w:val="0"/>
              <w:jc w:val="center"/>
              <w:rPr>
                <w:color w:val="FF0000"/>
              </w:rPr>
            </w:pPr>
            <w:r w:rsidRPr="00EF58C3">
              <w:rPr>
                <w:color w:val="FF0000"/>
              </w:rPr>
              <w:t>586</w:t>
            </w:r>
          </w:p>
        </w:tc>
        <w:tc>
          <w:tcPr>
            <w:tcW w:w="1044" w:type="dxa"/>
            <w:vAlign w:val="center"/>
          </w:tcPr>
          <w:p w14:paraId="1F68770F" w14:textId="77777777" w:rsidR="00AE2D27" w:rsidRPr="00EF58C3" w:rsidRDefault="00AE2D27" w:rsidP="00AE2D27">
            <w:pPr>
              <w:pStyle w:val="Tabletext"/>
              <w:keepNext/>
              <w:widowControl w:val="0"/>
              <w:jc w:val="center"/>
              <w:rPr>
                <w:color w:val="FF0000"/>
              </w:rPr>
            </w:pPr>
            <w:r w:rsidRPr="00EF58C3">
              <w:rPr>
                <w:color w:val="FF0000"/>
              </w:rPr>
              <w:t>586</w:t>
            </w:r>
          </w:p>
        </w:tc>
        <w:tc>
          <w:tcPr>
            <w:tcW w:w="1044" w:type="dxa"/>
            <w:vAlign w:val="center"/>
          </w:tcPr>
          <w:p w14:paraId="05AC32CD" w14:textId="77777777" w:rsidR="00AE2D27" w:rsidRPr="00EF58C3" w:rsidRDefault="00AE2D27" w:rsidP="00AE2D27">
            <w:pPr>
              <w:pStyle w:val="Tabletext"/>
              <w:keepNext/>
              <w:widowControl w:val="0"/>
              <w:jc w:val="center"/>
              <w:rPr>
                <w:color w:val="FF0000"/>
              </w:rPr>
            </w:pPr>
            <w:r w:rsidRPr="00EF58C3">
              <w:rPr>
                <w:color w:val="FF0000"/>
              </w:rPr>
              <w:t>586</w:t>
            </w:r>
          </w:p>
        </w:tc>
        <w:tc>
          <w:tcPr>
            <w:tcW w:w="1044" w:type="dxa"/>
            <w:vAlign w:val="center"/>
          </w:tcPr>
          <w:p w14:paraId="3A25865D" w14:textId="77777777" w:rsidR="00AE2D27" w:rsidRPr="00EF58C3" w:rsidRDefault="00AE2D27" w:rsidP="00AE2D27">
            <w:pPr>
              <w:pStyle w:val="Tabletext"/>
              <w:keepNext/>
              <w:widowControl w:val="0"/>
              <w:jc w:val="center"/>
              <w:rPr>
                <w:color w:val="FF0000"/>
              </w:rPr>
            </w:pPr>
            <w:r w:rsidRPr="00EF58C3">
              <w:rPr>
                <w:color w:val="FF0000"/>
              </w:rPr>
              <w:t>586</w:t>
            </w:r>
          </w:p>
        </w:tc>
        <w:tc>
          <w:tcPr>
            <w:tcW w:w="1044" w:type="dxa"/>
            <w:vAlign w:val="center"/>
          </w:tcPr>
          <w:p w14:paraId="4CA077D9" w14:textId="77777777" w:rsidR="00AE2D27" w:rsidRPr="00EF58C3" w:rsidRDefault="00AE2D27" w:rsidP="00AE2D27">
            <w:pPr>
              <w:pStyle w:val="Tabletext"/>
              <w:keepNext/>
              <w:widowControl w:val="0"/>
              <w:jc w:val="center"/>
              <w:rPr>
                <w:color w:val="FF0000"/>
              </w:rPr>
            </w:pPr>
            <w:r w:rsidRPr="00EF58C3">
              <w:rPr>
                <w:color w:val="FF0000"/>
              </w:rPr>
              <w:t>586</w:t>
            </w:r>
          </w:p>
        </w:tc>
      </w:tr>
      <w:tr w:rsidR="00AE2D27" w:rsidRPr="00E61EBA" w14:paraId="46F32360" w14:textId="77777777" w:rsidTr="00AE2D27">
        <w:tc>
          <w:tcPr>
            <w:tcW w:w="2863" w:type="dxa"/>
          </w:tcPr>
          <w:p w14:paraId="2356D72C" w14:textId="77777777" w:rsidR="00AE2D27" w:rsidRPr="00EF58C3" w:rsidRDefault="00AE2D27" w:rsidP="00AE2D27">
            <w:pPr>
              <w:pStyle w:val="Tabletext"/>
              <w:keepNext/>
              <w:widowControl w:val="0"/>
            </w:pPr>
            <w:r w:rsidRPr="00EF58C3">
              <w:t>Costs to MBS (45564) ($1940.35)</w:t>
            </w:r>
          </w:p>
        </w:tc>
        <w:tc>
          <w:tcPr>
            <w:tcW w:w="993" w:type="dxa"/>
            <w:vAlign w:val="center"/>
          </w:tcPr>
          <w:p w14:paraId="55898255" w14:textId="77777777" w:rsidR="00AE2D27" w:rsidRPr="00EF58C3" w:rsidRDefault="00AE2D27" w:rsidP="00AE2D27">
            <w:pPr>
              <w:pStyle w:val="Tabletext"/>
              <w:keepNext/>
              <w:widowControl w:val="0"/>
              <w:jc w:val="center"/>
            </w:pPr>
            <w:r w:rsidRPr="00EF58C3">
              <w:t>N</w:t>
            </w:r>
          </w:p>
        </w:tc>
        <w:tc>
          <w:tcPr>
            <w:tcW w:w="1043" w:type="dxa"/>
            <w:vAlign w:val="center"/>
          </w:tcPr>
          <w:p w14:paraId="1759DE6F" w14:textId="77777777" w:rsidR="00AE2D27" w:rsidRPr="00EF58C3" w:rsidRDefault="00AE2D27" w:rsidP="00AE2D27">
            <w:pPr>
              <w:pStyle w:val="Tabletext"/>
              <w:keepNext/>
              <w:widowControl w:val="0"/>
              <w:jc w:val="center"/>
              <w:rPr>
                <w:color w:val="FF0000"/>
              </w:rPr>
            </w:pPr>
            <w:r w:rsidRPr="00EF58C3">
              <w:rPr>
                <w:color w:val="FF0000"/>
              </w:rPr>
              <w:t>$1,136,075</w:t>
            </w:r>
          </w:p>
        </w:tc>
        <w:tc>
          <w:tcPr>
            <w:tcW w:w="1044" w:type="dxa"/>
            <w:vAlign w:val="center"/>
          </w:tcPr>
          <w:p w14:paraId="6DB6FCD9" w14:textId="77777777" w:rsidR="00AE2D27" w:rsidRPr="00EF58C3" w:rsidRDefault="00AE2D27" w:rsidP="00AE2D27">
            <w:pPr>
              <w:pStyle w:val="Tabletext"/>
              <w:keepNext/>
              <w:widowControl w:val="0"/>
              <w:jc w:val="center"/>
              <w:rPr>
                <w:color w:val="FF0000"/>
              </w:rPr>
            </w:pPr>
            <w:r w:rsidRPr="00EF58C3">
              <w:rPr>
                <w:color w:val="FF0000"/>
              </w:rPr>
              <w:t>$1,136,075</w:t>
            </w:r>
          </w:p>
        </w:tc>
        <w:tc>
          <w:tcPr>
            <w:tcW w:w="1044" w:type="dxa"/>
            <w:vAlign w:val="center"/>
          </w:tcPr>
          <w:p w14:paraId="200EF756" w14:textId="77777777" w:rsidR="00AE2D27" w:rsidRPr="00EF58C3" w:rsidRDefault="00AE2D27" w:rsidP="00AE2D27">
            <w:pPr>
              <w:pStyle w:val="Tabletext"/>
              <w:keepNext/>
              <w:widowControl w:val="0"/>
              <w:jc w:val="center"/>
              <w:rPr>
                <w:color w:val="FF0000"/>
              </w:rPr>
            </w:pPr>
            <w:r w:rsidRPr="00EF58C3">
              <w:rPr>
                <w:color w:val="FF0000"/>
              </w:rPr>
              <w:t>$1,136,075</w:t>
            </w:r>
          </w:p>
        </w:tc>
        <w:tc>
          <w:tcPr>
            <w:tcW w:w="1044" w:type="dxa"/>
            <w:vAlign w:val="center"/>
          </w:tcPr>
          <w:p w14:paraId="7933644C" w14:textId="77777777" w:rsidR="00AE2D27" w:rsidRPr="00EF58C3" w:rsidRDefault="00AE2D27" w:rsidP="00AE2D27">
            <w:pPr>
              <w:pStyle w:val="Tabletext"/>
              <w:keepNext/>
              <w:widowControl w:val="0"/>
              <w:jc w:val="center"/>
              <w:rPr>
                <w:color w:val="FF0000"/>
              </w:rPr>
            </w:pPr>
            <w:r w:rsidRPr="00EF58C3">
              <w:rPr>
                <w:color w:val="FF0000"/>
              </w:rPr>
              <w:t>$1,136,075</w:t>
            </w:r>
          </w:p>
        </w:tc>
        <w:tc>
          <w:tcPr>
            <w:tcW w:w="1044" w:type="dxa"/>
            <w:vAlign w:val="center"/>
          </w:tcPr>
          <w:p w14:paraId="439BB171" w14:textId="77777777" w:rsidR="00AE2D27" w:rsidRPr="00EF58C3" w:rsidRDefault="00AE2D27" w:rsidP="00AE2D27">
            <w:pPr>
              <w:pStyle w:val="Tabletext"/>
              <w:keepNext/>
              <w:widowControl w:val="0"/>
              <w:jc w:val="center"/>
              <w:rPr>
                <w:color w:val="FF0000"/>
              </w:rPr>
            </w:pPr>
            <w:r w:rsidRPr="00EF58C3">
              <w:rPr>
                <w:color w:val="FF0000"/>
              </w:rPr>
              <w:t>$1,136,075</w:t>
            </w:r>
          </w:p>
        </w:tc>
      </w:tr>
      <w:tr w:rsidR="00AE2D27" w:rsidRPr="00E61EBA" w14:paraId="495FBF55" w14:textId="77777777" w:rsidTr="00AE2D27">
        <w:tc>
          <w:tcPr>
            <w:tcW w:w="2863" w:type="dxa"/>
          </w:tcPr>
          <w:p w14:paraId="78A10638" w14:textId="77777777" w:rsidR="00AE2D27" w:rsidRPr="00EF58C3" w:rsidRDefault="00AE2D27" w:rsidP="00AE2D27">
            <w:pPr>
              <w:pStyle w:val="Tabletext"/>
              <w:keepNext/>
              <w:widowControl w:val="0"/>
            </w:pPr>
            <w:r w:rsidRPr="00EF58C3">
              <w:t>Anaesthesia (20230) ($1127)</w:t>
            </w:r>
          </w:p>
        </w:tc>
        <w:tc>
          <w:tcPr>
            <w:tcW w:w="993" w:type="dxa"/>
            <w:vAlign w:val="center"/>
          </w:tcPr>
          <w:p w14:paraId="54788535" w14:textId="77777777" w:rsidR="00AE2D27" w:rsidRPr="00EF58C3" w:rsidRDefault="00AE2D27" w:rsidP="00AE2D27">
            <w:pPr>
              <w:pStyle w:val="Tabletext"/>
              <w:keepNext/>
              <w:widowControl w:val="0"/>
              <w:jc w:val="center"/>
            </w:pPr>
            <w:r w:rsidRPr="00EF58C3">
              <w:t>O</w:t>
            </w:r>
          </w:p>
        </w:tc>
        <w:tc>
          <w:tcPr>
            <w:tcW w:w="1043" w:type="dxa"/>
            <w:vAlign w:val="center"/>
          </w:tcPr>
          <w:p w14:paraId="2E9B2DA1" w14:textId="77777777" w:rsidR="00AE2D27" w:rsidRPr="00EF58C3" w:rsidRDefault="00AE2D27" w:rsidP="00AE2D27">
            <w:pPr>
              <w:pStyle w:val="Tabletext"/>
              <w:keepNext/>
              <w:widowControl w:val="0"/>
              <w:jc w:val="center"/>
              <w:rPr>
                <w:color w:val="FF0000"/>
              </w:rPr>
            </w:pPr>
            <w:r w:rsidRPr="00EF58C3">
              <w:rPr>
                <w:color w:val="FF0000"/>
              </w:rPr>
              <w:t>$659,976</w:t>
            </w:r>
          </w:p>
        </w:tc>
        <w:tc>
          <w:tcPr>
            <w:tcW w:w="1044" w:type="dxa"/>
            <w:vAlign w:val="center"/>
          </w:tcPr>
          <w:p w14:paraId="12323822" w14:textId="77777777" w:rsidR="00AE2D27" w:rsidRPr="00EF58C3" w:rsidRDefault="00AE2D27" w:rsidP="00AE2D27">
            <w:pPr>
              <w:pStyle w:val="Tabletext"/>
              <w:keepNext/>
              <w:widowControl w:val="0"/>
              <w:jc w:val="center"/>
              <w:rPr>
                <w:color w:val="FF0000"/>
              </w:rPr>
            </w:pPr>
            <w:r w:rsidRPr="00EF58C3">
              <w:rPr>
                <w:color w:val="FF0000"/>
              </w:rPr>
              <w:t>$659,976</w:t>
            </w:r>
          </w:p>
        </w:tc>
        <w:tc>
          <w:tcPr>
            <w:tcW w:w="1044" w:type="dxa"/>
            <w:vAlign w:val="center"/>
          </w:tcPr>
          <w:p w14:paraId="2BA01E22" w14:textId="77777777" w:rsidR="00AE2D27" w:rsidRPr="00EF58C3" w:rsidRDefault="00AE2D27" w:rsidP="00AE2D27">
            <w:pPr>
              <w:pStyle w:val="Tabletext"/>
              <w:keepNext/>
              <w:widowControl w:val="0"/>
              <w:jc w:val="center"/>
              <w:rPr>
                <w:color w:val="FF0000"/>
              </w:rPr>
            </w:pPr>
            <w:r w:rsidRPr="00EF58C3">
              <w:rPr>
                <w:color w:val="FF0000"/>
              </w:rPr>
              <w:t>$659,976</w:t>
            </w:r>
          </w:p>
        </w:tc>
        <w:tc>
          <w:tcPr>
            <w:tcW w:w="1044" w:type="dxa"/>
            <w:vAlign w:val="center"/>
          </w:tcPr>
          <w:p w14:paraId="38B0D784" w14:textId="77777777" w:rsidR="00AE2D27" w:rsidRPr="00EF58C3" w:rsidRDefault="00AE2D27" w:rsidP="00AE2D27">
            <w:pPr>
              <w:pStyle w:val="Tabletext"/>
              <w:keepNext/>
              <w:widowControl w:val="0"/>
              <w:jc w:val="center"/>
              <w:rPr>
                <w:color w:val="FF0000"/>
              </w:rPr>
            </w:pPr>
            <w:r w:rsidRPr="00EF58C3">
              <w:rPr>
                <w:color w:val="FF0000"/>
              </w:rPr>
              <w:t>$659,976</w:t>
            </w:r>
          </w:p>
        </w:tc>
        <w:tc>
          <w:tcPr>
            <w:tcW w:w="1044" w:type="dxa"/>
            <w:vAlign w:val="center"/>
          </w:tcPr>
          <w:p w14:paraId="7348C2A2" w14:textId="77777777" w:rsidR="00AE2D27" w:rsidRPr="00EF58C3" w:rsidRDefault="00AE2D27" w:rsidP="00AE2D27">
            <w:pPr>
              <w:pStyle w:val="Tabletext"/>
              <w:keepNext/>
              <w:widowControl w:val="0"/>
              <w:jc w:val="center"/>
              <w:rPr>
                <w:color w:val="FF0000"/>
              </w:rPr>
            </w:pPr>
            <w:r w:rsidRPr="00EF58C3">
              <w:rPr>
                <w:color w:val="FF0000"/>
              </w:rPr>
              <w:t>$659,976</w:t>
            </w:r>
          </w:p>
        </w:tc>
      </w:tr>
      <w:tr w:rsidR="00AE2D27" w:rsidRPr="00E61EBA" w14:paraId="7CBF4894" w14:textId="77777777" w:rsidTr="00AE2D27">
        <w:tc>
          <w:tcPr>
            <w:tcW w:w="2863" w:type="dxa"/>
          </w:tcPr>
          <w:p w14:paraId="793BEABB" w14:textId="77777777" w:rsidR="00AE2D27" w:rsidRPr="00EF58C3" w:rsidRDefault="00AE2D27" w:rsidP="00AE2D27">
            <w:pPr>
              <w:pStyle w:val="Tabletext"/>
              <w:keepNext/>
              <w:widowControl w:val="0"/>
            </w:pPr>
            <w:r w:rsidRPr="00EF58C3">
              <w:t xml:space="preserve">Sub-total cost  </w:t>
            </w:r>
          </w:p>
        </w:tc>
        <w:tc>
          <w:tcPr>
            <w:tcW w:w="993" w:type="dxa"/>
            <w:vAlign w:val="center"/>
          </w:tcPr>
          <w:p w14:paraId="0AA8F362" w14:textId="77777777" w:rsidR="00AE2D27" w:rsidRPr="00EF58C3" w:rsidRDefault="00AE2D27" w:rsidP="00AE2D27">
            <w:pPr>
              <w:pStyle w:val="Tabletext"/>
              <w:keepNext/>
              <w:widowControl w:val="0"/>
              <w:jc w:val="center"/>
            </w:pPr>
            <w:r w:rsidRPr="00EF58C3">
              <w:t>P</w:t>
            </w:r>
          </w:p>
        </w:tc>
        <w:tc>
          <w:tcPr>
            <w:tcW w:w="1043" w:type="dxa"/>
          </w:tcPr>
          <w:p w14:paraId="0E8DBC5D" w14:textId="77777777" w:rsidR="00AE2D27" w:rsidRPr="00EF58C3" w:rsidRDefault="00AE2D27" w:rsidP="00AE2D27">
            <w:pPr>
              <w:pStyle w:val="Tabletext"/>
              <w:keepNext/>
              <w:widowControl w:val="0"/>
              <w:jc w:val="center"/>
              <w:rPr>
                <w:color w:val="FF0000"/>
              </w:rPr>
            </w:pPr>
            <w:r w:rsidRPr="00EF58C3">
              <w:rPr>
                <w:color w:val="FF0000"/>
              </w:rPr>
              <w:t>$1,796,051</w:t>
            </w:r>
          </w:p>
        </w:tc>
        <w:tc>
          <w:tcPr>
            <w:tcW w:w="1044" w:type="dxa"/>
          </w:tcPr>
          <w:p w14:paraId="6E7FF361" w14:textId="77777777" w:rsidR="00AE2D27" w:rsidRPr="00EF58C3" w:rsidRDefault="00AE2D27" w:rsidP="00AE2D27">
            <w:pPr>
              <w:pStyle w:val="Tabletext"/>
              <w:keepNext/>
              <w:widowControl w:val="0"/>
              <w:jc w:val="center"/>
              <w:rPr>
                <w:color w:val="FF0000"/>
              </w:rPr>
            </w:pPr>
            <w:r w:rsidRPr="00EF58C3">
              <w:rPr>
                <w:color w:val="FF0000"/>
              </w:rPr>
              <w:t>$1,796,051</w:t>
            </w:r>
          </w:p>
        </w:tc>
        <w:tc>
          <w:tcPr>
            <w:tcW w:w="1044" w:type="dxa"/>
          </w:tcPr>
          <w:p w14:paraId="3DA8C7E6" w14:textId="77777777" w:rsidR="00AE2D27" w:rsidRPr="00EF58C3" w:rsidRDefault="00AE2D27" w:rsidP="00AE2D27">
            <w:pPr>
              <w:pStyle w:val="Tabletext"/>
              <w:keepNext/>
              <w:widowControl w:val="0"/>
              <w:jc w:val="center"/>
              <w:rPr>
                <w:color w:val="FF0000"/>
              </w:rPr>
            </w:pPr>
            <w:r w:rsidRPr="00EF58C3">
              <w:rPr>
                <w:color w:val="FF0000"/>
              </w:rPr>
              <w:t>$1,796,051</w:t>
            </w:r>
          </w:p>
        </w:tc>
        <w:tc>
          <w:tcPr>
            <w:tcW w:w="1044" w:type="dxa"/>
          </w:tcPr>
          <w:p w14:paraId="0F099F8B" w14:textId="77777777" w:rsidR="00AE2D27" w:rsidRPr="00EF58C3" w:rsidRDefault="00AE2D27" w:rsidP="00AE2D27">
            <w:pPr>
              <w:pStyle w:val="Tabletext"/>
              <w:keepNext/>
              <w:widowControl w:val="0"/>
              <w:jc w:val="center"/>
              <w:rPr>
                <w:color w:val="FF0000"/>
              </w:rPr>
            </w:pPr>
            <w:r w:rsidRPr="00EF58C3">
              <w:rPr>
                <w:color w:val="FF0000"/>
              </w:rPr>
              <w:t>$1,796,051</w:t>
            </w:r>
          </w:p>
        </w:tc>
        <w:tc>
          <w:tcPr>
            <w:tcW w:w="1044" w:type="dxa"/>
          </w:tcPr>
          <w:p w14:paraId="7F3A5AEE" w14:textId="77777777" w:rsidR="00AE2D27" w:rsidRPr="00EF58C3" w:rsidRDefault="00AE2D27" w:rsidP="00AE2D27">
            <w:pPr>
              <w:pStyle w:val="Tabletext"/>
              <w:keepNext/>
              <w:widowControl w:val="0"/>
              <w:jc w:val="center"/>
              <w:rPr>
                <w:color w:val="FF0000"/>
              </w:rPr>
            </w:pPr>
            <w:r w:rsidRPr="00EF58C3">
              <w:rPr>
                <w:color w:val="FF0000"/>
              </w:rPr>
              <w:t>$1,796,051</w:t>
            </w:r>
          </w:p>
        </w:tc>
      </w:tr>
      <w:tr w:rsidR="00AE2D27" w:rsidRPr="00E61EBA" w14:paraId="6A915698" w14:textId="77777777" w:rsidTr="00AE2D27">
        <w:tc>
          <w:tcPr>
            <w:tcW w:w="2863" w:type="dxa"/>
          </w:tcPr>
          <w:p w14:paraId="51505A2A" w14:textId="77777777" w:rsidR="00AE2D27" w:rsidRPr="00EF58C3" w:rsidRDefault="00AE2D27" w:rsidP="00AE2D27">
            <w:pPr>
              <w:pStyle w:val="Tabletext"/>
              <w:keepNext/>
              <w:widowControl w:val="0"/>
            </w:pPr>
            <w:r w:rsidRPr="00EF58C3">
              <w:t xml:space="preserve">After co-payment </w:t>
            </w:r>
          </w:p>
        </w:tc>
        <w:tc>
          <w:tcPr>
            <w:tcW w:w="993" w:type="dxa"/>
            <w:vAlign w:val="center"/>
          </w:tcPr>
          <w:p w14:paraId="129FD59A" w14:textId="77777777" w:rsidR="00AE2D27" w:rsidRPr="00EF58C3" w:rsidRDefault="00AE2D27" w:rsidP="00AE2D27">
            <w:pPr>
              <w:pStyle w:val="Tabletext"/>
              <w:keepNext/>
              <w:widowControl w:val="0"/>
              <w:jc w:val="center"/>
            </w:pPr>
            <w:r w:rsidRPr="00EF58C3">
              <w:t>Q</w:t>
            </w:r>
          </w:p>
        </w:tc>
        <w:tc>
          <w:tcPr>
            <w:tcW w:w="1043" w:type="dxa"/>
          </w:tcPr>
          <w:p w14:paraId="18D22E58" w14:textId="77777777" w:rsidR="00AE2D27" w:rsidRPr="00EF58C3" w:rsidRDefault="00AE2D27" w:rsidP="00AE2D27">
            <w:pPr>
              <w:pStyle w:val="Tabletext"/>
              <w:keepNext/>
              <w:widowControl w:val="0"/>
              <w:jc w:val="center"/>
              <w:rPr>
                <w:color w:val="FF0000"/>
              </w:rPr>
            </w:pPr>
            <w:r w:rsidRPr="00EF58C3">
              <w:rPr>
                <w:color w:val="FF0000"/>
              </w:rPr>
              <w:t>$1,347,038</w:t>
            </w:r>
          </w:p>
        </w:tc>
        <w:tc>
          <w:tcPr>
            <w:tcW w:w="1044" w:type="dxa"/>
          </w:tcPr>
          <w:p w14:paraId="52489EB0" w14:textId="77777777" w:rsidR="00AE2D27" w:rsidRPr="00EF58C3" w:rsidRDefault="00AE2D27" w:rsidP="00AE2D27">
            <w:pPr>
              <w:pStyle w:val="Tabletext"/>
              <w:keepNext/>
              <w:widowControl w:val="0"/>
              <w:jc w:val="center"/>
              <w:rPr>
                <w:color w:val="FF0000"/>
              </w:rPr>
            </w:pPr>
            <w:r w:rsidRPr="00EF58C3">
              <w:rPr>
                <w:color w:val="FF0000"/>
              </w:rPr>
              <w:t>$1,347,038</w:t>
            </w:r>
          </w:p>
        </w:tc>
        <w:tc>
          <w:tcPr>
            <w:tcW w:w="1044" w:type="dxa"/>
          </w:tcPr>
          <w:p w14:paraId="46FCB308" w14:textId="77777777" w:rsidR="00AE2D27" w:rsidRPr="00EF58C3" w:rsidRDefault="00AE2D27" w:rsidP="00AE2D27">
            <w:pPr>
              <w:pStyle w:val="Tabletext"/>
              <w:keepNext/>
              <w:widowControl w:val="0"/>
              <w:jc w:val="center"/>
              <w:rPr>
                <w:color w:val="FF0000"/>
              </w:rPr>
            </w:pPr>
            <w:r w:rsidRPr="00EF58C3">
              <w:rPr>
                <w:color w:val="FF0000"/>
              </w:rPr>
              <w:t>$1,347,038</w:t>
            </w:r>
          </w:p>
        </w:tc>
        <w:tc>
          <w:tcPr>
            <w:tcW w:w="1044" w:type="dxa"/>
          </w:tcPr>
          <w:p w14:paraId="676D25BA" w14:textId="77777777" w:rsidR="00AE2D27" w:rsidRPr="00EF58C3" w:rsidRDefault="00AE2D27" w:rsidP="00AE2D27">
            <w:pPr>
              <w:pStyle w:val="Tabletext"/>
              <w:keepNext/>
              <w:widowControl w:val="0"/>
              <w:jc w:val="center"/>
              <w:rPr>
                <w:color w:val="FF0000"/>
              </w:rPr>
            </w:pPr>
            <w:r w:rsidRPr="00EF58C3">
              <w:rPr>
                <w:color w:val="FF0000"/>
              </w:rPr>
              <w:t>$1,347,038</w:t>
            </w:r>
          </w:p>
        </w:tc>
        <w:tc>
          <w:tcPr>
            <w:tcW w:w="1044" w:type="dxa"/>
          </w:tcPr>
          <w:p w14:paraId="614D3905" w14:textId="77777777" w:rsidR="00AE2D27" w:rsidRPr="00EF58C3" w:rsidRDefault="00AE2D27" w:rsidP="00AE2D27">
            <w:pPr>
              <w:pStyle w:val="Tabletext"/>
              <w:keepNext/>
              <w:widowControl w:val="0"/>
              <w:jc w:val="center"/>
              <w:rPr>
                <w:color w:val="FF0000"/>
              </w:rPr>
            </w:pPr>
            <w:r w:rsidRPr="00EF58C3">
              <w:rPr>
                <w:color w:val="FF0000"/>
              </w:rPr>
              <w:t>$1,347,038</w:t>
            </w:r>
          </w:p>
        </w:tc>
      </w:tr>
      <w:tr w:rsidR="00AE2D27" w:rsidRPr="00F41881" w14:paraId="131B1F16" w14:textId="77777777" w:rsidTr="00AE2D27">
        <w:tc>
          <w:tcPr>
            <w:tcW w:w="2863" w:type="dxa"/>
          </w:tcPr>
          <w:p w14:paraId="64B406FE" w14:textId="77777777" w:rsidR="00AE2D27" w:rsidRPr="00EF58C3" w:rsidRDefault="00AE2D27" w:rsidP="00AE2D27">
            <w:pPr>
              <w:pStyle w:val="Tabletext"/>
              <w:keepNext/>
              <w:widowControl w:val="0"/>
              <w:rPr>
                <w:b/>
                <w:vertAlign w:val="superscript"/>
              </w:rPr>
            </w:pPr>
            <w:r w:rsidRPr="00EF58C3">
              <w:rPr>
                <w:b/>
              </w:rPr>
              <w:t xml:space="preserve">Total </w:t>
            </w:r>
            <w:proofErr w:type="spellStart"/>
            <w:r w:rsidRPr="00EF58C3">
              <w:rPr>
                <w:b/>
              </w:rPr>
              <w:t>Services</w:t>
            </w:r>
            <w:r w:rsidRPr="00EF58C3">
              <w:rPr>
                <w:b/>
                <w:vertAlign w:val="superscript"/>
              </w:rPr>
              <w:t>a</w:t>
            </w:r>
            <w:proofErr w:type="spellEnd"/>
          </w:p>
        </w:tc>
        <w:tc>
          <w:tcPr>
            <w:tcW w:w="993" w:type="dxa"/>
            <w:vAlign w:val="center"/>
          </w:tcPr>
          <w:p w14:paraId="697D2F30" w14:textId="77777777" w:rsidR="00AE2D27" w:rsidRPr="00EF58C3" w:rsidRDefault="00AE2D27" w:rsidP="00AE2D27">
            <w:pPr>
              <w:pStyle w:val="Tabletext"/>
              <w:keepNext/>
              <w:widowControl w:val="0"/>
              <w:jc w:val="center"/>
              <w:rPr>
                <w:b/>
              </w:rPr>
            </w:pPr>
            <w:r w:rsidRPr="00EF58C3">
              <w:rPr>
                <w:b/>
              </w:rPr>
              <w:t>R=I-M</w:t>
            </w:r>
          </w:p>
        </w:tc>
        <w:tc>
          <w:tcPr>
            <w:tcW w:w="1043" w:type="dxa"/>
            <w:vAlign w:val="center"/>
          </w:tcPr>
          <w:p w14:paraId="02883A61" w14:textId="77777777" w:rsidR="00AE2D27" w:rsidRPr="00EF58C3" w:rsidRDefault="00AE2D27" w:rsidP="00AE2D27">
            <w:pPr>
              <w:pStyle w:val="Tabletext"/>
              <w:keepNext/>
              <w:widowControl w:val="0"/>
              <w:jc w:val="center"/>
            </w:pPr>
            <w:r w:rsidRPr="00EF58C3">
              <w:t>389</w:t>
            </w:r>
          </w:p>
        </w:tc>
        <w:tc>
          <w:tcPr>
            <w:tcW w:w="1044" w:type="dxa"/>
          </w:tcPr>
          <w:p w14:paraId="3F344AF8" w14:textId="77777777" w:rsidR="00AE2D27" w:rsidRPr="00EF58C3" w:rsidRDefault="00AE2D27" w:rsidP="00AE2D27">
            <w:pPr>
              <w:pStyle w:val="Tabletext"/>
              <w:keepNext/>
              <w:widowControl w:val="0"/>
              <w:jc w:val="center"/>
              <w:rPr>
                <w:b/>
              </w:rPr>
            </w:pPr>
            <w:r w:rsidRPr="00EF58C3">
              <w:t xml:space="preserve">389 </w:t>
            </w:r>
          </w:p>
        </w:tc>
        <w:tc>
          <w:tcPr>
            <w:tcW w:w="1044" w:type="dxa"/>
          </w:tcPr>
          <w:p w14:paraId="542CDA9F" w14:textId="77777777" w:rsidR="00AE2D27" w:rsidRPr="00EF58C3" w:rsidRDefault="00AE2D27" w:rsidP="00AE2D27">
            <w:pPr>
              <w:pStyle w:val="Tabletext"/>
              <w:keepNext/>
              <w:widowControl w:val="0"/>
              <w:jc w:val="center"/>
              <w:rPr>
                <w:b/>
              </w:rPr>
            </w:pPr>
            <w:r w:rsidRPr="00EF58C3">
              <w:t xml:space="preserve">389 </w:t>
            </w:r>
          </w:p>
        </w:tc>
        <w:tc>
          <w:tcPr>
            <w:tcW w:w="1044" w:type="dxa"/>
          </w:tcPr>
          <w:p w14:paraId="57CBDE07" w14:textId="77777777" w:rsidR="00AE2D27" w:rsidRPr="00EF58C3" w:rsidRDefault="00AE2D27" w:rsidP="00AE2D27">
            <w:pPr>
              <w:pStyle w:val="Tabletext"/>
              <w:keepNext/>
              <w:widowControl w:val="0"/>
              <w:jc w:val="center"/>
              <w:rPr>
                <w:b/>
              </w:rPr>
            </w:pPr>
            <w:r w:rsidRPr="00EF58C3">
              <w:t xml:space="preserve">389 </w:t>
            </w:r>
          </w:p>
        </w:tc>
        <w:tc>
          <w:tcPr>
            <w:tcW w:w="1044" w:type="dxa"/>
          </w:tcPr>
          <w:p w14:paraId="43118B55" w14:textId="77777777" w:rsidR="00AE2D27" w:rsidRPr="00EF58C3" w:rsidRDefault="00AE2D27" w:rsidP="00AE2D27">
            <w:pPr>
              <w:pStyle w:val="Tabletext"/>
              <w:keepNext/>
              <w:widowControl w:val="0"/>
              <w:jc w:val="center"/>
              <w:rPr>
                <w:b/>
              </w:rPr>
            </w:pPr>
            <w:r w:rsidRPr="00EF58C3">
              <w:t xml:space="preserve">389 </w:t>
            </w:r>
          </w:p>
        </w:tc>
      </w:tr>
      <w:tr w:rsidR="00AE2D27" w:rsidRPr="00F41881" w14:paraId="2C95A78B" w14:textId="77777777" w:rsidTr="00AE2D27">
        <w:tc>
          <w:tcPr>
            <w:tcW w:w="2863" w:type="dxa"/>
          </w:tcPr>
          <w:p w14:paraId="1284555A" w14:textId="77777777" w:rsidR="00AE2D27" w:rsidRPr="00EF58C3" w:rsidRDefault="00AE2D27" w:rsidP="00AE2D27">
            <w:pPr>
              <w:pStyle w:val="Tabletext"/>
              <w:keepNext/>
              <w:widowControl w:val="0"/>
              <w:rPr>
                <w:b/>
              </w:rPr>
            </w:pPr>
            <w:r w:rsidRPr="00EF58C3">
              <w:rPr>
                <w:b/>
              </w:rPr>
              <w:t xml:space="preserve">Total cost to </w:t>
            </w:r>
            <w:proofErr w:type="spellStart"/>
            <w:r w:rsidRPr="00EF58C3">
              <w:rPr>
                <w:b/>
              </w:rPr>
              <w:t>MBS</w:t>
            </w:r>
            <w:r w:rsidRPr="00EF58C3">
              <w:rPr>
                <w:b/>
                <w:vertAlign w:val="superscript"/>
              </w:rPr>
              <w:t>b</w:t>
            </w:r>
            <w:proofErr w:type="spellEnd"/>
            <w:r w:rsidRPr="00EF58C3">
              <w:rPr>
                <w:b/>
              </w:rPr>
              <w:t xml:space="preserve"> (savings)</w:t>
            </w:r>
          </w:p>
        </w:tc>
        <w:tc>
          <w:tcPr>
            <w:tcW w:w="993" w:type="dxa"/>
            <w:vAlign w:val="center"/>
          </w:tcPr>
          <w:p w14:paraId="79CB26AC" w14:textId="77777777" w:rsidR="00AE2D27" w:rsidRPr="00EF58C3" w:rsidRDefault="00AE2D27" w:rsidP="00AE2D27">
            <w:pPr>
              <w:pStyle w:val="Tabletext"/>
              <w:keepNext/>
              <w:widowControl w:val="0"/>
              <w:jc w:val="center"/>
              <w:rPr>
                <w:b/>
              </w:rPr>
            </w:pPr>
            <w:r w:rsidRPr="00EF58C3">
              <w:rPr>
                <w:b/>
              </w:rPr>
              <w:t>S (L-Q)</w:t>
            </w:r>
          </w:p>
        </w:tc>
        <w:tc>
          <w:tcPr>
            <w:tcW w:w="1043" w:type="dxa"/>
          </w:tcPr>
          <w:p w14:paraId="0197918B" w14:textId="77777777" w:rsidR="00AE2D27" w:rsidRPr="00EF58C3" w:rsidRDefault="00AE2D27" w:rsidP="00AE2D27">
            <w:pPr>
              <w:pStyle w:val="Tabletext"/>
              <w:keepNext/>
              <w:widowControl w:val="0"/>
              <w:jc w:val="center"/>
              <w:rPr>
                <w:b/>
                <w:color w:val="FF0000"/>
              </w:rPr>
            </w:pPr>
            <w:r w:rsidRPr="00EF58C3">
              <w:rPr>
                <w:color w:val="FF0000"/>
              </w:rPr>
              <w:t>-$466,067</w:t>
            </w:r>
          </w:p>
        </w:tc>
        <w:tc>
          <w:tcPr>
            <w:tcW w:w="1044" w:type="dxa"/>
          </w:tcPr>
          <w:p w14:paraId="2EB73B1E" w14:textId="77777777" w:rsidR="00AE2D27" w:rsidRPr="00EF58C3" w:rsidRDefault="00AE2D27" w:rsidP="00AE2D27">
            <w:pPr>
              <w:pStyle w:val="Tabletext"/>
              <w:keepNext/>
              <w:widowControl w:val="0"/>
              <w:jc w:val="center"/>
              <w:rPr>
                <w:b/>
                <w:color w:val="FF0000"/>
              </w:rPr>
            </w:pPr>
            <w:r w:rsidRPr="00EF58C3">
              <w:rPr>
                <w:color w:val="FF0000"/>
              </w:rPr>
              <w:t>-$466,067</w:t>
            </w:r>
          </w:p>
        </w:tc>
        <w:tc>
          <w:tcPr>
            <w:tcW w:w="1044" w:type="dxa"/>
          </w:tcPr>
          <w:p w14:paraId="4663BB86" w14:textId="77777777" w:rsidR="00AE2D27" w:rsidRPr="00EF58C3" w:rsidRDefault="00AE2D27" w:rsidP="00AE2D27">
            <w:pPr>
              <w:pStyle w:val="Tabletext"/>
              <w:keepNext/>
              <w:widowControl w:val="0"/>
              <w:jc w:val="center"/>
              <w:rPr>
                <w:b/>
                <w:color w:val="FF0000"/>
              </w:rPr>
            </w:pPr>
            <w:r w:rsidRPr="00EF58C3">
              <w:rPr>
                <w:color w:val="FF0000"/>
              </w:rPr>
              <w:t>-$466,067</w:t>
            </w:r>
          </w:p>
        </w:tc>
        <w:tc>
          <w:tcPr>
            <w:tcW w:w="1044" w:type="dxa"/>
          </w:tcPr>
          <w:p w14:paraId="7B1DEFE9" w14:textId="77777777" w:rsidR="00AE2D27" w:rsidRPr="00EF58C3" w:rsidRDefault="00AE2D27" w:rsidP="00AE2D27">
            <w:pPr>
              <w:pStyle w:val="Tabletext"/>
              <w:keepNext/>
              <w:widowControl w:val="0"/>
              <w:jc w:val="center"/>
              <w:rPr>
                <w:b/>
                <w:color w:val="FF0000"/>
              </w:rPr>
            </w:pPr>
            <w:r w:rsidRPr="00EF58C3">
              <w:rPr>
                <w:color w:val="FF0000"/>
              </w:rPr>
              <w:t>-$466,067</w:t>
            </w:r>
          </w:p>
        </w:tc>
        <w:tc>
          <w:tcPr>
            <w:tcW w:w="1044" w:type="dxa"/>
          </w:tcPr>
          <w:p w14:paraId="4689B947" w14:textId="77777777" w:rsidR="00AE2D27" w:rsidRPr="00EF58C3" w:rsidRDefault="00AE2D27" w:rsidP="00AE2D27">
            <w:pPr>
              <w:pStyle w:val="Tabletext"/>
              <w:keepNext/>
              <w:widowControl w:val="0"/>
              <w:jc w:val="center"/>
              <w:rPr>
                <w:b/>
                <w:color w:val="FF0000"/>
              </w:rPr>
            </w:pPr>
            <w:r w:rsidRPr="00EF58C3">
              <w:rPr>
                <w:color w:val="FF0000"/>
              </w:rPr>
              <w:t>-$466,067</w:t>
            </w:r>
          </w:p>
        </w:tc>
      </w:tr>
    </w:tbl>
    <w:p w14:paraId="044955AB" w14:textId="77777777" w:rsidR="00AE2D27" w:rsidRDefault="00AE2D27" w:rsidP="00AE2D27">
      <w:pPr>
        <w:keepNext/>
        <w:tabs>
          <w:tab w:val="left" w:pos="284"/>
        </w:tabs>
        <w:ind w:left="284" w:hanging="284"/>
      </w:pPr>
      <w:proofErr w:type="spellStart"/>
      <w:proofErr w:type="gramStart"/>
      <w:r>
        <w:rPr>
          <w:rStyle w:val="TablenotesChar"/>
          <w:vertAlign w:val="superscript"/>
        </w:rPr>
        <w:t>a</w:t>
      </w:r>
      <w:proofErr w:type="spellEnd"/>
      <w:proofErr w:type="gramEnd"/>
      <w:r>
        <w:rPr>
          <w:rStyle w:val="TablenotesChar"/>
          <w:vertAlign w:val="superscript"/>
        </w:rPr>
        <w:tab/>
      </w:r>
      <w:r w:rsidRPr="006A4826">
        <w:rPr>
          <w:rStyle w:val="TablenotesChar"/>
        </w:rPr>
        <w:t>the number of anaesthetic services co-administered have not been included in these estimates as both the intervention and comparator are surgical interventions</w:t>
      </w:r>
      <w:r>
        <w:t xml:space="preserve"> </w:t>
      </w:r>
      <w:r w:rsidRPr="000C6350">
        <w:rPr>
          <w:rStyle w:val="TablenotesChar"/>
        </w:rPr>
        <w:t>(potential number of additional services)</w:t>
      </w:r>
    </w:p>
    <w:p w14:paraId="0C683041" w14:textId="77777777" w:rsidR="00AE2D27" w:rsidRPr="000C6350" w:rsidRDefault="00AE2D27" w:rsidP="00AE2D27">
      <w:pPr>
        <w:pStyle w:val="TableNotes0"/>
        <w:keepNext/>
        <w:tabs>
          <w:tab w:val="left" w:pos="284"/>
        </w:tabs>
        <w:spacing w:after="0" w:line="240" w:lineRule="auto"/>
        <w:ind w:left="0"/>
      </w:pPr>
      <w:proofErr w:type="gramStart"/>
      <w:r>
        <w:rPr>
          <w:vertAlign w:val="superscript"/>
        </w:rPr>
        <w:t>b</w:t>
      </w:r>
      <w:proofErr w:type="gramEnd"/>
      <w:r>
        <w:rPr>
          <w:vertAlign w:val="superscript"/>
        </w:rPr>
        <w:tab/>
      </w:r>
      <w:r w:rsidRPr="000C6350">
        <w:rPr>
          <w:sz w:val="18"/>
        </w:rPr>
        <w:t xml:space="preserve">the cost of the anaesthetic services has been included in these estimates </w:t>
      </w:r>
    </w:p>
    <w:p w14:paraId="140FEAC2" w14:textId="77777777" w:rsidR="00AE2D27" w:rsidRDefault="00AE2D27" w:rsidP="00AE2D27">
      <w:pPr>
        <w:widowControl w:val="0"/>
        <w:tabs>
          <w:tab w:val="left" w:pos="284"/>
        </w:tabs>
        <w:rPr>
          <w:rFonts w:ascii="Arial Narrow" w:hAnsi="Arial Narrow"/>
          <w:sz w:val="18"/>
          <w:lang w:eastAsia="en-US"/>
        </w:rPr>
      </w:pPr>
      <w:r w:rsidRPr="00850746">
        <w:rPr>
          <w:rFonts w:ascii="Arial Narrow" w:hAnsi="Arial Narrow"/>
          <w:sz w:val="18"/>
          <w:lang w:eastAsia="en-US"/>
        </w:rPr>
        <w:t>T</w:t>
      </w:r>
      <w:r>
        <w:rPr>
          <w:rFonts w:ascii="Arial Narrow" w:hAnsi="Arial Narrow"/>
          <w:sz w:val="18"/>
          <w:lang w:eastAsia="en-US"/>
        </w:rPr>
        <w:t>ext in red indicates reductions or saving</w:t>
      </w:r>
    </w:p>
    <w:p w14:paraId="41ADD058" w14:textId="77777777" w:rsidR="00AE2D27" w:rsidRDefault="00AE2D27" w:rsidP="00AE2D27">
      <w:pPr>
        <w:pStyle w:val="Tablenotes1"/>
      </w:pPr>
      <w:r>
        <w:t xml:space="preserve">Source: Table 9, p41 of the DCAR. </w:t>
      </w:r>
    </w:p>
    <w:p w14:paraId="441E9ED4" w14:textId="77777777" w:rsidR="00AE2D27" w:rsidRPr="00183E4D" w:rsidRDefault="00AE2D27" w:rsidP="00AE2D27">
      <w:pPr>
        <w:pStyle w:val="Tablenotes1"/>
      </w:pPr>
      <w:r w:rsidRPr="00EF58C3">
        <w:rPr>
          <w:i/>
        </w:rPr>
        <w:t>Note, the DCAR revised the estimates post ESC to correct the double counting of anaesthesia costs</w:t>
      </w:r>
    </w:p>
    <w:p w14:paraId="65C00334" w14:textId="77777777" w:rsidR="00AE2D27" w:rsidRDefault="00AE2D27" w:rsidP="00AE2D27">
      <w:pPr>
        <w:widowControl w:val="0"/>
        <w:spacing w:before="40"/>
        <w:rPr>
          <w:rFonts w:ascii="Arial Narrow" w:hAnsi="Arial Narrow"/>
          <w:sz w:val="18"/>
          <w:lang w:eastAsia="en-US"/>
        </w:rPr>
      </w:pPr>
      <w:r>
        <w:t xml:space="preserve">The DCAR noted the </w:t>
      </w:r>
      <w:r w:rsidRPr="00C83CDE">
        <w:t>population estimates for use of AFG, and the consequent savings to the MBS, are likely uncertain.</w:t>
      </w:r>
      <w:r>
        <w:t xml:space="preserve"> In addition, the cost savings for Population 1 may be </w:t>
      </w:r>
      <w:proofErr w:type="gramStart"/>
      <w:r>
        <w:t>overestimated</w:t>
      </w:r>
      <w:proofErr w:type="gramEnd"/>
      <w:r>
        <w:t xml:space="preserve"> as there is potentially a group of patients are unwilling to undergo further flap surgery, but willing to undertake treatment with AFG. However, their numbers could not be determined. These patients would represent a net cost to the </w:t>
      </w:r>
      <w:proofErr w:type="gramStart"/>
      <w:r>
        <w:t>MBS</w:t>
      </w:r>
      <w:proofErr w:type="gramEnd"/>
      <w:r>
        <w:t xml:space="preserve"> as there would be no savings from substituted services. To the degree that AFG does replace microvascular free autologous flap surgery there is likely to be savings to the MBS.</w:t>
      </w:r>
    </w:p>
    <w:p w14:paraId="52AA876A" w14:textId="59D6B7A3" w:rsidR="00AE2D27" w:rsidRDefault="00AE2D27" w:rsidP="000047D0">
      <w:pPr>
        <w:pStyle w:val="Heading2"/>
        <w:rPr>
          <w:lang w:eastAsia="en-US"/>
        </w:rPr>
      </w:pPr>
      <w:r>
        <w:lastRenderedPageBreak/>
        <w:t>Population 2</w:t>
      </w:r>
      <w:bookmarkStart w:id="50" w:name="_Ref37268779"/>
      <w:bookmarkStart w:id="51" w:name="_Toc39593661"/>
    </w:p>
    <w:p w14:paraId="7319E05F" w14:textId="11C98306" w:rsidR="00AE2D27" w:rsidRPr="00F3276D" w:rsidRDefault="000047D0" w:rsidP="00F3276D">
      <w:pPr>
        <w:spacing w:before="240"/>
        <w:rPr>
          <w:rFonts w:ascii="Arial Narrow" w:hAnsi="Arial Narrow"/>
          <w:b/>
          <w:sz w:val="20"/>
        </w:rPr>
      </w:pPr>
      <w:bookmarkStart w:id="52" w:name="_Ref44400299"/>
      <w:bookmarkEnd w:id="50"/>
      <w:r w:rsidRPr="00F3276D">
        <w:rPr>
          <w:rFonts w:ascii="Arial Narrow" w:hAnsi="Arial Narrow"/>
          <w:b/>
          <w:sz w:val="20"/>
        </w:rPr>
        <w:t xml:space="preserve">Table </w:t>
      </w:r>
      <w:r w:rsidR="00F3276D" w:rsidRPr="00F3276D">
        <w:rPr>
          <w:rFonts w:ascii="Arial Narrow" w:hAnsi="Arial Narrow"/>
          <w:b/>
          <w:sz w:val="20"/>
        </w:rPr>
        <w:fldChar w:fldCharType="begin"/>
      </w:r>
      <w:r w:rsidR="00F3276D" w:rsidRPr="00F3276D">
        <w:rPr>
          <w:rFonts w:ascii="Arial Narrow" w:hAnsi="Arial Narrow"/>
          <w:b/>
          <w:sz w:val="20"/>
        </w:rPr>
        <w:instrText xml:space="preserve"> SEQ Table \* ARABIC </w:instrText>
      </w:r>
      <w:r w:rsidR="00F3276D" w:rsidRPr="00F3276D">
        <w:rPr>
          <w:rFonts w:ascii="Arial Narrow" w:hAnsi="Arial Narrow"/>
          <w:b/>
          <w:sz w:val="20"/>
        </w:rPr>
        <w:fldChar w:fldCharType="separate"/>
      </w:r>
      <w:r w:rsidR="00E84BE3">
        <w:rPr>
          <w:rFonts w:ascii="Arial Narrow" w:hAnsi="Arial Narrow"/>
          <w:b/>
          <w:noProof/>
          <w:sz w:val="20"/>
        </w:rPr>
        <w:t>16</w:t>
      </w:r>
      <w:r w:rsidR="00F3276D" w:rsidRPr="00F3276D">
        <w:rPr>
          <w:rFonts w:ascii="Arial Narrow" w:hAnsi="Arial Narrow"/>
          <w:b/>
          <w:sz w:val="20"/>
        </w:rPr>
        <w:fldChar w:fldCharType="end"/>
      </w:r>
      <w:bookmarkEnd w:id="52"/>
      <w:r w:rsidR="00AE2D27" w:rsidRPr="00F3276D">
        <w:rPr>
          <w:rFonts w:ascii="Arial Narrow" w:hAnsi="Arial Narrow"/>
          <w:b/>
          <w:sz w:val="20"/>
        </w:rPr>
        <w:t xml:space="preserve">  Total costs to the MBS associated with use of AFG in Population 2—burn scars</w:t>
      </w:r>
      <w:bookmarkEnd w:id="51"/>
    </w:p>
    <w:tbl>
      <w:tblPr>
        <w:tblStyle w:val="TableGrid1"/>
        <w:tblW w:w="9075" w:type="dxa"/>
        <w:tblCellMar>
          <w:left w:w="28" w:type="dxa"/>
          <w:right w:w="28" w:type="dxa"/>
        </w:tblCellMar>
        <w:tblLook w:val="04A0" w:firstRow="1" w:lastRow="0" w:firstColumn="1" w:lastColumn="0" w:noHBand="0" w:noVBand="1"/>
        <w:tblCaption w:val="Financial implications for the MBS for Population A1"/>
        <w:tblDescription w:val="Financial implications for the MBS for Population A1"/>
      </w:tblPr>
      <w:tblGrid>
        <w:gridCol w:w="2689"/>
        <w:gridCol w:w="708"/>
        <w:gridCol w:w="1135"/>
        <w:gridCol w:w="1136"/>
        <w:gridCol w:w="1135"/>
        <w:gridCol w:w="1136"/>
        <w:gridCol w:w="1136"/>
      </w:tblGrid>
      <w:tr w:rsidR="00AE2D27" w:rsidRPr="00A00972" w14:paraId="3EF2A426" w14:textId="77777777" w:rsidTr="00AE2D27">
        <w:trPr>
          <w:cnfStyle w:val="100000000000" w:firstRow="1" w:lastRow="0" w:firstColumn="0" w:lastColumn="0" w:oddVBand="0" w:evenVBand="0" w:oddHBand="0" w:evenHBand="0" w:firstRowFirstColumn="0" w:firstRowLastColumn="0" w:lastRowFirstColumn="0" w:lastRowLastColumn="0"/>
          <w:tblHeader/>
        </w:trPr>
        <w:tc>
          <w:tcPr>
            <w:tcW w:w="2689" w:type="dxa"/>
            <w:vAlign w:val="bottom"/>
          </w:tcPr>
          <w:p w14:paraId="42C187CF" w14:textId="77777777" w:rsidR="00AE2D27" w:rsidRPr="00A00972" w:rsidRDefault="00AE2D27" w:rsidP="00AE2D27">
            <w:pPr>
              <w:pStyle w:val="Tabletext"/>
              <w:keepNext/>
              <w:widowControl w:val="0"/>
              <w:rPr>
                <w:b/>
              </w:rPr>
            </w:pPr>
            <w:r w:rsidRPr="00A00972">
              <w:rPr>
                <w:b/>
              </w:rPr>
              <w:t xml:space="preserve">Variable </w:t>
            </w:r>
          </w:p>
        </w:tc>
        <w:tc>
          <w:tcPr>
            <w:tcW w:w="708" w:type="dxa"/>
            <w:vAlign w:val="center"/>
          </w:tcPr>
          <w:p w14:paraId="1583EE3D" w14:textId="77777777" w:rsidR="00AE2D27" w:rsidRPr="00A00972" w:rsidRDefault="00AE2D27" w:rsidP="00AE2D27">
            <w:pPr>
              <w:pStyle w:val="Tabletext"/>
              <w:keepNext/>
              <w:widowControl w:val="0"/>
              <w:jc w:val="center"/>
              <w:rPr>
                <w:b/>
              </w:rPr>
            </w:pPr>
          </w:p>
        </w:tc>
        <w:tc>
          <w:tcPr>
            <w:tcW w:w="1135" w:type="dxa"/>
            <w:vAlign w:val="center"/>
          </w:tcPr>
          <w:p w14:paraId="01574C11" w14:textId="77777777" w:rsidR="00AE2D27" w:rsidRPr="00A00972" w:rsidRDefault="00AE2D27" w:rsidP="00AE2D27">
            <w:pPr>
              <w:pStyle w:val="Tabletext"/>
              <w:keepNext/>
              <w:widowControl w:val="0"/>
              <w:jc w:val="center"/>
              <w:rPr>
                <w:b/>
              </w:rPr>
            </w:pPr>
            <w:r w:rsidRPr="00A00972">
              <w:rPr>
                <w:b/>
              </w:rPr>
              <w:t>2020-21</w:t>
            </w:r>
          </w:p>
          <w:p w14:paraId="0D0DDA9B" w14:textId="77777777" w:rsidR="00AE2D27" w:rsidRPr="00A00972" w:rsidRDefault="00AE2D27" w:rsidP="00AE2D27">
            <w:pPr>
              <w:pStyle w:val="Tabletext"/>
              <w:keepNext/>
              <w:widowControl w:val="0"/>
              <w:jc w:val="center"/>
              <w:rPr>
                <w:b/>
              </w:rPr>
            </w:pPr>
            <w:r w:rsidRPr="00A00972">
              <w:rPr>
                <w:b/>
              </w:rPr>
              <w:t>Year 1</w:t>
            </w:r>
          </w:p>
        </w:tc>
        <w:tc>
          <w:tcPr>
            <w:tcW w:w="1136" w:type="dxa"/>
            <w:vAlign w:val="center"/>
          </w:tcPr>
          <w:p w14:paraId="67882926" w14:textId="77777777" w:rsidR="00AE2D27" w:rsidRPr="00A00972" w:rsidRDefault="00AE2D27" w:rsidP="00AE2D27">
            <w:pPr>
              <w:pStyle w:val="Tabletext"/>
              <w:keepNext/>
              <w:widowControl w:val="0"/>
              <w:jc w:val="center"/>
              <w:rPr>
                <w:b/>
              </w:rPr>
            </w:pPr>
            <w:r w:rsidRPr="00A00972">
              <w:rPr>
                <w:b/>
              </w:rPr>
              <w:t>2021-22</w:t>
            </w:r>
          </w:p>
          <w:p w14:paraId="6D9F8F06" w14:textId="77777777" w:rsidR="00AE2D27" w:rsidRPr="00A00972" w:rsidRDefault="00AE2D27" w:rsidP="00AE2D27">
            <w:pPr>
              <w:pStyle w:val="Tabletext"/>
              <w:keepNext/>
              <w:widowControl w:val="0"/>
              <w:jc w:val="center"/>
              <w:rPr>
                <w:b/>
              </w:rPr>
            </w:pPr>
            <w:r w:rsidRPr="00A00972">
              <w:rPr>
                <w:b/>
              </w:rPr>
              <w:t>Year 2</w:t>
            </w:r>
          </w:p>
        </w:tc>
        <w:tc>
          <w:tcPr>
            <w:tcW w:w="1135" w:type="dxa"/>
            <w:vAlign w:val="center"/>
          </w:tcPr>
          <w:p w14:paraId="1D3ED736" w14:textId="77777777" w:rsidR="00AE2D27" w:rsidRPr="00A00972" w:rsidRDefault="00AE2D27" w:rsidP="00AE2D27">
            <w:pPr>
              <w:pStyle w:val="Tabletext"/>
              <w:keepNext/>
              <w:widowControl w:val="0"/>
              <w:jc w:val="center"/>
              <w:rPr>
                <w:b/>
              </w:rPr>
            </w:pPr>
            <w:r w:rsidRPr="00A00972">
              <w:rPr>
                <w:b/>
              </w:rPr>
              <w:t>2022-23</w:t>
            </w:r>
          </w:p>
          <w:p w14:paraId="0ED2FA2D" w14:textId="77777777" w:rsidR="00AE2D27" w:rsidRPr="00A00972" w:rsidRDefault="00AE2D27" w:rsidP="00AE2D27">
            <w:pPr>
              <w:pStyle w:val="Tabletext"/>
              <w:keepNext/>
              <w:widowControl w:val="0"/>
              <w:jc w:val="center"/>
              <w:rPr>
                <w:b/>
              </w:rPr>
            </w:pPr>
            <w:r w:rsidRPr="00A00972">
              <w:rPr>
                <w:b/>
              </w:rPr>
              <w:t>Year 3</w:t>
            </w:r>
          </w:p>
        </w:tc>
        <w:tc>
          <w:tcPr>
            <w:tcW w:w="1136" w:type="dxa"/>
            <w:vAlign w:val="center"/>
          </w:tcPr>
          <w:p w14:paraId="4ED455BB" w14:textId="77777777" w:rsidR="00AE2D27" w:rsidRPr="00A00972" w:rsidRDefault="00AE2D27" w:rsidP="00AE2D27">
            <w:pPr>
              <w:pStyle w:val="Tabletext"/>
              <w:keepNext/>
              <w:widowControl w:val="0"/>
              <w:jc w:val="center"/>
              <w:rPr>
                <w:b/>
              </w:rPr>
            </w:pPr>
            <w:r w:rsidRPr="00A00972">
              <w:rPr>
                <w:b/>
              </w:rPr>
              <w:t>2023-24</w:t>
            </w:r>
          </w:p>
          <w:p w14:paraId="42E9C86A" w14:textId="77777777" w:rsidR="00AE2D27" w:rsidRPr="00A00972" w:rsidRDefault="00AE2D27" w:rsidP="00AE2D27">
            <w:pPr>
              <w:pStyle w:val="Tabletext"/>
              <w:keepNext/>
              <w:widowControl w:val="0"/>
              <w:jc w:val="center"/>
              <w:rPr>
                <w:b/>
              </w:rPr>
            </w:pPr>
            <w:r w:rsidRPr="00A00972">
              <w:rPr>
                <w:b/>
              </w:rPr>
              <w:t>Year 4</w:t>
            </w:r>
          </w:p>
        </w:tc>
        <w:tc>
          <w:tcPr>
            <w:tcW w:w="1136" w:type="dxa"/>
            <w:vAlign w:val="center"/>
          </w:tcPr>
          <w:p w14:paraId="1DBA706A" w14:textId="77777777" w:rsidR="00AE2D27" w:rsidRPr="00A00972" w:rsidRDefault="00AE2D27" w:rsidP="00AE2D27">
            <w:pPr>
              <w:pStyle w:val="Tabletext"/>
              <w:keepNext/>
              <w:widowControl w:val="0"/>
              <w:jc w:val="center"/>
              <w:rPr>
                <w:b/>
              </w:rPr>
            </w:pPr>
            <w:r w:rsidRPr="00A00972">
              <w:rPr>
                <w:b/>
              </w:rPr>
              <w:t>2024-25</w:t>
            </w:r>
          </w:p>
          <w:p w14:paraId="1477472F" w14:textId="77777777" w:rsidR="00AE2D27" w:rsidRPr="00A00972" w:rsidRDefault="00AE2D27" w:rsidP="00AE2D27">
            <w:pPr>
              <w:pStyle w:val="Tabletext"/>
              <w:keepNext/>
              <w:widowControl w:val="0"/>
              <w:jc w:val="center"/>
              <w:rPr>
                <w:b/>
              </w:rPr>
            </w:pPr>
            <w:r w:rsidRPr="00A00972">
              <w:rPr>
                <w:b/>
              </w:rPr>
              <w:t>Year 5</w:t>
            </w:r>
          </w:p>
        </w:tc>
      </w:tr>
      <w:tr w:rsidR="00AE2D27" w:rsidRPr="00A00972" w14:paraId="44C33217" w14:textId="77777777" w:rsidTr="00AE2D27">
        <w:trPr>
          <w:cnfStyle w:val="100000000000" w:firstRow="1" w:lastRow="0" w:firstColumn="0" w:lastColumn="0" w:oddVBand="0" w:evenVBand="0" w:oddHBand="0" w:evenHBand="0" w:firstRowFirstColumn="0" w:firstRowLastColumn="0" w:lastRowFirstColumn="0" w:lastRowLastColumn="0"/>
          <w:tblHeader/>
        </w:trPr>
        <w:tc>
          <w:tcPr>
            <w:tcW w:w="2689" w:type="dxa"/>
            <w:tcBorders>
              <w:right w:val="nil"/>
            </w:tcBorders>
            <w:vAlign w:val="bottom"/>
          </w:tcPr>
          <w:p w14:paraId="7D9029FB" w14:textId="77777777" w:rsidR="00AE2D27" w:rsidRPr="00A00972" w:rsidRDefault="00AE2D27" w:rsidP="00AE2D27">
            <w:pPr>
              <w:pStyle w:val="Tabletext"/>
              <w:keepNext/>
              <w:widowControl w:val="0"/>
              <w:rPr>
                <w:b/>
              </w:rPr>
            </w:pPr>
            <w:r>
              <w:rPr>
                <w:b/>
              </w:rPr>
              <w:t>AFG</w:t>
            </w:r>
          </w:p>
        </w:tc>
        <w:tc>
          <w:tcPr>
            <w:tcW w:w="708" w:type="dxa"/>
            <w:tcBorders>
              <w:left w:val="nil"/>
              <w:right w:val="nil"/>
            </w:tcBorders>
            <w:vAlign w:val="center"/>
          </w:tcPr>
          <w:p w14:paraId="1EA77CC5" w14:textId="77777777" w:rsidR="00AE2D27" w:rsidRPr="00A00972" w:rsidRDefault="00AE2D27" w:rsidP="00AE2D27">
            <w:pPr>
              <w:pStyle w:val="Tabletext"/>
              <w:keepNext/>
              <w:widowControl w:val="0"/>
              <w:jc w:val="center"/>
              <w:rPr>
                <w:b/>
              </w:rPr>
            </w:pPr>
          </w:p>
        </w:tc>
        <w:tc>
          <w:tcPr>
            <w:tcW w:w="1135" w:type="dxa"/>
            <w:tcBorders>
              <w:left w:val="nil"/>
              <w:right w:val="nil"/>
            </w:tcBorders>
            <w:vAlign w:val="center"/>
          </w:tcPr>
          <w:p w14:paraId="1A6A4B57" w14:textId="77777777" w:rsidR="00AE2D27" w:rsidRPr="00A00972" w:rsidRDefault="00AE2D27" w:rsidP="00AE2D27">
            <w:pPr>
              <w:pStyle w:val="Tabletext"/>
              <w:keepNext/>
              <w:widowControl w:val="0"/>
              <w:jc w:val="center"/>
              <w:rPr>
                <w:b/>
              </w:rPr>
            </w:pPr>
          </w:p>
        </w:tc>
        <w:tc>
          <w:tcPr>
            <w:tcW w:w="1136" w:type="dxa"/>
            <w:tcBorders>
              <w:left w:val="nil"/>
              <w:right w:val="nil"/>
            </w:tcBorders>
            <w:vAlign w:val="center"/>
          </w:tcPr>
          <w:p w14:paraId="7AD8FDCD" w14:textId="77777777" w:rsidR="00AE2D27" w:rsidRPr="00A00972" w:rsidRDefault="00AE2D27" w:rsidP="00AE2D27">
            <w:pPr>
              <w:pStyle w:val="Tabletext"/>
              <w:keepNext/>
              <w:widowControl w:val="0"/>
              <w:jc w:val="center"/>
              <w:rPr>
                <w:b/>
              </w:rPr>
            </w:pPr>
          </w:p>
        </w:tc>
        <w:tc>
          <w:tcPr>
            <w:tcW w:w="1135" w:type="dxa"/>
            <w:tcBorders>
              <w:left w:val="nil"/>
              <w:right w:val="nil"/>
            </w:tcBorders>
            <w:vAlign w:val="center"/>
          </w:tcPr>
          <w:p w14:paraId="718DA053" w14:textId="77777777" w:rsidR="00AE2D27" w:rsidRPr="00A00972" w:rsidRDefault="00AE2D27" w:rsidP="00AE2D27">
            <w:pPr>
              <w:pStyle w:val="Tabletext"/>
              <w:keepNext/>
              <w:widowControl w:val="0"/>
              <w:jc w:val="center"/>
              <w:rPr>
                <w:b/>
              </w:rPr>
            </w:pPr>
          </w:p>
        </w:tc>
        <w:tc>
          <w:tcPr>
            <w:tcW w:w="1136" w:type="dxa"/>
            <w:tcBorders>
              <w:left w:val="nil"/>
              <w:right w:val="nil"/>
            </w:tcBorders>
            <w:vAlign w:val="center"/>
          </w:tcPr>
          <w:p w14:paraId="614C7DEC" w14:textId="77777777" w:rsidR="00AE2D27" w:rsidRPr="00A00972" w:rsidRDefault="00AE2D27" w:rsidP="00AE2D27">
            <w:pPr>
              <w:pStyle w:val="Tabletext"/>
              <w:keepNext/>
              <w:widowControl w:val="0"/>
              <w:jc w:val="center"/>
              <w:rPr>
                <w:b/>
              </w:rPr>
            </w:pPr>
          </w:p>
        </w:tc>
        <w:tc>
          <w:tcPr>
            <w:tcW w:w="1136" w:type="dxa"/>
            <w:tcBorders>
              <w:left w:val="nil"/>
            </w:tcBorders>
            <w:vAlign w:val="center"/>
          </w:tcPr>
          <w:p w14:paraId="4E87A49E" w14:textId="77777777" w:rsidR="00AE2D27" w:rsidRPr="00A00972" w:rsidRDefault="00AE2D27" w:rsidP="00AE2D27">
            <w:pPr>
              <w:pStyle w:val="Tabletext"/>
              <w:keepNext/>
              <w:widowControl w:val="0"/>
              <w:jc w:val="center"/>
              <w:rPr>
                <w:b/>
              </w:rPr>
            </w:pPr>
          </w:p>
        </w:tc>
      </w:tr>
      <w:tr w:rsidR="00AE2D27" w:rsidRPr="00E61EBA" w14:paraId="2D9D2620" w14:textId="77777777" w:rsidTr="00AE2D27">
        <w:tc>
          <w:tcPr>
            <w:tcW w:w="2689" w:type="dxa"/>
          </w:tcPr>
          <w:p w14:paraId="0F657D64" w14:textId="77777777" w:rsidR="00AE2D27" w:rsidRDefault="00AE2D27" w:rsidP="00AE2D27">
            <w:pPr>
              <w:pStyle w:val="Tabletext"/>
              <w:keepNext/>
              <w:widowControl w:val="0"/>
            </w:pPr>
            <w:r>
              <w:t>Total population – burn scars</w:t>
            </w:r>
          </w:p>
        </w:tc>
        <w:tc>
          <w:tcPr>
            <w:tcW w:w="708" w:type="dxa"/>
            <w:vAlign w:val="center"/>
          </w:tcPr>
          <w:p w14:paraId="4388216C" w14:textId="77777777" w:rsidR="00AE2D27" w:rsidRPr="00E61EBA" w:rsidRDefault="00AE2D27" w:rsidP="00AE2D27">
            <w:pPr>
              <w:pStyle w:val="Tabletext"/>
              <w:keepNext/>
              <w:widowControl w:val="0"/>
              <w:jc w:val="center"/>
            </w:pPr>
          </w:p>
        </w:tc>
        <w:tc>
          <w:tcPr>
            <w:tcW w:w="1135" w:type="dxa"/>
            <w:vAlign w:val="center"/>
          </w:tcPr>
          <w:p w14:paraId="5876F9A2" w14:textId="77777777" w:rsidR="00AE2D27" w:rsidRDefault="00AE2D27" w:rsidP="00AE2D27">
            <w:pPr>
              <w:pStyle w:val="Tabletext"/>
              <w:keepNext/>
              <w:widowControl w:val="0"/>
              <w:jc w:val="center"/>
            </w:pPr>
            <w:r>
              <w:t>64</w:t>
            </w:r>
          </w:p>
        </w:tc>
        <w:tc>
          <w:tcPr>
            <w:tcW w:w="1136" w:type="dxa"/>
            <w:tcBorders>
              <w:right w:val="single" w:sz="4" w:space="0" w:color="auto"/>
            </w:tcBorders>
            <w:vAlign w:val="center"/>
          </w:tcPr>
          <w:p w14:paraId="6753AE0A" w14:textId="77777777" w:rsidR="00AE2D27" w:rsidRDefault="00AE2D27" w:rsidP="00AE2D27">
            <w:pPr>
              <w:pStyle w:val="Tabletext"/>
              <w:keepNext/>
              <w:widowControl w:val="0"/>
              <w:jc w:val="center"/>
            </w:pPr>
            <w:r>
              <w:t>64</w:t>
            </w:r>
          </w:p>
        </w:tc>
        <w:tc>
          <w:tcPr>
            <w:tcW w:w="1135" w:type="dxa"/>
            <w:tcBorders>
              <w:left w:val="single" w:sz="4" w:space="0" w:color="auto"/>
            </w:tcBorders>
            <w:vAlign w:val="center"/>
          </w:tcPr>
          <w:p w14:paraId="1048AEF2" w14:textId="77777777" w:rsidR="00AE2D27" w:rsidRDefault="00AE2D27" w:rsidP="00AE2D27">
            <w:pPr>
              <w:pStyle w:val="Tabletext"/>
              <w:keepNext/>
              <w:widowControl w:val="0"/>
              <w:jc w:val="center"/>
            </w:pPr>
            <w:r>
              <w:t>64</w:t>
            </w:r>
          </w:p>
        </w:tc>
        <w:tc>
          <w:tcPr>
            <w:tcW w:w="1136" w:type="dxa"/>
            <w:vAlign w:val="center"/>
          </w:tcPr>
          <w:p w14:paraId="4F6C3050" w14:textId="77777777" w:rsidR="00AE2D27" w:rsidRDefault="00AE2D27" w:rsidP="00AE2D27">
            <w:pPr>
              <w:pStyle w:val="Tabletext"/>
              <w:keepNext/>
              <w:widowControl w:val="0"/>
              <w:jc w:val="center"/>
            </w:pPr>
            <w:r>
              <w:t>64</w:t>
            </w:r>
          </w:p>
        </w:tc>
        <w:tc>
          <w:tcPr>
            <w:tcW w:w="1136" w:type="dxa"/>
            <w:vAlign w:val="center"/>
          </w:tcPr>
          <w:p w14:paraId="048641F6" w14:textId="77777777" w:rsidR="00AE2D27" w:rsidRDefault="00AE2D27" w:rsidP="00AE2D27">
            <w:pPr>
              <w:pStyle w:val="Tabletext"/>
              <w:keepNext/>
              <w:widowControl w:val="0"/>
              <w:jc w:val="center"/>
            </w:pPr>
            <w:r>
              <w:t>64</w:t>
            </w:r>
          </w:p>
        </w:tc>
      </w:tr>
      <w:tr w:rsidR="00AE2D27" w:rsidRPr="00E61EBA" w14:paraId="7D6B1B8B" w14:textId="77777777" w:rsidTr="00AE2D27">
        <w:tc>
          <w:tcPr>
            <w:tcW w:w="2689" w:type="dxa"/>
          </w:tcPr>
          <w:p w14:paraId="00CC7677" w14:textId="77777777" w:rsidR="00AE2D27" w:rsidRPr="00E61EBA" w:rsidRDefault="00AE2D27" w:rsidP="00AE2D27">
            <w:pPr>
              <w:pStyle w:val="Tabletext"/>
              <w:keepNext/>
              <w:widowControl w:val="0"/>
            </w:pPr>
            <w:r>
              <w:t>Number of AFG sessions*</w:t>
            </w:r>
          </w:p>
        </w:tc>
        <w:tc>
          <w:tcPr>
            <w:tcW w:w="708" w:type="dxa"/>
            <w:vAlign w:val="center"/>
          </w:tcPr>
          <w:p w14:paraId="3EE968BB" w14:textId="77777777" w:rsidR="00AE2D27" w:rsidRPr="00E61EBA" w:rsidRDefault="00AE2D27" w:rsidP="00AE2D27">
            <w:pPr>
              <w:pStyle w:val="Tabletext"/>
              <w:keepNext/>
              <w:widowControl w:val="0"/>
              <w:jc w:val="center"/>
            </w:pPr>
          </w:p>
        </w:tc>
        <w:tc>
          <w:tcPr>
            <w:tcW w:w="1135" w:type="dxa"/>
            <w:vAlign w:val="center"/>
          </w:tcPr>
          <w:p w14:paraId="1B639BF0" w14:textId="77777777" w:rsidR="00AE2D27" w:rsidRPr="00E61EBA" w:rsidRDefault="00AE2D27" w:rsidP="00AE2D27">
            <w:pPr>
              <w:pStyle w:val="Tabletext"/>
              <w:keepNext/>
              <w:widowControl w:val="0"/>
              <w:jc w:val="center"/>
            </w:pPr>
            <w:r>
              <w:t>127</w:t>
            </w:r>
          </w:p>
        </w:tc>
        <w:tc>
          <w:tcPr>
            <w:tcW w:w="1136" w:type="dxa"/>
            <w:tcBorders>
              <w:right w:val="single" w:sz="4" w:space="0" w:color="auto"/>
            </w:tcBorders>
            <w:vAlign w:val="center"/>
          </w:tcPr>
          <w:p w14:paraId="5762087F" w14:textId="77777777" w:rsidR="00AE2D27" w:rsidRPr="00E61EBA" w:rsidRDefault="00AE2D27" w:rsidP="00AE2D27">
            <w:pPr>
              <w:pStyle w:val="Tabletext"/>
              <w:keepNext/>
              <w:widowControl w:val="0"/>
              <w:jc w:val="center"/>
            </w:pPr>
            <w:r>
              <w:t>127</w:t>
            </w:r>
          </w:p>
        </w:tc>
        <w:tc>
          <w:tcPr>
            <w:tcW w:w="1135" w:type="dxa"/>
            <w:tcBorders>
              <w:left w:val="single" w:sz="4" w:space="0" w:color="auto"/>
            </w:tcBorders>
            <w:vAlign w:val="center"/>
          </w:tcPr>
          <w:p w14:paraId="66ECE6D2" w14:textId="77777777" w:rsidR="00AE2D27" w:rsidRPr="00E61EBA" w:rsidRDefault="00AE2D27" w:rsidP="00AE2D27">
            <w:pPr>
              <w:pStyle w:val="Tabletext"/>
              <w:keepNext/>
              <w:widowControl w:val="0"/>
              <w:jc w:val="center"/>
            </w:pPr>
            <w:r>
              <w:t>127</w:t>
            </w:r>
          </w:p>
        </w:tc>
        <w:tc>
          <w:tcPr>
            <w:tcW w:w="1136" w:type="dxa"/>
            <w:vAlign w:val="center"/>
          </w:tcPr>
          <w:p w14:paraId="295FFBB4" w14:textId="77777777" w:rsidR="00AE2D27" w:rsidRPr="00E61EBA" w:rsidRDefault="00AE2D27" w:rsidP="00AE2D27">
            <w:pPr>
              <w:pStyle w:val="Tabletext"/>
              <w:keepNext/>
              <w:widowControl w:val="0"/>
              <w:jc w:val="center"/>
            </w:pPr>
            <w:r>
              <w:t>127</w:t>
            </w:r>
          </w:p>
        </w:tc>
        <w:tc>
          <w:tcPr>
            <w:tcW w:w="1136" w:type="dxa"/>
            <w:vAlign w:val="center"/>
          </w:tcPr>
          <w:p w14:paraId="6247F411" w14:textId="77777777" w:rsidR="00AE2D27" w:rsidRPr="00E61EBA" w:rsidRDefault="00AE2D27" w:rsidP="00AE2D27">
            <w:pPr>
              <w:pStyle w:val="Tabletext"/>
              <w:keepNext/>
              <w:widowControl w:val="0"/>
              <w:jc w:val="center"/>
            </w:pPr>
            <w:r>
              <w:t>127</w:t>
            </w:r>
          </w:p>
        </w:tc>
      </w:tr>
      <w:tr w:rsidR="00AE2D27" w:rsidRPr="00E61EBA" w14:paraId="5B1D7DA1" w14:textId="77777777" w:rsidTr="00AE2D27">
        <w:tc>
          <w:tcPr>
            <w:tcW w:w="2689" w:type="dxa"/>
          </w:tcPr>
          <w:p w14:paraId="110CAEDE" w14:textId="77777777" w:rsidR="00AE2D27" w:rsidRPr="00E61EBA" w:rsidRDefault="00AE2D27" w:rsidP="00AE2D27">
            <w:pPr>
              <w:pStyle w:val="Tabletext"/>
              <w:keepNext/>
              <w:widowControl w:val="0"/>
            </w:pPr>
            <w:r>
              <w:t>Cost</w:t>
            </w:r>
            <w:r w:rsidRPr="00E61EBA">
              <w:t xml:space="preserve"> to MBS</w:t>
            </w:r>
          </w:p>
        </w:tc>
        <w:tc>
          <w:tcPr>
            <w:tcW w:w="708" w:type="dxa"/>
            <w:vAlign w:val="center"/>
          </w:tcPr>
          <w:p w14:paraId="2E9D286E" w14:textId="77777777" w:rsidR="00AE2D27" w:rsidRPr="00E61EBA" w:rsidRDefault="00AE2D27" w:rsidP="00AE2D27">
            <w:pPr>
              <w:pStyle w:val="Tabletext"/>
              <w:keepNext/>
              <w:widowControl w:val="0"/>
              <w:jc w:val="center"/>
            </w:pPr>
          </w:p>
        </w:tc>
        <w:tc>
          <w:tcPr>
            <w:tcW w:w="1135" w:type="dxa"/>
          </w:tcPr>
          <w:p w14:paraId="5E24DD20" w14:textId="77777777" w:rsidR="00AE2D27" w:rsidRPr="00E61EBA" w:rsidRDefault="00AE2D27" w:rsidP="00AE2D27">
            <w:pPr>
              <w:pStyle w:val="Tabletext"/>
              <w:keepNext/>
              <w:widowControl w:val="0"/>
              <w:jc w:val="center"/>
            </w:pPr>
            <w:r w:rsidRPr="0055646B">
              <w:t xml:space="preserve">$81,787 </w:t>
            </w:r>
          </w:p>
        </w:tc>
        <w:tc>
          <w:tcPr>
            <w:tcW w:w="1136" w:type="dxa"/>
          </w:tcPr>
          <w:p w14:paraId="4743F44F" w14:textId="77777777" w:rsidR="00AE2D27" w:rsidRPr="00E61EBA" w:rsidRDefault="00AE2D27" w:rsidP="00AE2D27">
            <w:pPr>
              <w:pStyle w:val="Tabletext"/>
              <w:keepNext/>
              <w:widowControl w:val="0"/>
              <w:jc w:val="center"/>
            </w:pPr>
            <w:r w:rsidRPr="0055646B">
              <w:t xml:space="preserve">$81,787 </w:t>
            </w:r>
          </w:p>
        </w:tc>
        <w:tc>
          <w:tcPr>
            <w:tcW w:w="1135" w:type="dxa"/>
          </w:tcPr>
          <w:p w14:paraId="150052D1" w14:textId="77777777" w:rsidR="00AE2D27" w:rsidRPr="00E61EBA" w:rsidRDefault="00AE2D27" w:rsidP="00AE2D27">
            <w:pPr>
              <w:pStyle w:val="Tabletext"/>
              <w:keepNext/>
              <w:widowControl w:val="0"/>
              <w:jc w:val="center"/>
            </w:pPr>
            <w:r w:rsidRPr="0055646B">
              <w:t xml:space="preserve">$81,787 </w:t>
            </w:r>
          </w:p>
        </w:tc>
        <w:tc>
          <w:tcPr>
            <w:tcW w:w="1136" w:type="dxa"/>
          </w:tcPr>
          <w:p w14:paraId="4875E6C7" w14:textId="77777777" w:rsidR="00AE2D27" w:rsidRPr="00E61EBA" w:rsidRDefault="00AE2D27" w:rsidP="00AE2D27">
            <w:pPr>
              <w:pStyle w:val="Tabletext"/>
              <w:keepNext/>
              <w:widowControl w:val="0"/>
              <w:jc w:val="center"/>
            </w:pPr>
            <w:r w:rsidRPr="0055646B">
              <w:t xml:space="preserve">$81,787 </w:t>
            </w:r>
          </w:p>
        </w:tc>
        <w:tc>
          <w:tcPr>
            <w:tcW w:w="1136" w:type="dxa"/>
          </w:tcPr>
          <w:p w14:paraId="6E234BBD" w14:textId="77777777" w:rsidR="00AE2D27" w:rsidRPr="00E61EBA" w:rsidRDefault="00AE2D27" w:rsidP="00AE2D27">
            <w:pPr>
              <w:pStyle w:val="Tabletext"/>
              <w:keepNext/>
              <w:widowControl w:val="0"/>
              <w:jc w:val="center"/>
            </w:pPr>
            <w:r w:rsidRPr="0055646B">
              <w:t xml:space="preserve">$81,787 </w:t>
            </w:r>
          </w:p>
        </w:tc>
      </w:tr>
      <w:tr w:rsidR="00AE2D27" w:rsidRPr="00E61EBA" w14:paraId="40A047FF" w14:textId="77777777" w:rsidTr="00AE2D27">
        <w:tc>
          <w:tcPr>
            <w:tcW w:w="2689" w:type="dxa"/>
          </w:tcPr>
          <w:p w14:paraId="15697FF4" w14:textId="77777777" w:rsidR="00AE2D27" w:rsidRPr="00E61EBA" w:rsidRDefault="00AE2D27" w:rsidP="00AE2D27">
            <w:pPr>
              <w:pStyle w:val="Tabletext"/>
              <w:keepNext/>
              <w:widowControl w:val="0"/>
            </w:pPr>
            <w:r>
              <w:t>Co-payment subtracted</w:t>
            </w:r>
          </w:p>
        </w:tc>
        <w:tc>
          <w:tcPr>
            <w:tcW w:w="708" w:type="dxa"/>
            <w:vAlign w:val="center"/>
          </w:tcPr>
          <w:p w14:paraId="0B5E6DCA" w14:textId="77777777" w:rsidR="00AE2D27" w:rsidRPr="00E61EBA" w:rsidRDefault="00AE2D27" w:rsidP="00AE2D27">
            <w:pPr>
              <w:pStyle w:val="Tabletext"/>
              <w:keepNext/>
              <w:widowControl w:val="0"/>
              <w:jc w:val="center"/>
            </w:pPr>
            <w:r>
              <w:t>A</w:t>
            </w:r>
          </w:p>
        </w:tc>
        <w:tc>
          <w:tcPr>
            <w:tcW w:w="1135" w:type="dxa"/>
          </w:tcPr>
          <w:p w14:paraId="40A69010" w14:textId="77777777" w:rsidR="00AE2D27" w:rsidRPr="00424586" w:rsidRDefault="00AE2D27" w:rsidP="00AE2D27">
            <w:pPr>
              <w:pStyle w:val="Tabletext"/>
              <w:keepNext/>
              <w:widowControl w:val="0"/>
              <w:jc w:val="center"/>
            </w:pPr>
            <w:r w:rsidRPr="00772174">
              <w:t xml:space="preserve">$61,340 </w:t>
            </w:r>
          </w:p>
        </w:tc>
        <w:tc>
          <w:tcPr>
            <w:tcW w:w="1136" w:type="dxa"/>
          </w:tcPr>
          <w:p w14:paraId="50F179B2" w14:textId="77777777" w:rsidR="00AE2D27" w:rsidRPr="00424586" w:rsidRDefault="00AE2D27" w:rsidP="00AE2D27">
            <w:pPr>
              <w:pStyle w:val="Tabletext"/>
              <w:keepNext/>
              <w:widowControl w:val="0"/>
              <w:jc w:val="center"/>
            </w:pPr>
            <w:r w:rsidRPr="00772174">
              <w:t xml:space="preserve">$61,340 </w:t>
            </w:r>
          </w:p>
        </w:tc>
        <w:tc>
          <w:tcPr>
            <w:tcW w:w="1135" w:type="dxa"/>
          </w:tcPr>
          <w:p w14:paraId="5AD6913B" w14:textId="77777777" w:rsidR="00AE2D27" w:rsidRPr="00424586" w:rsidRDefault="00AE2D27" w:rsidP="00AE2D27">
            <w:pPr>
              <w:pStyle w:val="Tabletext"/>
              <w:keepNext/>
              <w:widowControl w:val="0"/>
              <w:jc w:val="center"/>
            </w:pPr>
            <w:r w:rsidRPr="00772174">
              <w:t xml:space="preserve">$61,340 </w:t>
            </w:r>
          </w:p>
        </w:tc>
        <w:tc>
          <w:tcPr>
            <w:tcW w:w="1136" w:type="dxa"/>
          </w:tcPr>
          <w:p w14:paraId="748E7007" w14:textId="77777777" w:rsidR="00AE2D27" w:rsidRPr="00424586" w:rsidRDefault="00AE2D27" w:rsidP="00AE2D27">
            <w:pPr>
              <w:pStyle w:val="Tabletext"/>
              <w:keepNext/>
              <w:widowControl w:val="0"/>
              <w:jc w:val="center"/>
            </w:pPr>
            <w:r w:rsidRPr="00772174">
              <w:t xml:space="preserve">$61,340 </w:t>
            </w:r>
          </w:p>
        </w:tc>
        <w:tc>
          <w:tcPr>
            <w:tcW w:w="1136" w:type="dxa"/>
          </w:tcPr>
          <w:p w14:paraId="176CB674" w14:textId="77777777" w:rsidR="00AE2D27" w:rsidRPr="00424586" w:rsidRDefault="00AE2D27" w:rsidP="00AE2D27">
            <w:pPr>
              <w:pStyle w:val="Tabletext"/>
              <w:keepNext/>
              <w:widowControl w:val="0"/>
              <w:jc w:val="center"/>
            </w:pPr>
            <w:r w:rsidRPr="00772174">
              <w:t xml:space="preserve">$61,340 </w:t>
            </w:r>
          </w:p>
        </w:tc>
      </w:tr>
      <w:tr w:rsidR="00AE2D27" w:rsidRPr="00E61EBA" w14:paraId="118A6775" w14:textId="77777777" w:rsidTr="00AE2D27">
        <w:tc>
          <w:tcPr>
            <w:tcW w:w="2689" w:type="dxa"/>
          </w:tcPr>
          <w:p w14:paraId="5FF6E2E4" w14:textId="77777777" w:rsidR="00AE2D27" w:rsidRPr="00E61EBA" w:rsidRDefault="00AE2D27" w:rsidP="00AE2D27">
            <w:pPr>
              <w:pStyle w:val="Tabletext"/>
              <w:keepNext/>
              <w:widowControl w:val="0"/>
            </w:pPr>
            <w:r>
              <w:t xml:space="preserve">Co-administered services currently MBS listed  </w:t>
            </w:r>
          </w:p>
        </w:tc>
        <w:tc>
          <w:tcPr>
            <w:tcW w:w="708" w:type="dxa"/>
            <w:vAlign w:val="center"/>
          </w:tcPr>
          <w:p w14:paraId="1D6B3C31" w14:textId="77777777" w:rsidR="00AE2D27" w:rsidRPr="00E61EBA" w:rsidRDefault="00AE2D27" w:rsidP="00AE2D27">
            <w:pPr>
              <w:pStyle w:val="Tabletext"/>
              <w:keepNext/>
              <w:widowControl w:val="0"/>
              <w:jc w:val="center"/>
            </w:pPr>
            <w:r>
              <w:t>B</w:t>
            </w:r>
          </w:p>
        </w:tc>
        <w:tc>
          <w:tcPr>
            <w:tcW w:w="1135" w:type="dxa"/>
            <w:vAlign w:val="center"/>
          </w:tcPr>
          <w:p w14:paraId="35F0E4D7" w14:textId="77777777" w:rsidR="00AE2D27" w:rsidRPr="00F05E4F" w:rsidRDefault="00AE2D27" w:rsidP="00AE2D27">
            <w:pPr>
              <w:pStyle w:val="Tabletext"/>
              <w:keepNext/>
              <w:widowControl w:val="0"/>
              <w:jc w:val="center"/>
            </w:pPr>
            <w:r>
              <w:t>127</w:t>
            </w:r>
          </w:p>
        </w:tc>
        <w:tc>
          <w:tcPr>
            <w:tcW w:w="1136" w:type="dxa"/>
            <w:vAlign w:val="center"/>
          </w:tcPr>
          <w:p w14:paraId="7587D90E" w14:textId="77777777" w:rsidR="00AE2D27" w:rsidRPr="00F05E4F" w:rsidRDefault="00AE2D27" w:rsidP="00AE2D27">
            <w:pPr>
              <w:pStyle w:val="Tabletext"/>
              <w:keepNext/>
              <w:widowControl w:val="0"/>
              <w:jc w:val="center"/>
            </w:pPr>
            <w:r>
              <w:t>127</w:t>
            </w:r>
          </w:p>
        </w:tc>
        <w:tc>
          <w:tcPr>
            <w:tcW w:w="1135" w:type="dxa"/>
            <w:vAlign w:val="center"/>
          </w:tcPr>
          <w:p w14:paraId="779EDCD4" w14:textId="77777777" w:rsidR="00AE2D27" w:rsidRPr="00F05E4F" w:rsidRDefault="00AE2D27" w:rsidP="00AE2D27">
            <w:pPr>
              <w:pStyle w:val="Tabletext"/>
              <w:keepNext/>
              <w:widowControl w:val="0"/>
              <w:jc w:val="center"/>
            </w:pPr>
            <w:r>
              <w:t>127</w:t>
            </w:r>
          </w:p>
        </w:tc>
        <w:tc>
          <w:tcPr>
            <w:tcW w:w="1136" w:type="dxa"/>
            <w:vAlign w:val="center"/>
          </w:tcPr>
          <w:p w14:paraId="248A9CD7" w14:textId="77777777" w:rsidR="00AE2D27" w:rsidRPr="00F05E4F" w:rsidRDefault="00AE2D27" w:rsidP="00AE2D27">
            <w:pPr>
              <w:pStyle w:val="Tabletext"/>
              <w:keepNext/>
              <w:widowControl w:val="0"/>
              <w:jc w:val="center"/>
            </w:pPr>
            <w:r>
              <w:t>127</w:t>
            </w:r>
          </w:p>
        </w:tc>
        <w:tc>
          <w:tcPr>
            <w:tcW w:w="1136" w:type="dxa"/>
            <w:vAlign w:val="center"/>
          </w:tcPr>
          <w:p w14:paraId="74AFA644" w14:textId="77777777" w:rsidR="00AE2D27" w:rsidRPr="00F05E4F" w:rsidRDefault="00AE2D27" w:rsidP="00AE2D27">
            <w:pPr>
              <w:pStyle w:val="Tabletext"/>
              <w:keepNext/>
              <w:widowControl w:val="0"/>
              <w:jc w:val="center"/>
            </w:pPr>
            <w:r>
              <w:t>127</w:t>
            </w:r>
          </w:p>
        </w:tc>
      </w:tr>
      <w:tr w:rsidR="00AE2D27" w:rsidRPr="00E61EBA" w14:paraId="546ACE75" w14:textId="77777777" w:rsidTr="00AE2D27">
        <w:tc>
          <w:tcPr>
            <w:tcW w:w="2689" w:type="dxa"/>
          </w:tcPr>
          <w:p w14:paraId="05AFA496" w14:textId="77777777" w:rsidR="00AE2D27" w:rsidRPr="00E61EBA" w:rsidRDefault="00AE2D27" w:rsidP="00AE2D27">
            <w:pPr>
              <w:pStyle w:val="Tabletext"/>
              <w:keepNext/>
              <w:widowControl w:val="0"/>
            </w:pPr>
            <w:r>
              <w:t>Costs to MBS (anaesthesia MBS 20100)</w:t>
            </w:r>
          </w:p>
        </w:tc>
        <w:tc>
          <w:tcPr>
            <w:tcW w:w="708" w:type="dxa"/>
            <w:vAlign w:val="center"/>
          </w:tcPr>
          <w:p w14:paraId="3E49C0FF" w14:textId="77777777" w:rsidR="00AE2D27" w:rsidRPr="00E61EBA" w:rsidRDefault="00AE2D27" w:rsidP="00AE2D27">
            <w:pPr>
              <w:pStyle w:val="Tabletext"/>
              <w:keepNext/>
              <w:widowControl w:val="0"/>
              <w:jc w:val="center"/>
            </w:pPr>
            <w:r>
              <w:t>C</w:t>
            </w:r>
          </w:p>
        </w:tc>
        <w:tc>
          <w:tcPr>
            <w:tcW w:w="1135" w:type="dxa"/>
            <w:vAlign w:val="center"/>
          </w:tcPr>
          <w:p w14:paraId="2E7DBA73" w14:textId="77777777" w:rsidR="00AE2D27" w:rsidRPr="00E61EBA" w:rsidRDefault="00AE2D27" w:rsidP="00AE2D27">
            <w:pPr>
              <w:pStyle w:val="Tabletext"/>
              <w:keepNext/>
              <w:widowControl w:val="0"/>
              <w:jc w:val="center"/>
            </w:pPr>
            <w:r w:rsidRPr="00581669">
              <w:t>$39,419</w:t>
            </w:r>
          </w:p>
        </w:tc>
        <w:tc>
          <w:tcPr>
            <w:tcW w:w="1136" w:type="dxa"/>
            <w:vAlign w:val="center"/>
          </w:tcPr>
          <w:p w14:paraId="28669004" w14:textId="77777777" w:rsidR="00AE2D27" w:rsidRPr="00E61EBA" w:rsidRDefault="00AE2D27" w:rsidP="00AE2D27">
            <w:pPr>
              <w:pStyle w:val="Tabletext"/>
              <w:keepNext/>
              <w:widowControl w:val="0"/>
              <w:jc w:val="center"/>
            </w:pPr>
            <w:r w:rsidRPr="00581669">
              <w:t>$39,419</w:t>
            </w:r>
          </w:p>
        </w:tc>
        <w:tc>
          <w:tcPr>
            <w:tcW w:w="1135" w:type="dxa"/>
            <w:vAlign w:val="center"/>
          </w:tcPr>
          <w:p w14:paraId="01AFB2D0" w14:textId="77777777" w:rsidR="00AE2D27" w:rsidRPr="00E61EBA" w:rsidRDefault="00AE2D27" w:rsidP="00AE2D27">
            <w:pPr>
              <w:pStyle w:val="Tabletext"/>
              <w:keepNext/>
              <w:widowControl w:val="0"/>
              <w:jc w:val="center"/>
            </w:pPr>
            <w:r w:rsidRPr="00581669">
              <w:t>$39,419</w:t>
            </w:r>
          </w:p>
        </w:tc>
        <w:tc>
          <w:tcPr>
            <w:tcW w:w="1136" w:type="dxa"/>
            <w:vAlign w:val="center"/>
          </w:tcPr>
          <w:p w14:paraId="4C6B825F" w14:textId="77777777" w:rsidR="00AE2D27" w:rsidRPr="00E61EBA" w:rsidRDefault="00AE2D27" w:rsidP="00AE2D27">
            <w:pPr>
              <w:pStyle w:val="Tabletext"/>
              <w:keepNext/>
              <w:widowControl w:val="0"/>
              <w:jc w:val="center"/>
            </w:pPr>
            <w:r w:rsidRPr="00581669">
              <w:t>$39,419</w:t>
            </w:r>
          </w:p>
        </w:tc>
        <w:tc>
          <w:tcPr>
            <w:tcW w:w="1136" w:type="dxa"/>
            <w:vAlign w:val="center"/>
          </w:tcPr>
          <w:p w14:paraId="537541D1" w14:textId="77777777" w:rsidR="00AE2D27" w:rsidRPr="00E61EBA" w:rsidRDefault="00AE2D27" w:rsidP="00AE2D27">
            <w:pPr>
              <w:pStyle w:val="Tabletext"/>
              <w:keepNext/>
              <w:widowControl w:val="0"/>
              <w:jc w:val="center"/>
            </w:pPr>
            <w:r w:rsidRPr="00581669">
              <w:t>$39,419</w:t>
            </w:r>
          </w:p>
        </w:tc>
      </w:tr>
      <w:tr w:rsidR="00AE2D27" w:rsidRPr="00E61EBA" w14:paraId="6250A053" w14:textId="77777777" w:rsidTr="00AE2D27">
        <w:tc>
          <w:tcPr>
            <w:tcW w:w="2689" w:type="dxa"/>
          </w:tcPr>
          <w:p w14:paraId="207F4F0C" w14:textId="77777777" w:rsidR="00AE2D27" w:rsidRPr="00E61EBA" w:rsidRDefault="00AE2D27" w:rsidP="00AE2D27">
            <w:pPr>
              <w:pStyle w:val="Tabletext"/>
              <w:keepNext/>
              <w:widowControl w:val="0"/>
            </w:pPr>
            <w:r>
              <w:t xml:space="preserve">Co-payment subtracted </w:t>
            </w:r>
          </w:p>
        </w:tc>
        <w:tc>
          <w:tcPr>
            <w:tcW w:w="708" w:type="dxa"/>
            <w:vAlign w:val="center"/>
          </w:tcPr>
          <w:p w14:paraId="4F085274" w14:textId="77777777" w:rsidR="00AE2D27" w:rsidRPr="00E61EBA" w:rsidRDefault="00AE2D27" w:rsidP="00AE2D27">
            <w:pPr>
              <w:pStyle w:val="Tabletext"/>
              <w:keepNext/>
              <w:widowControl w:val="0"/>
              <w:jc w:val="center"/>
            </w:pPr>
            <w:r>
              <w:t>D</w:t>
            </w:r>
          </w:p>
        </w:tc>
        <w:tc>
          <w:tcPr>
            <w:tcW w:w="1135" w:type="dxa"/>
          </w:tcPr>
          <w:p w14:paraId="0D5016D8" w14:textId="77777777" w:rsidR="00AE2D27" w:rsidRDefault="00AE2D27" w:rsidP="00AE2D27">
            <w:pPr>
              <w:pStyle w:val="Tabletext"/>
              <w:keepNext/>
              <w:widowControl w:val="0"/>
              <w:jc w:val="center"/>
            </w:pPr>
            <w:r w:rsidRPr="00F1297C">
              <w:t>$29,564</w:t>
            </w:r>
          </w:p>
        </w:tc>
        <w:tc>
          <w:tcPr>
            <w:tcW w:w="1136" w:type="dxa"/>
          </w:tcPr>
          <w:p w14:paraId="548902C2" w14:textId="77777777" w:rsidR="00AE2D27" w:rsidRDefault="00AE2D27" w:rsidP="00AE2D27">
            <w:pPr>
              <w:pStyle w:val="Tabletext"/>
              <w:keepNext/>
              <w:widowControl w:val="0"/>
              <w:jc w:val="center"/>
            </w:pPr>
            <w:r w:rsidRPr="00F1297C">
              <w:t>$29,564</w:t>
            </w:r>
          </w:p>
        </w:tc>
        <w:tc>
          <w:tcPr>
            <w:tcW w:w="1135" w:type="dxa"/>
          </w:tcPr>
          <w:p w14:paraId="273B9F59" w14:textId="77777777" w:rsidR="00AE2D27" w:rsidRDefault="00AE2D27" w:rsidP="00AE2D27">
            <w:pPr>
              <w:pStyle w:val="Tabletext"/>
              <w:keepNext/>
              <w:widowControl w:val="0"/>
              <w:jc w:val="center"/>
            </w:pPr>
            <w:r w:rsidRPr="00F1297C">
              <w:t>$29,564</w:t>
            </w:r>
          </w:p>
        </w:tc>
        <w:tc>
          <w:tcPr>
            <w:tcW w:w="1136" w:type="dxa"/>
          </w:tcPr>
          <w:p w14:paraId="355CEF20" w14:textId="77777777" w:rsidR="00AE2D27" w:rsidRDefault="00AE2D27" w:rsidP="00AE2D27">
            <w:pPr>
              <w:pStyle w:val="Tabletext"/>
              <w:keepNext/>
              <w:widowControl w:val="0"/>
              <w:jc w:val="center"/>
            </w:pPr>
            <w:r w:rsidRPr="00F1297C">
              <w:t>$29,564</w:t>
            </w:r>
          </w:p>
        </w:tc>
        <w:tc>
          <w:tcPr>
            <w:tcW w:w="1136" w:type="dxa"/>
          </w:tcPr>
          <w:p w14:paraId="494E77A4" w14:textId="77777777" w:rsidR="00AE2D27" w:rsidRDefault="00AE2D27" w:rsidP="00AE2D27">
            <w:pPr>
              <w:pStyle w:val="Tabletext"/>
              <w:keepNext/>
              <w:widowControl w:val="0"/>
              <w:jc w:val="center"/>
            </w:pPr>
            <w:r w:rsidRPr="00F1297C">
              <w:t>$29,564</w:t>
            </w:r>
          </w:p>
        </w:tc>
      </w:tr>
      <w:tr w:rsidR="00AE2D27" w:rsidRPr="00F41881" w14:paraId="0BE1058E" w14:textId="77777777" w:rsidTr="00AE2D27">
        <w:tc>
          <w:tcPr>
            <w:tcW w:w="2689" w:type="dxa"/>
          </w:tcPr>
          <w:p w14:paraId="4A237083" w14:textId="77777777" w:rsidR="00AE2D27" w:rsidRPr="00F41881" w:rsidRDefault="00AE2D27" w:rsidP="00AE2D27">
            <w:pPr>
              <w:pStyle w:val="Tabletext"/>
              <w:keepNext/>
              <w:widowControl w:val="0"/>
              <w:rPr>
                <w:b/>
              </w:rPr>
            </w:pPr>
            <w:r w:rsidRPr="00F41881">
              <w:rPr>
                <w:b/>
              </w:rPr>
              <w:t xml:space="preserve">Total Services </w:t>
            </w:r>
          </w:p>
        </w:tc>
        <w:tc>
          <w:tcPr>
            <w:tcW w:w="708" w:type="dxa"/>
            <w:vAlign w:val="center"/>
          </w:tcPr>
          <w:p w14:paraId="4CA01BB2" w14:textId="77777777" w:rsidR="00AE2D27" w:rsidRPr="00F41881" w:rsidRDefault="00AE2D27" w:rsidP="00AE2D27">
            <w:pPr>
              <w:pStyle w:val="Tabletext"/>
              <w:keepNext/>
              <w:widowControl w:val="0"/>
              <w:jc w:val="center"/>
              <w:rPr>
                <w:b/>
              </w:rPr>
            </w:pPr>
          </w:p>
        </w:tc>
        <w:tc>
          <w:tcPr>
            <w:tcW w:w="1135" w:type="dxa"/>
            <w:vAlign w:val="center"/>
          </w:tcPr>
          <w:p w14:paraId="355347CB" w14:textId="77777777" w:rsidR="00AE2D27" w:rsidRPr="00F41881" w:rsidRDefault="00AE2D27" w:rsidP="00AE2D27">
            <w:pPr>
              <w:pStyle w:val="Tabletext"/>
              <w:keepNext/>
              <w:widowControl w:val="0"/>
              <w:jc w:val="center"/>
              <w:rPr>
                <w:b/>
              </w:rPr>
            </w:pPr>
            <w:r w:rsidRPr="00F41881">
              <w:rPr>
                <w:b/>
              </w:rPr>
              <w:t>127</w:t>
            </w:r>
          </w:p>
        </w:tc>
        <w:tc>
          <w:tcPr>
            <w:tcW w:w="1136" w:type="dxa"/>
            <w:vAlign w:val="center"/>
          </w:tcPr>
          <w:p w14:paraId="56F5FF33" w14:textId="77777777" w:rsidR="00AE2D27" w:rsidRPr="00F41881" w:rsidRDefault="00AE2D27" w:rsidP="00AE2D27">
            <w:pPr>
              <w:pStyle w:val="Tabletext"/>
              <w:keepNext/>
              <w:widowControl w:val="0"/>
              <w:jc w:val="center"/>
              <w:rPr>
                <w:b/>
              </w:rPr>
            </w:pPr>
            <w:r w:rsidRPr="00F41881">
              <w:rPr>
                <w:b/>
              </w:rPr>
              <w:t>127</w:t>
            </w:r>
          </w:p>
        </w:tc>
        <w:tc>
          <w:tcPr>
            <w:tcW w:w="1135" w:type="dxa"/>
            <w:vAlign w:val="center"/>
          </w:tcPr>
          <w:p w14:paraId="364C3A2B" w14:textId="77777777" w:rsidR="00AE2D27" w:rsidRPr="00F41881" w:rsidRDefault="00AE2D27" w:rsidP="00AE2D27">
            <w:pPr>
              <w:pStyle w:val="Tabletext"/>
              <w:keepNext/>
              <w:widowControl w:val="0"/>
              <w:jc w:val="center"/>
              <w:rPr>
                <w:b/>
              </w:rPr>
            </w:pPr>
            <w:r w:rsidRPr="00F41881">
              <w:rPr>
                <w:b/>
              </w:rPr>
              <w:t>127</w:t>
            </w:r>
          </w:p>
        </w:tc>
        <w:tc>
          <w:tcPr>
            <w:tcW w:w="1136" w:type="dxa"/>
            <w:vAlign w:val="center"/>
          </w:tcPr>
          <w:p w14:paraId="25605A04" w14:textId="77777777" w:rsidR="00AE2D27" w:rsidRPr="00F41881" w:rsidRDefault="00AE2D27" w:rsidP="00AE2D27">
            <w:pPr>
              <w:pStyle w:val="Tabletext"/>
              <w:keepNext/>
              <w:widowControl w:val="0"/>
              <w:jc w:val="center"/>
              <w:rPr>
                <w:b/>
              </w:rPr>
            </w:pPr>
            <w:r w:rsidRPr="00F41881">
              <w:rPr>
                <w:b/>
              </w:rPr>
              <w:t>127</w:t>
            </w:r>
          </w:p>
        </w:tc>
        <w:tc>
          <w:tcPr>
            <w:tcW w:w="1136" w:type="dxa"/>
            <w:vAlign w:val="center"/>
          </w:tcPr>
          <w:p w14:paraId="7C6A0F7C" w14:textId="77777777" w:rsidR="00AE2D27" w:rsidRPr="00F41881" w:rsidRDefault="00AE2D27" w:rsidP="00AE2D27">
            <w:pPr>
              <w:pStyle w:val="Tabletext"/>
              <w:keepNext/>
              <w:widowControl w:val="0"/>
              <w:jc w:val="center"/>
              <w:rPr>
                <w:b/>
              </w:rPr>
            </w:pPr>
            <w:r w:rsidRPr="00F41881">
              <w:rPr>
                <w:b/>
              </w:rPr>
              <w:t>127</w:t>
            </w:r>
          </w:p>
        </w:tc>
      </w:tr>
      <w:tr w:rsidR="00AE2D27" w:rsidRPr="00F41881" w14:paraId="41C650F3" w14:textId="77777777" w:rsidTr="00AE2D27">
        <w:tc>
          <w:tcPr>
            <w:tcW w:w="2689" w:type="dxa"/>
          </w:tcPr>
          <w:p w14:paraId="529ED5A7" w14:textId="77777777" w:rsidR="00AE2D27" w:rsidRPr="00F41881" w:rsidRDefault="00AE2D27" w:rsidP="00AE2D27">
            <w:pPr>
              <w:pStyle w:val="Tabletext"/>
              <w:keepNext/>
              <w:widowControl w:val="0"/>
              <w:rPr>
                <w:b/>
              </w:rPr>
            </w:pPr>
            <w:r w:rsidRPr="00F41881">
              <w:rPr>
                <w:b/>
              </w:rPr>
              <w:t>Total cost to MBS</w:t>
            </w:r>
            <w:r>
              <w:rPr>
                <w:b/>
              </w:rPr>
              <w:t xml:space="preserve"> (after co-payment)</w:t>
            </w:r>
          </w:p>
        </w:tc>
        <w:tc>
          <w:tcPr>
            <w:tcW w:w="708" w:type="dxa"/>
            <w:vAlign w:val="center"/>
          </w:tcPr>
          <w:p w14:paraId="327742EF" w14:textId="77777777" w:rsidR="00AE2D27" w:rsidRPr="00F41881" w:rsidRDefault="00AE2D27" w:rsidP="00AE2D27">
            <w:pPr>
              <w:pStyle w:val="Tabletext"/>
              <w:keepNext/>
              <w:widowControl w:val="0"/>
              <w:jc w:val="center"/>
              <w:rPr>
                <w:b/>
              </w:rPr>
            </w:pPr>
            <w:r>
              <w:rPr>
                <w:b/>
              </w:rPr>
              <w:t>A+D</w:t>
            </w:r>
          </w:p>
        </w:tc>
        <w:tc>
          <w:tcPr>
            <w:tcW w:w="1135" w:type="dxa"/>
            <w:vAlign w:val="center"/>
          </w:tcPr>
          <w:p w14:paraId="244F8771" w14:textId="77777777" w:rsidR="00AE2D27" w:rsidRPr="00F41881" w:rsidRDefault="00AE2D27" w:rsidP="00AE2D27">
            <w:pPr>
              <w:pStyle w:val="Tabletext"/>
              <w:keepNext/>
              <w:widowControl w:val="0"/>
              <w:jc w:val="center"/>
              <w:rPr>
                <w:b/>
              </w:rPr>
            </w:pPr>
            <w:r w:rsidRPr="00F41881">
              <w:rPr>
                <w:b/>
              </w:rPr>
              <w:t>$90,904</w:t>
            </w:r>
          </w:p>
        </w:tc>
        <w:tc>
          <w:tcPr>
            <w:tcW w:w="1136" w:type="dxa"/>
            <w:vAlign w:val="center"/>
          </w:tcPr>
          <w:p w14:paraId="1A0BD1DF" w14:textId="77777777" w:rsidR="00AE2D27" w:rsidRPr="00F41881" w:rsidRDefault="00AE2D27" w:rsidP="00AE2D27">
            <w:pPr>
              <w:pStyle w:val="Tabletext"/>
              <w:keepNext/>
              <w:widowControl w:val="0"/>
              <w:jc w:val="center"/>
              <w:rPr>
                <w:b/>
              </w:rPr>
            </w:pPr>
            <w:r w:rsidRPr="00F41881">
              <w:rPr>
                <w:b/>
              </w:rPr>
              <w:t>$90,904</w:t>
            </w:r>
          </w:p>
        </w:tc>
        <w:tc>
          <w:tcPr>
            <w:tcW w:w="1135" w:type="dxa"/>
            <w:vAlign w:val="center"/>
          </w:tcPr>
          <w:p w14:paraId="527F06FE" w14:textId="77777777" w:rsidR="00AE2D27" w:rsidRPr="00F41881" w:rsidRDefault="00AE2D27" w:rsidP="00AE2D27">
            <w:pPr>
              <w:pStyle w:val="Tabletext"/>
              <w:keepNext/>
              <w:widowControl w:val="0"/>
              <w:jc w:val="center"/>
              <w:rPr>
                <w:b/>
              </w:rPr>
            </w:pPr>
            <w:r w:rsidRPr="00F41881">
              <w:rPr>
                <w:b/>
              </w:rPr>
              <w:t>$90,904</w:t>
            </w:r>
          </w:p>
        </w:tc>
        <w:tc>
          <w:tcPr>
            <w:tcW w:w="1136" w:type="dxa"/>
            <w:vAlign w:val="center"/>
          </w:tcPr>
          <w:p w14:paraId="6E3C13D7" w14:textId="77777777" w:rsidR="00AE2D27" w:rsidRPr="00F41881" w:rsidRDefault="00AE2D27" w:rsidP="00AE2D27">
            <w:pPr>
              <w:pStyle w:val="Tabletext"/>
              <w:keepNext/>
              <w:widowControl w:val="0"/>
              <w:jc w:val="center"/>
              <w:rPr>
                <w:b/>
              </w:rPr>
            </w:pPr>
            <w:r w:rsidRPr="00F41881">
              <w:rPr>
                <w:b/>
              </w:rPr>
              <w:t>$90,904</w:t>
            </w:r>
          </w:p>
        </w:tc>
        <w:tc>
          <w:tcPr>
            <w:tcW w:w="1136" w:type="dxa"/>
            <w:vAlign w:val="center"/>
          </w:tcPr>
          <w:p w14:paraId="11D20995" w14:textId="77777777" w:rsidR="00AE2D27" w:rsidRPr="00F41881" w:rsidRDefault="00AE2D27" w:rsidP="00AE2D27">
            <w:pPr>
              <w:pStyle w:val="Tabletext"/>
              <w:keepNext/>
              <w:widowControl w:val="0"/>
              <w:jc w:val="center"/>
              <w:rPr>
                <w:b/>
              </w:rPr>
            </w:pPr>
            <w:r w:rsidRPr="00F41881">
              <w:rPr>
                <w:b/>
              </w:rPr>
              <w:t>$90,904</w:t>
            </w:r>
          </w:p>
        </w:tc>
      </w:tr>
    </w:tbl>
    <w:p w14:paraId="701C607A" w14:textId="77777777" w:rsidR="00AE2D27" w:rsidRDefault="00AE2D27" w:rsidP="00AE2D27">
      <w:pPr>
        <w:keepNext/>
        <w:tabs>
          <w:tab w:val="left" w:pos="284"/>
        </w:tabs>
        <w:jc w:val="both"/>
        <w:rPr>
          <w:rFonts w:ascii="Arial Narrow" w:hAnsi="Arial Narrow"/>
          <w:sz w:val="18"/>
        </w:rPr>
      </w:pPr>
      <w:r w:rsidRPr="000C6350">
        <w:rPr>
          <w:rFonts w:ascii="Arial Narrow" w:hAnsi="Arial Narrow"/>
          <w:sz w:val="18"/>
        </w:rPr>
        <w:t>*</w:t>
      </w:r>
      <w:r w:rsidRPr="000C6350">
        <w:rPr>
          <w:rFonts w:ascii="Arial Narrow" w:hAnsi="Arial Narrow"/>
          <w:sz w:val="18"/>
        </w:rPr>
        <w:tab/>
      </w:r>
      <w:proofErr w:type="gramStart"/>
      <w:r w:rsidRPr="000C6350">
        <w:rPr>
          <w:rFonts w:ascii="Arial Narrow" w:hAnsi="Arial Narrow"/>
          <w:sz w:val="18"/>
        </w:rPr>
        <w:t>two</w:t>
      </w:r>
      <w:proofErr w:type="gramEnd"/>
      <w:r w:rsidRPr="000C6350">
        <w:rPr>
          <w:rFonts w:ascii="Arial Narrow" w:hAnsi="Arial Narrow"/>
          <w:sz w:val="18"/>
        </w:rPr>
        <w:t xml:space="preserve"> sessions per person on average. </w:t>
      </w:r>
    </w:p>
    <w:p w14:paraId="0BAE1F3C" w14:textId="77777777" w:rsidR="00AE2D27" w:rsidRDefault="00AE2D27" w:rsidP="00AE2D27">
      <w:pPr>
        <w:pStyle w:val="Tablenotes1"/>
      </w:pPr>
      <w:r>
        <w:t>Source: Table 10, p42 of the DCAR.</w:t>
      </w:r>
    </w:p>
    <w:p w14:paraId="055EE184" w14:textId="7A1F370B" w:rsidR="00AE2D27" w:rsidRDefault="00AE2D27" w:rsidP="00AE2D27">
      <w:pPr>
        <w:rPr>
          <w:lang w:eastAsia="en-US"/>
        </w:rPr>
      </w:pPr>
      <w:r>
        <w:rPr>
          <w:lang w:eastAsia="en-US"/>
        </w:rPr>
        <w:t>The DCAR noted that t</w:t>
      </w:r>
      <w:r w:rsidRPr="00C83CDE">
        <w:rPr>
          <w:lang w:eastAsia="en-US"/>
        </w:rPr>
        <w:t xml:space="preserve">he MBS item descriptor allows for a maximum of five services per region of the body defined as upper or lower limbs, trunk, neck or face. Without being able to identify a typical patient it is not possible to identify whether a patient is eligible for a maximum or 5, 10 or 15 sessions and then on average how many sessions are likely. The number of sessions estimated may be an underestimate.  Additionally, the total population may be an overestimate as a patient’s financial status after a major burn may change significantly, </w:t>
      </w:r>
      <w:proofErr w:type="gramStart"/>
      <w:r w:rsidRPr="00C83CDE">
        <w:rPr>
          <w:lang w:eastAsia="en-US"/>
        </w:rPr>
        <w:t>impacting on</w:t>
      </w:r>
      <w:proofErr w:type="gramEnd"/>
      <w:r w:rsidRPr="00C83CDE">
        <w:rPr>
          <w:lang w:eastAsia="en-US"/>
        </w:rPr>
        <w:t xml:space="preserve"> their ability to keep their private health cover.</w:t>
      </w:r>
    </w:p>
    <w:p w14:paraId="6CF54C8B" w14:textId="67E4C748" w:rsidR="00AE2D27" w:rsidRPr="001813B9" w:rsidRDefault="00AE2D27" w:rsidP="000047D0">
      <w:pPr>
        <w:tabs>
          <w:tab w:val="left" w:pos="720"/>
          <w:tab w:val="left" w:pos="1140"/>
        </w:tabs>
        <w:spacing w:before="240"/>
        <w:rPr>
          <w:lang w:eastAsia="en-US"/>
        </w:rPr>
      </w:pPr>
      <w:r>
        <w:rPr>
          <w:lang w:eastAsia="en-US"/>
        </w:rPr>
        <w:t>The DCAR considered that w</w:t>
      </w:r>
      <w:r w:rsidRPr="00851244">
        <w:rPr>
          <w:lang w:eastAsia="en-US"/>
        </w:rPr>
        <w:t>here these patients obtain relief from the application of AFG this may also result in a reduction in the need for conservative therapies such as lotions or ongoing physiotherapy, sometimes provided in a hospital, allied health or consulting room setting. These may be likely outcomes but the financial implications for government health budgets could not be determined.</w:t>
      </w:r>
    </w:p>
    <w:p w14:paraId="19865008" w14:textId="77777777" w:rsidR="006A0D97" w:rsidRPr="00F715D1" w:rsidRDefault="006A0D97" w:rsidP="00F715D1">
      <w:pPr>
        <w:pStyle w:val="Heading1"/>
      </w:pPr>
      <w:r w:rsidRPr="00F715D1">
        <w:t>Key issues from ESC for MSAC</w:t>
      </w:r>
    </w:p>
    <w:tbl>
      <w:tblPr>
        <w:tblStyle w:val="TableGrid3"/>
        <w:tblW w:w="0" w:type="auto"/>
        <w:tblLook w:val="04A0" w:firstRow="1" w:lastRow="0" w:firstColumn="1" w:lastColumn="0" w:noHBand="0" w:noVBand="1"/>
        <w:tblDescription w:val="Summary of the key issues identified by ESC for MSAC consideration"/>
      </w:tblPr>
      <w:tblGrid>
        <w:gridCol w:w="3681"/>
        <w:gridCol w:w="5335"/>
      </w:tblGrid>
      <w:tr w:rsidR="00BA6A55" w:rsidRPr="00084163" w14:paraId="75B01894" w14:textId="77777777" w:rsidTr="00556B3C">
        <w:trPr>
          <w:tblHeader/>
        </w:trPr>
        <w:tc>
          <w:tcPr>
            <w:tcW w:w="3681" w:type="dxa"/>
          </w:tcPr>
          <w:p w14:paraId="50B90D29" w14:textId="77777777" w:rsidR="00BA6A55" w:rsidRPr="00084163" w:rsidRDefault="00BA6A55" w:rsidP="00AE2D27">
            <w:pPr>
              <w:widowControl w:val="0"/>
              <w:spacing w:before="60" w:after="60"/>
              <w:rPr>
                <w:b/>
                <w:bCs/>
                <w:color w:val="000000"/>
                <w:sz w:val="21"/>
                <w:szCs w:val="21"/>
              </w:rPr>
            </w:pPr>
            <w:r w:rsidRPr="00084163">
              <w:rPr>
                <w:b/>
                <w:bCs/>
                <w:color w:val="000000"/>
                <w:sz w:val="21"/>
                <w:szCs w:val="21"/>
              </w:rPr>
              <w:t>ESC key issue</w:t>
            </w:r>
          </w:p>
        </w:tc>
        <w:tc>
          <w:tcPr>
            <w:tcW w:w="5335" w:type="dxa"/>
          </w:tcPr>
          <w:p w14:paraId="663AB7F5" w14:textId="77777777" w:rsidR="00BA6A55" w:rsidRPr="00084163" w:rsidRDefault="00BA6A55" w:rsidP="00AE2D27">
            <w:pPr>
              <w:widowControl w:val="0"/>
              <w:spacing w:before="60" w:after="60"/>
              <w:rPr>
                <w:b/>
                <w:bCs/>
                <w:color w:val="000000"/>
                <w:sz w:val="21"/>
                <w:szCs w:val="21"/>
              </w:rPr>
            </w:pPr>
            <w:r w:rsidRPr="00084163">
              <w:rPr>
                <w:b/>
                <w:bCs/>
                <w:color w:val="000000"/>
                <w:sz w:val="21"/>
                <w:szCs w:val="21"/>
              </w:rPr>
              <w:t>ESC advice to MSAC</w:t>
            </w:r>
          </w:p>
        </w:tc>
      </w:tr>
      <w:tr w:rsidR="00BA6A55" w:rsidRPr="00084163" w14:paraId="3F93795D" w14:textId="77777777" w:rsidTr="00AE2D27">
        <w:tc>
          <w:tcPr>
            <w:tcW w:w="3681" w:type="dxa"/>
          </w:tcPr>
          <w:p w14:paraId="7FABD927" w14:textId="77777777" w:rsidR="00BA6A55" w:rsidRPr="00084163" w:rsidDel="00F5440C" w:rsidRDefault="00BA6A55" w:rsidP="00AE2D27">
            <w:pPr>
              <w:widowControl w:val="0"/>
              <w:spacing w:before="60" w:after="60"/>
              <w:rPr>
                <w:color w:val="000000"/>
                <w:sz w:val="21"/>
                <w:szCs w:val="21"/>
              </w:rPr>
            </w:pPr>
            <w:r>
              <w:rPr>
                <w:color w:val="000000"/>
                <w:sz w:val="21"/>
                <w:szCs w:val="21"/>
              </w:rPr>
              <w:t>Very l</w:t>
            </w:r>
            <w:r w:rsidRPr="00084163">
              <w:rPr>
                <w:color w:val="000000"/>
                <w:sz w:val="21"/>
                <w:szCs w:val="21"/>
              </w:rPr>
              <w:t>ow quality of the evidence, leading to substantial uncertainty in clinical</w:t>
            </w:r>
            <w:r>
              <w:rPr>
                <w:color w:val="000000"/>
                <w:sz w:val="21"/>
                <w:szCs w:val="21"/>
              </w:rPr>
              <w:t xml:space="preserve"> </w:t>
            </w:r>
            <w:r w:rsidRPr="00084163">
              <w:rPr>
                <w:color w:val="000000"/>
                <w:sz w:val="21"/>
                <w:szCs w:val="21"/>
              </w:rPr>
              <w:t xml:space="preserve"> and economic outcomes</w:t>
            </w:r>
          </w:p>
        </w:tc>
        <w:tc>
          <w:tcPr>
            <w:tcW w:w="5335" w:type="dxa"/>
          </w:tcPr>
          <w:p w14:paraId="7EB6A2E0" w14:textId="77777777" w:rsidR="00BA6A55" w:rsidRPr="00084163" w:rsidRDefault="00BA6A55" w:rsidP="00AE2D27">
            <w:pPr>
              <w:widowControl w:val="0"/>
              <w:spacing w:before="60" w:after="60"/>
              <w:rPr>
                <w:color w:val="000000"/>
                <w:sz w:val="21"/>
                <w:szCs w:val="21"/>
              </w:rPr>
            </w:pPr>
            <w:r w:rsidRPr="00084163">
              <w:rPr>
                <w:color w:val="000000"/>
                <w:sz w:val="21"/>
                <w:szCs w:val="21"/>
              </w:rPr>
              <w:t xml:space="preserve">ESC noted the inherently low-quality evidence </w:t>
            </w:r>
            <w:r>
              <w:rPr>
                <w:color w:val="000000"/>
                <w:sz w:val="21"/>
                <w:szCs w:val="21"/>
              </w:rPr>
              <w:t>and outcome variation in</w:t>
            </w:r>
            <w:r w:rsidRPr="00084163">
              <w:rPr>
                <w:color w:val="000000"/>
                <w:sz w:val="21"/>
                <w:szCs w:val="21"/>
              </w:rPr>
              <w:t xml:space="preserve"> heterogeneous populations, which leads to high levels of uncertainty in clinical and economic outcomes. However, ESC also noted the difficulties in developing high-quality</w:t>
            </w:r>
            <w:r>
              <w:rPr>
                <w:color w:val="000000"/>
                <w:sz w:val="21"/>
                <w:szCs w:val="21"/>
              </w:rPr>
              <w:t xml:space="preserve"> evidence for these populations, and considered it would be unlikely that better quality evidence becomes available.</w:t>
            </w:r>
          </w:p>
        </w:tc>
      </w:tr>
      <w:tr w:rsidR="00BA6A55" w:rsidRPr="00084163" w14:paraId="283604B1" w14:textId="77777777" w:rsidTr="00AE2D27">
        <w:tc>
          <w:tcPr>
            <w:tcW w:w="3681" w:type="dxa"/>
          </w:tcPr>
          <w:p w14:paraId="17A3C6B8" w14:textId="77777777" w:rsidR="00BA6A55" w:rsidRPr="00084163" w:rsidRDefault="00BA6A55" w:rsidP="00AE2D27">
            <w:pPr>
              <w:widowControl w:val="0"/>
              <w:spacing w:before="60" w:after="60"/>
              <w:rPr>
                <w:color w:val="000000"/>
                <w:sz w:val="21"/>
                <w:szCs w:val="21"/>
              </w:rPr>
            </w:pPr>
            <w:r>
              <w:rPr>
                <w:color w:val="000000"/>
                <w:sz w:val="21"/>
                <w:szCs w:val="21"/>
              </w:rPr>
              <w:t>Comparative safety and effectiveness</w:t>
            </w:r>
          </w:p>
        </w:tc>
        <w:tc>
          <w:tcPr>
            <w:tcW w:w="5335" w:type="dxa"/>
          </w:tcPr>
          <w:p w14:paraId="010B43D5" w14:textId="77777777" w:rsidR="00BA6A55" w:rsidRPr="008D07F7" w:rsidRDefault="00BA6A55" w:rsidP="00AE2D27">
            <w:pPr>
              <w:widowControl w:val="0"/>
            </w:pPr>
            <w:r>
              <w:rPr>
                <w:color w:val="000000"/>
                <w:sz w:val="21"/>
                <w:szCs w:val="21"/>
              </w:rPr>
              <w:t xml:space="preserve">AFG is probably a safe procedure; comparative safety is </w:t>
            </w:r>
            <w:r w:rsidRPr="00921649">
              <w:rPr>
                <w:color w:val="000000"/>
                <w:sz w:val="21"/>
                <w:szCs w:val="21"/>
              </w:rPr>
              <w:t>p</w:t>
            </w:r>
            <w:r w:rsidRPr="000C0A09">
              <w:rPr>
                <w:color w:val="000000"/>
                <w:sz w:val="21"/>
                <w:szCs w:val="21"/>
              </w:rPr>
              <w:t>robably not an issue</w:t>
            </w:r>
            <w:r>
              <w:rPr>
                <w:color w:val="000000"/>
                <w:sz w:val="21"/>
                <w:szCs w:val="21"/>
              </w:rPr>
              <w:t>, but comparative effectiveness is at best uncertain.</w:t>
            </w:r>
          </w:p>
        </w:tc>
      </w:tr>
      <w:tr w:rsidR="00BA6A55" w:rsidRPr="00084163" w14:paraId="3D8E6536" w14:textId="77777777" w:rsidTr="00AE2D27">
        <w:tc>
          <w:tcPr>
            <w:tcW w:w="3681" w:type="dxa"/>
          </w:tcPr>
          <w:p w14:paraId="3B5ECAA0" w14:textId="77777777" w:rsidR="00BA6A55" w:rsidRPr="00084163" w:rsidRDefault="00BA6A55" w:rsidP="00AE2D27">
            <w:pPr>
              <w:widowControl w:val="0"/>
              <w:spacing w:before="60" w:after="60"/>
              <w:rPr>
                <w:color w:val="000000"/>
                <w:sz w:val="21"/>
                <w:szCs w:val="21"/>
              </w:rPr>
            </w:pPr>
            <w:r>
              <w:rPr>
                <w:color w:val="000000"/>
                <w:sz w:val="21"/>
                <w:szCs w:val="21"/>
              </w:rPr>
              <w:t>Usage</w:t>
            </w:r>
          </w:p>
        </w:tc>
        <w:tc>
          <w:tcPr>
            <w:tcW w:w="5335" w:type="dxa"/>
          </w:tcPr>
          <w:p w14:paraId="3E9036AD" w14:textId="77777777" w:rsidR="00BA6A55" w:rsidRPr="00084163" w:rsidRDefault="00BA6A55" w:rsidP="00AE2D27">
            <w:pPr>
              <w:widowControl w:val="0"/>
              <w:spacing w:before="60" w:after="60"/>
              <w:rPr>
                <w:color w:val="000000"/>
                <w:sz w:val="21"/>
                <w:szCs w:val="21"/>
              </w:rPr>
            </w:pPr>
            <w:r w:rsidRPr="001023D5">
              <w:rPr>
                <w:color w:val="000000"/>
                <w:sz w:val="21"/>
                <w:szCs w:val="21"/>
              </w:rPr>
              <w:t xml:space="preserve">Uncertain usage and estimates given </w:t>
            </w:r>
            <w:r>
              <w:rPr>
                <w:color w:val="000000"/>
                <w:sz w:val="21"/>
                <w:szCs w:val="21"/>
              </w:rPr>
              <w:t xml:space="preserve">AFG is mostly performed </w:t>
            </w:r>
            <w:r w:rsidRPr="001023D5">
              <w:rPr>
                <w:color w:val="000000"/>
                <w:sz w:val="21"/>
                <w:szCs w:val="21"/>
              </w:rPr>
              <w:t>in</w:t>
            </w:r>
            <w:r>
              <w:rPr>
                <w:color w:val="000000"/>
                <w:sz w:val="21"/>
                <w:szCs w:val="21"/>
              </w:rPr>
              <w:t xml:space="preserve"> the</w:t>
            </w:r>
            <w:r w:rsidRPr="001023D5">
              <w:rPr>
                <w:color w:val="000000"/>
                <w:sz w:val="21"/>
                <w:szCs w:val="21"/>
              </w:rPr>
              <w:t xml:space="preserve"> private sector </w:t>
            </w:r>
          </w:p>
        </w:tc>
      </w:tr>
      <w:tr w:rsidR="00BA6A55" w:rsidRPr="00084163" w14:paraId="4D8B1E84" w14:textId="77777777" w:rsidTr="00AE2D27">
        <w:tc>
          <w:tcPr>
            <w:tcW w:w="3681" w:type="dxa"/>
          </w:tcPr>
          <w:p w14:paraId="1ACDA4B5" w14:textId="77777777" w:rsidR="00BA6A55" w:rsidRDefault="00BA6A55" w:rsidP="00AE2D27">
            <w:pPr>
              <w:widowControl w:val="0"/>
              <w:spacing w:before="60" w:after="60"/>
              <w:rPr>
                <w:color w:val="000000"/>
                <w:sz w:val="21"/>
                <w:szCs w:val="21"/>
              </w:rPr>
            </w:pPr>
            <w:r>
              <w:rPr>
                <w:color w:val="000000"/>
                <w:sz w:val="21"/>
                <w:szCs w:val="21"/>
              </w:rPr>
              <w:t>Uncertainties that significantly impact the economic model</w:t>
            </w:r>
          </w:p>
        </w:tc>
        <w:tc>
          <w:tcPr>
            <w:tcW w:w="5335" w:type="dxa"/>
          </w:tcPr>
          <w:p w14:paraId="5E34704B" w14:textId="77777777" w:rsidR="00BA6A55" w:rsidRDefault="00BA6A55" w:rsidP="00AE2D27">
            <w:pPr>
              <w:widowControl w:val="0"/>
              <w:spacing w:before="60" w:after="60"/>
              <w:rPr>
                <w:color w:val="000000"/>
                <w:sz w:val="21"/>
                <w:szCs w:val="21"/>
              </w:rPr>
            </w:pPr>
            <w:r>
              <w:rPr>
                <w:color w:val="000000"/>
                <w:sz w:val="21"/>
                <w:szCs w:val="21"/>
              </w:rPr>
              <w:t xml:space="preserve">Main issue is the low quality evidence base informing the economics, resulting in very uncertain ICERs. Other key </w:t>
            </w:r>
            <w:r>
              <w:rPr>
                <w:color w:val="000000"/>
                <w:sz w:val="21"/>
                <w:szCs w:val="21"/>
              </w:rPr>
              <w:lastRenderedPageBreak/>
              <w:t>uncertainties included:</w:t>
            </w:r>
          </w:p>
          <w:p w14:paraId="1CC4E476" w14:textId="77777777" w:rsidR="00BA6A55" w:rsidRDefault="00BA6A55" w:rsidP="00BA6A55">
            <w:pPr>
              <w:pStyle w:val="ListParagraph"/>
              <w:widowControl w:val="0"/>
              <w:numPr>
                <w:ilvl w:val="0"/>
                <w:numId w:val="27"/>
              </w:numPr>
              <w:spacing w:before="60" w:after="60"/>
              <w:ind w:left="113" w:hanging="113"/>
              <w:rPr>
                <w:color w:val="000000"/>
                <w:sz w:val="21"/>
                <w:szCs w:val="21"/>
              </w:rPr>
            </w:pPr>
            <w:r>
              <w:rPr>
                <w:color w:val="000000"/>
                <w:sz w:val="21"/>
                <w:szCs w:val="21"/>
              </w:rPr>
              <w:t>the economics relied upon ‘heroic’ assumptions</w:t>
            </w:r>
          </w:p>
          <w:p w14:paraId="487D35F8" w14:textId="77777777" w:rsidR="00BA6A55" w:rsidRDefault="00BA6A55" w:rsidP="00BA6A55">
            <w:pPr>
              <w:pStyle w:val="ListParagraph"/>
              <w:widowControl w:val="0"/>
              <w:numPr>
                <w:ilvl w:val="0"/>
                <w:numId w:val="27"/>
              </w:numPr>
              <w:spacing w:before="60" w:after="60"/>
              <w:ind w:left="113" w:hanging="113"/>
              <w:rPr>
                <w:color w:val="000000"/>
                <w:sz w:val="21"/>
                <w:szCs w:val="21"/>
              </w:rPr>
            </w:pPr>
            <w:r>
              <w:rPr>
                <w:color w:val="000000"/>
                <w:sz w:val="21"/>
                <w:szCs w:val="21"/>
              </w:rPr>
              <w:t>demonstrating QALY gains based on AEs may not be appropriate</w:t>
            </w:r>
          </w:p>
          <w:p w14:paraId="068C404B" w14:textId="77777777" w:rsidR="00BA6A55" w:rsidRPr="000C0A09" w:rsidRDefault="00BA6A55" w:rsidP="00BA6A55">
            <w:pPr>
              <w:pStyle w:val="ListParagraph"/>
              <w:widowControl w:val="0"/>
              <w:numPr>
                <w:ilvl w:val="0"/>
                <w:numId w:val="27"/>
              </w:numPr>
              <w:spacing w:before="60" w:after="60"/>
              <w:ind w:left="113" w:hanging="113"/>
              <w:rPr>
                <w:color w:val="000000"/>
                <w:sz w:val="21"/>
                <w:szCs w:val="21"/>
              </w:rPr>
            </w:pPr>
            <w:r>
              <w:rPr>
                <w:color w:val="000000"/>
                <w:sz w:val="21"/>
                <w:szCs w:val="21"/>
              </w:rPr>
              <w:t xml:space="preserve">no adequate health-related quality of life data </w:t>
            </w:r>
          </w:p>
        </w:tc>
      </w:tr>
      <w:tr w:rsidR="00BA6A55" w:rsidRPr="00084163" w14:paraId="4B009617" w14:textId="77777777" w:rsidTr="00AE2D27">
        <w:tc>
          <w:tcPr>
            <w:tcW w:w="3681" w:type="dxa"/>
          </w:tcPr>
          <w:p w14:paraId="6D1E7A4D" w14:textId="77777777" w:rsidR="00BA6A55" w:rsidRDefault="00BA6A55" w:rsidP="00AE2D27">
            <w:pPr>
              <w:widowControl w:val="0"/>
              <w:spacing w:before="60" w:after="60"/>
              <w:rPr>
                <w:color w:val="000000"/>
                <w:sz w:val="21"/>
                <w:szCs w:val="21"/>
              </w:rPr>
            </w:pPr>
            <w:r>
              <w:rPr>
                <w:color w:val="000000"/>
                <w:sz w:val="21"/>
                <w:szCs w:val="21"/>
              </w:rPr>
              <w:lastRenderedPageBreak/>
              <w:t>Financial impact</w:t>
            </w:r>
          </w:p>
        </w:tc>
        <w:tc>
          <w:tcPr>
            <w:tcW w:w="5335" w:type="dxa"/>
          </w:tcPr>
          <w:p w14:paraId="4546DFB2" w14:textId="77777777" w:rsidR="00BA6A55" w:rsidRDefault="00BA6A55" w:rsidP="00AE2D27">
            <w:pPr>
              <w:widowControl w:val="0"/>
              <w:spacing w:before="60" w:after="60"/>
              <w:rPr>
                <w:color w:val="000000"/>
                <w:sz w:val="21"/>
                <w:szCs w:val="21"/>
              </w:rPr>
            </w:pPr>
            <w:r>
              <w:rPr>
                <w:color w:val="000000"/>
                <w:sz w:val="21"/>
                <w:szCs w:val="21"/>
              </w:rPr>
              <w:t xml:space="preserve">Uncertainty regarding service numbers, uptake of AFG </w:t>
            </w:r>
            <w:r w:rsidRPr="00EF58C3">
              <w:rPr>
                <w:i/>
                <w:color w:val="000000"/>
                <w:sz w:val="21"/>
                <w:szCs w:val="21"/>
              </w:rPr>
              <w:t>vs.</w:t>
            </w:r>
            <w:r>
              <w:rPr>
                <w:color w:val="000000"/>
                <w:sz w:val="21"/>
                <w:szCs w:val="21"/>
              </w:rPr>
              <w:t xml:space="preserve"> comparators, and assumptions around implications for use in private </w:t>
            </w:r>
            <w:r w:rsidRPr="000C0A09">
              <w:rPr>
                <w:i/>
                <w:color w:val="000000"/>
                <w:sz w:val="21"/>
                <w:szCs w:val="21"/>
              </w:rPr>
              <w:t>vs.</w:t>
            </w:r>
            <w:r>
              <w:rPr>
                <w:color w:val="000000"/>
                <w:sz w:val="21"/>
                <w:szCs w:val="21"/>
              </w:rPr>
              <w:t xml:space="preserve"> public hospitals. </w:t>
            </w:r>
          </w:p>
        </w:tc>
      </w:tr>
      <w:tr w:rsidR="00BA6A55" w:rsidRPr="00084163" w14:paraId="7388B011" w14:textId="77777777" w:rsidTr="00AE2D27">
        <w:tc>
          <w:tcPr>
            <w:tcW w:w="3681" w:type="dxa"/>
          </w:tcPr>
          <w:p w14:paraId="708AD5CE" w14:textId="77777777" w:rsidR="00BA6A55" w:rsidRDefault="00BA6A55" w:rsidP="00AE2D27">
            <w:pPr>
              <w:widowControl w:val="0"/>
              <w:spacing w:before="60" w:after="60"/>
              <w:rPr>
                <w:color w:val="000000"/>
                <w:sz w:val="21"/>
                <w:szCs w:val="21"/>
              </w:rPr>
            </w:pPr>
            <w:r>
              <w:rPr>
                <w:color w:val="000000"/>
                <w:sz w:val="21"/>
                <w:szCs w:val="21"/>
              </w:rPr>
              <w:t>Item descriptor-</w:t>
            </w:r>
            <w:r w:rsidRPr="00084163">
              <w:rPr>
                <w:color w:val="000000"/>
                <w:sz w:val="21"/>
                <w:szCs w:val="21"/>
              </w:rPr>
              <w:t>Alignment with application 1575 (AFG for the management of defects arising from breast surgery, breast cancer treatment/prevention and congenital breast deformity)</w:t>
            </w:r>
          </w:p>
        </w:tc>
        <w:tc>
          <w:tcPr>
            <w:tcW w:w="5335" w:type="dxa"/>
          </w:tcPr>
          <w:p w14:paraId="19393DCB" w14:textId="77777777" w:rsidR="00BA6A55" w:rsidRPr="00084163" w:rsidRDefault="00BA6A55" w:rsidP="00AE2D27">
            <w:pPr>
              <w:widowControl w:val="0"/>
              <w:spacing w:before="60" w:after="60"/>
              <w:rPr>
                <w:color w:val="000000"/>
                <w:sz w:val="21"/>
                <w:szCs w:val="21"/>
              </w:rPr>
            </w:pPr>
            <w:r w:rsidRPr="00084163">
              <w:rPr>
                <w:color w:val="000000"/>
                <w:sz w:val="21"/>
                <w:szCs w:val="21"/>
              </w:rPr>
              <w:t xml:space="preserve">ESC </w:t>
            </w:r>
            <w:r>
              <w:rPr>
                <w:color w:val="000000"/>
                <w:sz w:val="21"/>
                <w:szCs w:val="21"/>
              </w:rPr>
              <w:t>advised</w:t>
            </w:r>
            <w:r w:rsidRPr="00084163">
              <w:rPr>
                <w:color w:val="000000"/>
                <w:sz w:val="21"/>
                <w:szCs w:val="21"/>
              </w:rPr>
              <w:t xml:space="preserve"> that MSAC consider aligning item descriptors for Applications 1575 and 1577; specifically, whether:</w:t>
            </w:r>
          </w:p>
          <w:p w14:paraId="44045542" w14:textId="77777777" w:rsidR="00BA6A55" w:rsidRPr="008D07F7" w:rsidRDefault="00BA6A55" w:rsidP="00BA6A55">
            <w:pPr>
              <w:pStyle w:val="ListParagraph"/>
              <w:widowControl w:val="0"/>
              <w:numPr>
                <w:ilvl w:val="0"/>
                <w:numId w:val="26"/>
              </w:numPr>
              <w:tabs>
                <w:tab w:val="left" w:pos="216"/>
              </w:tabs>
              <w:spacing w:before="60" w:after="60"/>
              <w:rPr>
                <w:color w:val="000000"/>
                <w:sz w:val="21"/>
                <w:szCs w:val="21"/>
              </w:rPr>
            </w:pPr>
            <w:r w:rsidRPr="008D07F7">
              <w:rPr>
                <w:color w:val="000000"/>
                <w:sz w:val="21"/>
                <w:szCs w:val="21"/>
              </w:rPr>
              <w:t>there should be a 3-month wait between multiple services</w:t>
            </w:r>
          </w:p>
          <w:p w14:paraId="7547ADE0" w14:textId="77777777" w:rsidR="00BA6A55" w:rsidRDefault="00BA6A55" w:rsidP="00BA6A55">
            <w:pPr>
              <w:pStyle w:val="ListParagraph"/>
              <w:widowControl w:val="0"/>
              <w:numPr>
                <w:ilvl w:val="0"/>
                <w:numId w:val="26"/>
              </w:numPr>
              <w:tabs>
                <w:tab w:val="left" w:pos="216"/>
              </w:tabs>
              <w:spacing w:before="60" w:after="60"/>
              <w:rPr>
                <w:color w:val="000000"/>
                <w:sz w:val="21"/>
                <w:szCs w:val="21"/>
              </w:rPr>
            </w:pPr>
            <w:r w:rsidRPr="008D07F7">
              <w:rPr>
                <w:color w:val="000000"/>
                <w:sz w:val="21"/>
                <w:szCs w:val="21"/>
              </w:rPr>
              <w:t>the number of services per side should be limited to 3 or 5</w:t>
            </w:r>
          </w:p>
          <w:p w14:paraId="59E64F9A" w14:textId="77777777" w:rsidR="00BA6A55" w:rsidRPr="000C0A09" w:rsidRDefault="00BA6A55" w:rsidP="00BA6A55">
            <w:pPr>
              <w:pStyle w:val="ListParagraph"/>
              <w:widowControl w:val="0"/>
              <w:numPr>
                <w:ilvl w:val="0"/>
                <w:numId w:val="26"/>
              </w:numPr>
              <w:tabs>
                <w:tab w:val="left" w:pos="216"/>
              </w:tabs>
              <w:spacing w:before="60" w:after="60"/>
              <w:rPr>
                <w:color w:val="000000"/>
                <w:sz w:val="21"/>
                <w:szCs w:val="21"/>
              </w:rPr>
            </w:pPr>
            <w:proofErr w:type="gramStart"/>
            <w:r w:rsidRPr="000C0A09">
              <w:rPr>
                <w:color w:val="000000"/>
                <w:sz w:val="21"/>
                <w:szCs w:val="21"/>
              </w:rPr>
              <w:t>there</w:t>
            </w:r>
            <w:proofErr w:type="gramEnd"/>
            <w:r w:rsidRPr="000C0A09">
              <w:rPr>
                <w:color w:val="000000"/>
                <w:sz w:val="21"/>
                <w:szCs w:val="21"/>
              </w:rPr>
              <w:t xml:space="preserve"> should be a maximum lifetime limit on services.</w:t>
            </w:r>
          </w:p>
        </w:tc>
      </w:tr>
    </w:tbl>
    <w:p w14:paraId="2DE29189" w14:textId="77777777" w:rsidR="006A0D97" w:rsidRDefault="00F56D7F" w:rsidP="000047D0">
      <w:pPr>
        <w:keepNext/>
        <w:spacing w:before="240" w:after="240"/>
        <w:rPr>
          <w:b/>
        </w:rPr>
      </w:pPr>
      <w:r w:rsidRPr="00F56D7F">
        <w:rPr>
          <w:b/>
        </w:rPr>
        <w:t>ESC discussion</w:t>
      </w:r>
    </w:p>
    <w:p w14:paraId="67F610A1" w14:textId="77777777" w:rsidR="00BA6A55" w:rsidRPr="00084163" w:rsidRDefault="00BA6A55" w:rsidP="00BA6A55">
      <w:pPr>
        <w:spacing w:after="240"/>
        <w:rPr>
          <w:color w:val="000000"/>
        </w:rPr>
      </w:pPr>
      <w:r w:rsidRPr="00084163">
        <w:rPr>
          <w:color w:val="000000"/>
        </w:rPr>
        <w:t>ESC noted the application</w:t>
      </w:r>
      <w:r>
        <w:rPr>
          <w:color w:val="000000"/>
        </w:rPr>
        <w:t xml:space="preserve"> was</w:t>
      </w:r>
      <w:r w:rsidRPr="00084163">
        <w:rPr>
          <w:color w:val="000000"/>
        </w:rPr>
        <w:t xml:space="preserve"> requesting Medicare Benefits Schedule (MBS) listing for autologous fat grafting (AFG) for the treatment of burn scars, and facial defects due to craniofacial abnormalities. ESC noted</w:t>
      </w:r>
      <w:r>
        <w:rPr>
          <w:color w:val="000000"/>
        </w:rPr>
        <w:t xml:space="preserve"> this application </w:t>
      </w:r>
      <w:proofErr w:type="gramStart"/>
      <w:r>
        <w:rPr>
          <w:color w:val="000000"/>
        </w:rPr>
        <w:t>is linked</w:t>
      </w:r>
      <w:proofErr w:type="gramEnd"/>
      <w:r>
        <w:rPr>
          <w:color w:val="000000"/>
        </w:rPr>
        <w:t xml:space="preserve"> to MSAC</w:t>
      </w:r>
      <w:r w:rsidRPr="00084163">
        <w:rPr>
          <w:color w:val="000000"/>
        </w:rPr>
        <w:t xml:space="preserve"> Application 1575 requesting MBS listing for AFG injection for the management of defects arising from breast surgery, breast cancer treatment/prevention and congenital breast deformity. </w:t>
      </w:r>
    </w:p>
    <w:p w14:paraId="65E8E4DA" w14:textId="07E60FF4" w:rsidR="00BA6A55" w:rsidRPr="00084163" w:rsidRDefault="00BA6A55" w:rsidP="00BA6A55">
      <w:pPr>
        <w:spacing w:after="240"/>
        <w:rPr>
          <w:color w:val="000000"/>
        </w:rPr>
      </w:pPr>
      <w:r w:rsidRPr="00084163">
        <w:rPr>
          <w:color w:val="000000"/>
        </w:rPr>
        <w:t>In Application 1577</w:t>
      </w:r>
      <w:r>
        <w:rPr>
          <w:color w:val="000000"/>
        </w:rPr>
        <w:t>:</w:t>
      </w:r>
      <w:r w:rsidRPr="00084163">
        <w:rPr>
          <w:color w:val="000000"/>
        </w:rPr>
        <w:t xml:space="preserve"> </w:t>
      </w:r>
      <w:r>
        <w:rPr>
          <w:color w:val="000000"/>
        </w:rPr>
        <w:t>P</w:t>
      </w:r>
      <w:r w:rsidRPr="00084163">
        <w:rPr>
          <w:color w:val="000000"/>
        </w:rPr>
        <w:t>opulation 1</w:t>
      </w:r>
      <w:r>
        <w:rPr>
          <w:color w:val="000000"/>
        </w:rPr>
        <w:t>,</w:t>
      </w:r>
      <w:r w:rsidRPr="00084163">
        <w:rPr>
          <w:color w:val="000000"/>
        </w:rPr>
        <w:t xml:space="preserve"> includ</w:t>
      </w:r>
      <w:r>
        <w:rPr>
          <w:color w:val="000000"/>
        </w:rPr>
        <w:t>ing</w:t>
      </w:r>
      <w:r w:rsidRPr="00084163">
        <w:rPr>
          <w:color w:val="000000"/>
        </w:rPr>
        <w:t xml:space="preserve"> patients with craniofacial disorders with facial asymmetry that require reconstruction and </w:t>
      </w:r>
      <w:proofErr w:type="spellStart"/>
      <w:r w:rsidRPr="00084163">
        <w:rPr>
          <w:color w:val="000000"/>
        </w:rPr>
        <w:t>recontouring</w:t>
      </w:r>
      <w:proofErr w:type="spellEnd"/>
      <w:r>
        <w:rPr>
          <w:color w:val="000000"/>
        </w:rPr>
        <w:t>, including 2 sub</w:t>
      </w:r>
      <w:r w:rsidR="001C6DAF">
        <w:rPr>
          <w:color w:val="000000"/>
        </w:rPr>
        <w:t>populations: congenital acquired</w:t>
      </w:r>
      <w:r>
        <w:rPr>
          <w:color w:val="000000"/>
        </w:rPr>
        <w:t xml:space="preserve"> syndromes, and acquired craniofacial defects;</w:t>
      </w:r>
      <w:r w:rsidRPr="00084163">
        <w:rPr>
          <w:color w:val="000000"/>
        </w:rPr>
        <w:t xml:space="preserve"> and </w:t>
      </w:r>
      <w:r>
        <w:rPr>
          <w:color w:val="000000"/>
        </w:rPr>
        <w:t>P</w:t>
      </w:r>
      <w:r w:rsidRPr="00084163">
        <w:rPr>
          <w:color w:val="000000"/>
        </w:rPr>
        <w:t>opulation 2 includ</w:t>
      </w:r>
      <w:r>
        <w:rPr>
          <w:color w:val="000000"/>
        </w:rPr>
        <w:t>ing</w:t>
      </w:r>
      <w:r w:rsidRPr="00084163">
        <w:rPr>
          <w:color w:val="000000"/>
        </w:rPr>
        <w:t xml:space="preserve"> patients with burn scars that have shown unsatisfactory improvement after </w:t>
      </w:r>
      <w:r>
        <w:rPr>
          <w:color w:val="000000"/>
        </w:rPr>
        <w:t>three</w:t>
      </w:r>
      <w:r w:rsidRPr="00084163">
        <w:rPr>
          <w:color w:val="000000"/>
        </w:rPr>
        <w:t xml:space="preserve"> months of topical therapies. ESC considered that these were heterogeneous groups, making it difficult to define severity; this also affects translation and the economic analysis. ESC </w:t>
      </w:r>
      <w:r>
        <w:rPr>
          <w:color w:val="000000"/>
        </w:rPr>
        <w:t xml:space="preserve">also </w:t>
      </w:r>
      <w:r w:rsidRPr="00084163">
        <w:rPr>
          <w:color w:val="000000"/>
        </w:rPr>
        <w:t xml:space="preserve">noted that </w:t>
      </w:r>
      <w:r>
        <w:rPr>
          <w:color w:val="000000"/>
        </w:rPr>
        <w:t xml:space="preserve">following advice from the applicant, PASC agreed that </w:t>
      </w:r>
      <w:r w:rsidRPr="00084163">
        <w:rPr>
          <w:color w:val="000000"/>
        </w:rPr>
        <w:t>patients with HIV</w:t>
      </w:r>
      <w:r>
        <w:rPr>
          <w:color w:val="000000"/>
        </w:rPr>
        <w:t>-association</w:t>
      </w:r>
      <w:r w:rsidRPr="008D07F7">
        <w:t xml:space="preserve"> </w:t>
      </w:r>
      <w:r>
        <w:rPr>
          <w:color w:val="000000"/>
        </w:rPr>
        <w:t>l</w:t>
      </w:r>
      <w:r w:rsidRPr="008D07F7">
        <w:rPr>
          <w:color w:val="000000"/>
        </w:rPr>
        <w:t>ipodystrophy</w:t>
      </w:r>
      <w:r w:rsidRPr="00084163">
        <w:rPr>
          <w:color w:val="000000"/>
        </w:rPr>
        <w:t xml:space="preserve"> </w:t>
      </w:r>
      <w:proofErr w:type="gramStart"/>
      <w:r>
        <w:rPr>
          <w:color w:val="000000"/>
        </w:rPr>
        <w:t>should be excluded</w:t>
      </w:r>
      <w:proofErr w:type="gramEnd"/>
      <w:r>
        <w:rPr>
          <w:color w:val="000000"/>
        </w:rPr>
        <w:t xml:space="preserve"> from the proposed population.</w:t>
      </w:r>
    </w:p>
    <w:p w14:paraId="32A05C68" w14:textId="77777777" w:rsidR="00BA6A55" w:rsidRPr="00084163" w:rsidRDefault="00BA6A55" w:rsidP="00BA6A55">
      <w:pPr>
        <w:spacing w:after="240"/>
        <w:rPr>
          <w:color w:val="000000"/>
        </w:rPr>
      </w:pPr>
      <w:r w:rsidRPr="00084163">
        <w:rPr>
          <w:color w:val="000000"/>
        </w:rPr>
        <w:t xml:space="preserve">ESC noted several safety and quality issues from a consumer perspective, including adverse events, donor sites, harvesting techniques and the likelihood of the need for repeat grafts. ESC considered that these issues </w:t>
      </w:r>
      <w:proofErr w:type="gramStart"/>
      <w:r>
        <w:rPr>
          <w:color w:val="000000"/>
        </w:rPr>
        <w:t>c</w:t>
      </w:r>
      <w:r w:rsidRPr="00084163">
        <w:rPr>
          <w:color w:val="000000"/>
        </w:rPr>
        <w:t>ould be further explored</w:t>
      </w:r>
      <w:proofErr w:type="gramEnd"/>
      <w:r w:rsidRPr="00084163">
        <w:rPr>
          <w:color w:val="000000"/>
        </w:rPr>
        <w:t>.</w:t>
      </w:r>
    </w:p>
    <w:p w14:paraId="4D05DA1F" w14:textId="77777777" w:rsidR="00BA6A55" w:rsidRPr="00084163" w:rsidRDefault="00BA6A55" w:rsidP="00BA6A55">
      <w:pPr>
        <w:spacing w:after="240"/>
        <w:rPr>
          <w:color w:val="000000"/>
        </w:rPr>
      </w:pPr>
      <w:r w:rsidRPr="00084163">
        <w:rPr>
          <w:color w:val="000000"/>
        </w:rPr>
        <w:t xml:space="preserve">ESC noted the requirement in the item descriptor for imaging (photographic) evidence to </w:t>
      </w:r>
      <w:proofErr w:type="gramStart"/>
      <w:r w:rsidRPr="00084163">
        <w:rPr>
          <w:color w:val="000000"/>
        </w:rPr>
        <w:t>be documented</w:t>
      </w:r>
      <w:proofErr w:type="gramEnd"/>
      <w:r w:rsidRPr="00084163">
        <w:rPr>
          <w:color w:val="000000"/>
        </w:rPr>
        <w:t xml:space="preserve"> in the patient notes</w:t>
      </w:r>
      <w:r>
        <w:rPr>
          <w:color w:val="000000"/>
        </w:rPr>
        <w:t xml:space="preserve">. ESC also noted the clinical management algorithms specified a monitoring period </w:t>
      </w:r>
      <w:r w:rsidRPr="00084163">
        <w:rPr>
          <w:color w:val="000000"/>
        </w:rPr>
        <w:t xml:space="preserve">of at least </w:t>
      </w:r>
      <w:r>
        <w:rPr>
          <w:color w:val="000000"/>
        </w:rPr>
        <w:t>six</w:t>
      </w:r>
      <w:r w:rsidRPr="00084163">
        <w:rPr>
          <w:color w:val="000000"/>
        </w:rPr>
        <w:t xml:space="preserve"> months </w:t>
      </w:r>
      <w:r>
        <w:rPr>
          <w:color w:val="000000"/>
        </w:rPr>
        <w:t xml:space="preserve">to ensure the patient’s condition had stabilised prior to surgery </w:t>
      </w:r>
      <w:r w:rsidRPr="00084163">
        <w:rPr>
          <w:color w:val="000000"/>
        </w:rPr>
        <w:t xml:space="preserve">for </w:t>
      </w:r>
      <w:r>
        <w:rPr>
          <w:color w:val="000000"/>
        </w:rPr>
        <w:t>P</w:t>
      </w:r>
      <w:r w:rsidRPr="00084163">
        <w:rPr>
          <w:color w:val="000000"/>
        </w:rPr>
        <w:t>opulation </w:t>
      </w:r>
      <w:proofErr w:type="gramStart"/>
      <w:r w:rsidRPr="00084163">
        <w:rPr>
          <w:color w:val="000000"/>
        </w:rPr>
        <w:t>1,</w:t>
      </w:r>
      <w:proofErr w:type="gramEnd"/>
      <w:r w:rsidRPr="00084163">
        <w:rPr>
          <w:color w:val="000000"/>
        </w:rPr>
        <w:t xml:space="preserve"> and </w:t>
      </w:r>
      <w:r>
        <w:rPr>
          <w:color w:val="000000"/>
        </w:rPr>
        <w:t xml:space="preserve">a monitoring period </w:t>
      </w:r>
      <w:r w:rsidRPr="00084163">
        <w:rPr>
          <w:color w:val="000000"/>
        </w:rPr>
        <w:t xml:space="preserve">up to </w:t>
      </w:r>
      <w:r>
        <w:rPr>
          <w:color w:val="000000"/>
        </w:rPr>
        <w:t>six</w:t>
      </w:r>
      <w:r w:rsidRPr="00084163">
        <w:rPr>
          <w:color w:val="000000"/>
        </w:rPr>
        <w:t xml:space="preserve"> months </w:t>
      </w:r>
      <w:r>
        <w:rPr>
          <w:color w:val="000000"/>
        </w:rPr>
        <w:t xml:space="preserve">prior to surgery </w:t>
      </w:r>
      <w:r w:rsidRPr="00084163">
        <w:rPr>
          <w:color w:val="000000"/>
        </w:rPr>
        <w:t xml:space="preserve">for </w:t>
      </w:r>
      <w:r>
        <w:rPr>
          <w:color w:val="000000"/>
        </w:rPr>
        <w:t>P</w:t>
      </w:r>
      <w:r w:rsidRPr="00084163">
        <w:rPr>
          <w:color w:val="000000"/>
        </w:rPr>
        <w:t xml:space="preserve">opulation 2. ESC considered that this would minimise the risk of leakage. </w:t>
      </w:r>
    </w:p>
    <w:p w14:paraId="748DB704" w14:textId="77777777" w:rsidR="00BA6A55" w:rsidRDefault="00BA6A55" w:rsidP="00BA6A55">
      <w:pPr>
        <w:keepNext/>
        <w:spacing w:after="240"/>
        <w:rPr>
          <w:color w:val="000000"/>
        </w:rPr>
      </w:pPr>
      <w:r>
        <w:rPr>
          <w:color w:val="000000"/>
        </w:rPr>
        <w:t>ESC noted the comparators for Population 1 and 2; and noted the pre-ESC response, in which the applicant considered that usual care was not an appropriate comparator for Population 1. However, ESC considered usual care is an appropriate comparator as it reflects patient choice to pursue non-surgical options, but may be more appropriately termed ‘non-surgical treatment’.</w:t>
      </w:r>
    </w:p>
    <w:p w14:paraId="20F579BA" w14:textId="7296B686" w:rsidR="00BA6A55" w:rsidRPr="000047D0" w:rsidRDefault="00BA6A55" w:rsidP="00BA6A55">
      <w:pPr>
        <w:rPr>
          <w:color w:val="000000"/>
        </w:rPr>
      </w:pPr>
      <w:r w:rsidRPr="00084163">
        <w:rPr>
          <w:color w:val="000000"/>
        </w:rPr>
        <w:t>ESC</w:t>
      </w:r>
      <w:r>
        <w:rPr>
          <w:color w:val="000000"/>
        </w:rPr>
        <w:t xml:space="preserve"> reviewed the clinical study data for the two subpopulations of Population 1. Evidence for </w:t>
      </w:r>
      <w:r w:rsidRPr="000C0A09">
        <w:rPr>
          <w:color w:val="000000"/>
        </w:rPr>
        <w:t>congenital craniofacial abnormalities</w:t>
      </w:r>
      <w:r>
        <w:rPr>
          <w:color w:val="000000"/>
        </w:rPr>
        <w:t xml:space="preserve"> subpopulation</w:t>
      </w:r>
      <w:r w:rsidRPr="000C0A09">
        <w:rPr>
          <w:color w:val="000000"/>
        </w:rPr>
        <w:t xml:space="preserve"> included</w:t>
      </w:r>
      <w:r>
        <w:rPr>
          <w:color w:val="000000"/>
        </w:rPr>
        <w:t xml:space="preserve"> two</w:t>
      </w:r>
      <w:r w:rsidRPr="000C0A09">
        <w:rPr>
          <w:color w:val="000000"/>
        </w:rPr>
        <w:t xml:space="preserve"> </w:t>
      </w:r>
      <w:r>
        <w:rPr>
          <w:color w:val="000000"/>
        </w:rPr>
        <w:t>small retrospective</w:t>
      </w:r>
      <w:r w:rsidRPr="000C0A09">
        <w:rPr>
          <w:color w:val="000000"/>
        </w:rPr>
        <w:t xml:space="preserve"> comparative studies</w:t>
      </w:r>
      <w:r>
        <w:rPr>
          <w:color w:val="000000"/>
        </w:rPr>
        <w:t xml:space="preserve"> of AFG </w:t>
      </w:r>
      <w:r w:rsidRPr="000C0A09">
        <w:rPr>
          <w:i/>
          <w:color w:val="000000"/>
        </w:rPr>
        <w:t>vs</w:t>
      </w:r>
      <w:r>
        <w:rPr>
          <w:color w:val="000000"/>
        </w:rPr>
        <w:t>. free flap surgery (total n=49)</w:t>
      </w:r>
      <w:r w:rsidRPr="000C0A09">
        <w:rPr>
          <w:color w:val="000000"/>
        </w:rPr>
        <w:t xml:space="preserve"> at high risk of bias, and </w:t>
      </w:r>
      <w:r>
        <w:rPr>
          <w:color w:val="000000"/>
        </w:rPr>
        <w:t>three </w:t>
      </w:r>
      <w:r w:rsidRPr="000C0A09">
        <w:rPr>
          <w:color w:val="000000"/>
        </w:rPr>
        <w:t>systematic reviews</w:t>
      </w:r>
      <w:r>
        <w:rPr>
          <w:color w:val="000000"/>
        </w:rPr>
        <w:t xml:space="preserve"> (total n=2,795)</w:t>
      </w:r>
      <w:r w:rsidRPr="000C0A09">
        <w:rPr>
          <w:color w:val="000000"/>
        </w:rPr>
        <w:t>, largely</w:t>
      </w:r>
      <w:r>
        <w:rPr>
          <w:color w:val="000000"/>
        </w:rPr>
        <w:t xml:space="preserve"> without a comparator group, but </w:t>
      </w:r>
      <w:r w:rsidRPr="000C0A09">
        <w:rPr>
          <w:color w:val="000000"/>
        </w:rPr>
        <w:t xml:space="preserve">at low risk </w:t>
      </w:r>
      <w:r w:rsidRPr="000C0A09">
        <w:rPr>
          <w:color w:val="000000"/>
        </w:rPr>
        <w:lastRenderedPageBreak/>
        <w:t>of bias</w:t>
      </w:r>
      <w:r>
        <w:rPr>
          <w:color w:val="000000"/>
        </w:rPr>
        <w:t xml:space="preserve">. For the </w:t>
      </w:r>
      <w:r w:rsidRPr="000C0A09">
        <w:rPr>
          <w:color w:val="000000"/>
        </w:rPr>
        <w:t>acquired craniofacial abnormalities</w:t>
      </w:r>
      <w:r>
        <w:rPr>
          <w:color w:val="000000"/>
        </w:rPr>
        <w:t xml:space="preserve"> subpopulation there were no comparative studies found comparing AFG with free flaps or usual care,</w:t>
      </w:r>
      <w:r w:rsidRPr="000C0A09">
        <w:rPr>
          <w:color w:val="000000"/>
        </w:rPr>
        <w:t xml:space="preserve"> making any conclusions of comparative safety and effectiveness uncertain.</w:t>
      </w:r>
      <w:r>
        <w:rPr>
          <w:color w:val="000000"/>
        </w:rPr>
        <w:t xml:space="preserve"> ESC also reviewed the clinical study data for Population 2, which included one small single randomised controlled trial (n=9), one small cohort study (n=20), five case series and two systematic reviews relevant to the assessment of</w:t>
      </w:r>
      <w:r w:rsidR="000047D0">
        <w:rPr>
          <w:color w:val="000000"/>
        </w:rPr>
        <w:t xml:space="preserve"> AFG for treating burn scars.</w:t>
      </w:r>
    </w:p>
    <w:p w14:paraId="044BA113" w14:textId="77777777" w:rsidR="00BA6A55" w:rsidRDefault="00BA6A55" w:rsidP="000047D0">
      <w:pPr>
        <w:keepNext/>
        <w:spacing w:before="240" w:after="240"/>
        <w:rPr>
          <w:color w:val="000000"/>
        </w:rPr>
      </w:pPr>
      <w:r>
        <w:rPr>
          <w:color w:val="000000"/>
        </w:rPr>
        <w:t xml:space="preserve">Regarding comparative safety, </w:t>
      </w:r>
      <w:r w:rsidRPr="00084163">
        <w:rPr>
          <w:color w:val="000000"/>
        </w:rPr>
        <w:t>ESC considered that AFG alone appears to be safe, although limited small studies show that possible adverse events arise (such as infection and haematoma) when AFG is used in combination with other procedures</w:t>
      </w:r>
      <w:r>
        <w:rPr>
          <w:color w:val="000000"/>
        </w:rPr>
        <w:t xml:space="preserve"> to treat facial defects</w:t>
      </w:r>
      <w:r w:rsidRPr="00084163">
        <w:rPr>
          <w:color w:val="000000"/>
        </w:rPr>
        <w:t xml:space="preserve">. ESC queried the assessment group’s conclusion of uncertain safety for congenital craniofacial abnormalities in </w:t>
      </w:r>
      <w:r>
        <w:rPr>
          <w:color w:val="000000"/>
        </w:rPr>
        <w:t>P</w:t>
      </w:r>
      <w:r w:rsidRPr="00084163">
        <w:rPr>
          <w:color w:val="000000"/>
        </w:rPr>
        <w:t xml:space="preserve">opulation 1, given that the included studies showed no increase in complications and possibly improved safety for some measures. The assessment group clarified that the nature and details of the complications </w:t>
      </w:r>
      <w:proofErr w:type="gramStart"/>
      <w:r w:rsidRPr="00084163">
        <w:rPr>
          <w:color w:val="000000"/>
        </w:rPr>
        <w:t>were not reported</w:t>
      </w:r>
      <w:proofErr w:type="gramEnd"/>
      <w:r w:rsidRPr="00084163">
        <w:rPr>
          <w:color w:val="000000"/>
        </w:rPr>
        <w:t xml:space="preserve"> in many studies, leading to the overall conclusion of uncertain safety.</w:t>
      </w:r>
      <w:r>
        <w:rPr>
          <w:color w:val="000000"/>
        </w:rPr>
        <w:t xml:space="preserve"> </w:t>
      </w:r>
    </w:p>
    <w:p w14:paraId="646F1AD6" w14:textId="3BF6AA67" w:rsidR="00BA6A55" w:rsidRPr="00525612" w:rsidRDefault="00BA6A55" w:rsidP="00BA6A55">
      <w:pPr>
        <w:keepNext/>
        <w:spacing w:after="120"/>
        <w:rPr>
          <w:color w:val="000000"/>
        </w:rPr>
      </w:pPr>
      <w:r w:rsidRPr="00525612">
        <w:rPr>
          <w:color w:val="000000"/>
        </w:rPr>
        <w:t xml:space="preserve">Regarding comparative effectiveness, ESC noted the very low quality and quantity evidence for most outcomes, </w:t>
      </w:r>
      <w:r>
        <w:rPr>
          <w:color w:val="000000"/>
        </w:rPr>
        <w:t xml:space="preserve">which </w:t>
      </w:r>
      <w:r w:rsidRPr="00525612">
        <w:rPr>
          <w:color w:val="000000"/>
        </w:rPr>
        <w:t xml:space="preserve">relied upon the assessment of patient satisfaction, physician satisfaction and symmetry scores in Population 1; and patient assessment of appearance of burn scars, and objectively measured skin hardness in Population 2. ESC </w:t>
      </w:r>
      <w:r>
        <w:rPr>
          <w:color w:val="000000"/>
        </w:rPr>
        <w:t>considered</w:t>
      </w:r>
      <w:r w:rsidRPr="00525612">
        <w:rPr>
          <w:color w:val="000000"/>
        </w:rPr>
        <w:t xml:space="preserve"> that the evidence failed to </w:t>
      </w:r>
      <w:r>
        <w:rPr>
          <w:color w:val="000000"/>
        </w:rPr>
        <w:t xml:space="preserve">demonstrate that </w:t>
      </w:r>
      <w:r w:rsidRPr="00525612">
        <w:rPr>
          <w:color w:val="000000"/>
        </w:rPr>
        <w:t xml:space="preserve">AFG </w:t>
      </w:r>
      <w:r>
        <w:rPr>
          <w:color w:val="000000"/>
        </w:rPr>
        <w:t>had</w:t>
      </w:r>
      <w:r w:rsidRPr="00525612">
        <w:rPr>
          <w:color w:val="000000"/>
        </w:rPr>
        <w:t xml:space="preserve"> a meaningful clinical effect </w:t>
      </w:r>
      <w:r>
        <w:rPr>
          <w:color w:val="000000"/>
        </w:rPr>
        <w:t xml:space="preserve">compared with </w:t>
      </w:r>
      <w:r w:rsidR="0004534F">
        <w:rPr>
          <w:color w:val="000000"/>
        </w:rPr>
        <w:t xml:space="preserve">the </w:t>
      </w:r>
      <w:r>
        <w:rPr>
          <w:color w:val="000000"/>
        </w:rPr>
        <w:t xml:space="preserve">comparator, </w:t>
      </w:r>
      <w:r w:rsidRPr="00525612">
        <w:rPr>
          <w:color w:val="000000"/>
        </w:rPr>
        <w:t>and</w:t>
      </w:r>
      <w:r>
        <w:rPr>
          <w:color w:val="000000"/>
        </w:rPr>
        <w:t xml:space="preserve"> thus</w:t>
      </w:r>
      <w:r w:rsidRPr="00525612">
        <w:rPr>
          <w:color w:val="000000"/>
        </w:rPr>
        <w:t xml:space="preserve"> agreed with the DCARs </w:t>
      </w:r>
      <w:r>
        <w:rPr>
          <w:color w:val="000000"/>
        </w:rPr>
        <w:t>clinical claim</w:t>
      </w:r>
      <w:r w:rsidRPr="00525612">
        <w:rPr>
          <w:color w:val="000000"/>
        </w:rPr>
        <w:t xml:space="preserve"> that AFG has:</w:t>
      </w:r>
    </w:p>
    <w:p w14:paraId="156561C8" w14:textId="77777777" w:rsidR="00BA6A55" w:rsidRPr="001B6430" w:rsidRDefault="00BA6A55" w:rsidP="00BA6A55">
      <w:pPr>
        <w:pStyle w:val="ListParagraph"/>
        <w:numPr>
          <w:ilvl w:val="0"/>
          <w:numId w:val="28"/>
        </w:numPr>
      </w:pPr>
      <w:r>
        <w:t>for P</w:t>
      </w:r>
      <w:r w:rsidRPr="001B6430">
        <w:t>opulation 1, congenital abnormalities –uncertain effectiveness compared with free flap surgery, and unknown effectiveness compared with usual care</w:t>
      </w:r>
    </w:p>
    <w:p w14:paraId="6D64E78E" w14:textId="77777777" w:rsidR="00BA6A55" w:rsidRPr="001B6430" w:rsidRDefault="00BA6A55" w:rsidP="00BA6A55">
      <w:pPr>
        <w:pStyle w:val="ListParagraph"/>
        <w:keepNext/>
        <w:numPr>
          <w:ilvl w:val="0"/>
          <w:numId w:val="28"/>
        </w:numPr>
        <w:spacing w:after="120"/>
        <w:rPr>
          <w:color w:val="000000"/>
        </w:rPr>
      </w:pPr>
      <w:r>
        <w:rPr>
          <w:color w:val="000000"/>
        </w:rPr>
        <w:t>for P</w:t>
      </w:r>
      <w:r w:rsidRPr="001B6430">
        <w:rPr>
          <w:color w:val="000000"/>
        </w:rPr>
        <w:t>opulation 1, acquired abnormalities –unknown effectiveness compared with free flap surgery and usual care</w:t>
      </w:r>
    </w:p>
    <w:p w14:paraId="531431BD" w14:textId="77777777" w:rsidR="00BA6A55" w:rsidRPr="001B6430" w:rsidRDefault="00BA6A55" w:rsidP="00BA6A55">
      <w:pPr>
        <w:pStyle w:val="ListParagraph"/>
        <w:keepNext/>
        <w:numPr>
          <w:ilvl w:val="0"/>
          <w:numId w:val="28"/>
        </w:numPr>
        <w:spacing w:after="240"/>
        <w:ind w:left="714" w:hanging="357"/>
        <w:rPr>
          <w:color w:val="000000"/>
        </w:rPr>
      </w:pPr>
      <w:proofErr w:type="gramStart"/>
      <w:r>
        <w:rPr>
          <w:color w:val="000000"/>
        </w:rPr>
        <w:t>for</w:t>
      </w:r>
      <w:proofErr w:type="gramEnd"/>
      <w:r>
        <w:rPr>
          <w:color w:val="000000"/>
        </w:rPr>
        <w:t xml:space="preserve"> P</w:t>
      </w:r>
      <w:r w:rsidRPr="001B6430">
        <w:rPr>
          <w:color w:val="000000"/>
        </w:rPr>
        <w:t>opulation 2</w:t>
      </w:r>
      <w:r>
        <w:rPr>
          <w:color w:val="000000"/>
        </w:rPr>
        <w:t>, burn scars</w:t>
      </w:r>
      <w:r w:rsidRPr="001B6430">
        <w:rPr>
          <w:color w:val="000000"/>
        </w:rPr>
        <w:t xml:space="preserve"> –uncertain effectiveness compared with usual care.</w:t>
      </w:r>
    </w:p>
    <w:p w14:paraId="48C502F1" w14:textId="77777777" w:rsidR="00BA6A55" w:rsidRDefault="00BA6A55" w:rsidP="00BA6A55">
      <w:pPr>
        <w:spacing w:after="240"/>
        <w:rPr>
          <w:color w:val="000000"/>
        </w:rPr>
      </w:pPr>
      <w:r w:rsidRPr="00084163">
        <w:rPr>
          <w:color w:val="000000"/>
        </w:rPr>
        <w:t>In the economic analysis, ESC considered that there was substantial uncertainty in the model</w:t>
      </w:r>
      <w:r>
        <w:rPr>
          <w:color w:val="000000"/>
        </w:rPr>
        <w:t>s</w:t>
      </w:r>
      <w:r w:rsidRPr="00084163">
        <w:rPr>
          <w:color w:val="000000"/>
        </w:rPr>
        <w:t xml:space="preserve">, which </w:t>
      </w:r>
      <w:proofErr w:type="gramStart"/>
      <w:r w:rsidRPr="00084163">
        <w:rPr>
          <w:color w:val="000000"/>
        </w:rPr>
        <w:t xml:space="preserve">was </w:t>
      </w:r>
      <w:r>
        <w:rPr>
          <w:color w:val="000000"/>
        </w:rPr>
        <w:t>largely</w:t>
      </w:r>
      <w:r w:rsidRPr="00084163">
        <w:rPr>
          <w:color w:val="000000"/>
        </w:rPr>
        <w:t xml:space="preserve"> driven</w:t>
      </w:r>
      <w:proofErr w:type="gramEnd"/>
      <w:r w:rsidRPr="00084163">
        <w:rPr>
          <w:color w:val="000000"/>
        </w:rPr>
        <w:t xml:space="preserve"> by </w:t>
      </w:r>
      <w:r>
        <w:rPr>
          <w:color w:val="000000"/>
        </w:rPr>
        <w:t xml:space="preserve">the high </w:t>
      </w:r>
      <w:r w:rsidRPr="00084163">
        <w:rPr>
          <w:color w:val="000000"/>
        </w:rPr>
        <w:t xml:space="preserve">uncertainty in the clinical data. </w:t>
      </w:r>
      <w:r>
        <w:rPr>
          <w:color w:val="000000"/>
        </w:rPr>
        <w:t>ESC noted that t</w:t>
      </w:r>
      <w:r w:rsidRPr="00084163">
        <w:rPr>
          <w:color w:val="000000"/>
        </w:rPr>
        <w:t>he cost-utility analysis</w:t>
      </w:r>
      <w:r>
        <w:rPr>
          <w:color w:val="000000"/>
        </w:rPr>
        <w:t xml:space="preserve"> (CUA) of AFG </w:t>
      </w:r>
      <w:r w:rsidRPr="00EF58C3">
        <w:rPr>
          <w:i/>
          <w:color w:val="000000"/>
        </w:rPr>
        <w:t>vs.</w:t>
      </w:r>
      <w:r>
        <w:rPr>
          <w:color w:val="000000"/>
        </w:rPr>
        <w:t xml:space="preserve"> free flap</w:t>
      </w:r>
      <w:r w:rsidRPr="00084163">
        <w:rPr>
          <w:color w:val="000000"/>
        </w:rPr>
        <w:t xml:space="preserve"> for </w:t>
      </w:r>
      <w:r>
        <w:rPr>
          <w:color w:val="000000"/>
        </w:rPr>
        <w:t>P</w:t>
      </w:r>
      <w:r w:rsidRPr="00084163">
        <w:rPr>
          <w:color w:val="000000"/>
        </w:rPr>
        <w:t xml:space="preserve">opulation 1 was considered </w:t>
      </w:r>
      <w:proofErr w:type="gramStart"/>
      <w:r w:rsidRPr="00084163">
        <w:rPr>
          <w:color w:val="000000"/>
        </w:rPr>
        <w:t>to be highly</w:t>
      </w:r>
      <w:proofErr w:type="gramEnd"/>
      <w:r w:rsidRPr="00084163">
        <w:rPr>
          <w:color w:val="000000"/>
        </w:rPr>
        <w:t xml:space="preserve"> hypothetical</w:t>
      </w:r>
      <w:r>
        <w:rPr>
          <w:color w:val="000000"/>
        </w:rPr>
        <w:t xml:space="preserve">, with the DCARs </w:t>
      </w:r>
      <w:r w:rsidRPr="00084163">
        <w:rPr>
          <w:color w:val="000000"/>
        </w:rPr>
        <w:t>model assum</w:t>
      </w:r>
      <w:r>
        <w:rPr>
          <w:color w:val="000000"/>
        </w:rPr>
        <w:t>ing</w:t>
      </w:r>
      <w:r w:rsidRPr="00084163">
        <w:rPr>
          <w:color w:val="000000"/>
        </w:rPr>
        <w:t xml:space="preserve"> equal effectiveness compared with free flap surgery, with </w:t>
      </w:r>
      <w:r>
        <w:rPr>
          <w:color w:val="000000"/>
        </w:rPr>
        <w:t>quality-adjusted life years (</w:t>
      </w:r>
      <w:r w:rsidRPr="00084163">
        <w:rPr>
          <w:color w:val="000000"/>
        </w:rPr>
        <w:t>QALY</w:t>
      </w:r>
      <w:r>
        <w:rPr>
          <w:color w:val="000000"/>
        </w:rPr>
        <w:t>)</w:t>
      </w:r>
      <w:r w:rsidRPr="00084163">
        <w:rPr>
          <w:color w:val="000000"/>
        </w:rPr>
        <w:t xml:space="preserve"> gains driven by</w:t>
      </w:r>
      <w:r>
        <w:rPr>
          <w:color w:val="000000"/>
        </w:rPr>
        <w:t xml:space="preserve"> </w:t>
      </w:r>
      <w:r w:rsidRPr="00084163">
        <w:rPr>
          <w:color w:val="000000"/>
        </w:rPr>
        <w:t xml:space="preserve">safety outcomes. ESC noted that the model implies that AFG has superior safety, but this </w:t>
      </w:r>
      <w:proofErr w:type="gramStart"/>
      <w:r>
        <w:rPr>
          <w:color w:val="000000"/>
        </w:rPr>
        <w:t>wa</w:t>
      </w:r>
      <w:r w:rsidRPr="00084163">
        <w:rPr>
          <w:color w:val="000000"/>
        </w:rPr>
        <w:t>s not supported</w:t>
      </w:r>
      <w:proofErr w:type="gramEnd"/>
      <w:r w:rsidRPr="00084163">
        <w:rPr>
          <w:color w:val="000000"/>
        </w:rPr>
        <w:t xml:space="preserve"> by the clinical data. </w:t>
      </w:r>
      <w:r>
        <w:rPr>
          <w:color w:val="000000"/>
        </w:rPr>
        <w:t xml:space="preserve">ESC also considered that, in light of limitations of clinical evidence, a cost-comparison approach might have been more appropriate than CUA.  </w:t>
      </w:r>
      <w:proofErr w:type="gramStart"/>
      <w:r>
        <w:rPr>
          <w:color w:val="000000"/>
        </w:rPr>
        <w:t>ESC noted for Population 1, the conclusion of AFG dominance (i.e. AFG cheaper and more effective), based on the incremental cost-effectiveness ratio (ICER), was robust to variations in risk of adverse events, but was sensitive to variation in the assumption of equal effectiveness, with AFG becoming less costly and less effective than free flap procedure when the minimal utility gain was applied for AFG.</w:t>
      </w:r>
      <w:proofErr w:type="gramEnd"/>
      <w:r>
        <w:rPr>
          <w:color w:val="000000"/>
        </w:rPr>
        <w:t xml:space="preserve"> ESC recognised the limited usefulness of these findings due to more fundamental problems with the CUA approach, </w:t>
      </w:r>
      <w:proofErr w:type="gramStart"/>
      <w:r>
        <w:rPr>
          <w:color w:val="000000"/>
        </w:rPr>
        <w:t>and also</w:t>
      </w:r>
      <w:proofErr w:type="gramEnd"/>
      <w:r>
        <w:rPr>
          <w:color w:val="000000"/>
        </w:rPr>
        <w:t xml:space="preserve"> noted if only costs are compared in the model (see Table 9) that AFG was cheaper than free flap surgery. </w:t>
      </w:r>
    </w:p>
    <w:p w14:paraId="490EA4E0" w14:textId="77777777" w:rsidR="00BA6A55" w:rsidRPr="00084163" w:rsidRDefault="00BA6A55" w:rsidP="00BA6A55">
      <w:pPr>
        <w:spacing w:after="240"/>
        <w:rPr>
          <w:color w:val="000000"/>
        </w:rPr>
      </w:pPr>
      <w:r w:rsidRPr="00084163">
        <w:rPr>
          <w:color w:val="000000"/>
        </w:rPr>
        <w:t xml:space="preserve">For </w:t>
      </w:r>
      <w:r>
        <w:rPr>
          <w:color w:val="000000"/>
        </w:rPr>
        <w:t>P</w:t>
      </w:r>
      <w:r w:rsidRPr="00084163">
        <w:rPr>
          <w:color w:val="000000"/>
        </w:rPr>
        <w:t>opulation 2, ESC noted the</w:t>
      </w:r>
      <w:r>
        <w:rPr>
          <w:color w:val="000000"/>
        </w:rPr>
        <w:t xml:space="preserve"> base-case model was a trial-based cost-effectiveness analysis of AFG </w:t>
      </w:r>
      <w:r w:rsidRPr="00525612">
        <w:rPr>
          <w:i/>
          <w:color w:val="000000"/>
        </w:rPr>
        <w:t>vs.</w:t>
      </w:r>
      <w:r>
        <w:rPr>
          <w:color w:val="000000"/>
        </w:rPr>
        <w:t xml:space="preserve"> no treatment (or usual care) [see Table 12], with the key driver being the response rate, which ESC considered was open to interpretation. ESC also noted the additional scenario analyses, which extended the CEA model to a lifetime CUA model; however </w:t>
      </w:r>
      <w:proofErr w:type="gramStart"/>
      <w:r>
        <w:rPr>
          <w:color w:val="000000"/>
        </w:rPr>
        <w:t>was appropriately acknowledged</w:t>
      </w:r>
      <w:proofErr w:type="gramEnd"/>
      <w:r>
        <w:rPr>
          <w:color w:val="000000"/>
        </w:rPr>
        <w:t xml:space="preserve"> by the DCAR to be highly uncertain due to the many assumptions required (e.g. the extrapolation of trial-based responders to lifetime). If only costs are compared in the base case model (see Table 12), then expectantly AFG was more expensive than no AFG.</w:t>
      </w:r>
    </w:p>
    <w:p w14:paraId="51D81099" w14:textId="77777777" w:rsidR="00BA6A55" w:rsidRPr="00084163" w:rsidRDefault="00BA6A55" w:rsidP="00BA6A55">
      <w:pPr>
        <w:spacing w:after="240"/>
        <w:rPr>
          <w:color w:val="000000"/>
        </w:rPr>
      </w:pPr>
      <w:r w:rsidRPr="00084163">
        <w:rPr>
          <w:color w:val="000000"/>
        </w:rPr>
        <w:lastRenderedPageBreak/>
        <w:t xml:space="preserve">In the financial estimates, ESC noted that the numbers remain the same for every year due to the lack of </w:t>
      </w:r>
      <w:r>
        <w:rPr>
          <w:color w:val="000000"/>
        </w:rPr>
        <w:t xml:space="preserve">epidemiological </w:t>
      </w:r>
      <w:r w:rsidRPr="00084163">
        <w:rPr>
          <w:color w:val="000000"/>
        </w:rPr>
        <w:t xml:space="preserve">data to inform a trend. ESC requested that the assessment group check the financial data before the application </w:t>
      </w:r>
      <w:proofErr w:type="gramStart"/>
      <w:r w:rsidRPr="00084163">
        <w:rPr>
          <w:color w:val="000000"/>
        </w:rPr>
        <w:t>is considered</w:t>
      </w:r>
      <w:proofErr w:type="gramEnd"/>
      <w:r w:rsidRPr="00084163">
        <w:rPr>
          <w:color w:val="000000"/>
        </w:rPr>
        <w:t xml:space="preserve"> by MSAC, as ESC was not able to replicate the numbers</w:t>
      </w:r>
      <w:r w:rsidRPr="006E4B6F">
        <w:rPr>
          <w:color w:val="000000"/>
        </w:rPr>
        <w:t xml:space="preserve">. Following the meeting, the assessment group </w:t>
      </w:r>
      <w:r>
        <w:rPr>
          <w:color w:val="000000"/>
        </w:rPr>
        <w:t xml:space="preserve">provided amended financial costs for Population 1 (see Table 15), correcting for </w:t>
      </w:r>
      <w:r w:rsidRPr="006E4B6F">
        <w:rPr>
          <w:color w:val="000000"/>
        </w:rPr>
        <w:t>double counting of</w:t>
      </w:r>
      <w:r>
        <w:rPr>
          <w:color w:val="000000"/>
        </w:rPr>
        <w:t xml:space="preserve"> MBS</w:t>
      </w:r>
      <w:r w:rsidRPr="006E4B6F">
        <w:rPr>
          <w:color w:val="000000"/>
        </w:rPr>
        <w:t xml:space="preserve"> anaesthesia costs</w:t>
      </w:r>
      <w:r w:rsidRPr="00B8544A">
        <w:t xml:space="preserve"> </w:t>
      </w:r>
      <w:r w:rsidRPr="006E4B6F">
        <w:t>result</w:t>
      </w:r>
      <w:r>
        <w:t>ing in a</w:t>
      </w:r>
      <w:r w:rsidRPr="006E4B6F">
        <w:t xml:space="preserve"> slightly greater estimated savings to the MBS with the introduction of AFG.</w:t>
      </w:r>
      <w:r>
        <w:t xml:space="preserve"> </w:t>
      </w:r>
    </w:p>
    <w:p w14:paraId="690194A6" w14:textId="77777777" w:rsidR="00BA6A55" w:rsidRDefault="00BA6A55" w:rsidP="00BA6A55">
      <w:pPr>
        <w:spacing w:after="240"/>
      </w:pPr>
      <w:r>
        <w:t xml:space="preserve">ESC queried whether there are applicable clinical trials on horizon that could resolve current uncertainty due to the weak evidence base. The following upcoming clinical trials may be </w:t>
      </w:r>
      <w:r w:rsidRPr="00EF58C3">
        <w:t>relevant but due to limitations in the study designs (i.e. small planned population sizes [N=40], non-comparative, non-randomised) and estimated completion dates, the studies may be insufficient to resolve the uncertainty in the comparative clinical safety and effectiveness</w:t>
      </w:r>
      <w:r>
        <w:t>:</w:t>
      </w:r>
    </w:p>
    <w:p w14:paraId="7CB080B0" w14:textId="77777777" w:rsidR="00BA6A55" w:rsidRDefault="008827D2" w:rsidP="00BA6A55">
      <w:pPr>
        <w:pStyle w:val="ListParagraph"/>
        <w:numPr>
          <w:ilvl w:val="0"/>
          <w:numId w:val="29"/>
        </w:numPr>
        <w:spacing w:after="240"/>
        <w:rPr>
          <w:color w:val="000000"/>
        </w:rPr>
      </w:pPr>
      <w:hyperlink r:id="rId24" w:history="1">
        <w:r w:rsidR="00BA6A55" w:rsidRPr="006E4B6F">
          <w:rPr>
            <w:rStyle w:val="Hyperlink"/>
          </w:rPr>
          <w:t>NCT03880188</w:t>
        </w:r>
      </w:hyperlink>
      <w:r w:rsidR="00BA6A55">
        <w:rPr>
          <w:color w:val="000000"/>
        </w:rPr>
        <w:t xml:space="preserve"> - </w:t>
      </w:r>
      <w:r w:rsidR="00BA6A55" w:rsidRPr="00DC0D62">
        <w:rPr>
          <w:color w:val="000000"/>
        </w:rPr>
        <w:t>Fat to the Future, Dermal Time 2:</w:t>
      </w:r>
      <w:r w:rsidR="00BA6A55">
        <w:rPr>
          <w:color w:val="000000"/>
        </w:rPr>
        <w:t xml:space="preserve"> </w:t>
      </w:r>
      <w:r w:rsidR="00BA6A55" w:rsidRPr="00DC0D62">
        <w:rPr>
          <w:color w:val="000000"/>
        </w:rPr>
        <w:t xml:space="preserve">Long Term Status of Free Dermal Fat </w:t>
      </w:r>
      <w:proofErr w:type="spellStart"/>
      <w:r w:rsidR="00BA6A55" w:rsidRPr="00DC0D62">
        <w:rPr>
          <w:color w:val="000000"/>
        </w:rPr>
        <w:t>Autografts</w:t>
      </w:r>
      <w:proofErr w:type="spellEnd"/>
      <w:r w:rsidR="00BA6A55" w:rsidRPr="00DC0D62">
        <w:rPr>
          <w:color w:val="000000"/>
        </w:rPr>
        <w:t xml:space="preserve"> for Complex Craniofacial Wounds (FTFDT2)</w:t>
      </w:r>
      <w:r w:rsidR="00BA6A55">
        <w:rPr>
          <w:color w:val="000000"/>
        </w:rPr>
        <w:t>. Status: enrolling by invitation (estimated n=20). Estimated completion: June 2020.</w:t>
      </w:r>
    </w:p>
    <w:p w14:paraId="057DF936" w14:textId="297C8A1F" w:rsidR="00BA6A55" w:rsidRPr="000047D0" w:rsidRDefault="008827D2" w:rsidP="00F715D1">
      <w:pPr>
        <w:pStyle w:val="ListParagraph"/>
        <w:numPr>
          <w:ilvl w:val="0"/>
          <w:numId w:val="29"/>
        </w:numPr>
        <w:spacing w:after="240"/>
        <w:rPr>
          <w:color w:val="000000"/>
        </w:rPr>
      </w:pPr>
      <w:hyperlink r:id="rId25" w:history="1">
        <w:r w:rsidR="00BA6A55" w:rsidRPr="006E4B6F">
          <w:rPr>
            <w:rStyle w:val="Hyperlink"/>
          </w:rPr>
          <w:t>NCT03872544</w:t>
        </w:r>
      </w:hyperlink>
      <w:r w:rsidR="00BA6A55">
        <w:rPr>
          <w:color w:val="000000"/>
        </w:rPr>
        <w:t xml:space="preserve"> - </w:t>
      </w:r>
      <w:r w:rsidR="00BA6A55" w:rsidRPr="002F7FD7">
        <w:rPr>
          <w:color w:val="000000"/>
        </w:rPr>
        <w:t>Fat to the Future, Dermal Time 3</w:t>
      </w:r>
      <w:r w:rsidR="00BA6A55">
        <w:rPr>
          <w:color w:val="000000"/>
        </w:rPr>
        <w:t xml:space="preserve">: </w:t>
      </w:r>
      <w:r w:rsidR="00BA6A55" w:rsidRPr="002F7FD7">
        <w:rPr>
          <w:color w:val="000000"/>
        </w:rPr>
        <w:t xml:space="preserve">Short Term Status of Free Dermal Fat </w:t>
      </w:r>
      <w:proofErr w:type="spellStart"/>
      <w:r w:rsidR="00BA6A55" w:rsidRPr="002F7FD7">
        <w:rPr>
          <w:color w:val="000000"/>
        </w:rPr>
        <w:t>Autografts</w:t>
      </w:r>
      <w:proofErr w:type="spellEnd"/>
      <w:r w:rsidR="00BA6A55" w:rsidRPr="002F7FD7">
        <w:rPr>
          <w:color w:val="000000"/>
        </w:rPr>
        <w:t xml:space="preserve"> for Complex Craniofacial Wounds (FTFDT3)</w:t>
      </w:r>
      <w:r w:rsidR="00BA6A55">
        <w:rPr>
          <w:color w:val="000000"/>
        </w:rPr>
        <w:t>. Status: not yet recruiting (estimated n=20). Estimated completion: November 2025.</w:t>
      </w:r>
    </w:p>
    <w:p w14:paraId="4CCE4137" w14:textId="77777777" w:rsidR="00D90A38" w:rsidRPr="00F715D1" w:rsidRDefault="00BC1364" w:rsidP="00F715D1">
      <w:pPr>
        <w:pStyle w:val="Heading1"/>
      </w:pPr>
      <w:r w:rsidRPr="00F715D1">
        <w:t>Other significant factors</w:t>
      </w:r>
    </w:p>
    <w:p w14:paraId="1FA8C874" w14:textId="27431EDA" w:rsidR="00BC1364" w:rsidRPr="000047D0" w:rsidRDefault="00BC1364" w:rsidP="00F715D1">
      <w:pPr>
        <w:spacing w:after="240"/>
        <w:rPr>
          <w:szCs w:val="24"/>
        </w:rPr>
      </w:pPr>
      <w:r w:rsidRPr="000047D0">
        <w:rPr>
          <w:szCs w:val="24"/>
        </w:rPr>
        <w:t>Nil</w:t>
      </w:r>
    </w:p>
    <w:p w14:paraId="291ECC14"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1D87EF1D" w14:textId="5723C8A2" w:rsidR="00BC1364" w:rsidRPr="00ED328C" w:rsidRDefault="00ED328C" w:rsidP="00F715D1">
      <w:pPr>
        <w:spacing w:after="240"/>
        <w:rPr>
          <w:szCs w:val="24"/>
        </w:rPr>
      </w:pPr>
      <w:r w:rsidRPr="00ED328C">
        <w:rPr>
          <w:szCs w:val="24"/>
        </w:rPr>
        <w:t>The applicant had no comment.</w:t>
      </w:r>
    </w:p>
    <w:p w14:paraId="02ECE8D5" w14:textId="77777777" w:rsidR="00BC1364" w:rsidRPr="00F715D1" w:rsidRDefault="00271F18" w:rsidP="00F715D1">
      <w:pPr>
        <w:pStyle w:val="Heading1"/>
      </w:pPr>
      <w:r w:rsidRPr="00F715D1">
        <w:t>Further information on MSAC</w:t>
      </w:r>
    </w:p>
    <w:p w14:paraId="55ACD6D2"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6" w:tooltip="Link to Medical Services Advisory Committee website" w:history="1">
        <w:r w:rsidR="00BC2667" w:rsidRPr="00F715D1">
          <w:rPr>
            <w:rStyle w:val="Hyperlink"/>
            <w:szCs w:val="24"/>
          </w:rPr>
          <w:t>visit the MSAC website</w:t>
        </w:r>
      </w:hyperlink>
    </w:p>
    <w:sectPr w:rsidR="00BC1364" w:rsidRPr="00F715D1" w:rsidSect="00AF15C1">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7F3136" w16cid:durableId="22E634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DF4AA" w14:textId="77777777" w:rsidR="00F3276D" w:rsidRDefault="00F3276D" w:rsidP="00065623">
      <w:r>
        <w:separator/>
      </w:r>
    </w:p>
  </w:endnote>
  <w:endnote w:type="continuationSeparator" w:id="0">
    <w:p w14:paraId="22F80022" w14:textId="77777777" w:rsidR="00F3276D" w:rsidRDefault="00F3276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19C5" w14:textId="77777777" w:rsidR="00F871DF" w:rsidRDefault="00F87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FF7F" w14:textId="77777777" w:rsidR="00F871DF" w:rsidRDefault="00F87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E6FE" w14:textId="77777777" w:rsidR="00F871DF" w:rsidRDefault="00F871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390B5A82" w14:textId="4E9C04F9" w:rsidR="00F3276D" w:rsidRDefault="00F3276D">
        <w:pPr>
          <w:pStyle w:val="Footer"/>
          <w:jc w:val="right"/>
        </w:pPr>
        <w:r>
          <w:fldChar w:fldCharType="begin"/>
        </w:r>
        <w:r>
          <w:instrText xml:space="preserve"> PAGE   \* MERGEFORMAT </w:instrText>
        </w:r>
        <w:r>
          <w:fldChar w:fldCharType="separate"/>
        </w:r>
        <w:r w:rsidR="008827D2">
          <w:rPr>
            <w:noProof/>
          </w:rPr>
          <w:t>29</w:t>
        </w:r>
        <w:r>
          <w:rPr>
            <w:noProof/>
          </w:rPr>
          <w:fldChar w:fldCharType="end"/>
        </w:r>
      </w:p>
    </w:sdtContent>
  </w:sdt>
  <w:p w14:paraId="039BF05E" w14:textId="77777777" w:rsidR="00F3276D" w:rsidRDefault="00F32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2887A" w14:textId="77777777" w:rsidR="00F3276D" w:rsidRDefault="00F3276D" w:rsidP="00065623">
      <w:r>
        <w:separator/>
      </w:r>
    </w:p>
  </w:footnote>
  <w:footnote w:type="continuationSeparator" w:id="0">
    <w:p w14:paraId="5B0996E6" w14:textId="77777777" w:rsidR="00F3276D" w:rsidRDefault="00F3276D" w:rsidP="00065623">
      <w:r>
        <w:continuationSeparator/>
      </w:r>
    </w:p>
  </w:footnote>
  <w:footnote w:id="1">
    <w:p w14:paraId="056EB97F" w14:textId="77777777" w:rsidR="00F3276D" w:rsidRDefault="00F3276D" w:rsidP="00AE2D27">
      <w:pPr>
        <w:pStyle w:val="FootnoteText"/>
      </w:pPr>
      <w:r>
        <w:rPr>
          <w:rStyle w:val="FootnoteReference"/>
        </w:rPr>
        <w:footnoteRef/>
      </w:r>
      <w:r>
        <w:t xml:space="preserve"> </w:t>
      </w:r>
      <w:r w:rsidRPr="00181048">
        <w:t>Schmitz S, Weis C,</w:t>
      </w:r>
      <w:r>
        <w:t xml:space="preserve"> Morley S, </w:t>
      </w:r>
      <w:proofErr w:type="spellStart"/>
      <w:r>
        <w:t>Demey</w:t>
      </w:r>
      <w:proofErr w:type="spellEnd"/>
      <w:r>
        <w:t xml:space="preserve"> A, </w:t>
      </w:r>
      <w:proofErr w:type="spellStart"/>
      <w:r>
        <w:t>Dabernig</w:t>
      </w:r>
      <w:proofErr w:type="spellEnd"/>
      <w:r>
        <w:t xml:space="preserve"> J (2008) </w:t>
      </w:r>
      <w:r w:rsidRPr="00181048">
        <w:t>European Journal of Plastic Surgery. 31(6):305-10.</w:t>
      </w:r>
    </w:p>
  </w:footnote>
  <w:footnote w:id="2">
    <w:p w14:paraId="03CF01DA" w14:textId="77777777" w:rsidR="00F3276D" w:rsidRDefault="00F3276D" w:rsidP="00AE2D27">
      <w:pPr>
        <w:pStyle w:val="FootnoteText"/>
      </w:pPr>
      <w:r>
        <w:rPr>
          <w:rStyle w:val="FootnoteReference"/>
        </w:rPr>
        <w:footnoteRef/>
      </w:r>
      <w:r>
        <w:t xml:space="preserve"> </w:t>
      </w:r>
      <w:proofErr w:type="spellStart"/>
      <w:r w:rsidRPr="00181048">
        <w:t>Tanna</w:t>
      </w:r>
      <w:proofErr w:type="spellEnd"/>
      <w:r w:rsidRPr="00181048">
        <w:t xml:space="preserve"> N, W</w:t>
      </w:r>
      <w:r>
        <w:t xml:space="preserve">an DC, Kawamoto HK, Bradley JP (2011) </w:t>
      </w:r>
      <w:r w:rsidRPr="00181048">
        <w:t>Plastic and reconstructive surgery. 127(2):802-11.</w:t>
      </w:r>
    </w:p>
  </w:footnote>
  <w:footnote w:id="3">
    <w:p w14:paraId="3786AAF6" w14:textId="77777777" w:rsidR="00F3276D" w:rsidRDefault="00F3276D" w:rsidP="00AE2D27">
      <w:pPr>
        <w:pStyle w:val="FootnoteText"/>
      </w:pPr>
      <w:r>
        <w:rPr>
          <w:rStyle w:val="FootnoteReference"/>
        </w:rPr>
        <w:footnoteRef/>
      </w:r>
      <w:r>
        <w:t xml:space="preserve"> </w:t>
      </w:r>
      <w:r w:rsidRPr="00181048">
        <w:t xml:space="preserve">Sinclair N, </w:t>
      </w:r>
      <w:proofErr w:type="spellStart"/>
      <w:r w:rsidRPr="00181048">
        <w:t>Gharb</w:t>
      </w:r>
      <w:proofErr w:type="spellEnd"/>
      <w:r w:rsidRPr="00181048">
        <w:t xml:space="preserve"> BB, </w:t>
      </w:r>
      <w:proofErr w:type="spellStart"/>
      <w:r w:rsidRPr="00181048">
        <w:t>Papay</w:t>
      </w:r>
      <w:proofErr w:type="spellEnd"/>
      <w:r w:rsidRPr="00181048">
        <w:t xml:space="preserve"> F, </w:t>
      </w:r>
      <w:proofErr w:type="spellStart"/>
      <w:r w:rsidRPr="00181048">
        <w:t>Rampazzo</w:t>
      </w:r>
      <w:proofErr w:type="spellEnd"/>
      <w:r w:rsidRPr="00181048">
        <w:t xml:space="preserve"> A</w:t>
      </w:r>
      <w:r>
        <w:t xml:space="preserve"> (2019) </w:t>
      </w:r>
      <w:r w:rsidRPr="00181048">
        <w:t>The Journal of craniofacial surgery. 30(3):879-87.</w:t>
      </w:r>
    </w:p>
  </w:footnote>
  <w:footnote w:id="4">
    <w:p w14:paraId="445983FF" w14:textId="77777777" w:rsidR="00F3276D" w:rsidRDefault="00F3276D" w:rsidP="00AE2D27">
      <w:pPr>
        <w:pStyle w:val="FootnoteText"/>
      </w:pPr>
      <w:r>
        <w:rPr>
          <w:rStyle w:val="FootnoteReference"/>
        </w:rPr>
        <w:footnoteRef/>
      </w:r>
      <w:r>
        <w:t xml:space="preserve"> </w:t>
      </w:r>
      <w:r w:rsidRPr="00181048">
        <w:t xml:space="preserve">Gal S, Ramirez JI, </w:t>
      </w:r>
      <w:proofErr w:type="spellStart"/>
      <w:r w:rsidRPr="00181048">
        <w:t>Maguina</w:t>
      </w:r>
      <w:proofErr w:type="spellEnd"/>
      <w:r w:rsidRPr="00181048">
        <w:t xml:space="preserve"> P</w:t>
      </w:r>
      <w:r>
        <w:t xml:space="preserve"> (2017)</w:t>
      </w:r>
      <w:r w:rsidRPr="00181048">
        <w:t xml:space="preserve"> Burns. 43(3):486-9.</w:t>
      </w:r>
    </w:p>
  </w:footnote>
  <w:footnote w:id="5">
    <w:p w14:paraId="3929A54E" w14:textId="77777777" w:rsidR="00F3276D" w:rsidRDefault="00F3276D" w:rsidP="00AE2D27">
      <w:pPr>
        <w:pStyle w:val="FootnoteText"/>
      </w:pPr>
      <w:r>
        <w:rPr>
          <w:rStyle w:val="FootnoteReference"/>
        </w:rPr>
        <w:footnoteRef/>
      </w:r>
      <w:r>
        <w:t xml:space="preserve"> </w:t>
      </w:r>
      <w:r w:rsidRPr="00181048">
        <w:t xml:space="preserve">Klinger M, </w:t>
      </w:r>
      <w:proofErr w:type="spellStart"/>
      <w:r w:rsidRPr="00181048">
        <w:t>Caviggioli</w:t>
      </w:r>
      <w:proofErr w:type="spellEnd"/>
      <w:r w:rsidRPr="00181048">
        <w:t xml:space="preserve"> F, Klinger FM, </w:t>
      </w:r>
      <w:proofErr w:type="spellStart"/>
      <w:r w:rsidRPr="00181048">
        <w:t>Giannasi</w:t>
      </w:r>
      <w:proofErr w:type="spellEnd"/>
      <w:r w:rsidRPr="00181048">
        <w:t xml:space="preserve"> S, </w:t>
      </w:r>
      <w:proofErr w:type="spellStart"/>
      <w:r w:rsidRPr="00181048">
        <w:t>Bandi</w:t>
      </w:r>
      <w:proofErr w:type="spellEnd"/>
      <w:r w:rsidRPr="00181048">
        <w:t xml:space="preserve"> V, </w:t>
      </w:r>
      <w:proofErr w:type="spellStart"/>
      <w:r w:rsidRPr="00181048">
        <w:t>Banzatti</w:t>
      </w:r>
      <w:proofErr w:type="spellEnd"/>
      <w:r w:rsidRPr="00181048">
        <w:t xml:space="preserve"> B, et al. </w:t>
      </w:r>
      <w:r>
        <w:t>(2013)</w:t>
      </w:r>
      <w:r w:rsidRPr="00181048">
        <w:t xml:space="preserve"> The Journal of craniofacial surgery. 24(5):1610-5.</w:t>
      </w:r>
    </w:p>
  </w:footnote>
  <w:footnote w:id="6">
    <w:p w14:paraId="0DB768BF" w14:textId="77777777" w:rsidR="00F3276D" w:rsidRDefault="00F3276D" w:rsidP="00AE2D27">
      <w:pPr>
        <w:pStyle w:val="FootnoteText"/>
      </w:pPr>
      <w:r>
        <w:rPr>
          <w:rStyle w:val="FootnoteReference"/>
        </w:rPr>
        <w:footnoteRef/>
      </w:r>
      <w:r>
        <w:t xml:space="preserve"> </w:t>
      </w:r>
      <w:proofErr w:type="spellStart"/>
      <w:r w:rsidRPr="00181048">
        <w:t>Fredman</w:t>
      </w:r>
      <w:proofErr w:type="spellEnd"/>
      <w:r w:rsidRPr="00181048">
        <w:t xml:space="preserve"> R, </w:t>
      </w:r>
      <w:proofErr w:type="spellStart"/>
      <w:r w:rsidRPr="00181048">
        <w:t>Edkins</w:t>
      </w:r>
      <w:proofErr w:type="spellEnd"/>
      <w:r w:rsidRPr="00181048">
        <w:t xml:space="preserve"> RE, </w:t>
      </w:r>
      <w:proofErr w:type="spellStart"/>
      <w:r w:rsidRPr="00181048">
        <w:t>Hultman</w:t>
      </w:r>
      <w:proofErr w:type="spellEnd"/>
      <w:r w:rsidRPr="00181048">
        <w:t xml:space="preserve"> CS</w:t>
      </w:r>
      <w:r>
        <w:t xml:space="preserve"> (2016) Annals of plastic surgery. </w:t>
      </w:r>
      <w:proofErr w:type="gramStart"/>
      <w:r w:rsidRPr="00181048">
        <w:t>76</w:t>
      </w:r>
      <w:proofErr w:type="gramEnd"/>
      <w:r w:rsidRPr="00181048">
        <w:t>:S298-S303.</w:t>
      </w:r>
    </w:p>
  </w:footnote>
  <w:footnote w:id="7">
    <w:p w14:paraId="503A1ED5" w14:textId="77777777" w:rsidR="00F3276D" w:rsidRDefault="00F3276D" w:rsidP="00AE2D27">
      <w:pPr>
        <w:pStyle w:val="FootnoteText"/>
      </w:pPr>
      <w:r>
        <w:rPr>
          <w:rStyle w:val="FootnoteReference"/>
        </w:rPr>
        <w:footnoteRef/>
      </w:r>
      <w:r>
        <w:t xml:space="preserve"> </w:t>
      </w:r>
      <w:r w:rsidRPr="00181048">
        <w:t xml:space="preserve">La </w:t>
      </w:r>
      <w:proofErr w:type="spellStart"/>
      <w:r w:rsidRPr="00181048">
        <w:t>Padula</w:t>
      </w:r>
      <w:proofErr w:type="spellEnd"/>
      <w:r w:rsidRPr="00181048">
        <w:t xml:space="preserve"> S, </w:t>
      </w:r>
      <w:proofErr w:type="spellStart"/>
      <w:r w:rsidRPr="00181048">
        <w:t>Hersant</w:t>
      </w:r>
      <w:proofErr w:type="spellEnd"/>
      <w:r w:rsidRPr="00181048">
        <w:t xml:space="preserve"> B, </w:t>
      </w:r>
      <w:proofErr w:type="spellStart"/>
      <w:r w:rsidRPr="00181048">
        <w:t>Meningaud</w:t>
      </w:r>
      <w:proofErr w:type="spellEnd"/>
      <w:r w:rsidRPr="00181048">
        <w:t xml:space="preserve"> JP, </w:t>
      </w:r>
      <w:proofErr w:type="spellStart"/>
      <w:r w:rsidRPr="00181048">
        <w:t>D'Andrea</w:t>
      </w:r>
      <w:proofErr w:type="spellEnd"/>
      <w:r w:rsidRPr="00181048">
        <w:t xml:space="preserve"> F</w:t>
      </w:r>
      <w:r>
        <w:t xml:space="preserve"> (2018)</w:t>
      </w:r>
      <w:r w:rsidRPr="00181048">
        <w:t xml:space="preserve"> Journal of stomatology, oral and maxillofacial surgery. 119(4):279-83.</w:t>
      </w:r>
    </w:p>
  </w:footnote>
  <w:footnote w:id="8">
    <w:p w14:paraId="60BDBB1A" w14:textId="77777777" w:rsidR="00F3276D" w:rsidRDefault="00F3276D" w:rsidP="00AE2D27">
      <w:pPr>
        <w:pStyle w:val="FootnoteText"/>
      </w:pPr>
      <w:r>
        <w:rPr>
          <w:rStyle w:val="FootnoteReference"/>
        </w:rPr>
        <w:footnoteRef/>
      </w:r>
      <w:r>
        <w:t xml:space="preserve"> </w:t>
      </w:r>
      <w:r w:rsidRPr="00181048">
        <w:t>Gargano F, Schmidt S, Evangelista P, Robinson-</w:t>
      </w:r>
      <w:proofErr w:type="spellStart"/>
      <w:r w:rsidRPr="00181048">
        <w:t>Bostom</w:t>
      </w:r>
      <w:proofErr w:type="spellEnd"/>
      <w:r w:rsidRPr="00181048">
        <w:t xml:space="preserve"> L, Harrington DT, Rossi K, et al. </w:t>
      </w:r>
      <w:r>
        <w:t>(2018)</w:t>
      </w:r>
      <w:r w:rsidRPr="00181048">
        <w:t xml:space="preserve"> JPRAS Open. 17:5-8.</w:t>
      </w:r>
    </w:p>
  </w:footnote>
  <w:footnote w:id="9">
    <w:p w14:paraId="69BFB999" w14:textId="77777777" w:rsidR="00F3276D" w:rsidRDefault="00F3276D" w:rsidP="00AE2D27">
      <w:pPr>
        <w:pStyle w:val="FootnoteText"/>
      </w:pPr>
      <w:r>
        <w:rPr>
          <w:rStyle w:val="FootnoteReference"/>
        </w:rPr>
        <w:footnoteRef/>
      </w:r>
      <w:r>
        <w:t xml:space="preserve"> </w:t>
      </w:r>
      <w:r w:rsidRPr="00181048">
        <w:t>Byrne M, O'Donnell M, Fitzgerald L, Shelley OP</w:t>
      </w:r>
      <w:r>
        <w:t xml:space="preserve"> (2016)</w:t>
      </w:r>
      <w:r w:rsidRPr="00181048">
        <w:t xml:space="preserve"> Burns. 42(2):356-65.</w:t>
      </w:r>
    </w:p>
  </w:footnote>
  <w:footnote w:id="10">
    <w:p w14:paraId="7B4004A9" w14:textId="77777777" w:rsidR="00F3276D" w:rsidRDefault="00F3276D" w:rsidP="00AE2D27">
      <w:pPr>
        <w:pStyle w:val="FootnoteText"/>
      </w:pPr>
      <w:r>
        <w:rPr>
          <w:rStyle w:val="FootnoteReference"/>
        </w:rPr>
        <w:footnoteRef/>
      </w:r>
      <w:r>
        <w:t xml:space="preserve"> </w:t>
      </w:r>
      <w:proofErr w:type="spellStart"/>
      <w:r w:rsidRPr="00181048">
        <w:t>Riyat</w:t>
      </w:r>
      <w:proofErr w:type="spellEnd"/>
      <w:r w:rsidRPr="00181048">
        <w:t xml:space="preserve"> H, </w:t>
      </w:r>
      <w:proofErr w:type="spellStart"/>
      <w:r w:rsidRPr="00181048">
        <w:t>Touil</w:t>
      </w:r>
      <w:proofErr w:type="spellEnd"/>
      <w:r w:rsidRPr="00181048">
        <w:t xml:space="preserve"> L, Briggs M, </w:t>
      </w:r>
      <w:proofErr w:type="spellStart"/>
      <w:r w:rsidRPr="00181048">
        <w:t>Shokrollahi</w:t>
      </w:r>
      <w:proofErr w:type="spellEnd"/>
      <w:r w:rsidRPr="00181048">
        <w:t xml:space="preserve"> K</w:t>
      </w:r>
      <w:r>
        <w:t xml:space="preserve"> (2017) </w:t>
      </w:r>
      <w:r w:rsidRPr="00181048">
        <w:t>Scars Burn Heal 3:1–16.</w:t>
      </w:r>
    </w:p>
  </w:footnote>
  <w:footnote w:id="11">
    <w:p w14:paraId="61FFBEAE" w14:textId="77777777" w:rsidR="00F3276D" w:rsidRDefault="00F3276D" w:rsidP="00AE2D27">
      <w:pPr>
        <w:pStyle w:val="FootnoteText"/>
      </w:pPr>
      <w:r>
        <w:rPr>
          <w:rStyle w:val="FootnoteReference"/>
        </w:rPr>
        <w:footnoteRef/>
      </w:r>
      <w:r>
        <w:t xml:space="preserve"> </w:t>
      </w:r>
      <w:proofErr w:type="spellStart"/>
      <w:r w:rsidRPr="00181048">
        <w:t>Negenborn</w:t>
      </w:r>
      <w:proofErr w:type="spellEnd"/>
      <w:r w:rsidRPr="00181048">
        <w:t xml:space="preserve"> VL, </w:t>
      </w:r>
      <w:proofErr w:type="spellStart"/>
      <w:r w:rsidRPr="00181048">
        <w:t>Groen</w:t>
      </w:r>
      <w:proofErr w:type="spellEnd"/>
      <w:r w:rsidRPr="00181048">
        <w:t xml:space="preserve"> J-W, Smit JM, </w:t>
      </w:r>
      <w:proofErr w:type="spellStart"/>
      <w:r w:rsidRPr="00181048">
        <w:t>Niessen</w:t>
      </w:r>
      <w:proofErr w:type="spellEnd"/>
      <w:r w:rsidRPr="00181048">
        <w:t xml:space="preserve"> FB, </w:t>
      </w:r>
      <w:proofErr w:type="spellStart"/>
      <w:r w:rsidRPr="00181048">
        <w:t>Mullender</w:t>
      </w:r>
      <w:proofErr w:type="spellEnd"/>
      <w:r>
        <w:t xml:space="preserve"> (2016)</w:t>
      </w:r>
      <w:r w:rsidRPr="00181048">
        <w:t xml:space="preserve"> Plastic and Reconstructive Surgery. January 31e-43e.</w:t>
      </w:r>
    </w:p>
  </w:footnote>
  <w:footnote w:id="12">
    <w:p w14:paraId="2B42F9A5" w14:textId="77777777" w:rsidR="00F3276D" w:rsidRDefault="00F3276D" w:rsidP="00AE2D27">
      <w:pPr>
        <w:pStyle w:val="FootnoteText"/>
      </w:pPr>
      <w:r>
        <w:rPr>
          <w:rStyle w:val="FootnoteReference"/>
        </w:rPr>
        <w:footnoteRef/>
      </w:r>
      <w:r>
        <w:t xml:space="preserve"> </w:t>
      </w:r>
      <w:proofErr w:type="spellStart"/>
      <w:r w:rsidRPr="00C079A1">
        <w:t>Krastev</w:t>
      </w:r>
      <w:proofErr w:type="spellEnd"/>
      <w:r w:rsidRPr="00C079A1">
        <w:t xml:space="preserve"> TK, </w:t>
      </w:r>
      <w:proofErr w:type="spellStart"/>
      <w:r w:rsidRPr="00C079A1">
        <w:t>Beugels</w:t>
      </w:r>
      <w:proofErr w:type="spellEnd"/>
      <w:r w:rsidRPr="00C079A1">
        <w:t xml:space="preserve"> J, Hommes J, </w:t>
      </w:r>
      <w:proofErr w:type="spellStart"/>
      <w:r w:rsidRPr="00C079A1">
        <w:t>Piatkowski</w:t>
      </w:r>
      <w:proofErr w:type="spellEnd"/>
      <w:r w:rsidRPr="00C079A1">
        <w:t xml:space="preserve"> A, </w:t>
      </w:r>
      <w:proofErr w:type="spellStart"/>
      <w:r w:rsidRPr="00C079A1">
        <w:t>Mathijssen</w:t>
      </w:r>
      <w:proofErr w:type="spellEnd"/>
      <w:r w:rsidRPr="00C079A1">
        <w:t xml:space="preserve"> I, van der </w:t>
      </w:r>
      <w:proofErr w:type="spellStart"/>
      <w:r w:rsidRPr="00C079A1">
        <w:t>Hulst</w:t>
      </w:r>
      <w:proofErr w:type="spellEnd"/>
      <w:r w:rsidRPr="00C079A1">
        <w:t xml:space="preserve"> R</w:t>
      </w:r>
      <w:r>
        <w:t xml:space="preserve"> (2018)</w:t>
      </w:r>
      <w:r w:rsidRPr="00C079A1">
        <w:t xml:space="preserve"> JAMA facial plastic surgery. 20(5):351-60.</w:t>
      </w:r>
    </w:p>
  </w:footnote>
  <w:footnote w:id="13">
    <w:p w14:paraId="43700004" w14:textId="77777777" w:rsidR="00F3276D" w:rsidRDefault="00F3276D" w:rsidP="00AE2D27">
      <w:pPr>
        <w:pStyle w:val="FootnoteText"/>
      </w:pPr>
      <w:r>
        <w:rPr>
          <w:rStyle w:val="FootnoteReference"/>
        </w:rPr>
        <w:footnoteRef/>
      </w:r>
      <w:r>
        <w:t xml:space="preserve"> </w:t>
      </w:r>
      <w:proofErr w:type="spellStart"/>
      <w:r w:rsidRPr="00C079A1">
        <w:t>Lv</w:t>
      </w:r>
      <w:proofErr w:type="spellEnd"/>
      <w:r w:rsidRPr="00C079A1">
        <w:t xml:space="preserve"> Q, Li X, Qi Y, </w:t>
      </w:r>
      <w:proofErr w:type="spellStart"/>
      <w:r w:rsidRPr="00C079A1">
        <w:t>Gu</w:t>
      </w:r>
      <w:proofErr w:type="spellEnd"/>
      <w:r w:rsidRPr="00C079A1">
        <w:t xml:space="preserve"> Y, Liu Z, Ma GE</w:t>
      </w:r>
      <w:r>
        <w:t xml:space="preserve"> (2020) </w:t>
      </w:r>
      <w:r w:rsidRPr="00C079A1">
        <w:t xml:space="preserve">Aesthetic plastic surgery. </w:t>
      </w:r>
    </w:p>
  </w:footnote>
  <w:footnote w:id="14">
    <w:p w14:paraId="3ABD6176" w14:textId="77777777" w:rsidR="00F3276D" w:rsidRDefault="00F3276D" w:rsidP="00AE2D27">
      <w:pPr>
        <w:pStyle w:val="FootnoteText"/>
      </w:pPr>
      <w:r>
        <w:rPr>
          <w:rStyle w:val="FootnoteReference"/>
        </w:rPr>
        <w:footnoteRef/>
      </w:r>
      <w:r>
        <w:t xml:space="preserve"> </w:t>
      </w:r>
      <w:r w:rsidRPr="00C079A1">
        <w:t xml:space="preserve">Bruno A, </w:t>
      </w:r>
      <w:proofErr w:type="spellStart"/>
      <w:r w:rsidRPr="00C079A1">
        <w:t>Delli</w:t>
      </w:r>
      <w:proofErr w:type="spellEnd"/>
      <w:r w:rsidRPr="00C079A1">
        <w:t xml:space="preserve"> Santi G, </w:t>
      </w:r>
      <w:proofErr w:type="spellStart"/>
      <w:r w:rsidRPr="00C079A1">
        <w:t>Fasciani</w:t>
      </w:r>
      <w:proofErr w:type="spellEnd"/>
      <w:r w:rsidRPr="00C079A1">
        <w:t xml:space="preserve"> L, </w:t>
      </w:r>
      <w:proofErr w:type="spellStart"/>
      <w:r w:rsidRPr="00C079A1">
        <w:t>Cempanari</w:t>
      </w:r>
      <w:proofErr w:type="spellEnd"/>
      <w:r w:rsidRPr="00C079A1">
        <w:t xml:space="preserve"> M, </w:t>
      </w:r>
      <w:proofErr w:type="spellStart"/>
      <w:r w:rsidRPr="00C079A1">
        <w:t>Palombo</w:t>
      </w:r>
      <w:proofErr w:type="spellEnd"/>
      <w:r w:rsidRPr="00C079A1">
        <w:t xml:space="preserve"> M, </w:t>
      </w:r>
      <w:proofErr w:type="spellStart"/>
      <w:r w:rsidRPr="00C079A1">
        <w:t>Palombo</w:t>
      </w:r>
      <w:proofErr w:type="spellEnd"/>
      <w:r w:rsidRPr="00C079A1">
        <w:t xml:space="preserve"> P</w:t>
      </w:r>
      <w:r>
        <w:t xml:space="preserve"> (2013) </w:t>
      </w:r>
      <w:r w:rsidRPr="00C079A1">
        <w:t>Journal of Craniofacial Surgery. 24(5):1806-14.</w:t>
      </w:r>
    </w:p>
  </w:footnote>
  <w:footnote w:id="15">
    <w:p w14:paraId="0E50B4B3" w14:textId="77777777" w:rsidR="00F3276D" w:rsidRDefault="00F3276D" w:rsidP="00AE2D27">
      <w:pPr>
        <w:pStyle w:val="FootnoteText"/>
      </w:pPr>
      <w:r>
        <w:rPr>
          <w:rStyle w:val="FootnoteReference"/>
        </w:rPr>
        <w:footnoteRef/>
      </w:r>
      <w:r>
        <w:t xml:space="preserve"> </w:t>
      </w:r>
      <w:proofErr w:type="spellStart"/>
      <w:r w:rsidRPr="00753208">
        <w:t>Engstrand</w:t>
      </w:r>
      <w:proofErr w:type="spellEnd"/>
      <w:r w:rsidRPr="00753208">
        <w:t xml:space="preserve"> (2014) reported utility gain of 0.09 (</w:t>
      </w:r>
      <w:proofErr w:type="spellStart"/>
      <w:r w:rsidRPr="00753208">
        <w:t>EuroQoL</w:t>
      </w:r>
      <w:proofErr w:type="spellEnd"/>
      <w:r w:rsidRPr="00753208">
        <w:t xml:space="preserve"> -5D) corresponding to 59% improvement in ROM from baseline in </w:t>
      </w:r>
      <w:proofErr w:type="spellStart"/>
      <w:r w:rsidRPr="00753208">
        <w:t>Dupuytren</w:t>
      </w:r>
      <w:proofErr w:type="spellEnd"/>
      <w:r w:rsidRPr="00753208">
        <w:t xml:space="preserve"> disease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E055" w14:textId="77777777" w:rsidR="00F871DF" w:rsidRDefault="00F87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B43D" w14:textId="77777777" w:rsidR="00F871DF" w:rsidRDefault="00F87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1214" w14:textId="77777777" w:rsidR="00F871DF" w:rsidRDefault="00F87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08611E"/>
    <w:multiLevelType w:val="hybridMultilevel"/>
    <w:tmpl w:val="12F46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A1F73"/>
    <w:multiLevelType w:val="hybridMultilevel"/>
    <w:tmpl w:val="8BF83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8872D73"/>
    <w:multiLevelType w:val="hybridMultilevel"/>
    <w:tmpl w:val="893C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6265E"/>
    <w:multiLevelType w:val="hybridMultilevel"/>
    <w:tmpl w:val="1FE2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711632"/>
    <w:multiLevelType w:val="hybridMultilevel"/>
    <w:tmpl w:val="813AF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030F70"/>
    <w:multiLevelType w:val="hybridMultilevel"/>
    <w:tmpl w:val="D3F643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C328C6"/>
    <w:multiLevelType w:val="hybridMultilevel"/>
    <w:tmpl w:val="C8805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B24FC7"/>
    <w:multiLevelType w:val="hybridMultilevel"/>
    <w:tmpl w:val="B6B81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C267DB"/>
    <w:multiLevelType w:val="hybridMultilevel"/>
    <w:tmpl w:val="D8EC5978"/>
    <w:lvl w:ilvl="0" w:tplc="BFEE98B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B20966"/>
    <w:multiLevelType w:val="hybridMultilevel"/>
    <w:tmpl w:val="558C59E0"/>
    <w:lvl w:ilvl="0" w:tplc="FF96BC7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571A0A"/>
    <w:multiLevelType w:val="hybridMultilevel"/>
    <w:tmpl w:val="4058F974"/>
    <w:lvl w:ilvl="0" w:tplc="1A5EF81E">
      <w:start w:val="5"/>
      <w:numFmt w:val="bullet"/>
      <w:lvlText w:val="-"/>
      <w:lvlJc w:val="left"/>
      <w:pPr>
        <w:ind w:left="360" w:hanging="360"/>
      </w:pPr>
      <w:rPr>
        <w:rFonts w:ascii="Arial Narrow" w:eastAsia="Times New Roma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752C0"/>
    <w:multiLevelType w:val="hybridMultilevel"/>
    <w:tmpl w:val="A404B1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EC09D5"/>
    <w:multiLevelType w:val="hybridMultilevel"/>
    <w:tmpl w:val="C62298AC"/>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9"/>
  </w:num>
  <w:num w:numId="2">
    <w:abstractNumId w:val="22"/>
  </w:num>
  <w:num w:numId="3">
    <w:abstractNumId w:val="1"/>
  </w:num>
  <w:num w:numId="4">
    <w:abstractNumId w:val="25"/>
  </w:num>
  <w:num w:numId="5">
    <w:abstractNumId w:val="16"/>
  </w:num>
  <w:num w:numId="6">
    <w:abstractNumId w:val="23"/>
  </w:num>
  <w:num w:numId="7">
    <w:abstractNumId w:val="28"/>
  </w:num>
  <w:num w:numId="8">
    <w:abstractNumId w:val="18"/>
  </w:num>
  <w:num w:numId="9">
    <w:abstractNumId w:val="36"/>
  </w:num>
  <w:num w:numId="10">
    <w:abstractNumId w:val="0"/>
  </w:num>
  <w:num w:numId="11">
    <w:abstractNumId w:val="27"/>
  </w:num>
  <w:num w:numId="12">
    <w:abstractNumId w:val="29"/>
  </w:num>
  <w:num w:numId="13">
    <w:abstractNumId w:val="7"/>
  </w:num>
  <w:num w:numId="14">
    <w:abstractNumId w:val="35"/>
  </w:num>
  <w:num w:numId="15">
    <w:abstractNumId w:val="26"/>
  </w:num>
  <w:num w:numId="16">
    <w:abstractNumId w:val="31"/>
  </w:num>
  <w:num w:numId="17">
    <w:abstractNumId w:val="19"/>
  </w:num>
  <w:num w:numId="18">
    <w:abstractNumId w:val="20"/>
  </w:num>
  <w:num w:numId="19">
    <w:abstractNumId w:val="33"/>
  </w:num>
  <w:num w:numId="20">
    <w:abstractNumId w:val="32"/>
  </w:num>
  <w:num w:numId="21">
    <w:abstractNumId w:val="5"/>
  </w:num>
  <w:num w:numId="22">
    <w:abstractNumId w:val="14"/>
  </w:num>
  <w:num w:numId="23">
    <w:abstractNumId w:val="3"/>
  </w:num>
  <w:num w:numId="24">
    <w:abstractNumId w:val="13"/>
  </w:num>
  <w:num w:numId="25">
    <w:abstractNumId w:val="8"/>
  </w:num>
  <w:num w:numId="26">
    <w:abstractNumId w:val="30"/>
  </w:num>
  <w:num w:numId="27">
    <w:abstractNumId w:val="4"/>
  </w:num>
  <w:num w:numId="28">
    <w:abstractNumId w:val="15"/>
  </w:num>
  <w:num w:numId="29">
    <w:abstractNumId w:val="10"/>
  </w:num>
  <w:num w:numId="30">
    <w:abstractNumId w:val="21"/>
  </w:num>
  <w:num w:numId="31">
    <w:abstractNumId w:val="2"/>
  </w:num>
  <w:num w:numId="32">
    <w:abstractNumId w:val="24"/>
  </w:num>
  <w:num w:numId="33">
    <w:abstractNumId w:val="34"/>
  </w:num>
  <w:num w:numId="34">
    <w:abstractNumId w:val="17"/>
  </w:num>
  <w:num w:numId="35">
    <w:abstractNumId w:val="37"/>
  </w:num>
  <w:num w:numId="36">
    <w:abstractNumId w:val="12"/>
  </w:num>
  <w:num w:numId="37">
    <w:abstractNumId w:val="1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47D0"/>
    <w:rsid w:val="00007312"/>
    <w:rsid w:val="00011A36"/>
    <w:rsid w:val="0001311B"/>
    <w:rsid w:val="000317F2"/>
    <w:rsid w:val="00032A28"/>
    <w:rsid w:val="0004534F"/>
    <w:rsid w:val="00047606"/>
    <w:rsid w:val="00065623"/>
    <w:rsid w:val="000756B9"/>
    <w:rsid w:val="000851AA"/>
    <w:rsid w:val="00092A0D"/>
    <w:rsid w:val="00096B67"/>
    <w:rsid w:val="00096DAF"/>
    <w:rsid w:val="000B37B9"/>
    <w:rsid w:val="000B7BA9"/>
    <w:rsid w:val="000C2F47"/>
    <w:rsid w:val="000D2B9A"/>
    <w:rsid w:val="000D6C00"/>
    <w:rsid w:val="000E4E04"/>
    <w:rsid w:val="000F14B4"/>
    <w:rsid w:val="000F75DF"/>
    <w:rsid w:val="001023DC"/>
    <w:rsid w:val="0011063A"/>
    <w:rsid w:val="001328FA"/>
    <w:rsid w:val="00147AAF"/>
    <w:rsid w:val="001552C0"/>
    <w:rsid w:val="00160FA1"/>
    <w:rsid w:val="001640B1"/>
    <w:rsid w:val="001842B7"/>
    <w:rsid w:val="0018435E"/>
    <w:rsid w:val="001B5A1E"/>
    <w:rsid w:val="001C6DAF"/>
    <w:rsid w:val="002041A1"/>
    <w:rsid w:val="002054F0"/>
    <w:rsid w:val="00230D6B"/>
    <w:rsid w:val="00232068"/>
    <w:rsid w:val="002330F2"/>
    <w:rsid w:val="00243D9E"/>
    <w:rsid w:val="00253B66"/>
    <w:rsid w:val="00261DF1"/>
    <w:rsid w:val="00264067"/>
    <w:rsid w:val="0026619D"/>
    <w:rsid w:val="00271F18"/>
    <w:rsid w:val="0028237B"/>
    <w:rsid w:val="00282779"/>
    <w:rsid w:val="0028334D"/>
    <w:rsid w:val="002A34A7"/>
    <w:rsid w:val="002B7FFA"/>
    <w:rsid w:val="002C2BCF"/>
    <w:rsid w:val="002F279D"/>
    <w:rsid w:val="002F43B8"/>
    <w:rsid w:val="00327E6B"/>
    <w:rsid w:val="00336856"/>
    <w:rsid w:val="0034082F"/>
    <w:rsid w:val="003408B7"/>
    <w:rsid w:val="0034554D"/>
    <w:rsid w:val="00352224"/>
    <w:rsid w:val="003671E6"/>
    <w:rsid w:val="00384272"/>
    <w:rsid w:val="00386D67"/>
    <w:rsid w:val="003945B8"/>
    <w:rsid w:val="003957F0"/>
    <w:rsid w:val="003B3689"/>
    <w:rsid w:val="003D3BC6"/>
    <w:rsid w:val="003D7F29"/>
    <w:rsid w:val="003E19F4"/>
    <w:rsid w:val="003E70F4"/>
    <w:rsid w:val="003F31CD"/>
    <w:rsid w:val="004050F0"/>
    <w:rsid w:val="00405A6B"/>
    <w:rsid w:val="00407B1F"/>
    <w:rsid w:val="0041184F"/>
    <w:rsid w:val="00414C57"/>
    <w:rsid w:val="0041758C"/>
    <w:rsid w:val="00425681"/>
    <w:rsid w:val="0043334E"/>
    <w:rsid w:val="004539DE"/>
    <w:rsid w:val="004A2CF1"/>
    <w:rsid w:val="004C3035"/>
    <w:rsid w:val="004C307F"/>
    <w:rsid w:val="004E4BA8"/>
    <w:rsid w:val="004F340F"/>
    <w:rsid w:val="004F7B7C"/>
    <w:rsid w:val="005012BE"/>
    <w:rsid w:val="0052243D"/>
    <w:rsid w:val="00532435"/>
    <w:rsid w:val="00550354"/>
    <w:rsid w:val="00556B3C"/>
    <w:rsid w:val="00571236"/>
    <w:rsid w:val="005953A1"/>
    <w:rsid w:val="005A4362"/>
    <w:rsid w:val="005B5434"/>
    <w:rsid w:val="005D0332"/>
    <w:rsid w:val="005D0D8C"/>
    <w:rsid w:val="00610505"/>
    <w:rsid w:val="00657F86"/>
    <w:rsid w:val="006776AE"/>
    <w:rsid w:val="0068772F"/>
    <w:rsid w:val="00692BC4"/>
    <w:rsid w:val="006A0D97"/>
    <w:rsid w:val="006A76C1"/>
    <w:rsid w:val="006B1F86"/>
    <w:rsid w:val="006B3AFD"/>
    <w:rsid w:val="006C0A91"/>
    <w:rsid w:val="007054BB"/>
    <w:rsid w:val="00707064"/>
    <w:rsid w:val="0071680A"/>
    <w:rsid w:val="00724C12"/>
    <w:rsid w:val="00730683"/>
    <w:rsid w:val="007355C1"/>
    <w:rsid w:val="0075261F"/>
    <w:rsid w:val="0075468E"/>
    <w:rsid w:val="00757328"/>
    <w:rsid w:val="007665D8"/>
    <w:rsid w:val="00766E36"/>
    <w:rsid w:val="007747FC"/>
    <w:rsid w:val="007765F4"/>
    <w:rsid w:val="00776633"/>
    <w:rsid w:val="00784D53"/>
    <w:rsid w:val="00797797"/>
    <w:rsid w:val="007A58FD"/>
    <w:rsid w:val="007A63C9"/>
    <w:rsid w:val="007B32D1"/>
    <w:rsid w:val="007B7095"/>
    <w:rsid w:val="007C4FF9"/>
    <w:rsid w:val="007D24E1"/>
    <w:rsid w:val="007D6288"/>
    <w:rsid w:val="007D63F2"/>
    <w:rsid w:val="007F4CE9"/>
    <w:rsid w:val="007F4E20"/>
    <w:rsid w:val="00822C7E"/>
    <w:rsid w:val="00847060"/>
    <w:rsid w:val="00847A36"/>
    <w:rsid w:val="00856A33"/>
    <w:rsid w:val="0086058B"/>
    <w:rsid w:val="00861A8E"/>
    <w:rsid w:val="008652D9"/>
    <w:rsid w:val="008678C9"/>
    <w:rsid w:val="0087527B"/>
    <w:rsid w:val="008827D2"/>
    <w:rsid w:val="00892620"/>
    <w:rsid w:val="008A54A1"/>
    <w:rsid w:val="008C778E"/>
    <w:rsid w:val="008C7D37"/>
    <w:rsid w:val="008D5885"/>
    <w:rsid w:val="008E1617"/>
    <w:rsid w:val="008F1FC0"/>
    <w:rsid w:val="00923FA2"/>
    <w:rsid w:val="0096060D"/>
    <w:rsid w:val="00974A50"/>
    <w:rsid w:val="0097585A"/>
    <w:rsid w:val="009924B0"/>
    <w:rsid w:val="009942C9"/>
    <w:rsid w:val="009B06A0"/>
    <w:rsid w:val="009B35C4"/>
    <w:rsid w:val="009C596F"/>
    <w:rsid w:val="009C630A"/>
    <w:rsid w:val="009D6E00"/>
    <w:rsid w:val="009E0D98"/>
    <w:rsid w:val="00A068A1"/>
    <w:rsid w:val="00A1207D"/>
    <w:rsid w:val="00A12FD8"/>
    <w:rsid w:val="00A346FC"/>
    <w:rsid w:val="00A46D77"/>
    <w:rsid w:val="00A6376C"/>
    <w:rsid w:val="00A846F2"/>
    <w:rsid w:val="00A84F93"/>
    <w:rsid w:val="00AB1AC5"/>
    <w:rsid w:val="00AB3BFC"/>
    <w:rsid w:val="00AC4F2E"/>
    <w:rsid w:val="00AD0C37"/>
    <w:rsid w:val="00AD385F"/>
    <w:rsid w:val="00AE2D27"/>
    <w:rsid w:val="00AE6E2A"/>
    <w:rsid w:val="00AF15C1"/>
    <w:rsid w:val="00B03EAB"/>
    <w:rsid w:val="00B21CA3"/>
    <w:rsid w:val="00B264C8"/>
    <w:rsid w:val="00B31E9C"/>
    <w:rsid w:val="00B35595"/>
    <w:rsid w:val="00B51C6D"/>
    <w:rsid w:val="00B71689"/>
    <w:rsid w:val="00B83DD2"/>
    <w:rsid w:val="00B86D64"/>
    <w:rsid w:val="00BA4AC5"/>
    <w:rsid w:val="00BA6A55"/>
    <w:rsid w:val="00BC1364"/>
    <w:rsid w:val="00BC2667"/>
    <w:rsid w:val="00BC7DE9"/>
    <w:rsid w:val="00BF479B"/>
    <w:rsid w:val="00C02577"/>
    <w:rsid w:val="00C06B0B"/>
    <w:rsid w:val="00C12BFC"/>
    <w:rsid w:val="00C204FB"/>
    <w:rsid w:val="00C20BEE"/>
    <w:rsid w:val="00C2158D"/>
    <w:rsid w:val="00C3386F"/>
    <w:rsid w:val="00C5579C"/>
    <w:rsid w:val="00C67DD2"/>
    <w:rsid w:val="00C725CB"/>
    <w:rsid w:val="00C76828"/>
    <w:rsid w:val="00C76F5C"/>
    <w:rsid w:val="00C96BAD"/>
    <w:rsid w:val="00CA6944"/>
    <w:rsid w:val="00CB0F8E"/>
    <w:rsid w:val="00CB7E7D"/>
    <w:rsid w:val="00CC2911"/>
    <w:rsid w:val="00CF0C6D"/>
    <w:rsid w:val="00CF4E81"/>
    <w:rsid w:val="00CF69CE"/>
    <w:rsid w:val="00CF7307"/>
    <w:rsid w:val="00CF7C68"/>
    <w:rsid w:val="00D0142F"/>
    <w:rsid w:val="00D04A45"/>
    <w:rsid w:val="00D124FA"/>
    <w:rsid w:val="00D340DE"/>
    <w:rsid w:val="00D55723"/>
    <w:rsid w:val="00D62FAD"/>
    <w:rsid w:val="00D64355"/>
    <w:rsid w:val="00D70450"/>
    <w:rsid w:val="00D83BFD"/>
    <w:rsid w:val="00D90A38"/>
    <w:rsid w:val="00D95739"/>
    <w:rsid w:val="00DA0515"/>
    <w:rsid w:val="00DA171E"/>
    <w:rsid w:val="00DA56AA"/>
    <w:rsid w:val="00DB5833"/>
    <w:rsid w:val="00DD2858"/>
    <w:rsid w:val="00DF489D"/>
    <w:rsid w:val="00E03E33"/>
    <w:rsid w:val="00E059E0"/>
    <w:rsid w:val="00E05DB6"/>
    <w:rsid w:val="00E3642A"/>
    <w:rsid w:val="00E415C4"/>
    <w:rsid w:val="00E50016"/>
    <w:rsid w:val="00E50EAA"/>
    <w:rsid w:val="00E656D6"/>
    <w:rsid w:val="00E84BE3"/>
    <w:rsid w:val="00E97167"/>
    <w:rsid w:val="00E977EE"/>
    <w:rsid w:val="00EA2F24"/>
    <w:rsid w:val="00EA5C0E"/>
    <w:rsid w:val="00EA67A2"/>
    <w:rsid w:val="00EB630F"/>
    <w:rsid w:val="00EB6B6F"/>
    <w:rsid w:val="00EC4F98"/>
    <w:rsid w:val="00ED328C"/>
    <w:rsid w:val="00F12F02"/>
    <w:rsid w:val="00F3276D"/>
    <w:rsid w:val="00F32E0D"/>
    <w:rsid w:val="00F35134"/>
    <w:rsid w:val="00F37B9C"/>
    <w:rsid w:val="00F41812"/>
    <w:rsid w:val="00F47E9B"/>
    <w:rsid w:val="00F56D7F"/>
    <w:rsid w:val="00F57CBA"/>
    <w:rsid w:val="00F715D1"/>
    <w:rsid w:val="00F72715"/>
    <w:rsid w:val="00F727AA"/>
    <w:rsid w:val="00F73333"/>
    <w:rsid w:val="00F871DF"/>
    <w:rsid w:val="00F878CB"/>
    <w:rsid w:val="00F90FD6"/>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022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AE2D27"/>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uiPriority w:val="9"/>
    <w:unhideWhenUsed/>
    <w:qFormat/>
    <w:locked/>
    <w:rsid w:val="00AE2D27"/>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nhideWhenUsed/>
    <w:qFormat/>
    <w:locked/>
    <w:rsid w:val="00AE2D27"/>
    <w:pPr>
      <w:keepNext/>
      <w:keepLines/>
      <w:spacing w:before="200"/>
      <w:outlineLvl w:val="3"/>
    </w:pPr>
    <w:rPr>
      <w:rFonts w:eastAsiaTheme="majorEastAsia" w:cstheme="majorBidi"/>
      <w:iCs/>
      <w:color w:val="365F91" w:themeColor="accent1" w:themeShade="BF"/>
    </w:rPr>
  </w:style>
  <w:style w:type="paragraph" w:styleId="Heading5">
    <w:name w:val="heading 5"/>
    <w:basedOn w:val="Normal"/>
    <w:next w:val="Normal"/>
    <w:link w:val="Heading5Char"/>
    <w:semiHidden/>
    <w:unhideWhenUsed/>
    <w:qFormat/>
    <w:locked/>
    <w:rsid w:val="00AE2D2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E2D27"/>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3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BA6A55"/>
    <w:rPr>
      <w:rFonts w:eastAsia="Times New Roman"/>
      <w:sz w:val="24"/>
      <w:szCs w:val="20"/>
    </w:rPr>
  </w:style>
  <w:style w:type="table" w:customStyle="1" w:styleId="TableGrid3">
    <w:name w:val="Table Grid3"/>
    <w:basedOn w:val="TableNormal"/>
    <w:next w:val="TableGrid"/>
    <w:uiPriority w:val="59"/>
    <w:rsid w:val="00BA6A5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BA6A55"/>
    <w:rPr>
      <w:b/>
      <w:bC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BA6A55"/>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A6A55"/>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8E1617"/>
    <w:pPr>
      <w:widowControl w:val="0"/>
      <w:tabs>
        <w:tab w:val="left" w:pos="284"/>
        <w:tab w:val="left" w:pos="567"/>
      </w:tabs>
      <w:ind w:left="426"/>
    </w:pPr>
    <w:rPr>
      <w:rFonts w:ascii="Arial Narrow" w:hAnsi="Arial Narrow" w:cs="Arial"/>
      <w:snapToGrid w:val="0"/>
      <w:sz w:val="18"/>
      <w:lang w:eastAsia="en-US"/>
    </w:rPr>
  </w:style>
  <w:style w:type="character" w:customStyle="1" w:styleId="TablenotesChar">
    <w:name w:val="Tablenotes Char"/>
    <w:basedOn w:val="DefaultParagraphFont"/>
    <w:link w:val="Tablenotes"/>
    <w:rsid w:val="008E1617"/>
    <w:rPr>
      <w:rFonts w:ascii="Arial Narrow" w:eastAsia="Times New Roman" w:hAnsi="Arial Narrow" w:cs="Arial"/>
      <w:snapToGrid w:val="0"/>
      <w:sz w:val="18"/>
      <w:szCs w:val="20"/>
      <w:lang w:eastAsia="en-US"/>
    </w:rPr>
  </w:style>
  <w:style w:type="paragraph" w:customStyle="1" w:styleId="Tabletext">
    <w:name w:val="Table text"/>
    <w:basedOn w:val="Normal"/>
    <w:link w:val="TabletextChar"/>
    <w:uiPriority w:val="11"/>
    <w:qFormat/>
    <w:rsid w:val="00AE2D27"/>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uiPriority w:val="11"/>
    <w:rsid w:val="00AE2D27"/>
    <w:rPr>
      <w:rFonts w:ascii="Arial Narrow" w:eastAsia="Times New Roman" w:hAnsi="Arial Narrow"/>
      <w:sz w:val="20"/>
      <w:szCs w:val="24"/>
      <w:lang w:eastAsia="en-US"/>
    </w:rPr>
  </w:style>
  <w:style w:type="paragraph" w:customStyle="1" w:styleId="TableText0">
    <w:name w:val="Table Text"/>
    <w:basedOn w:val="Normal"/>
    <w:link w:val="TableTextChar0"/>
    <w:rsid w:val="00AE2D27"/>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AE2D27"/>
    <w:rPr>
      <w:rFonts w:ascii="Arial Narrow" w:eastAsia="Times New Roman" w:hAnsi="Arial Narrow" w:cs="Tahoma"/>
      <w:sz w:val="20"/>
      <w:lang w:eastAsia="en-US"/>
    </w:rPr>
  </w:style>
  <w:style w:type="character" w:customStyle="1" w:styleId="Heading3Char">
    <w:name w:val="Heading 3 Char"/>
    <w:basedOn w:val="DefaultParagraphFont"/>
    <w:link w:val="Heading3"/>
    <w:uiPriority w:val="9"/>
    <w:rsid w:val="00AE2D27"/>
    <w:rPr>
      <w:rFonts w:eastAsiaTheme="majorEastAsia" w:cstheme="majorBidi"/>
      <w:sz w:val="24"/>
      <w:szCs w:val="24"/>
      <w:u w:val="single"/>
    </w:rPr>
  </w:style>
  <w:style w:type="paragraph" w:customStyle="1" w:styleId="Tablenotes1">
    <w:name w:val="Tablenotes 1"/>
    <w:basedOn w:val="Normal"/>
    <w:link w:val="Tablenotes1Char"/>
    <w:qFormat/>
    <w:rsid w:val="00AE2D27"/>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AE2D27"/>
    <w:rPr>
      <w:rFonts w:ascii="Arial Narrow" w:eastAsia="Times New Roman" w:hAnsi="Arial Narrow" w:cs="Arial"/>
      <w:snapToGrid w:val="0"/>
      <w:sz w:val="18"/>
      <w:szCs w:val="20"/>
      <w:lang w:eastAsia="en-US"/>
    </w:rPr>
  </w:style>
  <w:style w:type="character" w:customStyle="1" w:styleId="Heading4Char">
    <w:name w:val="Heading 4 Char"/>
    <w:basedOn w:val="DefaultParagraphFont"/>
    <w:link w:val="Heading4"/>
    <w:rsid w:val="00AE2D27"/>
    <w:rPr>
      <w:rFonts w:eastAsiaTheme="majorEastAsia" w:cstheme="majorBidi"/>
      <w:iCs/>
      <w:color w:val="365F91" w:themeColor="accent1" w:themeShade="BF"/>
      <w:sz w:val="24"/>
      <w:szCs w:val="20"/>
    </w:rPr>
  </w:style>
  <w:style w:type="character" w:customStyle="1" w:styleId="Heading5Char">
    <w:name w:val="Heading 5 Char"/>
    <w:basedOn w:val="DefaultParagraphFont"/>
    <w:link w:val="Heading5"/>
    <w:uiPriority w:val="9"/>
    <w:rsid w:val="00AE2D27"/>
    <w:rPr>
      <w:rFonts w:asciiTheme="majorHAnsi" w:eastAsiaTheme="majorEastAsia" w:hAnsiTheme="majorHAnsi" w:cstheme="majorBidi"/>
      <w:color w:val="365F91" w:themeColor="accent1" w:themeShade="BF"/>
      <w:sz w:val="24"/>
      <w:szCs w:val="20"/>
    </w:rPr>
  </w:style>
  <w:style w:type="paragraph" w:customStyle="1" w:styleId="Tabletextboldleft">
    <w:name w:val="Table text bold left"/>
    <w:basedOn w:val="Normal"/>
    <w:link w:val="TabletextboldleftChar"/>
    <w:qFormat/>
    <w:rsid w:val="00AE2D27"/>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AE2D27"/>
    <w:rPr>
      <w:rFonts w:ascii="Arial Narrow" w:eastAsia="Times New Roman" w:hAnsi="Arial Narrow" w:cs="Arial"/>
      <w:b/>
      <w:sz w:val="20"/>
      <w:szCs w:val="20"/>
      <w:lang w:eastAsia="en-US"/>
    </w:rPr>
  </w:style>
  <w:style w:type="paragraph" w:customStyle="1" w:styleId="TableHeading">
    <w:name w:val="TableHeading"/>
    <w:basedOn w:val="Normal"/>
    <w:link w:val="TableHeadingChar"/>
    <w:qFormat/>
    <w:rsid w:val="00AE2D27"/>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AE2D27"/>
    <w:rPr>
      <w:rFonts w:ascii="Arial Narrow" w:eastAsia="Times New Roman" w:hAnsi="Arial Narrow" w:cs="Tahoma"/>
      <w:b/>
      <w:noProof/>
      <w:sz w:val="20"/>
      <w:szCs w:val="20"/>
    </w:rPr>
  </w:style>
  <w:style w:type="table" w:customStyle="1" w:styleId="TableGrid2">
    <w:name w:val="Table Grid2"/>
    <w:basedOn w:val="TableNormal"/>
    <w:next w:val="TableGrid"/>
    <w:rsid w:val="00AE2D2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customStyle="1" w:styleId="TableGrid1">
    <w:name w:val="Table Grid1"/>
    <w:basedOn w:val="TableNormal"/>
    <w:next w:val="TableGrid"/>
    <w:rsid w:val="00AE2D2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StylePr>
  </w:style>
  <w:style w:type="paragraph" w:customStyle="1" w:styleId="TableNotes0">
    <w:name w:val="TableNotes"/>
    <w:basedOn w:val="Normal"/>
    <w:link w:val="TableNotesChar0"/>
    <w:rsid w:val="00AE2D27"/>
    <w:pPr>
      <w:keepLines/>
      <w:spacing w:after="360" w:line="312" w:lineRule="auto"/>
      <w:ind w:left="720"/>
      <w:contextualSpacing/>
    </w:pPr>
    <w:rPr>
      <w:rFonts w:ascii="Arial Narrow" w:hAnsi="Arial Narrow" w:cs="Tahoma"/>
      <w:sz w:val="16"/>
      <w:szCs w:val="22"/>
    </w:rPr>
  </w:style>
  <w:style w:type="character" w:customStyle="1" w:styleId="TableNotesChar0">
    <w:name w:val="TableNotes Char"/>
    <w:link w:val="TableNotes0"/>
    <w:rsid w:val="00AE2D27"/>
    <w:rPr>
      <w:rFonts w:ascii="Arial Narrow" w:eastAsia="Times New Roman" w:hAnsi="Arial Narrow" w:cs="Tahoma"/>
      <w:sz w:val="16"/>
    </w:rPr>
  </w:style>
  <w:style w:type="paragraph" w:customStyle="1" w:styleId="BoxText">
    <w:name w:val="BoxText"/>
    <w:basedOn w:val="Normal"/>
    <w:qFormat/>
    <w:rsid w:val="00861A8E"/>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861A8E"/>
    <w:pPr>
      <w:keepNext/>
      <w:spacing w:before="180"/>
      <w:ind w:left="1080" w:hanging="1080"/>
    </w:pPr>
    <w:rPr>
      <w:b/>
      <w:bCs/>
    </w:rPr>
  </w:style>
  <w:style w:type="paragraph" w:customStyle="1" w:styleId="BoxHeading">
    <w:name w:val="BoxHeading"/>
    <w:basedOn w:val="BoxText"/>
    <w:rsid w:val="00861A8E"/>
    <w:pPr>
      <w:keepNext/>
      <w:spacing w:before="120" w:after="60"/>
    </w:pPr>
    <w:rPr>
      <w:b/>
      <w:bCs/>
    </w:rPr>
  </w:style>
  <w:style w:type="paragraph" w:styleId="Revision">
    <w:name w:val="Revision"/>
    <w:hidden/>
    <w:uiPriority w:val="99"/>
    <w:semiHidden/>
    <w:rsid w:val="00F90FD6"/>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yperlink" Target="http://www.msac.gov.au/" TargetMode="External"/><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linicaltrials.gov/ct2/show/NCT03872544?term=autologous+fat+grafting&amp;recrs=abdf&amp;draw=3&amp;rank=20"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excluded-autologous-human-cells-and-tissues" TargetMode="External"/><Relationship Id="rId24" Type="http://schemas.openxmlformats.org/officeDocument/2006/relationships/hyperlink" Target="https://clinicaltrials.gov/ct2/show/NCT03880188?term=autologous+fat+grafting&amp;recrs=abdf&amp;draw=3&amp;rank=18"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msac.gov.au/internet/msac/publishing.nsf/Content/1575-public" TargetMode="External"/><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 Id="rId22" Type="http://schemas.openxmlformats.org/officeDocument/2006/relationships/hyperlink" Target="https://www.google.com/url?sa=t&amp;rct=j&amp;q=&amp;esrc=s&amp;source=web&amp;cd=2&amp;cad=rja&amp;uact=8&amp;ved=2ahUKEwitmMnEyu7mAhW2ILcAHWZzA-sQFjABegQIARAC&amp;url=https%3A%2F%2Fwww1.health.gov.au%2Finternet%2Fmain%2Fpublishing.nsf%2FContent%2Fmbs-review-2018-taskforce-reports-cp%2F%24File%2FPlastic-and-Reconstructive-Surgery-Clinical-Committee.pdf&amp;usg=AOvVaw03MxsxtRf8Lw6IRfJIA-l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E8D7-98CC-4CF2-8324-0C68E907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11697</Words>
  <Characters>67253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1577 Final PSD_Jul2020</vt:lpstr>
    </vt:vector>
  </TitlesOfParts>
  <Company/>
  <LinksUpToDate>false</LinksUpToDate>
  <CharactersWithSpaces>78793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1577 Final PSD_Jul2020</dc:title>
  <dc:creator/>
  <cp:lastModifiedBy/>
  <cp:revision>1</cp:revision>
  <dcterms:created xsi:type="dcterms:W3CDTF">2020-10-12T03:56:00Z</dcterms:created>
  <dcterms:modified xsi:type="dcterms:W3CDTF">2020-10-12T04:21:00Z</dcterms:modified>
</cp:coreProperties>
</file>